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3.xml" ContentType="application/vnd.openxmlformats-officedocument.drawingml.chart+xml"/>
  <Override PartName="/word/charts/chart2.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49DEA" w14:textId="047C77D2" w:rsidR="0036126B" w:rsidRPr="00DA6290" w:rsidRDefault="007B32D8" w:rsidP="00DA6290">
      <w:pPr>
        <w:pStyle w:val="Title"/>
      </w:pPr>
      <w:bookmarkStart w:id="0" w:name="_GoBack"/>
      <w:bookmarkEnd w:id="0"/>
      <w:r>
        <w:rPr>
          <w:lang w:val="en-AU" w:eastAsia="en-AU"/>
        </w:rPr>
        <w:drawing>
          <wp:anchor distT="0" distB="0" distL="114300" distR="114300" simplePos="0" relativeHeight="251743232" behindDoc="0" locked="0" layoutInCell="1" allowOverlap="1" wp14:anchorId="4C475EAA" wp14:editId="0E6A9EE8">
            <wp:simplePos x="0" y="0"/>
            <wp:positionH relativeFrom="column">
              <wp:posOffset>-914400</wp:posOffset>
            </wp:positionH>
            <wp:positionV relativeFrom="paragraph">
              <wp:posOffset>1000125</wp:posOffset>
            </wp:positionV>
            <wp:extent cx="7815600" cy="5209200"/>
            <wp:effectExtent l="0" t="0" r="0" b="0"/>
            <wp:wrapNone/>
            <wp:docPr id="303" name="Picture 303" descr="Smiling boy with access to clean, running water from a tap." title="Boy with access to drinking water in Nepal, 2013. Photo: DF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Boy at tap - Original size.jpg"/>
                    <pic:cNvPicPr/>
                  </pic:nvPicPr>
                  <pic:blipFill>
                    <a:blip r:embed="rId9" cstate="screen">
                      <a:extLst>
                        <a:ext uri="{28A0092B-C50C-407E-A947-70E740481C1C}">
                          <a14:useLocalDpi xmlns:a14="http://schemas.microsoft.com/office/drawing/2010/main"/>
                        </a:ext>
                      </a:extLst>
                    </a:blip>
                    <a:stretch>
                      <a:fillRect/>
                    </a:stretch>
                  </pic:blipFill>
                  <pic:spPr>
                    <a:xfrm>
                      <a:off x="0" y="0"/>
                      <a:ext cx="7815600" cy="5209200"/>
                    </a:xfrm>
                    <a:prstGeom prst="rect">
                      <a:avLst/>
                    </a:prstGeom>
                  </pic:spPr>
                </pic:pic>
              </a:graphicData>
            </a:graphic>
            <wp14:sizeRelH relativeFrom="margin">
              <wp14:pctWidth>0</wp14:pctWidth>
            </wp14:sizeRelH>
            <wp14:sizeRelV relativeFrom="margin">
              <wp14:pctHeight>0</wp14:pctHeight>
            </wp14:sizeRelV>
          </wp:anchor>
        </w:drawing>
      </w:r>
      <w:r w:rsidR="0015309E" w:rsidRPr="00DA6290">
        <w:rPr>
          <w:lang w:val="en-AU" w:eastAsia="en-AU"/>
        </w:rPr>
        <w:drawing>
          <wp:anchor distT="0" distB="0" distL="114300" distR="114300" simplePos="0" relativeHeight="251702272" behindDoc="1" locked="0" layoutInCell="1" allowOverlap="1" wp14:anchorId="4A2C49A5" wp14:editId="7051EF13">
            <wp:simplePos x="0" y="0"/>
            <wp:positionH relativeFrom="column">
              <wp:posOffset>-2744614</wp:posOffset>
            </wp:positionH>
            <wp:positionV relativeFrom="paragraph">
              <wp:posOffset>-943589</wp:posOffset>
            </wp:positionV>
            <wp:extent cx="9996160" cy="107902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ODE-Headers-03-(19Mar2014)-ReportFrontv2.wmf"/>
                    <pic:cNvPicPr/>
                  </pic:nvPicPr>
                  <pic:blipFill>
                    <a:blip r:embed="rId10">
                      <a:extLst>
                        <a:ext uri="{28A0092B-C50C-407E-A947-70E740481C1C}">
                          <a14:useLocalDpi xmlns:a14="http://schemas.microsoft.com/office/drawing/2010/main" val="0"/>
                        </a:ext>
                      </a:extLst>
                    </a:blip>
                    <a:stretch>
                      <a:fillRect/>
                    </a:stretch>
                  </pic:blipFill>
                  <pic:spPr>
                    <a:xfrm>
                      <a:off x="0" y="0"/>
                      <a:ext cx="9996160" cy="10790227"/>
                    </a:xfrm>
                    <a:prstGeom prst="rect">
                      <a:avLst/>
                    </a:prstGeom>
                  </pic:spPr>
                </pic:pic>
              </a:graphicData>
            </a:graphic>
          </wp:anchor>
        </w:drawing>
      </w:r>
      <w:r w:rsidR="0099593A">
        <w:t xml:space="preserve">Evaluation of the management arrangements for the Civil Society </w:t>
      </w:r>
      <w:r w:rsidR="0061115C">
        <w:t xml:space="preserve">Water, Sanitation and Hygiene </w:t>
      </w:r>
      <w:r w:rsidR="0099593A">
        <w:t>Fund</w:t>
      </w:r>
    </w:p>
    <w:p w14:paraId="599ACB89" w14:textId="77777777" w:rsidR="00056C28" w:rsidRDefault="00056C28" w:rsidP="00DA6290">
      <w:pPr>
        <w:pStyle w:val="Subtitle"/>
      </w:pPr>
    </w:p>
    <w:p w14:paraId="227F2315" w14:textId="77777777" w:rsidR="006D49D6" w:rsidRPr="00320C61" w:rsidRDefault="006D49D6" w:rsidP="00DA6290">
      <w:pPr>
        <w:pStyle w:val="Subtitle"/>
      </w:pPr>
      <w:r w:rsidRPr="00320C61">
        <w:t>Office of Development Effectiveness</w:t>
      </w:r>
    </w:p>
    <w:p w14:paraId="0271AE14" w14:textId="3D004DA5" w:rsidR="006D49D6" w:rsidRDefault="00191CC2" w:rsidP="00DA6290">
      <w:pPr>
        <w:pStyle w:val="Date"/>
        <w:sectPr w:rsidR="006D49D6" w:rsidSect="007D0C20">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576" w:footer="576" w:gutter="0"/>
          <w:pgNumType w:fmt="lowerRoman"/>
          <w:cols w:space="720"/>
          <w:titlePg/>
        </w:sectPr>
      </w:pPr>
      <w:r>
        <w:t>October</w:t>
      </w:r>
      <w:r w:rsidR="0099593A">
        <w:t xml:space="preserve"> 2016</w:t>
      </w:r>
    </w:p>
    <w:p w14:paraId="5E2FF9C0" w14:textId="77777777" w:rsidR="00F17D22" w:rsidRPr="00320C61" w:rsidRDefault="00A72C06" w:rsidP="00A0021E">
      <w:pPr>
        <w:pStyle w:val="Heading1"/>
      </w:pPr>
      <w:bookmarkStart w:id="1" w:name="_Toc468449981"/>
      <w:r w:rsidRPr="00320C61">
        <w:lastRenderedPageBreak/>
        <w:t>Foreword</w:t>
      </w:r>
      <w:bookmarkEnd w:id="1"/>
      <w:r w:rsidRPr="00320C61">
        <w:t xml:space="preserve"> </w:t>
      </w:r>
    </w:p>
    <w:p w14:paraId="21228A92" w14:textId="77777777" w:rsidR="00547A07" w:rsidRDefault="00547A07" w:rsidP="00547A07">
      <w:pPr>
        <w:rPr>
          <w:lang w:val="en-GB"/>
        </w:rPr>
      </w:pPr>
      <w:r>
        <w:rPr>
          <w:lang w:val="en-GB"/>
        </w:rPr>
        <w:t>It is all too easy for evaluations for focus on the negatives: what hasn’t worked well, what needs to be improved, and what should be done away with altogether. We can learn a lot when such issues are highlighted. But learning from the positives – the success stories that provide good practice models – can be even more instructive and useful.</w:t>
      </w:r>
    </w:p>
    <w:p w14:paraId="3D79A248" w14:textId="77777777" w:rsidR="00547A07" w:rsidRDefault="00547A07" w:rsidP="00547A07">
      <w:pPr>
        <w:rPr>
          <w:lang w:val="en-GB"/>
        </w:rPr>
      </w:pPr>
      <w:r>
        <w:rPr>
          <w:lang w:val="en-GB"/>
        </w:rPr>
        <w:t>It was for this reason that I found the evaluation of the Civil Society Water, Sanitation and Hygiene Fund refreshing and insightful. It highlights the strong performance of the Fund’s management arrangements in areas where many other development programs underperform. The Fund’s approach to knowledge and learning, particularly its face to face learning events, has ensured lessons and knowledge have been identified and shared between civil society organisations. Gender equality and disability inclusiveness have been embedded into the program’s monitoring, evaluation, reporting and learning systems, pushing civil society organisations to do more in these areas. And many aspects of the Fund’s monitoring and evaluation arrangements, such as the use of long-term specialists and the coaching provided to civil society organisations, are highly effective.</w:t>
      </w:r>
    </w:p>
    <w:p w14:paraId="7F896928" w14:textId="1209C6E4" w:rsidR="00547A07" w:rsidRDefault="00547A07" w:rsidP="00547A07">
      <w:pPr>
        <w:rPr>
          <w:lang w:val="en-GB"/>
        </w:rPr>
      </w:pPr>
      <w:r>
        <w:rPr>
          <w:lang w:val="en-GB"/>
        </w:rPr>
        <w:t>Such practices provide strong mode</w:t>
      </w:r>
      <w:r w:rsidR="009B13CA">
        <w:rPr>
          <w:lang w:val="en-GB"/>
        </w:rPr>
        <w:t>ls which other DFAT programs could</w:t>
      </w:r>
      <w:r>
        <w:rPr>
          <w:lang w:val="en-GB"/>
        </w:rPr>
        <w:t xml:space="preserve"> benefit from.</w:t>
      </w:r>
      <w:r w:rsidR="000079FD" w:rsidRPr="000079FD">
        <w:t xml:space="preserve"> </w:t>
      </w:r>
      <w:r w:rsidR="000079FD">
        <w:t>In view of this I think it is important that DFAT managers and staff become fully aware of the positive impacts of the Fund's experience and be prepared to consider employing the Fund approach when and where it is viewed as appropriate</w:t>
      </w:r>
      <w:r>
        <w:rPr>
          <w:lang w:val="en-GB"/>
        </w:rPr>
        <w:t xml:space="preserve">. </w:t>
      </w:r>
    </w:p>
    <w:p w14:paraId="718D1557" w14:textId="4BB8574B" w:rsidR="00D80FF4" w:rsidRDefault="00D80FF4" w:rsidP="00CC5FAE">
      <w:pPr>
        <w:pStyle w:val="BodyText"/>
      </w:pPr>
    </w:p>
    <w:p w14:paraId="4C788C3D" w14:textId="77777777" w:rsidR="00BF501E" w:rsidRDefault="00BF501E" w:rsidP="00BF501E">
      <w:r>
        <w:rPr>
          <w:noProof/>
        </w:rPr>
        <w:drawing>
          <wp:inline distT="0" distB="0" distL="0" distR="0" wp14:anchorId="6FCC53A8" wp14:editId="0CB23C8F">
            <wp:extent cx="1264920" cy="1079307"/>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17">
                      <a:extLst>
                        <a:ext uri="{28A0092B-C50C-407E-A947-70E740481C1C}">
                          <a14:useLocalDpi xmlns:a14="http://schemas.microsoft.com/office/drawing/2010/main"/>
                        </a:ext>
                      </a:extLst>
                    </a:blip>
                    <a:stretch>
                      <a:fillRect/>
                    </a:stretch>
                  </pic:blipFill>
                  <pic:spPr>
                    <a:xfrm>
                      <a:off x="0" y="0"/>
                      <a:ext cx="1264920" cy="1079307"/>
                    </a:xfrm>
                    <a:prstGeom prst="rect">
                      <a:avLst/>
                    </a:prstGeom>
                  </pic:spPr>
                </pic:pic>
              </a:graphicData>
            </a:graphic>
          </wp:inline>
        </w:drawing>
      </w:r>
    </w:p>
    <w:p w14:paraId="47A8CDB6" w14:textId="77777777" w:rsidR="00BF501E" w:rsidRDefault="00BF501E" w:rsidP="00BF501E">
      <w:pPr>
        <w:pStyle w:val="BodyText"/>
      </w:pPr>
      <w:r w:rsidRPr="00033E1E">
        <w:t xml:space="preserve">Jim Adams </w:t>
      </w:r>
      <w:r>
        <w:br/>
      </w:r>
      <w:r w:rsidRPr="00033E1E">
        <w:t>Chair, Independent Evaluation Committee</w:t>
      </w:r>
    </w:p>
    <w:p w14:paraId="31E898E2" w14:textId="77777777" w:rsidR="00BF501E" w:rsidRDefault="00BF501E" w:rsidP="00BF501E">
      <w:pPr>
        <w:pStyle w:val="BodyText"/>
      </w:pPr>
    </w:p>
    <w:p w14:paraId="433DE0CE" w14:textId="77777777" w:rsidR="00BF501E" w:rsidRPr="00320C61" w:rsidRDefault="00BF501E" w:rsidP="00073071">
      <w:pPr>
        <w:pStyle w:val="BoxHeading1"/>
      </w:pPr>
      <w:r w:rsidRPr="00320C61">
        <w:t>Office of Development Effectiveness</w:t>
      </w:r>
    </w:p>
    <w:p w14:paraId="37E61C59" w14:textId="77777777" w:rsidR="00BF501E" w:rsidRPr="00320C61" w:rsidRDefault="00BF501E" w:rsidP="00320C61">
      <w:pPr>
        <w:pStyle w:val="BoxText"/>
      </w:pPr>
      <w:r w:rsidRPr="00320C61">
        <w:t>The Office of Development Effectiveness (ODE) is an independent branch within the Australian Government Department of Foreign Affairs and Trade (DFAT). ODE monitors the Australian aid program’s performance, evaluates its impact, and contributes to international evidence and debate about aid and development effectiveness. ODE’s work is overseen by the Independent Evaluation Committee (IEC), an advisory body that provides independent expert advice on ODE’s evaluation strategy, work plan, analysis and reports.</w:t>
      </w:r>
    </w:p>
    <w:p w14:paraId="11DA5030" w14:textId="77777777" w:rsidR="00BF501E" w:rsidRPr="00BE3345" w:rsidRDefault="00A513E4" w:rsidP="00320C61">
      <w:pPr>
        <w:pStyle w:val="BoxText"/>
      </w:pPr>
      <w:hyperlink r:id="rId18" w:history="1">
        <w:r w:rsidR="00BF501E" w:rsidRPr="00320C61">
          <w:rPr>
            <w:rStyle w:val="Hyperlink"/>
          </w:rPr>
          <w:t>www.ode.dfat.gov.au</w:t>
        </w:r>
      </w:hyperlink>
    </w:p>
    <w:p w14:paraId="7F42EA58" w14:textId="77777777" w:rsidR="00F71D57" w:rsidRDefault="00F71D57" w:rsidP="00CC5FAE">
      <w:pPr>
        <w:sectPr w:rsidR="00F71D57" w:rsidSect="008E2B34">
          <w:headerReference w:type="even" r:id="rId19"/>
          <w:footnotePr>
            <w:numFmt w:val="chicago"/>
            <w:numRestart w:val="eachPage"/>
          </w:footnotePr>
          <w:endnotePr>
            <w:numFmt w:val="decimal"/>
          </w:endnotePr>
          <w:pgSz w:w="11907" w:h="16840" w:code="9"/>
          <w:pgMar w:top="1298" w:right="1701" w:bottom="907" w:left="1701" w:header="851" w:footer="567" w:gutter="0"/>
          <w:pgNumType w:fmt="lowerRoman"/>
          <w:cols w:space="720"/>
          <w:docGrid w:linePitch="326"/>
        </w:sectPr>
      </w:pPr>
    </w:p>
    <w:p w14:paraId="452538EA" w14:textId="77777777" w:rsidR="00CC5FAE" w:rsidRPr="00CC5FAE" w:rsidRDefault="00CC5FAE" w:rsidP="00CC5FAE"/>
    <w:p w14:paraId="40054818" w14:textId="77777777" w:rsidR="00611F77" w:rsidRDefault="00611F77" w:rsidP="00A0021E">
      <w:pPr>
        <w:pStyle w:val="Heading1"/>
      </w:pPr>
      <w:bookmarkStart w:id="2" w:name="_Toc415494905"/>
      <w:bookmarkStart w:id="3" w:name="_Toc415496366"/>
      <w:bookmarkStart w:id="4" w:name="_Toc468449982"/>
      <w:r>
        <w:lastRenderedPageBreak/>
        <w:t>Contents</w:t>
      </w:r>
      <w:bookmarkEnd w:id="2"/>
      <w:bookmarkEnd w:id="3"/>
      <w:bookmarkEnd w:id="4"/>
    </w:p>
    <w:p w14:paraId="6D6D0B51" w14:textId="2DD9DA36" w:rsidR="007D1CC7" w:rsidRDefault="0051715B">
      <w:pPr>
        <w:pStyle w:val="TOC1"/>
        <w:rPr>
          <w:rFonts w:asciiTheme="minorHAnsi" w:eastAsiaTheme="minorEastAsia" w:hAnsiTheme="minorHAnsi" w:cstheme="minorBidi"/>
          <w:noProof/>
          <w:color w:val="auto"/>
          <w:sz w:val="22"/>
          <w:szCs w:val="22"/>
        </w:rPr>
      </w:pPr>
      <w:r>
        <w:fldChar w:fldCharType="begin"/>
      </w:r>
      <w:r w:rsidR="003272F5" w:rsidRPr="00320C61">
        <w:instrText xml:space="preserve"> TOC \h \z \t "Heading 1,1,Heading 2,2,Heading 1b,1" </w:instrText>
      </w:r>
      <w:r>
        <w:fldChar w:fldCharType="separate"/>
      </w:r>
      <w:hyperlink w:anchor="_Toc468449981" w:history="1">
        <w:r w:rsidR="007D1CC7" w:rsidRPr="0082311F">
          <w:rPr>
            <w:rStyle w:val="Hyperlink"/>
            <w:noProof/>
          </w:rPr>
          <w:t>Foreword</w:t>
        </w:r>
        <w:r w:rsidR="007D1CC7">
          <w:rPr>
            <w:noProof/>
            <w:webHidden/>
          </w:rPr>
          <w:tab/>
        </w:r>
        <w:r w:rsidR="007D1CC7">
          <w:rPr>
            <w:noProof/>
            <w:webHidden/>
          </w:rPr>
          <w:fldChar w:fldCharType="begin"/>
        </w:r>
        <w:r w:rsidR="007D1CC7">
          <w:rPr>
            <w:noProof/>
            <w:webHidden/>
          </w:rPr>
          <w:instrText xml:space="preserve"> PAGEREF _Toc468449981 \h </w:instrText>
        </w:r>
        <w:r w:rsidR="007D1CC7">
          <w:rPr>
            <w:noProof/>
            <w:webHidden/>
          </w:rPr>
        </w:r>
        <w:r w:rsidR="007D1CC7">
          <w:rPr>
            <w:noProof/>
            <w:webHidden/>
          </w:rPr>
          <w:fldChar w:fldCharType="separate"/>
        </w:r>
        <w:r w:rsidR="007D1CC7">
          <w:rPr>
            <w:noProof/>
            <w:webHidden/>
          </w:rPr>
          <w:t>ii</w:t>
        </w:r>
        <w:r w:rsidR="007D1CC7">
          <w:rPr>
            <w:noProof/>
            <w:webHidden/>
          </w:rPr>
          <w:fldChar w:fldCharType="end"/>
        </w:r>
      </w:hyperlink>
    </w:p>
    <w:p w14:paraId="0B5816F1" w14:textId="26A8C168" w:rsidR="007D1CC7" w:rsidRDefault="00A513E4">
      <w:pPr>
        <w:pStyle w:val="TOC1"/>
        <w:rPr>
          <w:rFonts w:asciiTheme="minorHAnsi" w:eastAsiaTheme="minorEastAsia" w:hAnsiTheme="minorHAnsi" w:cstheme="minorBidi"/>
          <w:noProof/>
          <w:color w:val="auto"/>
          <w:sz w:val="22"/>
          <w:szCs w:val="22"/>
        </w:rPr>
      </w:pPr>
      <w:hyperlink w:anchor="_Toc468449982" w:history="1">
        <w:r w:rsidR="007D1CC7" w:rsidRPr="0082311F">
          <w:rPr>
            <w:rStyle w:val="Hyperlink"/>
            <w:noProof/>
          </w:rPr>
          <w:t>Contents</w:t>
        </w:r>
        <w:r w:rsidR="007D1CC7">
          <w:rPr>
            <w:noProof/>
            <w:webHidden/>
          </w:rPr>
          <w:tab/>
        </w:r>
        <w:r w:rsidR="007D1CC7">
          <w:rPr>
            <w:noProof/>
            <w:webHidden/>
          </w:rPr>
          <w:fldChar w:fldCharType="begin"/>
        </w:r>
        <w:r w:rsidR="007D1CC7">
          <w:rPr>
            <w:noProof/>
            <w:webHidden/>
          </w:rPr>
          <w:instrText xml:space="preserve"> PAGEREF _Toc468449982 \h </w:instrText>
        </w:r>
        <w:r w:rsidR="007D1CC7">
          <w:rPr>
            <w:noProof/>
            <w:webHidden/>
          </w:rPr>
        </w:r>
        <w:r w:rsidR="007D1CC7">
          <w:rPr>
            <w:noProof/>
            <w:webHidden/>
          </w:rPr>
          <w:fldChar w:fldCharType="separate"/>
        </w:r>
        <w:r w:rsidR="007D1CC7">
          <w:rPr>
            <w:noProof/>
            <w:webHidden/>
          </w:rPr>
          <w:t>iii</w:t>
        </w:r>
        <w:r w:rsidR="007D1CC7">
          <w:rPr>
            <w:noProof/>
            <w:webHidden/>
          </w:rPr>
          <w:fldChar w:fldCharType="end"/>
        </w:r>
      </w:hyperlink>
    </w:p>
    <w:p w14:paraId="4D74E069" w14:textId="7ADC489F" w:rsidR="007D1CC7" w:rsidRDefault="00A513E4">
      <w:pPr>
        <w:pStyle w:val="TOC1"/>
        <w:rPr>
          <w:rFonts w:asciiTheme="minorHAnsi" w:eastAsiaTheme="minorEastAsia" w:hAnsiTheme="minorHAnsi" w:cstheme="minorBidi"/>
          <w:noProof/>
          <w:color w:val="auto"/>
          <w:sz w:val="22"/>
          <w:szCs w:val="22"/>
        </w:rPr>
      </w:pPr>
      <w:hyperlink w:anchor="_Toc468449983" w:history="1">
        <w:r w:rsidR="007D1CC7" w:rsidRPr="0082311F">
          <w:rPr>
            <w:rStyle w:val="Hyperlink"/>
            <w:noProof/>
          </w:rPr>
          <w:t>Executive summary</w:t>
        </w:r>
        <w:r w:rsidR="007D1CC7">
          <w:rPr>
            <w:noProof/>
            <w:webHidden/>
          </w:rPr>
          <w:tab/>
        </w:r>
        <w:r w:rsidR="007D1CC7">
          <w:rPr>
            <w:noProof/>
            <w:webHidden/>
          </w:rPr>
          <w:fldChar w:fldCharType="begin"/>
        </w:r>
        <w:r w:rsidR="007D1CC7">
          <w:rPr>
            <w:noProof/>
            <w:webHidden/>
          </w:rPr>
          <w:instrText xml:space="preserve"> PAGEREF _Toc468449983 \h </w:instrText>
        </w:r>
        <w:r w:rsidR="007D1CC7">
          <w:rPr>
            <w:noProof/>
            <w:webHidden/>
          </w:rPr>
        </w:r>
        <w:r w:rsidR="007D1CC7">
          <w:rPr>
            <w:noProof/>
            <w:webHidden/>
          </w:rPr>
          <w:fldChar w:fldCharType="separate"/>
        </w:r>
        <w:r w:rsidR="007D1CC7">
          <w:rPr>
            <w:noProof/>
            <w:webHidden/>
          </w:rPr>
          <w:t>6</w:t>
        </w:r>
        <w:r w:rsidR="007D1CC7">
          <w:rPr>
            <w:noProof/>
            <w:webHidden/>
          </w:rPr>
          <w:fldChar w:fldCharType="end"/>
        </w:r>
      </w:hyperlink>
    </w:p>
    <w:p w14:paraId="0F206DC8" w14:textId="594D4F48" w:rsidR="007D1CC7" w:rsidRDefault="00A513E4">
      <w:pPr>
        <w:pStyle w:val="TOC1"/>
        <w:rPr>
          <w:rFonts w:asciiTheme="minorHAnsi" w:eastAsiaTheme="minorEastAsia" w:hAnsiTheme="minorHAnsi" w:cstheme="minorBidi"/>
          <w:noProof/>
          <w:color w:val="auto"/>
          <w:sz w:val="22"/>
          <w:szCs w:val="22"/>
        </w:rPr>
      </w:pPr>
      <w:hyperlink w:anchor="_Toc468449986" w:history="1">
        <w:r w:rsidR="007D1CC7" w:rsidRPr="0082311F">
          <w:rPr>
            <w:rStyle w:val="Hyperlink"/>
            <w:noProof/>
          </w:rPr>
          <w:t>Management response</w:t>
        </w:r>
        <w:r w:rsidR="007D1CC7">
          <w:rPr>
            <w:noProof/>
            <w:webHidden/>
          </w:rPr>
          <w:tab/>
        </w:r>
        <w:r w:rsidR="007D1CC7">
          <w:rPr>
            <w:noProof/>
            <w:webHidden/>
          </w:rPr>
          <w:fldChar w:fldCharType="begin"/>
        </w:r>
        <w:r w:rsidR="007D1CC7">
          <w:rPr>
            <w:noProof/>
            <w:webHidden/>
          </w:rPr>
          <w:instrText xml:space="preserve"> PAGEREF _Toc468449986 \h </w:instrText>
        </w:r>
        <w:r w:rsidR="007D1CC7">
          <w:rPr>
            <w:noProof/>
            <w:webHidden/>
          </w:rPr>
        </w:r>
        <w:r w:rsidR="007D1CC7">
          <w:rPr>
            <w:noProof/>
            <w:webHidden/>
          </w:rPr>
          <w:fldChar w:fldCharType="separate"/>
        </w:r>
        <w:r w:rsidR="007D1CC7">
          <w:rPr>
            <w:noProof/>
            <w:webHidden/>
          </w:rPr>
          <w:t>11</w:t>
        </w:r>
        <w:r w:rsidR="007D1CC7">
          <w:rPr>
            <w:noProof/>
            <w:webHidden/>
          </w:rPr>
          <w:fldChar w:fldCharType="end"/>
        </w:r>
      </w:hyperlink>
    </w:p>
    <w:p w14:paraId="6A205204" w14:textId="72665F60" w:rsidR="007D1CC7" w:rsidRDefault="00A513E4">
      <w:pPr>
        <w:pStyle w:val="TOC1"/>
        <w:rPr>
          <w:rFonts w:asciiTheme="minorHAnsi" w:eastAsiaTheme="minorEastAsia" w:hAnsiTheme="minorHAnsi" w:cstheme="minorBidi"/>
          <w:noProof/>
          <w:color w:val="auto"/>
          <w:sz w:val="22"/>
          <w:szCs w:val="22"/>
        </w:rPr>
      </w:pPr>
      <w:hyperlink w:anchor="_Toc468449987" w:history="1">
        <w:r w:rsidR="007D1CC7" w:rsidRPr="0082311F">
          <w:rPr>
            <w:rStyle w:val="Hyperlink"/>
            <w:noProof/>
          </w:rPr>
          <w:t>1</w:t>
        </w:r>
        <w:r w:rsidR="007D1CC7">
          <w:rPr>
            <w:rFonts w:asciiTheme="minorHAnsi" w:eastAsiaTheme="minorEastAsia" w:hAnsiTheme="minorHAnsi" w:cstheme="minorBidi"/>
            <w:noProof/>
            <w:color w:val="auto"/>
            <w:sz w:val="22"/>
            <w:szCs w:val="22"/>
          </w:rPr>
          <w:tab/>
        </w:r>
        <w:r w:rsidR="007D1CC7" w:rsidRPr="0082311F">
          <w:rPr>
            <w:rStyle w:val="Hyperlink"/>
            <w:noProof/>
          </w:rPr>
          <w:t>Introduction: Civil Society WASH Fund</w:t>
        </w:r>
        <w:r w:rsidR="007D1CC7">
          <w:rPr>
            <w:noProof/>
            <w:webHidden/>
          </w:rPr>
          <w:tab/>
        </w:r>
        <w:r w:rsidR="007D1CC7">
          <w:rPr>
            <w:noProof/>
            <w:webHidden/>
          </w:rPr>
          <w:fldChar w:fldCharType="begin"/>
        </w:r>
        <w:r w:rsidR="007D1CC7">
          <w:rPr>
            <w:noProof/>
            <w:webHidden/>
          </w:rPr>
          <w:instrText xml:space="preserve"> PAGEREF _Toc468449987 \h </w:instrText>
        </w:r>
        <w:r w:rsidR="007D1CC7">
          <w:rPr>
            <w:noProof/>
            <w:webHidden/>
          </w:rPr>
        </w:r>
        <w:r w:rsidR="007D1CC7">
          <w:rPr>
            <w:noProof/>
            <w:webHidden/>
          </w:rPr>
          <w:fldChar w:fldCharType="separate"/>
        </w:r>
        <w:r w:rsidR="007D1CC7">
          <w:rPr>
            <w:noProof/>
            <w:webHidden/>
          </w:rPr>
          <w:t>17</w:t>
        </w:r>
        <w:r w:rsidR="007D1CC7">
          <w:rPr>
            <w:noProof/>
            <w:webHidden/>
          </w:rPr>
          <w:fldChar w:fldCharType="end"/>
        </w:r>
      </w:hyperlink>
    </w:p>
    <w:p w14:paraId="74F764C7" w14:textId="3834CAD5" w:rsidR="007D1CC7" w:rsidRDefault="00A513E4">
      <w:pPr>
        <w:pStyle w:val="TOC2"/>
        <w:rPr>
          <w:rFonts w:asciiTheme="minorHAnsi" w:eastAsiaTheme="minorEastAsia" w:hAnsiTheme="minorHAnsi" w:cstheme="minorBidi"/>
          <w:noProof/>
          <w:sz w:val="22"/>
          <w:szCs w:val="22"/>
        </w:rPr>
      </w:pPr>
      <w:hyperlink w:anchor="_Toc468449988" w:history="1">
        <w:r w:rsidR="007D1CC7" w:rsidRPr="0082311F">
          <w:rPr>
            <w:rStyle w:val="Hyperlink"/>
            <w:noProof/>
          </w:rPr>
          <w:t>1.1</w:t>
        </w:r>
        <w:r w:rsidR="007D1CC7">
          <w:rPr>
            <w:rFonts w:asciiTheme="minorHAnsi" w:eastAsiaTheme="minorEastAsia" w:hAnsiTheme="minorHAnsi" w:cstheme="minorBidi"/>
            <w:noProof/>
            <w:sz w:val="22"/>
            <w:szCs w:val="22"/>
          </w:rPr>
          <w:tab/>
        </w:r>
        <w:r w:rsidR="007D1CC7" w:rsidRPr="0082311F">
          <w:rPr>
            <w:rStyle w:val="Hyperlink"/>
            <w:noProof/>
          </w:rPr>
          <w:t xml:space="preserve"> Background to the Fund</w:t>
        </w:r>
        <w:r w:rsidR="007D1CC7">
          <w:rPr>
            <w:noProof/>
            <w:webHidden/>
          </w:rPr>
          <w:tab/>
        </w:r>
        <w:r w:rsidR="007D1CC7">
          <w:rPr>
            <w:noProof/>
            <w:webHidden/>
          </w:rPr>
          <w:fldChar w:fldCharType="begin"/>
        </w:r>
        <w:r w:rsidR="007D1CC7">
          <w:rPr>
            <w:noProof/>
            <w:webHidden/>
          </w:rPr>
          <w:instrText xml:space="preserve"> PAGEREF _Toc468449988 \h </w:instrText>
        </w:r>
        <w:r w:rsidR="007D1CC7">
          <w:rPr>
            <w:noProof/>
            <w:webHidden/>
          </w:rPr>
        </w:r>
        <w:r w:rsidR="007D1CC7">
          <w:rPr>
            <w:noProof/>
            <w:webHidden/>
          </w:rPr>
          <w:fldChar w:fldCharType="separate"/>
        </w:r>
        <w:r w:rsidR="007D1CC7">
          <w:rPr>
            <w:noProof/>
            <w:webHidden/>
          </w:rPr>
          <w:t>17</w:t>
        </w:r>
        <w:r w:rsidR="007D1CC7">
          <w:rPr>
            <w:noProof/>
            <w:webHidden/>
          </w:rPr>
          <w:fldChar w:fldCharType="end"/>
        </w:r>
      </w:hyperlink>
    </w:p>
    <w:p w14:paraId="51E213C3" w14:textId="7C459E9F" w:rsidR="007D1CC7" w:rsidRDefault="00A513E4">
      <w:pPr>
        <w:pStyle w:val="TOC2"/>
        <w:rPr>
          <w:rFonts w:asciiTheme="minorHAnsi" w:eastAsiaTheme="minorEastAsia" w:hAnsiTheme="minorHAnsi" w:cstheme="minorBidi"/>
          <w:noProof/>
          <w:sz w:val="22"/>
          <w:szCs w:val="22"/>
        </w:rPr>
      </w:pPr>
      <w:hyperlink w:anchor="_Toc468449989" w:history="1">
        <w:r w:rsidR="007D1CC7" w:rsidRPr="0082311F">
          <w:rPr>
            <w:rStyle w:val="Hyperlink"/>
            <w:noProof/>
          </w:rPr>
          <w:t>1.2</w:t>
        </w:r>
        <w:r w:rsidR="007D1CC7">
          <w:rPr>
            <w:rFonts w:asciiTheme="minorHAnsi" w:eastAsiaTheme="minorEastAsia" w:hAnsiTheme="minorHAnsi" w:cstheme="minorBidi"/>
            <w:noProof/>
            <w:sz w:val="22"/>
            <w:szCs w:val="22"/>
          </w:rPr>
          <w:tab/>
        </w:r>
        <w:r w:rsidR="007D1CC7" w:rsidRPr="0082311F">
          <w:rPr>
            <w:rStyle w:val="Hyperlink"/>
            <w:noProof/>
          </w:rPr>
          <w:t>Fund management arrangements</w:t>
        </w:r>
        <w:r w:rsidR="007D1CC7">
          <w:rPr>
            <w:noProof/>
            <w:webHidden/>
          </w:rPr>
          <w:tab/>
        </w:r>
        <w:r w:rsidR="007D1CC7">
          <w:rPr>
            <w:noProof/>
            <w:webHidden/>
          </w:rPr>
          <w:fldChar w:fldCharType="begin"/>
        </w:r>
        <w:r w:rsidR="007D1CC7">
          <w:rPr>
            <w:noProof/>
            <w:webHidden/>
          </w:rPr>
          <w:instrText xml:space="preserve"> PAGEREF _Toc468449989 \h </w:instrText>
        </w:r>
        <w:r w:rsidR="007D1CC7">
          <w:rPr>
            <w:noProof/>
            <w:webHidden/>
          </w:rPr>
        </w:r>
        <w:r w:rsidR="007D1CC7">
          <w:rPr>
            <w:noProof/>
            <w:webHidden/>
          </w:rPr>
          <w:fldChar w:fldCharType="separate"/>
        </w:r>
        <w:r w:rsidR="007D1CC7">
          <w:rPr>
            <w:noProof/>
            <w:webHidden/>
          </w:rPr>
          <w:t>17</w:t>
        </w:r>
        <w:r w:rsidR="007D1CC7">
          <w:rPr>
            <w:noProof/>
            <w:webHidden/>
          </w:rPr>
          <w:fldChar w:fldCharType="end"/>
        </w:r>
      </w:hyperlink>
    </w:p>
    <w:p w14:paraId="691D0836" w14:textId="232D10C2" w:rsidR="007D1CC7" w:rsidRDefault="00A513E4">
      <w:pPr>
        <w:pStyle w:val="TOC2"/>
        <w:rPr>
          <w:rFonts w:asciiTheme="minorHAnsi" w:eastAsiaTheme="minorEastAsia" w:hAnsiTheme="minorHAnsi" w:cstheme="minorBidi"/>
          <w:noProof/>
          <w:sz w:val="22"/>
          <w:szCs w:val="22"/>
        </w:rPr>
      </w:pPr>
      <w:hyperlink w:anchor="_Toc468449990" w:history="1">
        <w:r w:rsidR="007D1CC7" w:rsidRPr="0082311F">
          <w:rPr>
            <w:rStyle w:val="Hyperlink"/>
            <w:noProof/>
          </w:rPr>
          <w:t xml:space="preserve">1.3 </w:t>
        </w:r>
        <w:r w:rsidR="007D1CC7">
          <w:rPr>
            <w:rFonts w:asciiTheme="minorHAnsi" w:eastAsiaTheme="minorEastAsia" w:hAnsiTheme="minorHAnsi" w:cstheme="minorBidi"/>
            <w:noProof/>
            <w:sz w:val="22"/>
            <w:szCs w:val="22"/>
          </w:rPr>
          <w:tab/>
        </w:r>
        <w:r w:rsidR="007D1CC7" w:rsidRPr="0082311F">
          <w:rPr>
            <w:rStyle w:val="Hyperlink"/>
            <w:noProof/>
          </w:rPr>
          <w:t>Fund monitoring and evaluation, and learning</w:t>
        </w:r>
        <w:r w:rsidR="007D1CC7">
          <w:rPr>
            <w:noProof/>
            <w:webHidden/>
          </w:rPr>
          <w:tab/>
        </w:r>
        <w:r w:rsidR="007D1CC7">
          <w:rPr>
            <w:noProof/>
            <w:webHidden/>
          </w:rPr>
          <w:fldChar w:fldCharType="begin"/>
        </w:r>
        <w:r w:rsidR="007D1CC7">
          <w:rPr>
            <w:noProof/>
            <w:webHidden/>
          </w:rPr>
          <w:instrText xml:space="preserve"> PAGEREF _Toc468449990 \h </w:instrText>
        </w:r>
        <w:r w:rsidR="007D1CC7">
          <w:rPr>
            <w:noProof/>
            <w:webHidden/>
          </w:rPr>
        </w:r>
        <w:r w:rsidR="007D1CC7">
          <w:rPr>
            <w:noProof/>
            <w:webHidden/>
          </w:rPr>
          <w:fldChar w:fldCharType="separate"/>
        </w:r>
        <w:r w:rsidR="007D1CC7">
          <w:rPr>
            <w:noProof/>
            <w:webHidden/>
          </w:rPr>
          <w:t>18</w:t>
        </w:r>
        <w:r w:rsidR="007D1CC7">
          <w:rPr>
            <w:noProof/>
            <w:webHidden/>
          </w:rPr>
          <w:fldChar w:fldCharType="end"/>
        </w:r>
      </w:hyperlink>
    </w:p>
    <w:p w14:paraId="19D100CC" w14:textId="530150DE" w:rsidR="007D1CC7" w:rsidRDefault="00A513E4">
      <w:pPr>
        <w:pStyle w:val="TOC2"/>
        <w:rPr>
          <w:rFonts w:asciiTheme="minorHAnsi" w:eastAsiaTheme="minorEastAsia" w:hAnsiTheme="minorHAnsi" w:cstheme="minorBidi"/>
          <w:noProof/>
          <w:sz w:val="22"/>
          <w:szCs w:val="22"/>
        </w:rPr>
      </w:pPr>
      <w:hyperlink w:anchor="_Toc468449991" w:history="1">
        <w:r w:rsidR="007D1CC7" w:rsidRPr="0082311F">
          <w:rPr>
            <w:rStyle w:val="Hyperlink"/>
            <w:noProof/>
          </w:rPr>
          <w:t xml:space="preserve">1.4 </w:t>
        </w:r>
        <w:r w:rsidR="007D1CC7">
          <w:rPr>
            <w:rFonts w:asciiTheme="minorHAnsi" w:eastAsiaTheme="minorEastAsia" w:hAnsiTheme="minorHAnsi" w:cstheme="minorBidi"/>
            <w:noProof/>
            <w:sz w:val="22"/>
            <w:szCs w:val="22"/>
          </w:rPr>
          <w:tab/>
        </w:r>
        <w:r w:rsidR="007D1CC7" w:rsidRPr="0082311F">
          <w:rPr>
            <w:rStyle w:val="Hyperlink"/>
            <w:noProof/>
          </w:rPr>
          <w:t>Fund budget</w:t>
        </w:r>
        <w:r w:rsidR="007D1CC7">
          <w:rPr>
            <w:noProof/>
            <w:webHidden/>
          </w:rPr>
          <w:tab/>
        </w:r>
        <w:r w:rsidR="007D1CC7">
          <w:rPr>
            <w:noProof/>
            <w:webHidden/>
          </w:rPr>
          <w:fldChar w:fldCharType="begin"/>
        </w:r>
        <w:r w:rsidR="007D1CC7">
          <w:rPr>
            <w:noProof/>
            <w:webHidden/>
          </w:rPr>
          <w:instrText xml:space="preserve"> PAGEREF _Toc468449991 \h </w:instrText>
        </w:r>
        <w:r w:rsidR="007D1CC7">
          <w:rPr>
            <w:noProof/>
            <w:webHidden/>
          </w:rPr>
        </w:r>
        <w:r w:rsidR="007D1CC7">
          <w:rPr>
            <w:noProof/>
            <w:webHidden/>
          </w:rPr>
          <w:fldChar w:fldCharType="separate"/>
        </w:r>
        <w:r w:rsidR="007D1CC7">
          <w:rPr>
            <w:noProof/>
            <w:webHidden/>
          </w:rPr>
          <w:t>20</w:t>
        </w:r>
        <w:r w:rsidR="007D1CC7">
          <w:rPr>
            <w:noProof/>
            <w:webHidden/>
          </w:rPr>
          <w:fldChar w:fldCharType="end"/>
        </w:r>
      </w:hyperlink>
    </w:p>
    <w:p w14:paraId="02184B49" w14:textId="59193925" w:rsidR="007D1CC7" w:rsidRDefault="00A513E4">
      <w:pPr>
        <w:pStyle w:val="TOC2"/>
        <w:rPr>
          <w:rFonts w:asciiTheme="minorHAnsi" w:eastAsiaTheme="minorEastAsia" w:hAnsiTheme="minorHAnsi" w:cstheme="minorBidi"/>
          <w:noProof/>
          <w:sz w:val="22"/>
          <w:szCs w:val="22"/>
        </w:rPr>
      </w:pPr>
      <w:hyperlink w:anchor="_Toc468449992" w:history="1">
        <w:r w:rsidR="007D1CC7" w:rsidRPr="0082311F">
          <w:rPr>
            <w:rStyle w:val="Hyperlink"/>
            <w:noProof/>
          </w:rPr>
          <w:t xml:space="preserve">1.5 </w:t>
        </w:r>
        <w:r w:rsidR="007D1CC7">
          <w:rPr>
            <w:rFonts w:asciiTheme="minorHAnsi" w:eastAsiaTheme="minorEastAsia" w:hAnsiTheme="minorHAnsi" w:cstheme="minorBidi"/>
            <w:noProof/>
            <w:sz w:val="22"/>
            <w:szCs w:val="22"/>
          </w:rPr>
          <w:tab/>
        </w:r>
        <w:r w:rsidR="007D1CC7" w:rsidRPr="0082311F">
          <w:rPr>
            <w:rStyle w:val="Hyperlink"/>
            <w:noProof/>
          </w:rPr>
          <w:t>CSO selection and contracting</w:t>
        </w:r>
        <w:r w:rsidR="007D1CC7">
          <w:rPr>
            <w:noProof/>
            <w:webHidden/>
          </w:rPr>
          <w:tab/>
        </w:r>
        <w:r w:rsidR="007D1CC7">
          <w:rPr>
            <w:noProof/>
            <w:webHidden/>
          </w:rPr>
          <w:fldChar w:fldCharType="begin"/>
        </w:r>
        <w:r w:rsidR="007D1CC7">
          <w:rPr>
            <w:noProof/>
            <w:webHidden/>
          </w:rPr>
          <w:instrText xml:space="preserve"> PAGEREF _Toc468449992 \h </w:instrText>
        </w:r>
        <w:r w:rsidR="007D1CC7">
          <w:rPr>
            <w:noProof/>
            <w:webHidden/>
          </w:rPr>
        </w:r>
        <w:r w:rsidR="007D1CC7">
          <w:rPr>
            <w:noProof/>
            <w:webHidden/>
          </w:rPr>
          <w:fldChar w:fldCharType="separate"/>
        </w:r>
        <w:r w:rsidR="007D1CC7">
          <w:rPr>
            <w:noProof/>
            <w:webHidden/>
          </w:rPr>
          <w:t>20</w:t>
        </w:r>
        <w:r w:rsidR="007D1CC7">
          <w:rPr>
            <w:noProof/>
            <w:webHidden/>
          </w:rPr>
          <w:fldChar w:fldCharType="end"/>
        </w:r>
      </w:hyperlink>
    </w:p>
    <w:p w14:paraId="790CD355" w14:textId="2804A702" w:rsidR="007D1CC7" w:rsidRDefault="00A513E4">
      <w:pPr>
        <w:pStyle w:val="TOC1"/>
        <w:rPr>
          <w:rFonts w:asciiTheme="minorHAnsi" w:eastAsiaTheme="minorEastAsia" w:hAnsiTheme="minorHAnsi" w:cstheme="minorBidi"/>
          <w:noProof/>
          <w:color w:val="auto"/>
          <w:sz w:val="22"/>
          <w:szCs w:val="22"/>
        </w:rPr>
      </w:pPr>
      <w:hyperlink w:anchor="_Toc468449993" w:history="1">
        <w:r w:rsidR="007D1CC7" w:rsidRPr="0082311F">
          <w:rPr>
            <w:rStyle w:val="Hyperlink"/>
            <w:noProof/>
          </w:rPr>
          <w:t>2</w:t>
        </w:r>
        <w:r w:rsidR="007D1CC7">
          <w:rPr>
            <w:rFonts w:asciiTheme="minorHAnsi" w:eastAsiaTheme="minorEastAsia" w:hAnsiTheme="minorHAnsi" w:cstheme="minorBidi"/>
            <w:noProof/>
            <w:color w:val="auto"/>
            <w:sz w:val="22"/>
            <w:szCs w:val="22"/>
          </w:rPr>
          <w:tab/>
        </w:r>
        <w:r w:rsidR="007D1CC7" w:rsidRPr="0082311F">
          <w:rPr>
            <w:rStyle w:val="Hyperlink"/>
            <w:noProof/>
          </w:rPr>
          <w:t>Introduction: The evaluation</w:t>
        </w:r>
        <w:r w:rsidR="007D1CC7">
          <w:rPr>
            <w:noProof/>
            <w:webHidden/>
          </w:rPr>
          <w:tab/>
        </w:r>
        <w:r w:rsidR="007D1CC7">
          <w:rPr>
            <w:noProof/>
            <w:webHidden/>
          </w:rPr>
          <w:fldChar w:fldCharType="begin"/>
        </w:r>
        <w:r w:rsidR="007D1CC7">
          <w:rPr>
            <w:noProof/>
            <w:webHidden/>
          </w:rPr>
          <w:instrText xml:space="preserve"> PAGEREF _Toc468449993 \h </w:instrText>
        </w:r>
        <w:r w:rsidR="007D1CC7">
          <w:rPr>
            <w:noProof/>
            <w:webHidden/>
          </w:rPr>
        </w:r>
        <w:r w:rsidR="007D1CC7">
          <w:rPr>
            <w:noProof/>
            <w:webHidden/>
          </w:rPr>
          <w:fldChar w:fldCharType="separate"/>
        </w:r>
        <w:r w:rsidR="007D1CC7">
          <w:rPr>
            <w:noProof/>
            <w:webHidden/>
          </w:rPr>
          <w:t>21</w:t>
        </w:r>
        <w:r w:rsidR="007D1CC7">
          <w:rPr>
            <w:noProof/>
            <w:webHidden/>
          </w:rPr>
          <w:fldChar w:fldCharType="end"/>
        </w:r>
      </w:hyperlink>
    </w:p>
    <w:p w14:paraId="7C145D56" w14:textId="5DCC11D5" w:rsidR="007D1CC7" w:rsidRDefault="00A513E4">
      <w:pPr>
        <w:pStyle w:val="TOC2"/>
        <w:rPr>
          <w:rFonts w:asciiTheme="minorHAnsi" w:eastAsiaTheme="minorEastAsia" w:hAnsiTheme="minorHAnsi" w:cstheme="minorBidi"/>
          <w:noProof/>
          <w:sz w:val="22"/>
          <w:szCs w:val="22"/>
        </w:rPr>
      </w:pPr>
      <w:hyperlink w:anchor="_Toc468449994" w:history="1">
        <w:r w:rsidR="007D1CC7" w:rsidRPr="0082311F">
          <w:rPr>
            <w:rStyle w:val="Hyperlink"/>
            <w:noProof/>
          </w:rPr>
          <w:t>2.1</w:t>
        </w:r>
        <w:r w:rsidR="007D1CC7">
          <w:rPr>
            <w:rFonts w:asciiTheme="minorHAnsi" w:eastAsiaTheme="minorEastAsia" w:hAnsiTheme="minorHAnsi" w:cstheme="minorBidi"/>
            <w:noProof/>
            <w:sz w:val="22"/>
            <w:szCs w:val="22"/>
          </w:rPr>
          <w:tab/>
        </w:r>
        <w:r w:rsidR="007D1CC7" w:rsidRPr="0082311F">
          <w:rPr>
            <w:rStyle w:val="Hyperlink"/>
            <w:noProof/>
          </w:rPr>
          <w:t>Evaluation purpose, audience and scope</w:t>
        </w:r>
        <w:r w:rsidR="007D1CC7">
          <w:rPr>
            <w:noProof/>
            <w:webHidden/>
          </w:rPr>
          <w:tab/>
        </w:r>
        <w:r w:rsidR="007D1CC7">
          <w:rPr>
            <w:noProof/>
            <w:webHidden/>
          </w:rPr>
          <w:fldChar w:fldCharType="begin"/>
        </w:r>
        <w:r w:rsidR="007D1CC7">
          <w:rPr>
            <w:noProof/>
            <w:webHidden/>
          </w:rPr>
          <w:instrText xml:space="preserve"> PAGEREF _Toc468449994 \h </w:instrText>
        </w:r>
        <w:r w:rsidR="007D1CC7">
          <w:rPr>
            <w:noProof/>
            <w:webHidden/>
          </w:rPr>
        </w:r>
        <w:r w:rsidR="007D1CC7">
          <w:rPr>
            <w:noProof/>
            <w:webHidden/>
          </w:rPr>
          <w:fldChar w:fldCharType="separate"/>
        </w:r>
        <w:r w:rsidR="007D1CC7">
          <w:rPr>
            <w:noProof/>
            <w:webHidden/>
          </w:rPr>
          <w:t>21</w:t>
        </w:r>
        <w:r w:rsidR="007D1CC7">
          <w:rPr>
            <w:noProof/>
            <w:webHidden/>
          </w:rPr>
          <w:fldChar w:fldCharType="end"/>
        </w:r>
      </w:hyperlink>
    </w:p>
    <w:p w14:paraId="344DADF2" w14:textId="522F2A5F" w:rsidR="007D1CC7" w:rsidRDefault="00A513E4">
      <w:pPr>
        <w:pStyle w:val="TOC2"/>
        <w:rPr>
          <w:rFonts w:asciiTheme="minorHAnsi" w:eastAsiaTheme="minorEastAsia" w:hAnsiTheme="minorHAnsi" w:cstheme="minorBidi"/>
          <w:noProof/>
          <w:sz w:val="22"/>
          <w:szCs w:val="22"/>
        </w:rPr>
      </w:pPr>
      <w:hyperlink w:anchor="_Toc468449995" w:history="1">
        <w:r w:rsidR="007D1CC7" w:rsidRPr="0082311F">
          <w:rPr>
            <w:rStyle w:val="Hyperlink"/>
            <w:noProof/>
          </w:rPr>
          <w:t>2.2</w:t>
        </w:r>
        <w:r w:rsidR="007D1CC7">
          <w:rPr>
            <w:rFonts w:asciiTheme="minorHAnsi" w:eastAsiaTheme="minorEastAsia" w:hAnsiTheme="minorHAnsi" w:cstheme="minorBidi"/>
            <w:noProof/>
            <w:sz w:val="22"/>
            <w:szCs w:val="22"/>
          </w:rPr>
          <w:tab/>
        </w:r>
        <w:r w:rsidR="007D1CC7" w:rsidRPr="0082311F">
          <w:rPr>
            <w:rStyle w:val="Hyperlink"/>
            <w:noProof/>
          </w:rPr>
          <w:t>Evaluation questions</w:t>
        </w:r>
        <w:r w:rsidR="007D1CC7">
          <w:rPr>
            <w:noProof/>
            <w:webHidden/>
          </w:rPr>
          <w:tab/>
        </w:r>
        <w:r w:rsidR="007D1CC7">
          <w:rPr>
            <w:noProof/>
            <w:webHidden/>
          </w:rPr>
          <w:fldChar w:fldCharType="begin"/>
        </w:r>
        <w:r w:rsidR="007D1CC7">
          <w:rPr>
            <w:noProof/>
            <w:webHidden/>
          </w:rPr>
          <w:instrText xml:space="preserve"> PAGEREF _Toc468449995 \h </w:instrText>
        </w:r>
        <w:r w:rsidR="007D1CC7">
          <w:rPr>
            <w:noProof/>
            <w:webHidden/>
          </w:rPr>
        </w:r>
        <w:r w:rsidR="007D1CC7">
          <w:rPr>
            <w:noProof/>
            <w:webHidden/>
          </w:rPr>
          <w:fldChar w:fldCharType="separate"/>
        </w:r>
        <w:r w:rsidR="007D1CC7">
          <w:rPr>
            <w:noProof/>
            <w:webHidden/>
          </w:rPr>
          <w:t>22</w:t>
        </w:r>
        <w:r w:rsidR="007D1CC7">
          <w:rPr>
            <w:noProof/>
            <w:webHidden/>
          </w:rPr>
          <w:fldChar w:fldCharType="end"/>
        </w:r>
      </w:hyperlink>
    </w:p>
    <w:p w14:paraId="2316E094" w14:textId="41BA6E48" w:rsidR="007D1CC7" w:rsidRDefault="00A513E4">
      <w:pPr>
        <w:pStyle w:val="TOC2"/>
        <w:rPr>
          <w:rFonts w:asciiTheme="minorHAnsi" w:eastAsiaTheme="minorEastAsia" w:hAnsiTheme="minorHAnsi" w:cstheme="minorBidi"/>
          <w:noProof/>
          <w:sz w:val="22"/>
          <w:szCs w:val="22"/>
        </w:rPr>
      </w:pPr>
      <w:hyperlink w:anchor="_Toc468449996" w:history="1">
        <w:r w:rsidR="007D1CC7" w:rsidRPr="0082311F">
          <w:rPr>
            <w:rStyle w:val="Hyperlink"/>
            <w:noProof/>
          </w:rPr>
          <w:t>2.3</w:t>
        </w:r>
        <w:r w:rsidR="007D1CC7">
          <w:rPr>
            <w:rFonts w:asciiTheme="minorHAnsi" w:eastAsiaTheme="minorEastAsia" w:hAnsiTheme="minorHAnsi" w:cstheme="minorBidi"/>
            <w:noProof/>
            <w:sz w:val="22"/>
            <w:szCs w:val="22"/>
          </w:rPr>
          <w:tab/>
        </w:r>
        <w:r w:rsidR="007D1CC7" w:rsidRPr="0082311F">
          <w:rPr>
            <w:rStyle w:val="Hyperlink"/>
            <w:noProof/>
          </w:rPr>
          <w:t>Summary of main methods</w:t>
        </w:r>
        <w:r w:rsidR="007D1CC7">
          <w:rPr>
            <w:noProof/>
            <w:webHidden/>
          </w:rPr>
          <w:tab/>
        </w:r>
        <w:r w:rsidR="007D1CC7">
          <w:rPr>
            <w:noProof/>
            <w:webHidden/>
          </w:rPr>
          <w:fldChar w:fldCharType="begin"/>
        </w:r>
        <w:r w:rsidR="007D1CC7">
          <w:rPr>
            <w:noProof/>
            <w:webHidden/>
          </w:rPr>
          <w:instrText xml:space="preserve"> PAGEREF _Toc468449996 \h </w:instrText>
        </w:r>
        <w:r w:rsidR="007D1CC7">
          <w:rPr>
            <w:noProof/>
            <w:webHidden/>
          </w:rPr>
        </w:r>
        <w:r w:rsidR="007D1CC7">
          <w:rPr>
            <w:noProof/>
            <w:webHidden/>
          </w:rPr>
          <w:fldChar w:fldCharType="separate"/>
        </w:r>
        <w:r w:rsidR="007D1CC7">
          <w:rPr>
            <w:noProof/>
            <w:webHidden/>
          </w:rPr>
          <w:t>22</w:t>
        </w:r>
        <w:r w:rsidR="007D1CC7">
          <w:rPr>
            <w:noProof/>
            <w:webHidden/>
          </w:rPr>
          <w:fldChar w:fldCharType="end"/>
        </w:r>
      </w:hyperlink>
    </w:p>
    <w:p w14:paraId="3FB24211" w14:textId="079794AC" w:rsidR="007D1CC7" w:rsidRDefault="00A513E4">
      <w:pPr>
        <w:pStyle w:val="TOC2"/>
        <w:rPr>
          <w:rFonts w:asciiTheme="minorHAnsi" w:eastAsiaTheme="minorEastAsia" w:hAnsiTheme="minorHAnsi" w:cstheme="minorBidi"/>
          <w:noProof/>
          <w:sz w:val="22"/>
          <w:szCs w:val="22"/>
        </w:rPr>
      </w:pPr>
      <w:hyperlink w:anchor="_Toc468449997" w:history="1">
        <w:r w:rsidR="007D1CC7" w:rsidRPr="0082311F">
          <w:rPr>
            <w:rStyle w:val="Hyperlink"/>
            <w:noProof/>
          </w:rPr>
          <w:t>2.4</w:t>
        </w:r>
        <w:r w:rsidR="007D1CC7">
          <w:rPr>
            <w:rFonts w:asciiTheme="minorHAnsi" w:eastAsiaTheme="minorEastAsia" w:hAnsiTheme="minorHAnsi" w:cstheme="minorBidi"/>
            <w:noProof/>
            <w:sz w:val="22"/>
            <w:szCs w:val="22"/>
          </w:rPr>
          <w:tab/>
        </w:r>
        <w:r w:rsidR="007D1CC7" w:rsidRPr="0082311F">
          <w:rPr>
            <w:rStyle w:val="Hyperlink"/>
            <w:noProof/>
          </w:rPr>
          <w:t>Limitations</w:t>
        </w:r>
        <w:r w:rsidR="007D1CC7">
          <w:rPr>
            <w:noProof/>
            <w:webHidden/>
          </w:rPr>
          <w:tab/>
        </w:r>
        <w:r w:rsidR="007D1CC7">
          <w:rPr>
            <w:noProof/>
            <w:webHidden/>
          </w:rPr>
          <w:fldChar w:fldCharType="begin"/>
        </w:r>
        <w:r w:rsidR="007D1CC7">
          <w:rPr>
            <w:noProof/>
            <w:webHidden/>
          </w:rPr>
          <w:instrText xml:space="preserve"> PAGEREF _Toc468449997 \h </w:instrText>
        </w:r>
        <w:r w:rsidR="007D1CC7">
          <w:rPr>
            <w:noProof/>
            <w:webHidden/>
          </w:rPr>
        </w:r>
        <w:r w:rsidR="007D1CC7">
          <w:rPr>
            <w:noProof/>
            <w:webHidden/>
          </w:rPr>
          <w:fldChar w:fldCharType="separate"/>
        </w:r>
        <w:r w:rsidR="007D1CC7">
          <w:rPr>
            <w:noProof/>
            <w:webHidden/>
          </w:rPr>
          <w:t>24</w:t>
        </w:r>
        <w:r w:rsidR="007D1CC7">
          <w:rPr>
            <w:noProof/>
            <w:webHidden/>
          </w:rPr>
          <w:fldChar w:fldCharType="end"/>
        </w:r>
      </w:hyperlink>
    </w:p>
    <w:p w14:paraId="349D57C6" w14:textId="28FDE314" w:rsidR="007D1CC7" w:rsidRDefault="00A513E4">
      <w:pPr>
        <w:pStyle w:val="TOC1"/>
        <w:rPr>
          <w:rFonts w:asciiTheme="minorHAnsi" w:eastAsiaTheme="minorEastAsia" w:hAnsiTheme="minorHAnsi" w:cstheme="minorBidi"/>
          <w:noProof/>
          <w:color w:val="auto"/>
          <w:sz w:val="22"/>
          <w:szCs w:val="22"/>
        </w:rPr>
      </w:pPr>
      <w:hyperlink w:anchor="_Toc468449998" w:history="1">
        <w:r w:rsidR="007D1CC7" w:rsidRPr="0082311F">
          <w:rPr>
            <w:rStyle w:val="Hyperlink"/>
            <w:noProof/>
          </w:rPr>
          <w:t>3</w:t>
        </w:r>
        <w:r w:rsidR="007D1CC7">
          <w:rPr>
            <w:rFonts w:asciiTheme="minorHAnsi" w:eastAsiaTheme="minorEastAsia" w:hAnsiTheme="minorHAnsi" w:cstheme="minorBidi"/>
            <w:noProof/>
            <w:color w:val="auto"/>
            <w:sz w:val="22"/>
            <w:szCs w:val="22"/>
          </w:rPr>
          <w:tab/>
        </w:r>
        <w:r w:rsidR="007D1CC7" w:rsidRPr="0082311F">
          <w:rPr>
            <w:rStyle w:val="Hyperlink"/>
            <w:noProof/>
          </w:rPr>
          <w:t>Fund management arrangements</w:t>
        </w:r>
        <w:r w:rsidR="007D1CC7">
          <w:rPr>
            <w:noProof/>
            <w:webHidden/>
          </w:rPr>
          <w:tab/>
        </w:r>
        <w:r w:rsidR="007D1CC7">
          <w:rPr>
            <w:noProof/>
            <w:webHidden/>
          </w:rPr>
          <w:fldChar w:fldCharType="begin"/>
        </w:r>
        <w:r w:rsidR="007D1CC7">
          <w:rPr>
            <w:noProof/>
            <w:webHidden/>
          </w:rPr>
          <w:instrText xml:space="preserve"> PAGEREF _Toc468449998 \h </w:instrText>
        </w:r>
        <w:r w:rsidR="007D1CC7">
          <w:rPr>
            <w:noProof/>
            <w:webHidden/>
          </w:rPr>
        </w:r>
        <w:r w:rsidR="007D1CC7">
          <w:rPr>
            <w:noProof/>
            <w:webHidden/>
          </w:rPr>
          <w:fldChar w:fldCharType="separate"/>
        </w:r>
        <w:r w:rsidR="007D1CC7">
          <w:rPr>
            <w:noProof/>
            <w:webHidden/>
          </w:rPr>
          <w:t>25</w:t>
        </w:r>
        <w:r w:rsidR="007D1CC7">
          <w:rPr>
            <w:noProof/>
            <w:webHidden/>
          </w:rPr>
          <w:fldChar w:fldCharType="end"/>
        </w:r>
      </w:hyperlink>
    </w:p>
    <w:p w14:paraId="133D195B" w14:textId="273F7059" w:rsidR="007D1CC7" w:rsidRDefault="00A513E4">
      <w:pPr>
        <w:pStyle w:val="TOC2"/>
        <w:rPr>
          <w:rFonts w:asciiTheme="minorHAnsi" w:eastAsiaTheme="minorEastAsia" w:hAnsiTheme="minorHAnsi" w:cstheme="minorBidi"/>
          <w:noProof/>
          <w:sz w:val="22"/>
          <w:szCs w:val="22"/>
        </w:rPr>
      </w:pPr>
      <w:hyperlink w:anchor="_Toc468449999" w:history="1">
        <w:r w:rsidR="007D1CC7" w:rsidRPr="0082311F">
          <w:rPr>
            <w:rStyle w:val="Hyperlink"/>
            <w:noProof/>
          </w:rPr>
          <w:t>3.1</w:t>
        </w:r>
        <w:r w:rsidR="007D1CC7">
          <w:rPr>
            <w:rFonts w:asciiTheme="minorHAnsi" w:eastAsiaTheme="minorEastAsia" w:hAnsiTheme="minorHAnsi" w:cstheme="minorBidi"/>
            <w:noProof/>
            <w:sz w:val="22"/>
            <w:szCs w:val="22"/>
          </w:rPr>
          <w:tab/>
        </w:r>
        <w:r w:rsidR="007D1CC7" w:rsidRPr="0082311F">
          <w:rPr>
            <w:rStyle w:val="Hyperlink"/>
            <w:noProof/>
          </w:rPr>
          <w:t>Fund management arrangements are appropriate</w:t>
        </w:r>
        <w:r w:rsidR="007D1CC7">
          <w:rPr>
            <w:noProof/>
            <w:webHidden/>
          </w:rPr>
          <w:tab/>
        </w:r>
        <w:r w:rsidR="007D1CC7">
          <w:rPr>
            <w:noProof/>
            <w:webHidden/>
          </w:rPr>
          <w:fldChar w:fldCharType="begin"/>
        </w:r>
        <w:r w:rsidR="007D1CC7">
          <w:rPr>
            <w:noProof/>
            <w:webHidden/>
          </w:rPr>
          <w:instrText xml:space="preserve"> PAGEREF _Toc468449999 \h </w:instrText>
        </w:r>
        <w:r w:rsidR="007D1CC7">
          <w:rPr>
            <w:noProof/>
            <w:webHidden/>
          </w:rPr>
        </w:r>
        <w:r w:rsidR="007D1CC7">
          <w:rPr>
            <w:noProof/>
            <w:webHidden/>
          </w:rPr>
          <w:fldChar w:fldCharType="separate"/>
        </w:r>
        <w:r w:rsidR="007D1CC7">
          <w:rPr>
            <w:noProof/>
            <w:webHidden/>
          </w:rPr>
          <w:t>25</w:t>
        </w:r>
        <w:r w:rsidR="007D1CC7">
          <w:rPr>
            <w:noProof/>
            <w:webHidden/>
          </w:rPr>
          <w:fldChar w:fldCharType="end"/>
        </w:r>
      </w:hyperlink>
    </w:p>
    <w:p w14:paraId="2A02640B" w14:textId="67BCF67D" w:rsidR="007D1CC7" w:rsidRDefault="00A513E4">
      <w:pPr>
        <w:pStyle w:val="TOC2"/>
        <w:rPr>
          <w:rFonts w:asciiTheme="minorHAnsi" w:eastAsiaTheme="minorEastAsia" w:hAnsiTheme="minorHAnsi" w:cstheme="minorBidi"/>
          <w:noProof/>
          <w:sz w:val="22"/>
          <w:szCs w:val="22"/>
        </w:rPr>
      </w:pPr>
      <w:hyperlink w:anchor="_Toc468450000" w:history="1">
        <w:r w:rsidR="007D1CC7" w:rsidRPr="0082311F">
          <w:rPr>
            <w:rStyle w:val="Hyperlink"/>
            <w:noProof/>
          </w:rPr>
          <w:t>3.2</w:t>
        </w:r>
        <w:r w:rsidR="007D1CC7">
          <w:rPr>
            <w:rFonts w:asciiTheme="minorHAnsi" w:eastAsiaTheme="minorEastAsia" w:hAnsiTheme="minorHAnsi" w:cstheme="minorBidi"/>
            <w:noProof/>
            <w:sz w:val="22"/>
            <w:szCs w:val="22"/>
          </w:rPr>
          <w:tab/>
        </w:r>
        <w:r w:rsidR="007D1CC7" w:rsidRPr="0082311F">
          <w:rPr>
            <w:rStyle w:val="Hyperlink"/>
            <w:noProof/>
          </w:rPr>
          <w:t>Fund management arrangements are functioning well</w:t>
        </w:r>
        <w:r w:rsidR="007D1CC7">
          <w:rPr>
            <w:noProof/>
            <w:webHidden/>
          </w:rPr>
          <w:tab/>
        </w:r>
        <w:r w:rsidR="007D1CC7">
          <w:rPr>
            <w:noProof/>
            <w:webHidden/>
          </w:rPr>
          <w:fldChar w:fldCharType="begin"/>
        </w:r>
        <w:r w:rsidR="007D1CC7">
          <w:rPr>
            <w:noProof/>
            <w:webHidden/>
          </w:rPr>
          <w:instrText xml:space="preserve"> PAGEREF _Toc468450000 \h </w:instrText>
        </w:r>
        <w:r w:rsidR="007D1CC7">
          <w:rPr>
            <w:noProof/>
            <w:webHidden/>
          </w:rPr>
        </w:r>
        <w:r w:rsidR="007D1CC7">
          <w:rPr>
            <w:noProof/>
            <w:webHidden/>
          </w:rPr>
          <w:fldChar w:fldCharType="separate"/>
        </w:r>
        <w:r w:rsidR="007D1CC7">
          <w:rPr>
            <w:noProof/>
            <w:webHidden/>
          </w:rPr>
          <w:t>26</w:t>
        </w:r>
        <w:r w:rsidR="007D1CC7">
          <w:rPr>
            <w:noProof/>
            <w:webHidden/>
          </w:rPr>
          <w:fldChar w:fldCharType="end"/>
        </w:r>
      </w:hyperlink>
    </w:p>
    <w:p w14:paraId="38C4C560" w14:textId="604A8F3F" w:rsidR="007D1CC7" w:rsidRDefault="00A513E4">
      <w:pPr>
        <w:pStyle w:val="TOC2"/>
        <w:rPr>
          <w:rFonts w:asciiTheme="minorHAnsi" w:eastAsiaTheme="minorEastAsia" w:hAnsiTheme="minorHAnsi" w:cstheme="minorBidi"/>
          <w:noProof/>
          <w:sz w:val="22"/>
          <w:szCs w:val="22"/>
        </w:rPr>
      </w:pPr>
      <w:hyperlink w:anchor="_Toc468450001" w:history="1">
        <w:r w:rsidR="007D1CC7" w:rsidRPr="0082311F">
          <w:rPr>
            <w:rStyle w:val="Hyperlink"/>
            <w:noProof/>
          </w:rPr>
          <w:t>3.3</w:t>
        </w:r>
        <w:r w:rsidR="007D1CC7">
          <w:rPr>
            <w:rFonts w:asciiTheme="minorHAnsi" w:eastAsiaTheme="minorEastAsia" w:hAnsiTheme="minorHAnsi" w:cstheme="minorBidi"/>
            <w:noProof/>
            <w:sz w:val="22"/>
            <w:szCs w:val="22"/>
          </w:rPr>
          <w:tab/>
        </w:r>
        <w:r w:rsidR="007D1CC7" w:rsidRPr="0082311F">
          <w:rPr>
            <w:rStyle w:val="Hyperlink"/>
            <w:noProof/>
          </w:rPr>
          <w:t>Strengths of Fund management arrangements</w:t>
        </w:r>
        <w:r w:rsidR="007D1CC7">
          <w:rPr>
            <w:noProof/>
            <w:webHidden/>
          </w:rPr>
          <w:tab/>
        </w:r>
        <w:r w:rsidR="007D1CC7">
          <w:rPr>
            <w:noProof/>
            <w:webHidden/>
          </w:rPr>
          <w:fldChar w:fldCharType="begin"/>
        </w:r>
        <w:r w:rsidR="007D1CC7">
          <w:rPr>
            <w:noProof/>
            <w:webHidden/>
          </w:rPr>
          <w:instrText xml:space="preserve"> PAGEREF _Toc468450001 \h </w:instrText>
        </w:r>
        <w:r w:rsidR="007D1CC7">
          <w:rPr>
            <w:noProof/>
            <w:webHidden/>
          </w:rPr>
        </w:r>
        <w:r w:rsidR="007D1CC7">
          <w:rPr>
            <w:noProof/>
            <w:webHidden/>
          </w:rPr>
          <w:fldChar w:fldCharType="separate"/>
        </w:r>
        <w:r w:rsidR="007D1CC7">
          <w:rPr>
            <w:noProof/>
            <w:webHidden/>
          </w:rPr>
          <w:t>26</w:t>
        </w:r>
        <w:r w:rsidR="007D1CC7">
          <w:rPr>
            <w:noProof/>
            <w:webHidden/>
          </w:rPr>
          <w:fldChar w:fldCharType="end"/>
        </w:r>
      </w:hyperlink>
    </w:p>
    <w:p w14:paraId="6FD4C35F" w14:textId="6A9B28B1" w:rsidR="007D1CC7" w:rsidRDefault="00A513E4">
      <w:pPr>
        <w:pStyle w:val="TOC2"/>
        <w:tabs>
          <w:tab w:val="left" w:pos="8654"/>
        </w:tabs>
        <w:rPr>
          <w:rFonts w:asciiTheme="minorHAnsi" w:eastAsiaTheme="minorEastAsia" w:hAnsiTheme="minorHAnsi" w:cstheme="minorBidi"/>
          <w:noProof/>
          <w:sz w:val="22"/>
          <w:szCs w:val="22"/>
        </w:rPr>
      </w:pPr>
      <w:hyperlink w:anchor="_Toc468450002" w:history="1">
        <w:r w:rsidR="007D1CC7" w:rsidRPr="0082311F">
          <w:rPr>
            <w:rStyle w:val="Hyperlink"/>
            <w:noProof/>
          </w:rPr>
          <w:t>3.4</w:t>
        </w:r>
        <w:r w:rsidR="007D1CC7">
          <w:rPr>
            <w:rFonts w:asciiTheme="minorHAnsi" w:eastAsiaTheme="minorEastAsia" w:hAnsiTheme="minorHAnsi" w:cstheme="minorBidi"/>
            <w:noProof/>
            <w:sz w:val="22"/>
            <w:szCs w:val="22"/>
          </w:rPr>
          <w:tab/>
        </w:r>
        <w:r w:rsidR="007D1CC7" w:rsidRPr="0082311F">
          <w:rPr>
            <w:rStyle w:val="Hyperlink"/>
            <w:noProof/>
          </w:rPr>
          <w:t>Improving the Fund’s effectiveness and efficiency</w:t>
        </w:r>
        <w:r w:rsidR="007D1CC7">
          <w:rPr>
            <w:noProof/>
            <w:webHidden/>
          </w:rPr>
          <w:tab/>
        </w:r>
        <w:r w:rsidR="007D1CC7">
          <w:rPr>
            <w:noProof/>
            <w:webHidden/>
          </w:rPr>
          <w:fldChar w:fldCharType="begin"/>
        </w:r>
        <w:r w:rsidR="007D1CC7">
          <w:rPr>
            <w:noProof/>
            <w:webHidden/>
          </w:rPr>
          <w:instrText xml:space="preserve"> PAGEREF _Toc468450002 \h </w:instrText>
        </w:r>
        <w:r w:rsidR="007D1CC7">
          <w:rPr>
            <w:noProof/>
            <w:webHidden/>
          </w:rPr>
        </w:r>
        <w:r w:rsidR="007D1CC7">
          <w:rPr>
            <w:noProof/>
            <w:webHidden/>
          </w:rPr>
          <w:fldChar w:fldCharType="separate"/>
        </w:r>
        <w:r w:rsidR="007D1CC7">
          <w:rPr>
            <w:noProof/>
            <w:webHidden/>
          </w:rPr>
          <w:t>29</w:t>
        </w:r>
        <w:r w:rsidR="007D1CC7">
          <w:rPr>
            <w:noProof/>
            <w:webHidden/>
          </w:rPr>
          <w:fldChar w:fldCharType="end"/>
        </w:r>
      </w:hyperlink>
    </w:p>
    <w:p w14:paraId="50580900" w14:textId="2C585DBE" w:rsidR="007D1CC7" w:rsidRDefault="00A513E4">
      <w:pPr>
        <w:pStyle w:val="TOC2"/>
        <w:rPr>
          <w:rFonts w:asciiTheme="minorHAnsi" w:eastAsiaTheme="minorEastAsia" w:hAnsiTheme="minorHAnsi" w:cstheme="minorBidi"/>
          <w:noProof/>
          <w:sz w:val="22"/>
          <w:szCs w:val="22"/>
        </w:rPr>
      </w:pPr>
      <w:hyperlink w:anchor="_Toc468450003" w:history="1">
        <w:r w:rsidR="007D1CC7" w:rsidRPr="0082311F">
          <w:rPr>
            <w:rStyle w:val="Hyperlink"/>
            <w:noProof/>
          </w:rPr>
          <w:t>3.5</w:t>
        </w:r>
        <w:r w:rsidR="007D1CC7">
          <w:rPr>
            <w:rFonts w:asciiTheme="minorHAnsi" w:eastAsiaTheme="minorEastAsia" w:hAnsiTheme="minorHAnsi" w:cstheme="minorBidi"/>
            <w:noProof/>
            <w:sz w:val="22"/>
            <w:szCs w:val="22"/>
          </w:rPr>
          <w:tab/>
        </w:r>
        <w:r w:rsidR="007D1CC7" w:rsidRPr="0082311F">
          <w:rPr>
            <w:rStyle w:val="Hyperlink"/>
            <w:noProof/>
          </w:rPr>
          <w:t>Fund management costs are relatively high but are justified</w:t>
        </w:r>
        <w:r w:rsidR="007D1CC7">
          <w:rPr>
            <w:noProof/>
            <w:webHidden/>
          </w:rPr>
          <w:tab/>
        </w:r>
        <w:r w:rsidR="007D1CC7">
          <w:rPr>
            <w:noProof/>
            <w:webHidden/>
          </w:rPr>
          <w:fldChar w:fldCharType="begin"/>
        </w:r>
        <w:r w:rsidR="007D1CC7">
          <w:rPr>
            <w:noProof/>
            <w:webHidden/>
          </w:rPr>
          <w:instrText xml:space="preserve"> PAGEREF _Toc468450003 \h </w:instrText>
        </w:r>
        <w:r w:rsidR="007D1CC7">
          <w:rPr>
            <w:noProof/>
            <w:webHidden/>
          </w:rPr>
        </w:r>
        <w:r w:rsidR="007D1CC7">
          <w:rPr>
            <w:noProof/>
            <w:webHidden/>
          </w:rPr>
          <w:fldChar w:fldCharType="separate"/>
        </w:r>
        <w:r w:rsidR="007D1CC7">
          <w:rPr>
            <w:noProof/>
            <w:webHidden/>
          </w:rPr>
          <w:t>35</w:t>
        </w:r>
        <w:r w:rsidR="007D1CC7">
          <w:rPr>
            <w:noProof/>
            <w:webHidden/>
          </w:rPr>
          <w:fldChar w:fldCharType="end"/>
        </w:r>
      </w:hyperlink>
    </w:p>
    <w:p w14:paraId="5C5E17A5" w14:textId="3AD631F5" w:rsidR="007D1CC7" w:rsidRDefault="00A513E4">
      <w:pPr>
        <w:pStyle w:val="TOC2"/>
        <w:rPr>
          <w:rFonts w:asciiTheme="minorHAnsi" w:eastAsiaTheme="minorEastAsia" w:hAnsiTheme="minorHAnsi" w:cstheme="minorBidi"/>
          <w:noProof/>
          <w:sz w:val="22"/>
          <w:szCs w:val="22"/>
        </w:rPr>
      </w:pPr>
      <w:hyperlink w:anchor="_Toc468450004" w:history="1">
        <w:r w:rsidR="007D1CC7" w:rsidRPr="0082311F">
          <w:rPr>
            <w:rStyle w:val="Hyperlink"/>
            <w:noProof/>
          </w:rPr>
          <w:t>3.6</w:t>
        </w:r>
        <w:r w:rsidR="007D1CC7">
          <w:rPr>
            <w:rFonts w:asciiTheme="minorHAnsi" w:eastAsiaTheme="minorEastAsia" w:hAnsiTheme="minorHAnsi" w:cstheme="minorBidi"/>
            <w:noProof/>
            <w:sz w:val="22"/>
            <w:szCs w:val="22"/>
          </w:rPr>
          <w:tab/>
        </w:r>
        <w:r w:rsidR="007D1CC7" w:rsidRPr="0082311F">
          <w:rPr>
            <w:rStyle w:val="Hyperlink"/>
            <w:noProof/>
          </w:rPr>
          <w:t>Moving forward</w:t>
        </w:r>
        <w:r w:rsidR="007D1CC7">
          <w:rPr>
            <w:noProof/>
            <w:webHidden/>
          </w:rPr>
          <w:tab/>
        </w:r>
        <w:r w:rsidR="007D1CC7">
          <w:rPr>
            <w:noProof/>
            <w:webHidden/>
          </w:rPr>
          <w:fldChar w:fldCharType="begin"/>
        </w:r>
        <w:r w:rsidR="007D1CC7">
          <w:rPr>
            <w:noProof/>
            <w:webHidden/>
          </w:rPr>
          <w:instrText xml:space="preserve"> PAGEREF _Toc468450004 \h </w:instrText>
        </w:r>
        <w:r w:rsidR="007D1CC7">
          <w:rPr>
            <w:noProof/>
            <w:webHidden/>
          </w:rPr>
        </w:r>
        <w:r w:rsidR="007D1CC7">
          <w:rPr>
            <w:noProof/>
            <w:webHidden/>
          </w:rPr>
          <w:fldChar w:fldCharType="separate"/>
        </w:r>
        <w:r w:rsidR="007D1CC7">
          <w:rPr>
            <w:noProof/>
            <w:webHidden/>
          </w:rPr>
          <w:t>39</w:t>
        </w:r>
        <w:r w:rsidR="007D1CC7">
          <w:rPr>
            <w:noProof/>
            <w:webHidden/>
          </w:rPr>
          <w:fldChar w:fldCharType="end"/>
        </w:r>
      </w:hyperlink>
    </w:p>
    <w:p w14:paraId="20BDFC32" w14:textId="2BC2272E" w:rsidR="007D1CC7" w:rsidRDefault="00A513E4">
      <w:pPr>
        <w:pStyle w:val="TOC1"/>
        <w:rPr>
          <w:rFonts w:asciiTheme="minorHAnsi" w:eastAsiaTheme="minorEastAsia" w:hAnsiTheme="minorHAnsi" w:cstheme="minorBidi"/>
          <w:noProof/>
          <w:color w:val="auto"/>
          <w:sz w:val="22"/>
          <w:szCs w:val="22"/>
        </w:rPr>
      </w:pPr>
      <w:hyperlink w:anchor="_Toc468450005" w:history="1">
        <w:r w:rsidR="007D1CC7" w:rsidRPr="0082311F">
          <w:rPr>
            <w:rStyle w:val="Hyperlink"/>
            <w:noProof/>
          </w:rPr>
          <w:t>4</w:t>
        </w:r>
        <w:r w:rsidR="007D1CC7">
          <w:rPr>
            <w:rFonts w:asciiTheme="minorHAnsi" w:eastAsiaTheme="minorEastAsia" w:hAnsiTheme="minorHAnsi" w:cstheme="minorBidi"/>
            <w:noProof/>
            <w:color w:val="auto"/>
            <w:sz w:val="22"/>
            <w:szCs w:val="22"/>
          </w:rPr>
          <w:tab/>
        </w:r>
        <w:r w:rsidR="007D1CC7" w:rsidRPr="0082311F">
          <w:rPr>
            <w:rStyle w:val="Hyperlink"/>
            <w:noProof/>
          </w:rPr>
          <w:t>CSO Selection</w:t>
        </w:r>
        <w:r w:rsidR="007D1CC7">
          <w:rPr>
            <w:noProof/>
            <w:webHidden/>
          </w:rPr>
          <w:tab/>
        </w:r>
        <w:r w:rsidR="007D1CC7">
          <w:rPr>
            <w:noProof/>
            <w:webHidden/>
          </w:rPr>
          <w:fldChar w:fldCharType="begin"/>
        </w:r>
        <w:r w:rsidR="007D1CC7">
          <w:rPr>
            <w:noProof/>
            <w:webHidden/>
          </w:rPr>
          <w:instrText xml:space="preserve"> PAGEREF _Toc468450005 \h </w:instrText>
        </w:r>
        <w:r w:rsidR="007D1CC7">
          <w:rPr>
            <w:noProof/>
            <w:webHidden/>
          </w:rPr>
        </w:r>
        <w:r w:rsidR="007D1CC7">
          <w:rPr>
            <w:noProof/>
            <w:webHidden/>
          </w:rPr>
          <w:fldChar w:fldCharType="separate"/>
        </w:r>
        <w:r w:rsidR="007D1CC7">
          <w:rPr>
            <w:noProof/>
            <w:webHidden/>
          </w:rPr>
          <w:t>41</w:t>
        </w:r>
        <w:r w:rsidR="007D1CC7">
          <w:rPr>
            <w:noProof/>
            <w:webHidden/>
          </w:rPr>
          <w:fldChar w:fldCharType="end"/>
        </w:r>
      </w:hyperlink>
    </w:p>
    <w:p w14:paraId="3380C92E" w14:textId="70EAAD96" w:rsidR="007D1CC7" w:rsidRDefault="00A513E4">
      <w:pPr>
        <w:pStyle w:val="TOC2"/>
        <w:rPr>
          <w:rFonts w:asciiTheme="minorHAnsi" w:eastAsiaTheme="minorEastAsia" w:hAnsiTheme="minorHAnsi" w:cstheme="minorBidi"/>
          <w:noProof/>
          <w:sz w:val="22"/>
          <w:szCs w:val="22"/>
        </w:rPr>
      </w:pPr>
      <w:hyperlink w:anchor="_Toc468450006" w:history="1">
        <w:r w:rsidR="007D1CC7" w:rsidRPr="0082311F">
          <w:rPr>
            <w:rStyle w:val="Hyperlink"/>
            <w:noProof/>
          </w:rPr>
          <w:t>4.1</w:t>
        </w:r>
        <w:r w:rsidR="007D1CC7">
          <w:rPr>
            <w:rFonts w:asciiTheme="minorHAnsi" w:eastAsiaTheme="minorEastAsia" w:hAnsiTheme="minorHAnsi" w:cstheme="minorBidi"/>
            <w:noProof/>
            <w:sz w:val="22"/>
            <w:szCs w:val="22"/>
          </w:rPr>
          <w:tab/>
        </w:r>
        <w:r w:rsidR="007D1CC7" w:rsidRPr="0082311F">
          <w:rPr>
            <w:rStyle w:val="Hyperlink"/>
            <w:noProof/>
          </w:rPr>
          <w:t>Improving the Fund’s CSO selection process</w:t>
        </w:r>
        <w:r w:rsidR="007D1CC7">
          <w:rPr>
            <w:noProof/>
            <w:webHidden/>
          </w:rPr>
          <w:tab/>
        </w:r>
        <w:r w:rsidR="007D1CC7">
          <w:rPr>
            <w:noProof/>
            <w:webHidden/>
          </w:rPr>
          <w:fldChar w:fldCharType="begin"/>
        </w:r>
        <w:r w:rsidR="007D1CC7">
          <w:rPr>
            <w:noProof/>
            <w:webHidden/>
          </w:rPr>
          <w:instrText xml:space="preserve"> PAGEREF _Toc468450006 \h </w:instrText>
        </w:r>
        <w:r w:rsidR="007D1CC7">
          <w:rPr>
            <w:noProof/>
            <w:webHidden/>
          </w:rPr>
        </w:r>
        <w:r w:rsidR="007D1CC7">
          <w:rPr>
            <w:noProof/>
            <w:webHidden/>
          </w:rPr>
          <w:fldChar w:fldCharType="separate"/>
        </w:r>
        <w:r w:rsidR="007D1CC7">
          <w:rPr>
            <w:noProof/>
            <w:webHidden/>
          </w:rPr>
          <w:t>41</w:t>
        </w:r>
        <w:r w:rsidR="007D1CC7">
          <w:rPr>
            <w:noProof/>
            <w:webHidden/>
          </w:rPr>
          <w:fldChar w:fldCharType="end"/>
        </w:r>
      </w:hyperlink>
    </w:p>
    <w:p w14:paraId="6EB2BA55" w14:textId="6EE4E08A" w:rsidR="007D1CC7" w:rsidRDefault="00A513E4">
      <w:pPr>
        <w:pStyle w:val="TOC2"/>
        <w:rPr>
          <w:rFonts w:asciiTheme="minorHAnsi" w:eastAsiaTheme="minorEastAsia" w:hAnsiTheme="minorHAnsi" w:cstheme="minorBidi"/>
          <w:noProof/>
          <w:sz w:val="22"/>
          <w:szCs w:val="22"/>
        </w:rPr>
      </w:pPr>
      <w:hyperlink w:anchor="_Toc468450007" w:history="1">
        <w:r w:rsidR="007D1CC7" w:rsidRPr="0082311F">
          <w:rPr>
            <w:rStyle w:val="Hyperlink"/>
            <w:noProof/>
          </w:rPr>
          <w:t>4.2</w:t>
        </w:r>
        <w:r w:rsidR="007D1CC7">
          <w:rPr>
            <w:rFonts w:asciiTheme="minorHAnsi" w:eastAsiaTheme="minorEastAsia" w:hAnsiTheme="minorHAnsi" w:cstheme="minorBidi"/>
            <w:noProof/>
            <w:sz w:val="22"/>
            <w:szCs w:val="22"/>
          </w:rPr>
          <w:tab/>
        </w:r>
        <w:r w:rsidR="007D1CC7" w:rsidRPr="0082311F">
          <w:rPr>
            <w:rStyle w:val="Hyperlink"/>
            <w:noProof/>
          </w:rPr>
          <w:t>General satisfaction with the Fund’s inception phase</w:t>
        </w:r>
        <w:r w:rsidR="007D1CC7">
          <w:rPr>
            <w:noProof/>
            <w:webHidden/>
          </w:rPr>
          <w:tab/>
        </w:r>
        <w:r w:rsidR="007D1CC7">
          <w:rPr>
            <w:noProof/>
            <w:webHidden/>
          </w:rPr>
          <w:fldChar w:fldCharType="begin"/>
        </w:r>
        <w:r w:rsidR="007D1CC7">
          <w:rPr>
            <w:noProof/>
            <w:webHidden/>
          </w:rPr>
          <w:instrText xml:space="preserve"> PAGEREF _Toc468450007 \h </w:instrText>
        </w:r>
        <w:r w:rsidR="007D1CC7">
          <w:rPr>
            <w:noProof/>
            <w:webHidden/>
          </w:rPr>
        </w:r>
        <w:r w:rsidR="007D1CC7">
          <w:rPr>
            <w:noProof/>
            <w:webHidden/>
          </w:rPr>
          <w:fldChar w:fldCharType="separate"/>
        </w:r>
        <w:r w:rsidR="007D1CC7">
          <w:rPr>
            <w:noProof/>
            <w:webHidden/>
          </w:rPr>
          <w:t>48</w:t>
        </w:r>
        <w:r w:rsidR="007D1CC7">
          <w:rPr>
            <w:noProof/>
            <w:webHidden/>
          </w:rPr>
          <w:fldChar w:fldCharType="end"/>
        </w:r>
      </w:hyperlink>
    </w:p>
    <w:p w14:paraId="59A339CD" w14:textId="4761720F" w:rsidR="007D1CC7" w:rsidRDefault="00A513E4">
      <w:pPr>
        <w:pStyle w:val="TOC2"/>
        <w:rPr>
          <w:rFonts w:asciiTheme="minorHAnsi" w:eastAsiaTheme="minorEastAsia" w:hAnsiTheme="minorHAnsi" w:cstheme="minorBidi"/>
          <w:noProof/>
          <w:sz w:val="22"/>
          <w:szCs w:val="22"/>
        </w:rPr>
      </w:pPr>
      <w:hyperlink w:anchor="_Toc468450008" w:history="1">
        <w:r w:rsidR="007D1CC7" w:rsidRPr="0082311F">
          <w:rPr>
            <w:rStyle w:val="Hyperlink"/>
            <w:noProof/>
          </w:rPr>
          <w:t>4.3</w:t>
        </w:r>
        <w:r w:rsidR="007D1CC7">
          <w:rPr>
            <w:rFonts w:asciiTheme="minorHAnsi" w:eastAsiaTheme="minorEastAsia" w:hAnsiTheme="minorHAnsi" w:cstheme="minorBidi"/>
            <w:noProof/>
            <w:sz w:val="22"/>
            <w:szCs w:val="22"/>
          </w:rPr>
          <w:tab/>
        </w:r>
        <w:r w:rsidR="007D1CC7" w:rsidRPr="0082311F">
          <w:rPr>
            <w:rStyle w:val="Hyperlink"/>
            <w:noProof/>
          </w:rPr>
          <w:t>Conclusion</w:t>
        </w:r>
        <w:r w:rsidR="007D1CC7">
          <w:rPr>
            <w:noProof/>
            <w:webHidden/>
          </w:rPr>
          <w:tab/>
        </w:r>
        <w:r w:rsidR="007D1CC7">
          <w:rPr>
            <w:noProof/>
            <w:webHidden/>
          </w:rPr>
          <w:fldChar w:fldCharType="begin"/>
        </w:r>
        <w:r w:rsidR="007D1CC7">
          <w:rPr>
            <w:noProof/>
            <w:webHidden/>
          </w:rPr>
          <w:instrText xml:space="preserve"> PAGEREF _Toc468450008 \h </w:instrText>
        </w:r>
        <w:r w:rsidR="007D1CC7">
          <w:rPr>
            <w:noProof/>
            <w:webHidden/>
          </w:rPr>
        </w:r>
        <w:r w:rsidR="007D1CC7">
          <w:rPr>
            <w:noProof/>
            <w:webHidden/>
          </w:rPr>
          <w:fldChar w:fldCharType="separate"/>
        </w:r>
        <w:r w:rsidR="007D1CC7">
          <w:rPr>
            <w:noProof/>
            <w:webHidden/>
          </w:rPr>
          <w:t>50</w:t>
        </w:r>
        <w:r w:rsidR="007D1CC7">
          <w:rPr>
            <w:noProof/>
            <w:webHidden/>
          </w:rPr>
          <w:fldChar w:fldCharType="end"/>
        </w:r>
      </w:hyperlink>
    </w:p>
    <w:p w14:paraId="65ED4F1A" w14:textId="43701795" w:rsidR="007D1CC7" w:rsidRDefault="00A513E4">
      <w:pPr>
        <w:pStyle w:val="TOC1"/>
        <w:rPr>
          <w:rFonts w:asciiTheme="minorHAnsi" w:eastAsiaTheme="minorEastAsia" w:hAnsiTheme="minorHAnsi" w:cstheme="minorBidi"/>
          <w:noProof/>
          <w:color w:val="auto"/>
          <w:sz w:val="22"/>
          <w:szCs w:val="22"/>
        </w:rPr>
      </w:pPr>
      <w:hyperlink w:anchor="_Toc468450009" w:history="1">
        <w:r w:rsidR="007D1CC7" w:rsidRPr="0082311F">
          <w:rPr>
            <w:rStyle w:val="Hyperlink"/>
            <w:noProof/>
          </w:rPr>
          <w:t>Glossary</w:t>
        </w:r>
        <w:r w:rsidR="007D1CC7">
          <w:rPr>
            <w:noProof/>
            <w:webHidden/>
          </w:rPr>
          <w:tab/>
        </w:r>
        <w:r w:rsidR="007D1CC7">
          <w:rPr>
            <w:noProof/>
            <w:webHidden/>
          </w:rPr>
          <w:fldChar w:fldCharType="begin"/>
        </w:r>
        <w:r w:rsidR="007D1CC7">
          <w:rPr>
            <w:noProof/>
            <w:webHidden/>
          </w:rPr>
          <w:instrText xml:space="preserve"> PAGEREF _Toc468450009 \h </w:instrText>
        </w:r>
        <w:r w:rsidR="007D1CC7">
          <w:rPr>
            <w:noProof/>
            <w:webHidden/>
          </w:rPr>
        </w:r>
        <w:r w:rsidR="007D1CC7">
          <w:rPr>
            <w:noProof/>
            <w:webHidden/>
          </w:rPr>
          <w:fldChar w:fldCharType="separate"/>
        </w:r>
        <w:r w:rsidR="007D1CC7">
          <w:rPr>
            <w:noProof/>
            <w:webHidden/>
          </w:rPr>
          <w:t>51</w:t>
        </w:r>
        <w:r w:rsidR="007D1CC7">
          <w:rPr>
            <w:noProof/>
            <w:webHidden/>
          </w:rPr>
          <w:fldChar w:fldCharType="end"/>
        </w:r>
      </w:hyperlink>
    </w:p>
    <w:p w14:paraId="5C008C48" w14:textId="4A95B094" w:rsidR="007D1CC7" w:rsidRDefault="00A513E4">
      <w:pPr>
        <w:pStyle w:val="TOC1"/>
        <w:rPr>
          <w:rFonts w:asciiTheme="minorHAnsi" w:eastAsiaTheme="minorEastAsia" w:hAnsiTheme="minorHAnsi" w:cstheme="minorBidi"/>
          <w:noProof/>
          <w:color w:val="auto"/>
          <w:sz w:val="22"/>
          <w:szCs w:val="22"/>
        </w:rPr>
      </w:pPr>
      <w:hyperlink w:anchor="_Toc468450010" w:history="1">
        <w:r w:rsidR="007D1CC7" w:rsidRPr="0082311F">
          <w:rPr>
            <w:rStyle w:val="Hyperlink"/>
            <w:noProof/>
          </w:rPr>
          <w:t>References</w:t>
        </w:r>
        <w:r w:rsidR="007D1CC7">
          <w:rPr>
            <w:noProof/>
            <w:webHidden/>
          </w:rPr>
          <w:tab/>
        </w:r>
        <w:r w:rsidR="007D1CC7">
          <w:rPr>
            <w:noProof/>
            <w:webHidden/>
          </w:rPr>
          <w:fldChar w:fldCharType="begin"/>
        </w:r>
        <w:r w:rsidR="007D1CC7">
          <w:rPr>
            <w:noProof/>
            <w:webHidden/>
          </w:rPr>
          <w:instrText xml:space="preserve"> PAGEREF _Toc468450010 \h </w:instrText>
        </w:r>
        <w:r w:rsidR="007D1CC7">
          <w:rPr>
            <w:noProof/>
            <w:webHidden/>
          </w:rPr>
        </w:r>
        <w:r w:rsidR="007D1CC7">
          <w:rPr>
            <w:noProof/>
            <w:webHidden/>
          </w:rPr>
          <w:fldChar w:fldCharType="separate"/>
        </w:r>
        <w:r w:rsidR="007D1CC7">
          <w:rPr>
            <w:noProof/>
            <w:webHidden/>
          </w:rPr>
          <w:t>52</w:t>
        </w:r>
        <w:r w:rsidR="007D1CC7">
          <w:rPr>
            <w:noProof/>
            <w:webHidden/>
          </w:rPr>
          <w:fldChar w:fldCharType="end"/>
        </w:r>
      </w:hyperlink>
    </w:p>
    <w:p w14:paraId="1C129F51" w14:textId="59B6CA28" w:rsidR="007D1CC7" w:rsidRDefault="00A513E4">
      <w:pPr>
        <w:pStyle w:val="TOC1"/>
        <w:rPr>
          <w:rFonts w:asciiTheme="minorHAnsi" w:eastAsiaTheme="minorEastAsia" w:hAnsiTheme="minorHAnsi" w:cstheme="minorBidi"/>
          <w:noProof/>
          <w:color w:val="auto"/>
          <w:sz w:val="22"/>
          <w:szCs w:val="22"/>
        </w:rPr>
      </w:pPr>
      <w:hyperlink w:anchor="_Toc468450011" w:history="1">
        <w:r w:rsidR="007D1CC7" w:rsidRPr="0082311F">
          <w:rPr>
            <w:rStyle w:val="Hyperlink"/>
            <w:noProof/>
          </w:rPr>
          <w:t>Annex A: Summary of CSO projects</w:t>
        </w:r>
        <w:r w:rsidR="007D1CC7">
          <w:rPr>
            <w:noProof/>
            <w:webHidden/>
          </w:rPr>
          <w:tab/>
        </w:r>
        <w:r w:rsidR="007D1CC7">
          <w:rPr>
            <w:noProof/>
            <w:webHidden/>
          </w:rPr>
          <w:fldChar w:fldCharType="begin"/>
        </w:r>
        <w:r w:rsidR="007D1CC7">
          <w:rPr>
            <w:noProof/>
            <w:webHidden/>
          </w:rPr>
          <w:instrText xml:space="preserve"> PAGEREF _Toc468450011 \h </w:instrText>
        </w:r>
        <w:r w:rsidR="007D1CC7">
          <w:rPr>
            <w:noProof/>
            <w:webHidden/>
          </w:rPr>
        </w:r>
        <w:r w:rsidR="007D1CC7">
          <w:rPr>
            <w:noProof/>
            <w:webHidden/>
          </w:rPr>
          <w:fldChar w:fldCharType="separate"/>
        </w:r>
        <w:r w:rsidR="007D1CC7">
          <w:rPr>
            <w:noProof/>
            <w:webHidden/>
          </w:rPr>
          <w:t>54</w:t>
        </w:r>
        <w:r w:rsidR="007D1CC7">
          <w:rPr>
            <w:noProof/>
            <w:webHidden/>
          </w:rPr>
          <w:fldChar w:fldCharType="end"/>
        </w:r>
      </w:hyperlink>
    </w:p>
    <w:p w14:paraId="1176B541" w14:textId="34DDA1AA" w:rsidR="007D1CC7" w:rsidRDefault="00A513E4">
      <w:pPr>
        <w:pStyle w:val="TOC1"/>
        <w:rPr>
          <w:rFonts w:asciiTheme="minorHAnsi" w:eastAsiaTheme="minorEastAsia" w:hAnsiTheme="minorHAnsi" w:cstheme="minorBidi"/>
          <w:noProof/>
          <w:color w:val="auto"/>
          <w:sz w:val="22"/>
          <w:szCs w:val="22"/>
        </w:rPr>
      </w:pPr>
      <w:hyperlink w:anchor="_Toc468450012" w:history="1">
        <w:r w:rsidR="007D1CC7" w:rsidRPr="0082311F">
          <w:rPr>
            <w:rStyle w:val="Hyperlink"/>
            <w:noProof/>
          </w:rPr>
          <w:t>Annex B: Fund management: Expected roles and information flows</w:t>
        </w:r>
        <w:r w:rsidR="007D1CC7">
          <w:rPr>
            <w:noProof/>
            <w:webHidden/>
          </w:rPr>
          <w:tab/>
        </w:r>
        <w:r w:rsidR="007D1CC7">
          <w:rPr>
            <w:noProof/>
            <w:webHidden/>
          </w:rPr>
          <w:fldChar w:fldCharType="begin"/>
        </w:r>
        <w:r w:rsidR="007D1CC7">
          <w:rPr>
            <w:noProof/>
            <w:webHidden/>
          </w:rPr>
          <w:instrText xml:space="preserve"> PAGEREF _Toc468450012 \h </w:instrText>
        </w:r>
        <w:r w:rsidR="007D1CC7">
          <w:rPr>
            <w:noProof/>
            <w:webHidden/>
          </w:rPr>
        </w:r>
        <w:r w:rsidR="007D1CC7">
          <w:rPr>
            <w:noProof/>
            <w:webHidden/>
          </w:rPr>
          <w:fldChar w:fldCharType="separate"/>
        </w:r>
        <w:r w:rsidR="007D1CC7">
          <w:rPr>
            <w:noProof/>
            <w:webHidden/>
          </w:rPr>
          <w:t>56</w:t>
        </w:r>
        <w:r w:rsidR="007D1CC7">
          <w:rPr>
            <w:noProof/>
            <w:webHidden/>
          </w:rPr>
          <w:fldChar w:fldCharType="end"/>
        </w:r>
      </w:hyperlink>
    </w:p>
    <w:p w14:paraId="12143564" w14:textId="1C11D59B" w:rsidR="007D1CC7" w:rsidRDefault="00A513E4">
      <w:pPr>
        <w:pStyle w:val="TOC1"/>
        <w:rPr>
          <w:rFonts w:asciiTheme="minorHAnsi" w:eastAsiaTheme="minorEastAsia" w:hAnsiTheme="minorHAnsi" w:cstheme="minorBidi"/>
          <w:noProof/>
          <w:color w:val="auto"/>
          <w:sz w:val="22"/>
          <w:szCs w:val="22"/>
        </w:rPr>
      </w:pPr>
      <w:hyperlink w:anchor="_Toc468450013" w:history="1">
        <w:r w:rsidR="007D1CC7" w:rsidRPr="0082311F">
          <w:rPr>
            <w:rStyle w:val="Hyperlink"/>
            <w:noProof/>
          </w:rPr>
          <w:t>Annex C: Evaluation methods</w:t>
        </w:r>
        <w:r w:rsidR="007D1CC7">
          <w:rPr>
            <w:noProof/>
            <w:webHidden/>
          </w:rPr>
          <w:tab/>
        </w:r>
        <w:r w:rsidR="007D1CC7">
          <w:rPr>
            <w:noProof/>
            <w:webHidden/>
          </w:rPr>
          <w:fldChar w:fldCharType="begin"/>
        </w:r>
        <w:r w:rsidR="007D1CC7">
          <w:rPr>
            <w:noProof/>
            <w:webHidden/>
          </w:rPr>
          <w:instrText xml:space="preserve"> PAGEREF _Toc468450013 \h </w:instrText>
        </w:r>
        <w:r w:rsidR="007D1CC7">
          <w:rPr>
            <w:noProof/>
            <w:webHidden/>
          </w:rPr>
        </w:r>
        <w:r w:rsidR="007D1CC7">
          <w:rPr>
            <w:noProof/>
            <w:webHidden/>
          </w:rPr>
          <w:fldChar w:fldCharType="separate"/>
        </w:r>
        <w:r w:rsidR="007D1CC7">
          <w:rPr>
            <w:noProof/>
            <w:webHidden/>
          </w:rPr>
          <w:t>57</w:t>
        </w:r>
        <w:r w:rsidR="007D1CC7">
          <w:rPr>
            <w:noProof/>
            <w:webHidden/>
          </w:rPr>
          <w:fldChar w:fldCharType="end"/>
        </w:r>
      </w:hyperlink>
    </w:p>
    <w:p w14:paraId="2D9AD3FD" w14:textId="4A2E4DD7" w:rsidR="00B3070C" w:rsidRPr="00DA6290" w:rsidRDefault="0051715B" w:rsidP="00DA6290">
      <w:pPr>
        <w:pStyle w:val="BodyText"/>
      </w:pPr>
      <w:r>
        <w:fldChar w:fldCharType="end"/>
      </w:r>
    </w:p>
    <w:p w14:paraId="27C366B4" w14:textId="77777777" w:rsidR="00611F77" w:rsidRDefault="00611F77" w:rsidP="00B3070C">
      <w:pPr>
        <w:pStyle w:val="BodyText"/>
      </w:pPr>
    </w:p>
    <w:p w14:paraId="0E47E069" w14:textId="77777777" w:rsidR="0031311B" w:rsidRDefault="0031311B" w:rsidP="00B3070C">
      <w:pPr>
        <w:pStyle w:val="BodyText"/>
      </w:pPr>
    </w:p>
    <w:p w14:paraId="7678C786" w14:textId="77777777" w:rsidR="0031311B" w:rsidRDefault="0031311B" w:rsidP="00B3070C">
      <w:pPr>
        <w:pStyle w:val="BodyText"/>
      </w:pPr>
    </w:p>
    <w:p w14:paraId="128B6667" w14:textId="77777777" w:rsidR="0031311B" w:rsidRDefault="0031311B" w:rsidP="00B3070C">
      <w:pPr>
        <w:pStyle w:val="BodyText"/>
      </w:pPr>
    </w:p>
    <w:p w14:paraId="08E447AD" w14:textId="77777777" w:rsidR="0031311B" w:rsidRDefault="0031311B" w:rsidP="00B3070C">
      <w:pPr>
        <w:pStyle w:val="BodyText"/>
      </w:pPr>
    </w:p>
    <w:p w14:paraId="389E6B8D" w14:textId="77777777" w:rsidR="0031311B" w:rsidRDefault="0031311B" w:rsidP="00B3070C">
      <w:pPr>
        <w:pStyle w:val="BodyText"/>
      </w:pPr>
    </w:p>
    <w:p w14:paraId="3090C070" w14:textId="77777777" w:rsidR="0031311B" w:rsidRDefault="0031311B" w:rsidP="00B3070C">
      <w:pPr>
        <w:pStyle w:val="BodyText"/>
      </w:pPr>
    </w:p>
    <w:p w14:paraId="3C3355B7" w14:textId="77777777" w:rsidR="0031311B" w:rsidRDefault="0031311B" w:rsidP="00B3070C">
      <w:pPr>
        <w:pStyle w:val="BodyText"/>
      </w:pPr>
    </w:p>
    <w:p w14:paraId="186C1CD5" w14:textId="77777777" w:rsidR="0031311B" w:rsidRDefault="0031311B" w:rsidP="00B3070C">
      <w:pPr>
        <w:pStyle w:val="BodyText"/>
      </w:pPr>
    </w:p>
    <w:p w14:paraId="069AD892" w14:textId="77777777" w:rsidR="0031311B" w:rsidRDefault="0031311B" w:rsidP="00B3070C">
      <w:pPr>
        <w:pStyle w:val="BodyText"/>
      </w:pPr>
    </w:p>
    <w:p w14:paraId="7D730D8F" w14:textId="41E34ED3" w:rsidR="00611F77" w:rsidRPr="00033C14" w:rsidRDefault="00611F77" w:rsidP="00033C14">
      <w:pPr>
        <w:pStyle w:val="ImprintText-Copyright"/>
      </w:pPr>
      <w:r w:rsidRPr="00033C14">
        <w:t>© Commonwealth</w:t>
      </w:r>
      <w:r w:rsidR="00033C14">
        <w:t xml:space="preserve"> </w:t>
      </w:r>
      <w:r w:rsidRPr="00033C14">
        <w:t xml:space="preserve">of Australia </w:t>
      </w:r>
      <w:r w:rsidRPr="007572C7">
        <w:t>201</w:t>
      </w:r>
      <w:r w:rsidR="00771CF9" w:rsidRPr="007572C7">
        <w:t>6</w:t>
      </w:r>
      <w:r w:rsidRPr="00033C14">
        <w:t xml:space="preserve"> </w:t>
      </w:r>
      <w:r w:rsidRPr="00033C14">
        <w:rPr>
          <w:rStyle w:val="Strong"/>
        </w:rPr>
        <w:t>ISBN</w:t>
      </w:r>
      <w:r w:rsidRPr="00033C14">
        <w:t xml:space="preserve"> </w:t>
      </w:r>
      <w:r w:rsidR="0038186C" w:rsidRPr="0038186C">
        <w:t>978 0 9944202 6 8</w:t>
      </w:r>
    </w:p>
    <w:p w14:paraId="41DC33D1" w14:textId="3E85C386" w:rsidR="00611F77" w:rsidRPr="00033C14" w:rsidRDefault="00611F77" w:rsidP="00033C14">
      <w:pPr>
        <w:pStyle w:val="ImprintText"/>
      </w:pPr>
      <w:proofErr w:type="gramStart"/>
      <w:r w:rsidRPr="00033C14">
        <w:t xml:space="preserve">Published by the Department of Foreign Affairs and Trade, Canberra, </w:t>
      </w:r>
      <w:r w:rsidRPr="007572C7">
        <w:t>201</w:t>
      </w:r>
      <w:r w:rsidR="00771CF9" w:rsidRPr="007572C7">
        <w:t>6</w:t>
      </w:r>
      <w:r w:rsidRPr="001767DA">
        <w:t>.</w:t>
      </w:r>
      <w:proofErr w:type="gramEnd"/>
    </w:p>
    <w:p w14:paraId="37BC9EFC" w14:textId="77777777" w:rsidR="00611F77" w:rsidRPr="00033C14" w:rsidRDefault="00611F77" w:rsidP="00033C14">
      <w:pPr>
        <w:pStyle w:val="ImprintText"/>
      </w:pPr>
      <w:r w:rsidRPr="00033C14">
        <w:rPr>
          <w:rStyle w:val="Strong"/>
        </w:rPr>
        <w:t>Disclaimer:</w:t>
      </w:r>
      <w:r w:rsidRPr="00033C14">
        <w:t xml:space="preserve"> The views contained in this report do not necessarily represent those of the Australian Government. </w:t>
      </w:r>
    </w:p>
    <w:p w14:paraId="5A2BFD04" w14:textId="2846C689" w:rsidR="00611F77" w:rsidRDefault="00611F77" w:rsidP="00033C14">
      <w:pPr>
        <w:pStyle w:val="ImprintText"/>
      </w:pPr>
      <w:r w:rsidRPr="00033C14">
        <w:t>With the exception of the Commonwealth Coat of Arms and where otherwise noted all material presented in this document is provided under a Creative Commons Attribution 3.0 Australia (</w:t>
      </w:r>
      <w:hyperlink r:id="rId20" w:history="1">
        <w:r w:rsidRPr="00033C14">
          <w:rPr>
            <w:rStyle w:val="Hyperlink"/>
          </w:rPr>
          <w:t>http://creativecommons.org/licenses/by/3.0/au/</w:t>
        </w:r>
      </w:hyperlink>
      <w:r w:rsidRPr="00033C14">
        <w:t>) licence. The</w:t>
      </w:r>
      <w:r w:rsidR="00033C14">
        <w:t> </w:t>
      </w:r>
      <w:r w:rsidRPr="00033C14">
        <w:t xml:space="preserve">details of the relevant licence conditions are available on the Creative Commons website (accessible using the links provided) as is the full legal code for the CC BY 3.0 AU licence </w:t>
      </w:r>
      <w:r w:rsidRPr="00033C14">
        <w:rPr>
          <w:rStyle w:val="Hyperlink"/>
        </w:rPr>
        <w:t>(</w:t>
      </w:r>
      <w:hyperlink r:id="rId21" w:history="1">
        <w:r w:rsidRPr="00033C14">
          <w:rPr>
            <w:rStyle w:val="Hyperlink"/>
          </w:rPr>
          <w:t>http://creativecommons.org/licenses/by/3.0/au/legalcode</w:t>
        </w:r>
      </w:hyperlink>
      <w:r w:rsidRPr="00033C14">
        <w:t>). The</w:t>
      </w:r>
      <w:r w:rsidR="00033C14">
        <w:t> </w:t>
      </w:r>
      <w:r w:rsidRPr="00033C14">
        <w:t xml:space="preserve">document must be attributed as </w:t>
      </w:r>
      <w:r w:rsidR="00771CF9">
        <w:t xml:space="preserve">Evaluation of the management arrangements for the Civil Society WASH Fund. </w:t>
      </w:r>
    </w:p>
    <w:p w14:paraId="649669A1" w14:textId="77777777" w:rsidR="000C79F9" w:rsidRDefault="000C79F9" w:rsidP="00033C14">
      <w:pPr>
        <w:pStyle w:val="ImprintText"/>
        <w:sectPr w:rsidR="000C79F9" w:rsidSect="008E2B34">
          <w:footnotePr>
            <w:numFmt w:val="chicago"/>
            <w:numRestart w:val="eachPage"/>
          </w:footnotePr>
          <w:endnotePr>
            <w:numFmt w:val="decimal"/>
          </w:endnotePr>
          <w:type w:val="continuous"/>
          <w:pgSz w:w="11907" w:h="16840" w:code="9"/>
          <w:pgMar w:top="902" w:right="1701" w:bottom="907" w:left="1701" w:header="851" w:footer="567" w:gutter="0"/>
          <w:pgNumType w:fmt="lowerRoman"/>
          <w:cols w:space="720"/>
          <w:docGrid w:linePitch="326"/>
        </w:sectPr>
      </w:pPr>
    </w:p>
    <w:p w14:paraId="795F23E5" w14:textId="77777777" w:rsidR="00F17D22" w:rsidRDefault="00A72C06" w:rsidP="00A0021E">
      <w:pPr>
        <w:pStyle w:val="Heading1"/>
      </w:pPr>
      <w:bookmarkStart w:id="5" w:name="_Toc468449983"/>
      <w:r w:rsidRPr="00A0021E">
        <w:lastRenderedPageBreak/>
        <w:t>Executive</w:t>
      </w:r>
      <w:r>
        <w:t xml:space="preserve"> summary</w:t>
      </w:r>
      <w:bookmarkEnd w:id="5"/>
    </w:p>
    <w:p w14:paraId="1B6FBE00" w14:textId="77777777" w:rsidR="00985801" w:rsidRDefault="00985801" w:rsidP="00985801">
      <w:pPr>
        <w:pStyle w:val="BodyText"/>
      </w:pPr>
      <w:r>
        <w:t xml:space="preserve">The Civil Society Water, Sanitation and Hygiene Fund </w:t>
      </w:r>
      <w:proofErr w:type="gramStart"/>
      <w:r>
        <w:t>is</w:t>
      </w:r>
      <w:proofErr w:type="gramEnd"/>
      <w:r>
        <w:t xml:space="preserve"> a six year, $103 million program. It supports 13 civil society organisations (CSOs) to implement </w:t>
      </w:r>
      <w:proofErr w:type="gramStart"/>
      <w:r>
        <w:t>29 water, sanitation</w:t>
      </w:r>
      <w:proofErr w:type="gramEnd"/>
      <w:r>
        <w:t xml:space="preserve"> and hygiene (WASH) projects in 19 countries across Asia, Africa and the Pacific. </w:t>
      </w:r>
    </w:p>
    <w:p w14:paraId="28D8C83D" w14:textId="77777777" w:rsidR="00985801" w:rsidRDefault="00985801" w:rsidP="00985801">
      <w:pPr>
        <w:pStyle w:val="BodyText"/>
      </w:pPr>
      <w:r>
        <w:t xml:space="preserve">This evaluation examines the Fund’s management arrangements. These arrangements are relatively unusual, and relatively resource intensive, compared </w:t>
      </w:r>
      <w:proofErr w:type="gramStart"/>
      <w:r>
        <w:t>to</w:t>
      </w:r>
      <w:proofErr w:type="gramEnd"/>
      <w:r>
        <w:t xml:space="preserve"> many other DFAT-funded programs. They include: </w:t>
      </w:r>
    </w:p>
    <w:p w14:paraId="1F869584" w14:textId="77777777" w:rsidR="00985801" w:rsidRDefault="00985801" w:rsidP="00985801">
      <w:pPr>
        <w:pStyle w:val="ListBullet"/>
      </w:pPr>
      <w:r>
        <w:t>Strategic oversight from DFAT’s Water, Sanitation and Hygiene Section (DFAT WSH). This section also holds all major contracts related to the Fund - 17 in total</w:t>
      </w:r>
    </w:p>
    <w:p w14:paraId="0922BC21" w14:textId="77777777" w:rsidR="00985801" w:rsidRDefault="00985801" w:rsidP="00985801">
      <w:pPr>
        <w:pStyle w:val="ListBullet"/>
      </w:pPr>
      <w:r>
        <w:t>Day to day Fund management by a contracted Fund Management Facility (FMF)</w:t>
      </w:r>
    </w:p>
    <w:p w14:paraId="1497E2EE" w14:textId="331CEB5C" w:rsidR="00985801" w:rsidRDefault="00985801" w:rsidP="00985801">
      <w:pPr>
        <w:pStyle w:val="ListBullet"/>
      </w:pPr>
      <w:r>
        <w:t>A K</w:t>
      </w:r>
      <w:r w:rsidR="00001AAD">
        <w:t>nowledge and Learning</w:t>
      </w:r>
      <w:r w:rsidR="00F26D38">
        <w:t xml:space="preserve"> (K&amp;L)</w:t>
      </w:r>
      <w:r w:rsidR="00001AAD">
        <w:t xml:space="preserve"> component</w:t>
      </w:r>
      <w:r>
        <w:t xml:space="preserve"> which aims to generate evidence and facilitate learning between Fund CSOs. This component is managed by the Knowledge and Learning Manager (KALM), who is part of the FMF</w:t>
      </w:r>
    </w:p>
    <w:p w14:paraId="21E98CFE" w14:textId="13ACF0C8" w:rsidR="00985801" w:rsidRDefault="00985801" w:rsidP="00985801">
      <w:pPr>
        <w:pStyle w:val="ListBullet"/>
      </w:pPr>
      <w:r>
        <w:t>An independent Monitoring, Evaluation and Review Panel (MERP) which supports CSO projects and is responsible for Fund</w:t>
      </w:r>
      <w:r w:rsidR="00001AAD">
        <w:t>-wide monitoring and evaluation</w:t>
      </w:r>
    </w:p>
    <w:p w14:paraId="17D2BF86" w14:textId="77777777" w:rsidR="00985801" w:rsidRDefault="00985801" w:rsidP="00985801">
      <w:pPr>
        <w:pStyle w:val="ListBullet"/>
      </w:pPr>
      <w:r>
        <w:t xml:space="preserve">In the countries where Fund projects are implemented DFAT Posts are involved to varying degrees, while CSOs engage with national and sub-national partner governments. </w:t>
      </w:r>
    </w:p>
    <w:p w14:paraId="0B0A2397" w14:textId="7AA5AAFA" w:rsidR="00985801" w:rsidRDefault="00985801" w:rsidP="00985801">
      <w:pPr>
        <w:pStyle w:val="BodyText"/>
      </w:pPr>
      <w:r>
        <w:t>The Office of Development Effectiveness (ODE) has conducted the evaluation because of the relative uniqueness of the management arrangements. The evaluation aims to inform the management arrangements for the remainder of the Fund’s life and the design of the Fund’s next phase. The evaluation also considers the competitive selection process through which CSO grants were awarded and sugges</w:t>
      </w:r>
      <w:r w:rsidR="00001AAD">
        <w:t>ts improvements for the future. The findings will be of interest and relevance to DFAT WSH, other Fund stakeholders, and other parts of DFAT which manage CSO grant programs.</w:t>
      </w:r>
      <w:r>
        <w:t xml:space="preserve"> </w:t>
      </w:r>
    </w:p>
    <w:p w14:paraId="1F041C44" w14:textId="6F9E2331" w:rsidR="00985801" w:rsidRDefault="00985801" w:rsidP="00985801">
      <w:pPr>
        <w:pStyle w:val="BodyText"/>
      </w:pPr>
      <w:r w:rsidRPr="001D4D0B">
        <w:t>Four areas</w:t>
      </w:r>
      <w:r>
        <w:t xml:space="preserve"> are outside the evaluation’s scope. It did not examine the effectiveness of CSO projects. Instead, this is being examined by the MERP through their mid-term review documents, which focus on the Fund’s achievements and approaches to date. The evaluation did not compare the Fund’s delivery mechanism (i.e. a centrally managed grants program for CSOs) with other possible WASH delivery mechanisms, as this issue is less relevant for the design of the Fund’s next phase. It also did not consider different options for Fund management, or examine the Fund’s Innovation and Impact Fund. </w:t>
      </w:r>
    </w:p>
    <w:p w14:paraId="7BBD3052" w14:textId="77777777" w:rsidR="00985801" w:rsidRDefault="00985801" w:rsidP="00985801">
      <w:pPr>
        <w:pStyle w:val="BodyText"/>
      </w:pPr>
      <w:r>
        <w:t xml:space="preserve">The evaluation used four main methods to examine the management arrangements and CSO selection process. First, interviews with key stakeholders were conducted, including DFAT WSH, FMF staff, MERP members, and CSO representatives. Second, an online survey of in-country CSO teams was conducted. This survey was also provided to CSOs who applied for the Fund but were unsuccessful. Third, a review of key Fund documents was conducted. Finally, the Fund was compared to two similar DFAT-funded CSO programs: the Australian NGO Cooperation Program (ANCP) and the Australia-Africa Community Engagement Scheme (AACES). This comparison drew heavily on recent evaluations of these programs. The evaluation’s recommendations were developed through a collaborative process involving the evaluation team, DFAT WSH, the FMF and the MERP.  </w:t>
      </w:r>
    </w:p>
    <w:p w14:paraId="23F3AEE7" w14:textId="77777777" w:rsidR="00985801" w:rsidRDefault="00985801" w:rsidP="00985801">
      <w:pPr>
        <w:pStyle w:val="Heading2"/>
      </w:pPr>
      <w:bookmarkStart w:id="6" w:name="_Toc468449984"/>
      <w:r>
        <w:t>Evaluation findings: Fund management arrangements</w:t>
      </w:r>
      <w:bookmarkEnd w:id="6"/>
    </w:p>
    <w:p w14:paraId="5689AA29" w14:textId="77777777" w:rsidR="00985801" w:rsidRDefault="00985801" w:rsidP="00985801">
      <w:pPr>
        <w:pStyle w:val="BodyText"/>
        <w:rPr>
          <w:rFonts w:eastAsiaTheme="minorHAnsi"/>
        </w:rPr>
      </w:pPr>
      <w:r>
        <w:t xml:space="preserve">The evaluation finds that the Fund’s management arrangements are largely appropriate. The management arrangements are consistent with the broad consensus in DFAT on the elements needed to manage a CSO grants program. They address needs that were identified in reviews of the Fund’s predecessor program. </w:t>
      </w:r>
    </w:p>
    <w:p w14:paraId="7A51C35A" w14:textId="77777777" w:rsidR="00985801" w:rsidRDefault="00985801" w:rsidP="00985801">
      <w:pPr>
        <w:pStyle w:val="BodyText"/>
      </w:pPr>
      <w:r>
        <w:t xml:space="preserve">The evaluation also finds that the Fund’s management arrangements are functioning well and support CSOs to implement high quality WASH projects. The different groups in the </w:t>
      </w:r>
      <w:r>
        <w:lastRenderedPageBreak/>
        <w:t>management team are largely perceived to work in a collaborative, integrated manner which is helpful for CSOs.</w:t>
      </w:r>
    </w:p>
    <w:p w14:paraId="2DC05972" w14:textId="77777777" w:rsidR="00985801" w:rsidRDefault="00985801" w:rsidP="00985801">
      <w:pPr>
        <w:pStyle w:val="BodyText"/>
      </w:pPr>
      <w:r>
        <w:t>The evaluation found the management arrangements have a number of strengths. These provide a strong model which other DFAT programs could learn from and should consider adopting and adapting to suit their needs. The strengths include:</w:t>
      </w:r>
    </w:p>
    <w:p w14:paraId="473426BB" w14:textId="12CC1A17" w:rsidR="00985801" w:rsidRDefault="00985801" w:rsidP="00985801">
      <w:pPr>
        <w:pStyle w:val="ListBullet"/>
      </w:pPr>
      <w:r>
        <w:t>The Fund's focus on knowledge and learning. CSOs commented that, unlike some other donors, DFAT has supported its commitment to knowledge and learning with appropriate resources. The Knowledge and Learning component, and particularly its face to face learning events, has supported</w:t>
      </w:r>
      <w:r w:rsidR="00001AAD">
        <w:t xml:space="preserve"> CSOs to improve their projects.</w:t>
      </w:r>
      <w:r>
        <w:t xml:space="preserve"> 15 of 16 survey respondents stated that learning events had improved their project team’s WASH knowledge and practices either ‘significantly’ or ‘extremely’</w:t>
      </w:r>
    </w:p>
    <w:p w14:paraId="36BEB63E" w14:textId="20B90F3B" w:rsidR="00985801" w:rsidRDefault="00985801" w:rsidP="00985801">
      <w:pPr>
        <w:pStyle w:val="ListBullet"/>
      </w:pPr>
      <w:r>
        <w:t>Elements of the Fund’s performance assessment arrangements</w:t>
      </w:r>
      <w:r w:rsidR="000C58C7">
        <w:t>. This</w:t>
      </w:r>
      <w:r>
        <w:t xml:space="preserve"> particularly</w:t>
      </w:r>
      <w:r w:rsidR="000C58C7">
        <w:t xml:space="preserve"> includes</w:t>
      </w:r>
      <w:r>
        <w:t xml:space="preserve"> the MERP model of having</w:t>
      </w:r>
      <w:r w:rsidR="00F26D38">
        <w:t xml:space="preserve"> monitoring and evaluation</w:t>
      </w:r>
      <w:r>
        <w:t xml:space="preserve"> </w:t>
      </w:r>
      <w:r w:rsidR="00F26D38">
        <w:t>(</w:t>
      </w:r>
      <w:r>
        <w:t>M&amp;E</w:t>
      </w:r>
      <w:r w:rsidR="00F26D38">
        <w:t>)</w:t>
      </w:r>
      <w:r>
        <w:t xml:space="preserve"> experts engaged for the life of the Fund, the MERP support provided to CSOs through monitoring visits and the flexibility given to CSOs to adapt and change their projects as they learn during implementation</w:t>
      </w:r>
    </w:p>
    <w:p w14:paraId="4D6227FD" w14:textId="5DC81328" w:rsidR="00985801" w:rsidRDefault="00985801" w:rsidP="00985801">
      <w:pPr>
        <w:pStyle w:val="ListBullet"/>
      </w:pPr>
      <w:r>
        <w:t>The Fund’s approach to gender equality and disability inclusiveness. The Fund’s M&amp;E arrangements have ensured CSOs design, implement and report on gender equality and disability inclusiveness. CSOs have been supported to improve their approaches to these issues through ad</w:t>
      </w:r>
      <w:r w:rsidR="00001AAD">
        <w:t>vice from the MERP and through knowledge and l</w:t>
      </w:r>
      <w:r>
        <w:t xml:space="preserve">earning events. As a result, a number of CSOs reflected that they have been pushed to go further in these areas than they might otherwise have done. </w:t>
      </w:r>
    </w:p>
    <w:p w14:paraId="49A4E8FB" w14:textId="77777777" w:rsidR="00985801" w:rsidRDefault="00985801" w:rsidP="00985801">
      <w:pPr>
        <w:pStyle w:val="ListBullet"/>
        <w:numPr>
          <w:ilvl w:val="0"/>
          <w:numId w:val="0"/>
        </w:numPr>
      </w:pPr>
      <w:r>
        <w:t xml:space="preserve">The engagement between CSOs and partner governments in countries where projects are implemented is also </w:t>
      </w:r>
      <w:proofErr w:type="gramStart"/>
      <w:r>
        <w:t>a strength</w:t>
      </w:r>
      <w:proofErr w:type="gramEnd"/>
      <w:r>
        <w:t xml:space="preserve"> of the Fund’s management arrangements. </w:t>
      </w:r>
    </w:p>
    <w:p w14:paraId="568AB761" w14:textId="77777777" w:rsidR="00985801" w:rsidRDefault="00985801" w:rsidP="00985801">
      <w:pPr>
        <w:pStyle w:val="BodyText"/>
      </w:pPr>
      <w:r>
        <w:t>Although the Fund's management arrangements are, overall, functioning well, there is room for improvement in four areas.</w:t>
      </w:r>
    </w:p>
    <w:p w14:paraId="22A9E80B" w14:textId="5F93DBC4" w:rsidR="00985801" w:rsidRDefault="00985801" w:rsidP="00985801">
      <w:pPr>
        <w:pStyle w:val="ListBullet"/>
        <w:numPr>
          <w:ilvl w:val="0"/>
          <w:numId w:val="0"/>
        </w:numPr>
      </w:pPr>
      <w:r>
        <w:t xml:space="preserve">First, the </w:t>
      </w:r>
      <w:r w:rsidRPr="00573D65">
        <w:t>management of CSO grant agreements</w:t>
      </w:r>
      <w:r>
        <w:t xml:space="preserve"> could be more efficient. DFAT WSH holds the grant agreements with CSOs, yet the FMF is tasked with the day to day management of the grant agreements. This can create double handling and additional work for both DFAT WSH and the FMF. An alternative arrangement where the FMF holds the grant a</w:t>
      </w:r>
      <w:r w:rsidR="00001AAD">
        <w:t xml:space="preserve">greements with CSOs </w:t>
      </w:r>
      <w:r w:rsidR="002E3D25">
        <w:t>c</w:t>
      </w:r>
      <w:r w:rsidR="00001AAD">
        <w:t>ould</w:t>
      </w:r>
      <w:r>
        <w:t xml:space="preserve"> be more efficient.</w:t>
      </w:r>
    </w:p>
    <w:p w14:paraId="1C67D2D3" w14:textId="115A60E7" w:rsidR="004B5AC1" w:rsidRDefault="00985801" w:rsidP="00985801">
      <w:pPr>
        <w:pStyle w:val="BodyText"/>
      </w:pPr>
      <w:r>
        <w:t xml:space="preserve">Second, the Fund’s reporting arrangements could be improved. In relation to project-specific reporting, CSO views are mixed. Some CSOs are positive about the reporting requirements, while others feel reporting is too compliance focussed and does not provide space for high level learning and reflection. </w:t>
      </w:r>
      <w:r w:rsidR="004B5AC1">
        <w:t xml:space="preserve">The evaluation finds that the intended purpose of project reporting, being accountability to DFAT, is appropriate and necessary to ensure Fund-wide results </w:t>
      </w:r>
      <w:r w:rsidR="00646F6E">
        <w:t xml:space="preserve">can </w:t>
      </w:r>
      <w:r w:rsidR="004B5AC1">
        <w:t>be reported. The evaluation also finds that there is a mismatch between this intended purpose and some CSOs’ preferences for reporting focussed on learning. The evaluation strongly supports the MERP’s planned review of the CSO project reporting system and suggests it should actively consider whether the system could be amended to cover both accountability to DFAT and facilitation of CSO learning and reflection.</w:t>
      </w:r>
    </w:p>
    <w:p w14:paraId="636C8D1A" w14:textId="17856642" w:rsidR="00985801" w:rsidRDefault="00985801" w:rsidP="00985801">
      <w:pPr>
        <w:pStyle w:val="BodyText"/>
      </w:pPr>
      <w:r>
        <w:t>In relation to Fund-wide aggregate r</w:t>
      </w:r>
      <w:r w:rsidR="00001AAD">
        <w:t>eporting, CSOs and DFAT WSH</w:t>
      </w:r>
      <w:r>
        <w:t xml:space="preserve"> expressed concern that such reporting may not meet their needs. CSOs feel that evidence</w:t>
      </w:r>
      <w:r w:rsidR="00001AAD">
        <w:t>-based lessons from the Fund have</w:t>
      </w:r>
      <w:r>
        <w:t xml:space="preserve"> not been available to them and that effective ‘feedback’ loops to help them understand evidence emerging from the Fund do not exist.</w:t>
      </w:r>
      <w:r w:rsidRPr="00BC17CE">
        <w:t xml:space="preserve"> </w:t>
      </w:r>
      <w:r>
        <w:t xml:space="preserve">DFAT WSH similarly has concerns that Fund-wide aggregate reporting is resource intensive without necessarily meeting their needs. </w:t>
      </w:r>
      <w:r w:rsidR="00B3594A">
        <w:t>T</w:t>
      </w:r>
      <w:r>
        <w:t>he evaluation</w:t>
      </w:r>
      <w:r w:rsidR="00B3594A">
        <w:t xml:space="preserve"> </w:t>
      </w:r>
      <w:r>
        <w:t xml:space="preserve">finds that DFAT WSH has found it challenging to define what they require from the Fund’s performance system and should devote more resources to engaging with strategic level M&amp;E issues. </w:t>
      </w:r>
    </w:p>
    <w:p w14:paraId="566E0013" w14:textId="77777777" w:rsidR="00985801" w:rsidRDefault="00985801" w:rsidP="00985801">
      <w:pPr>
        <w:pStyle w:val="BodyText"/>
      </w:pPr>
      <w:r>
        <w:t>The third area where there is room for improvement is the independence of the MERP. The MERP is contracted directly to DFAT WSH and so is considered independent from the FMF and CSOs. This has benefits for DFAT WSH, who can be assured that Fund data provided by the MERP is credible. However, the majority of CSOs perceive the MERP’s independence has few benefits for them. The MERP’s independence also has disadvantages: it creates additional administrative work for DFAT WSH,</w:t>
      </w:r>
      <w:r w:rsidRPr="00BC17CE">
        <w:t xml:space="preserve"> it creates risks for </w:t>
      </w:r>
      <w:r>
        <w:t xml:space="preserve">coherent management of </w:t>
      </w:r>
      <w:r w:rsidRPr="00BC17CE">
        <w:t>CSO projects, and it does not manage the potential</w:t>
      </w:r>
      <w:r>
        <w:t xml:space="preserve"> risk of</w:t>
      </w:r>
      <w:r w:rsidRPr="00BC17CE">
        <w:t xml:space="preserve"> dysfunction</w:t>
      </w:r>
      <w:r>
        <w:t xml:space="preserve"> within the Fund management team</w:t>
      </w:r>
      <w:r w:rsidRPr="00BC17CE">
        <w:t>.</w:t>
      </w:r>
      <w:r>
        <w:t xml:space="preserve"> </w:t>
      </w:r>
      <w:r>
        <w:lastRenderedPageBreak/>
        <w:t xml:space="preserve">The evaluation finds that, for the Fund’s next phase, the primary factor in determining the MERP’s contracting arrangements should be ensuring the best possible team is put in place, rather than questions of independence. </w:t>
      </w:r>
    </w:p>
    <w:p w14:paraId="5505CCBE" w14:textId="73B0B40F" w:rsidR="00985801" w:rsidRDefault="00985801" w:rsidP="00985801">
      <w:pPr>
        <w:pStyle w:val="BodyText"/>
      </w:pPr>
      <w:r>
        <w:t xml:space="preserve">Fourth, the evaluation finds that engagement between the Fund and DFAT country programs (particularly in-country Posts) is variable and, in some cases, less than ideal. This is a common issue for centrally-managed DFAT programs. All parties (DFAT WSH, Posts and CSOs) agree that greater engagement would be beneficial. Broad DFAT experience demonstrates that </w:t>
      </w:r>
      <w:proofErr w:type="gramStart"/>
      <w:r>
        <w:t>staff at Post have</w:t>
      </w:r>
      <w:proofErr w:type="gramEnd"/>
      <w:r>
        <w:t xml:space="preserve"> competing priorities to manage, making it incumbent on DFAT WSH to place</w:t>
      </w:r>
      <w:r w:rsidR="00001AAD">
        <w:t xml:space="preserve"> higher priority on managing</w:t>
      </w:r>
      <w:r>
        <w:t xml:space="preserve"> relationship</w:t>
      </w:r>
      <w:r w:rsidR="00001AAD">
        <w:t>s</w:t>
      </w:r>
      <w:r>
        <w:t xml:space="preserve"> with country programs.</w:t>
      </w:r>
    </w:p>
    <w:p w14:paraId="5A8C67D1" w14:textId="77777777" w:rsidR="00985801" w:rsidRDefault="00985801" w:rsidP="00985801">
      <w:pPr>
        <w:pStyle w:val="BodyText"/>
      </w:pPr>
      <w:r>
        <w:t>The Fund’s management arrangements are working well, but they are relatively high cost compared to two other DFAT funded CSO programs, ANCP and AACES. The evaluation found that:</w:t>
      </w:r>
    </w:p>
    <w:p w14:paraId="5777B21D" w14:textId="77777777" w:rsidR="00985801" w:rsidRDefault="00985801" w:rsidP="00985801">
      <w:pPr>
        <w:pStyle w:val="ListBullet"/>
      </w:pPr>
      <w:r>
        <w:t>The Fund has high management costs when compared to ANCP, but the Fund’s management arrangements are also more effective than ANCP’s at the time it was evaluated</w:t>
      </w:r>
    </w:p>
    <w:p w14:paraId="25F8DFAC" w14:textId="4ADBC1B5" w:rsidR="00985801" w:rsidRDefault="00001AAD" w:rsidP="00985801">
      <w:pPr>
        <w:pStyle w:val="ListBullet"/>
      </w:pPr>
      <w:r>
        <w:t>AACES</w:t>
      </w:r>
      <w:r w:rsidR="00985801">
        <w:t xml:space="preserve"> focussed on equal partnership between CSOs and DFAT. This resulted in management arrangements that had a similar level of effectiveness to the Fund’s management arrangements. However, AACES’ partnership approach had lower contract costs – noting that much of the </w:t>
      </w:r>
      <w:r w:rsidR="000C58C7">
        <w:t>monitoring and evaluation</w:t>
      </w:r>
      <w:r w:rsidR="00985801">
        <w:t xml:space="preserve"> support and</w:t>
      </w:r>
      <w:r w:rsidR="000C58C7">
        <w:t xml:space="preserve"> knowledge and learning</w:t>
      </w:r>
      <w:r w:rsidR="00985801">
        <w:t xml:space="preserve"> elements in AACES were undertaken by CSOs, meaning the costs of such functions are hidden when examining contract costs. </w:t>
      </w:r>
    </w:p>
    <w:p w14:paraId="4E1E71AD" w14:textId="77777777" w:rsidR="00EC4156" w:rsidRDefault="00985801" w:rsidP="00EC4156">
      <w:pPr>
        <w:pStyle w:val="BodyText"/>
      </w:pPr>
      <w:r>
        <w:t xml:space="preserve">Although the Fund’s costs are higher than other programs, they are justified because of the effectiveness of the Fund’s management arrangements and the value placed by CSOs on elements such as the knowledge and learning component. </w:t>
      </w:r>
      <w:r w:rsidR="00EC4156">
        <w:t xml:space="preserve">For future Fund phases, the Fund would benefit from systems which can be used to justify its relatively high management costs. </w:t>
      </w:r>
    </w:p>
    <w:p w14:paraId="78C5DAA6" w14:textId="77777777" w:rsidR="00EC4156" w:rsidRDefault="00985801" w:rsidP="00985801">
      <w:pPr>
        <w:pStyle w:val="RecommendationBoxHeading"/>
      </w:pPr>
      <w:r>
        <w:t xml:space="preserve">Recommendation </w:t>
      </w:r>
      <w:r w:rsidR="00EC4156">
        <w:t>1</w:t>
      </w:r>
    </w:p>
    <w:p w14:paraId="20A6A771" w14:textId="0C19F0BA" w:rsidR="00985801" w:rsidRDefault="00EC4156" w:rsidP="00D554A6">
      <w:pPr>
        <w:pStyle w:val="RecommendationBoxBullet"/>
      </w:pPr>
      <w:r>
        <w:t xml:space="preserve">For the Fund’s next phase, the Fund’s monitoring and evaluation system includes arrangements which ensure the Fund’s management costs can be justified. </w:t>
      </w:r>
    </w:p>
    <w:p w14:paraId="20CFDD50" w14:textId="6FB08D56" w:rsidR="00985801" w:rsidRDefault="00985801" w:rsidP="00985801">
      <w:r>
        <w:t>To help inform the design of the Fund’s next phase, the evaluation team considered whether the Fund’s management arrangements are relevant to the changing context of the Australian aid program. This includes constrained resources (particularly staff resources), reduced aid management expertise, a greater focus on public diplomacy, and t</w:t>
      </w:r>
      <w:r w:rsidR="00001AAD">
        <w:t xml:space="preserve">he fact that the Fund </w:t>
      </w:r>
      <w:r>
        <w:t>represents a greater proportion of Australia’s WASH funding now when co</w:t>
      </w:r>
      <w:r w:rsidR="00001AAD">
        <w:t xml:space="preserve">mpared to the Fund’s commencement. </w:t>
      </w:r>
    </w:p>
    <w:p w14:paraId="52C01C35" w14:textId="77777777" w:rsidR="00EC4156" w:rsidRDefault="00985801">
      <w:r>
        <w:t xml:space="preserve">Taking this context into account, it is the evaluation team’s judgement that the Fund’s approach to management will remain relevant for the Fund’s next phase and that all key elements should be retained. </w:t>
      </w:r>
      <w:r w:rsidR="00EC4156">
        <w:t>Further, DFAT WSH should focus its scarce resources on areas where it can add the greatest value: strategic oversight (including for monitoring and evaluation), relationships with country programs and public diplomacy. In light of this, the evaluation team finds it is appropriate for CSO funding agreements to come under a future FMF.</w:t>
      </w:r>
      <w:r w:rsidR="00EC4156" w:rsidRPr="00EC4156">
        <w:t xml:space="preserve"> </w:t>
      </w:r>
      <w:r w:rsidR="00EC4156">
        <w:t>It is also appropriate for DFAT WSH to contract expertise that is scarce in the department, in areas such as monitoring and evaluation and knowledge and learning.</w:t>
      </w:r>
    </w:p>
    <w:p w14:paraId="6F28C4E9" w14:textId="77777777" w:rsidR="00EC4156" w:rsidRDefault="00EC4156" w:rsidP="00EC4156">
      <w:pPr>
        <w:pStyle w:val="RecommendationBoxHeading"/>
      </w:pPr>
      <w:r>
        <w:t>Recommendation 2</w:t>
      </w:r>
    </w:p>
    <w:p w14:paraId="0A170D04" w14:textId="77777777" w:rsidR="00EC4156" w:rsidRDefault="00EC4156" w:rsidP="00EC4156">
      <w:pPr>
        <w:pStyle w:val="RecommendationBoxBullet"/>
      </w:pPr>
      <w:r>
        <w:t xml:space="preserve">That for the Fund’s next phase, DFAT WSH commits its resources to areas where it has the greatest value add, particularly strategic oversight (including for M&amp;E and reporting), relationships with country programs and public diplomacy. </w:t>
      </w:r>
    </w:p>
    <w:p w14:paraId="45621478" w14:textId="6FCD039D" w:rsidR="00985801" w:rsidRDefault="00985801" w:rsidP="00D554A6">
      <w:pPr>
        <w:pStyle w:val="BodyText"/>
        <w:keepNext/>
      </w:pPr>
      <w:r>
        <w:t>At the same time, DFAT needs</w:t>
      </w:r>
      <w:r w:rsidR="00001AAD">
        <w:t xml:space="preserve"> to ensure it maintains </w:t>
      </w:r>
      <w:r>
        <w:t>strong relationship</w:t>
      </w:r>
      <w:r w:rsidR="00001AAD">
        <w:t>s</w:t>
      </w:r>
      <w:r>
        <w:t xml:space="preserve"> with Fund </w:t>
      </w:r>
      <w:proofErr w:type="gramStart"/>
      <w:r>
        <w:t>CSOs, that</w:t>
      </w:r>
      <w:proofErr w:type="gramEnd"/>
      <w:r>
        <w:t xml:space="preserve"> all parties to the Fund have a forum where management issues (such as Fund reporting) can be </w:t>
      </w:r>
      <w:r>
        <w:lastRenderedPageBreak/>
        <w:t>discussed, and that ‘feedback’ loops are create</w:t>
      </w:r>
      <w:r w:rsidR="000C58C7">
        <w:t>d</w:t>
      </w:r>
      <w:r>
        <w:t xml:space="preserve"> so that CSOs are aware of Fund-wide reporting and evidence. </w:t>
      </w:r>
      <w:r w:rsidR="00CA29CE">
        <w:t>For the Fund’s next phase, t</w:t>
      </w:r>
      <w:r>
        <w:t xml:space="preserve">his could be achieved through a Fund-specific </w:t>
      </w:r>
      <w:r w:rsidR="00E13821">
        <w:t xml:space="preserve">advisory </w:t>
      </w:r>
      <w:r w:rsidR="00CA29CE">
        <w:t xml:space="preserve">or consultative </w:t>
      </w:r>
      <w:r>
        <w:t>group that includes DFAT WSH, the FMF, the MERP and CSOs.</w:t>
      </w:r>
      <w:r w:rsidR="00CA29CE">
        <w:t xml:space="preserve"> The exact remit of the group, as well as its intersection with other groups such as the WASH Reference Group, should be further explored during the design of the Fund’s next phase. </w:t>
      </w:r>
    </w:p>
    <w:p w14:paraId="3EA40A68" w14:textId="77777777" w:rsidR="00EC4156" w:rsidRDefault="00EC4156" w:rsidP="00EC4156">
      <w:pPr>
        <w:pStyle w:val="RecommendationBoxHeading"/>
      </w:pPr>
      <w:r>
        <w:t>Recommendation 3</w:t>
      </w:r>
    </w:p>
    <w:p w14:paraId="26A51E74" w14:textId="75484894" w:rsidR="00EC4156" w:rsidRDefault="00EC4156" w:rsidP="00D554A6">
      <w:pPr>
        <w:pStyle w:val="RecommendationBoxBullet"/>
      </w:pPr>
      <w:r>
        <w:t xml:space="preserve">When designing the Fund’s next phase, the design team considers a Fund-specific advisory or consultative group which includes all members of the Fund management team and Fund CSOs.   </w:t>
      </w:r>
    </w:p>
    <w:p w14:paraId="4BD2427F" w14:textId="77777777" w:rsidR="00985801" w:rsidRPr="00C8662F" w:rsidRDefault="00985801" w:rsidP="00985801">
      <w:pPr>
        <w:pStyle w:val="Heading2"/>
      </w:pPr>
      <w:bookmarkStart w:id="7" w:name="_Toc468449985"/>
      <w:r>
        <w:t>Evaluation findings: CSO selection</w:t>
      </w:r>
      <w:bookmarkEnd w:id="7"/>
    </w:p>
    <w:p w14:paraId="5C4DD59B" w14:textId="77777777" w:rsidR="00985801" w:rsidRDefault="00985801" w:rsidP="00985801">
      <w:r>
        <w:t>The Fund used a competitive grants process to determine which CSOs and projects to support. Selection was in two phases:</w:t>
      </w:r>
    </w:p>
    <w:p w14:paraId="3108827C" w14:textId="77777777" w:rsidR="00985801" w:rsidRDefault="00985801" w:rsidP="00985801">
      <w:pPr>
        <w:pStyle w:val="ListBullet"/>
      </w:pPr>
      <w:r>
        <w:t>A selection panel made up of staff from DFAT WSH, the DFAT NGO section, and an external WASH consultant assessed applications submitted by CSOs</w:t>
      </w:r>
    </w:p>
    <w:p w14:paraId="2E82AD75" w14:textId="77777777" w:rsidR="00985801" w:rsidRDefault="00985801" w:rsidP="00985801">
      <w:pPr>
        <w:pStyle w:val="ListBullet"/>
      </w:pPr>
      <w:r>
        <w:t>13 CSOs were chosen by the selection panel to proceed to a three month ‘inception phase’. In this phase CSOs were provided funding and MERP coaching to develop project designs, known as Operational Plans. Once Operational Plans were</w:t>
      </w:r>
      <w:r w:rsidRPr="005E7818">
        <w:t xml:space="preserve"> approved by </w:t>
      </w:r>
      <w:r>
        <w:t xml:space="preserve">DFAT WSH, </w:t>
      </w:r>
      <w:r w:rsidRPr="005E7818">
        <w:t>CSOs were invited to enter into a full funding</w:t>
      </w:r>
      <w:r>
        <w:t xml:space="preserve"> agreement covering the life</w:t>
      </w:r>
      <w:r w:rsidRPr="005E7818">
        <w:t xml:space="preserve"> of their project</w:t>
      </w:r>
      <w:r>
        <w:t>(s)</w:t>
      </w:r>
      <w:r w:rsidRPr="005E7818">
        <w:t>.</w:t>
      </w:r>
    </w:p>
    <w:p w14:paraId="6645363F" w14:textId="77777777" w:rsidR="00985801" w:rsidRDefault="00985801" w:rsidP="00985801">
      <w:r>
        <w:t xml:space="preserve">The selection process had many strong elements, such as its staged approach, the diversity of the selection panel, and the weight given to gender equality and social inclusion. It resulted in the selection of a number of high quality CSO projects. </w:t>
      </w:r>
    </w:p>
    <w:p w14:paraId="083EF970" w14:textId="77777777" w:rsidR="00985801" w:rsidRDefault="00985801" w:rsidP="00985801">
      <w:r>
        <w:t>However, stakeholders perceive that approximately 20 per cent of the projects selected do not align with the Fund’s design intent or theory of change. Such projects are seen to focus on the direct delivery of WASH services, rather than focussing on achieving sustainable change by working on the WASH enabling environment. The evaluation finds several factors may have contributed to the selection of such projects:</w:t>
      </w:r>
    </w:p>
    <w:p w14:paraId="72F3FC66" w14:textId="77777777" w:rsidR="00985801" w:rsidRDefault="00985801" w:rsidP="00985801">
      <w:pPr>
        <w:pStyle w:val="ListBullet"/>
      </w:pPr>
      <w:r>
        <w:t>The Fund’s theory of change was not strongly articulated until after CSOs applied for the Fund, meaning CSOs did not have had a complete picture of the Fund’s intent</w:t>
      </w:r>
    </w:p>
    <w:p w14:paraId="2D8DAE83" w14:textId="1D97026F" w:rsidR="00DA04EE" w:rsidRDefault="00985801" w:rsidP="00985801">
      <w:pPr>
        <w:pStyle w:val="ListBullet"/>
      </w:pPr>
      <w:r w:rsidRPr="00AE3480">
        <w:t xml:space="preserve">Important selection criteria, such as those related to a CSO’s understanding of sustainable </w:t>
      </w:r>
      <w:r>
        <w:t xml:space="preserve">WASH </w:t>
      </w:r>
      <w:r w:rsidRPr="00AE3480">
        <w:t>approaches, were not given sufficient weight in the selection process</w:t>
      </w:r>
      <w:r w:rsidR="00141302">
        <w:t xml:space="preserve"> </w:t>
      </w:r>
    </w:p>
    <w:p w14:paraId="407E643F" w14:textId="3D6E650D" w:rsidR="00DA04EE" w:rsidRDefault="00DA04EE" w:rsidP="00985801">
      <w:pPr>
        <w:pStyle w:val="ListBullet"/>
      </w:pPr>
      <w:r>
        <w:t xml:space="preserve">CSO past experience within the WASH sector and within the previous Fund </w:t>
      </w:r>
      <w:r w:rsidR="002412C0">
        <w:t xml:space="preserve">(where applicable) </w:t>
      </w:r>
      <w:r>
        <w:t>was not an intrinsic part of assessing that CSO’s claims</w:t>
      </w:r>
      <w:r w:rsidRPr="00B948B1">
        <w:t xml:space="preserve"> </w:t>
      </w:r>
      <w:r>
        <w:t xml:space="preserve"> </w:t>
      </w:r>
    </w:p>
    <w:p w14:paraId="0E00F474" w14:textId="77777777" w:rsidR="00985801" w:rsidRDefault="00985801" w:rsidP="00985801">
      <w:pPr>
        <w:pStyle w:val="ListBullet"/>
      </w:pPr>
      <w:r>
        <w:t>The diversity of the selection panel was not used to its full potential, with project proposals examined by either WASH experts or NGO experts, and</w:t>
      </w:r>
    </w:p>
    <w:p w14:paraId="55AEBFD6" w14:textId="613F6548" w:rsidR="00985801" w:rsidRDefault="00985801" w:rsidP="00985801">
      <w:pPr>
        <w:pStyle w:val="ListBullet"/>
      </w:pPr>
      <w:r>
        <w:t>The expertise of the external WASH consultant may not have been appropriate for the types of projects the Fund was aiming to support.</w:t>
      </w:r>
    </w:p>
    <w:p w14:paraId="0018B28C" w14:textId="77777777" w:rsidR="000E31CE" w:rsidRDefault="000E31CE" w:rsidP="000E31CE">
      <w:pPr>
        <w:pStyle w:val="RecommendationBoxHeading"/>
      </w:pPr>
      <w:r>
        <w:t>Recommendation 4</w:t>
      </w:r>
    </w:p>
    <w:p w14:paraId="4E865C15" w14:textId="77777777" w:rsidR="000E31CE" w:rsidRDefault="000E31CE" w:rsidP="000E31CE">
      <w:pPr>
        <w:pStyle w:val="RecommendationBoxBullet"/>
      </w:pPr>
      <w:r>
        <w:t xml:space="preserve">That for future CSO selection, consistency with the Fund’s intent and theory of change is a heavily weighted </w:t>
      </w:r>
      <w:proofErr w:type="gramStart"/>
      <w:r>
        <w:t>criteria</w:t>
      </w:r>
      <w:proofErr w:type="gramEnd"/>
      <w:r>
        <w:t>.</w:t>
      </w:r>
    </w:p>
    <w:p w14:paraId="13876674" w14:textId="77777777" w:rsidR="000E31CE" w:rsidRDefault="000E31CE" w:rsidP="000E31CE">
      <w:pPr>
        <w:pStyle w:val="RecommendationBoxHeading"/>
      </w:pPr>
      <w:r>
        <w:t>Recommendation 5</w:t>
      </w:r>
    </w:p>
    <w:p w14:paraId="4C722291" w14:textId="77777777" w:rsidR="000E31CE" w:rsidRDefault="000E31CE" w:rsidP="000E31CE">
      <w:pPr>
        <w:pStyle w:val="RecommendationBoxBullet"/>
      </w:pPr>
      <w:r>
        <w:t xml:space="preserve">That for future CSO selection, CSO performance in the WASH sector and the current Fund is explicitly taken into account.  </w:t>
      </w:r>
    </w:p>
    <w:p w14:paraId="581D646E" w14:textId="77777777" w:rsidR="000E31CE" w:rsidRDefault="000E31CE" w:rsidP="00D554A6">
      <w:pPr>
        <w:pStyle w:val="BodyText"/>
      </w:pPr>
    </w:p>
    <w:p w14:paraId="7A924C83" w14:textId="086109F4" w:rsidR="00985801" w:rsidRDefault="00985801" w:rsidP="00985801">
      <w:pPr>
        <w:pStyle w:val="RecommendationBoxHeading"/>
      </w:pPr>
      <w:r>
        <w:lastRenderedPageBreak/>
        <w:t>Recommendation 6</w:t>
      </w:r>
    </w:p>
    <w:p w14:paraId="598E3E64" w14:textId="131F03D6" w:rsidR="00985801" w:rsidRDefault="00985801" w:rsidP="00985801">
      <w:pPr>
        <w:pStyle w:val="RecommendationBoxBullet"/>
      </w:pPr>
      <w:r>
        <w:t xml:space="preserve">That for future CSO selection, panel members have appropriate expertise </w:t>
      </w:r>
      <w:r w:rsidR="000E31CE">
        <w:t>(</w:t>
      </w:r>
      <w:r>
        <w:t>in WASH, gender equality and disability inclusiveness</w:t>
      </w:r>
      <w:r w:rsidR="00E13821">
        <w:t>, a</w:t>
      </w:r>
      <w:r w:rsidR="00C35409">
        <w:t>nd with CSOs</w:t>
      </w:r>
      <w:r w:rsidR="000E31CE">
        <w:t>)</w:t>
      </w:r>
      <w:r w:rsidR="004A16E9">
        <w:t>.</w:t>
      </w:r>
    </w:p>
    <w:p w14:paraId="40FC6575" w14:textId="77777777" w:rsidR="00985801" w:rsidRDefault="00985801" w:rsidP="00985801">
      <w:pPr>
        <w:pStyle w:val="ListBullet"/>
        <w:numPr>
          <w:ilvl w:val="0"/>
          <w:numId w:val="0"/>
        </w:numPr>
      </w:pPr>
      <w:r>
        <w:t>A number of other areas also warrant further consideration in the Fund’s next phase. DFAT WSH did not have sufficient human resources to manage the selection process, suggesting greater resources, as well as use of an online grants management system, should be considered. Given the relatively small number of CSO applicants for the Pacific for the current Fund, DFAT WSH may also want to consider the available pool of applicants for the next Fund and how this might impact on CSO selection. Finally, the size of the grants that were awarded were smaller than anticipated in the Fund’s design and grant size could be reconsidered in consultations with CSOs for the Fund’s next phase.</w:t>
      </w:r>
    </w:p>
    <w:p w14:paraId="2DCD1F42" w14:textId="77777777" w:rsidR="00985801" w:rsidRDefault="00985801" w:rsidP="00985801">
      <w:pPr>
        <w:pStyle w:val="BodyText"/>
      </w:pPr>
      <w:r>
        <w:t xml:space="preserve">The evaluation finds the Fund’s inception phase was beneficial and should be retained. The inception phase was universally praised by Fund stakeholders. CSOs felt it allowed them to improve the quality of their Operational Plans and it also gave DFAT WSH confidence that CSOs’ Operational Plans covered all relevant issues. However, an appropriate length of time for the inception phase should be considered further by DFAT WSH. A longer inception phase for the Fund’s next phase may be warranted, particularly if the next phase takes a particularly innovative direction. The evaluation also finds it was not useful for the inception phase to be a ‘stop-go’ point for CSO projects and this feature should not be retained in the future. </w:t>
      </w:r>
    </w:p>
    <w:p w14:paraId="3134F414" w14:textId="2A26BCCE" w:rsidR="00985801" w:rsidRDefault="007E5022" w:rsidP="007E5022">
      <w:pPr>
        <w:pStyle w:val="Heading1"/>
      </w:pPr>
      <w:bookmarkStart w:id="8" w:name="_Toc468449986"/>
      <w:r>
        <w:lastRenderedPageBreak/>
        <w:t>Management response</w:t>
      </w:r>
      <w:bookmarkEnd w:id="8"/>
    </w:p>
    <w:p w14:paraId="147137DB" w14:textId="7A7D2F1A" w:rsidR="007E5022" w:rsidRPr="0056792B" w:rsidRDefault="007E5022" w:rsidP="007E5022">
      <w:pPr>
        <w:pStyle w:val="BodyText"/>
      </w:pPr>
      <w:r w:rsidRPr="0056792B">
        <w:t>The ODE Evaluation has provided valuable insights into the management arrangements of the Civil Society WASH Fund (CS WASH Fund) including the selection process for civil society organisations at</w:t>
      </w:r>
      <w:r>
        <w:t xml:space="preserve"> the commencement of the Fund. </w:t>
      </w:r>
      <w:r w:rsidRPr="0056792B">
        <w:t xml:space="preserve">The recommendations reflect extensive discussions with stakeholders </w:t>
      </w:r>
      <w:r>
        <w:t>and it is clear their input has been carefully considered</w:t>
      </w:r>
      <w:r w:rsidRPr="0056792B">
        <w:t>.</w:t>
      </w:r>
    </w:p>
    <w:p w14:paraId="5678911E" w14:textId="4C240B76" w:rsidR="007E5022" w:rsidRPr="0056792B" w:rsidRDefault="007E5022" w:rsidP="007E5022">
      <w:pPr>
        <w:pStyle w:val="BodyText"/>
      </w:pPr>
      <w:r w:rsidRPr="0056792B">
        <w:t xml:space="preserve">The recommendations are </w:t>
      </w:r>
      <w:r>
        <w:t xml:space="preserve">helpful in being </w:t>
      </w:r>
      <w:r w:rsidRPr="0056792B">
        <w:t>forward looking and feed very well into the design</w:t>
      </w:r>
      <w:r>
        <w:t xml:space="preserve"> process for</w:t>
      </w:r>
      <w:r w:rsidRPr="0056792B">
        <w:t xml:space="preserve"> the new initiative, Water for Women, which will follow</w:t>
      </w:r>
      <w:r>
        <w:t xml:space="preserve">-on from the CS WASH Fund. </w:t>
      </w:r>
      <w:r w:rsidRPr="0056792B">
        <w:t xml:space="preserve">In addition, </w:t>
      </w:r>
      <w:r>
        <w:t xml:space="preserve">while </w:t>
      </w:r>
      <w:r w:rsidRPr="0056792B">
        <w:t xml:space="preserve">the recommendations </w:t>
      </w:r>
      <w:r>
        <w:t>point to improvements for the new initiative, they also lead</w:t>
      </w:r>
      <w:r w:rsidRPr="0056792B">
        <w:t xml:space="preserve"> </w:t>
      </w:r>
      <w:r>
        <w:t xml:space="preserve">the </w:t>
      </w:r>
      <w:r w:rsidRPr="0056792B">
        <w:t>DFAT W</w:t>
      </w:r>
      <w:r>
        <w:t>ater, Sanitation and Hygiene Section (W</w:t>
      </w:r>
      <w:r w:rsidRPr="0056792B">
        <w:t>SH</w:t>
      </w:r>
      <w:r>
        <w:t xml:space="preserve">) </w:t>
      </w:r>
      <w:r w:rsidRPr="0056792B">
        <w:t xml:space="preserve">to some adjustments in the current CS WASH Fund.  </w:t>
      </w:r>
    </w:p>
    <w:p w14:paraId="6A640D74" w14:textId="554C5E87" w:rsidR="007E5022" w:rsidRDefault="007E5022" w:rsidP="007E5022">
      <w:pPr>
        <w:pStyle w:val="BodyText"/>
      </w:pPr>
      <w:r w:rsidRPr="0056792B">
        <w:t xml:space="preserve">One of the immediate implications of the ODE Evaluation is in the development of the Terms of Reference for </w:t>
      </w:r>
      <w:r>
        <w:t xml:space="preserve">the design of Water for Women. </w:t>
      </w:r>
      <w:r w:rsidRPr="0056792B">
        <w:t xml:space="preserve">In total, the recommendations in this evaluation </w:t>
      </w:r>
      <w:r>
        <w:t>will</w:t>
      </w:r>
      <w:r w:rsidRPr="0056792B">
        <w:t xml:space="preserve"> result in the T</w:t>
      </w:r>
      <w:r>
        <w:t>erms of Reference</w:t>
      </w:r>
      <w:r w:rsidRPr="0056792B">
        <w:t xml:space="preserve"> giving particular focus to value for money, the strategic role of DFAT WSH, the governance arrangements and the </w:t>
      </w:r>
      <w:r>
        <w:t>civil society organisation (C</w:t>
      </w:r>
      <w:r w:rsidRPr="0056792B">
        <w:t>SO</w:t>
      </w:r>
      <w:r>
        <w:t>) selection process. The Water for Women Investment Concept Note, recently prepared, has also been guided by the ODE Evaluation findings as will the ensuing discussions at the Aid Investment Committee.</w:t>
      </w:r>
    </w:p>
    <w:p w14:paraId="1B650804" w14:textId="77777777" w:rsidR="007E5022" w:rsidRPr="0056792B" w:rsidRDefault="007E5022" w:rsidP="007E5022">
      <w:pPr>
        <w:pStyle w:val="BodyText"/>
      </w:pPr>
      <w:r>
        <w:t>All recommendations have been agreed and actions identified with timelines where possible.</w:t>
      </w:r>
    </w:p>
    <w:p w14:paraId="11FF88EA" w14:textId="77777777" w:rsidR="007E5022" w:rsidRDefault="007E5022" w:rsidP="007E5022">
      <w:pPr>
        <w:pStyle w:val="BodyText"/>
        <w:sectPr w:rsidR="007E5022" w:rsidSect="000957A1">
          <w:footnotePr>
            <w:numFmt w:val="chicago"/>
            <w:numRestart w:val="eachPage"/>
          </w:footnotePr>
          <w:endnotePr>
            <w:numFmt w:val="decimal"/>
          </w:endnotePr>
          <w:pgSz w:w="11907" w:h="16840" w:code="9"/>
          <w:pgMar w:top="958" w:right="1701" w:bottom="907" w:left="1701" w:header="851" w:footer="567" w:gutter="0"/>
          <w:cols w:space="720"/>
          <w:docGrid w:linePitch="326"/>
        </w:sectPr>
      </w:pPr>
    </w:p>
    <w:p w14:paraId="2D9297DD" w14:textId="77777777" w:rsidR="00EB6B89" w:rsidRDefault="00EB6B89" w:rsidP="00EB6B89">
      <w:pPr>
        <w:pStyle w:val="Heading3"/>
      </w:pPr>
      <w:r w:rsidRPr="008524FE">
        <w:lastRenderedPageBreak/>
        <w:t>Individual Management response to the recommendations</w:t>
      </w:r>
    </w:p>
    <w:tbl>
      <w:tblPr>
        <w:tblStyle w:val="ODETable"/>
        <w:tblW w:w="0" w:type="auto"/>
        <w:tblLook w:val="04A0" w:firstRow="1" w:lastRow="0" w:firstColumn="1" w:lastColumn="0" w:noHBand="0" w:noVBand="1"/>
        <w:tblCaption w:val="management responses to the seven recommendations of the evaluation"/>
        <w:tblDescription w:val="The table sets out the response to seven recommendation, including whether management agrees, and explanation of why, what action they will take and by when."/>
      </w:tblPr>
      <w:tblGrid>
        <w:gridCol w:w="2609"/>
        <w:gridCol w:w="1276"/>
        <w:gridCol w:w="3969"/>
        <w:gridCol w:w="4252"/>
        <w:gridCol w:w="2268"/>
      </w:tblGrid>
      <w:tr w:rsidR="00EB6B89" w14:paraId="552C7E77" w14:textId="77777777" w:rsidTr="001B0CF3">
        <w:trPr>
          <w:cnfStyle w:val="100000000000" w:firstRow="1" w:lastRow="0" w:firstColumn="0" w:lastColumn="0" w:oddVBand="0" w:evenVBand="0" w:oddHBand="0" w:evenHBand="0" w:firstRowFirstColumn="0" w:firstRowLastColumn="0" w:lastRowFirstColumn="0" w:lastRowLastColumn="0"/>
        </w:trPr>
        <w:tc>
          <w:tcPr>
            <w:tcW w:w="2609" w:type="dxa"/>
            <w:shd w:val="clear" w:color="auto" w:fill="BFD7F6" w:themeFill="text2" w:themeFillTint="33"/>
          </w:tcPr>
          <w:p w14:paraId="6BD8C350" w14:textId="77777777" w:rsidR="00EB6B89" w:rsidRPr="008524FE" w:rsidRDefault="00EB6B89" w:rsidP="007A2F6C">
            <w:pPr>
              <w:pStyle w:val="Heading3"/>
              <w:outlineLvl w:val="2"/>
              <w:rPr>
                <w:color w:val="auto"/>
              </w:rPr>
            </w:pPr>
            <w:r>
              <w:rPr>
                <w:color w:val="auto"/>
              </w:rPr>
              <w:t>Recommendation</w:t>
            </w:r>
          </w:p>
        </w:tc>
        <w:tc>
          <w:tcPr>
            <w:tcW w:w="1276" w:type="dxa"/>
            <w:shd w:val="clear" w:color="auto" w:fill="7FC07C" w:themeFill="accent6" w:themeFillTint="99"/>
          </w:tcPr>
          <w:p w14:paraId="75C9BF95" w14:textId="77777777" w:rsidR="00EB6B89" w:rsidRPr="008524FE" w:rsidRDefault="00EB6B89" w:rsidP="007A2F6C">
            <w:pPr>
              <w:pStyle w:val="Heading3"/>
              <w:outlineLvl w:val="2"/>
              <w:rPr>
                <w:color w:val="auto"/>
              </w:rPr>
            </w:pPr>
            <w:r>
              <w:rPr>
                <w:color w:val="auto"/>
              </w:rPr>
              <w:t>Response</w:t>
            </w:r>
          </w:p>
        </w:tc>
        <w:tc>
          <w:tcPr>
            <w:tcW w:w="3969" w:type="dxa"/>
            <w:shd w:val="clear" w:color="auto" w:fill="BFD7F6" w:themeFill="text2" w:themeFillTint="33"/>
          </w:tcPr>
          <w:p w14:paraId="57C7AA25" w14:textId="77777777" w:rsidR="00EB6B89" w:rsidRPr="008524FE" w:rsidRDefault="00EB6B89" w:rsidP="007A2F6C">
            <w:pPr>
              <w:pStyle w:val="Heading3"/>
              <w:outlineLvl w:val="2"/>
            </w:pPr>
            <w:r w:rsidRPr="004A2555">
              <w:rPr>
                <w:color w:val="auto"/>
              </w:rPr>
              <w:t>Explanation</w:t>
            </w:r>
          </w:p>
        </w:tc>
        <w:tc>
          <w:tcPr>
            <w:tcW w:w="4252" w:type="dxa"/>
            <w:shd w:val="clear" w:color="auto" w:fill="BFD7F6" w:themeFill="text2" w:themeFillTint="33"/>
          </w:tcPr>
          <w:p w14:paraId="21D72064" w14:textId="77777777" w:rsidR="00EB6B89" w:rsidRPr="004A2555" w:rsidRDefault="00EB6B89" w:rsidP="007A2F6C">
            <w:pPr>
              <w:pStyle w:val="Heading3"/>
              <w:outlineLvl w:val="2"/>
              <w:rPr>
                <w:color w:val="auto"/>
              </w:rPr>
            </w:pPr>
            <w:r w:rsidRPr="004A2555">
              <w:rPr>
                <w:color w:val="auto"/>
              </w:rPr>
              <w:t>Action Plan</w:t>
            </w:r>
          </w:p>
        </w:tc>
        <w:tc>
          <w:tcPr>
            <w:tcW w:w="2268" w:type="dxa"/>
            <w:shd w:val="clear" w:color="auto" w:fill="BFD7F6" w:themeFill="text2" w:themeFillTint="33"/>
          </w:tcPr>
          <w:p w14:paraId="550252BA" w14:textId="77777777" w:rsidR="00EB6B89" w:rsidRPr="004A2555" w:rsidRDefault="00EB6B89" w:rsidP="007A2F6C">
            <w:pPr>
              <w:pStyle w:val="Heading3"/>
              <w:outlineLvl w:val="2"/>
              <w:rPr>
                <w:color w:val="auto"/>
              </w:rPr>
            </w:pPr>
            <w:r w:rsidRPr="004A2555">
              <w:rPr>
                <w:color w:val="auto"/>
              </w:rPr>
              <w:t>Timeframe</w:t>
            </w:r>
          </w:p>
        </w:tc>
      </w:tr>
      <w:tr w:rsidR="00EB6B89" w14:paraId="73304D52" w14:textId="77777777" w:rsidTr="001B0CF3">
        <w:trPr>
          <w:trHeight w:val="4170"/>
        </w:trPr>
        <w:tc>
          <w:tcPr>
            <w:tcW w:w="2609" w:type="dxa"/>
            <w:shd w:val="clear" w:color="auto" w:fill="BFD7F6" w:themeFill="text2" w:themeFillTint="33"/>
          </w:tcPr>
          <w:p w14:paraId="26FC6D5B" w14:textId="77777777" w:rsidR="00EB6B89" w:rsidRPr="008524FE" w:rsidRDefault="00EB6B89" w:rsidP="001B0CF3">
            <w:pPr>
              <w:pStyle w:val="Heading3"/>
              <w:spacing w:before="0"/>
              <w:outlineLvl w:val="2"/>
              <w:rPr>
                <w:color w:val="auto"/>
              </w:rPr>
            </w:pPr>
            <w:r w:rsidRPr="008524FE">
              <w:rPr>
                <w:color w:val="auto"/>
              </w:rPr>
              <w:t>Recommendation 1</w:t>
            </w:r>
          </w:p>
          <w:p w14:paraId="3CFBF288" w14:textId="13824A2B" w:rsidR="00EB6B89" w:rsidRPr="0040333B" w:rsidRDefault="00EB6B89" w:rsidP="0040333B">
            <w:pPr>
              <w:pStyle w:val="BodyText"/>
            </w:pPr>
            <w:r w:rsidRPr="0040333B">
              <w:t>For the Fund’s next phase, the Fund’s monitoring and evaluation system includes arrangements which ensure the Fund’s management costs can be justified.</w:t>
            </w:r>
          </w:p>
        </w:tc>
        <w:tc>
          <w:tcPr>
            <w:tcW w:w="1276" w:type="dxa"/>
            <w:shd w:val="clear" w:color="auto" w:fill="7FC07C" w:themeFill="accent6" w:themeFillTint="99"/>
          </w:tcPr>
          <w:p w14:paraId="28942745" w14:textId="77777777" w:rsidR="00EB6B89" w:rsidRPr="008524FE" w:rsidRDefault="00EB6B89" w:rsidP="001B0CF3">
            <w:pPr>
              <w:pStyle w:val="Heading3"/>
              <w:spacing w:before="0"/>
              <w:outlineLvl w:val="2"/>
              <w:rPr>
                <w:color w:val="auto"/>
              </w:rPr>
            </w:pPr>
            <w:r w:rsidRPr="008524FE">
              <w:rPr>
                <w:color w:val="auto"/>
              </w:rPr>
              <w:t xml:space="preserve">Agree </w:t>
            </w:r>
          </w:p>
        </w:tc>
        <w:tc>
          <w:tcPr>
            <w:tcW w:w="3969" w:type="dxa"/>
            <w:shd w:val="clear" w:color="auto" w:fill="BFD7F6" w:themeFill="text2" w:themeFillTint="33"/>
          </w:tcPr>
          <w:p w14:paraId="4D55743F" w14:textId="563C0B3E" w:rsidR="00EB6B89" w:rsidRPr="0040333B" w:rsidRDefault="00EB6B89" w:rsidP="0040333B">
            <w:pPr>
              <w:pStyle w:val="BodyText"/>
            </w:pPr>
            <w:r w:rsidRPr="0040333B">
              <w:t>The overall value for money and effectiveness for the contracted management role (and possibly the broader management arrangements) will be informed by a variety of sources, including the design, comparative analysis and the M&amp;E system.</w:t>
            </w:r>
          </w:p>
          <w:p w14:paraId="5E24A34E" w14:textId="625982E1" w:rsidR="00EB6B89" w:rsidRPr="008524FE" w:rsidRDefault="00EB6B89" w:rsidP="0040333B">
            <w:pPr>
              <w:pStyle w:val="BodyText"/>
            </w:pPr>
            <w:r w:rsidRPr="0040333B">
              <w:t>The follow on program is the Water for Women initiative.  A heightened gender focus, the continuing emphasis on sustainable access to Water, Sanitation and Hygiene (WASH) services and the implications of access for all under SDG 6 make for a more complex program.  This will increase the management load and knowledge sharing components which will require careful attention in the design process.</w:t>
            </w:r>
          </w:p>
        </w:tc>
        <w:tc>
          <w:tcPr>
            <w:tcW w:w="4252" w:type="dxa"/>
            <w:shd w:val="clear" w:color="auto" w:fill="BFD7F6" w:themeFill="text2" w:themeFillTint="33"/>
          </w:tcPr>
          <w:p w14:paraId="1E113FF1" w14:textId="77777777" w:rsidR="00EB6B89" w:rsidRPr="0040333B" w:rsidRDefault="00EB6B89" w:rsidP="0040333B">
            <w:pPr>
              <w:pStyle w:val="BodyText"/>
            </w:pPr>
            <w:r w:rsidRPr="0040333B">
              <w:t>Specify in the Terms of Reference for the design of Water for Women that a value for money framework is incorporated into the design.</w:t>
            </w:r>
          </w:p>
          <w:p w14:paraId="16CEBCCC" w14:textId="77777777" w:rsidR="00EB6B89" w:rsidRPr="0040333B" w:rsidRDefault="00EB6B89" w:rsidP="0040333B">
            <w:pPr>
              <w:pStyle w:val="BodyText"/>
            </w:pPr>
            <w:r w:rsidRPr="0040333B">
              <w:t>The Terms of Reference to be prepared by DFAT WSH and the design team leader to develop the framework.</w:t>
            </w:r>
          </w:p>
          <w:p w14:paraId="142D9316" w14:textId="77777777" w:rsidR="00EB6B89" w:rsidRPr="0040333B" w:rsidRDefault="00EB6B89" w:rsidP="0040333B">
            <w:pPr>
              <w:pStyle w:val="BodyText"/>
            </w:pPr>
            <w:r w:rsidRPr="0040333B">
              <w:t xml:space="preserve">The design team will consult with DFAT NGO Partnerships and other relevant areas to gain insights into comparative management arrangements and costs. </w:t>
            </w:r>
          </w:p>
          <w:p w14:paraId="2C77C2CE" w14:textId="6C6D9A70" w:rsidR="00EB6B89" w:rsidRDefault="00EB6B89" w:rsidP="007A2F6C">
            <w:pPr>
              <w:pStyle w:val="BodyText"/>
            </w:pPr>
          </w:p>
        </w:tc>
        <w:tc>
          <w:tcPr>
            <w:tcW w:w="2268" w:type="dxa"/>
            <w:shd w:val="clear" w:color="auto" w:fill="BFD7F6" w:themeFill="text2" w:themeFillTint="33"/>
          </w:tcPr>
          <w:p w14:paraId="049755A6" w14:textId="77777777" w:rsidR="00EB6B89" w:rsidRPr="0040333B" w:rsidRDefault="00EB6B89" w:rsidP="0040333B">
            <w:pPr>
              <w:pStyle w:val="BodyText"/>
            </w:pPr>
            <w:r w:rsidRPr="0040333B">
              <w:t>December 2016 – Terms of Reference for design of Water for Women.</w:t>
            </w:r>
          </w:p>
          <w:p w14:paraId="06BCE980" w14:textId="3CBD845E" w:rsidR="00EB6B89" w:rsidRPr="0040333B" w:rsidRDefault="00EB6B89" w:rsidP="0040333B">
            <w:pPr>
              <w:pStyle w:val="BodyText"/>
            </w:pPr>
            <w:r w:rsidRPr="0040333B">
              <w:t>January to June 2017 during design process of Water for Women.</w:t>
            </w:r>
          </w:p>
          <w:p w14:paraId="18569597" w14:textId="77777777" w:rsidR="00EB6B89" w:rsidRDefault="00EB6B89" w:rsidP="007A2F6C">
            <w:pPr>
              <w:pStyle w:val="BodyText"/>
            </w:pPr>
          </w:p>
          <w:p w14:paraId="4CB57D46" w14:textId="77777777" w:rsidR="00EB6B89" w:rsidRDefault="00EB6B89" w:rsidP="007A2F6C">
            <w:pPr>
              <w:pStyle w:val="BodyText"/>
            </w:pPr>
          </w:p>
          <w:p w14:paraId="0005A24E" w14:textId="77777777" w:rsidR="00EB6B89" w:rsidRDefault="00EB6B89" w:rsidP="007A2F6C">
            <w:pPr>
              <w:pStyle w:val="BodyText"/>
            </w:pPr>
          </w:p>
        </w:tc>
      </w:tr>
    </w:tbl>
    <w:tbl>
      <w:tblPr>
        <w:tblStyle w:val="ODETable1"/>
        <w:tblW w:w="0" w:type="auto"/>
        <w:tblLook w:val="04A0" w:firstRow="1" w:lastRow="0" w:firstColumn="1" w:lastColumn="0" w:noHBand="0" w:noVBand="1"/>
        <w:tblCaption w:val="management responses to the seven recommendations of the evaluation"/>
        <w:tblDescription w:val="The table sets out the response to seven recommendation, including whether management agrees, and explanation of why, what action they will take and by when."/>
      </w:tblPr>
      <w:tblGrid>
        <w:gridCol w:w="2609"/>
        <w:gridCol w:w="1276"/>
        <w:gridCol w:w="3969"/>
        <w:gridCol w:w="4252"/>
        <w:gridCol w:w="2268"/>
      </w:tblGrid>
      <w:tr w:rsidR="00EB6B89" w:rsidRPr="008524FE" w14:paraId="39D14402" w14:textId="77777777" w:rsidTr="001B0CF3">
        <w:trPr>
          <w:cnfStyle w:val="100000000000" w:firstRow="1" w:lastRow="0" w:firstColumn="0" w:lastColumn="0" w:oddVBand="0" w:evenVBand="0" w:oddHBand="0" w:evenHBand="0" w:firstRowFirstColumn="0" w:firstRowLastColumn="0" w:lastRowFirstColumn="0" w:lastRowLastColumn="0"/>
        </w:trPr>
        <w:tc>
          <w:tcPr>
            <w:tcW w:w="2609" w:type="dxa"/>
            <w:shd w:val="clear" w:color="auto" w:fill="BFD7F6" w:themeFill="text2" w:themeFillTint="33"/>
          </w:tcPr>
          <w:p w14:paraId="1F132B78" w14:textId="77777777" w:rsidR="00EB6B89" w:rsidRPr="008524FE" w:rsidRDefault="00EB6B89" w:rsidP="001B0CF3">
            <w:pPr>
              <w:pStyle w:val="Heading3"/>
              <w:spacing w:before="0"/>
              <w:outlineLvl w:val="2"/>
              <w:rPr>
                <w:color w:val="auto"/>
              </w:rPr>
            </w:pPr>
            <w:r w:rsidRPr="008524FE">
              <w:rPr>
                <w:color w:val="auto"/>
              </w:rPr>
              <w:t>Recommendation 2</w:t>
            </w:r>
          </w:p>
          <w:p w14:paraId="3D77526A" w14:textId="47EB50F7" w:rsidR="00EB6B89" w:rsidRPr="0040333B" w:rsidRDefault="0040333B" w:rsidP="0040333B">
            <w:pPr>
              <w:pStyle w:val="BodyText"/>
            </w:pPr>
            <w:r w:rsidRPr="0040333B">
              <w:t xml:space="preserve">That for the Fund’s next phase, DFAT WSH commits its resources to areas where it has the greatest value add, particularly strategic oversight </w:t>
            </w:r>
            <w:r w:rsidRPr="0040333B">
              <w:lastRenderedPageBreak/>
              <w:t>(including for M&amp;E and reporting), relationships with country programs and public diplomacy.</w:t>
            </w:r>
          </w:p>
        </w:tc>
        <w:tc>
          <w:tcPr>
            <w:tcW w:w="1276" w:type="dxa"/>
            <w:shd w:val="clear" w:color="auto" w:fill="7FC07C" w:themeFill="accent6" w:themeFillTint="99"/>
          </w:tcPr>
          <w:p w14:paraId="25A192B6" w14:textId="77777777" w:rsidR="00EB6B89" w:rsidRPr="008524FE" w:rsidRDefault="00EB6B89" w:rsidP="001B0CF3">
            <w:pPr>
              <w:pStyle w:val="Heading3"/>
              <w:spacing w:before="0"/>
              <w:outlineLvl w:val="2"/>
              <w:rPr>
                <w:color w:val="auto"/>
              </w:rPr>
            </w:pPr>
            <w:r w:rsidRPr="008524FE">
              <w:rPr>
                <w:color w:val="auto"/>
              </w:rPr>
              <w:lastRenderedPageBreak/>
              <w:t xml:space="preserve">Agree </w:t>
            </w:r>
          </w:p>
        </w:tc>
        <w:tc>
          <w:tcPr>
            <w:tcW w:w="3969" w:type="dxa"/>
            <w:shd w:val="clear" w:color="auto" w:fill="BFD7F6" w:themeFill="text2" w:themeFillTint="33"/>
          </w:tcPr>
          <w:p w14:paraId="641E10D4" w14:textId="77777777" w:rsidR="0040333B" w:rsidRPr="0040333B" w:rsidRDefault="0040333B" w:rsidP="0040333B">
            <w:pPr>
              <w:pStyle w:val="BodyText"/>
            </w:pPr>
            <w:r w:rsidRPr="0040333B">
              <w:t xml:space="preserve">WSH Section’s greatest </w:t>
            </w:r>
            <w:proofErr w:type="gramStart"/>
            <w:r w:rsidRPr="0040333B">
              <w:t>value add</w:t>
            </w:r>
            <w:proofErr w:type="gramEnd"/>
            <w:r w:rsidRPr="0040333B">
              <w:t xml:space="preserve"> is in strategic oversight of the program.  </w:t>
            </w:r>
          </w:p>
          <w:p w14:paraId="7078749F" w14:textId="77777777" w:rsidR="0040333B" w:rsidRPr="0040333B" w:rsidRDefault="0040333B" w:rsidP="0040333B">
            <w:pPr>
              <w:pStyle w:val="BodyText"/>
            </w:pPr>
            <w:r w:rsidRPr="0040333B">
              <w:t xml:space="preserve">In Water for Women, DFAT WSH will engage strategically with thematic sectors in DFAT including gender, governance, health and education, country programs and externally with WASH networks.  This will allow DFAT </w:t>
            </w:r>
            <w:r w:rsidRPr="0040333B">
              <w:lastRenderedPageBreak/>
              <w:t>WSH to advance policy and good development practice.</w:t>
            </w:r>
          </w:p>
          <w:p w14:paraId="4AD514CB" w14:textId="581EEF45" w:rsidR="00EB6B89" w:rsidRPr="0040333B" w:rsidRDefault="0040333B" w:rsidP="0040333B">
            <w:pPr>
              <w:pStyle w:val="BodyText"/>
            </w:pPr>
            <w:r w:rsidRPr="0040333B">
              <w:t>This includes building and maintaining relationships with country programs, supporting public diplomacy, leveraging the knowledge and learning outcomes of Water for Women for improvements across the aid program and utilising evidence from an effective monitoring and evaluation system.</w:t>
            </w:r>
          </w:p>
        </w:tc>
        <w:tc>
          <w:tcPr>
            <w:tcW w:w="4252" w:type="dxa"/>
            <w:shd w:val="clear" w:color="auto" w:fill="BFD7F6" w:themeFill="text2" w:themeFillTint="33"/>
          </w:tcPr>
          <w:p w14:paraId="65C15F22" w14:textId="77777777" w:rsidR="0040333B" w:rsidRPr="0040333B" w:rsidRDefault="0040333B" w:rsidP="0040333B">
            <w:pPr>
              <w:pStyle w:val="BodyText"/>
            </w:pPr>
            <w:r w:rsidRPr="0040333B">
              <w:lastRenderedPageBreak/>
              <w:t xml:space="preserve">Ensure Terms of Reference for the design of Water for Women emphasise a strategic oversight role for DFAT WSH and that roles and responsibilities of the contracted Fund Manager and CSOs are clear.  </w:t>
            </w:r>
          </w:p>
          <w:p w14:paraId="466B8B85" w14:textId="77777777" w:rsidR="0040333B" w:rsidRPr="0040333B" w:rsidRDefault="0040333B" w:rsidP="0040333B">
            <w:pPr>
              <w:pStyle w:val="BodyText"/>
            </w:pPr>
            <w:r w:rsidRPr="0040333B">
              <w:t xml:space="preserve">DFAT WSH to guide the design of Water for Women to ensure that the strategic role for </w:t>
            </w:r>
            <w:r w:rsidRPr="0040333B">
              <w:lastRenderedPageBreak/>
              <w:t>DFAT WSH is detailed with less emphasis on operational matters.</w:t>
            </w:r>
          </w:p>
          <w:p w14:paraId="1742FDE4" w14:textId="28DDF2E0" w:rsidR="00EB6B89" w:rsidRPr="0040333B" w:rsidRDefault="00EB6B89" w:rsidP="0040333B">
            <w:pPr>
              <w:pStyle w:val="BodyText"/>
            </w:pPr>
          </w:p>
        </w:tc>
        <w:tc>
          <w:tcPr>
            <w:tcW w:w="2268" w:type="dxa"/>
            <w:shd w:val="clear" w:color="auto" w:fill="BFD7F6" w:themeFill="text2" w:themeFillTint="33"/>
          </w:tcPr>
          <w:p w14:paraId="24966229" w14:textId="77777777" w:rsidR="0040333B" w:rsidRPr="0040333B" w:rsidRDefault="0040333B" w:rsidP="0040333B">
            <w:pPr>
              <w:pStyle w:val="BodyText"/>
            </w:pPr>
            <w:r w:rsidRPr="0040333B">
              <w:lastRenderedPageBreak/>
              <w:t>December 2016 – Terms of Reference for design of Water for Women.</w:t>
            </w:r>
          </w:p>
          <w:p w14:paraId="6F4BE0C7" w14:textId="38409536" w:rsidR="00EB6B89" w:rsidRPr="0040333B" w:rsidRDefault="0040333B" w:rsidP="0040333B">
            <w:pPr>
              <w:pStyle w:val="BodyText"/>
            </w:pPr>
            <w:r w:rsidRPr="0040333B">
              <w:t xml:space="preserve">January to June 2017 during design process </w:t>
            </w:r>
            <w:r w:rsidRPr="0040333B">
              <w:lastRenderedPageBreak/>
              <w:t>for Water for Women.</w:t>
            </w:r>
          </w:p>
          <w:p w14:paraId="4CFB15B9" w14:textId="77777777" w:rsidR="00EB6B89" w:rsidRPr="0040333B" w:rsidRDefault="00EB6B89" w:rsidP="0040333B">
            <w:pPr>
              <w:pStyle w:val="BodyText"/>
            </w:pPr>
          </w:p>
          <w:p w14:paraId="577D432E" w14:textId="77777777" w:rsidR="00EB6B89" w:rsidRPr="0040333B" w:rsidRDefault="00EB6B89" w:rsidP="0040333B">
            <w:pPr>
              <w:pStyle w:val="BodyText"/>
            </w:pPr>
          </w:p>
          <w:p w14:paraId="7B8727E7" w14:textId="77777777" w:rsidR="00EB6B89" w:rsidRPr="0040333B" w:rsidRDefault="00EB6B89" w:rsidP="0040333B">
            <w:pPr>
              <w:pStyle w:val="BodyText"/>
            </w:pPr>
          </w:p>
          <w:p w14:paraId="2D448C90" w14:textId="2BBDDA7F" w:rsidR="00EB6B89" w:rsidRPr="0040333B" w:rsidRDefault="00EB6B89" w:rsidP="0040333B">
            <w:pPr>
              <w:pStyle w:val="BodyText"/>
            </w:pPr>
          </w:p>
        </w:tc>
      </w:tr>
    </w:tbl>
    <w:tbl>
      <w:tblPr>
        <w:tblStyle w:val="ODETable2"/>
        <w:tblW w:w="0" w:type="auto"/>
        <w:tblLook w:val="04A0" w:firstRow="1" w:lastRow="0" w:firstColumn="1" w:lastColumn="0" w:noHBand="0" w:noVBand="1"/>
        <w:tblCaption w:val="management responses to the seven recommendations of the evaluation"/>
        <w:tblDescription w:val="The table sets out the response to seven recommendation, including whether management agrees, and explanation of why, what action they will take and by when."/>
      </w:tblPr>
      <w:tblGrid>
        <w:gridCol w:w="2609"/>
        <w:gridCol w:w="1276"/>
        <w:gridCol w:w="3969"/>
        <w:gridCol w:w="4252"/>
        <w:gridCol w:w="2268"/>
      </w:tblGrid>
      <w:tr w:rsidR="00EB6B89" w14:paraId="62FB7EE4" w14:textId="77777777" w:rsidTr="001B0CF3">
        <w:trPr>
          <w:cnfStyle w:val="100000000000" w:firstRow="1" w:lastRow="0" w:firstColumn="0" w:lastColumn="0" w:oddVBand="0" w:evenVBand="0" w:oddHBand="0" w:evenHBand="0" w:firstRowFirstColumn="0" w:firstRowLastColumn="0" w:lastRowFirstColumn="0" w:lastRowLastColumn="0"/>
          <w:trHeight w:val="4445"/>
        </w:trPr>
        <w:tc>
          <w:tcPr>
            <w:tcW w:w="2609" w:type="dxa"/>
            <w:shd w:val="clear" w:color="auto" w:fill="BFD7F6" w:themeFill="text2" w:themeFillTint="33"/>
          </w:tcPr>
          <w:p w14:paraId="2C2AD672" w14:textId="77777777" w:rsidR="00EB6B89" w:rsidRPr="008524FE" w:rsidRDefault="00EB6B89" w:rsidP="001B0CF3">
            <w:pPr>
              <w:pStyle w:val="Heading3"/>
              <w:spacing w:before="0"/>
              <w:outlineLvl w:val="2"/>
              <w:rPr>
                <w:color w:val="auto"/>
              </w:rPr>
            </w:pPr>
            <w:r w:rsidRPr="008524FE">
              <w:rPr>
                <w:color w:val="auto"/>
              </w:rPr>
              <w:lastRenderedPageBreak/>
              <w:t>Recommendation 3</w:t>
            </w:r>
          </w:p>
          <w:p w14:paraId="0271A577" w14:textId="05950600" w:rsidR="00EB6B89" w:rsidRPr="0040333B" w:rsidRDefault="0040333B" w:rsidP="0040333B">
            <w:pPr>
              <w:pStyle w:val="BodyText"/>
            </w:pPr>
            <w:r w:rsidRPr="0040333B">
              <w:t>When designing the Fund’s next phase, the design team considers a Fund-specific advisory or consultative group which includes all members of the Fund management team and Fund CSOs.</w:t>
            </w:r>
          </w:p>
        </w:tc>
        <w:tc>
          <w:tcPr>
            <w:tcW w:w="1276" w:type="dxa"/>
            <w:shd w:val="clear" w:color="auto" w:fill="7FC07C" w:themeFill="accent6" w:themeFillTint="99"/>
          </w:tcPr>
          <w:p w14:paraId="5CE575BC" w14:textId="77777777" w:rsidR="00EB6B89" w:rsidRPr="008524FE" w:rsidRDefault="00EB6B89" w:rsidP="001B0CF3">
            <w:pPr>
              <w:pStyle w:val="Heading3"/>
              <w:spacing w:before="0"/>
              <w:outlineLvl w:val="2"/>
              <w:rPr>
                <w:color w:val="auto"/>
              </w:rPr>
            </w:pPr>
            <w:r w:rsidRPr="008524FE">
              <w:rPr>
                <w:color w:val="auto"/>
              </w:rPr>
              <w:t xml:space="preserve">Agree </w:t>
            </w:r>
          </w:p>
        </w:tc>
        <w:tc>
          <w:tcPr>
            <w:tcW w:w="3969" w:type="dxa"/>
            <w:shd w:val="clear" w:color="auto" w:fill="BFD7F6" w:themeFill="text2" w:themeFillTint="33"/>
          </w:tcPr>
          <w:p w14:paraId="05636791" w14:textId="03165A96" w:rsidR="0040333B" w:rsidRPr="0040333B" w:rsidRDefault="0040333B" w:rsidP="0040333B">
            <w:pPr>
              <w:pStyle w:val="BodyText"/>
            </w:pPr>
            <w:r w:rsidRPr="0040333B">
              <w:t xml:space="preserve">DFAT WSH recognises that CSOs value a direct relationship with DFAT. An advisory / consultative mechanism will complement existing avenues for CSO engagement with DFAT. </w:t>
            </w:r>
          </w:p>
          <w:p w14:paraId="5188E1D8" w14:textId="77777777" w:rsidR="0040333B" w:rsidRPr="0040333B" w:rsidRDefault="0040333B" w:rsidP="0040333B">
            <w:pPr>
              <w:pStyle w:val="BodyText"/>
            </w:pPr>
            <w:r w:rsidRPr="0040333B">
              <w:t xml:space="preserve">Currently, DFAT WSH has direct contact with CSOs implementing CS WASH Fund projects through knowledge and learning activities.  More broadly, DFAT has regular engagement with the WASH Reference Group.  </w:t>
            </w:r>
          </w:p>
          <w:p w14:paraId="33E8E458" w14:textId="6190DE01" w:rsidR="00EB6B89" w:rsidRPr="0040333B" w:rsidRDefault="0040333B" w:rsidP="0040333B">
            <w:pPr>
              <w:pStyle w:val="BodyText"/>
            </w:pPr>
            <w:r w:rsidRPr="0040333B">
              <w:t>Greater engagement has resource implications not just for DFAT WSH but also for the Fund Manager and the CSOs.  This has to be taken into account in Water for Women.</w:t>
            </w:r>
          </w:p>
        </w:tc>
        <w:tc>
          <w:tcPr>
            <w:tcW w:w="4252" w:type="dxa"/>
            <w:shd w:val="clear" w:color="auto" w:fill="BFD7F6" w:themeFill="text2" w:themeFillTint="33"/>
          </w:tcPr>
          <w:p w14:paraId="3F48698B" w14:textId="77777777" w:rsidR="0040333B" w:rsidRPr="0040333B" w:rsidRDefault="0040333B" w:rsidP="0040333B">
            <w:pPr>
              <w:pStyle w:val="BodyText"/>
            </w:pPr>
            <w:r w:rsidRPr="0040333B">
              <w:t>Incorporate into TORs for design of Water for Women the consideration of a Fund-specific consultative group.  The design team should critically balance the benefits of such a group against the resource implications, the communication and partnership context of the new initiative and be clear that it is not a steering committee.</w:t>
            </w:r>
          </w:p>
          <w:p w14:paraId="21A3A9A6" w14:textId="5805C612" w:rsidR="00EB6B89" w:rsidRPr="0040333B" w:rsidRDefault="0040333B" w:rsidP="0040333B">
            <w:pPr>
              <w:pStyle w:val="BodyText"/>
            </w:pPr>
            <w:r w:rsidRPr="0040333B">
              <w:t>Consult with the WASH Reference Group on the formation of a Fund-specific consultative group.  This is to firstly assure the WASH Reference Group that DFAT will continue to engage with it at the sector-wide level and secondly to map out that engagement more strategically.</w:t>
            </w:r>
          </w:p>
        </w:tc>
        <w:tc>
          <w:tcPr>
            <w:tcW w:w="2268" w:type="dxa"/>
            <w:shd w:val="clear" w:color="auto" w:fill="BFD7F6" w:themeFill="text2" w:themeFillTint="33"/>
          </w:tcPr>
          <w:p w14:paraId="7B9AF949" w14:textId="77777777" w:rsidR="0040333B" w:rsidRPr="0040333B" w:rsidRDefault="0040333B" w:rsidP="0040333B">
            <w:pPr>
              <w:pStyle w:val="BodyText"/>
            </w:pPr>
            <w:r w:rsidRPr="0040333B">
              <w:t>December 2016 – Terms of Reference for design of Water for Women Initiative.</w:t>
            </w:r>
          </w:p>
          <w:p w14:paraId="1EB00D50" w14:textId="035A51B8" w:rsidR="00EB6B89" w:rsidRPr="0040333B" w:rsidRDefault="0040333B" w:rsidP="0040333B">
            <w:pPr>
              <w:pStyle w:val="BodyText"/>
            </w:pPr>
            <w:r w:rsidRPr="0040333B">
              <w:t>February/March 2017 – DFAT WSH meeting with the WASH Reference Group.</w:t>
            </w:r>
          </w:p>
        </w:tc>
      </w:tr>
    </w:tbl>
    <w:p w14:paraId="2AE76FBC" w14:textId="77777777" w:rsidR="001B0CF3" w:rsidRDefault="001B0CF3">
      <w:r>
        <w:rPr>
          <w:b/>
        </w:rPr>
        <w:br w:type="page"/>
      </w:r>
    </w:p>
    <w:tbl>
      <w:tblPr>
        <w:tblStyle w:val="ODETable3"/>
        <w:tblW w:w="0" w:type="auto"/>
        <w:tblLook w:val="04A0" w:firstRow="1" w:lastRow="0" w:firstColumn="1" w:lastColumn="0" w:noHBand="0" w:noVBand="1"/>
        <w:tblCaption w:val="management responses to the seven recommendations of the evaluation"/>
        <w:tblDescription w:val="The table sets out the response to seven recommendation, including whether management agrees, and explanation of why, what action they will take and by when."/>
      </w:tblPr>
      <w:tblGrid>
        <w:gridCol w:w="2609"/>
        <w:gridCol w:w="1276"/>
        <w:gridCol w:w="3969"/>
        <w:gridCol w:w="4252"/>
        <w:gridCol w:w="2268"/>
      </w:tblGrid>
      <w:tr w:rsidR="00EB6B89" w14:paraId="2168FC95" w14:textId="77777777" w:rsidTr="001B0CF3">
        <w:trPr>
          <w:cnfStyle w:val="100000000000" w:firstRow="1" w:lastRow="0" w:firstColumn="0" w:lastColumn="0" w:oddVBand="0" w:evenVBand="0" w:oddHBand="0" w:evenHBand="0" w:firstRowFirstColumn="0" w:firstRowLastColumn="0" w:lastRowFirstColumn="0" w:lastRowLastColumn="0"/>
        </w:trPr>
        <w:tc>
          <w:tcPr>
            <w:tcW w:w="2609" w:type="dxa"/>
            <w:shd w:val="clear" w:color="auto" w:fill="BFD7F6" w:themeFill="text2" w:themeFillTint="33"/>
          </w:tcPr>
          <w:p w14:paraId="653FDFF2" w14:textId="1841AF1B" w:rsidR="00EB6B89" w:rsidRPr="008524FE" w:rsidRDefault="00EB6B89" w:rsidP="001B0CF3">
            <w:pPr>
              <w:pStyle w:val="Heading3"/>
              <w:spacing w:before="0"/>
              <w:outlineLvl w:val="2"/>
              <w:rPr>
                <w:color w:val="auto"/>
              </w:rPr>
            </w:pPr>
            <w:r w:rsidRPr="008524FE">
              <w:rPr>
                <w:color w:val="auto"/>
              </w:rPr>
              <w:lastRenderedPageBreak/>
              <w:t>Recommendation 4</w:t>
            </w:r>
          </w:p>
          <w:p w14:paraId="5E7F2F10" w14:textId="0FEF14EF" w:rsidR="00EB6B89" w:rsidRPr="0040333B" w:rsidRDefault="0040333B" w:rsidP="001B0CF3">
            <w:pPr>
              <w:pStyle w:val="BodyText"/>
              <w:keepNext/>
            </w:pPr>
            <w:r w:rsidRPr="0040333B">
              <w:t xml:space="preserve">That for future CSO selection, consistency with the Fund’s intent and theory of change is a heavily weighted </w:t>
            </w:r>
            <w:proofErr w:type="gramStart"/>
            <w:r w:rsidRPr="0040333B">
              <w:t>criteria</w:t>
            </w:r>
            <w:proofErr w:type="gramEnd"/>
            <w:r w:rsidRPr="0040333B">
              <w:t>.</w:t>
            </w:r>
          </w:p>
        </w:tc>
        <w:tc>
          <w:tcPr>
            <w:tcW w:w="1276" w:type="dxa"/>
            <w:shd w:val="clear" w:color="auto" w:fill="7FC07C" w:themeFill="accent6" w:themeFillTint="99"/>
          </w:tcPr>
          <w:p w14:paraId="503D6515" w14:textId="77777777" w:rsidR="00EB6B89" w:rsidRPr="008524FE" w:rsidRDefault="00EB6B89" w:rsidP="001B0CF3">
            <w:pPr>
              <w:pStyle w:val="Heading3"/>
              <w:spacing w:before="0"/>
              <w:outlineLvl w:val="2"/>
              <w:rPr>
                <w:color w:val="auto"/>
              </w:rPr>
            </w:pPr>
            <w:r w:rsidRPr="008524FE">
              <w:rPr>
                <w:color w:val="auto"/>
              </w:rPr>
              <w:t xml:space="preserve">Agree </w:t>
            </w:r>
          </w:p>
        </w:tc>
        <w:tc>
          <w:tcPr>
            <w:tcW w:w="3969" w:type="dxa"/>
            <w:shd w:val="clear" w:color="auto" w:fill="BFD7F6" w:themeFill="text2" w:themeFillTint="33"/>
          </w:tcPr>
          <w:p w14:paraId="4838A951" w14:textId="77777777" w:rsidR="0040333B" w:rsidRPr="0040333B" w:rsidRDefault="0040333B" w:rsidP="001B0CF3">
            <w:pPr>
              <w:pStyle w:val="BodyText"/>
              <w:keepNext/>
            </w:pPr>
            <w:r w:rsidRPr="0040333B">
              <w:t>CSOs will need to demonstrate a full understanding of the theory of change and show commitment and capacity to operationalise it.</w:t>
            </w:r>
          </w:p>
          <w:p w14:paraId="40C46E67" w14:textId="77777777" w:rsidR="0040333B" w:rsidRPr="0040333B" w:rsidRDefault="0040333B" w:rsidP="001B0CF3">
            <w:pPr>
              <w:pStyle w:val="BodyText"/>
              <w:keepNext/>
            </w:pPr>
            <w:r w:rsidRPr="0040333B">
              <w:t>The theory of change, a core part of the design, must be easy to understand with clear lines of sight between actions and outcomes.</w:t>
            </w:r>
          </w:p>
          <w:p w14:paraId="01427E1A" w14:textId="4ACC476D" w:rsidR="00EB6B89" w:rsidRDefault="0040333B" w:rsidP="001B0CF3">
            <w:pPr>
              <w:pStyle w:val="BodyText"/>
              <w:keepNext/>
            </w:pPr>
            <w:r w:rsidRPr="0040333B">
              <w:t>The weighting for a criterion on consistency with the theory of change will be determined in the design process relative to weightings for gender, WASH technical capability, program management expertise and in-country experience.</w:t>
            </w:r>
            <w:r>
              <w:t xml:space="preserve">  </w:t>
            </w:r>
          </w:p>
        </w:tc>
        <w:tc>
          <w:tcPr>
            <w:tcW w:w="4252" w:type="dxa"/>
            <w:shd w:val="clear" w:color="auto" w:fill="BFD7F6" w:themeFill="text2" w:themeFillTint="33"/>
          </w:tcPr>
          <w:p w14:paraId="4609E484" w14:textId="77777777" w:rsidR="0040333B" w:rsidRPr="0040333B" w:rsidRDefault="0040333B" w:rsidP="001B0CF3">
            <w:pPr>
              <w:pStyle w:val="BodyText"/>
              <w:keepNext/>
            </w:pPr>
            <w:r w:rsidRPr="0040333B">
              <w:t>The design team will include expertise in producing well thought out and implementable theories of change.</w:t>
            </w:r>
          </w:p>
          <w:p w14:paraId="049078B8" w14:textId="77777777" w:rsidR="0040333B" w:rsidRPr="0040333B" w:rsidRDefault="0040333B" w:rsidP="001B0CF3">
            <w:pPr>
              <w:pStyle w:val="BodyText"/>
              <w:keepNext/>
            </w:pPr>
            <w:r w:rsidRPr="0040333B">
              <w:t xml:space="preserve">DFAT WSH to ensure strong engagement with the Gender and Programming areas of DFAT to test the theory of change. </w:t>
            </w:r>
          </w:p>
          <w:p w14:paraId="7D94EECF" w14:textId="3573D960" w:rsidR="00EB6B89" w:rsidRDefault="0040333B" w:rsidP="001B0CF3">
            <w:pPr>
              <w:pStyle w:val="BodyText"/>
              <w:keepNext/>
            </w:pPr>
            <w:r w:rsidRPr="0040333B">
              <w:t>DFAT WSH to engage with the WASH Reference Group to review design of the Water for Women with a particular focus on the theory of change.</w:t>
            </w:r>
          </w:p>
        </w:tc>
        <w:tc>
          <w:tcPr>
            <w:tcW w:w="2268" w:type="dxa"/>
            <w:shd w:val="clear" w:color="auto" w:fill="BFD7F6" w:themeFill="text2" w:themeFillTint="33"/>
          </w:tcPr>
          <w:p w14:paraId="53DA2DE9" w14:textId="77777777" w:rsidR="0040333B" w:rsidRPr="0040333B" w:rsidRDefault="0040333B" w:rsidP="001B0CF3">
            <w:pPr>
              <w:pStyle w:val="BodyText"/>
              <w:keepNext/>
            </w:pPr>
            <w:r w:rsidRPr="0040333B">
              <w:t>December 2016 – Terms of Reference for design of Water for Women Initiative.</w:t>
            </w:r>
          </w:p>
          <w:p w14:paraId="74201C95" w14:textId="77777777" w:rsidR="0040333B" w:rsidRPr="0040333B" w:rsidRDefault="0040333B" w:rsidP="001B0CF3">
            <w:pPr>
              <w:pStyle w:val="BodyText"/>
              <w:keepNext/>
            </w:pPr>
            <w:r w:rsidRPr="0040333B">
              <w:t>February/March 2017 – DFAT WSH meeting with the WASH Reference Group.</w:t>
            </w:r>
          </w:p>
          <w:p w14:paraId="559A7435" w14:textId="08D8AB00" w:rsidR="00EB6B89" w:rsidRPr="0040333B" w:rsidRDefault="0040333B" w:rsidP="001B0CF3">
            <w:pPr>
              <w:pStyle w:val="BodyText"/>
              <w:keepNext/>
            </w:pPr>
            <w:r w:rsidRPr="0040333B">
              <w:t>February 2017</w:t>
            </w:r>
            <w:r w:rsidR="00BF532E">
              <w:t xml:space="preserve"> - </w:t>
            </w:r>
            <w:r w:rsidRPr="0040333B">
              <w:t>form a DFAT review group comprising WSH, Gender, NGO and other relevant sections which will consider the design including the theory of change.  The WASH Reference Group will provide two to three members to this review group.</w:t>
            </w:r>
          </w:p>
        </w:tc>
      </w:tr>
    </w:tbl>
    <w:tbl>
      <w:tblPr>
        <w:tblStyle w:val="ODETable4"/>
        <w:tblW w:w="0" w:type="auto"/>
        <w:tblLook w:val="04A0" w:firstRow="1" w:lastRow="0" w:firstColumn="1" w:lastColumn="0" w:noHBand="0" w:noVBand="1"/>
        <w:tblCaption w:val="management responses to the seven recommendations of the evaluation"/>
        <w:tblDescription w:val="The table sets out the response to seven recommendation, including whether management agrees, and explanation of why, what action they will take and by when."/>
      </w:tblPr>
      <w:tblGrid>
        <w:gridCol w:w="2609"/>
        <w:gridCol w:w="1276"/>
        <w:gridCol w:w="3969"/>
        <w:gridCol w:w="4252"/>
        <w:gridCol w:w="2268"/>
      </w:tblGrid>
      <w:tr w:rsidR="00BF532E" w14:paraId="2902D310" w14:textId="77777777" w:rsidTr="00BF532E">
        <w:trPr>
          <w:cnfStyle w:val="100000000000" w:firstRow="1" w:lastRow="0" w:firstColumn="0" w:lastColumn="0" w:oddVBand="0" w:evenVBand="0" w:oddHBand="0" w:evenHBand="0" w:firstRowFirstColumn="0" w:firstRowLastColumn="0" w:lastRowFirstColumn="0" w:lastRowLastColumn="0"/>
          <w:trHeight w:val="4272"/>
        </w:trPr>
        <w:tc>
          <w:tcPr>
            <w:tcW w:w="2609" w:type="dxa"/>
            <w:shd w:val="clear" w:color="auto" w:fill="BFD7F6" w:themeFill="text2" w:themeFillTint="33"/>
          </w:tcPr>
          <w:p w14:paraId="53AEA61C" w14:textId="77777777" w:rsidR="00EB6B89" w:rsidRPr="008524FE" w:rsidRDefault="00EB6B89" w:rsidP="001B0CF3">
            <w:pPr>
              <w:pStyle w:val="Heading3"/>
              <w:spacing w:before="0"/>
              <w:outlineLvl w:val="2"/>
              <w:rPr>
                <w:color w:val="auto"/>
              </w:rPr>
            </w:pPr>
            <w:r w:rsidRPr="008524FE">
              <w:rPr>
                <w:color w:val="auto"/>
              </w:rPr>
              <w:lastRenderedPageBreak/>
              <w:t>Recommendation 5</w:t>
            </w:r>
          </w:p>
          <w:p w14:paraId="6E277309" w14:textId="15233029" w:rsidR="00EB6B89" w:rsidRPr="001B0CF3" w:rsidRDefault="001B0CF3" w:rsidP="001B0CF3">
            <w:pPr>
              <w:pStyle w:val="BodyText"/>
            </w:pPr>
            <w:r w:rsidRPr="001B0CF3">
              <w:t>That for future CSO selection, CSO performance in the WASH sector and the current Fund is explicitly taken into account.</w:t>
            </w:r>
          </w:p>
        </w:tc>
        <w:tc>
          <w:tcPr>
            <w:tcW w:w="1276" w:type="dxa"/>
            <w:shd w:val="clear" w:color="auto" w:fill="7FC07C" w:themeFill="accent6" w:themeFillTint="99"/>
          </w:tcPr>
          <w:p w14:paraId="7A750B90" w14:textId="09BC6A51" w:rsidR="00EB6B89" w:rsidRPr="008524FE" w:rsidRDefault="00EB6B89" w:rsidP="001B0CF3">
            <w:pPr>
              <w:pStyle w:val="Heading3"/>
              <w:spacing w:before="0"/>
              <w:outlineLvl w:val="2"/>
              <w:rPr>
                <w:color w:val="auto"/>
              </w:rPr>
            </w:pPr>
            <w:r w:rsidRPr="008524FE">
              <w:rPr>
                <w:color w:val="auto"/>
              </w:rPr>
              <w:t xml:space="preserve">Agree </w:t>
            </w:r>
          </w:p>
        </w:tc>
        <w:tc>
          <w:tcPr>
            <w:tcW w:w="3969" w:type="dxa"/>
            <w:shd w:val="clear" w:color="auto" w:fill="BFD7F6" w:themeFill="text2" w:themeFillTint="33"/>
          </w:tcPr>
          <w:p w14:paraId="3F9E4EEC" w14:textId="77777777" w:rsidR="001B0CF3" w:rsidRPr="001B0CF3" w:rsidRDefault="001B0CF3" w:rsidP="001B0CF3">
            <w:pPr>
              <w:pStyle w:val="BodyText"/>
            </w:pPr>
            <w:r w:rsidRPr="001B0CF3">
              <w:t xml:space="preserve">The consideration of WASH sector performance should be done at an early stage in the selection process and given appropriate weighting.  This is not a straightforward process and different sources of information may be needed to triangulate.  The Australian NGO Accreditation Manual provides guidance on this process. </w:t>
            </w:r>
          </w:p>
          <w:p w14:paraId="12A3124C" w14:textId="37468555" w:rsidR="00EB6B89" w:rsidRDefault="001B0CF3" w:rsidP="001B0CF3">
            <w:pPr>
              <w:pStyle w:val="BodyText"/>
            </w:pPr>
            <w:r w:rsidRPr="001B0CF3">
              <w:t>It is also implicit that performance in achieving gender related outcomes is an important consideration and should be assessed jointly with WASH performance.</w:t>
            </w:r>
          </w:p>
        </w:tc>
        <w:tc>
          <w:tcPr>
            <w:tcW w:w="4252" w:type="dxa"/>
            <w:shd w:val="clear" w:color="auto" w:fill="BFD7F6" w:themeFill="text2" w:themeFillTint="33"/>
          </w:tcPr>
          <w:p w14:paraId="1A2EFF4D" w14:textId="77777777" w:rsidR="001B0CF3" w:rsidRPr="001B0CF3" w:rsidRDefault="001B0CF3" w:rsidP="001B0CF3">
            <w:pPr>
              <w:pStyle w:val="BodyText"/>
            </w:pPr>
            <w:r w:rsidRPr="001B0CF3">
              <w:t>Ensure the design terms of reference provide guidance on the CSO selection process.</w:t>
            </w:r>
          </w:p>
          <w:p w14:paraId="1804F44F" w14:textId="77777777" w:rsidR="001B0CF3" w:rsidRPr="001B0CF3" w:rsidRDefault="001B0CF3" w:rsidP="001B0CF3">
            <w:pPr>
              <w:pStyle w:val="BodyText"/>
            </w:pPr>
            <w:r w:rsidRPr="001B0CF3">
              <w:t>Consult with NGO and gender sections as well as CSOs (through the WASH Reference Group) on the selection process for Water for Women. This will improve understanding and acceptance of the final selection process.</w:t>
            </w:r>
          </w:p>
          <w:p w14:paraId="1501B039" w14:textId="111D2B2E" w:rsidR="00EB6B89" w:rsidRDefault="001B0CF3" w:rsidP="001B0CF3">
            <w:pPr>
              <w:pStyle w:val="BodyText"/>
            </w:pPr>
            <w:r w:rsidRPr="001B0CF3">
              <w:t>Call for Expressions of Interest to include extensive information about the selection process and criteria and emphasise that prior performance in WASH and gender is given a high weighting.</w:t>
            </w:r>
            <w:r>
              <w:t xml:space="preserve">  </w:t>
            </w:r>
          </w:p>
        </w:tc>
        <w:tc>
          <w:tcPr>
            <w:tcW w:w="2268" w:type="dxa"/>
            <w:shd w:val="clear" w:color="auto" w:fill="BFD7F6" w:themeFill="text2" w:themeFillTint="33"/>
          </w:tcPr>
          <w:p w14:paraId="058BCC13" w14:textId="77777777" w:rsidR="001B0CF3" w:rsidRPr="001B0CF3" w:rsidRDefault="001B0CF3" w:rsidP="001B0CF3">
            <w:pPr>
              <w:pStyle w:val="BodyText"/>
            </w:pPr>
            <w:r w:rsidRPr="001B0CF3">
              <w:t>December 2016 – Terms of Reference for design of Water for Women Initiative.</w:t>
            </w:r>
          </w:p>
          <w:p w14:paraId="5F20B69D" w14:textId="20098DDC" w:rsidR="001B0CF3" w:rsidRPr="001B0CF3" w:rsidRDefault="001B0CF3" w:rsidP="001B0CF3">
            <w:pPr>
              <w:pStyle w:val="BodyText"/>
            </w:pPr>
            <w:r w:rsidRPr="001B0CF3">
              <w:t xml:space="preserve">February 2017 </w:t>
            </w:r>
            <w:r w:rsidR="002B5939">
              <w:t xml:space="preserve">- </w:t>
            </w:r>
            <w:r w:rsidRPr="001B0CF3">
              <w:t>form a DFAT review group comprising WSH, Gender, NGO and other relevant sections which will consider the design including the CSO selection process.</w:t>
            </w:r>
          </w:p>
          <w:p w14:paraId="7CD24089" w14:textId="050A8A58" w:rsidR="00EB6B89" w:rsidRDefault="001B0CF3" w:rsidP="001B0CF3">
            <w:pPr>
              <w:pStyle w:val="BodyText"/>
            </w:pPr>
            <w:r w:rsidRPr="001B0CF3">
              <w:t>September 2017 to January 2018 – CSO selection process.</w:t>
            </w:r>
          </w:p>
        </w:tc>
      </w:tr>
    </w:tbl>
    <w:tbl>
      <w:tblPr>
        <w:tblStyle w:val="ODETable5"/>
        <w:tblW w:w="0" w:type="auto"/>
        <w:tblLook w:val="04A0" w:firstRow="1" w:lastRow="0" w:firstColumn="1" w:lastColumn="0" w:noHBand="0" w:noVBand="1"/>
        <w:tblCaption w:val="management responses to the seven recommendations of the evaluation"/>
        <w:tblDescription w:val="The table sets out the response to seven recommendation, including whether management agrees, and explanation of why, what action they will take and by when."/>
      </w:tblPr>
      <w:tblGrid>
        <w:gridCol w:w="2609"/>
        <w:gridCol w:w="1276"/>
        <w:gridCol w:w="3969"/>
        <w:gridCol w:w="4252"/>
        <w:gridCol w:w="2268"/>
      </w:tblGrid>
      <w:tr w:rsidR="00EB6B89" w14:paraId="28416DBA" w14:textId="77777777" w:rsidTr="001B0CF3">
        <w:trPr>
          <w:cnfStyle w:val="100000000000" w:firstRow="1" w:lastRow="0" w:firstColumn="0" w:lastColumn="0" w:oddVBand="0" w:evenVBand="0" w:oddHBand="0" w:evenHBand="0" w:firstRowFirstColumn="0" w:firstRowLastColumn="0" w:lastRowFirstColumn="0" w:lastRowLastColumn="0"/>
        </w:trPr>
        <w:tc>
          <w:tcPr>
            <w:tcW w:w="2609" w:type="dxa"/>
            <w:shd w:val="clear" w:color="auto" w:fill="BFD7F6" w:themeFill="text2" w:themeFillTint="33"/>
          </w:tcPr>
          <w:p w14:paraId="6C67DA10" w14:textId="77777777" w:rsidR="00EB6B89" w:rsidRPr="008524FE" w:rsidRDefault="00EB6B89" w:rsidP="001B0CF3">
            <w:pPr>
              <w:pStyle w:val="Heading3"/>
              <w:spacing w:before="0"/>
              <w:outlineLvl w:val="2"/>
              <w:rPr>
                <w:color w:val="auto"/>
              </w:rPr>
            </w:pPr>
            <w:r w:rsidRPr="008524FE">
              <w:rPr>
                <w:color w:val="auto"/>
              </w:rPr>
              <w:t>Recommendation 6</w:t>
            </w:r>
          </w:p>
          <w:p w14:paraId="67257C11" w14:textId="6D2E97A1" w:rsidR="00EB6B89" w:rsidRPr="001B0CF3" w:rsidRDefault="001B0CF3" w:rsidP="001B0CF3">
            <w:pPr>
              <w:pStyle w:val="BodyText"/>
            </w:pPr>
            <w:r w:rsidRPr="001B0CF3">
              <w:t>That for future CSO selection, panel members have appropriate expertise (in WASH, gender equality and disability inclusiveness, and with CSOs).</w:t>
            </w:r>
          </w:p>
        </w:tc>
        <w:tc>
          <w:tcPr>
            <w:tcW w:w="1276" w:type="dxa"/>
            <w:shd w:val="clear" w:color="auto" w:fill="7FC07C" w:themeFill="accent6" w:themeFillTint="99"/>
          </w:tcPr>
          <w:p w14:paraId="24157384" w14:textId="77777777" w:rsidR="00EB6B89" w:rsidRPr="008524FE" w:rsidRDefault="00EB6B89" w:rsidP="001B0CF3">
            <w:pPr>
              <w:pStyle w:val="Heading3"/>
              <w:spacing w:before="0"/>
              <w:outlineLvl w:val="2"/>
              <w:rPr>
                <w:color w:val="auto"/>
              </w:rPr>
            </w:pPr>
            <w:r w:rsidRPr="008524FE">
              <w:rPr>
                <w:color w:val="auto"/>
              </w:rPr>
              <w:t xml:space="preserve">Agree </w:t>
            </w:r>
          </w:p>
        </w:tc>
        <w:tc>
          <w:tcPr>
            <w:tcW w:w="3969" w:type="dxa"/>
            <w:shd w:val="clear" w:color="auto" w:fill="BFD7F6" w:themeFill="text2" w:themeFillTint="33"/>
          </w:tcPr>
          <w:p w14:paraId="2EEDBA3D" w14:textId="77777777" w:rsidR="001B0CF3" w:rsidRPr="001B0CF3" w:rsidRDefault="001B0CF3" w:rsidP="001B0CF3">
            <w:pPr>
              <w:pStyle w:val="BodyText"/>
            </w:pPr>
            <w:r w:rsidRPr="001B0CF3">
              <w:t>The panel must be able to assess CSO applications on technical, cost and organisational criteria.  The ODE evaluation has clearly pointed to areas requiring improvement including greater transparency.</w:t>
            </w:r>
          </w:p>
          <w:p w14:paraId="710E8C40" w14:textId="77777777" w:rsidR="001B0CF3" w:rsidRPr="001B0CF3" w:rsidRDefault="001B0CF3" w:rsidP="001B0CF3">
            <w:pPr>
              <w:pStyle w:val="BodyText"/>
            </w:pPr>
            <w:r w:rsidRPr="001B0CF3">
              <w:t xml:space="preserve">It is likely that DFAT will engage a contractor to manage the logistics and perform a secretariat function for the CSO selection process.  This will allow DFAT WSH to focus on ensuring the quality and consistency of the selection process.  </w:t>
            </w:r>
          </w:p>
          <w:p w14:paraId="42544BD4" w14:textId="56276823" w:rsidR="00EB6B89" w:rsidRDefault="001B0CF3" w:rsidP="001B0CF3">
            <w:pPr>
              <w:pStyle w:val="BodyText"/>
            </w:pPr>
            <w:r w:rsidRPr="001B0CF3">
              <w:t xml:space="preserve">An efficient tool to manage inputs and scores by panel members is essential.  </w:t>
            </w:r>
            <w:r w:rsidRPr="001B0CF3">
              <w:lastRenderedPageBreak/>
              <w:t>ANCP uses SmartyGrants which is a suitable application.</w:t>
            </w:r>
          </w:p>
        </w:tc>
        <w:tc>
          <w:tcPr>
            <w:tcW w:w="4252" w:type="dxa"/>
            <w:shd w:val="clear" w:color="auto" w:fill="BFD7F6" w:themeFill="text2" w:themeFillTint="33"/>
          </w:tcPr>
          <w:p w14:paraId="47D7B911" w14:textId="77777777" w:rsidR="001B0CF3" w:rsidRPr="001B0CF3" w:rsidRDefault="001B0CF3" w:rsidP="001B0CF3">
            <w:pPr>
              <w:pStyle w:val="BodyText"/>
            </w:pPr>
            <w:r w:rsidRPr="001B0CF3">
              <w:lastRenderedPageBreak/>
              <w:t>Procure contractor to manage CSO selection logistics and secretariat function.</w:t>
            </w:r>
          </w:p>
          <w:p w14:paraId="39E3AE46" w14:textId="77777777" w:rsidR="001B0CF3" w:rsidRPr="001B0CF3" w:rsidRDefault="001B0CF3" w:rsidP="001B0CF3">
            <w:pPr>
              <w:pStyle w:val="BodyText"/>
            </w:pPr>
            <w:r w:rsidRPr="001B0CF3">
              <w:t>Procure services of WASH, gender and specialist consultants to provide technical</w:t>
            </w:r>
            <w:r w:rsidRPr="00E81C5F">
              <w:t xml:space="preserve"> </w:t>
            </w:r>
            <w:r w:rsidRPr="001B0CF3">
              <w:t>inputs to the selection process.</w:t>
            </w:r>
          </w:p>
          <w:p w14:paraId="6EA178E3" w14:textId="77777777" w:rsidR="001B0CF3" w:rsidRPr="001B0CF3" w:rsidRDefault="001B0CF3" w:rsidP="001B0CF3">
            <w:pPr>
              <w:pStyle w:val="BodyText"/>
            </w:pPr>
            <w:r w:rsidRPr="001B0CF3">
              <w:t>Selection panel to have a designated leader who will be the key contact point with the Secretariat and who will pay particular attention to the quality of the selection process.</w:t>
            </w:r>
          </w:p>
          <w:p w14:paraId="5DC6D358" w14:textId="43A784EA" w:rsidR="00EB6B89" w:rsidRDefault="001B0CF3" w:rsidP="001B0CF3">
            <w:pPr>
              <w:pStyle w:val="BodyText"/>
            </w:pPr>
            <w:r w:rsidRPr="001B0CF3">
              <w:t>Trial SmartyGrants to iron out any implementation issues.</w:t>
            </w:r>
          </w:p>
        </w:tc>
        <w:tc>
          <w:tcPr>
            <w:tcW w:w="2268" w:type="dxa"/>
            <w:shd w:val="clear" w:color="auto" w:fill="BFD7F6" w:themeFill="text2" w:themeFillTint="33"/>
          </w:tcPr>
          <w:p w14:paraId="39DE8C93" w14:textId="77777777" w:rsidR="001B0CF3" w:rsidRPr="001B0CF3" w:rsidRDefault="001B0CF3" w:rsidP="001B0CF3">
            <w:pPr>
              <w:pStyle w:val="BodyText"/>
            </w:pPr>
            <w:r w:rsidRPr="001B0CF3">
              <w:t>Seek approval to approach the market for Secretariat / Logistics contractor by March 2017. Complete procurement by June 2017.</w:t>
            </w:r>
          </w:p>
          <w:p w14:paraId="29C3C483" w14:textId="77777777" w:rsidR="001B0CF3" w:rsidRPr="001B0CF3" w:rsidRDefault="001B0CF3" w:rsidP="001B0CF3">
            <w:pPr>
              <w:pStyle w:val="BodyText"/>
            </w:pPr>
            <w:r w:rsidRPr="001B0CF3">
              <w:t>Commence procurement of WASH and gender specialists by March 2017 and complete by June 2017.</w:t>
            </w:r>
          </w:p>
          <w:p w14:paraId="565698A6" w14:textId="77777777" w:rsidR="001B0CF3" w:rsidRPr="001B0CF3" w:rsidRDefault="001B0CF3" w:rsidP="001B0CF3">
            <w:pPr>
              <w:pStyle w:val="BodyText"/>
            </w:pPr>
            <w:r w:rsidRPr="001B0CF3">
              <w:t xml:space="preserve">Run trial of SmartyGrants in July </w:t>
            </w:r>
            <w:r w:rsidRPr="001B0CF3">
              <w:lastRenderedPageBreak/>
              <w:t>2017.</w:t>
            </w:r>
          </w:p>
          <w:p w14:paraId="532B07F2" w14:textId="77777777" w:rsidR="001B0CF3" w:rsidRPr="001B0CF3" w:rsidRDefault="001B0CF3" w:rsidP="001B0CF3">
            <w:pPr>
              <w:pStyle w:val="BodyText"/>
            </w:pPr>
            <w:r w:rsidRPr="001B0CF3">
              <w:t>Convene panel for an initial meeting in August 2017.</w:t>
            </w:r>
          </w:p>
          <w:p w14:paraId="2FA6ACD7" w14:textId="3FEB5672" w:rsidR="00EB6B89" w:rsidRDefault="001B0CF3" w:rsidP="001B0CF3">
            <w:pPr>
              <w:pStyle w:val="BodyText"/>
            </w:pPr>
            <w:r w:rsidRPr="001B0CF3">
              <w:t xml:space="preserve">Based on the current timeline, the call for expressions of interest by CSOs for Water for Women will occur </w:t>
            </w:r>
            <w:proofErr w:type="gramStart"/>
            <w:r w:rsidRPr="001B0CF3">
              <w:t>between September 2017 to January 2018</w:t>
            </w:r>
            <w:proofErr w:type="gramEnd"/>
            <w:r w:rsidRPr="001B0CF3">
              <w:t>.</w:t>
            </w:r>
          </w:p>
        </w:tc>
      </w:tr>
    </w:tbl>
    <w:p w14:paraId="2B0CC8BC" w14:textId="77777777" w:rsidR="007E5022" w:rsidRDefault="007E5022" w:rsidP="007E5022">
      <w:pPr>
        <w:pStyle w:val="BodyText"/>
        <w:sectPr w:rsidR="007E5022" w:rsidSect="007E5022">
          <w:footnotePr>
            <w:numFmt w:val="chicago"/>
            <w:numRestart w:val="eachPage"/>
          </w:footnotePr>
          <w:endnotePr>
            <w:numFmt w:val="decimal"/>
          </w:endnotePr>
          <w:pgSz w:w="16840" w:h="11907" w:orient="landscape" w:code="9"/>
          <w:pgMar w:top="1701" w:right="958" w:bottom="1701" w:left="907" w:header="851" w:footer="567" w:gutter="0"/>
          <w:cols w:space="720"/>
          <w:docGrid w:linePitch="326"/>
        </w:sectPr>
      </w:pPr>
    </w:p>
    <w:p w14:paraId="7DA7FFC8" w14:textId="77777777" w:rsidR="00F4368C" w:rsidRDefault="00891AEF" w:rsidP="0099593A">
      <w:pPr>
        <w:pStyle w:val="Heading1b"/>
      </w:pPr>
      <w:bookmarkStart w:id="9" w:name="_Toc468449987"/>
      <w:bookmarkStart w:id="10" w:name="_Toc373853205"/>
      <w:r>
        <w:lastRenderedPageBreak/>
        <w:t>1</w:t>
      </w:r>
      <w:r>
        <w:tab/>
      </w:r>
      <w:r w:rsidR="00472402">
        <w:t>Introduction:</w:t>
      </w:r>
      <w:r w:rsidR="0099593A">
        <w:t xml:space="preserve"> Civil Society WASH Fund</w:t>
      </w:r>
      <w:bookmarkEnd w:id="9"/>
    </w:p>
    <w:p w14:paraId="310CA4ED" w14:textId="77777777" w:rsidR="008B58E7" w:rsidRDefault="00D807C1" w:rsidP="008B58E7">
      <w:pPr>
        <w:pStyle w:val="Heading2"/>
      </w:pPr>
      <w:bookmarkStart w:id="11" w:name="_Toc468449988"/>
      <w:r w:rsidRPr="00BD09FC">
        <w:t>1</w:t>
      </w:r>
      <w:r w:rsidR="00A0021E">
        <w:t>.1</w:t>
      </w:r>
      <w:r w:rsidR="00A0021E">
        <w:tab/>
      </w:r>
      <w:bookmarkEnd w:id="10"/>
      <w:r w:rsidR="008B58E7">
        <w:t xml:space="preserve"> Background to the Fund</w:t>
      </w:r>
      <w:bookmarkEnd w:id="11"/>
    </w:p>
    <w:p w14:paraId="4D1FE8F2" w14:textId="3C069FDB" w:rsidR="005D5113" w:rsidRDefault="005D5113" w:rsidP="008B58E7">
      <w:r>
        <w:t>The Civil Society Water, Sanitation and Hygiene Fund (the Fund) is a $103 million program that runs over 2012-2018. Its object</w:t>
      </w:r>
      <w:r w:rsidR="00583B08">
        <w:t>ive</w:t>
      </w:r>
      <w:r>
        <w:t xml:space="preserve"> is to </w:t>
      </w:r>
      <w:r w:rsidRPr="00DF6F5E">
        <w:t xml:space="preserve">enhance the health and quality of life of the poor and vulnerable by improving sustainable access to safe water, sanitation and hygiene. The design of the Fund drew heavily on its predecessor program, also known as the Civil Society WASH Fund (2010-2012), and a </w:t>
      </w:r>
      <w:r w:rsidR="00594333">
        <w:t>mid-term</w:t>
      </w:r>
      <w:r w:rsidRPr="00DF6F5E">
        <w:t xml:space="preserve"> review of that program.</w:t>
      </w:r>
    </w:p>
    <w:p w14:paraId="5C386561" w14:textId="77777777" w:rsidR="00EB43E1" w:rsidRDefault="007E06F2" w:rsidP="008B58E7">
      <w:r>
        <w:t xml:space="preserve">The Fund is a competitive grants program for civil society organisations. It supports </w:t>
      </w:r>
      <w:r w:rsidR="008B58E7" w:rsidRPr="00DF6F5E">
        <w:t xml:space="preserve">13 </w:t>
      </w:r>
      <w:r w:rsidR="008B58E7">
        <w:t>civil society organisations (</w:t>
      </w:r>
      <w:r w:rsidR="008B58E7" w:rsidRPr="00DF6F5E">
        <w:t>CSOs</w:t>
      </w:r>
      <w:r w:rsidR="00583B08">
        <w:t xml:space="preserve">) </w:t>
      </w:r>
      <w:r w:rsidR="008B58E7" w:rsidRPr="00DF6F5E">
        <w:t>to deliver 29 WASH projects</w:t>
      </w:r>
      <w:r w:rsidR="008B58E7">
        <w:t xml:space="preserve"> in 19 countries (see </w:t>
      </w:r>
      <w:r w:rsidR="008B58E7" w:rsidRPr="00E85202">
        <w:t>Annex A</w:t>
      </w:r>
      <w:r w:rsidR="008B58E7" w:rsidRPr="00D7182C">
        <w:rPr>
          <w:color w:val="FF0000"/>
        </w:rPr>
        <w:t xml:space="preserve"> </w:t>
      </w:r>
      <w:r w:rsidR="008B58E7">
        <w:t>for a summary of CSOs and project locations)</w:t>
      </w:r>
      <w:r w:rsidR="008B58E7" w:rsidRPr="00DF6F5E">
        <w:t>.  Nine projects operate in East Asia, eight projects are in South Asia, and there six projects each for Africa and the Pacific. The Fund is expected to directly benefit up to 3.5 million people and indir</w:t>
      </w:r>
      <w:r w:rsidR="00583B08">
        <w:t>ectly benefit 10 million people.</w:t>
      </w:r>
    </w:p>
    <w:p w14:paraId="7A960F6E" w14:textId="3BA2382D" w:rsidR="008B58E7" w:rsidRDefault="00EB43E1" w:rsidP="008B58E7">
      <w:r>
        <w:t>The Fund is strongly focused on sustainability and the enabling environment. To this end, the Fund’s theory of change outlines that CSOs should influence WASH sector ‘change agents</w:t>
      </w:r>
      <w:r w:rsidR="000515C3">
        <w:t>’</w:t>
      </w:r>
      <w:r>
        <w:t xml:space="preserve"> (typically government or</w:t>
      </w:r>
      <w:r w:rsidR="008606DF">
        <w:t xml:space="preserve"> community actors) who will </w:t>
      </w:r>
      <w:r>
        <w:t xml:space="preserve">then deliver or support improved WASH services. </w:t>
      </w:r>
      <w:r w:rsidR="00583B08">
        <w:t xml:space="preserve">The Fund also has a strong emphasis on a number of cross cutting development </w:t>
      </w:r>
      <w:r w:rsidR="000C06E5">
        <w:t>issues, such as gender equality and disability</w:t>
      </w:r>
      <w:r w:rsidR="00583B08">
        <w:t xml:space="preserve"> inclusion.</w:t>
      </w:r>
      <w:r>
        <w:t xml:space="preserve"> </w:t>
      </w:r>
      <w:r w:rsidR="008B58E7" w:rsidRPr="00DF6F5E">
        <w:t xml:space="preserve">The Fund has </w:t>
      </w:r>
      <w:r>
        <w:t>six outcomes</w:t>
      </w:r>
      <w:r w:rsidR="008B58E7">
        <w:t xml:space="preserve">: </w:t>
      </w:r>
      <w:r w:rsidR="008B58E7" w:rsidRPr="00DF6F5E">
        <w:t xml:space="preserve"> </w:t>
      </w:r>
    </w:p>
    <w:p w14:paraId="69DADCF4" w14:textId="77777777" w:rsidR="00E85202" w:rsidRPr="00DF6F5E" w:rsidRDefault="00E85202" w:rsidP="00E85202">
      <w:pPr>
        <w:pStyle w:val="ListBullet"/>
      </w:pPr>
      <w:r w:rsidRPr="00DF6F5E">
        <w:t>Outcome 1: Improved performance of actors in the WASH enabling environment</w:t>
      </w:r>
    </w:p>
    <w:p w14:paraId="0C5B6F5C" w14:textId="77777777" w:rsidR="00E85202" w:rsidRPr="00DF6F5E" w:rsidRDefault="00E85202" w:rsidP="00E85202">
      <w:pPr>
        <w:pStyle w:val="ListBullet"/>
      </w:pPr>
      <w:r w:rsidRPr="00DF6F5E">
        <w:t>Outcome 2: Improved gender equality</w:t>
      </w:r>
    </w:p>
    <w:p w14:paraId="2ACBD36C" w14:textId="77777777" w:rsidR="00E85202" w:rsidRPr="00DF6F5E" w:rsidRDefault="00E85202" w:rsidP="00E85202">
      <w:pPr>
        <w:pStyle w:val="ListBullet"/>
      </w:pPr>
      <w:r w:rsidRPr="00DF6F5E">
        <w:t>Outcome 3: Improved WASH evidence and knowledge base</w:t>
      </w:r>
    </w:p>
    <w:p w14:paraId="687A9625" w14:textId="77777777" w:rsidR="00E85202" w:rsidRPr="00DF6F5E" w:rsidRDefault="00E85202" w:rsidP="00E85202">
      <w:pPr>
        <w:pStyle w:val="ListBullet"/>
      </w:pPr>
      <w:r w:rsidRPr="00DF6F5E">
        <w:t>Outcome 4: Improved hygiene behaviour</w:t>
      </w:r>
    </w:p>
    <w:p w14:paraId="41DF0752" w14:textId="77777777" w:rsidR="00E85202" w:rsidRPr="00DF6F5E" w:rsidRDefault="00E85202" w:rsidP="00E85202">
      <w:pPr>
        <w:pStyle w:val="ListBullet"/>
      </w:pPr>
      <w:r w:rsidRPr="00DF6F5E">
        <w:t>Outcome 5: Increased use of equitable sanitation services</w:t>
      </w:r>
    </w:p>
    <w:p w14:paraId="2428B4A0" w14:textId="77777777" w:rsidR="00E85202" w:rsidRDefault="00E85202" w:rsidP="00E85202">
      <w:pPr>
        <w:pStyle w:val="ListBullet"/>
      </w:pPr>
      <w:r w:rsidRPr="00DF6F5E">
        <w:t xml:space="preserve">Outcome 6: Increased use of improved and </w:t>
      </w:r>
      <w:r>
        <w:t>equitable water supply services.</w:t>
      </w:r>
    </w:p>
    <w:p w14:paraId="48A61DD0" w14:textId="77777777" w:rsidR="00EB43E1" w:rsidRDefault="00891AEF" w:rsidP="00590A02">
      <w:pPr>
        <w:pStyle w:val="Heading2"/>
      </w:pPr>
      <w:bookmarkStart w:id="12" w:name="_Toc468449989"/>
      <w:bookmarkStart w:id="13" w:name="_Toc373853207"/>
      <w:r>
        <w:t>1.2</w:t>
      </w:r>
      <w:r w:rsidR="00EB43E1">
        <w:tab/>
        <w:t>Fund management arrangements</w:t>
      </w:r>
      <w:bookmarkEnd w:id="12"/>
    </w:p>
    <w:p w14:paraId="27D29D8A" w14:textId="77777777" w:rsidR="00E85202" w:rsidRDefault="00E85202" w:rsidP="0019783E">
      <w:pPr>
        <w:pStyle w:val="BodyText"/>
      </w:pPr>
      <w:r>
        <w:t>The Fund’s management arrangements</w:t>
      </w:r>
      <w:r w:rsidR="00D7566F">
        <w:t xml:space="preserve"> aim to</w:t>
      </w:r>
      <w:r>
        <w:t xml:space="preserve"> support CSOs to implement high quality WASH projects. </w:t>
      </w:r>
      <w:r w:rsidR="00D7566F">
        <w:t>Figure 1 outlines the main stakeholders involved in Fund management. In summary:</w:t>
      </w:r>
    </w:p>
    <w:p w14:paraId="55F27CF7" w14:textId="77777777" w:rsidR="00D7566F" w:rsidRDefault="00D7566F" w:rsidP="00D7566F">
      <w:pPr>
        <w:pStyle w:val="ListBullet"/>
      </w:pPr>
      <w:r>
        <w:t xml:space="preserve">The DFAT Water, Sanitation and Hygiene Section (DFAT WSH) provides strategic oversight of the Fund. It also holds and manages contracts with all the major stakeholders in the Fund – the </w:t>
      </w:r>
      <w:r w:rsidR="001D45BD">
        <w:t>Fund Management Facility</w:t>
      </w:r>
      <w:r>
        <w:t>, the Monitoring, Evaluation and Review Panel (MERP) and the CSOs</w:t>
      </w:r>
    </w:p>
    <w:p w14:paraId="52B0F4A8" w14:textId="1DB6EC3A" w:rsidR="00D7566F" w:rsidRDefault="00D7566F" w:rsidP="00D7566F">
      <w:pPr>
        <w:pStyle w:val="ListBullet"/>
      </w:pPr>
      <w:r>
        <w:t>The Fund Management Facility</w:t>
      </w:r>
      <w:r w:rsidR="001D45BD">
        <w:t xml:space="preserve"> (FMF)</w:t>
      </w:r>
      <w:r w:rsidR="000C06E5">
        <w:t>, through the Fund Manager</w:t>
      </w:r>
      <w:r>
        <w:t>, is responsible for day to day Fund management and ensuring smooth communication flows between all parties</w:t>
      </w:r>
      <w:r w:rsidR="001D45BD">
        <w:t>. The FMF is also responsible for the Fund’s Knowledge a</w:t>
      </w:r>
      <w:r w:rsidR="00AD4726">
        <w:t>nd Learning component (</w:t>
      </w:r>
      <w:r w:rsidR="001D45BD">
        <w:t>described below</w:t>
      </w:r>
      <w:r w:rsidR="00AD4726">
        <w:t>)</w:t>
      </w:r>
    </w:p>
    <w:p w14:paraId="69A6C492" w14:textId="1A9C0ED6" w:rsidR="00BC2F3E" w:rsidRDefault="001D45BD" w:rsidP="00D7566F">
      <w:pPr>
        <w:pStyle w:val="ListBullet"/>
      </w:pPr>
      <w:r>
        <w:t>The Monitoring, Evaluation and Review Panel (the ME</w:t>
      </w:r>
      <w:r w:rsidR="00AD4726">
        <w:t>RP) is a three member team</w:t>
      </w:r>
      <w:r>
        <w:t xml:space="preserve"> responsible for the Fund’s monitoring and evaluation arrangements</w:t>
      </w:r>
      <w:r w:rsidR="00AD4726">
        <w:t xml:space="preserve"> (described below) </w:t>
      </w:r>
    </w:p>
    <w:p w14:paraId="4609EB14" w14:textId="0D16EE2B" w:rsidR="00B47BF5" w:rsidRDefault="00B47BF5" w:rsidP="00BC2F3E">
      <w:pPr>
        <w:pStyle w:val="ListBullet"/>
      </w:pPr>
      <w:r>
        <w:t xml:space="preserve">DFAT Posts in the countries where the Fund is implemented are engaged to varying degrees. Similar to other centrally-managed DFAT programs, Posts are not obliged to be involved in </w:t>
      </w:r>
      <w:r>
        <w:lastRenderedPageBreak/>
        <w:t xml:space="preserve">Fund management and can engage to the degree that corresponds with their level of interest </w:t>
      </w:r>
    </w:p>
    <w:p w14:paraId="0C2157D2" w14:textId="52E5B5C6" w:rsidR="004520B5" w:rsidRDefault="00BC2F3E" w:rsidP="0019783E">
      <w:pPr>
        <w:pStyle w:val="ListBullet"/>
      </w:pPr>
      <w:r>
        <w:t xml:space="preserve">Within CSOs who are funded, two levels of staff are involved in fund management. Each of the 29 projects has an in-country </w:t>
      </w:r>
      <w:r w:rsidRPr="00430A05">
        <w:t>project manager</w:t>
      </w:r>
      <w:r>
        <w:t xml:space="preserve"> who oversees project implementation. CSOs also have a program manager</w:t>
      </w:r>
      <w:r w:rsidR="00594333">
        <w:t>, generally</w:t>
      </w:r>
      <w:r>
        <w:t xml:space="preserve"> based in CSO headquarters</w:t>
      </w:r>
      <w:r w:rsidR="00594333">
        <w:t>,</w:t>
      </w:r>
      <w:r>
        <w:t xml:space="preserve"> who oversees that organisation’s portfolio of projects. </w:t>
      </w:r>
    </w:p>
    <w:p w14:paraId="665578D6" w14:textId="39E6AF49" w:rsidR="004520B5" w:rsidRDefault="004520B5" w:rsidP="004520B5">
      <w:pPr>
        <w:pStyle w:val="BodyText"/>
      </w:pPr>
      <w:r>
        <w:t xml:space="preserve">Note that throughout this report, the main stakeholders involved in Fund management (DFAT WSH, FMF and the MERP) are collectively referred to as the Fund management team. </w:t>
      </w:r>
    </w:p>
    <w:p w14:paraId="50F93F81" w14:textId="77777777" w:rsidR="00BC2F3E" w:rsidRDefault="00BC2F3E" w:rsidP="0019783E">
      <w:pPr>
        <w:pStyle w:val="TableandFigureName"/>
      </w:pPr>
      <w:r w:rsidRPr="002406B8">
        <w:t>Figure 1: Stakeholders involved in Fund management</w:t>
      </w:r>
    </w:p>
    <w:p w14:paraId="05061767" w14:textId="77777777" w:rsidR="00042B25" w:rsidRDefault="00BC2F3E" w:rsidP="001A337D">
      <w:pPr>
        <w:pStyle w:val="ListBullet"/>
        <w:numPr>
          <w:ilvl w:val="0"/>
          <w:numId w:val="0"/>
        </w:numPr>
      </w:pPr>
      <w:r>
        <w:rPr>
          <w:noProof/>
        </w:rPr>
        <w:drawing>
          <wp:inline distT="0" distB="0" distL="0" distR="0" wp14:anchorId="2CC9FC6A" wp14:editId="4A33F772">
            <wp:extent cx="5400675" cy="4439792"/>
            <wp:effectExtent l="0" t="0" r="0" b="0"/>
            <wp:docPr id="295" name="Picture 295" descr="The image summarises the stakeholders involved in Fund management, as described in Section 1.2 Fund management arrangements. " title="Stakeholders involved in Fund manage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00675" cy="4439792"/>
                    </a:xfrm>
                    <a:prstGeom prst="rect">
                      <a:avLst/>
                    </a:prstGeom>
                  </pic:spPr>
                </pic:pic>
              </a:graphicData>
            </a:graphic>
          </wp:inline>
        </w:drawing>
      </w:r>
      <w:bookmarkEnd w:id="13"/>
    </w:p>
    <w:p w14:paraId="55BC6E3C" w14:textId="7D0A89A2" w:rsidR="001A337D" w:rsidRPr="009919D0" w:rsidRDefault="001A337D" w:rsidP="001A337D">
      <w:pPr>
        <w:pStyle w:val="Heading2"/>
      </w:pPr>
      <w:bookmarkStart w:id="14" w:name="_Toc457471928"/>
      <w:bookmarkStart w:id="15" w:name="_Toc468449990"/>
      <w:r>
        <w:t xml:space="preserve">1.3 </w:t>
      </w:r>
      <w:r w:rsidR="0019783E">
        <w:tab/>
      </w:r>
      <w:r w:rsidR="00F02BE6">
        <w:t>Fund monitoring and evaluation,</w:t>
      </w:r>
      <w:r>
        <w:t xml:space="preserve"> and l</w:t>
      </w:r>
      <w:r w:rsidRPr="006C6D1C">
        <w:t>earning</w:t>
      </w:r>
      <w:bookmarkEnd w:id="14"/>
      <w:bookmarkEnd w:id="15"/>
      <w:r w:rsidRPr="006C6D1C">
        <w:t xml:space="preserve"> </w:t>
      </w:r>
    </w:p>
    <w:p w14:paraId="38DDC6E5" w14:textId="77777777" w:rsidR="001A337D" w:rsidRPr="005E7818" w:rsidRDefault="001A337D" w:rsidP="001A337D">
      <w:r>
        <w:t>T</w:t>
      </w:r>
      <w:r w:rsidRPr="005E7818">
        <w:t xml:space="preserve">he Fund has a strong focus on generating evidence-based knowledge, learning and innovation. This is achieved in three ways: </w:t>
      </w:r>
    </w:p>
    <w:p w14:paraId="2F240387" w14:textId="77777777" w:rsidR="00E504AB" w:rsidRPr="00E504AB" w:rsidRDefault="001A337D" w:rsidP="00E504AB">
      <w:pPr>
        <w:pStyle w:val="ListBullet"/>
      </w:pPr>
      <w:r w:rsidRPr="005E7818">
        <w:rPr>
          <w:lang w:val="en-US"/>
        </w:rPr>
        <w:t>CSOs are expected to innovate and share evidence-based kn</w:t>
      </w:r>
      <w:r>
        <w:rPr>
          <w:lang w:val="en-US"/>
        </w:rPr>
        <w:t>owledge through their projects</w:t>
      </w:r>
      <w:r w:rsidRPr="005E7818">
        <w:rPr>
          <w:lang w:val="en-US"/>
        </w:rPr>
        <w:t xml:space="preserve"> </w:t>
      </w:r>
    </w:p>
    <w:p w14:paraId="13A81EB3" w14:textId="517B4292" w:rsidR="00E504AB" w:rsidRDefault="001A337D" w:rsidP="00E504AB">
      <w:pPr>
        <w:pStyle w:val="ListBullet"/>
      </w:pPr>
      <w:r w:rsidRPr="00E504AB">
        <w:rPr>
          <w:lang w:val="en-US"/>
        </w:rPr>
        <w:t xml:space="preserve">The MERP supports </w:t>
      </w:r>
      <w:r w:rsidRPr="005E7818">
        <w:t>ongoing learning and application of evidence-based knowledge across the Fund. Further information on the MERP’s role is below</w:t>
      </w:r>
    </w:p>
    <w:p w14:paraId="33AE6589" w14:textId="27E2F65F" w:rsidR="001A337D" w:rsidRPr="007572C7" w:rsidRDefault="001A337D" w:rsidP="00E504AB">
      <w:pPr>
        <w:pStyle w:val="ListBullet"/>
      </w:pPr>
      <w:r w:rsidRPr="00E504AB">
        <w:rPr>
          <w:rFonts w:eastAsia="Cambria"/>
          <w:lang w:val="en-US" w:eastAsia="en-US"/>
        </w:rPr>
        <w:t>A specific Knowledge and Learning component, managed by the Knowledge and Learning Manager from the Fund Management Facility, supports strategic research, innovation and evaluation and the sharing of knowledge and learnin</w:t>
      </w:r>
      <w:r w:rsidR="00E504AB">
        <w:rPr>
          <w:rFonts w:eastAsia="Cambria"/>
          <w:lang w:val="en-US" w:eastAsia="en-US"/>
        </w:rPr>
        <w:t xml:space="preserve">g across </w:t>
      </w:r>
      <w:r w:rsidR="00151C67">
        <w:rPr>
          <w:rFonts w:eastAsia="Cambria"/>
          <w:lang w:val="en-US" w:eastAsia="en-US"/>
        </w:rPr>
        <w:t xml:space="preserve">Fund </w:t>
      </w:r>
      <w:r w:rsidR="00E504AB">
        <w:rPr>
          <w:rFonts w:eastAsia="Cambria"/>
          <w:lang w:val="en-US" w:eastAsia="en-US"/>
        </w:rPr>
        <w:t>CSO projects</w:t>
      </w:r>
      <w:r w:rsidR="00151C67">
        <w:rPr>
          <w:rFonts w:eastAsia="Cambria"/>
          <w:lang w:val="en-US" w:eastAsia="en-US"/>
        </w:rPr>
        <w:t xml:space="preserve"> and</w:t>
      </w:r>
      <w:r w:rsidR="001767DA">
        <w:rPr>
          <w:rFonts w:eastAsia="Cambria"/>
          <w:lang w:val="en-US" w:eastAsia="en-US"/>
        </w:rPr>
        <w:t xml:space="preserve"> with</w:t>
      </w:r>
      <w:r w:rsidR="00151C67">
        <w:rPr>
          <w:rFonts w:eastAsia="Cambria"/>
          <w:lang w:val="en-US" w:eastAsia="en-US"/>
        </w:rPr>
        <w:t xml:space="preserve"> the wider WASH sector</w:t>
      </w:r>
      <w:r w:rsidRPr="00E504AB">
        <w:rPr>
          <w:rFonts w:eastAsia="Cambria"/>
          <w:lang w:val="en-US" w:eastAsia="en-US"/>
        </w:rPr>
        <w:t>. Further information on this is below.</w:t>
      </w:r>
    </w:p>
    <w:p w14:paraId="447A0E90" w14:textId="77777777" w:rsidR="001A337D" w:rsidRPr="005E7818" w:rsidRDefault="00A21C09" w:rsidP="001A337D">
      <w:pPr>
        <w:pStyle w:val="Heading3"/>
        <w:rPr>
          <w:rFonts w:eastAsia="Cambria"/>
          <w:lang w:val="en-US" w:eastAsia="zh-CN"/>
        </w:rPr>
      </w:pPr>
      <w:r>
        <w:rPr>
          <w:rFonts w:eastAsia="Cambria"/>
          <w:lang w:val="en-US" w:eastAsia="zh-CN"/>
        </w:rPr>
        <w:t>1.3.1</w:t>
      </w:r>
      <w:r>
        <w:rPr>
          <w:rFonts w:eastAsia="Cambria"/>
          <w:lang w:val="en-US" w:eastAsia="zh-CN"/>
        </w:rPr>
        <w:tab/>
      </w:r>
      <w:r w:rsidR="0019783E">
        <w:rPr>
          <w:rFonts w:eastAsia="Cambria"/>
          <w:lang w:val="en-US" w:eastAsia="zh-CN"/>
        </w:rPr>
        <w:tab/>
      </w:r>
      <w:r w:rsidR="001A337D" w:rsidRPr="005E7818">
        <w:rPr>
          <w:rFonts w:eastAsia="Cambria"/>
          <w:lang w:val="en-US" w:eastAsia="zh-CN"/>
        </w:rPr>
        <w:t>Monitoring, Evaluation and Review Panel (MERP)</w:t>
      </w:r>
    </w:p>
    <w:p w14:paraId="198D8354" w14:textId="77777777" w:rsidR="001A337D" w:rsidRDefault="001A337D" w:rsidP="001A337D">
      <w:pPr>
        <w:rPr>
          <w:rFonts w:eastAsia="Cambria"/>
        </w:rPr>
      </w:pPr>
      <w:r w:rsidRPr="005E7818">
        <w:rPr>
          <w:rFonts w:eastAsia="Cambria"/>
        </w:rPr>
        <w:t xml:space="preserve">The Fund has a three member Monitoring, Evaluation and Review Panel. </w:t>
      </w:r>
      <w:r>
        <w:rPr>
          <w:rFonts w:eastAsia="Cambria"/>
        </w:rPr>
        <w:t xml:space="preserve">In the previous Fund a similar panel was viewed by DFAT and CSOs as highly successful, and so the model was </w:t>
      </w:r>
      <w:r w:rsidR="00E504AB">
        <w:rPr>
          <w:rFonts w:eastAsia="Cambria"/>
        </w:rPr>
        <w:t xml:space="preserve">retained for </w:t>
      </w:r>
      <w:r>
        <w:rPr>
          <w:rFonts w:eastAsia="Cambria"/>
        </w:rPr>
        <w:t xml:space="preserve">the current Fund. </w:t>
      </w:r>
    </w:p>
    <w:p w14:paraId="64F3FF43" w14:textId="77777777" w:rsidR="001A337D" w:rsidRDefault="001A337D" w:rsidP="001A337D">
      <w:pPr>
        <w:rPr>
          <w:rFonts w:eastAsia="Cambria"/>
        </w:rPr>
      </w:pPr>
      <w:r w:rsidRPr="005E7818">
        <w:rPr>
          <w:rFonts w:eastAsia="Cambria"/>
        </w:rPr>
        <w:lastRenderedPageBreak/>
        <w:t xml:space="preserve">The MERP has three main functions. The first is to work in partnership with CSOs to </w:t>
      </w:r>
      <w:r>
        <w:rPr>
          <w:rFonts w:eastAsia="Cambria"/>
        </w:rPr>
        <w:t>improve CSO projects by working as M&amp;E ‘coaches’</w:t>
      </w:r>
      <w:r w:rsidRPr="005E7818">
        <w:rPr>
          <w:rFonts w:eastAsia="Cambria"/>
        </w:rPr>
        <w:t xml:space="preserve">. </w:t>
      </w:r>
      <w:r>
        <w:rPr>
          <w:rFonts w:eastAsia="Cambria"/>
        </w:rPr>
        <w:t>This is achieved by conducting monitoring visits to project sites to support CSOs to identify project improvements</w:t>
      </w:r>
      <w:r w:rsidRPr="005E7818">
        <w:rPr>
          <w:rFonts w:eastAsia="Cambria"/>
          <w:position w:val="6"/>
          <w:sz w:val="16"/>
          <w:szCs w:val="12"/>
        </w:rPr>
        <w:footnoteReference w:id="2"/>
      </w:r>
      <w:r>
        <w:rPr>
          <w:rFonts w:eastAsia="Cambria"/>
        </w:rPr>
        <w:t xml:space="preserve"> and by assisting CSOs with project M&amp;E and reporting. </w:t>
      </w:r>
    </w:p>
    <w:p w14:paraId="08D5235D" w14:textId="71760193" w:rsidR="00594333" w:rsidRDefault="001A337D" w:rsidP="001A337D">
      <w:pPr>
        <w:rPr>
          <w:rFonts w:eastAsia="Cambria"/>
        </w:rPr>
      </w:pPr>
      <w:r w:rsidRPr="005E7818">
        <w:rPr>
          <w:rFonts w:eastAsia="Cambria"/>
        </w:rPr>
        <w:t>Second, the MERP plays a role to support learning across the Fund. It does this by, for example,</w:t>
      </w:r>
      <w:r w:rsidR="00594333">
        <w:rPr>
          <w:rFonts w:eastAsia="Cambria"/>
        </w:rPr>
        <w:t xml:space="preserve"> having a Fund-wide perspective and facilitating the transfer of ideas and innovations across the Fund, particularly through monitoring visits. The MERP also supports the Knowledge and Learning component.</w:t>
      </w:r>
    </w:p>
    <w:p w14:paraId="010CD623" w14:textId="1B0B928A" w:rsidR="00E504AB" w:rsidRDefault="00E504AB" w:rsidP="001A337D">
      <w:pPr>
        <w:rPr>
          <w:rFonts w:eastAsia="Cambria"/>
        </w:rPr>
      </w:pPr>
      <w:r>
        <w:rPr>
          <w:rFonts w:eastAsia="Cambria"/>
        </w:rPr>
        <w:t>Finally, the MERP is responsible for overall Fund monitoring, evaluation and reporting. The MERP designed and oversees the Fund’s performance assessment arrangements, assists CSOs to report against these arrangements, and completes Fund-wide aggregate reporting. As part</w:t>
      </w:r>
      <w:r w:rsidR="00F02BE6">
        <w:rPr>
          <w:rFonts w:eastAsia="Cambria"/>
        </w:rPr>
        <w:t xml:space="preserve"> of this, the MERP is </w:t>
      </w:r>
      <w:r>
        <w:rPr>
          <w:rFonts w:eastAsia="Cambria"/>
        </w:rPr>
        <w:t>conducting a mid-term review of the Fund’s achievements and effectiveness to date. Nine separate mid-term review ‘notes’ have been produced, covering topics such</w:t>
      </w:r>
      <w:r w:rsidR="00F02BE6">
        <w:rPr>
          <w:rFonts w:eastAsia="Cambria"/>
        </w:rPr>
        <w:t xml:space="preserve"> as an analysis of progress, a </w:t>
      </w:r>
      <w:r>
        <w:rPr>
          <w:rFonts w:eastAsia="Cambria"/>
        </w:rPr>
        <w:t xml:space="preserve">discussion of expected changes and emerging impacts, and an outline of approaches to gender equality and social inclusion. </w:t>
      </w:r>
    </w:p>
    <w:p w14:paraId="647FA28D" w14:textId="77777777" w:rsidR="001A337D" w:rsidRPr="005E7818" w:rsidRDefault="00A21C09" w:rsidP="001A337D">
      <w:pPr>
        <w:pStyle w:val="Heading3"/>
        <w:rPr>
          <w:rFonts w:eastAsia="Cambria"/>
          <w:lang w:val="en-US" w:eastAsia="zh-CN"/>
        </w:rPr>
      </w:pPr>
      <w:r>
        <w:rPr>
          <w:rFonts w:eastAsia="Cambria"/>
          <w:lang w:val="en-US" w:eastAsia="zh-CN"/>
        </w:rPr>
        <w:t>1.3.2</w:t>
      </w:r>
      <w:r>
        <w:rPr>
          <w:rFonts w:eastAsia="Cambria"/>
          <w:lang w:val="en-US" w:eastAsia="zh-CN"/>
        </w:rPr>
        <w:tab/>
      </w:r>
      <w:r w:rsidR="0019783E">
        <w:rPr>
          <w:rFonts w:eastAsia="Cambria"/>
          <w:lang w:val="en-US" w:eastAsia="zh-CN"/>
        </w:rPr>
        <w:tab/>
      </w:r>
      <w:r w:rsidR="001A337D" w:rsidRPr="005E7818">
        <w:rPr>
          <w:rFonts w:eastAsia="Cambria"/>
          <w:lang w:val="en-US" w:eastAsia="zh-CN"/>
        </w:rPr>
        <w:t>Knowledge and Learning Component</w:t>
      </w:r>
    </w:p>
    <w:p w14:paraId="0F8BF104" w14:textId="77777777" w:rsidR="001A337D" w:rsidRPr="005E7818" w:rsidRDefault="001A337D" w:rsidP="001A337D">
      <w:pPr>
        <w:rPr>
          <w:rFonts w:eastAsia="Cambria"/>
          <w:lang w:val="en-US" w:eastAsia="en-US"/>
        </w:rPr>
      </w:pPr>
      <w:r w:rsidRPr="005E7818">
        <w:rPr>
          <w:rFonts w:eastAsia="Cambria"/>
          <w:lang w:val="en-US" w:eastAsia="en-US"/>
        </w:rPr>
        <w:t xml:space="preserve">One of the recommendations from the completion review of the Fund’s predecessor program was that an enhanced Knowledge and Learning </w:t>
      </w:r>
      <w:r>
        <w:rPr>
          <w:rFonts w:eastAsia="Cambria"/>
          <w:lang w:val="en-US" w:eastAsia="en-US"/>
        </w:rPr>
        <w:t xml:space="preserve">(K&amp;L) </w:t>
      </w:r>
      <w:r w:rsidRPr="005E7818">
        <w:rPr>
          <w:rFonts w:eastAsia="Cambria"/>
          <w:lang w:val="en-US" w:eastAsia="en-US"/>
        </w:rPr>
        <w:t>component should be included in the Fund’s design. This was adopted by the Fund’s designers and represents a key part of the Fund’s approach to knowledge and learning.</w:t>
      </w:r>
      <w:r>
        <w:rPr>
          <w:rFonts w:eastAsia="Cambria"/>
          <w:lang w:val="en-US" w:eastAsia="en-US"/>
        </w:rPr>
        <w:t xml:space="preserve"> As noted above, the K&amp;L component is managed by the Knowledge and Learning Manager (KALM). </w:t>
      </w:r>
    </w:p>
    <w:p w14:paraId="06A9D3B7" w14:textId="5B3E2CE7" w:rsidR="001A337D" w:rsidRDefault="001A337D" w:rsidP="001A337D">
      <w:pPr>
        <w:rPr>
          <w:rFonts w:eastAsia="Cambria"/>
          <w:lang w:val="en-US" w:eastAsia="en-US"/>
        </w:rPr>
      </w:pPr>
      <w:r w:rsidRPr="005E7818">
        <w:rPr>
          <w:rFonts w:eastAsia="Cambria"/>
          <w:lang w:val="en-US" w:eastAsia="en-US"/>
        </w:rPr>
        <w:t xml:space="preserve">There are two main areas of work under this component. The first is generating evidence-based knowledge in the WASH sector. To achieve this, the KALM </w:t>
      </w:r>
      <w:r>
        <w:rPr>
          <w:rFonts w:eastAsia="Cambria"/>
          <w:lang w:val="en-US" w:eastAsia="en-US"/>
        </w:rPr>
        <w:t xml:space="preserve">works with CSOs to monitor and share the evidence base developed through Fund projects. This includes management of </w:t>
      </w:r>
      <w:r w:rsidR="0026244A">
        <w:rPr>
          <w:rFonts w:eastAsia="Cambria"/>
          <w:lang w:val="en-US" w:eastAsia="en-US"/>
        </w:rPr>
        <w:t xml:space="preserve">the </w:t>
      </w:r>
      <w:r>
        <w:rPr>
          <w:rFonts w:eastAsia="Cambria"/>
          <w:lang w:val="en-US" w:eastAsia="en-US"/>
        </w:rPr>
        <w:t>Innovation and Impact Fund (I&amp;I Fund</w:t>
      </w:r>
      <w:r w:rsidRPr="005E7818">
        <w:rPr>
          <w:rFonts w:eastAsia="Cambria"/>
          <w:lang w:val="en-US" w:eastAsia="en-US"/>
        </w:rPr>
        <w:t xml:space="preserve">) </w:t>
      </w:r>
      <w:r>
        <w:rPr>
          <w:rFonts w:eastAsia="Cambria"/>
          <w:lang w:val="en-US" w:eastAsia="en-US"/>
        </w:rPr>
        <w:t xml:space="preserve">which </w:t>
      </w:r>
      <w:r w:rsidRPr="005E7818">
        <w:rPr>
          <w:rFonts w:eastAsia="Cambria"/>
          <w:lang w:val="en-US" w:eastAsia="en-US"/>
        </w:rPr>
        <w:t>encourage</w:t>
      </w:r>
      <w:r>
        <w:rPr>
          <w:rFonts w:eastAsia="Cambria"/>
          <w:lang w:val="en-US" w:eastAsia="en-US"/>
        </w:rPr>
        <w:t>s</w:t>
      </w:r>
      <w:r w:rsidRPr="005E7818">
        <w:rPr>
          <w:rFonts w:eastAsia="Cambria"/>
          <w:lang w:val="en-US" w:eastAsia="en-US"/>
        </w:rPr>
        <w:t xml:space="preserve"> CSOs to trial new mo</w:t>
      </w:r>
      <w:r w:rsidR="0026244A">
        <w:rPr>
          <w:rFonts w:eastAsia="Cambria"/>
          <w:lang w:val="en-US" w:eastAsia="en-US"/>
        </w:rPr>
        <w:t xml:space="preserve">dels and approaches to </w:t>
      </w:r>
      <w:r w:rsidRPr="005E7818">
        <w:rPr>
          <w:rFonts w:eastAsia="Cambria"/>
          <w:lang w:val="en-US" w:eastAsia="en-US"/>
        </w:rPr>
        <w:t>influence the WASH sector.</w:t>
      </w:r>
      <w:r>
        <w:rPr>
          <w:rFonts w:eastAsia="Cambria"/>
          <w:lang w:val="en-US" w:eastAsia="en-US"/>
        </w:rPr>
        <w:t xml:space="preserve"> DFAT has also sponsored WASH research projects through the Australian Research Development Awards (ADRAs). One ad-ho</w:t>
      </w:r>
      <w:r w:rsidR="0026244A">
        <w:rPr>
          <w:rFonts w:eastAsia="Cambria"/>
          <w:lang w:val="en-US" w:eastAsia="en-US"/>
        </w:rPr>
        <w:t xml:space="preserve">c piece of research on how CSOs learn </w:t>
      </w:r>
      <w:r>
        <w:rPr>
          <w:rFonts w:eastAsia="Cambria"/>
          <w:lang w:val="en-US" w:eastAsia="en-US"/>
        </w:rPr>
        <w:t>has also been commissioned.</w:t>
      </w:r>
    </w:p>
    <w:p w14:paraId="3C2BBBDE" w14:textId="061A93FD" w:rsidR="001A337D" w:rsidRDefault="001A337D" w:rsidP="001A337D">
      <w:pPr>
        <w:rPr>
          <w:rFonts w:eastAsia="Cambria"/>
          <w:lang w:val="en-US" w:eastAsia="en-US"/>
        </w:rPr>
      </w:pPr>
      <w:r w:rsidRPr="005E7818">
        <w:rPr>
          <w:rFonts w:eastAsia="Cambria"/>
          <w:lang w:val="en-US" w:eastAsia="en-US"/>
        </w:rPr>
        <w:t xml:space="preserve">Second, the Knowledge and Learning component aims to </w:t>
      </w:r>
      <w:r>
        <w:rPr>
          <w:rFonts w:eastAsia="Cambria"/>
          <w:lang w:val="en-US" w:eastAsia="en-US"/>
        </w:rPr>
        <w:t xml:space="preserve">facilitate the sharing of knowledge and learning </w:t>
      </w:r>
      <w:r w:rsidR="00151C67">
        <w:rPr>
          <w:rFonts w:eastAsia="Cambria"/>
          <w:lang w:val="en-US" w:eastAsia="en-US"/>
        </w:rPr>
        <w:t>between</w:t>
      </w:r>
      <w:r>
        <w:rPr>
          <w:rFonts w:eastAsia="Cambria"/>
          <w:lang w:val="en-US" w:eastAsia="en-US"/>
        </w:rPr>
        <w:t xml:space="preserve"> </w:t>
      </w:r>
      <w:r w:rsidR="00151C67">
        <w:rPr>
          <w:rFonts w:eastAsia="Cambria"/>
          <w:lang w:val="en-US" w:eastAsia="en-US"/>
        </w:rPr>
        <w:t xml:space="preserve">Fund </w:t>
      </w:r>
      <w:r>
        <w:rPr>
          <w:rFonts w:eastAsia="Cambria"/>
          <w:lang w:val="en-US" w:eastAsia="en-US"/>
        </w:rPr>
        <w:t>CSOs</w:t>
      </w:r>
      <w:r w:rsidR="00151C67">
        <w:rPr>
          <w:rFonts w:eastAsia="Cambria"/>
          <w:lang w:val="en-US" w:eastAsia="en-US"/>
        </w:rPr>
        <w:t xml:space="preserve"> and with the wider WASH sector</w:t>
      </w:r>
      <w:r>
        <w:rPr>
          <w:rFonts w:eastAsia="Cambria"/>
          <w:lang w:val="en-US" w:eastAsia="en-US"/>
        </w:rPr>
        <w:t xml:space="preserve">. This is achieved in a number of ways including: </w:t>
      </w:r>
    </w:p>
    <w:p w14:paraId="74D309D0" w14:textId="6472F5C0" w:rsidR="001A337D" w:rsidRDefault="001A337D" w:rsidP="001A337D">
      <w:pPr>
        <w:pStyle w:val="ListBullet"/>
        <w:rPr>
          <w:rFonts w:eastAsia="Cambria"/>
          <w:lang w:val="en-US" w:eastAsia="en-US"/>
        </w:rPr>
      </w:pPr>
      <w:r>
        <w:rPr>
          <w:rFonts w:eastAsia="Cambria"/>
          <w:lang w:val="en-US" w:eastAsia="en-US"/>
        </w:rPr>
        <w:t>A</w:t>
      </w:r>
      <w:r w:rsidRPr="005E7818">
        <w:rPr>
          <w:rFonts w:eastAsia="Cambria"/>
          <w:lang w:val="en-US" w:eastAsia="en-US"/>
        </w:rPr>
        <w:t>n in</w:t>
      </w:r>
      <w:r w:rsidR="0026244A">
        <w:rPr>
          <w:rFonts w:eastAsia="Cambria"/>
          <w:lang w:val="en-US" w:eastAsia="en-US"/>
        </w:rPr>
        <w:t>teractive website that supports</w:t>
      </w:r>
      <w:r w:rsidRPr="005E7818">
        <w:rPr>
          <w:rFonts w:eastAsia="Cambria"/>
          <w:lang w:val="en-US" w:eastAsia="en-US"/>
        </w:rPr>
        <w:t xml:space="preserve"> online discussion and webinars (see </w:t>
      </w:r>
      <w:hyperlink r:id="rId23" w:history="1">
        <w:r w:rsidRPr="005E7818">
          <w:rPr>
            <w:rFonts w:eastAsia="Cambria"/>
            <w:color w:val="124486" w:themeColor="text2"/>
            <w:lang w:val="en-US" w:eastAsia="en-US"/>
          </w:rPr>
          <w:t>http://www.cswashfund.org/</w:t>
        </w:r>
      </w:hyperlink>
      <w:r w:rsidRPr="005E7818">
        <w:rPr>
          <w:rFonts w:eastAsia="Cambria"/>
          <w:lang w:val="en-US" w:eastAsia="en-US"/>
        </w:rPr>
        <w:t>)</w:t>
      </w:r>
    </w:p>
    <w:p w14:paraId="5F2C6C6B" w14:textId="187141D3" w:rsidR="001A337D" w:rsidRDefault="001A337D" w:rsidP="001A337D">
      <w:pPr>
        <w:pStyle w:val="ListBullet"/>
        <w:rPr>
          <w:rFonts w:eastAsia="Cambria"/>
          <w:lang w:val="en-US" w:eastAsia="en-US"/>
        </w:rPr>
      </w:pPr>
      <w:r>
        <w:rPr>
          <w:rFonts w:eastAsia="Cambria"/>
          <w:lang w:val="en-US" w:eastAsia="en-US"/>
        </w:rPr>
        <w:t>F</w:t>
      </w:r>
      <w:r w:rsidRPr="005E7818">
        <w:rPr>
          <w:rFonts w:eastAsia="Cambria"/>
          <w:lang w:val="en-US" w:eastAsia="en-US"/>
        </w:rPr>
        <w:t xml:space="preserve">ace to face WASH </w:t>
      </w:r>
      <w:r>
        <w:rPr>
          <w:rFonts w:eastAsia="Cambria"/>
          <w:lang w:val="en-US" w:eastAsia="en-US"/>
        </w:rPr>
        <w:t>regional and global learning event</w:t>
      </w:r>
      <w:r w:rsidR="0026244A">
        <w:rPr>
          <w:rFonts w:eastAsia="Cambria"/>
          <w:lang w:val="en-US" w:eastAsia="en-US"/>
        </w:rPr>
        <w:t>s</w:t>
      </w:r>
      <w:r w:rsidRPr="005E7818">
        <w:rPr>
          <w:rFonts w:eastAsia="Cambria"/>
          <w:lang w:val="en-US" w:eastAsia="en-US"/>
        </w:rPr>
        <w:t xml:space="preserve"> which bring together CSOs supported by the Fund</w:t>
      </w:r>
      <w:r>
        <w:rPr>
          <w:rFonts w:eastAsia="Cambria"/>
          <w:lang w:val="en-US" w:eastAsia="en-US"/>
        </w:rPr>
        <w:t xml:space="preserve">. </w:t>
      </w:r>
      <w:r w:rsidR="00594333">
        <w:rPr>
          <w:rFonts w:eastAsia="Cambria"/>
          <w:lang w:val="en-US" w:eastAsia="en-US"/>
        </w:rPr>
        <w:t>Four</w:t>
      </w:r>
      <w:r>
        <w:rPr>
          <w:rFonts w:eastAsia="Cambria"/>
          <w:lang w:val="en-US" w:eastAsia="en-US"/>
        </w:rPr>
        <w:t xml:space="preserve"> such events</w:t>
      </w:r>
      <w:r w:rsidRPr="005E7818">
        <w:rPr>
          <w:rFonts w:eastAsia="Cambria"/>
          <w:lang w:val="en-US" w:eastAsia="en-US"/>
        </w:rPr>
        <w:t xml:space="preserve"> </w:t>
      </w:r>
      <w:r>
        <w:rPr>
          <w:rFonts w:eastAsia="Cambria"/>
          <w:lang w:val="en-US" w:eastAsia="en-US"/>
        </w:rPr>
        <w:t>(one global event at inception and t</w:t>
      </w:r>
      <w:r w:rsidR="00594333">
        <w:rPr>
          <w:rFonts w:eastAsia="Cambria"/>
          <w:lang w:val="en-US" w:eastAsia="en-US"/>
        </w:rPr>
        <w:t>hree</w:t>
      </w:r>
      <w:r>
        <w:rPr>
          <w:rFonts w:eastAsia="Cambria"/>
          <w:lang w:val="en-US" w:eastAsia="en-US"/>
        </w:rPr>
        <w:t xml:space="preserve"> regional event</w:t>
      </w:r>
      <w:r w:rsidR="00594333">
        <w:rPr>
          <w:rFonts w:eastAsia="Cambria"/>
          <w:lang w:val="en-US" w:eastAsia="en-US"/>
        </w:rPr>
        <w:t>s</w:t>
      </w:r>
      <w:r>
        <w:rPr>
          <w:rFonts w:eastAsia="Cambria"/>
          <w:lang w:val="en-US" w:eastAsia="en-US"/>
        </w:rPr>
        <w:t xml:space="preserve">) </w:t>
      </w:r>
      <w:r w:rsidRPr="005E7818">
        <w:rPr>
          <w:rFonts w:eastAsia="Cambria"/>
          <w:lang w:val="en-US" w:eastAsia="en-US"/>
        </w:rPr>
        <w:t>have already been held</w:t>
      </w:r>
      <w:r>
        <w:rPr>
          <w:rFonts w:eastAsia="Cambria"/>
          <w:lang w:val="en-US" w:eastAsia="en-US"/>
        </w:rPr>
        <w:t xml:space="preserve"> </w:t>
      </w:r>
      <w:r w:rsidRPr="005E7818">
        <w:rPr>
          <w:rFonts w:eastAsia="Cambria"/>
          <w:lang w:val="en-US" w:eastAsia="en-US"/>
        </w:rPr>
        <w:t>and a further t</w:t>
      </w:r>
      <w:r w:rsidR="00977716">
        <w:rPr>
          <w:rFonts w:eastAsia="Cambria"/>
          <w:lang w:val="en-US" w:eastAsia="en-US"/>
        </w:rPr>
        <w:t>wo</w:t>
      </w:r>
      <w:r w:rsidRPr="005E7818">
        <w:rPr>
          <w:rFonts w:eastAsia="Cambria"/>
          <w:lang w:val="en-US" w:eastAsia="en-US"/>
        </w:rPr>
        <w:t xml:space="preserve"> are planned</w:t>
      </w:r>
    </w:p>
    <w:p w14:paraId="46482873" w14:textId="33B6108D" w:rsidR="001A337D" w:rsidRDefault="001A337D" w:rsidP="001A337D">
      <w:pPr>
        <w:pStyle w:val="ListBullet"/>
        <w:rPr>
          <w:rFonts w:eastAsia="Cambria"/>
          <w:lang w:val="en-US" w:eastAsia="en-US"/>
        </w:rPr>
      </w:pPr>
      <w:r>
        <w:rPr>
          <w:rFonts w:eastAsia="Cambria"/>
          <w:lang w:val="en-US" w:eastAsia="en-US"/>
        </w:rPr>
        <w:t>Ensuring evidence generated throug</w:t>
      </w:r>
      <w:r w:rsidR="0026244A">
        <w:rPr>
          <w:rFonts w:eastAsia="Cambria"/>
          <w:lang w:val="en-US" w:eastAsia="en-US"/>
        </w:rPr>
        <w:t xml:space="preserve">h the Fund </w:t>
      </w:r>
      <w:r>
        <w:rPr>
          <w:rFonts w:eastAsia="Cambria"/>
          <w:lang w:val="en-US" w:eastAsia="en-US"/>
        </w:rPr>
        <w:t>is available to CSOs and the broader WASH sector</w:t>
      </w:r>
      <w:r w:rsidR="00151C67">
        <w:rPr>
          <w:rFonts w:eastAsia="Cambria"/>
          <w:lang w:val="en-US" w:eastAsia="en-US"/>
        </w:rPr>
        <w:t>, for example through the website and participation in global WASH forums</w:t>
      </w:r>
      <w:r>
        <w:rPr>
          <w:rFonts w:eastAsia="Cambria"/>
          <w:lang w:val="en-US" w:eastAsia="en-US"/>
        </w:rPr>
        <w:t>, and</w:t>
      </w:r>
    </w:p>
    <w:p w14:paraId="050315DC" w14:textId="77777777" w:rsidR="00151C67" w:rsidRDefault="001A337D" w:rsidP="007572C7">
      <w:pPr>
        <w:pStyle w:val="ListBullet"/>
        <w:rPr>
          <w:rFonts w:eastAsia="Cambria"/>
          <w:lang w:val="en-US" w:eastAsia="en-US"/>
        </w:rPr>
      </w:pPr>
      <w:r>
        <w:rPr>
          <w:rFonts w:eastAsia="Cambria"/>
          <w:lang w:val="en-US" w:eastAsia="en-US"/>
        </w:rPr>
        <w:t>Facilitating collaboration between CSOs.</w:t>
      </w:r>
      <w:r w:rsidR="00151C67" w:rsidRPr="00151C67">
        <w:rPr>
          <w:rFonts w:eastAsia="Cambria"/>
          <w:lang w:val="en-US" w:eastAsia="en-US"/>
        </w:rPr>
        <w:t xml:space="preserve"> </w:t>
      </w:r>
    </w:p>
    <w:p w14:paraId="7616A91C" w14:textId="56788EE7" w:rsidR="00151C67" w:rsidRPr="005E7818" w:rsidRDefault="00151C67" w:rsidP="00151C67">
      <w:pPr>
        <w:pStyle w:val="ListBullet"/>
        <w:numPr>
          <w:ilvl w:val="0"/>
          <w:numId w:val="0"/>
        </w:numPr>
      </w:pPr>
      <w:r>
        <w:rPr>
          <w:rFonts w:eastAsia="Cambria"/>
          <w:lang w:val="en-US" w:eastAsia="en-US"/>
        </w:rPr>
        <w:t>Note that the MERP and the KALM work closely together on Fund M&amp;</w:t>
      </w:r>
      <w:r w:rsidR="001767DA">
        <w:rPr>
          <w:rFonts w:eastAsia="Cambria"/>
          <w:lang w:val="en-US" w:eastAsia="en-US"/>
        </w:rPr>
        <w:t xml:space="preserve">E and </w:t>
      </w:r>
      <w:r w:rsidR="000C58C7">
        <w:rPr>
          <w:rFonts w:eastAsia="Cambria"/>
          <w:lang w:val="en-US" w:eastAsia="en-US"/>
        </w:rPr>
        <w:t>K&amp;L</w:t>
      </w:r>
      <w:r>
        <w:rPr>
          <w:rFonts w:eastAsia="Cambria"/>
          <w:lang w:val="en-US" w:eastAsia="en-US"/>
        </w:rPr>
        <w:t>. For example, the KALM assists the MERP’s work with CSOs by reviewing the K&amp;L sections of CSO project repor</w:t>
      </w:r>
      <w:r w:rsidR="00F305A0">
        <w:rPr>
          <w:rFonts w:eastAsia="Cambria"/>
          <w:lang w:val="en-US" w:eastAsia="en-US"/>
        </w:rPr>
        <w:t>ts and participating in selected monitoring visits. The MERP supports the KALM by, for example, identifying topics which could be covered in learning e</w:t>
      </w:r>
      <w:r w:rsidR="009A610E">
        <w:rPr>
          <w:rFonts w:eastAsia="Cambria"/>
          <w:lang w:val="en-US" w:eastAsia="en-US"/>
        </w:rPr>
        <w:t xml:space="preserve">vents and </w:t>
      </w:r>
      <w:r w:rsidR="00F305A0">
        <w:rPr>
          <w:rFonts w:eastAsia="Cambria"/>
          <w:lang w:val="en-US" w:eastAsia="en-US"/>
        </w:rPr>
        <w:t xml:space="preserve">actively participating in these events. </w:t>
      </w:r>
    </w:p>
    <w:p w14:paraId="5944ACFA" w14:textId="77777777" w:rsidR="001A337D" w:rsidRPr="008106C5" w:rsidRDefault="001A337D" w:rsidP="007572C7">
      <w:pPr>
        <w:pStyle w:val="ListBullet"/>
        <w:numPr>
          <w:ilvl w:val="0"/>
          <w:numId w:val="0"/>
        </w:numPr>
        <w:ind w:left="284" w:hanging="284"/>
        <w:rPr>
          <w:rFonts w:eastAsia="Cambria"/>
          <w:lang w:val="en-US" w:eastAsia="en-US"/>
        </w:rPr>
      </w:pPr>
    </w:p>
    <w:p w14:paraId="3AACCD8F" w14:textId="77777777" w:rsidR="00E22187" w:rsidRDefault="00E22187" w:rsidP="00E22187">
      <w:pPr>
        <w:pStyle w:val="Heading2"/>
      </w:pPr>
      <w:bookmarkStart w:id="16" w:name="_Toc457471929"/>
      <w:bookmarkStart w:id="17" w:name="_Toc468449991"/>
      <w:r>
        <w:lastRenderedPageBreak/>
        <w:t xml:space="preserve">1.4 </w:t>
      </w:r>
      <w:r w:rsidR="00710753">
        <w:tab/>
      </w:r>
      <w:r>
        <w:t>Fund budget</w:t>
      </w:r>
      <w:bookmarkEnd w:id="16"/>
      <w:bookmarkEnd w:id="17"/>
    </w:p>
    <w:p w14:paraId="1A8194E1" w14:textId="5F2609C8" w:rsidR="007511A0" w:rsidRDefault="00E22187" w:rsidP="00E22187">
      <w:pPr>
        <w:pStyle w:val="BodyText"/>
      </w:pPr>
      <w:r>
        <w:t xml:space="preserve">The total budget </w:t>
      </w:r>
      <w:r w:rsidR="007511A0">
        <w:t>for</w:t>
      </w:r>
      <w:r>
        <w:t xml:space="preserve"> the Fund is approximately $103 million. The breakdown of funding is shown in Table 1. The total management costs for the Fund are ap</w:t>
      </w:r>
      <w:r w:rsidR="001B6F11">
        <w:t>proximately $8 million, or 7.</w:t>
      </w:r>
      <w:r w:rsidR="00977716">
        <w:t>9</w:t>
      </w:r>
      <w:r w:rsidR="001B6F11">
        <w:t xml:space="preserve"> per cent </w:t>
      </w:r>
      <w:r>
        <w:t>of the Fund’s total. This includes the cost of the Fund Management Facility and the MERP, as we</w:t>
      </w:r>
      <w:r w:rsidR="0026244A">
        <w:t xml:space="preserve">ll as some small costs incurred </w:t>
      </w:r>
      <w:r>
        <w:t xml:space="preserve">by DFAT </w:t>
      </w:r>
      <w:r w:rsidR="001542F1">
        <w:t xml:space="preserve">WSH </w:t>
      </w:r>
      <w:r>
        <w:t xml:space="preserve">to set up the Fund. </w:t>
      </w:r>
    </w:p>
    <w:p w14:paraId="0FEE7F14" w14:textId="30D67ACC" w:rsidR="007511A0" w:rsidRDefault="008824EF" w:rsidP="007572C7">
      <w:pPr>
        <w:pStyle w:val="BodyText"/>
        <w:keepNext/>
      </w:pPr>
      <w:r>
        <w:t xml:space="preserve">Note that </w:t>
      </w:r>
      <w:r w:rsidR="007511A0">
        <w:t>two sets of management costs are not specified in Table 1:</w:t>
      </w:r>
    </w:p>
    <w:p w14:paraId="741DE216" w14:textId="23EBB3CA" w:rsidR="007511A0" w:rsidRDefault="007511A0" w:rsidP="007572C7">
      <w:pPr>
        <w:pStyle w:val="ListBullet"/>
      </w:pPr>
      <w:r>
        <w:t>The 1.5 full-time equivalent staff which DFAT WSH commits to Fund management</w:t>
      </w:r>
    </w:p>
    <w:p w14:paraId="73ACBF38" w14:textId="77777777" w:rsidR="001767DA" w:rsidRDefault="007511A0" w:rsidP="007572C7">
      <w:pPr>
        <w:pStyle w:val="ListBullet"/>
      </w:pPr>
      <w:r>
        <w:t>CSO-specific management cos</w:t>
      </w:r>
      <w:r w:rsidR="001767DA">
        <w:t>ts associated with each project.</w:t>
      </w:r>
    </w:p>
    <w:p w14:paraId="24FDF941" w14:textId="42CE6D4F" w:rsidR="00E22187" w:rsidRDefault="00E22187" w:rsidP="006947E2">
      <w:pPr>
        <w:pStyle w:val="BodyText"/>
      </w:pPr>
      <w:r>
        <w:t>The budget for program management is slightly less than</w:t>
      </w:r>
      <w:r w:rsidR="0026244A">
        <w:t xml:space="preserve"> the $8.6 million anticipated in the Fund’s design document</w:t>
      </w:r>
      <w:r>
        <w:t xml:space="preserve">. </w:t>
      </w:r>
    </w:p>
    <w:p w14:paraId="3E500556" w14:textId="60FAD0E3" w:rsidR="00E22187" w:rsidRPr="00725E18" w:rsidRDefault="00E06BB1" w:rsidP="00E22187">
      <w:pPr>
        <w:pStyle w:val="TableHeading1"/>
        <w:keepNext/>
      </w:pPr>
      <w:r>
        <w:t>Table 1: Budget breakdown</w:t>
      </w:r>
      <w:r w:rsidR="00E22187">
        <w:t xml:space="preserve"> across Fund activities</w:t>
      </w:r>
      <w:r w:rsidR="00977716">
        <w:rPr>
          <w:rStyle w:val="FootnoteReference"/>
        </w:rPr>
        <w:footnoteReference w:id="3"/>
      </w:r>
    </w:p>
    <w:tbl>
      <w:tblPr>
        <w:tblStyle w:val="TableGrid"/>
        <w:tblW w:w="0" w:type="auto"/>
        <w:jc w:val="center"/>
        <w:tblLook w:val="04A0" w:firstRow="1" w:lastRow="0" w:firstColumn="1" w:lastColumn="0" w:noHBand="0" w:noVBand="1"/>
        <w:tblCaption w:val="Table 1: Budget breakdown across Fund activities. "/>
        <w:tblDescription w:val="CSO grants receive $94,013,763, which is 91.3 per cent of the total Fund. CSOs grants for the Innovation and Impact Fund receive $793,951, which is 0.77 per cent of the total Fund. In total, grants to CSOs make up 92.1 per cent of the total Fund. Fund management administered by Palladium receives $5,263,449 which is 5.11 per cent of the total Fund. This includes all costs associated with the Knowledge and Learning Component, such as the costs of learning events and website set up and maintainance. Fund management administered by DFAT received $135,701 which is 0.13 per cent of the total Fund. This includes work such as the Fund design, selection and procurement processes and the inception phase workshop. The MERP receives $2,769,626 which is 2.69 per cent of the Fund total. In total, management costs make up 7.9 per cent of the Fund total. "/>
      </w:tblPr>
      <w:tblGrid>
        <w:gridCol w:w="3257"/>
        <w:gridCol w:w="2104"/>
        <w:gridCol w:w="1673"/>
        <w:gridCol w:w="1687"/>
      </w:tblGrid>
      <w:tr w:rsidR="00E22187" w14:paraId="6384B827" w14:textId="77777777" w:rsidTr="00E22187">
        <w:trPr>
          <w:jc w:val="center"/>
        </w:trPr>
        <w:tc>
          <w:tcPr>
            <w:tcW w:w="3314" w:type="dxa"/>
          </w:tcPr>
          <w:p w14:paraId="1EE97C1A" w14:textId="77777777" w:rsidR="00E22187" w:rsidRDefault="00E22187" w:rsidP="00E22187">
            <w:pPr>
              <w:pStyle w:val="TableText"/>
              <w:keepNext/>
            </w:pPr>
          </w:p>
        </w:tc>
        <w:tc>
          <w:tcPr>
            <w:tcW w:w="2126" w:type="dxa"/>
          </w:tcPr>
          <w:p w14:paraId="7E4AAC56" w14:textId="77777777" w:rsidR="00E22187" w:rsidRPr="00A36ED7" w:rsidRDefault="00E22187" w:rsidP="00E22187">
            <w:pPr>
              <w:pStyle w:val="TableText"/>
              <w:keepNext/>
              <w:rPr>
                <w:b/>
              </w:rPr>
            </w:pPr>
            <w:r w:rsidRPr="00A36ED7">
              <w:rPr>
                <w:b/>
              </w:rPr>
              <w:t>Total funding</w:t>
            </w:r>
          </w:p>
        </w:tc>
        <w:tc>
          <w:tcPr>
            <w:tcW w:w="1701" w:type="dxa"/>
          </w:tcPr>
          <w:p w14:paraId="11C2569B" w14:textId="4480096F" w:rsidR="00E22187" w:rsidRPr="00A36ED7" w:rsidRDefault="00E22187" w:rsidP="00E06BB1">
            <w:pPr>
              <w:pStyle w:val="TableText"/>
              <w:keepNext/>
              <w:tabs>
                <w:tab w:val="left" w:pos="1080"/>
              </w:tabs>
              <w:rPr>
                <w:b/>
              </w:rPr>
            </w:pPr>
            <w:r w:rsidRPr="00A36ED7">
              <w:rPr>
                <w:b/>
              </w:rPr>
              <w:t>% of total</w:t>
            </w:r>
            <w:r w:rsidR="00E06BB1">
              <w:rPr>
                <w:b/>
              </w:rPr>
              <w:tab/>
            </w:r>
          </w:p>
        </w:tc>
        <w:tc>
          <w:tcPr>
            <w:tcW w:w="1701" w:type="dxa"/>
          </w:tcPr>
          <w:p w14:paraId="6781396B" w14:textId="77777777" w:rsidR="00E22187" w:rsidRPr="00A36ED7" w:rsidRDefault="00E22187" w:rsidP="00E22187">
            <w:pPr>
              <w:pStyle w:val="TableText"/>
              <w:keepNext/>
              <w:rPr>
                <w:b/>
              </w:rPr>
            </w:pPr>
          </w:p>
        </w:tc>
      </w:tr>
      <w:tr w:rsidR="00E22187" w14:paraId="03BE0EC5" w14:textId="77777777" w:rsidTr="00E22187">
        <w:trPr>
          <w:jc w:val="center"/>
        </w:trPr>
        <w:tc>
          <w:tcPr>
            <w:tcW w:w="3314" w:type="dxa"/>
          </w:tcPr>
          <w:p w14:paraId="75999ACA" w14:textId="77777777" w:rsidR="00E22187" w:rsidRPr="00A36ED7" w:rsidRDefault="00E22187" w:rsidP="00E22187">
            <w:pPr>
              <w:pStyle w:val="TableText"/>
              <w:keepNext/>
              <w:rPr>
                <w:b/>
              </w:rPr>
            </w:pPr>
            <w:r w:rsidRPr="00A36ED7">
              <w:rPr>
                <w:b/>
              </w:rPr>
              <w:t>CSO grants</w:t>
            </w:r>
          </w:p>
        </w:tc>
        <w:tc>
          <w:tcPr>
            <w:tcW w:w="2126" w:type="dxa"/>
          </w:tcPr>
          <w:p w14:paraId="20D4236F" w14:textId="77777777" w:rsidR="00E22187" w:rsidRPr="00A36ED7" w:rsidRDefault="00E22187" w:rsidP="00E22187">
            <w:pPr>
              <w:pStyle w:val="TableText"/>
              <w:keepNext/>
            </w:pPr>
            <w:r w:rsidRPr="00A36ED7">
              <w:t>$94,013,763</w:t>
            </w:r>
          </w:p>
        </w:tc>
        <w:tc>
          <w:tcPr>
            <w:tcW w:w="1701" w:type="dxa"/>
          </w:tcPr>
          <w:p w14:paraId="05600A1B" w14:textId="1680A811" w:rsidR="00E22187" w:rsidRDefault="00E22187" w:rsidP="00E22187">
            <w:pPr>
              <w:pStyle w:val="TableText"/>
              <w:keepNext/>
            </w:pPr>
            <w:r>
              <w:t>91.</w:t>
            </w:r>
            <w:r w:rsidR="00977716">
              <w:t>3</w:t>
            </w:r>
          </w:p>
        </w:tc>
        <w:tc>
          <w:tcPr>
            <w:tcW w:w="1701" w:type="dxa"/>
            <w:vMerge w:val="restart"/>
          </w:tcPr>
          <w:p w14:paraId="50706ACD" w14:textId="60BC5E6E" w:rsidR="00E22187" w:rsidRDefault="00E22187" w:rsidP="00E22187">
            <w:pPr>
              <w:pStyle w:val="TableText"/>
              <w:keepNext/>
            </w:pPr>
            <w:r>
              <w:t>Grants: 92</w:t>
            </w:r>
            <w:r w:rsidR="00977716">
              <w:t>.1</w:t>
            </w:r>
            <w:r>
              <w:t>% of Fund total</w:t>
            </w:r>
          </w:p>
        </w:tc>
      </w:tr>
      <w:tr w:rsidR="00E22187" w14:paraId="1C15EBCF" w14:textId="77777777" w:rsidTr="00E22187">
        <w:trPr>
          <w:jc w:val="center"/>
        </w:trPr>
        <w:tc>
          <w:tcPr>
            <w:tcW w:w="3314" w:type="dxa"/>
          </w:tcPr>
          <w:p w14:paraId="2D495C4E" w14:textId="77777777" w:rsidR="00E22187" w:rsidRPr="00A36ED7" w:rsidRDefault="00E22187" w:rsidP="00E22187">
            <w:pPr>
              <w:pStyle w:val="TableText"/>
              <w:keepNext/>
              <w:rPr>
                <w:b/>
              </w:rPr>
            </w:pPr>
            <w:r>
              <w:rPr>
                <w:b/>
              </w:rPr>
              <w:t>CSO grants for Innovation and Impact Fund</w:t>
            </w:r>
          </w:p>
        </w:tc>
        <w:tc>
          <w:tcPr>
            <w:tcW w:w="2126" w:type="dxa"/>
          </w:tcPr>
          <w:p w14:paraId="7266F3C6" w14:textId="77777777" w:rsidR="00E22187" w:rsidRPr="00A36ED7" w:rsidRDefault="00E22187" w:rsidP="00E22187">
            <w:pPr>
              <w:pStyle w:val="TableText"/>
              <w:keepNext/>
            </w:pPr>
            <w:r>
              <w:t>$793,951</w:t>
            </w:r>
          </w:p>
        </w:tc>
        <w:tc>
          <w:tcPr>
            <w:tcW w:w="1701" w:type="dxa"/>
          </w:tcPr>
          <w:p w14:paraId="72A2F228" w14:textId="77777777" w:rsidR="00E22187" w:rsidRDefault="00E22187" w:rsidP="00E22187">
            <w:pPr>
              <w:pStyle w:val="TableText"/>
              <w:keepNext/>
            </w:pPr>
            <w:r>
              <w:t>0.77</w:t>
            </w:r>
          </w:p>
        </w:tc>
        <w:tc>
          <w:tcPr>
            <w:tcW w:w="1701" w:type="dxa"/>
            <w:vMerge/>
          </w:tcPr>
          <w:p w14:paraId="7030D2DA" w14:textId="77777777" w:rsidR="00E22187" w:rsidRDefault="00E22187" w:rsidP="00E22187">
            <w:pPr>
              <w:pStyle w:val="TableText"/>
              <w:keepNext/>
            </w:pPr>
          </w:p>
        </w:tc>
      </w:tr>
      <w:tr w:rsidR="00E22187" w14:paraId="02BA6FC8" w14:textId="77777777" w:rsidTr="00E22187">
        <w:trPr>
          <w:jc w:val="center"/>
        </w:trPr>
        <w:tc>
          <w:tcPr>
            <w:tcW w:w="3314" w:type="dxa"/>
          </w:tcPr>
          <w:p w14:paraId="10042C5C" w14:textId="72359785" w:rsidR="00E22187" w:rsidRPr="00A36ED7" w:rsidRDefault="00E22187" w:rsidP="00E22187">
            <w:pPr>
              <w:pStyle w:val="TableText"/>
              <w:keepNext/>
              <w:rPr>
                <w:b/>
              </w:rPr>
            </w:pPr>
            <w:r w:rsidRPr="00A36ED7">
              <w:rPr>
                <w:b/>
              </w:rPr>
              <w:t>Fund management</w:t>
            </w:r>
            <w:r>
              <w:rPr>
                <w:b/>
              </w:rPr>
              <w:t xml:space="preserve"> administered by Palladium</w:t>
            </w:r>
            <w:r w:rsidR="007511A0">
              <w:rPr>
                <w:rStyle w:val="FootnoteReference"/>
                <w:b/>
              </w:rPr>
              <w:footnoteReference w:id="4"/>
            </w:r>
          </w:p>
        </w:tc>
        <w:tc>
          <w:tcPr>
            <w:tcW w:w="2126" w:type="dxa"/>
          </w:tcPr>
          <w:p w14:paraId="0B2675D4" w14:textId="77777777" w:rsidR="00E22187" w:rsidRPr="00A36ED7" w:rsidRDefault="00E22187" w:rsidP="00E22187">
            <w:pPr>
              <w:pStyle w:val="TableText"/>
              <w:keepNext/>
            </w:pPr>
            <w:r>
              <w:t>$5,263,449</w:t>
            </w:r>
          </w:p>
        </w:tc>
        <w:tc>
          <w:tcPr>
            <w:tcW w:w="1701" w:type="dxa"/>
          </w:tcPr>
          <w:p w14:paraId="5D830687" w14:textId="357F7C07" w:rsidR="00E22187" w:rsidRDefault="00E22187" w:rsidP="00E22187">
            <w:pPr>
              <w:pStyle w:val="TableText"/>
              <w:keepNext/>
            </w:pPr>
            <w:r>
              <w:t>5.1</w:t>
            </w:r>
            <w:r w:rsidR="00977716">
              <w:t>1</w:t>
            </w:r>
          </w:p>
        </w:tc>
        <w:tc>
          <w:tcPr>
            <w:tcW w:w="1701" w:type="dxa"/>
            <w:vMerge w:val="restart"/>
          </w:tcPr>
          <w:p w14:paraId="069E51F2" w14:textId="76C5D8C1" w:rsidR="00E22187" w:rsidRDefault="00E22187" w:rsidP="00E22187">
            <w:pPr>
              <w:pStyle w:val="TableText"/>
              <w:keepNext/>
            </w:pPr>
            <w:r>
              <w:t>Management costs: 7.</w:t>
            </w:r>
            <w:r w:rsidR="00977716">
              <w:t>9</w:t>
            </w:r>
            <w:r>
              <w:t>% of Fund total</w:t>
            </w:r>
          </w:p>
        </w:tc>
      </w:tr>
      <w:tr w:rsidR="00E22187" w14:paraId="20C50BCC" w14:textId="77777777" w:rsidTr="00E22187">
        <w:trPr>
          <w:jc w:val="center"/>
        </w:trPr>
        <w:tc>
          <w:tcPr>
            <w:tcW w:w="3314" w:type="dxa"/>
          </w:tcPr>
          <w:p w14:paraId="455F0E58" w14:textId="77777777" w:rsidR="00E22187" w:rsidRPr="00A36ED7" w:rsidRDefault="00E22187" w:rsidP="00E22187">
            <w:pPr>
              <w:pStyle w:val="TableText"/>
              <w:keepNext/>
              <w:rPr>
                <w:b/>
              </w:rPr>
            </w:pPr>
            <w:r>
              <w:rPr>
                <w:b/>
              </w:rPr>
              <w:t>Fund management administered by DFAT</w:t>
            </w:r>
            <w:r>
              <w:rPr>
                <w:rStyle w:val="FootnoteReference"/>
                <w:b/>
              </w:rPr>
              <w:footnoteReference w:id="5"/>
            </w:r>
          </w:p>
        </w:tc>
        <w:tc>
          <w:tcPr>
            <w:tcW w:w="2126" w:type="dxa"/>
          </w:tcPr>
          <w:p w14:paraId="6AB612C5" w14:textId="77777777" w:rsidR="00E22187" w:rsidRDefault="00E22187" w:rsidP="00E22187">
            <w:pPr>
              <w:pStyle w:val="TableText"/>
              <w:keepNext/>
            </w:pPr>
            <w:r>
              <w:t>$135,701</w:t>
            </w:r>
          </w:p>
        </w:tc>
        <w:tc>
          <w:tcPr>
            <w:tcW w:w="1701" w:type="dxa"/>
          </w:tcPr>
          <w:p w14:paraId="65FB0760" w14:textId="77777777" w:rsidR="00E22187" w:rsidRDefault="00E22187" w:rsidP="00E22187">
            <w:pPr>
              <w:pStyle w:val="TableText"/>
              <w:keepNext/>
            </w:pPr>
            <w:r>
              <w:t>0.13</w:t>
            </w:r>
          </w:p>
        </w:tc>
        <w:tc>
          <w:tcPr>
            <w:tcW w:w="1701" w:type="dxa"/>
            <w:vMerge/>
          </w:tcPr>
          <w:p w14:paraId="6A56D8B8" w14:textId="77777777" w:rsidR="00E22187" w:rsidRDefault="00E22187" w:rsidP="00E22187">
            <w:pPr>
              <w:pStyle w:val="TableText"/>
              <w:keepNext/>
            </w:pPr>
          </w:p>
        </w:tc>
      </w:tr>
      <w:tr w:rsidR="00E22187" w14:paraId="4A0A9C2E" w14:textId="77777777" w:rsidTr="00E22187">
        <w:trPr>
          <w:jc w:val="center"/>
        </w:trPr>
        <w:tc>
          <w:tcPr>
            <w:tcW w:w="3314" w:type="dxa"/>
          </w:tcPr>
          <w:p w14:paraId="42625BBD" w14:textId="77777777" w:rsidR="00E22187" w:rsidRPr="00A36ED7" w:rsidRDefault="00E22187" w:rsidP="00E22187">
            <w:pPr>
              <w:pStyle w:val="TableText"/>
              <w:keepNext/>
              <w:rPr>
                <w:b/>
              </w:rPr>
            </w:pPr>
            <w:r w:rsidRPr="00A36ED7">
              <w:rPr>
                <w:b/>
              </w:rPr>
              <w:t>MERP</w:t>
            </w:r>
          </w:p>
        </w:tc>
        <w:tc>
          <w:tcPr>
            <w:tcW w:w="2126" w:type="dxa"/>
          </w:tcPr>
          <w:p w14:paraId="52663834" w14:textId="1F195781" w:rsidR="00E22187" w:rsidRPr="00A36ED7" w:rsidRDefault="00E22187" w:rsidP="00E22187">
            <w:pPr>
              <w:pStyle w:val="TableText"/>
              <w:keepNext/>
            </w:pPr>
            <w:r>
              <w:t>$2,</w:t>
            </w:r>
            <w:r w:rsidR="00977716">
              <w:t>769,626</w:t>
            </w:r>
          </w:p>
        </w:tc>
        <w:tc>
          <w:tcPr>
            <w:tcW w:w="1701" w:type="dxa"/>
          </w:tcPr>
          <w:p w14:paraId="3686F4DD" w14:textId="2A3EBF37" w:rsidR="00E22187" w:rsidRDefault="00E22187" w:rsidP="00E22187">
            <w:pPr>
              <w:pStyle w:val="TableText"/>
              <w:keepNext/>
            </w:pPr>
            <w:r>
              <w:t>2.</w:t>
            </w:r>
            <w:r w:rsidR="00977716">
              <w:t>69</w:t>
            </w:r>
          </w:p>
        </w:tc>
        <w:tc>
          <w:tcPr>
            <w:tcW w:w="1701" w:type="dxa"/>
            <w:vMerge/>
          </w:tcPr>
          <w:p w14:paraId="726C912F" w14:textId="77777777" w:rsidR="00E22187" w:rsidRDefault="00E22187" w:rsidP="00E22187">
            <w:pPr>
              <w:pStyle w:val="TableText"/>
              <w:keepNext/>
            </w:pPr>
          </w:p>
        </w:tc>
      </w:tr>
      <w:tr w:rsidR="00E22187" w14:paraId="22163D43" w14:textId="77777777" w:rsidTr="00E22187">
        <w:trPr>
          <w:jc w:val="center"/>
        </w:trPr>
        <w:tc>
          <w:tcPr>
            <w:tcW w:w="3314" w:type="dxa"/>
          </w:tcPr>
          <w:p w14:paraId="14165DF7" w14:textId="77777777" w:rsidR="00E22187" w:rsidRPr="00A36ED7" w:rsidRDefault="00E22187" w:rsidP="00E22187">
            <w:pPr>
              <w:pStyle w:val="TableText"/>
              <w:rPr>
                <w:b/>
              </w:rPr>
            </w:pPr>
            <w:r w:rsidRPr="00A36ED7">
              <w:rPr>
                <w:b/>
              </w:rPr>
              <w:t>TOTAL</w:t>
            </w:r>
          </w:p>
        </w:tc>
        <w:tc>
          <w:tcPr>
            <w:tcW w:w="2126" w:type="dxa"/>
          </w:tcPr>
          <w:p w14:paraId="391F8A9F" w14:textId="443A622B" w:rsidR="00E22187" w:rsidRPr="00A36ED7" w:rsidRDefault="00E22187" w:rsidP="00E22187">
            <w:pPr>
              <w:pStyle w:val="TableText"/>
            </w:pPr>
            <w:r>
              <w:t>$102</w:t>
            </w:r>
            <w:r w:rsidR="00977716">
              <w:t>,976,490</w:t>
            </w:r>
          </w:p>
          <w:p w14:paraId="0A15D0F4" w14:textId="77777777" w:rsidR="00E22187" w:rsidRPr="00A36ED7" w:rsidRDefault="00E22187" w:rsidP="00E22187">
            <w:pPr>
              <w:pStyle w:val="TableText"/>
            </w:pPr>
          </w:p>
        </w:tc>
        <w:tc>
          <w:tcPr>
            <w:tcW w:w="1701" w:type="dxa"/>
          </w:tcPr>
          <w:p w14:paraId="01FDD64B" w14:textId="77777777" w:rsidR="00E22187" w:rsidRDefault="00E22187" w:rsidP="00E22187">
            <w:pPr>
              <w:pStyle w:val="TableText"/>
            </w:pPr>
            <w:r>
              <w:t>100</w:t>
            </w:r>
          </w:p>
        </w:tc>
        <w:tc>
          <w:tcPr>
            <w:tcW w:w="1701" w:type="dxa"/>
          </w:tcPr>
          <w:p w14:paraId="0212B0D3" w14:textId="77777777" w:rsidR="00E22187" w:rsidRDefault="00E22187" w:rsidP="00E22187">
            <w:pPr>
              <w:pStyle w:val="TableText"/>
            </w:pPr>
          </w:p>
        </w:tc>
      </w:tr>
    </w:tbl>
    <w:p w14:paraId="07513D30" w14:textId="77777777" w:rsidR="00A21C09" w:rsidRDefault="00A21C09" w:rsidP="00A21C09">
      <w:pPr>
        <w:pStyle w:val="Heading2"/>
      </w:pPr>
      <w:bookmarkStart w:id="18" w:name="_Toc457471930"/>
      <w:bookmarkStart w:id="19" w:name="_Toc468449992"/>
      <w:r>
        <w:t xml:space="preserve">1.5 </w:t>
      </w:r>
      <w:r w:rsidR="00710753">
        <w:tab/>
      </w:r>
      <w:r>
        <w:t>CSO selection and c</w:t>
      </w:r>
      <w:r w:rsidRPr="005E7818">
        <w:t>ontracting</w:t>
      </w:r>
      <w:bookmarkEnd w:id="18"/>
      <w:bookmarkEnd w:id="19"/>
    </w:p>
    <w:p w14:paraId="52A4FCE7" w14:textId="4C8670A1" w:rsidR="00A21C09" w:rsidRDefault="00A21C09" w:rsidP="00A21C09">
      <w:r>
        <w:t xml:space="preserve">The Fund used a competitive grants process to determine which CSOs and projects to support. </w:t>
      </w:r>
      <w:r w:rsidRPr="005E7818">
        <w:t xml:space="preserve">Selection was a two-part process. </w:t>
      </w:r>
      <w:r>
        <w:t xml:space="preserve">First, </w:t>
      </w:r>
      <w:r w:rsidRPr="005E7818">
        <w:t>Australian and non-Australian CSOs working in WASH in the Fund’s target regions were in</w:t>
      </w:r>
      <w:r>
        <w:t>vited to submit applications. A selection panel made up of staff from DFAT WSH, the DFAT NGO section, and an external WASH consultant assessed the applications. This initial assessment had a number of steps. For example, each CSO had to submit an organisational capacity statement. If this statement</w:t>
      </w:r>
      <w:r w:rsidR="000A0FA2">
        <w:t xml:space="preserve"> met a certain minimum standard</w:t>
      </w:r>
      <w:r>
        <w:t xml:space="preserve"> the project-specific conc</w:t>
      </w:r>
      <w:r w:rsidR="005F1799">
        <w:t>epts submitted by the CSOs were</w:t>
      </w:r>
      <w:r w:rsidR="0026244A">
        <w:t xml:space="preserve"> then</w:t>
      </w:r>
      <w:r>
        <w:t xml:space="preserve"> assessed. </w:t>
      </w:r>
    </w:p>
    <w:p w14:paraId="01884DB7" w14:textId="5F3095E8" w:rsidR="008E5561" w:rsidRDefault="00A21C09" w:rsidP="00D554A6">
      <w:pPr>
        <w:pStyle w:val="BodyText"/>
      </w:pPr>
      <w:r w:rsidRPr="0066777F">
        <w:t>The 13 successful applicants from the first stage then entered the second stage, known as the ‘inception phase’</w:t>
      </w:r>
      <w:r w:rsidR="000A0FA2" w:rsidRPr="002E3D25">
        <w:t>. The purpose of this three month</w:t>
      </w:r>
      <w:r w:rsidRPr="002E3D25">
        <w:t xml:space="preserve"> phase was for CSOs to </w:t>
      </w:r>
      <w:r w:rsidR="000A0FA2" w:rsidRPr="002E3D25">
        <w:t>develop detailed proj</w:t>
      </w:r>
      <w:r w:rsidR="000A0FA2" w:rsidRPr="00050C01">
        <w:t xml:space="preserve">ect designs, known as Operational Plans. CSOs and DFAT </w:t>
      </w:r>
      <w:r w:rsidR="00D348DB" w:rsidRPr="00050C01">
        <w:t xml:space="preserve">WSH </w:t>
      </w:r>
      <w:r w:rsidR="000A0FA2" w:rsidRPr="00050C01">
        <w:t xml:space="preserve">entered into </w:t>
      </w:r>
      <w:r w:rsidR="005F1799" w:rsidRPr="00050C01">
        <w:t>short term funding agreements, ensuring</w:t>
      </w:r>
      <w:r w:rsidR="000A0FA2" w:rsidRPr="00050C01">
        <w:t xml:space="preserve"> CSOs were</w:t>
      </w:r>
      <w:r w:rsidR="005D004A" w:rsidRPr="00050C01">
        <w:t xml:space="preserve"> provided with budget for</w:t>
      </w:r>
      <w:r w:rsidR="000A0FA2" w:rsidRPr="00050C01">
        <w:t xml:space="preserve"> their design work. An inception phase workshop was held in Canberra, bring</w:t>
      </w:r>
      <w:r w:rsidR="0026244A" w:rsidRPr="00050C01">
        <w:t>ing</w:t>
      </w:r>
      <w:r w:rsidR="000A0FA2" w:rsidRPr="00050C01">
        <w:t xml:space="preserve"> together CSOs, the FMF, the MERP and relevant parts of DFAT to support CSO design work. </w:t>
      </w:r>
      <w:r w:rsidR="005D004A" w:rsidRPr="00050C01">
        <w:t>Once Operational Plans were approved by DFAT</w:t>
      </w:r>
      <w:r w:rsidR="00D348DB" w:rsidRPr="00050C01">
        <w:t xml:space="preserve"> WSH</w:t>
      </w:r>
      <w:r w:rsidR="005D004A" w:rsidRPr="00050C01">
        <w:t>, CSOs were invited to enter into a full funding</w:t>
      </w:r>
      <w:r w:rsidR="00294F17" w:rsidRPr="00050C01">
        <w:t xml:space="preserve"> agreement covering the life</w:t>
      </w:r>
      <w:r w:rsidR="005D004A" w:rsidRPr="00050C01">
        <w:t xml:space="preserve"> of their project(s).</w:t>
      </w:r>
    </w:p>
    <w:p w14:paraId="5FAA8436" w14:textId="7F852781" w:rsidR="008E5561" w:rsidRDefault="008E5561" w:rsidP="00D554A6">
      <w:pPr>
        <w:pStyle w:val="Heading1b"/>
      </w:pPr>
      <w:bookmarkStart w:id="20" w:name="_Toc468449993"/>
      <w:r>
        <w:lastRenderedPageBreak/>
        <w:t>2</w:t>
      </w:r>
      <w:r>
        <w:tab/>
        <w:t>Introduction: The evaluation</w:t>
      </w:r>
      <w:bookmarkEnd w:id="20"/>
    </w:p>
    <w:p w14:paraId="297E093A" w14:textId="77777777" w:rsidR="008E5561" w:rsidRDefault="008E5561" w:rsidP="008E5561">
      <w:pPr>
        <w:pStyle w:val="Heading2"/>
        <w:numPr>
          <w:ilvl w:val="1"/>
          <w:numId w:val="28"/>
        </w:numPr>
      </w:pPr>
      <w:bookmarkStart w:id="21" w:name="_Toc468449994"/>
      <w:r>
        <w:t>Evaluation purpose, audience and scope</w:t>
      </w:r>
      <w:bookmarkEnd w:id="21"/>
    </w:p>
    <w:p w14:paraId="6334C112" w14:textId="1E3BC198" w:rsidR="008E5561" w:rsidRDefault="008E5561" w:rsidP="008E5561">
      <w:pPr>
        <w:pStyle w:val="BodyText"/>
      </w:pPr>
      <w:r>
        <w:t xml:space="preserve">The Fund’s management arrangements are relatively unusual, and relatively resource intensive, when compared to other DFAT funded programs. An independent MERP with broad and significant responsibilities such as designing the Fund’s performance and reporting system, providing support to CSOs, and assessing overall Fund performance is not a common feature. A specific Knowledge and Learning component is also unusual, as is a contracting arrangement where DFAT holds the Fund’s contracts but </w:t>
      </w:r>
      <w:r w:rsidR="000C58C7">
        <w:t>an</w:t>
      </w:r>
      <w:r>
        <w:t xml:space="preserve"> FMF does much of the day to day work.</w:t>
      </w:r>
    </w:p>
    <w:p w14:paraId="79DFC8EB" w14:textId="77777777" w:rsidR="008E5561" w:rsidRDefault="008E5561" w:rsidP="008E5561">
      <w:pPr>
        <w:pStyle w:val="BodyText"/>
      </w:pPr>
      <w:r>
        <w:t xml:space="preserve">The main purpose of this evaluation is to examine whether the Fund management arrangements are supporting the Fund as intended, and whether their costs are appropriate. </w:t>
      </w:r>
      <w:r w:rsidRPr="002B2400">
        <w:t xml:space="preserve">A secondary focus is an analysis of the Fund’s selection of CSO projects and implementation of the Fund’s inception phase.  </w:t>
      </w:r>
      <w:r>
        <w:t xml:space="preserve">The evaluation’s findings will inform management of the current Fund and the design of the Fund’s next phase, taking into account the changing context of DFAT and the Australian aid program. </w:t>
      </w:r>
    </w:p>
    <w:p w14:paraId="192BE977" w14:textId="31839C1C" w:rsidR="008E5561" w:rsidRDefault="008E5561" w:rsidP="008E5561">
      <w:pPr>
        <w:pStyle w:val="BodyText"/>
      </w:pPr>
      <w:r>
        <w:t xml:space="preserve">DFAT WSH section is the main audience for the evaluation.  As the overall manager of the Fund, DFAT WSH will make decisions about the current Fund’s management arrangements, a future Fund’s design and CSO selection under that Fund.  The FMF and the MERP are important audiences to action recommendations regarding the Fund’s management arrangements. CSOs and Posts currently participating in the Fund should find this evaluation </w:t>
      </w:r>
      <w:r w:rsidR="000C58C7">
        <w:t>useful</w:t>
      </w:r>
      <w:r>
        <w:t>.</w:t>
      </w:r>
      <w:r w:rsidRPr="00260C10">
        <w:t xml:space="preserve"> </w:t>
      </w:r>
      <w:r>
        <w:t>The evaluation also aims to identify broad lessons on the management arrangements which are useful for a wider DFAT audience.</w:t>
      </w:r>
    </w:p>
    <w:p w14:paraId="44A84B14" w14:textId="77777777" w:rsidR="008E5561" w:rsidRDefault="008E5561" w:rsidP="008E5561">
      <w:pPr>
        <w:pStyle w:val="BodyText"/>
      </w:pPr>
      <w:r>
        <w:t>Note that this evaluation focussed on a single DFAT investment and so is considered an operational evaluation. It was conducted in a short timeframe by a two member evaluation team. As the evaluation had limited resources it focussed on the Fund’s existing management arrangement and how these could be improved. The following four areas were outside the evaluation’s scope:</w:t>
      </w:r>
    </w:p>
    <w:p w14:paraId="075517BC" w14:textId="77777777" w:rsidR="008E5561" w:rsidRDefault="008E5561" w:rsidP="008E5561">
      <w:pPr>
        <w:pStyle w:val="ListBullet"/>
      </w:pPr>
      <w:r>
        <w:t xml:space="preserve">The evaluation did not examine the effectiveness of CSO projects. This is being examined by the MERP through their mid-term review documents which focus on the Fund’s achievements and approaches to date (see </w:t>
      </w:r>
      <w:r w:rsidRPr="00DA7FDA">
        <w:t>section 1.3.1)</w:t>
      </w:r>
    </w:p>
    <w:p w14:paraId="667C3620" w14:textId="77777777" w:rsidR="008E5561" w:rsidRDefault="008E5561" w:rsidP="008E5561">
      <w:pPr>
        <w:pStyle w:val="ListBullet"/>
      </w:pPr>
      <w:r>
        <w:t>The evaluation did not consider alternative delivery mechanisms that could be used by DFAT WSH to deliver WASH funding. It was assumed that the Fund’s current delivery mechanism (a centrally managed grants program for CSOs) would continue for future phases, making an examination of current management arrangements most relevant for DFAT WSH’s planning</w:t>
      </w:r>
    </w:p>
    <w:p w14:paraId="4635579F" w14:textId="77777777" w:rsidR="008E5561" w:rsidRDefault="008E5561" w:rsidP="008E5561">
      <w:pPr>
        <w:pStyle w:val="ListBullet"/>
      </w:pPr>
      <w:r>
        <w:t xml:space="preserve">The evaluation did not consider other significantly different options for the Fund management, or compare the advantages and disadvantages of the current management arrangements with other management options </w:t>
      </w:r>
    </w:p>
    <w:p w14:paraId="076F3B1E" w14:textId="77777777" w:rsidR="008E5561" w:rsidRDefault="008E5561" w:rsidP="008E5561">
      <w:pPr>
        <w:pStyle w:val="ListBullet"/>
      </w:pPr>
      <w:r>
        <w:t>The evaluation did not examine the Innovation and Impact Fund (see section 1.3.2), as the Fund’s broader management arrangements and CSO selection were higher priority focus areas.</w:t>
      </w:r>
    </w:p>
    <w:p w14:paraId="513BA4E5" w14:textId="77777777" w:rsidR="008E5561" w:rsidRDefault="008E5561" w:rsidP="008E5561">
      <w:pPr>
        <w:pStyle w:val="Heading2"/>
        <w:numPr>
          <w:ilvl w:val="1"/>
          <w:numId w:val="28"/>
        </w:numPr>
      </w:pPr>
      <w:bookmarkStart w:id="22" w:name="_Toc468449995"/>
      <w:r>
        <w:lastRenderedPageBreak/>
        <w:t>Evaluation questions</w:t>
      </w:r>
      <w:bookmarkEnd w:id="22"/>
      <w:r>
        <w:tab/>
      </w:r>
    </w:p>
    <w:p w14:paraId="7831CB77" w14:textId="77777777" w:rsidR="008E5561" w:rsidRDefault="008E5561" w:rsidP="008E5561">
      <w:pPr>
        <w:pStyle w:val="BodyText"/>
        <w:keepNext/>
      </w:pPr>
      <w:r>
        <w:t xml:space="preserve">The priority evaluation questions are at </w:t>
      </w:r>
      <w:r w:rsidRPr="0019783E">
        <w:t>Table 2.</w:t>
      </w:r>
      <w:r>
        <w:t xml:space="preserve">  </w:t>
      </w:r>
    </w:p>
    <w:p w14:paraId="2957921D" w14:textId="77777777" w:rsidR="008E5561" w:rsidRPr="000512F7" w:rsidRDefault="008E5561" w:rsidP="008E5561">
      <w:pPr>
        <w:pStyle w:val="TableandFigureName"/>
      </w:pPr>
      <w:r w:rsidRPr="0019783E">
        <w:t>Table 2:</w:t>
      </w:r>
      <w:r w:rsidRPr="000512F7">
        <w:t xml:space="preserve"> Evaluation Questions </w:t>
      </w:r>
    </w:p>
    <w:tbl>
      <w:tblPr>
        <w:tblStyle w:val="TableGrid"/>
        <w:tblW w:w="8721" w:type="dxa"/>
        <w:tblLook w:val="04A0" w:firstRow="1" w:lastRow="0" w:firstColumn="1" w:lastColumn="0" w:noHBand="0" w:noVBand="1"/>
        <w:tblCaption w:val="Table 2: Evaluation Questions"/>
        <w:tblDescription w:val="Question 1. To what extent are the Fund's management arrangements appropriate, effective and efficient? Sub-question (i): to what extent are DFAT staff in Canberra and at posts, Fund Management Facility staff, MERP members, and CSO staff working effectively together to achieve Fund objectives? Sub-question (ii): To what extent are contracting arrangements facilitying the effective and efficient attainment of Fund objectives? Sub-question (iii): To what extent have the M&amp;E and learning approaches inherent in the Fund's design and implementation assisted to develop and achieve better outcomes? Sub-question (iv): To what extent is Fund management cost-effective? Sub-question (v): To what extent do the Fund's management arrangements give due regard to advancing equity and inclusiveness, particularly in relation to gender and disability? Question 2. To what extent did the two-part CSO selection process enable selection of the most effective CSOs to deliver WASH projects? Sub-question (i): To what extent was CSO selection (including the inception phase) consistent with the design's guidance and intent? Sub-question (ii): To what extent did CSO selection give due regard to advancing equity and inclusiveness, particularly in relation to gender and disability?"/>
      </w:tblPr>
      <w:tblGrid>
        <w:gridCol w:w="675"/>
        <w:gridCol w:w="8046"/>
      </w:tblGrid>
      <w:tr w:rsidR="008E5561" w14:paraId="3619237C" w14:textId="77777777" w:rsidTr="00B41522">
        <w:trPr>
          <w:trHeight w:val="707"/>
        </w:trPr>
        <w:tc>
          <w:tcPr>
            <w:tcW w:w="675" w:type="dxa"/>
            <w:shd w:val="clear" w:color="auto" w:fill="87AAF3" w:themeFill="accent2" w:themeFillTint="66"/>
          </w:tcPr>
          <w:p w14:paraId="1F8D1C02" w14:textId="77777777" w:rsidR="008E5561" w:rsidRPr="007E1D05" w:rsidRDefault="008E5561" w:rsidP="00B41522">
            <w:pPr>
              <w:pStyle w:val="BodyText"/>
              <w:rPr>
                <w:b/>
              </w:rPr>
            </w:pPr>
            <w:r>
              <w:rPr>
                <w:b/>
              </w:rPr>
              <w:t>1.</w:t>
            </w:r>
          </w:p>
        </w:tc>
        <w:tc>
          <w:tcPr>
            <w:tcW w:w="8046" w:type="dxa"/>
            <w:shd w:val="clear" w:color="auto" w:fill="87AAF3" w:themeFill="accent2" w:themeFillTint="66"/>
          </w:tcPr>
          <w:p w14:paraId="0378386B" w14:textId="77777777" w:rsidR="008E5561" w:rsidRPr="007E1D05" w:rsidRDefault="008E5561" w:rsidP="00B41522">
            <w:pPr>
              <w:pStyle w:val="BodyText"/>
              <w:rPr>
                <w:b/>
              </w:rPr>
            </w:pPr>
            <w:r w:rsidRPr="007E1D05">
              <w:rPr>
                <w:b/>
              </w:rPr>
              <w:t>To what extent are the Fund’s management arrangements appropriate, effective and efficient?</w:t>
            </w:r>
          </w:p>
        </w:tc>
      </w:tr>
      <w:tr w:rsidR="008E5561" w14:paraId="08227260" w14:textId="77777777" w:rsidTr="00B41522">
        <w:tc>
          <w:tcPr>
            <w:tcW w:w="675" w:type="dxa"/>
          </w:tcPr>
          <w:p w14:paraId="7D7311E0" w14:textId="77777777" w:rsidR="008E5561" w:rsidRDefault="008E5561" w:rsidP="00B41522">
            <w:pPr>
              <w:pStyle w:val="BodyText"/>
            </w:pPr>
            <w:r>
              <w:t>(i)</w:t>
            </w:r>
          </w:p>
        </w:tc>
        <w:tc>
          <w:tcPr>
            <w:tcW w:w="8046" w:type="dxa"/>
          </w:tcPr>
          <w:p w14:paraId="4281C9AB" w14:textId="77777777" w:rsidR="008E5561" w:rsidRDefault="008E5561" w:rsidP="00B41522">
            <w:pPr>
              <w:pStyle w:val="BodyText"/>
            </w:pPr>
            <w:r>
              <w:t>To what extent are DFAT staff in Canberra and at posts, Fund Management Facility staff, MERP members, and CSO staff working effectively together to achieve Fund objectives?</w:t>
            </w:r>
          </w:p>
        </w:tc>
      </w:tr>
      <w:tr w:rsidR="008E5561" w14:paraId="74B74456" w14:textId="77777777" w:rsidTr="00B41522">
        <w:tc>
          <w:tcPr>
            <w:tcW w:w="675" w:type="dxa"/>
          </w:tcPr>
          <w:p w14:paraId="2C8A8AC4" w14:textId="77777777" w:rsidR="008E5561" w:rsidRDefault="008E5561" w:rsidP="00B41522">
            <w:pPr>
              <w:pStyle w:val="BodyText"/>
            </w:pPr>
            <w:r>
              <w:t>(ii)</w:t>
            </w:r>
          </w:p>
        </w:tc>
        <w:tc>
          <w:tcPr>
            <w:tcW w:w="8046" w:type="dxa"/>
          </w:tcPr>
          <w:p w14:paraId="59FA5C64" w14:textId="77777777" w:rsidR="008E5561" w:rsidRDefault="008E5561" w:rsidP="00B41522">
            <w:pPr>
              <w:pStyle w:val="BodyText"/>
            </w:pPr>
            <w:r>
              <w:t>To what extent are contracting arrangements facilitating the effective and efficient attainment of Fund objectives?</w:t>
            </w:r>
          </w:p>
        </w:tc>
      </w:tr>
      <w:tr w:rsidR="008E5561" w14:paraId="368C1431" w14:textId="77777777" w:rsidTr="00B41522">
        <w:tc>
          <w:tcPr>
            <w:tcW w:w="675" w:type="dxa"/>
          </w:tcPr>
          <w:p w14:paraId="35C5998B" w14:textId="77777777" w:rsidR="008E5561" w:rsidRDefault="008E5561" w:rsidP="00B41522">
            <w:pPr>
              <w:pStyle w:val="BodyText"/>
            </w:pPr>
            <w:r>
              <w:t>(iii)</w:t>
            </w:r>
          </w:p>
        </w:tc>
        <w:tc>
          <w:tcPr>
            <w:tcW w:w="8046" w:type="dxa"/>
          </w:tcPr>
          <w:p w14:paraId="78A03E89" w14:textId="77777777" w:rsidR="008E5561" w:rsidRDefault="008E5561" w:rsidP="00B41522">
            <w:pPr>
              <w:pStyle w:val="BodyText"/>
            </w:pPr>
            <w:r>
              <w:t>To what extent have the M&amp;E and learning approaches inherent in the Fund’s design and implementation assisted to develop and achieve better outcomes?</w:t>
            </w:r>
          </w:p>
        </w:tc>
      </w:tr>
      <w:tr w:rsidR="008E5561" w14:paraId="7059DE12" w14:textId="77777777" w:rsidTr="00B41522">
        <w:tc>
          <w:tcPr>
            <w:tcW w:w="675" w:type="dxa"/>
          </w:tcPr>
          <w:p w14:paraId="36EF708C" w14:textId="77777777" w:rsidR="008E5561" w:rsidRDefault="008E5561" w:rsidP="00B41522">
            <w:pPr>
              <w:pStyle w:val="BodyText"/>
            </w:pPr>
            <w:r>
              <w:t>(iv)</w:t>
            </w:r>
          </w:p>
        </w:tc>
        <w:tc>
          <w:tcPr>
            <w:tcW w:w="8046" w:type="dxa"/>
          </w:tcPr>
          <w:p w14:paraId="1ABD6F0C" w14:textId="77777777" w:rsidR="008E5561" w:rsidRDefault="008E5561" w:rsidP="00B41522">
            <w:pPr>
              <w:pStyle w:val="BodyText"/>
            </w:pPr>
            <w:r>
              <w:t>To what extent is Fund management cost-effective?</w:t>
            </w:r>
          </w:p>
        </w:tc>
      </w:tr>
      <w:tr w:rsidR="008E5561" w14:paraId="71BE8831" w14:textId="77777777" w:rsidTr="00B41522">
        <w:tc>
          <w:tcPr>
            <w:tcW w:w="675" w:type="dxa"/>
            <w:tcBorders>
              <w:bottom w:val="single" w:sz="4" w:space="0" w:color="auto"/>
            </w:tcBorders>
          </w:tcPr>
          <w:p w14:paraId="42A95A04" w14:textId="77777777" w:rsidR="008E5561" w:rsidRDefault="008E5561" w:rsidP="00B41522">
            <w:pPr>
              <w:pStyle w:val="BodyText"/>
              <w:keepNext/>
            </w:pPr>
            <w:r>
              <w:t>(v)</w:t>
            </w:r>
          </w:p>
        </w:tc>
        <w:tc>
          <w:tcPr>
            <w:tcW w:w="8046" w:type="dxa"/>
            <w:tcBorders>
              <w:bottom w:val="single" w:sz="4" w:space="0" w:color="auto"/>
            </w:tcBorders>
          </w:tcPr>
          <w:p w14:paraId="75EF207E" w14:textId="77777777" w:rsidR="008E5561" w:rsidRDefault="008E5561" w:rsidP="00B41522">
            <w:pPr>
              <w:pStyle w:val="BodyText"/>
              <w:keepNext/>
            </w:pPr>
            <w:r>
              <w:t>To what extent do the Fund’s management arrangements give due regard to advancing equity and inclusiveness, particularly in relation to gender and disability?</w:t>
            </w:r>
          </w:p>
        </w:tc>
      </w:tr>
      <w:tr w:rsidR="008E5561" w14:paraId="2BCCC9F7" w14:textId="77777777" w:rsidTr="00B41522">
        <w:tc>
          <w:tcPr>
            <w:tcW w:w="675" w:type="dxa"/>
            <w:shd w:val="clear" w:color="auto" w:fill="87AAF3" w:themeFill="accent2" w:themeFillTint="66"/>
          </w:tcPr>
          <w:p w14:paraId="357BBAE9" w14:textId="77777777" w:rsidR="008E5561" w:rsidRPr="007E1D05" w:rsidRDefault="008E5561" w:rsidP="00B41522">
            <w:pPr>
              <w:pStyle w:val="BodyText"/>
              <w:rPr>
                <w:b/>
              </w:rPr>
            </w:pPr>
            <w:r>
              <w:rPr>
                <w:b/>
              </w:rPr>
              <w:t>2.</w:t>
            </w:r>
          </w:p>
        </w:tc>
        <w:tc>
          <w:tcPr>
            <w:tcW w:w="8046" w:type="dxa"/>
            <w:shd w:val="clear" w:color="auto" w:fill="87AAF3" w:themeFill="accent2" w:themeFillTint="66"/>
          </w:tcPr>
          <w:p w14:paraId="66BE40E7" w14:textId="77777777" w:rsidR="008E5561" w:rsidRPr="007E1D05" w:rsidRDefault="008E5561" w:rsidP="00B41522">
            <w:pPr>
              <w:pStyle w:val="BodyText"/>
              <w:rPr>
                <w:b/>
              </w:rPr>
            </w:pPr>
            <w:r w:rsidRPr="007E1D05">
              <w:rPr>
                <w:b/>
              </w:rPr>
              <w:t>To what extent did the two-part CSO selection process enable selection of the most effective CSOs to deliver WASH projects?</w:t>
            </w:r>
          </w:p>
        </w:tc>
      </w:tr>
      <w:tr w:rsidR="008E5561" w14:paraId="4F1283A9" w14:textId="77777777" w:rsidTr="00B41522">
        <w:tc>
          <w:tcPr>
            <w:tcW w:w="675" w:type="dxa"/>
          </w:tcPr>
          <w:p w14:paraId="6A6CDFB8" w14:textId="77777777" w:rsidR="008E5561" w:rsidRDefault="008E5561" w:rsidP="00B41522">
            <w:pPr>
              <w:pStyle w:val="BodyText"/>
            </w:pPr>
            <w:r>
              <w:t>(i)</w:t>
            </w:r>
          </w:p>
        </w:tc>
        <w:tc>
          <w:tcPr>
            <w:tcW w:w="8046" w:type="dxa"/>
          </w:tcPr>
          <w:p w14:paraId="6DCF919F" w14:textId="77777777" w:rsidR="008E5561" w:rsidRDefault="008E5561" w:rsidP="00B41522">
            <w:pPr>
              <w:pStyle w:val="BodyText"/>
            </w:pPr>
            <w:r>
              <w:t>To what extent was CSO selection (including the inception phase) consistent with the design’s guidance and intent?</w:t>
            </w:r>
          </w:p>
        </w:tc>
      </w:tr>
      <w:tr w:rsidR="008E5561" w14:paraId="1AE1699E" w14:textId="77777777" w:rsidTr="00B41522">
        <w:tc>
          <w:tcPr>
            <w:tcW w:w="675" w:type="dxa"/>
          </w:tcPr>
          <w:p w14:paraId="1451D0D3" w14:textId="77777777" w:rsidR="008E5561" w:rsidRDefault="008E5561" w:rsidP="00B41522">
            <w:pPr>
              <w:pStyle w:val="BodyText"/>
            </w:pPr>
            <w:r>
              <w:t>(ii)</w:t>
            </w:r>
          </w:p>
        </w:tc>
        <w:tc>
          <w:tcPr>
            <w:tcW w:w="8046" w:type="dxa"/>
          </w:tcPr>
          <w:p w14:paraId="21C4EDBE" w14:textId="77777777" w:rsidR="008E5561" w:rsidRDefault="008E5561" w:rsidP="00B41522">
            <w:pPr>
              <w:pStyle w:val="BodyText"/>
            </w:pPr>
            <w:r>
              <w:t>To what extent did CSO selection give due regard to advancing equity and inclusiveness, particularly in relation to gender and disability?</w:t>
            </w:r>
            <w:r>
              <w:rPr>
                <w:rStyle w:val="FootnoteReference"/>
              </w:rPr>
              <w:footnoteReference w:id="6"/>
            </w:r>
          </w:p>
        </w:tc>
      </w:tr>
    </w:tbl>
    <w:p w14:paraId="3C16FDAD" w14:textId="77777777" w:rsidR="008E5561" w:rsidRDefault="008E5561" w:rsidP="008E5561">
      <w:pPr>
        <w:pStyle w:val="Heading2"/>
        <w:numPr>
          <w:ilvl w:val="1"/>
          <w:numId w:val="28"/>
        </w:numPr>
      </w:pPr>
      <w:bookmarkStart w:id="23" w:name="_Toc464813909"/>
      <w:bookmarkStart w:id="24" w:name="_Toc464825707"/>
      <w:bookmarkStart w:id="25" w:name="_Toc468449996"/>
      <w:bookmarkEnd w:id="23"/>
      <w:bookmarkEnd w:id="24"/>
      <w:r>
        <w:t>Summary of main methods</w:t>
      </w:r>
      <w:bookmarkEnd w:id="25"/>
      <w:r>
        <w:tab/>
      </w:r>
    </w:p>
    <w:p w14:paraId="590E98D5" w14:textId="77777777" w:rsidR="008E5561" w:rsidRDefault="008E5561" w:rsidP="008E5561">
      <w:pPr>
        <w:pStyle w:val="BodyText"/>
      </w:pPr>
      <w:r>
        <w:t xml:space="preserve">The main approach taken in the evaluation was to define the behaviours and communication that a reasonable observer would expect to see if the Fund’s management arrangements support CSOs to deliver high quality projects. The expected behaviours and communication flows are shown in </w:t>
      </w:r>
      <w:r w:rsidRPr="00DA7FDA">
        <w:t>Annex</w:t>
      </w:r>
      <w:r w:rsidRPr="0019783E">
        <w:t xml:space="preserve"> B</w:t>
      </w:r>
      <w:r>
        <w:t xml:space="preserve">, which the evaluation team developed in consultation with DFAT WSH, the FMF and the MERP. Data was then gathered to assess the extent to which these behaviours and communication flows are being exhibited.  </w:t>
      </w:r>
    </w:p>
    <w:p w14:paraId="200A0C0E" w14:textId="26AEF4F6" w:rsidR="008E5561" w:rsidRDefault="008E5561" w:rsidP="008E5561">
      <w:pPr>
        <w:pStyle w:val="BodyText"/>
      </w:pPr>
      <w:r>
        <w:t xml:space="preserve">The evaluation team collected data using four main methods: document review, interviews, an online survey, and comparison of the Fund with two other DFAT-funded CSO grant programs. </w:t>
      </w:r>
      <w:r w:rsidRPr="00DA7FDA">
        <w:t>Table 3</w:t>
      </w:r>
      <w:r>
        <w:t xml:space="preserve"> summarises the evaluation team’s main data collection sources.  In all, the evaluation team reviewed 30 documents and interviewed 41 people through 36 interviews.  A planned visit to observe a Fund regional learning event did not occur due to problems obtaining a visa.  </w:t>
      </w:r>
      <w:r w:rsidRPr="00DA7FDA">
        <w:t>Annex C</w:t>
      </w:r>
      <w:r>
        <w:t xml:space="preserve"> provides a fuller explanation of the evaluation’s methods.</w:t>
      </w:r>
    </w:p>
    <w:p w14:paraId="3C7D4569" w14:textId="20F83CA3" w:rsidR="008E5561" w:rsidRDefault="008E5561" w:rsidP="008E5561">
      <w:pPr>
        <w:pStyle w:val="BodyText"/>
      </w:pPr>
      <w:r>
        <w:t xml:space="preserve">All evidence </w:t>
      </w:r>
      <w:r w:rsidR="000C58C7">
        <w:t>used</w:t>
      </w:r>
      <w:r>
        <w:t xml:space="preserve"> to formulate evaluation findings was triangulated where feasible to ensure a degree of rigour.  The main evaluation findings drew on multiple data sources, where possible, as well as being tested through interviews with Fund stakeholders.</w:t>
      </w:r>
    </w:p>
    <w:p w14:paraId="2CDC9C32" w14:textId="77777777" w:rsidR="008E5561" w:rsidRDefault="008E5561" w:rsidP="008E5561">
      <w:pPr>
        <w:pStyle w:val="BodyText"/>
      </w:pPr>
      <w:r>
        <w:lastRenderedPageBreak/>
        <w:t xml:space="preserve">The evaluation team circulated draft evaluation products to the Fund management team to ensure evaluation findings would be useful. </w:t>
      </w:r>
      <w:r w:rsidRPr="00612334">
        <w:t xml:space="preserve">ODE’s </w:t>
      </w:r>
      <w:r>
        <w:t xml:space="preserve">three member </w:t>
      </w:r>
      <w:r w:rsidRPr="00612334">
        <w:t xml:space="preserve">Independent Evaluation Committee (IEC) </w:t>
      </w:r>
      <w:r>
        <w:t>also provided comments on the team’s draft products.</w:t>
      </w:r>
    </w:p>
    <w:p w14:paraId="2660F5D8" w14:textId="697C8718" w:rsidR="008E5561" w:rsidRPr="00A41304" w:rsidRDefault="008E5561" w:rsidP="008E5561">
      <w:pPr>
        <w:pStyle w:val="BodyText"/>
      </w:pPr>
      <w:r>
        <w:t xml:space="preserve">The evaluation tested main findings with the Fund management team at a recommendations workshop. The workshop allowed the evaluation team and the Fund management team to develop recommendations that flow from the evaluation’s findings and to ensure these recommendations are practical, feasible, and supported by the Fund management team.  </w:t>
      </w:r>
    </w:p>
    <w:p w14:paraId="70C4247A" w14:textId="77777777" w:rsidR="008E5561" w:rsidRPr="002D3731" w:rsidRDefault="008E5561" w:rsidP="008E5561">
      <w:pPr>
        <w:pStyle w:val="TableandFigureName"/>
      </w:pPr>
      <w:r w:rsidRPr="002D3731">
        <w:t xml:space="preserve">Table </w:t>
      </w:r>
      <w:r w:rsidRPr="00DA7FDA">
        <w:t>3:</w:t>
      </w:r>
      <w:r w:rsidRPr="002D3731">
        <w:t xml:space="preserve"> Data Collection Summary</w:t>
      </w:r>
    </w:p>
    <w:tbl>
      <w:tblPr>
        <w:tblStyle w:val="TableGrid"/>
        <w:tblW w:w="0" w:type="auto"/>
        <w:tblLook w:val="04A0" w:firstRow="1" w:lastRow="0" w:firstColumn="1" w:lastColumn="0" w:noHBand="0" w:noVBand="1"/>
        <w:tblCaption w:val="Table 3: Data Collection Summary"/>
        <w:tblDescription w:val="The first data collection method was interviews. Interviews were used to collected data from the following stakeholders: DFAT WSH (current and former staff); FMF members (current and former FM, KALM, program coordinator); MERP members; 13 CSO program managers, two former CSO program managers, and two CSO staff in supervisory roles. Five out of 17 DFAT posts were chosen for interview. One post was selected from each geographic region (Africa, South Asia, South East Asia and the Pacific). The sample included posts with large and small bilateral WASH programs, and those that had been more actively and less actively engaged with the Fund. The second data collection method was an online survey. It was distributed to 29 CSO in-country project managers and 159 CSOs that were unsuccessful in obtaining Fund funding. 18 responses received from CSO locally-based project managers (62 per cent response rate). 11 responses received from unsuccessful CSOs (seven per cent response rate). Note that it was not compulsory to answer all survey questions, meaning some questions had fewer respondents than the total number of survey respondents. The third data collection method was document review. Documents reviewed included DFAT aid quality checks, contracts, DFAT minutes regarding CSO selection and selection panel documents, Fund reporting by the FMF, mid-term review notes by the MERP, examination of the Fund's website and online database, design document fo current Fund, mid-term and independent completion reports of previous Fund, ODE's ANCP evaluation (2015) and final evaluation of AACES program (2016). "/>
      </w:tblPr>
      <w:tblGrid>
        <w:gridCol w:w="2376"/>
        <w:gridCol w:w="6345"/>
      </w:tblGrid>
      <w:tr w:rsidR="008E5561" w14:paraId="3205F9C6" w14:textId="77777777" w:rsidTr="00D554A6">
        <w:tc>
          <w:tcPr>
            <w:tcW w:w="2376" w:type="dxa"/>
          </w:tcPr>
          <w:p w14:paraId="2FB84153" w14:textId="77777777" w:rsidR="008E5561" w:rsidRPr="00AF0782" w:rsidRDefault="008E5561" w:rsidP="00B41522">
            <w:pPr>
              <w:pStyle w:val="BodyText"/>
              <w:rPr>
                <w:b/>
              </w:rPr>
            </w:pPr>
            <w:r w:rsidRPr="00AF0782">
              <w:rPr>
                <w:b/>
              </w:rPr>
              <w:t>Data Collection Method</w:t>
            </w:r>
          </w:p>
        </w:tc>
        <w:tc>
          <w:tcPr>
            <w:tcW w:w="6345" w:type="dxa"/>
          </w:tcPr>
          <w:p w14:paraId="4AAEE14C" w14:textId="77777777" w:rsidR="008E5561" w:rsidRPr="00AF0782" w:rsidRDefault="008E5561" w:rsidP="00B41522">
            <w:pPr>
              <w:pStyle w:val="BodyText"/>
              <w:rPr>
                <w:b/>
              </w:rPr>
            </w:pPr>
            <w:r>
              <w:rPr>
                <w:b/>
              </w:rPr>
              <w:t>Stakeholders/ Data</w:t>
            </w:r>
          </w:p>
        </w:tc>
      </w:tr>
      <w:tr w:rsidR="008E5561" w14:paraId="011E8455" w14:textId="77777777" w:rsidTr="00D554A6">
        <w:tc>
          <w:tcPr>
            <w:tcW w:w="2376" w:type="dxa"/>
          </w:tcPr>
          <w:p w14:paraId="2A4C009D" w14:textId="77777777" w:rsidR="008E5561" w:rsidRDefault="008E5561" w:rsidP="00B41522">
            <w:pPr>
              <w:pStyle w:val="BodyText"/>
            </w:pPr>
            <w:r>
              <w:t>Interviews</w:t>
            </w:r>
          </w:p>
        </w:tc>
        <w:tc>
          <w:tcPr>
            <w:tcW w:w="6345" w:type="dxa"/>
          </w:tcPr>
          <w:p w14:paraId="40C05F27" w14:textId="77777777" w:rsidR="008E5561" w:rsidRPr="00E3789E" w:rsidRDefault="008E5561" w:rsidP="00B41522">
            <w:pPr>
              <w:pStyle w:val="BodyText"/>
              <w:rPr>
                <w:b/>
                <w:u w:val="single"/>
              </w:rPr>
            </w:pPr>
            <w:r>
              <w:rPr>
                <w:b/>
                <w:u w:val="single"/>
              </w:rPr>
              <w:t>Fund management team</w:t>
            </w:r>
          </w:p>
          <w:p w14:paraId="2F0F2606" w14:textId="0B335CEE" w:rsidR="008E5561" w:rsidRDefault="008E5561" w:rsidP="00B41522">
            <w:pPr>
              <w:pStyle w:val="BodyText"/>
            </w:pPr>
            <w:r>
              <w:t>DFAT WSH (current and former staff)</w:t>
            </w:r>
            <w:r w:rsidR="000C58C7">
              <w:t>.</w:t>
            </w:r>
            <w:r>
              <w:br/>
              <w:t>FMF staff (current and former FM, KALM, program coordinator)</w:t>
            </w:r>
            <w:r w:rsidR="000C58C7">
              <w:t>.</w:t>
            </w:r>
            <w:r>
              <w:br/>
              <w:t>MERP members</w:t>
            </w:r>
            <w:r w:rsidR="000C58C7">
              <w:t>.</w:t>
            </w:r>
          </w:p>
          <w:p w14:paraId="73327943" w14:textId="77777777" w:rsidR="008E5561" w:rsidRPr="00E3789E" w:rsidRDefault="008E5561" w:rsidP="00B41522">
            <w:pPr>
              <w:pStyle w:val="BodyText"/>
              <w:rPr>
                <w:b/>
                <w:u w:val="single"/>
              </w:rPr>
            </w:pPr>
            <w:r>
              <w:rPr>
                <w:b/>
                <w:u w:val="single"/>
              </w:rPr>
              <w:t>CSOs</w:t>
            </w:r>
          </w:p>
          <w:p w14:paraId="7262EB4F" w14:textId="6094B949" w:rsidR="008E5561" w:rsidRDefault="008E5561" w:rsidP="00B41522">
            <w:pPr>
              <w:pStyle w:val="BodyText"/>
            </w:pPr>
            <w:r>
              <w:t xml:space="preserve">13 CSO program managers, </w:t>
            </w:r>
            <w:r w:rsidR="003652B7">
              <w:t>two</w:t>
            </w:r>
            <w:r>
              <w:t xml:space="preserve"> former CSO program managers, and </w:t>
            </w:r>
            <w:r w:rsidR="003652B7">
              <w:t xml:space="preserve">two </w:t>
            </w:r>
            <w:r>
              <w:t>CSO staff in supervisory roles.</w:t>
            </w:r>
          </w:p>
          <w:p w14:paraId="57EA2C29" w14:textId="77777777" w:rsidR="008E5561" w:rsidRPr="00E3789E" w:rsidRDefault="008E5561" w:rsidP="00B41522">
            <w:pPr>
              <w:pStyle w:val="BodyText"/>
              <w:rPr>
                <w:b/>
                <w:u w:val="single"/>
              </w:rPr>
            </w:pPr>
            <w:r>
              <w:rPr>
                <w:b/>
                <w:u w:val="single"/>
              </w:rPr>
              <w:t>DFAT Posts</w:t>
            </w:r>
          </w:p>
          <w:p w14:paraId="4DAD017A" w14:textId="44951922" w:rsidR="008E5561" w:rsidRPr="00E3789E" w:rsidRDefault="003652B7" w:rsidP="00B41522">
            <w:pPr>
              <w:pStyle w:val="BodyText"/>
            </w:pPr>
            <w:r>
              <w:t>5</w:t>
            </w:r>
            <w:r w:rsidR="008E5561">
              <w:t xml:space="preserve"> posts out of 17 participating in the Fund were chosen for interview.  One post was selected from each geographic region (Africa, South Asia, South East Asia and the Pacific).  The sample included posts with large and with small bilateral WASH programs, and those that had been more actively and less actively engaged with the Fund.</w:t>
            </w:r>
          </w:p>
        </w:tc>
      </w:tr>
      <w:tr w:rsidR="008E5561" w14:paraId="45A050AF" w14:textId="77777777" w:rsidTr="00D554A6">
        <w:tc>
          <w:tcPr>
            <w:tcW w:w="2376" w:type="dxa"/>
          </w:tcPr>
          <w:p w14:paraId="0AC770A5" w14:textId="77777777" w:rsidR="008E5561" w:rsidRDefault="008E5561" w:rsidP="00B41522">
            <w:pPr>
              <w:pStyle w:val="BodyText"/>
            </w:pPr>
            <w:r>
              <w:t xml:space="preserve">Online Survey </w:t>
            </w:r>
          </w:p>
        </w:tc>
        <w:tc>
          <w:tcPr>
            <w:tcW w:w="6345" w:type="dxa"/>
          </w:tcPr>
          <w:p w14:paraId="20393386" w14:textId="77777777" w:rsidR="008E5561" w:rsidRDefault="008E5561" w:rsidP="00B41522">
            <w:pPr>
              <w:pStyle w:val="BodyText"/>
            </w:pPr>
            <w:r>
              <w:t>Distributed to 29 CSO in-country project managers and 159 CSOs that were unsuccessful in obtaining Fund funding.</w:t>
            </w:r>
          </w:p>
          <w:p w14:paraId="4D7A68E5" w14:textId="77777777" w:rsidR="008E5561" w:rsidRDefault="008E5561" w:rsidP="00B41522">
            <w:pPr>
              <w:pStyle w:val="BodyText"/>
            </w:pPr>
            <w:r>
              <w:t>18 responses received from CSO locally-based project managers (6</w:t>
            </w:r>
            <w:r w:rsidRPr="00DB694C">
              <w:t>2</w:t>
            </w:r>
            <w:r>
              <w:t xml:space="preserve"> per cent response rate). </w:t>
            </w:r>
            <w:r>
              <w:br/>
            </w:r>
            <w:r>
              <w:br/>
              <w:t>11 responses received from unsuccessful CSOs (7 per cent response rate).</w:t>
            </w:r>
          </w:p>
          <w:p w14:paraId="6C16E6C7" w14:textId="77777777" w:rsidR="008E5561" w:rsidRDefault="008E5561" w:rsidP="00B41522">
            <w:pPr>
              <w:pStyle w:val="BodyText"/>
            </w:pPr>
            <w:r>
              <w:t>Note that it was not compulsory to answer all survey questions, meaning some questions had fewer respondents than the total number of survey respondents.</w:t>
            </w:r>
          </w:p>
        </w:tc>
      </w:tr>
      <w:tr w:rsidR="008E5561" w14:paraId="42793B4C" w14:textId="77777777" w:rsidTr="00D554A6">
        <w:tc>
          <w:tcPr>
            <w:tcW w:w="2376" w:type="dxa"/>
          </w:tcPr>
          <w:p w14:paraId="32443519" w14:textId="77777777" w:rsidR="008E5561" w:rsidRDefault="008E5561" w:rsidP="00B41522">
            <w:pPr>
              <w:pStyle w:val="BodyText"/>
            </w:pPr>
            <w:r>
              <w:t>Documents</w:t>
            </w:r>
          </w:p>
        </w:tc>
        <w:tc>
          <w:tcPr>
            <w:tcW w:w="6345" w:type="dxa"/>
          </w:tcPr>
          <w:p w14:paraId="7DB5CCA8" w14:textId="7CC5D4FD" w:rsidR="008E5561" w:rsidRDefault="008E5561" w:rsidP="00B41522">
            <w:pPr>
              <w:pStyle w:val="BodyText"/>
            </w:pPr>
            <w:r>
              <w:t xml:space="preserve">Documents included: DFAT Aid Quality Checks, contracts, DFAT minutes regarding CSO selection and </w:t>
            </w:r>
            <w:r w:rsidR="000C58C7">
              <w:t>s</w:t>
            </w:r>
            <w:r>
              <w:t xml:space="preserve">election </w:t>
            </w:r>
            <w:r w:rsidR="000C58C7">
              <w:t>p</w:t>
            </w:r>
            <w:r>
              <w:t xml:space="preserve">anel documents, Fund reporting by </w:t>
            </w:r>
            <w:r w:rsidR="000C58C7">
              <w:t xml:space="preserve">the </w:t>
            </w:r>
            <w:r>
              <w:t xml:space="preserve">FMF, mid-term review notes by the MERP, examination of the Fund’s website and online database, design document for current Fund, mid-term and </w:t>
            </w:r>
            <w:r w:rsidR="000C58C7">
              <w:t>i</w:t>
            </w:r>
            <w:r>
              <w:t xml:space="preserve">ndependent </w:t>
            </w:r>
            <w:r w:rsidR="000C58C7">
              <w:t>c</w:t>
            </w:r>
            <w:r>
              <w:t xml:space="preserve">ompletion </w:t>
            </w:r>
            <w:r w:rsidR="000C58C7">
              <w:t>r</w:t>
            </w:r>
            <w:r>
              <w:t>eport</w:t>
            </w:r>
            <w:r w:rsidR="000C58C7">
              <w:t>s</w:t>
            </w:r>
            <w:r>
              <w:t xml:space="preserve"> of previous Fund, ODE’s ANCP evaluation (2015) and final evaluation of AACES program (2016).</w:t>
            </w:r>
          </w:p>
        </w:tc>
      </w:tr>
    </w:tbl>
    <w:p w14:paraId="3FE4AC99" w14:textId="77777777" w:rsidR="008E5561" w:rsidRDefault="008E5561" w:rsidP="008E5561">
      <w:pPr>
        <w:pStyle w:val="Heading3"/>
      </w:pPr>
      <w:r>
        <w:t>2.3.1</w:t>
      </w:r>
      <w:r>
        <w:tab/>
      </w:r>
      <w:r>
        <w:tab/>
        <w:t>Comparison with other DFAT-funded CSO projects</w:t>
      </w:r>
    </w:p>
    <w:p w14:paraId="42BE4931" w14:textId="77777777" w:rsidR="008E5561" w:rsidRDefault="008E5561" w:rsidP="008E5561">
      <w:r>
        <w:t>As noted above, the methods used in this evaluation included a comparison of the Fund with two other DFAT-funded CSO projects: the Australia Africa Community Engagement Scheme (AACES) and the Australian NGO Cooperation Program (ANCP).</w:t>
      </w:r>
    </w:p>
    <w:p w14:paraId="190AADF3" w14:textId="4C88ED5D" w:rsidR="008E5561" w:rsidRDefault="008E5561" w:rsidP="008E5561">
      <w:r>
        <w:t>Both AACES and ANCP support CSOs to implement development activities. Under AACES, DFAT partnered with ten Australian NGOs to deliver food security, maternal and child health, and</w:t>
      </w:r>
      <w:r w:rsidR="000C58C7">
        <w:t xml:space="preserve"> </w:t>
      </w:r>
      <w:r>
        <w:t>WASH activities in 11 African countries. AACES received $83m funding over five years (2011-2016).</w:t>
      </w:r>
    </w:p>
    <w:p w14:paraId="49C01240" w14:textId="77777777" w:rsidR="008E5561" w:rsidRDefault="008E5561" w:rsidP="008E5561">
      <w:r>
        <w:lastRenderedPageBreak/>
        <w:t>The ANCP is an annual grants program that provides funding to accredited Australian NGOs to support work in developing countries. It is DFAT’s largest program for NGOs, expending approximately $130m per year. It supports 53 Australian NGOs to implement 575 projects in 57 countries.</w:t>
      </w:r>
      <w:r>
        <w:rPr>
          <w:rStyle w:val="FootnoteReference"/>
        </w:rPr>
        <w:footnoteReference w:id="7"/>
      </w:r>
      <w:r>
        <w:t xml:space="preserve"> ANCP projects focus on a broad range of sectors including health, WASH, governance, education and agriculture. </w:t>
      </w:r>
    </w:p>
    <w:p w14:paraId="68890C52" w14:textId="77777777" w:rsidR="008E5561" w:rsidRDefault="008E5561" w:rsidP="008E5561">
      <w:pPr>
        <w:rPr>
          <w:lang w:val="en-US"/>
        </w:rPr>
      </w:pPr>
      <w:r>
        <w:rPr>
          <w:lang w:val="en-US"/>
        </w:rPr>
        <w:t>Both AACES and ANCP have recently been independently evaluated. The ANCP was evaluated by ODE in 2014-15, while an independent end-of-program review for AACES was completed in 2016. This evaluation draws heavily on the evaluations of AACES and ANCP to:</w:t>
      </w:r>
    </w:p>
    <w:p w14:paraId="6CAA9548" w14:textId="77777777" w:rsidR="008E5561" w:rsidRDefault="008E5561" w:rsidP="008E5561">
      <w:pPr>
        <w:pStyle w:val="ListBullet"/>
        <w:rPr>
          <w:lang w:val="en-US"/>
        </w:rPr>
      </w:pPr>
      <w:r>
        <w:rPr>
          <w:lang w:val="en-US"/>
        </w:rPr>
        <w:t>Identify common management features in DFAT-funded CSO programs, and</w:t>
      </w:r>
    </w:p>
    <w:p w14:paraId="672DCFC8" w14:textId="77777777" w:rsidR="008E5561" w:rsidRDefault="008E5561" w:rsidP="008E5561">
      <w:pPr>
        <w:pStyle w:val="ListBullet"/>
        <w:rPr>
          <w:lang w:val="en-US"/>
        </w:rPr>
      </w:pPr>
      <w:r>
        <w:rPr>
          <w:lang w:val="en-US"/>
        </w:rPr>
        <w:t xml:space="preserve">Benchmark the Fund’s management costs, as well as the effectiveness of its management arrangements, against ANCP and AACES to determine whether the Fund is cost-effective. </w:t>
      </w:r>
    </w:p>
    <w:p w14:paraId="638929C2" w14:textId="77777777" w:rsidR="008E5561" w:rsidRDefault="008E5561" w:rsidP="008E5561">
      <w:pPr>
        <w:pStyle w:val="Heading2"/>
      </w:pPr>
      <w:bookmarkStart w:id="26" w:name="_Toc468449997"/>
      <w:r>
        <w:t>2.4</w:t>
      </w:r>
      <w:r>
        <w:tab/>
        <w:t>Limitations</w:t>
      </w:r>
      <w:bookmarkEnd w:id="26"/>
    </w:p>
    <w:p w14:paraId="2013EC38" w14:textId="77777777" w:rsidR="008E5561" w:rsidRDefault="008E5561" w:rsidP="008E5561">
      <w:pPr>
        <w:pStyle w:val="BodyText"/>
      </w:pPr>
      <w:r>
        <w:t>While the evaluation team believes that the methodology and process are appropriate to inform future Fund management and the design of a new Fund, there are a number of limitations. These include:</w:t>
      </w:r>
    </w:p>
    <w:p w14:paraId="3759D3AC" w14:textId="3C06E193" w:rsidR="008E5561" w:rsidRPr="00E86CE5" w:rsidRDefault="008E5561" w:rsidP="008E5561">
      <w:pPr>
        <w:pStyle w:val="ListBullet"/>
        <w:rPr>
          <w:u w:val="single"/>
        </w:rPr>
      </w:pPr>
      <w:r w:rsidRPr="004908D4">
        <w:rPr>
          <w:u w:val="single"/>
        </w:rPr>
        <w:t>Focus on Fund processes and not on Fund outcomes</w:t>
      </w:r>
      <w:r w:rsidRPr="000E6961">
        <w:t>:</w:t>
      </w:r>
      <w:r>
        <w:t xml:space="preserve"> As the evaluation did not assess the effectiveness of CSO projects, or progress towards the achievement of the Fund’s six outcomes, it is unable to independently draw links between the Fund’s management arrangements, the quality of CSO projects and the achievement of Fund outcomes.  To better understand the Fund’s progress against intended outcomes, the evaluation team was informed by the MERP’s nine</w:t>
      </w:r>
      <w:r w:rsidR="000C58C7">
        <w:t xml:space="preserve"> mid-term review</w:t>
      </w:r>
      <w:r>
        <w:t xml:space="preserve"> notes finalised in September 2016. However, the evaluation team was not able to independently verify the MERP’s work through this evaluation.  </w:t>
      </w:r>
    </w:p>
    <w:p w14:paraId="0C1A3139" w14:textId="6F08A79B" w:rsidR="008E5561" w:rsidRPr="00E86CE5" w:rsidRDefault="008E5561" w:rsidP="008E5561">
      <w:pPr>
        <w:pStyle w:val="ListBullet"/>
        <w:numPr>
          <w:ilvl w:val="0"/>
          <w:numId w:val="0"/>
        </w:numPr>
        <w:ind w:left="284"/>
      </w:pPr>
      <w:r>
        <w:t xml:space="preserve">In relation to CSO selection, the evaluation team makes no judgement on the track record of CSOs selected.  The team suggests process-level improvements for CSO selection, rather than judgments </w:t>
      </w:r>
      <w:r w:rsidRPr="00B0346B">
        <w:t>on the</w:t>
      </w:r>
      <w:r>
        <w:t xml:space="preserve"> merits of CSOs’ WASH expertise or the effectiveness of their projects.</w:t>
      </w:r>
    </w:p>
    <w:p w14:paraId="63DF12F9" w14:textId="7F1045F5" w:rsidR="008E5561" w:rsidRPr="007572C7" w:rsidRDefault="008E5561" w:rsidP="008E5561">
      <w:pPr>
        <w:pStyle w:val="ListBullet"/>
        <w:rPr>
          <w:u w:val="single"/>
        </w:rPr>
      </w:pPr>
      <w:r w:rsidRPr="00EC0BD6">
        <w:rPr>
          <w:u w:val="single"/>
        </w:rPr>
        <w:t>Sampling of data:</w:t>
      </w:r>
      <w:r>
        <w:t xml:space="preserve">  The evaluation was conducted in a relatively short timeframe to ensure findings would be available to inform the design of the Fund’s next phase.</w:t>
      </w:r>
      <w:r w:rsidRPr="0061095C">
        <w:t xml:space="preserve"> </w:t>
      </w:r>
      <w:r>
        <w:t>As a result, interviewees were heavily prioritised and some stakeholders were not interviewed. These included external stakeholders who may have views on the Fund’s engagement and influence in the broader WASH sector and local ‘change agents’ who</w:t>
      </w:r>
      <w:r w:rsidR="000C58C7">
        <w:t>m</w:t>
      </w:r>
      <w:r>
        <w:t xml:space="preserve"> CSOs work</w:t>
      </w:r>
      <w:r w:rsidR="000C58C7">
        <w:t xml:space="preserve"> with</w:t>
      </w:r>
      <w:r>
        <w:t xml:space="preserve">. The evaluation team also did not interview the external consultant on the CSO selection panel, instead relying on a document review to analyse differences in panel members’ ratings of CSO applications. </w:t>
      </w:r>
    </w:p>
    <w:p w14:paraId="7FE7CE4B" w14:textId="2E58CC07" w:rsidR="008E5561" w:rsidRPr="0061095C" w:rsidRDefault="008E5561" w:rsidP="008E5561">
      <w:pPr>
        <w:pStyle w:val="ListBullet"/>
        <w:rPr>
          <w:u w:val="single"/>
        </w:rPr>
      </w:pPr>
      <w:r>
        <w:rPr>
          <w:u w:val="single"/>
        </w:rPr>
        <w:t>Low response rate to survey:</w:t>
      </w:r>
      <w:r w:rsidRPr="007572C7">
        <w:t xml:space="preserve"> </w:t>
      </w:r>
      <w:r>
        <w:t xml:space="preserve">The CSO survey received a low response rate from CSOs unsuccessful in obtaining Fund support. It is possible there is a large non-response bias (that is, those who responded to the survey may differ in significant ways from those who did not respond). This constrained analysis of non-successful CSO views on CSO selection.  </w:t>
      </w:r>
    </w:p>
    <w:p w14:paraId="7AE20C67" w14:textId="1F98047B" w:rsidR="008E5561" w:rsidRDefault="008E5561" w:rsidP="008E5561">
      <w:pPr>
        <w:pStyle w:val="ListBullet"/>
      </w:pPr>
      <w:r w:rsidRPr="00FB030D">
        <w:rPr>
          <w:u w:val="single"/>
        </w:rPr>
        <w:t>Comparison of the Fund with AACES and ANCP:</w:t>
      </w:r>
      <w:r>
        <w:t xml:space="preserve"> The comparison relied heavily on the existing evaluations of these other programs as the evaluation team was not able to collect primary data on them. Although the evaluation team compared the programs’ different management arrangements, it was not possible to conduct a detailed analysis of the advantages and disadvantages of the different management approaches taken by the different programs. It is also important to note that, while the comparison is useful, there are limits to the strength of the conclusions that can be drawn, as different management arrangements were set up to respond to different operating contexts and to further different objectives. </w:t>
      </w:r>
    </w:p>
    <w:p w14:paraId="21BC53E1" w14:textId="7947E953" w:rsidR="001D3ACC" w:rsidRDefault="001D3ACC" w:rsidP="00D554A6">
      <w:pPr>
        <w:pStyle w:val="Heading1b"/>
      </w:pPr>
      <w:bookmarkStart w:id="27" w:name="_Toc468449998"/>
      <w:r>
        <w:lastRenderedPageBreak/>
        <w:t>3</w:t>
      </w:r>
      <w:r>
        <w:tab/>
        <w:t>Fund management arrangements</w:t>
      </w:r>
      <w:bookmarkEnd w:id="27"/>
    </w:p>
    <w:p w14:paraId="28D6C35C" w14:textId="777147A4" w:rsidR="0099593A" w:rsidRDefault="00F938BE" w:rsidP="00F938BE">
      <w:pPr>
        <w:pStyle w:val="BodyText"/>
      </w:pPr>
      <w:r>
        <w:t>This chapter examines the Fund’s management arrangements</w:t>
      </w:r>
      <w:r w:rsidR="00D32403">
        <w:t xml:space="preserve"> </w:t>
      </w:r>
      <w:r>
        <w:t xml:space="preserve">and the extent to which they are appropriate, effective and efficient. </w:t>
      </w:r>
      <w:r w:rsidR="00C42CDF">
        <w:t xml:space="preserve">It finds </w:t>
      </w:r>
      <w:r w:rsidR="00845B3A">
        <w:t>that the Fund’s manageme</w:t>
      </w:r>
      <w:r w:rsidR="00AE09FB">
        <w:t xml:space="preserve">nt arrangements are appropriate and functioning well. Four issues </w:t>
      </w:r>
      <w:r w:rsidR="00E626CF">
        <w:t>where effectiveness and efficiency could be fu</w:t>
      </w:r>
      <w:r w:rsidR="00AE09FB">
        <w:t>rther improved are highlighted, while the Fund’s management costs are found to be relatively high</w:t>
      </w:r>
      <w:r w:rsidR="00E626CF">
        <w:t xml:space="preserve">. </w:t>
      </w:r>
      <w:r w:rsidR="00AE09FB">
        <w:t>Moving forward, the evaluation finds the management arrangements will continue to be relevant for a future Fund phase.</w:t>
      </w:r>
    </w:p>
    <w:p w14:paraId="5211564B" w14:textId="6A41AC55" w:rsidR="00D32403" w:rsidRDefault="00D32403" w:rsidP="00D32403">
      <w:pPr>
        <w:pStyle w:val="Heading2"/>
      </w:pPr>
      <w:bookmarkStart w:id="28" w:name="_Toc468449999"/>
      <w:r>
        <w:t>3.1</w:t>
      </w:r>
      <w:r>
        <w:tab/>
      </w:r>
      <w:r w:rsidR="00BA087C">
        <w:t>Fund</w:t>
      </w:r>
      <w:r w:rsidR="003652B7">
        <w:t xml:space="preserve"> </w:t>
      </w:r>
      <w:r w:rsidR="00BA087C">
        <w:t>management arrangements are appropriate</w:t>
      </w:r>
      <w:bookmarkEnd w:id="28"/>
    </w:p>
    <w:p w14:paraId="7E286C16" w14:textId="77777777" w:rsidR="00BA087C" w:rsidRDefault="0083164D" w:rsidP="00BA087C">
      <w:pPr>
        <w:pStyle w:val="BodyText"/>
      </w:pPr>
      <w:r>
        <w:t>The evaluation finds</w:t>
      </w:r>
      <w:r w:rsidR="00BA087C">
        <w:t xml:space="preserve"> that the Fund’s management arrangements are a</w:t>
      </w:r>
      <w:r w:rsidR="007411FC">
        <w:t>ppropriate; that is, each element</w:t>
      </w:r>
      <w:r w:rsidR="00BA087C">
        <w:t xml:space="preserve"> of the </w:t>
      </w:r>
      <w:r w:rsidR="007411FC">
        <w:t>Fund management arrangements is</w:t>
      </w:r>
      <w:r w:rsidR="00BA087C">
        <w:t xml:space="preserve"> needed to support CSOs to implement high quality WASH projects. When examining DFAT-funded CSO programs, including </w:t>
      </w:r>
      <w:r w:rsidR="001D21B5">
        <w:t>the CS WASH Fund, AACES and ANCP</w:t>
      </w:r>
      <w:r w:rsidR="007411FC">
        <w:t xml:space="preserve"> </w:t>
      </w:r>
      <w:r w:rsidR="00BA087C">
        <w:t>it was clear that they all include, or aspire to include, a number of common management elements:</w:t>
      </w:r>
    </w:p>
    <w:p w14:paraId="6FC776F5" w14:textId="77777777" w:rsidR="00BA087C" w:rsidRDefault="00BA087C" w:rsidP="00BA087C">
      <w:pPr>
        <w:pStyle w:val="ListBullet"/>
      </w:pPr>
      <w:r>
        <w:t>Some form of DFAT oversight, gener</w:t>
      </w:r>
      <w:r w:rsidR="00845B3A">
        <w:t>ally as part of a committee involving</w:t>
      </w:r>
      <w:r>
        <w:t xml:space="preserve"> other key stakeholders</w:t>
      </w:r>
    </w:p>
    <w:p w14:paraId="522B95A8" w14:textId="77777777" w:rsidR="00BA087C" w:rsidRDefault="00BA087C" w:rsidP="00BA087C">
      <w:pPr>
        <w:pStyle w:val="ListBullet"/>
      </w:pPr>
      <w:r>
        <w:t xml:space="preserve">Resources to manage programs on a day to day basis. Such resources are either in-house DFAT staff or </w:t>
      </w:r>
      <w:r w:rsidR="00845B3A">
        <w:t>externally contracted facilities</w:t>
      </w:r>
    </w:p>
    <w:p w14:paraId="6D192339" w14:textId="6EDF2650" w:rsidR="00BA087C" w:rsidRDefault="00BA087C" w:rsidP="00BA087C">
      <w:pPr>
        <w:pStyle w:val="ListBullet"/>
      </w:pPr>
      <w:r>
        <w:t>Mechanisms to encourage NGOs</w:t>
      </w:r>
      <w:r w:rsidR="00C42CDF">
        <w:t xml:space="preserve"> to share knowledge and lessons</w:t>
      </w:r>
      <w:r>
        <w:t xml:space="preserve"> from their activities</w:t>
      </w:r>
    </w:p>
    <w:p w14:paraId="78692FB3" w14:textId="7BEC206B" w:rsidR="00BA087C" w:rsidRDefault="00BA087C" w:rsidP="00BA087C">
      <w:pPr>
        <w:pStyle w:val="ListBullet"/>
      </w:pPr>
      <w:r>
        <w:t>Resources and systems to monitor and evaluate the program as a whole (not just individual CSO activities).</w:t>
      </w:r>
    </w:p>
    <w:p w14:paraId="7657D8BD" w14:textId="77777777" w:rsidR="009E7FE6" w:rsidRDefault="00B2331B" w:rsidP="00BA087C">
      <w:pPr>
        <w:pStyle w:val="BodyText"/>
      </w:pPr>
      <w:r>
        <w:t>The</w:t>
      </w:r>
      <w:r w:rsidR="00674AC9">
        <w:t xml:space="preserve"> d</w:t>
      </w:r>
      <w:r w:rsidR="00BA087C">
        <w:t>iff</w:t>
      </w:r>
      <w:r w:rsidR="007602D5">
        <w:t>erent programs have</w:t>
      </w:r>
      <w:r w:rsidR="00BA087C">
        <w:t xml:space="preserve"> implemented these elements in different ways</w:t>
      </w:r>
      <w:r w:rsidR="007602D5">
        <w:t xml:space="preserve">, as discussed in </w:t>
      </w:r>
      <w:r w:rsidR="00DA7FDA" w:rsidRPr="00DA7FDA">
        <w:t xml:space="preserve">section </w:t>
      </w:r>
      <w:r w:rsidR="00DA7FDA">
        <w:t>3.5 below</w:t>
      </w:r>
      <w:r>
        <w:t xml:space="preserve">. </w:t>
      </w:r>
      <w:r w:rsidR="007602D5">
        <w:t>Howev</w:t>
      </w:r>
      <w:r w:rsidR="009E7FE6">
        <w:t xml:space="preserve">er, </w:t>
      </w:r>
      <w:r w:rsidR="00BA087C">
        <w:t>the</w:t>
      </w:r>
      <w:r w:rsidR="001D21B5">
        <w:t>ir</w:t>
      </w:r>
      <w:r w:rsidR="00BA087C">
        <w:t xml:space="preserve"> commonality</w:t>
      </w:r>
      <w:r w:rsidR="009E7FE6">
        <w:t xml:space="preserve"> indicates</w:t>
      </w:r>
      <w:r w:rsidR="00BA087C">
        <w:t xml:space="preserve"> some agreement in DFAT on the important elements that should be included in a CSO program</w:t>
      </w:r>
      <w:r w:rsidR="001D21B5">
        <w:t xml:space="preserve">. </w:t>
      </w:r>
    </w:p>
    <w:p w14:paraId="2322CE76" w14:textId="094D0221" w:rsidR="001D21B5" w:rsidRDefault="00243A24" w:rsidP="00BA087C">
      <w:pPr>
        <w:pStyle w:val="BodyText"/>
      </w:pPr>
      <w:proofErr w:type="gramStart"/>
      <w:r>
        <w:t>The completion r</w:t>
      </w:r>
      <w:r w:rsidR="001D21B5">
        <w:t>eview of the Fund’s first phase highlighted elements that would improve or contribute to the appropriate functioning of the Fund’s management arrangements.</w:t>
      </w:r>
      <w:proofErr w:type="gramEnd"/>
      <w:r w:rsidR="001D21B5">
        <w:t xml:space="preserve"> For example, the Review recommended that the current Fund include a specific learning component, and that an independent monitoring and evaluation panel be retained. </w:t>
      </w:r>
    </w:p>
    <w:p w14:paraId="09574BD4" w14:textId="77777777" w:rsidR="005E0AEA" w:rsidRDefault="00D81F5E" w:rsidP="00BA087C">
      <w:pPr>
        <w:pStyle w:val="BodyText"/>
      </w:pPr>
      <w:r>
        <w:t xml:space="preserve">The Fund includes all the </w:t>
      </w:r>
      <w:r w:rsidR="00F528A4">
        <w:t xml:space="preserve">program management </w:t>
      </w:r>
      <w:r>
        <w:t>elements which are common to DFAT-</w:t>
      </w:r>
      <w:r w:rsidR="00243A24">
        <w:t>funded CSO programs and/or which were recommended in the first phase’s completion review</w:t>
      </w:r>
      <w:r w:rsidR="005E0AEA">
        <w:t>. For example:</w:t>
      </w:r>
    </w:p>
    <w:p w14:paraId="7504B803" w14:textId="77777777" w:rsidR="005E0AEA" w:rsidRDefault="005E0AEA" w:rsidP="005E0AEA">
      <w:pPr>
        <w:pStyle w:val="ListBullet"/>
      </w:pPr>
      <w:r>
        <w:t>DFAT WSH is closely engaged in oversight and management of the Fund, through participation in regular meetings with other members of the Fund management team</w:t>
      </w:r>
      <w:r w:rsidRPr="005E0AEA">
        <w:t xml:space="preserve"> </w:t>
      </w:r>
    </w:p>
    <w:p w14:paraId="51144D8A" w14:textId="71B17C58" w:rsidR="005E0AEA" w:rsidRDefault="00C42CDF" w:rsidP="005E0AEA">
      <w:pPr>
        <w:pStyle w:val="ListBullet"/>
      </w:pPr>
      <w:r>
        <w:t xml:space="preserve">The FMF </w:t>
      </w:r>
      <w:r w:rsidR="005E0AEA">
        <w:t xml:space="preserve">handles much of the day to day Fund management work which DFAT </w:t>
      </w:r>
      <w:r w:rsidR="00D348DB">
        <w:t xml:space="preserve">WSH </w:t>
      </w:r>
      <w:r w:rsidR="005E0AEA">
        <w:t>is not sufficiently resourced to undertake</w:t>
      </w:r>
    </w:p>
    <w:p w14:paraId="12EF8A1E" w14:textId="77777777" w:rsidR="005E0AEA" w:rsidRDefault="005E0AEA" w:rsidP="005E0AEA">
      <w:pPr>
        <w:pStyle w:val="ListBullet"/>
      </w:pPr>
      <w:r>
        <w:t>The Fund clearly focuses on, and has committed resources to, implementing a Knowledge and Learning component</w:t>
      </w:r>
      <w:r w:rsidRPr="005E0AEA">
        <w:t xml:space="preserve"> </w:t>
      </w:r>
    </w:p>
    <w:p w14:paraId="0A92525B" w14:textId="6A576861" w:rsidR="005E0AEA" w:rsidRDefault="005E0AEA" w:rsidP="005E0AEA">
      <w:pPr>
        <w:pStyle w:val="ListBullet"/>
      </w:pPr>
      <w:proofErr w:type="gramStart"/>
      <w:r>
        <w:t>the</w:t>
      </w:r>
      <w:proofErr w:type="gramEnd"/>
      <w:r>
        <w:t xml:space="preserve"> MERP and the Fund’s M&amp;E arrangements ensure CSOs have access to M&amp;E expertise, and there are processes </w:t>
      </w:r>
      <w:r w:rsidR="003652B7">
        <w:t>which</w:t>
      </w:r>
      <w:r>
        <w:t xml:space="preserve"> monitor and report on Fund-wide achievements</w:t>
      </w:r>
      <w:r w:rsidR="00845B3A">
        <w:t>.</w:t>
      </w:r>
    </w:p>
    <w:p w14:paraId="2A6E1C0A" w14:textId="77777777" w:rsidR="000F2F1C" w:rsidRDefault="000F2F1C" w:rsidP="00BA087C">
      <w:pPr>
        <w:pStyle w:val="BodyText"/>
      </w:pPr>
      <w:r>
        <w:lastRenderedPageBreak/>
        <w:t>The Fund’s program management arrangements therefore reflect broad DFAT views on important elements for managing CSO program</w:t>
      </w:r>
      <w:r w:rsidR="00243A24">
        <w:t>s, as well as the findings of the</w:t>
      </w:r>
      <w:r>
        <w:t xml:space="preserve"> evaluation of the Fund’s first phase. The evaluation team therefore judges that they are appropriate. </w:t>
      </w:r>
    </w:p>
    <w:p w14:paraId="5D368133" w14:textId="77777777" w:rsidR="000F2F1C" w:rsidRDefault="000F2F1C" w:rsidP="00BA087C">
      <w:pPr>
        <w:pStyle w:val="Heading2"/>
        <w:ind w:left="851" w:hanging="851"/>
      </w:pPr>
      <w:bookmarkStart w:id="29" w:name="_Toc468450000"/>
      <w:r>
        <w:t>3.2</w:t>
      </w:r>
      <w:r>
        <w:tab/>
        <w:t>Fund management arrangements are functioning well</w:t>
      </w:r>
      <w:bookmarkEnd w:id="29"/>
    </w:p>
    <w:p w14:paraId="0F076C01" w14:textId="2338DADD" w:rsidR="000F2F1C" w:rsidRDefault="00B30F9F" w:rsidP="000F2F1C">
      <w:pPr>
        <w:pStyle w:val="BodyText"/>
      </w:pPr>
      <w:proofErr w:type="gramStart"/>
      <w:r>
        <w:t>The evaluation</w:t>
      </w:r>
      <w:r w:rsidR="00845B3A">
        <w:t xml:space="preserve"> finds</w:t>
      </w:r>
      <w:r w:rsidR="000F2F1C">
        <w:t xml:space="preserve"> that the Fund’s management arrangements are</w:t>
      </w:r>
      <w:r>
        <w:t>, broadly speaking,</w:t>
      </w:r>
      <w:r w:rsidR="000F2F1C">
        <w:t xml:space="preserve"> fun</w:t>
      </w:r>
      <w:r w:rsidR="005414BD">
        <w:t>ctioning well.</w:t>
      </w:r>
      <w:proofErr w:type="gramEnd"/>
      <w:r w:rsidR="005414BD">
        <w:t xml:space="preserve"> This conclusion was drawn</w:t>
      </w:r>
      <w:r w:rsidR="000F2F1C">
        <w:t xml:space="preserve"> by examining</w:t>
      </w:r>
      <w:r w:rsidR="00354FEF">
        <w:t xml:space="preserve"> the MERP’s</w:t>
      </w:r>
      <w:r w:rsidR="000F2F1C">
        <w:t xml:space="preserve"> mid-term asse</w:t>
      </w:r>
      <w:r w:rsidR="00626906">
        <w:t>ssments</w:t>
      </w:r>
      <w:r w:rsidR="00845B3A">
        <w:t xml:space="preserve"> of the Fund’s progress, </w:t>
      </w:r>
      <w:r w:rsidR="000F2F1C">
        <w:t>as well as stakeholder views on Fund management.</w:t>
      </w:r>
    </w:p>
    <w:p w14:paraId="2AC71A1D" w14:textId="77777777" w:rsidR="00243A24" w:rsidRDefault="005414BD" w:rsidP="000F2F1C">
      <w:pPr>
        <w:pStyle w:val="BodyText"/>
      </w:pPr>
      <w:r>
        <w:t>One of the key markers of the success of the Fund’s management arrangem</w:t>
      </w:r>
      <w:r w:rsidR="00243A24">
        <w:t>ents is the effectiveness of</w:t>
      </w:r>
      <w:r>
        <w:t xml:space="preserve"> CSO projects</w:t>
      </w:r>
      <w:r w:rsidR="00243A24">
        <w:t xml:space="preserve"> and the Fund more broadly</w:t>
      </w:r>
      <w:r>
        <w:t>.</w:t>
      </w:r>
      <w:r w:rsidR="00243A24">
        <w:t xml:space="preserve"> This assumes that </w:t>
      </w:r>
      <w:r w:rsidR="00626906">
        <w:t>if CSOs have</w:t>
      </w:r>
      <w:r w:rsidR="00243A24">
        <w:t xml:space="preserve"> been well supported by the Fund’s management arrangements, their projects are more likely to be effective and to contribute to the Fund’s success. </w:t>
      </w:r>
    </w:p>
    <w:p w14:paraId="33418368" w14:textId="77777777" w:rsidR="00243A24" w:rsidRDefault="00243A24" w:rsidP="00243A24">
      <w:pPr>
        <w:pStyle w:val="BodyText"/>
      </w:pPr>
      <w:r>
        <w:t xml:space="preserve">This evaluation has not examined the effectiveness of CSO projects. However, it has examined the mid-term review documents developed by the MERP. It is clear from these documents that the Fund is broadly on track. The MERP notes that “Overall…adequate progress was made during the first two years of implementation” (M&amp;E Note 5). Progress has been particularly strong in areas such as work on the enabling environment, gender equality and knowledge and learning (M&amp;E Note 5). </w:t>
      </w:r>
      <w:r w:rsidR="00626906">
        <w:t>The effectiveness of CSO projects provides credible evidence that the Fund’s management arrangements are functioning well.</w:t>
      </w:r>
    </w:p>
    <w:p w14:paraId="735B0173" w14:textId="77777777" w:rsidR="00EB4F55" w:rsidRDefault="00E16C40" w:rsidP="000F2F1C">
      <w:pPr>
        <w:pStyle w:val="BodyText"/>
      </w:pPr>
      <w:r>
        <w:t xml:space="preserve">Interviews with </w:t>
      </w:r>
      <w:r w:rsidR="004268B5">
        <w:t xml:space="preserve">Fund </w:t>
      </w:r>
      <w:r>
        <w:t xml:space="preserve">stakeholders also demonstrated that the Fund’s management arrangements are largely functioning effectively and efficiently. When asked about the Fund’s strengths, all </w:t>
      </w:r>
      <w:r w:rsidR="00EB4F55">
        <w:t xml:space="preserve">the main </w:t>
      </w:r>
      <w:r>
        <w:t>elements of the management arrangements</w:t>
      </w:r>
      <w:r w:rsidR="00EB4F55">
        <w:t xml:space="preserve"> (DFAT WSH, the MERP, </w:t>
      </w:r>
      <w:r w:rsidR="00845B3A">
        <w:t xml:space="preserve">and the </w:t>
      </w:r>
      <w:r w:rsidR="00EB4F55">
        <w:t>FMF including the Knowledge and Learning component)</w:t>
      </w:r>
      <w:r>
        <w:t xml:space="preserve"> were named a</w:t>
      </w:r>
      <w:r w:rsidR="00EB4F55">
        <w:t>t least once</w:t>
      </w:r>
      <w:r w:rsidR="00845B3A">
        <w:t>. Perhaps more importantly, many</w:t>
      </w:r>
      <w:r w:rsidR="00EB4F55">
        <w:t xml:space="preserve"> interviewees reflected that these different elements work well together. The Fund management t</w:t>
      </w:r>
      <w:r w:rsidR="00DB7A8A">
        <w:t>eam noted that all Fund management team members</w:t>
      </w:r>
      <w:r w:rsidR="0036481A">
        <w:t xml:space="preserve"> </w:t>
      </w:r>
      <w:r w:rsidR="00EB4F55">
        <w:t>work in a collaborative, cooperative manner</w:t>
      </w:r>
      <w:r w:rsidR="00DB7A8A">
        <w:t>, and that the Fund’s management arrangements work well because of the quality and commitment of the team members involved.</w:t>
      </w:r>
      <w:r w:rsidR="00EB4F55">
        <w:t xml:space="preserve"> This view was largely reflected by CSOs, with a num</w:t>
      </w:r>
      <w:r w:rsidR="005C155F">
        <w:t>ber noting that different Fund management elements</w:t>
      </w:r>
      <w:r w:rsidR="00EB4F55">
        <w:t xml:space="preserve"> act in an integrated manner, deliver consistent and useful messages,</w:t>
      </w:r>
      <w:r w:rsidR="0036481A">
        <w:t xml:space="preserve"> and</w:t>
      </w:r>
      <w:r w:rsidR="005C155F">
        <w:t xml:space="preserve"> are made up of high quality individuals</w:t>
      </w:r>
      <w:r w:rsidR="0036481A">
        <w:t>. Two CSOs presented an alternative view, stating that the management arrangements involved too many layers and that it was challenging for CSOs to deal with the multiple groups involved. Th</w:t>
      </w:r>
      <w:r w:rsidR="00C1320D">
        <w:t xml:space="preserve">is </w:t>
      </w:r>
      <w:r w:rsidR="00676215">
        <w:t>was a minority view and</w:t>
      </w:r>
      <w:r w:rsidR="00C1320D">
        <w:t>,</w:t>
      </w:r>
      <w:r w:rsidR="00676215">
        <w:t xml:space="preserve"> overall</w:t>
      </w:r>
      <w:r w:rsidR="00C1320D">
        <w:t>,</w:t>
      </w:r>
      <w:r w:rsidR="00676215">
        <w:t xml:space="preserve"> the evaluation team finds that the Fund’s management arrangements are</w:t>
      </w:r>
      <w:r w:rsidR="00845B3A">
        <w:t xml:space="preserve"> functioning well</w:t>
      </w:r>
      <w:r w:rsidR="00896727">
        <w:t xml:space="preserve">. </w:t>
      </w:r>
    </w:p>
    <w:p w14:paraId="05537C5C" w14:textId="256D954C" w:rsidR="0099593A" w:rsidRDefault="00C1320D" w:rsidP="00BA087C">
      <w:pPr>
        <w:pStyle w:val="Heading2"/>
        <w:ind w:left="851" w:hanging="851"/>
      </w:pPr>
      <w:bookmarkStart w:id="30" w:name="_Toc468450001"/>
      <w:r>
        <w:t>3.3</w:t>
      </w:r>
      <w:r w:rsidR="00BA087C">
        <w:tab/>
      </w:r>
      <w:r w:rsidR="002E0C9C">
        <w:t>Strengths of Fund management arrangements</w:t>
      </w:r>
      <w:bookmarkEnd w:id="30"/>
      <w:r w:rsidR="00BA087C">
        <w:tab/>
      </w:r>
    </w:p>
    <w:p w14:paraId="6ED69855" w14:textId="01E2D276" w:rsidR="00C1320D" w:rsidRDefault="009532BA" w:rsidP="00BA087C">
      <w:r>
        <w:t>Within the good</w:t>
      </w:r>
      <w:r w:rsidR="00F44C60">
        <w:t xml:space="preserve"> performance of the Fund’s management arrangements, two areas were identified as particular strengths: the Fund’s Knowledge and Learning component, and CSO engagement with partner governments. </w:t>
      </w:r>
      <w:r w:rsidR="000D054E">
        <w:t>Many aspects of the Fund’s performance assessment</w:t>
      </w:r>
      <w:r w:rsidR="003652B7">
        <w:t xml:space="preserve"> arrangements </w:t>
      </w:r>
      <w:r w:rsidR="000D054E">
        <w:t>are also performing well, such as the MERP model, the flexibility provided to CSOs to adjust their projects over time, a</w:t>
      </w:r>
      <w:r w:rsidR="003652B7">
        <w:t>nd</w:t>
      </w:r>
      <w:r w:rsidR="000D054E">
        <w:t xml:space="preserve"> the Fund’s approach to gender equality and disability inclusiveness. </w:t>
      </w:r>
      <w:r w:rsidR="00F44C60">
        <w:t xml:space="preserve">These are discussed in detail below. </w:t>
      </w:r>
    </w:p>
    <w:p w14:paraId="399ED696" w14:textId="77777777" w:rsidR="00BA087C" w:rsidRDefault="00C1320D" w:rsidP="0083164D">
      <w:pPr>
        <w:pStyle w:val="Heading3"/>
      </w:pPr>
      <w:r>
        <w:t>3.3</w:t>
      </w:r>
      <w:r w:rsidR="00346E4D">
        <w:t>.1</w:t>
      </w:r>
      <w:r w:rsidR="00346E4D">
        <w:tab/>
      </w:r>
      <w:r w:rsidR="00346E4D">
        <w:tab/>
      </w:r>
      <w:r w:rsidR="00BA087C" w:rsidRPr="00995556">
        <w:t>Knowledge and Learning</w:t>
      </w:r>
      <w:r w:rsidR="0083164D">
        <w:t xml:space="preserve"> component</w:t>
      </w:r>
      <w:r w:rsidR="0004229E">
        <w:t xml:space="preserve"> </w:t>
      </w:r>
    </w:p>
    <w:p w14:paraId="718C60C5" w14:textId="7239CB2E" w:rsidR="002E0C9C" w:rsidRDefault="0083164D" w:rsidP="002E0C9C">
      <w:r>
        <w:t>A foc</w:t>
      </w:r>
      <w:r w:rsidR="007A59EC">
        <w:t>us on knowledge and learning</w:t>
      </w:r>
      <w:r>
        <w:t xml:space="preserve"> is one of the key features of the Fund. </w:t>
      </w:r>
      <w:r w:rsidR="003652B7">
        <w:t>It</w:t>
      </w:r>
      <w:r>
        <w:t xml:space="preserve"> tak</w:t>
      </w:r>
      <w:r w:rsidR="007A59EC">
        <w:t>es a particular approach to knowledge and learning, having a specific Fund</w:t>
      </w:r>
      <w:r>
        <w:t xml:space="preserve"> component </w:t>
      </w:r>
      <w:r w:rsidR="007A59EC">
        <w:t xml:space="preserve">(known as the K&amp;L component) </w:t>
      </w:r>
      <w:r>
        <w:t>which is overseen by the Knowledge and Learning Manager (KALM).</w:t>
      </w:r>
      <w:r w:rsidR="002E0C9C">
        <w:t xml:space="preserve"> Overall, the evaluation finds that the Fund’s approach to K&amp;L is one of its strengths. It provides a strong model which other programs in DFAT should learn from and could consider adopting and adapting to meet their particular needs.  </w:t>
      </w:r>
    </w:p>
    <w:p w14:paraId="604C21DC" w14:textId="1524336E" w:rsidR="0083164D" w:rsidRDefault="0083164D" w:rsidP="00BA087C">
      <w:r>
        <w:t>CSOs</w:t>
      </w:r>
      <w:r w:rsidR="002E0C9C">
        <w:t xml:space="preserve"> were very positive about the Fund’s focus on K&amp;L</w:t>
      </w:r>
      <w:r w:rsidR="00CC143D">
        <w:t>. They</w:t>
      </w:r>
      <w:r>
        <w:t xml:space="preserve"> reflected that other </w:t>
      </w:r>
      <w:r w:rsidR="00CC143D">
        <w:t>donor program</w:t>
      </w:r>
      <w:r w:rsidR="007A59EC">
        <w:t>s</w:t>
      </w:r>
      <w:r>
        <w:t xml:space="preserve"> claim that knowledge and learning is important, but they rarely back this up with specific resources or activities.</w:t>
      </w:r>
      <w:r w:rsidR="00CC143D">
        <w:t xml:space="preserve"> CSOs are therefore highly appreciative of the Fund’s </w:t>
      </w:r>
      <w:r w:rsidR="00CB216E">
        <w:t>focus on knowledge and learning</w:t>
      </w:r>
      <w:r w:rsidR="00CC143D">
        <w:t xml:space="preserve"> and the corresponding resources dedi</w:t>
      </w:r>
      <w:r w:rsidR="007A59EC">
        <w:t>cated to it, with some CSOs</w:t>
      </w:r>
      <w:r w:rsidR="00CC143D">
        <w:t xml:space="preserve"> describing DFAT as a leading donor when it comes to knowledge and learning. </w:t>
      </w:r>
    </w:p>
    <w:p w14:paraId="63BBEA7C" w14:textId="1417C5E6" w:rsidR="00CC143D" w:rsidRDefault="00CB216E" w:rsidP="00CC143D">
      <w:r>
        <w:lastRenderedPageBreak/>
        <w:t>The evaluation</w:t>
      </w:r>
      <w:r w:rsidR="00CC143D">
        <w:t xml:space="preserve"> found that the K&amp;L component is assisting CSOs to improve their projects. In interviews, CSOs reflected that the K&amp;L component’s earlier focus on the Fund website and learning through electronic means had </w:t>
      </w:r>
      <w:r w:rsidR="007A59EC">
        <w:t>not been as helpful as desired</w:t>
      </w:r>
      <w:r w:rsidR="00CC143D">
        <w:t xml:space="preserve">. However, in recent years the K&amp;L component has shifted to focus on face to face learning, particularly global and regional learning events, and these are proving very effective for CSO knowledge and learning. </w:t>
      </w:r>
      <w:r w:rsidR="004E4C1B">
        <w:t>CSOs outlined that s</w:t>
      </w:r>
      <w:r w:rsidR="00CC143D">
        <w:t>ome of the benefits of learning events include:</w:t>
      </w:r>
    </w:p>
    <w:p w14:paraId="3B1F70A9" w14:textId="77777777" w:rsidR="00CC143D" w:rsidRDefault="00CC143D" w:rsidP="00CC143D">
      <w:pPr>
        <w:pStyle w:val="ListBullet"/>
      </w:pPr>
      <w:r>
        <w:t>Increased knowledge and practices: 15 of 16 survey respondents stated that learning events had improved their project team’s WASH knowledge and practices either ‘significantly’ or ‘extremely’</w:t>
      </w:r>
      <w:r w:rsidR="00485B2E">
        <w:t xml:space="preserve"> </w:t>
      </w:r>
      <w:r w:rsidR="00485B2E" w:rsidRPr="00C4229B">
        <w:t>(</w:t>
      </w:r>
      <w:r w:rsidR="00C4229B" w:rsidRPr="00C4229B">
        <w:t xml:space="preserve">see </w:t>
      </w:r>
      <w:r w:rsidR="00C4229B">
        <w:t>Figure 2</w:t>
      </w:r>
      <w:r w:rsidR="00485B2E">
        <w:t>)</w:t>
      </w:r>
    </w:p>
    <w:p w14:paraId="4031E686" w14:textId="77777777" w:rsidR="00CC143D" w:rsidRDefault="00CC143D" w:rsidP="00CC143D">
      <w:pPr>
        <w:pStyle w:val="ListBullet"/>
      </w:pPr>
      <w:r>
        <w:t>Engagement with project partners: Partners, who are known as ‘change agents’ and are often from partner governments, have the opportunity to participate in learning events. This was se</w:t>
      </w:r>
      <w:r w:rsidR="007A59EC">
        <w:t>en by CSOs as highly beneficial</w:t>
      </w:r>
      <w:r>
        <w:t xml:space="preserve"> as it exposed project partners to new ideas and practices</w:t>
      </w:r>
    </w:p>
    <w:p w14:paraId="5565886E" w14:textId="77777777" w:rsidR="00485B2E" w:rsidRDefault="00CC143D" w:rsidP="00CC143D">
      <w:pPr>
        <w:pStyle w:val="ListBullet"/>
      </w:pPr>
      <w:r>
        <w:t xml:space="preserve">Increased motivation: </w:t>
      </w:r>
      <w:r w:rsidR="004407D2">
        <w:t>I</w:t>
      </w:r>
      <w:r w:rsidR="007A59EC">
        <w:t>n-country teams, who can</w:t>
      </w:r>
      <w:r w:rsidR="004407D2">
        <w:t xml:space="preserve"> be quite isolated, are able to connect with the global WASH community and this</w:t>
      </w:r>
      <w:r w:rsidR="007A59EC">
        <w:t xml:space="preserve"> can be very motivating</w:t>
      </w:r>
      <w:r w:rsidR="004407D2">
        <w:t>.</w:t>
      </w:r>
    </w:p>
    <w:p w14:paraId="332FD76D" w14:textId="77777777" w:rsidR="00D54D3F" w:rsidRDefault="00D54D3F" w:rsidP="00485B2E">
      <w:pPr>
        <w:pStyle w:val="ListBullet"/>
        <w:numPr>
          <w:ilvl w:val="0"/>
          <w:numId w:val="0"/>
        </w:numPr>
        <w:ind w:left="284" w:hanging="284"/>
        <w:rPr>
          <w:b/>
          <w:highlight w:val="yellow"/>
        </w:rPr>
      </w:pPr>
    </w:p>
    <w:p w14:paraId="4D6846EA" w14:textId="77777777" w:rsidR="00CC143D" w:rsidRPr="00485B2E" w:rsidRDefault="00C4229B" w:rsidP="00C4229B">
      <w:pPr>
        <w:pStyle w:val="TableandFigureName"/>
      </w:pPr>
      <w:r>
        <w:t>Figure 2</w:t>
      </w:r>
      <w:r w:rsidR="00485B2E" w:rsidRPr="00485B2E">
        <w:t>:</w:t>
      </w:r>
      <w:r w:rsidR="00485B2E">
        <w:t xml:space="preserve"> Learning Events have improved WASH knowledge and practice</w:t>
      </w:r>
      <w:r w:rsidR="00485B2E" w:rsidRPr="00485B2E">
        <w:t xml:space="preserve"> </w:t>
      </w:r>
      <w:r w:rsidR="004407D2" w:rsidRPr="00485B2E">
        <w:t xml:space="preserve"> </w:t>
      </w:r>
    </w:p>
    <w:p w14:paraId="34756270" w14:textId="77777777" w:rsidR="00485B2E" w:rsidRDefault="00E376A0" w:rsidP="00CC143D">
      <w:r>
        <w:rPr>
          <w:noProof/>
        </w:rPr>
        <w:drawing>
          <wp:inline distT="0" distB="0" distL="0" distR="0" wp14:anchorId="397E417D" wp14:editId="780B141D">
            <wp:extent cx="5400675" cy="2557243"/>
            <wp:effectExtent l="0" t="0" r="0" b="0"/>
            <wp:docPr id="299" name="Chart 299" descr="In response to the question &quot;Global/Regional Learning Events have helped my project team improve its WASH knowledge&quot;, 10 respondents said &quot;Extremely&quot;, 5 respondents said &quot;significantly&quot; and one respondent said &quot;not at all&quot;. In response to the question &quot;Global/Regional Learning Events have helped my project team improve WASH practices&quot;, 7 respondents said &quot;extremely&quot;, 8 respondents said &quot;significantly&quot; and one respondent said &quot;not at all&quot;. " title="Figure 2: Learning Events have improved WASH knowledge and practic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64E3DF4" w14:textId="77777777" w:rsidR="004407D2" w:rsidRDefault="004407D2" w:rsidP="00CC143D">
      <w:r>
        <w:t xml:space="preserve">The Fund’s K&amp;L component has also supported CSOs to improve their focus on gender equality and disability inclusiveness. The majority of survey respondents said that gender equality and disability inclusiveness were discussed often or frequently in K&amp;L activities. 16 of 17 survey respondents also agreed or strongly agreed that the K&amp;L component had assisted their project improve its approach to gender inclusiveness, while 14 of 17 survey respondents agreed or strongly agreed that it had assisted their approach to gender equality.  </w:t>
      </w:r>
    </w:p>
    <w:p w14:paraId="52AB7642" w14:textId="2E348651" w:rsidR="004407D2" w:rsidRDefault="009371D1" w:rsidP="00CC143D">
      <w:r>
        <w:t xml:space="preserve">While CSOs were positive about the Fund’s approach to K&amp;L, they provided some suggestions </w:t>
      </w:r>
      <w:r w:rsidR="003652B7">
        <w:t>for</w:t>
      </w:r>
      <w:r>
        <w:t xml:space="preserve"> how it could be further improved</w:t>
      </w:r>
      <w:r w:rsidR="004E4C1B">
        <w:t>. These are outlined below and sh</w:t>
      </w:r>
      <w:r>
        <w:t>ould be considered for the remainder of the Fund’s current phase and/or its next phase:</w:t>
      </w:r>
    </w:p>
    <w:p w14:paraId="16E499CC" w14:textId="77777777" w:rsidR="009371D1" w:rsidRDefault="009371D1" w:rsidP="009371D1">
      <w:pPr>
        <w:pStyle w:val="ListBullet"/>
      </w:pPr>
      <w:r>
        <w:t>Drawing on experiences across CSO projects, t</w:t>
      </w:r>
      <w:r w:rsidR="00DF5B7E">
        <w:t>he Fund could produce</w:t>
      </w:r>
      <w:r>
        <w:t xml:space="preserve"> manuals or ‘how to’ guidance</w:t>
      </w:r>
      <w:r w:rsidR="00DF5B7E">
        <w:t xml:space="preserve"> notes with</w:t>
      </w:r>
      <w:r>
        <w:t xml:space="preserve"> practical information to assist project implementation</w:t>
      </w:r>
    </w:p>
    <w:p w14:paraId="5AECD617" w14:textId="77777777" w:rsidR="009371D1" w:rsidRDefault="009371D1" w:rsidP="009371D1">
      <w:pPr>
        <w:pStyle w:val="ListBullet"/>
      </w:pPr>
      <w:r>
        <w:t xml:space="preserve">Rather than K&amp;L </w:t>
      </w:r>
      <w:proofErr w:type="gramStart"/>
      <w:r>
        <w:t>budgets being</w:t>
      </w:r>
      <w:proofErr w:type="gramEnd"/>
      <w:r>
        <w:t xml:space="preserve"> linked to specific projects, regiona</w:t>
      </w:r>
      <w:r w:rsidR="00A51896">
        <w:t>l K&amp;L budgets could be considered</w:t>
      </w:r>
      <w:r>
        <w:t>. This could, for example, be used to facilitate learning within a CSO that has projects in a number of countries</w:t>
      </w:r>
    </w:p>
    <w:p w14:paraId="4ADE05EC" w14:textId="311D9ECA" w:rsidR="00BA087C" w:rsidRDefault="009371D1" w:rsidP="00BA087C">
      <w:pPr>
        <w:pStyle w:val="ListBullet"/>
      </w:pPr>
      <w:r>
        <w:t xml:space="preserve">Additional </w:t>
      </w:r>
      <w:r w:rsidR="00DF5B7E">
        <w:t xml:space="preserve">‘collaboration’ </w:t>
      </w:r>
      <w:r>
        <w:t>funding could be made available</w:t>
      </w:r>
      <w:r w:rsidR="00DF5B7E">
        <w:t xml:space="preserve"> to support </w:t>
      </w:r>
      <w:r w:rsidR="003652B7">
        <w:t xml:space="preserve">collaboration between CSOs when such opportunities arise during project implementation. </w:t>
      </w:r>
      <w:r w:rsidR="00DF5B7E">
        <w:t xml:space="preserve"> </w:t>
      </w:r>
    </w:p>
    <w:p w14:paraId="1351E45E" w14:textId="77777777" w:rsidR="00BA087C" w:rsidRDefault="00C1320D" w:rsidP="00B55AA8">
      <w:pPr>
        <w:pStyle w:val="Heading3"/>
      </w:pPr>
      <w:r>
        <w:lastRenderedPageBreak/>
        <w:t>3.3</w:t>
      </w:r>
      <w:r w:rsidR="00346E4D">
        <w:t>.2</w:t>
      </w:r>
      <w:r w:rsidR="00346E4D">
        <w:tab/>
      </w:r>
      <w:r w:rsidR="00346E4D">
        <w:tab/>
      </w:r>
      <w:r w:rsidR="00B55AA8">
        <w:t>Engagement with partner governments</w:t>
      </w:r>
    </w:p>
    <w:p w14:paraId="47B2A305" w14:textId="77777777" w:rsidR="00A359F2" w:rsidRDefault="00A359F2" w:rsidP="00B55AA8">
      <w:r>
        <w:t>The Fund aims to activ</w:t>
      </w:r>
      <w:r w:rsidR="00CB216E">
        <w:t xml:space="preserve">ely engage partner governments </w:t>
      </w:r>
      <w:r>
        <w:t>at national and sub</w:t>
      </w:r>
      <w:r w:rsidR="00CB216E">
        <w:t>-national levels</w:t>
      </w:r>
      <w:r>
        <w:t xml:space="preserve"> in the countries where projects are implemented, predominately through CSOs. This engagement between CSOs and partner governments appears to be one of the Fund’s strengths. </w:t>
      </w:r>
    </w:p>
    <w:p w14:paraId="2B24CB7D" w14:textId="66754BEB" w:rsidR="00EB185C" w:rsidRDefault="00B55AA8" w:rsidP="00B55AA8">
      <w:r>
        <w:t xml:space="preserve">The Fund strongly encourages CSO’s to work with </w:t>
      </w:r>
      <w:r w:rsidR="00A359F2">
        <w:t>‘</w:t>
      </w:r>
      <w:r>
        <w:t>change agents</w:t>
      </w:r>
      <w:r w:rsidR="00A359F2">
        <w:t>’</w:t>
      </w:r>
      <w:r>
        <w:t>, many of whom are government counterparts.</w:t>
      </w:r>
      <w:r w:rsidR="00EB185C">
        <w:t xml:space="preserve"> In interview and survey responses, </w:t>
      </w:r>
      <w:r>
        <w:t>CSOs reflected that they have close links with partner governments</w:t>
      </w:r>
      <w:r w:rsidR="004E4C1B">
        <w:t>. They work with partner</w:t>
      </w:r>
      <w:r w:rsidR="00EB185C">
        <w:t xml:space="preserve"> governments on project specific issues and, where possible, share project M&amp;E data with them. CSOs also engage in broader WASH policy dialogue with partner gover</w:t>
      </w:r>
      <w:r w:rsidR="007A59EC">
        <w:t>nments, for example through existing WASH forums</w:t>
      </w:r>
      <w:r w:rsidR="00EB185C">
        <w:t>. The DFAT posts interviewed as part of the evaluation also felt that CSOs had good links with partner governments. Although the evaluation did not have the opportunity to verify these views with partner governments, it appears CSO engagement with partner governments is an appropriate and effective element of the Fund’s management arrangements.</w:t>
      </w:r>
    </w:p>
    <w:p w14:paraId="23EA6B9A" w14:textId="54A4D5E7" w:rsidR="000D054E" w:rsidRDefault="000D054E" w:rsidP="007572C7">
      <w:pPr>
        <w:pStyle w:val="Heading3"/>
      </w:pPr>
      <w:r>
        <w:t>3.3.3</w:t>
      </w:r>
      <w:r>
        <w:tab/>
      </w:r>
      <w:r>
        <w:tab/>
        <w:t>Positive aspects of the Fund’s performance assessment arrangements</w:t>
      </w:r>
    </w:p>
    <w:p w14:paraId="0F07D119" w14:textId="68100E17" w:rsidR="002E0C9C" w:rsidRDefault="002E0C9C" w:rsidP="000D054E">
      <w:pPr>
        <w:pStyle w:val="BodyText"/>
      </w:pPr>
      <w:r>
        <w:t xml:space="preserve">The evaluation finds that many aspects of the Fund’s monitoring and evaluation arrangements are </w:t>
      </w:r>
      <w:r w:rsidR="006A7419">
        <w:t>functioning well. The</w:t>
      </w:r>
      <w:r w:rsidR="00D13A8B">
        <w:t xml:space="preserve"> MERP model, the MERP support to CSOs and</w:t>
      </w:r>
      <w:r w:rsidR="006A7419">
        <w:t xml:space="preserve"> </w:t>
      </w:r>
      <w:r w:rsidR="00D13A8B">
        <w:t xml:space="preserve">the </w:t>
      </w:r>
      <w:r w:rsidR="006A7419">
        <w:t>Fund flexibility discussed below</w:t>
      </w:r>
      <w:r>
        <w:t xml:space="preserve"> are considered strengths of the Fund’s management arrangements and demonstrate</w:t>
      </w:r>
      <w:r w:rsidR="006A7419">
        <w:t xml:space="preserve"> good practice which should be considered</w:t>
      </w:r>
      <w:r>
        <w:t xml:space="preserve"> by other DFAT programs.</w:t>
      </w:r>
      <w:r w:rsidR="006A7419">
        <w:t xml:space="preserve"> </w:t>
      </w:r>
      <w:r w:rsidR="00690436">
        <w:t xml:space="preserve">A particular highlight is the </w:t>
      </w:r>
      <w:r w:rsidR="006A7419">
        <w:t xml:space="preserve">M&amp;E approach to gender equality and disability inclusiveness (discussed below) which, when combined with the gender equality and disability inclusiveness K&amp;L activities (discussed above), provides a useful model which could be </w:t>
      </w:r>
      <w:r w:rsidR="00B8092B">
        <w:t>adopted by other DFAT programs.</w:t>
      </w:r>
    </w:p>
    <w:p w14:paraId="3DDC866C" w14:textId="58617F14" w:rsidR="000D054E" w:rsidRDefault="000D054E" w:rsidP="000D054E">
      <w:pPr>
        <w:pStyle w:val="BodyText"/>
      </w:pPr>
      <w:r>
        <w:t xml:space="preserve">Many aspects of the Fund’s monitoring and evaluation arrangements are viewed positively by CSOs and the Fund management team. For example, the MERP model of having M&amp;E experts engaged for the life of the Fund is seen as one of the Fund’s strengths. In the survey, </w:t>
      </w:r>
      <w:r w:rsidRPr="00D54D3F">
        <w:t>17 of 20 respondents agreed or strongly agreed that the MERP model was useful and helped improve their project.</w:t>
      </w:r>
      <w:r>
        <w:t xml:space="preserve"> In interviews both CSOs and members of the Fund management team reflected that the model brings significant benefits</w:t>
      </w:r>
      <w:r w:rsidR="003652B7">
        <w:t>. For example,</w:t>
      </w:r>
      <w:r>
        <w:t xml:space="preserve"> it has ensured continuity and allowed MERP members to build deep knowledge of the Fund, its projects and the context in which they work. It is generally perceived that alternative models, such as contracting different M&amp;E consultants for short-term work, would be less effective and efficient.  </w:t>
      </w:r>
    </w:p>
    <w:p w14:paraId="501DACBC" w14:textId="77777777" w:rsidR="000D054E" w:rsidRDefault="000D054E" w:rsidP="000D054E">
      <w:pPr>
        <w:pStyle w:val="BodyText"/>
      </w:pPr>
      <w:r>
        <w:t xml:space="preserve">One of the MERP’s main roles is to support CSOs to implement high quality WASH projects. Much of the support provided by the MERP is viewed very positively by CSOs. Generally speaking, the monitoring visits which the MERP has conducted are highly regarded. All survey respondents agreed or strongly agreed that monitoring visits helped improve their projects, and also agreed that further monitoring visits would be useful. In interviews, CSOs stated that monitoring visits have been valuable, providing critical questioning, advice and coaching which has assisted with project improvement. Monitoring visits are also valued by the Fund management team as they provide valuable information on in-country work.  </w:t>
      </w:r>
    </w:p>
    <w:p w14:paraId="1D78776C" w14:textId="77777777" w:rsidR="000D054E" w:rsidRDefault="000D054E" w:rsidP="000D054E">
      <w:r>
        <w:t xml:space="preserve">The MERP is also responsible for developing and maintaining the Fund’s performance assessment arrangements. Two aspects of these arrangements are viewed as highly beneficial. The first is that the Fund’s arrangements provide flexibility for CSOs to adapt and adjust their projects during implementation: in six monthly and annual reports, CSOs are able to suggest and have changes to their projects approved. Interviewees reflected that this is highly valued, particularly when compared to the practices of some other donors who provide much less flexibility. The ability to adjust projects is also valued given its consistency with the Fund’s focus on knowledge and learning.  </w:t>
      </w:r>
    </w:p>
    <w:p w14:paraId="318A3CE2" w14:textId="2F54F7FC" w:rsidR="000D054E" w:rsidRDefault="000D054E" w:rsidP="000D054E">
      <w:r>
        <w:t xml:space="preserve">The approach to gender equality and disability inclusiveness in the Fund’s M&amp;E system is also </w:t>
      </w:r>
      <w:r w:rsidR="003652B7">
        <w:t>strong</w:t>
      </w:r>
      <w:r>
        <w:t>. When setting up</w:t>
      </w:r>
      <w:r w:rsidR="003652B7">
        <w:t xml:space="preserve"> the</w:t>
      </w:r>
      <w:r>
        <w:t xml:space="preserve"> Fund’s performance assessment arrangements, the MERP included a specific outcome on gender equality as well as several key performance indicators (KPIs) and key performance questions (KPQs) on gender equality and disability inclusiveness. CSO Operational Plans (or project designs) also include a specific section on gender equality and social inclusion. </w:t>
      </w:r>
    </w:p>
    <w:p w14:paraId="1F4E6AFE" w14:textId="6E0513DE" w:rsidR="000D054E" w:rsidRDefault="000D054E" w:rsidP="000D054E">
      <w:r>
        <w:t xml:space="preserve">This focus is supported during project implementation. For example, CSOs must report against the KPIs and KPQs, and gender equality and disability inclusiveness are regularly discussed in monitoring visits and K&amp;L events. Fund reporting also includes a focus on gender and disability:  </w:t>
      </w:r>
      <w:r>
        <w:lastRenderedPageBreak/>
        <w:t>the MERP’s mid-term review notes include a specific paper on gender and social inclusion, while these issues are integrated throughout the other MERP mid-term review notes. CSOs outlined that this focus has been very helpful, as shown in Figure 3. In interviews, CSOs noted that the Fund’s arrangements have ensured gender equality and disability inclusiveness are high priorities for project teams, with a number of CSOs reflecting that it pushed teams to go further in these areas than they might otherwise have done. Consistent with the findings of the MERP’s mid-term review notes, CSOs also reflected that their engagement with gender or disability-specific</w:t>
      </w:r>
      <w:r w:rsidR="003652B7">
        <w:t xml:space="preserve"> implementation</w:t>
      </w:r>
      <w:r>
        <w:t xml:space="preserve"> partners has driven strong approaches to gender equality and social inclusion. </w:t>
      </w:r>
    </w:p>
    <w:p w14:paraId="1E6B514A" w14:textId="77777777" w:rsidR="000D054E" w:rsidRPr="00E42445" w:rsidRDefault="000D054E" w:rsidP="000D054E">
      <w:pPr>
        <w:pStyle w:val="TableandFigureName"/>
        <w:tabs>
          <w:tab w:val="clear" w:pos="993"/>
          <w:tab w:val="left" w:pos="851"/>
        </w:tabs>
        <w:ind w:left="851" w:hanging="851"/>
      </w:pPr>
      <w:r>
        <w:t>Figure 3</w:t>
      </w:r>
      <w:r w:rsidRPr="00485B2E">
        <w:t>:</w:t>
      </w:r>
      <w:r>
        <w:t xml:space="preserve"> The Fund’s Performance Assessment Arrangements have improved approaches to gender and disability</w:t>
      </w:r>
    </w:p>
    <w:p w14:paraId="3D9F37A1" w14:textId="6BBAF926" w:rsidR="00B55AA8" w:rsidRDefault="000D054E" w:rsidP="006947E2">
      <w:pPr>
        <w:pStyle w:val="Heading2"/>
      </w:pPr>
      <w:bookmarkStart w:id="31" w:name="_Toc463361305"/>
      <w:bookmarkStart w:id="32" w:name="_Toc468450002"/>
      <w:r>
        <w:rPr>
          <w:noProof/>
        </w:rPr>
        <w:drawing>
          <wp:inline distT="0" distB="0" distL="0" distR="0" wp14:anchorId="0B28C3CA" wp14:editId="35212FE3">
            <wp:extent cx="5355772" cy="3435531"/>
            <wp:effectExtent l="0" t="0" r="0" b="0"/>
            <wp:docPr id="3" name="Chart 3" descr="In response to the question &quot;The Fund's performance assessment arrangements have strengthened my project's approach to disability inclusiveness&quot;, 8 respondents strongly agreed, 9 respondents agreed, 2 respondents neither agreed or disagredd, and one respondent disagreed. In response to the question &quot;The Fund's performance assessment arrangements have strengthened my project's approach to gender equality&quot;, 9 respondents strongly agreed, 7 respondents agreed, 2 respondents neither agreed or disagreed, and two respondents disagreed. " title="Figure 3: The Fund's performance assessment arrangements have improved approaches to gender and disability"/>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bookmarkEnd w:id="31"/>
      <w:r w:rsidR="005E4454">
        <w:t>3.4</w:t>
      </w:r>
      <w:r w:rsidR="00F57D51">
        <w:tab/>
        <w:t>Improving the Fund’s effectiveness and efficiency</w:t>
      </w:r>
      <w:bookmarkEnd w:id="32"/>
      <w:r w:rsidR="00832D0C">
        <w:t xml:space="preserve"> </w:t>
      </w:r>
    </w:p>
    <w:p w14:paraId="2025DE54" w14:textId="77777777" w:rsidR="005E4454" w:rsidRDefault="00777EBB" w:rsidP="00DC0D75">
      <w:r>
        <w:t>Although the Fund’s management arrangements are largely functioning well, four</w:t>
      </w:r>
      <w:r w:rsidR="00AA7252">
        <w:t xml:space="preserve"> concerns about </w:t>
      </w:r>
      <w:r>
        <w:t>management effectiveness or efficiency were consistent</w:t>
      </w:r>
      <w:r w:rsidR="00AA7252">
        <w:t>ly raised during the evaluation</w:t>
      </w:r>
      <w:r>
        <w:t>. These are:</w:t>
      </w:r>
    </w:p>
    <w:p w14:paraId="67CEF0E3" w14:textId="77777777" w:rsidR="00777EBB" w:rsidRDefault="00785E60" w:rsidP="00777EBB">
      <w:pPr>
        <w:pStyle w:val="ListBullet"/>
      </w:pPr>
      <w:r>
        <w:t>The efficiency o</w:t>
      </w:r>
      <w:r w:rsidR="00777EBB">
        <w:t>f CSO grant</w:t>
      </w:r>
      <w:r>
        <w:t xml:space="preserve"> management</w:t>
      </w:r>
    </w:p>
    <w:p w14:paraId="08FC3366" w14:textId="77777777" w:rsidR="00777EBB" w:rsidRDefault="00777EBB" w:rsidP="00777EBB">
      <w:pPr>
        <w:pStyle w:val="ListBullet"/>
      </w:pPr>
      <w:r>
        <w:t>The effectiveness of the Fund’s reporting arrangements</w:t>
      </w:r>
    </w:p>
    <w:p w14:paraId="4E4C77FE" w14:textId="77777777" w:rsidR="00777EBB" w:rsidRDefault="00777EBB" w:rsidP="00777EBB">
      <w:pPr>
        <w:pStyle w:val="ListBullet"/>
      </w:pPr>
      <w:r>
        <w:t>The independence of the MERP, and</w:t>
      </w:r>
    </w:p>
    <w:p w14:paraId="66A41DFE" w14:textId="77777777" w:rsidR="00777EBB" w:rsidRDefault="00777EBB" w:rsidP="00777EBB">
      <w:pPr>
        <w:pStyle w:val="ListBullet"/>
      </w:pPr>
      <w:r>
        <w:t>Fund engagement with DFAT country prog</w:t>
      </w:r>
      <w:r w:rsidR="00785E60">
        <w:t>r</w:t>
      </w:r>
      <w:r>
        <w:t>ams.</w:t>
      </w:r>
    </w:p>
    <w:p w14:paraId="411F877E" w14:textId="77777777" w:rsidR="00777EBB" w:rsidRDefault="00777EBB" w:rsidP="00777EBB">
      <w:pPr>
        <w:pStyle w:val="BodyText"/>
      </w:pPr>
      <w:r>
        <w:t xml:space="preserve">These are discussed below. </w:t>
      </w:r>
    </w:p>
    <w:p w14:paraId="719DCE07" w14:textId="77777777" w:rsidR="00DC0D75" w:rsidRDefault="005E4454" w:rsidP="00346E4D">
      <w:pPr>
        <w:pStyle w:val="Heading3"/>
      </w:pPr>
      <w:r>
        <w:t>3.4</w:t>
      </w:r>
      <w:r w:rsidR="00F15A3B">
        <w:t>.1</w:t>
      </w:r>
      <w:r w:rsidR="00F15A3B">
        <w:tab/>
      </w:r>
      <w:r w:rsidR="00F15A3B">
        <w:tab/>
        <w:t>CSO grant management could be more efficient</w:t>
      </w:r>
    </w:p>
    <w:p w14:paraId="4DF5D9E7" w14:textId="2C55C655" w:rsidR="00FD5D0A" w:rsidRDefault="00215FD7" w:rsidP="00FD5D0A">
      <w:pPr>
        <w:pStyle w:val="BodyText"/>
      </w:pPr>
      <w:r>
        <w:t xml:space="preserve">In addition to providing strategic oversight for the Fund, </w:t>
      </w:r>
      <w:r w:rsidR="00AD0979">
        <w:t xml:space="preserve">DFAT WSH </w:t>
      </w:r>
      <w:r>
        <w:t xml:space="preserve">holds </w:t>
      </w:r>
      <w:r w:rsidR="0004229E">
        <w:t xml:space="preserve">the grant agreements with the 13 Fund CSOs. This allows DFAT </w:t>
      </w:r>
      <w:r w:rsidR="00D348DB">
        <w:t xml:space="preserve">WSH </w:t>
      </w:r>
      <w:r w:rsidR="0004229E">
        <w:t>and CSOs to maintain a direct relat</w:t>
      </w:r>
      <w:r w:rsidR="00966AE6">
        <w:t>ionship. I</w:t>
      </w:r>
      <w:r w:rsidR="0004229E">
        <w:t>t also creates significant administrative work for DFAT</w:t>
      </w:r>
      <w:r w:rsidR="00D348DB">
        <w:t xml:space="preserve"> WSH</w:t>
      </w:r>
      <w:r w:rsidR="0004229E">
        <w:t>, such as maintaining grant agreements, processing payments and completing partner performance assessments.</w:t>
      </w:r>
    </w:p>
    <w:p w14:paraId="6BB55A64" w14:textId="6756A410" w:rsidR="0004229E" w:rsidRDefault="0004229E" w:rsidP="00FD5D0A">
      <w:pPr>
        <w:pStyle w:val="BodyText"/>
      </w:pPr>
      <w:r>
        <w:t xml:space="preserve">As noted above, DFAT WSH has contracted the FMF to undertake much of the day to day Fund management. This includes regular liaison with </w:t>
      </w:r>
      <w:r w:rsidR="00797333">
        <w:t xml:space="preserve">and mentoring for </w:t>
      </w:r>
      <w:r>
        <w:t xml:space="preserve">CSOs on budgets, financial acquittals and reporting. CSOs and the </w:t>
      </w:r>
      <w:r w:rsidR="0084305D">
        <w:t>FMF will</w:t>
      </w:r>
      <w:r>
        <w:t xml:space="preserve"> work together on particular issues and, where necessary, refer them to DFAT</w:t>
      </w:r>
      <w:r w:rsidR="00D348DB">
        <w:t xml:space="preserve"> WSH</w:t>
      </w:r>
      <w:r>
        <w:t xml:space="preserve"> for decision. </w:t>
      </w:r>
    </w:p>
    <w:p w14:paraId="2759A89D" w14:textId="0A62AD86" w:rsidR="00807700" w:rsidRDefault="00943BAD" w:rsidP="00FD5D0A">
      <w:pPr>
        <w:pStyle w:val="BodyText"/>
      </w:pPr>
      <w:r>
        <w:lastRenderedPageBreak/>
        <w:t>B</w:t>
      </w:r>
      <w:r w:rsidR="00A026EC">
        <w:t xml:space="preserve">oth DFAT </w:t>
      </w:r>
      <w:r w:rsidR="00D348DB">
        <w:t xml:space="preserve">WSH </w:t>
      </w:r>
      <w:r w:rsidR="00A026EC">
        <w:t>and the FMF</w:t>
      </w:r>
      <w:r w:rsidR="00BC651C">
        <w:t xml:space="preserve"> questioned the</w:t>
      </w:r>
      <w:r w:rsidR="00A026EC">
        <w:t xml:space="preserve"> efficiency</w:t>
      </w:r>
      <w:r w:rsidR="00BC651C">
        <w:t xml:space="preserve"> of this arrangement</w:t>
      </w:r>
      <w:r w:rsidR="00A026EC">
        <w:t xml:space="preserve">. </w:t>
      </w:r>
      <w:r w:rsidR="00C54E43">
        <w:t>DFA</w:t>
      </w:r>
      <w:r w:rsidR="00D54D3F">
        <w:t>T WSH has outsourced the day-to-</w:t>
      </w:r>
      <w:r w:rsidR="00C54E43">
        <w:t>day management of the grant agreements,</w:t>
      </w:r>
      <w:r w:rsidR="00BC651C">
        <w:t xml:space="preserve"> yet</w:t>
      </w:r>
      <w:r w:rsidR="007A59EC">
        <w:t xml:space="preserve"> it</w:t>
      </w:r>
      <w:r w:rsidR="00C54E43">
        <w:t xml:space="preserve"> still hold</w:t>
      </w:r>
      <w:r w:rsidR="007A59EC">
        <w:t>s</w:t>
      </w:r>
      <w:r w:rsidR="00C54E43">
        <w:t xml:space="preserve"> the agreements and the </w:t>
      </w:r>
      <w:r w:rsidR="00215FD7">
        <w:t>risk associated with them</w:t>
      </w:r>
      <w:r w:rsidR="00C54E43">
        <w:t>.</w:t>
      </w:r>
      <w:r w:rsidR="00BC651C">
        <w:t xml:space="preserve"> As a result</w:t>
      </w:r>
      <w:r w:rsidR="007A59EC">
        <w:t xml:space="preserve"> DFAT</w:t>
      </w:r>
      <w:r w:rsidR="00C54E43">
        <w:t xml:space="preserve"> </w:t>
      </w:r>
      <w:r w:rsidR="00D348DB">
        <w:t xml:space="preserve">WSH </w:t>
      </w:r>
      <w:r w:rsidR="00C54E43">
        <w:t>maintain</w:t>
      </w:r>
      <w:r w:rsidR="007A59EC">
        <w:t>s</w:t>
      </w:r>
      <w:r w:rsidR="00C54E43">
        <w:t xml:space="preserve"> close oversight of the Fund an</w:t>
      </w:r>
      <w:r w:rsidR="00CB216E">
        <w:t>d project activities. This</w:t>
      </w:r>
      <w:r w:rsidR="00C54E43">
        <w:t xml:space="preserve"> oversight means that the FMF has to work very closely with DFAT</w:t>
      </w:r>
      <w:r w:rsidR="00D348DB">
        <w:t xml:space="preserve"> WSH</w:t>
      </w:r>
      <w:r w:rsidR="00C54E43">
        <w:t>, referring issues and seeking guidance on decisions it is n</w:t>
      </w:r>
      <w:r w:rsidR="00D348DB">
        <w:t>ot able</w:t>
      </w:r>
      <w:r w:rsidR="00C54E43">
        <w:t xml:space="preserve"> to make. Interviewees noted that this can create double-handling and additional work for all parties involved.</w:t>
      </w:r>
    </w:p>
    <w:p w14:paraId="35A6534C" w14:textId="3F8ECE26" w:rsidR="0084305D" w:rsidRDefault="00807700" w:rsidP="00FD5D0A">
      <w:pPr>
        <w:pStyle w:val="BodyText"/>
      </w:pPr>
      <w:r>
        <w:t>A more efficient mechanism</w:t>
      </w:r>
      <w:r w:rsidR="00943BAD">
        <w:t xml:space="preserve"> for the Fund’s next phase</w:t>
      </w:r>
      <w:r>
        <w:t xml:space="preserve"> may be for </w:t>
      </w:r>
      <w:r w:rsidR="00BC651C">
        <w:t xml:space="preserve">a </w:t>
      </w:r>
      <w:r w:rsidR="00B41522">
        <w:t>future FMF</w:t>
      </w:r>
      <w:r w:rsidR="00B41522">
        <w:rPr>
          <w:rStyle w:val="FootnoteReference"/>
        </w:rPr>
        <w:footnoteReference w:id="8"/>
      </w:r>
      <w:r w:rsidR="00B41522">
        <w:t xml:space="preserve"> </w:t>
      </w:r>
      <w:r>
        <w:t>to hold the grant agreements wi</w:t>
      </w:r>
      <w:r w:rsidR="003A3AC9">
        <w:t xml:space="preserve">th CSOs. This would have the significant advantage of reducing DFAT WSH’s contract management work. The time saved could be used for other tasks where DFAT WSH can add significant value for the Fund, such as </w:t>
      </w:r>
      <w:r w:rsidR="00FD7384">
        <w:t xml:space="preserve">strategic oversight (including for M&amp;E), </w:t>
      </w:r>
      <w:r w:rsidR="003A3AC9">
        <w:t xml:space="preserve">building relationships with country programs and maximising public diplomacy opportunities. </w:t>
      </w:r>
      <w:r w:rsidR="00171AB0">
        <w:t>By increasing the scope of a</w:t>
      </w:r>
      <w:r w:rsidR="00B41522">
        <w:t xml:space="preserve"> future FMF’s</w:t>
      </w:r>
      <w:r w:rsidR="00171AB0">
        <w:t xml:space="preserve"> work, economies of scale and an increase in </w:t>
      </w:r>
      <w:r w:rsidR="00F8617D">
        <w:t>facility efficiency</w:t>
      </w:r>
      <w:r w:rsidR="00171AB0">
        <w:t xml:space="preserve"> may also be achieved.</w:t>
      </w:r>
    </w:p>
    <w:p w14:paraId="48D6504B" w14:textId="648759E3" w:rsidR="00317BCD" w:rsidRDefault="00BC651C" w:rsidP="00FD5D0A">
      <w:pPr>
        <w:pStyle w:val="BodyText"/>
      </w:pPr>
      <w:r>
        <w:t>Such an approach</w:t>
      </w:r>
      <w:r w:rsidR="003A3AC9">
        <w:t xml:space="preserve"> </w:t>
      </w:r>
      <w:r w:rsidR="007A59EC">
        <w:t xml:space="preserve">also </w:t>
      </w:r>
      <w:r w:rsidR="003A3AC9">
        <w:t>has disadvantages and risks</w:t>
      </w:r>
      <w:r w:rsidR="00943BAD">
        <w:t>, as summarised</w:t>
      </w:r>
      <w:r w:rsidR="003A3AC9">
        <w:t xml:space="preserve"> in Table </w:t>
      </w:r>
      <w:r w:rsidR="00C4229B">
        <w:t>4.</w:t>
      </w:r>
      <w:r w:rsidR="00435EAB">
        <w:t xml:space="preserve"> One</w:t>
      </w:r>
      <w:r w:rsidR="00943BAD">
        <w:t xml:space="preserve"> risk is that the relationship between CSOs and DFAT </w:t>
      </w:r>
      <w:r w:rsidR="00D348DB">
        <w:t xml:space="preserve">WSH </w:t>
      </w:r>
      <w:r w:rsidR="003652B7">
        <w:t>c</w:t>
      </w:r>
      <w:r w:rsidR="00943BAD">
        <w:t xml:space="preserve">ould </w:t>
      </w:r>
      <w:r w:rsidR="007A59EC">
        <w:t xml:space="preserve">potentially </w:t>
      </w:r>
      <w:r w:rsidR="00943BAD">
        <w:t>be reduced. When questioned, CSO interviewees were generally not overly concerned about this. The current system results in limited engag</w:t>
      </w:r>
      <w:r w:rsidR="009127A4">
        <w:t>ement between DFAT WSH and CSOs</w:t>
      </w:r>
      <w:r w:rsidR="00CB216E">
        <w:t>,</w:t>
      </w:r>
      <w:r w:rsidR="00943BAD">
        <w:t xml:space="preserve"> and CSOs generally see this as acceptable. </w:t>
      </w:r>
      <w:r w:rsidR="00BD2451">
        <w:t>Many</w:t>
      </w:r>
      <w:r w:rsidR="00943BAD">
        <w:t xml:space="preserve"> Australia-based CSOs noted they have other avenues to engage with DFAT</w:t>
      </w:r>
      <w:r w:rsidR="007A59EC">
        <w:t>,</w:t>
      </w:r>
      <w:r w:rsidR="00943BAD">
        <w:t xml:space="preserve"> such as the WASH Reference Group</w:t>
      </w:r>
      <w:r w:rsidR="00943BAD">
        <w:rPr>
          <w:rStyle w:val="FootnoteReference"/>
        </w:rPr>
        <w:footnoteReference w:id="9"/>
      </w:r>
      <w:r w:rsidR="00943BAD">
        <w:t xml:space="preserve">. </w:t>
      </w:r>
      <w:r w:rsidR="00317BCD">
        <w:t>Some CSOs expressed a preference for direct contracts with DFAT</w:t>
      </w:r>
      <w:r w:rsidR="00D348DB">
        <w:t xml:space="preserve"> WSH</w:t>
      </w:r>
      <w:r w:rsidR="00317BCD">
        <w:t>, while others noted that the current system is working well for them and, from their perspective, changes are not needed. At the same time, there was a general sense that an alternative system could be feasible as long as lines of communication and engagement were clear.</w:t>
      </w:r>
      <w:r w:rsidR="00996389">
        <w:t xml:space="preserve"> </w:t>
      </w:r>
    </w:p>
    <w:p w14:paraId="35CB3309" w14:textId="77777777" w:rsidR="005F0358" w:rsidRDefault="00943BAD" w:rsidP="00943BAD">
      <w:pPr>
        <w:pStyle w:val="BodyText"/>
      </w:pPr>
      <w:r>
        <w:t>That said</w:t>
      </w:r>
      <w:proofErr w:type="gramStart"/>
      <w:r>
        <w:t>,</w:t>
      </w:r>
      <w:proofErr w:type="gramEnd"/>
      <w:r>
        <w:t xml:space="preserve"> a number of CSOs </w:t>
      </w:r>
      <w:r w:rsidR="00435EAB">
        <w:t>expressed a preference for some direct relationship with DF</w:t>
      </w:r>
      <w:r w:rsidR="00F93E05">
        <w:t>AT</w:t>
      </w:r>
      <w:r w:rsidR="00D348DB">
        <w:t xml:space="preserve"> WSH</w:t>
      </w:r>
      <w:r w:rsidR="00F93E05">
        <w:t xml:space="preserve">, regardless of the contracting arrangements. </w:t>
      </w:r>
      <w:r w:rsidR="00435EAB">
        <w:t xml:space="preserve">CSOs </w:t>
      </w:r>
      <w:r w:rsidR="004520B5">
        <w:t>who have</w:t>
      </w:r>
      <w:r>
        <w:t xml:space="preserve"> had recent direct contact with DFAT </w:t>
      </w:r>
      <w:r w:rsidR="00D348DB">
        <w:t xml:space="preserve">WSH </w:t>
      </w:r>
      <w:r>
        <w:t>(for example, on project-specific challenges) s</w:t>
      </w:r>
      <w:r w:rsidR="009127A4">
        <w:t>tated that this was</w:t>
      </w:r>
      <w:r>
        <w:t xml:space="preserve"> very useful as it provided an opportunity to directly engage with DFAT WSH on its policies and priorities.</w:t>
      </w:r>
      <w:r w:rsidR="009127A4">
        <w:t xml:space="preserve"> </w:t>
      </w:r>
      <w:r w:rsidR="00435EAB">
        <w:t>It created confid</w:t>
      </w:r>
      <w:r w:rsidR="00F93E05">
        <w:t>ence in CSOs that they understood and could</w:t>
      </w:r>
      <w:r w:rsidR="00D348DB">
        <w:t xml:space="preserve"> meet DFAT WSH’s </w:t>
      </w:r>
      <w:r w:rsidR="00435EAB">
        <w:t xml:space="preserve">needs. </w:t>
      </w:r>
    </w:p>
    <w:p w14:paraId="3B64E425" w14:textId="34D8C8CF" w:rsidR="005F0358" w:rsidRDefault="005F0358" w:rsidP="005F0358">
      <w:r>
        <w:t>A further risk of a</w:t>
      </w:r>
      <w:r w:rsidR="00B41522">
        <w:t xml:space="preserve"> future FMF</w:t>
      </w:r>
      <w:r>
        <w:t xml:space="preserve"> holding CSO grant agreements relates to the potential relationship between CSOs and a contracted Fund manager. </w:t>
      </w:r>
      <w:r w:rsidR="000B62CB">
        <w:t>One Australia</w:t>
      </w:r>
      <w:r>
        <w:t xml:space="preserve">-based CSO who has been accredited under ANCP felt that the Fund subjects them to unnecessarily “forensic” management, given their accredited status. Such close management is likely to continue if a </w:t>
      </w:r>
      <w:r w:rsidR="00B41522">
        <w:t>future FMF</w:t>
      </w:r>
      <w:r>
        <w:t xml:space="preserve"> were to </w:t>
      </w:r>
      <w:r w:rsidR="00F8617D">
        <w:t>hold CSO grant agreements. G</w:t>
      </w:r>
      <w:r>
        <w:t xml:space="preserve">iven the current Fund includes (and future Fund is likely to include) non-accredited CSOs, it would be overly burdensome to have separate management approaches for accredited and non-accredited CSOs. This suggests it is necessary for DFAT WSH to clarify with CSOs that more stringent oversight will be implemented when compared to other DFAT funded CSO programs.  </w:t>
      </w:r>
    </w:p>
    <w:p w14:paraId="60D3243C" w14:textId="5A1B92F3" w:rsidR="00943BAD" w:rsidRDefault="009127A4" w:rsidP="00943BAD">
      <w:pPr>
        <w:pStyle w:val="BodyText"/>
      </w:pPr>
      <w:r>
        <w:t xml:space="preserve">The need </w:t>
      </w:r>
      <w:r w:rsidR="00435EAB">
        <w:t>to maintain a</w:t>
      </w:r>
      <w:r>
        <w:t xml:space="preserve"> relationship between CSOs and DFAT</w:t>
      </w:r>
      <w:r w:rsidR="00D348DB">
        <w:t xml:space="preserve"> WSH</w:t>
      </w:r>
      <w:r>
        <w:t>,</w:t>
      </w:r>
      <w:r w:rsidR="00943BAD">
        <w:t xml:space="preserve"> combined wit</w:t>
      </w:r>
      <w:r w:rsidR="005F0358">
        <w:t>h</w:t>
      </w:r>
      <w:r w:rsidR="00943BAD">
        <w:t xml:space="preserve"> risks around DFAT ‘branding’ of the Fund (see Table</w:t>
      </w:r>
      <w:r w:rsidR="00C4229B">
        <w:t xml:space="preserve"> 4</w:t>
      </w:r>
      <w:r w:rsidR="005F0358">
        <w:t>),</w:t>
      </w:r>
      <w:r w:rsidR="00943BAD">
        <w:t xml:space="preserve"> the lack of report</w:t>
      </w:r>
      <w:r w:rsidR="00C4229B">
        <w:t>ing feedback loops (see section 3.4.2</w:t>
      </w:r>
      <w:r w:rsidR="00943BAD">
        <w:t xml:space="preserve">), </w:t>
      </w:r>
      <w:r w:rsidR="005F0358">
        <w:t xml:space="preserve">and management of accredited Australian CSOs </w:t>
      </w:r>
      <w:r w:rsidR="00943BAD">
        <w:t>suggests it may be useful for the Fund’s next phase to include a forum for DFAT</w:t>
      </w:r>
      <w:r w:rsidR="00D348DB">
        <w:t xml:space="preserve"> WSH</w:t>
      </w:r>
      <w:r w:rsidR="00943BAD">
        <w:t xml:space="preserve">, other members of the Fund Management Team, and CSOs to meet on a regular basis </w:t>
      </w:r>
      <w:r w:rsidR="00943BAD" w:rsidRPr="00C4229B">
        <w:t>(</w:t>
      </w:r>
      <w:r w:rsidR="00C4229B" w:rsidRPr="00C4229B">
        <w:t xml:space="preserve">see section </w:t>
      </w:r>
      <w:r w:rsidR="00C4229B">
        <w:t>3.6</w:t>
      </w:r>
      <w:r w:rsidR="00943BAD">
        <w:t>).</w:t>
      </w:r>
    </w:p>
    <w:p w14:paraId="786FC34D" w14:textId="7B9C69E3" w:rsidR="0004229E" w:rsidRPr="00FD5D0A" w:rsidRDefault="00BC651C" w:rsidP="00485546">
      <w:pPr>
        <w:pStyle w:val="TableandFigureName"/>
        <w:ind w:left="0" w:firstLine="0"/>
      </w:pPr>
      <w:r>
        <w:lastRenderedPageBreak/>
        <w:t xml:space="preserve">Table </w:t>
      </w:r>
      <w:r w:rsidR="00C4229B" w:rsidRPr="00C4229B">
        <w:t>4</w:t>
      </w:r>
      <w:r w:rsidRPr="00C4229B">
        <w:t>:</w:t>
      </w:r>
      <w:r>
        <w:t xml:space="preserve"> What if a </w:t>
      </w:r>
      <w:r w:rsidR="00B41522">
        <w:t>future FMF</w:t>
      </w:r>
      <w:r>
        <w:t xml:space="preserve"> held funding agreements with CSOs? </w:t>
      </w:r>
    </w:p>
    <w:tbl>
      <w:tblPr>
        <w:tblStyle w:val="TableGrid"/>
        <w:tblW w:w="0" w:type="auto"/>
        <w:tblLook w:val="04A0" w:firstRow="1" w:lastRow="0" w:firstColumn="1" w:lastColumn="0" w:noHBand="0" w:noVBand="1"/>
        <w:tblCaption w:val="Table 4: What if a future FMF held funding agreements with CSOs?"/>
        <w:tblDescription w:val="The first risk would be greater contract costs for DFAT WSH due to increased contractor management fees. Although there may be greater contract costs, DFAT WSH is likely to achieve better value by outsourcing grant management work and focussing on areas where it can add more value. By increasing the scope of a future FMF's work, a facility's efficiency may increase. The second risk is there may be a reduced relationship between DFAT WSH and CSOs. A Fund advisory/consultative group which includes CSOs and meets on a regular basis could be used to manage this risk. This third risk is that accredited Australian CSOs feel they are being overmanaged. A Fund advisory/consultative group which includes CSOs and meets on a regular basis could be used to manage this risk by providing a forum to discuss management risks. The fourth risk is a loss of DFAT brand for the Fund which may become more associate with a future FMF than with DFAT. A Fund advisory/consultative group which includes CSOs and meets on a regular basis could be used to manage this risk, as could a greater focus by DFAT WSH on public diplomacy activities."/>
      </w:tblPr>
      <w:tblGrid>
        <w:gridCol w:w="3936"/>
        <w:gridCol w:w="4677"/>
      </w:tblGrid>
      <w:tr w:rsidR="003A3AC9" w14:paraId="79571DBD" w14:textId="77777777" w:rsidTr="003A3AC9">
        <w:tc>
          <w:tcPr>
            <w:tcW w:w="3936" w:type="dxa"/>
          </w:tcPr>
          <w:p w14:paraId="72A44752" w14:textId="77777777" w:rsidR="003A3AC9" w:rsidRPr="00566A1F" w:rsidRDefault="001C3B46" w:rsidP="00485546">
            <w:pPr>
              <w:pStyle w:val="TableHeading1"/>
              <w:keepNext/>
            </w:pPr>
            <w:r>
              <w:t>Disadvantages and</w:t>
            </w:r>
            <w:r w:rsidR="003A3AC9">
              <w:t xml:space="preserve"> risk</w:t>
            </w:r>
            <w:r>
              <w:t>s</w:t>
            </w:r>
          </w:p>
        </w:tc>
        <w:tc>
          <w:tcPr>
            <w:tcW w:w="4677" w:type="dxa"/>
          </w:tcPr>
          <w:p w14:paraId="235119CA" w14:textId="77777777" w:rsidR="003A3AC9" w:rsidRDefault="001C3B46" w:rsidP="00485546">
            <w:pPr>
              <w:pStyle w:val="TableHeading1"/>
              <w:keepNext/>
            </w:pPr>
            <w:r>
              <w:t>Discussion and</w:t>
            </w:r>
            <w:r w:rsidR="003A3AC9">
              <w:t xml:space="preserve"> risk mitigation</w:t>
            </w:r>
          </w:p>
        </w:tc>
      </w:tr>
      <w:tr w:rsidR="003A3AC9" w14:paraId="2F408BA0" w14:textId="77777777" w:rsidTr="003A3AC9">
        <w:tc>
          <w:tcPr>
            <w:tcW w:w="3936" w:type="dxa"/>
          </w:tcPr>
          <w:p w14:paraId="1E1CE72E" w14:textId="3A972E9D" w:rsidR="003A3AC9" w:rsidRDefault="003A3AC9" w:rsidP="00485546">
            <w:pPr>
              <w:pStyle w:val="TableText"/>
              <w:keepNext/>
            </w:pPr>
            <w:r>
              <w:t>Greater contract costs for DFAT</w:t>
            </w:r>
            <w:r w:rsidR="005D0E58">
              <w:t xml:space="preserve"> </w:t>
            </w:r>
            <w:r w:rsidR="00D348DB">
              <w:t xml:space="preserve">WSH </w:t>
            </w:r>
            <w:r w:rsidR="005D0E58">
              <w:t>due to increased contractor management fees</w:t>
            </w:r>
          </w:p>
        </w:tc>
        <w:tc>
          <w:tcPr>
            <w:tcW w:w="4677" w:type="dxa"/>
          </w:tcPr>
          <w:p w14:paraId="73E7AAC2" w14:textId="54E40E55" w:rsidR="00171AB0" w:rsidRDefault="003A3AC9" w:rsidP="00485546">
            <w:pPr>
              <w:pStyle w:val="TableText"/>
              <w:keepNext/>
            </w:pPr>
            <w:r>
              <w:t xml:space="preserve">Although there may be greater contract costs, DFAT </w:t>
            </w:r>
            <w:r w:rsidR="00D348DB">
              <w:t xml:space="preserve">WSH </w:t>
            </w:r>
            <w:r>
              <w:t>is likely to achieve bett</w:t>
            </w:r>
            <w:r w:rsidR="001E19B1">
              <w:t>er value by outsourcing grant</w:t>
            </w:r>
            <w:r>
              <w:t xml:space="preserve"> management work and focussing on areas where it can add more value</w:t>
            </w:r>
            <w:r w:rsidR="00171AB0">
              <w:t xml:space="preserve"> </w:t>
            </w:r>
          </w:p>
          <w:p w14:paraId="55DD8B94" w14:textId="3792BB37" w:rsidR="003A3AC9" w:rsidRDefault="00171AB0" w:rsidP="00485546">
            <w:pPr>
              <w:pStyle w:val="TableText"/>
              <w:keepNext/>
            </w:pPr>
            <w:r>
              <w:t xml:space="preserve">By increasing the scope of a </w:t>
            </w:r>
            <w:r w:rsidR="00B41522">
              <w:t>future FMF’s</w:t>
            </w:r>
            <w:r>
              <w:t xml:space="preserve"> work, a facility’s efficiency may increase </w:t>
            </w:r>
          </w:p>
        </w:tc>
      </w:tr>
      <w:tr w:rsidR="003A3AC9" w14:paraId="3E52F237" w14:textId="77777777" w:rsidTr="003A3AC9">
        <w:tc>
          <w:tcPr>
            <w:tcW w:w="3936" w:type="dxa"/>
          </w:tcPr>
          <w:p w14:paraId="5A395150" w14:textId="274D1786" w:rsidR="003A3AC9" w:rsidRDefault="003A3AC9" w:rsidP="00485546">
            <w:pPr>
              <w:pStyle w:val="TableText"/>
              <w:keepNext/>
            </w:pPr>
            <w:r>
              <w:t xml:space="preserve">Risk of reduced relationship between DFAT </w:t>
            </w:r>
            <w:r w:rsidR="00D348DB">
              <w:t>WS</w:t>
            </w:r>
            <w:r w:rsidR="00B103AE">
              <w:t>H</w:t>
            </w:r>
            <w:r w:rsidR="00D348DB">
              <w:t xml:space="preserve"> </w:t>
            </w:r>
            <w:r>
              <w:t>and CSOs</w:t>
            </w:r>
          </w:p>
        </w:tc>
        <w:tc>
          <w:tcPr>
            <w:tcW w:w="4677" w:type="dxa"/>
          </w:tcPr>
          <w:p w14:paraId="63F1623F" w14:textId="1324F6DD" w:rsidR="003A3AC9" w:rsidRDefault="003A3AC9" w:rsidP="00485546">
            <w:pPr>
              <w:pStyle w:val="TableText"/>
              <w:keepNext/>
            </w:pPr>
            <w:r>
              <w:t xml:space="preserve">A Fund </w:t>
            </w:r>
            <w:r w:rsidR="00B41522">
              <w:t>advisory/consultative group</w:t>
            </w:r>
            <w:r>
              <w:t xml:space="preserve"> which </w:t>
            </w:r>
            <w:r w:rsidR="00943BAD">
              <w:t xml:space="preserve">includes CSOs and </w:t>
            </w:r>
            <w:r>
              <w:t>meets on a regular basis could be used to manage this risk</w:t>
            </w:r>
          </w:p>
        </w:tc>
      </w:tr>
      <w:tr w:rsidR="003A3AC9" w:rsidRPr="00B32BC1" w14:paraId="5F7367BB" w14:textId="77777777" w:rsidTr="003A3AC9">
        <w:tc>
          <w:tcPr>
            <w:tcW w:w="3936" w:type="dxa"/>
          </w:tcPr>
          <w:p w14:paraId="0F22EDF8" w14:textId="538C336A" w:rsidR="003A3AC9" w:rsidRDefault="003A3AC9" w:rsidP="002C2A2C">
            <w:pPr>
              <w:pStyle w:val="TableText"/>
            </w:pPr>
            <w:r>
              <w:t xml:space="preserve">Risk </w:t>
            </w:r>
            <w:r w:rsidR="005F0358">
              <w:t xml:space="preserve">that accredited Australian CSOs feel they are being ‘overmanaged’ </w:t>
            </w:r>
          </w:p>
        </w:tc>
        <w:tc>
          <w:tcPr>
            <w:tcW w:w="4677" w:type="dxa"/>
          </w:tcPr>
          <w:p w14:paraId="4A0FE93B" w14:textId="2407D70C" w:rsidR="003A3AC9" w:rsidRPr="00B32BC1" w:rsidRDefault="005F0358" w:rsidP="003A3AC9">
            <w:pPr>
              <w:pStyle w:val="TableText"/>
            </w:pPr>
            <w:r>
              <w:t xml:space="preserve">A Fund </w:t>
            </w:r>
            <w:r w:rsidR="00B41522">
              <w:t>advisory/consultative group</w:t>
            </w:r>
            <w:r>
              <w:t xml:space="preserve"> which includes CSOs and meets on a regular basis could be used to manage this risk by providing a forum to discuss management issues</w:t>
            </w:r>
            <w:r w:rsidDel="005F0358">
              <w:t xml:space="preserve"> </w:t>
            </w:r>
          </w:p>
        </w:tc>
      </w:tr>
      <w:tr w:rsidR="003A3AC9" w14:paraId="32FB9A37" w14:textId="77777777" w:rsidTr="003A3AC9">
        <w:tc>
          <w:tcPr>
            <w:tcW w:w="3936" w:type="dxa"/>
          </w:tcPr>
          <w:p w14:paraId="695F4EF7" w14:textId="5BD1B283" w:rsidR="003A3AC9" w:rsidRDefault="003A3AC9" w:rsidP="00635902">
            <w:pPr>
              <w:pStyle w:val="TableText"/>
            </w:pPr>
            <w:r>
              <w:t>Loss</w:t>
            </w:r>
            <w:r w:rsidR="001C3B46">
              <w:t xml:space="preserve"> of DFAT ‘brand’ for </w:t>
            </w:r>
            <w:r w:rsidR="009415E1">
              <w:t>the</w:t>
            </w:r>
            <w:r w:rsidR="001C3B46">
              <w:t xml:space="preserve"> Fund</w:t>
            </w:r>
            <w:r w:rsidR="005D0E58">
              <w:t xml:space="preserve"> which may become</w:t>
            </w:r>
            <w:r>
              <w:t xml:space="preserve"> more associated with </w:t>
            </w:r>
            <w:r w:rsidR="003652B7">
              <w:t>a future FMF</w:t>
            </w:r>
            <w:r>
              <w:t xml:space="preserve"> than with DFAT</w:t>
            </w:r>
            <w:r w:rsidR="00D348DB">
              <w:t xml:space="preserve"> </w:t>
            </w:r>
          </w:p>
        </w:tc>
        <w:tc>
          <w:tcPr>
            <w:tcW w:w="4677" w:type="dxa"/>
          </w:tcPr>
          <w:p w14:paraId="0865585D" w14:textId="16BA2C8D" w:rsidR="003A3AC9" w:rsidRDefault="003A3AC9" w:rsidP="00FB030D">
            <w:pPr>
              <w:pStyle w:val="TableText"/>
            </w:pPr>
            <w:r>
              <w:t xml:space="preserve">A Fund </w:t>
            </w:r>
            <w:r w:rsidR="00B41522">
              <w:t>advisory/consultative group</w:t>
            </w:r>
            <w:r>
              <w:t xml:space="preserve"> which </w:t>
            </w:r>
            <w:r w:rsidR="00943BAD">
              <w:t xml:space="preserve">includes CSOs and </w:t>
            </w:r>
            <w:r>
              <w:t>meets on a regular basis could be used to manage this risk, as could a greater focus by DFAT</w:t>
            </w:r>
            <w:r w:rsidR="00D348DB">
              <w:t xml:space="preserve"> WSH</w:t>
            </w:r>
            <w:r>
              <w:t xml:space="preserve"> on public diplomacy activities</w:t>
            </w:r>
          </w:p>
        </w:tc>
      </w:tr>
    </w:tbl>
    <w:p w14:paraId="3D252103" w14:textId="77777777" w:rsidR="0099593A" w:rsidRDefault="005E4454" w:rsidP="003E03A8">
      <w:pPr>
        <w:pStyle w:val="Heading3"/>
      </w:pPr>
      <w:r>
        <w:t>3.4</w:t>
      </w:r>
      <w:r w:rsidR="00837A63">
        <w:t>.2</w:t>
      </w:r>
      <w:r w:rsidR="00837A63">
        <w:tab/>
      </w:r>
      <w:r w:rsidR="00837A63">
        <w:tab/>
      </w:r>
      <w:r w:rsidR="0012107E">
        <w:t>Fund reporting arrangements</w:t>
      </w:r>
      <w:r w:rsidR="00837A63">
        <w:t xml:space="preserve"> could be improved</w:t>
      </w:r>
    </w:p>
    <w:p w14:paraId="5763EA60" w14:textId="58AE9C59" w:rsidR="00D67FE7" w:rsidRDefault="00D67FE7" w:rsidP="0099593A">
      <w:pPr>
        <w:pStyle w:val="BodyText"/>
      </w:pPr>
      <w:r>
        <w:t>As outlined in section 3.3.3, many aspects of the Fund’s performance assessment arrangements are functioning well. However, the evaluation also finds that the Fund’s project-specific and aggregate reporting could be improved, as discussed below.</w:t>
      </w:r>
    </w:p>
    <w:p w14:paraId="32C2C3D0" w14:textId="637EDFDE" w:rsidR="000D054E" w:rsidRDefault="000D054E" w:rsidP="007572C7">
      <w:pPr>
        <w:pStyle w:val="Heading4"/>
      </w:pPr>
      <w:r>
        <w:t>CSO project specific reporting</w:t>
      </w:r>
    </w:p>
    <w:p w14:paraId="33D1D9D2" w14:textId="7A80EAC2" w:rsidR="004308FC" w:rsidRDefault="00CD1616" w:rsidP="004308FC">
      <w:pPr>
        <w:pStyle w:val="BodyText"/>
      </w:pPr>
      <w:proofErr w:type="gramStart"/>
      <w:r>
        <w:t>CSO views on the Fund’s</w:t>
      </w:r>
      <w:proofErr w:type="gramEnd"/>
      <w:r>
        <w:t xml:space="preserve"> reporting </w:t>
      </w:r>
      <w:r w:rsidR="00D67FE7">
        <w:t>arrangements</w:t>
      </w:r>
      <w:r>
        <w:t xml:space="preserve"> </w:t>
      </w:r>
      <w:r w:rsidR="00E168B9">
        <w:t>are</w:t>
      </w:r>
      <w:r w:rsidR="006B7CA3">
        <w:t xml:space="preserve"> </w:t>
      </w:r>
      <w:r>
        <w:t xml:space="preserve">mixed. CSOs complete six monthly and annual reports using the Fund’s Project Reporting Tool (PRT). </w:t>
      </w:r>
      <w:r w:rsidR="004308FC">
        <w:t>The primary purpose of these reports is to fulfil accountability requirements by providing DFAT WSH with information on project progress. For this reason the PRT is relatively rigid, asking for specific data in a specific format to ensure it can be aggregated for Fund-wide reporting.</w:t>
      </w:r>
    </w:p>
    <w:p w14:paraId="460CD35A" w14:textId="77777777" w:rsidR="004308FC" w:rsidRDefault="004308FC" w:rsidP="004308FC">
      <w:pPr>
        <w:pStyle w:val="BodyText"/>
      </w:pPr>
      <w:r>
        <w:t xml:space="preserve">Six CSOs reflected that the data that has to be collected and reported is appropriate for the size of the grants. Some of these have a view that the six monthly and annual reports are useful for their projects, for example by helping detect emerging issues early. This view was strongly reflected in the survey results, with 19 of 20 respondents agreeing or strongly agreeing that M&amp;E reports are useful for their organisation. </w:t>
      </w:r>
    </w:p>
    <w:p w14:paraId="09A7445C" w14:textId="211B0EB1" w:rsidR="004308FC" w:rsidRDefault="004308FC" w:rsidP="004308FC">
      <w:r>
        <w:t>A further three CSOs had a clear understanding of the trade-offs involved in project reporting. Th</w:t>
      </w:r>
      <w:r w:rsidR="00F8617D">
        <w:t>ey understood</w:t>
      </w:r>
      <w:r>
        <w:t xml:space="preserve"> that CSO reports need to feed into higher level Fund-wide reporting, thus meaning the PRT needs to be relatively rigid. Such CSOs note this relatively rigidity is a disadvantage of being part of a bigger Fund, but it is outweighed by the advantages of being in the Fund such as access to the K&amp;L component.</w:t>
      </w:r>
    </w:p>
    <w:p w14:paraId="097D9534" w14:textId="77777777" w:rsidR="004308FC" w:rsidRDefault="004308FC" w:rsidP="004308FC">
      <w:pPr>
        <w:pStyle w:val="BodyText"/>
      </w:pPr>
      <w:r>
        <w:rPr>
          <w:lang w:eastAsia="zh-CN"/>
        </w:rPr>
        <w:t xml:space="preserve">Four CSOs were less positive about project-specific reporting. </w:t>
      </w:r>
      <w:r>
        <w:t xml:space="preserve">They expressed concern about the PRT, stating that it is too focused on compliance and ‘box-ticking’. They also feel it does not allow them to record the long-term story of change in their project, capture insights or learning, or facilitate a higher level of reflection on project performance. </w:t>
      </w:r>
    </w:p>
    <w:p w14:paraId="31D193FA" w14:textId="62F8BDD6" w:rsidR="004308FC" w:rsidRDefault="004308FC" w:rsidP="004308FC">
      <w:pPr>
        <w:pStyle w:val="BodyText"/>
      </w:pPr>
      <w:r>
        <w:t xml:space="preserve">It is important to note that the PRT was never intended to assist reflection or learning; as noted above, it was designed as an accountability tool. </w:t>
      </w:r>
      <w:r w:rsidR="00B41522">
        <w:t xml:space="preserve">The evaluation team views this focus on accountability as appropriate, as it is necessary for the Fund to have a reporting system which enables results to be aggregated and reported at the Fund-wide level. </w:t>
      </w:r>
      <w:r>
        <w:t xml:space="preserve">The evaluation team </w:t>
      </w:r>
      <w:r w:rsidR="00B41522">
        <w:t xml:space="preserve">also </w:t>
      </w:r>
      <w:r>
        <w:t xml:space="preserve">concludes that some CSOs’ negative views of the PRT are a result of a mismatch between the PRT’s intended purpose and CSOs’ preferences for the purpose of reporting. </w:t>
      </w:r>
    </w:p>
    <w:p w14:paraId="351A4207" w14:textId="4A824821" w:rsidR="000C24DE" w:rsidRDefault="000C24DE" w:rsidP="000C24DE">
      <w:pPr>
        <w:pStyle w:val="BodyText"/>
      </w:pPr>
      <w:r>
        <w:t>The MERP is planning its own review of the PRT as part of the next round of in-country monitoring visits. This review will be</w:t>
      </w:r>
      <w:r w:rsidR="00D67FE7">
        <w:t xml:space="preserve"> used to inform </w:t>
      </w:r>
      <w:r>
        <w:t>PRT design for the Fund’s next phase and will able to consider issues with the PRT in greater depth than has been possible in this evaluation. The evaluation team strongly supports this review and suggests that it should actively consider whether the PRT</w:t>
      </w:r>
      <w:r w:rsidR="00F8617D">
        <w:t xml:space="preserve"> c</w:t>
      </w:r>
      <w:r>
        <w:t xml:space="preserve">ould be amended </w:t>
      </w:r>
      <w:r w:rsidR="00B41522">
        <w:t>so it not only enables accountability and Fund-wide results reporting, but also</w:t>
      </w:r>
      <w:r>
        <w:t xml:space="preserve"> facilitate</w:t>
      </w:r>
      <w:r w:rsidR="00B41522">
        <w:t>s</w:t>
      </w:r>
      <w:r>
        <w:t xml:space="preserve"> CSO learning and reflection. The MERP’s review could consider the PRT itself </w:t>
      </w:r>
      <w:r w:rsidR="00D359F9">
        <w:t>and</w:t>
      </w:r>
      <w:r>
        <w:t xml:space="preserve"> the process used to draft it. For example, one CSO suggested </w:t>
      </w:r>
      <w:r>
        <w:lastRenderedPageBreak/>
        <w:t>to the evaluation team that CSO project</w:t>
      </w:r>
      <w:r w:rsidR="00D359F9">
        <w:t>s</w:t>
      </w:r>
      <w:r>
        <w:t xml:space="preserve"> might be better supported if there were regular performance discussions between CSOs and the MERP</w:t>
      </w:r>
      <w:r w:rsidR="00D67FE7">
        <w:t>. S</w:t>
      </w:r>
      <w:r>
        <w:t xml:space="preserve">uch discussions could be incorporated into the PRT process and would be consistent with the Fund’s ongoing focus on knowledge and learning. </w:t>
      </w:r>
    </w:p>
    <w:p w14:paraId="509FE3C0" w14:textId="487C12BF" w:rsidR="00CD1616" w:rsidRDefault="000D054E" w:rsidP="007572C7">
      <w:pPr>
        <w:pStyle w:val="Heading4"/>
      </w:pPr>
      <w:r>
        <w:t>Fund-wide aggregate reporting</w:t>
      </w:r>
    </w:p>
    <w:p w14:paraId="5AAA73D8" w14:textId="77777777" w:rsidR="000D054E" w:rsidRDefault="00FC035A" w:rsidP="003E03A8">
      <w:r>
        <w:t>CSOs a</w:t>
      </w:r>
      <w:r w:rsidR="00E168B9">
        <w:t>nd the Fund management team</w:t>
      </w:r>
      <w:r>
        <w:t xml:space="preserve"> expressed concerns about the aggregate reporting that reflects on Fund-wide progress, achievements and evidence. Some CSOs feel that one of the MERP’s key value-adds is providing fund-wide aggregate reporting, outlining what the Fund has achieved and evidence-based lessons on what is and i</w:t>
      </w:r>
      <w:r w:rsidR="00573D65">
        <w:t>sn’t effective in the Fund</w:t>
      </w:r>
      <w:r>
        <w:t xml:space="preserve">. However, CSOs felt that such Fund-wide reporting had not been available to </w:t>
      </w:r>
      <w:r w:rsidR="00E168B9">
        <w:t>date. Instead, reporting is</w:t>
      </w:r>
      <w:r w:rsidR="00E73CEE">
        <w:t xml:space="preserve"> seen as</w:t>
      </w:r>
      <w:r w:rsidR="00EF1A00">
        <w:t xml:space="preserve"> uni-directional; CSOs provide</w:t>
      </w:r>
      <w:r>
        <w:t xml:space="preserve"> project-level data but there is no effective feedback loop to help them understand the evidence emerging across the Fund. </w:t>
      </w:r>
    </w:p>
    <w:p w14:paraId="3F1D9258" w14:textId="4191D222" w:rsidR="00A44F75" w:rsidRDefault="00FC035A" w:rsidP="000D054E">
      <w:r>
        <w:t>The MERP’s mid-term review documents</w:t>
      </w:r>
      <w:r w:rsidR="00395F4E">
        <w:t xml:space="preserve"> </w:t>
      </w:r>
      <w:r w:rsidR="000D054E">
        <w:t xml:space="preserve">may help close this loop (note they </w:t>
      </w:r>
      <w:r w:rsidR="00395F4E">
        <w:t>were being finalised as this evaluation was undertaken and the majority were not available to CSOs when they were interviewed</w:t>
      </w:r>
      <w:r w:rsidR="000D054E">
        <w:t>).</w:t>
      </w:r>
      <w:r w:rsidR="00395F4E">
        <w:t xml:space="preserve"> </w:t>
      </w:r>
      <w:r w:rsidR="00A44F75">
        <w:t>However, t</w:t>
      </w:r>
      <w:r w:rsidR="000D054E">
        <w:t>he evaluation team’s assessment of the MERP mid-ter</w:t>
      </w:r>
      <w:r w:rsidR="00A44F75">
        <w:t>m review documents suggests</w:t>
      </w:r>
      <w:r w:rsidR="000D054E">
        <w:t xml:space="preserve"> CSO</w:t>
      </w:r>
      <w:r w:rsidR="00A44F75">
        <w:t>s expectations are unlikely to be met. The documents (some of which are still drafts) are largely descriptive and they note that mid-term is too early in the Fund to draw conclusions on the effectiveness of different approaches to WASH.</w:t>
      </w:r>
      <w:r w:rsidR="00A44F75" w:rsidRPr="00A44F75">
        <w:t xml:space="preserve"> </w:t>
      </w:r>
      <w:r w:rsidR="00A44F75">
        <w:t xml:space="preserve">This is </w:t>
      </w:r>
      <w:proofErr w:type="gramStart"/>
      <w:r w:rsidR="00A44F75">
        <w:t>reasonable,</w:t>
      </w:r>
      <w:proofErr w:type="gramEnd"/>
      <w:r w:rsidR="00A44F75">
        <w:t xml:space="preserve"> however, it suggests two areas for further action:</w:t>
      </w:r>
    </w:p>
    <w:p w14:paraId="613DEE5D" w14:textId="0315EC7D" w:rsidR="00A44F75" w:rsidRDefault="00B41522" w:rsidP="007572C7">
      <w:pPr>
        <w:pStyle w:val="ListBullet"/>
      </w:pPr>
      <w:r>
        <w:t>For the current Fund, e</w:t>
      </w:r>
      <w:r w:rsidR="00A44F75">
        <w:t>nd-of-Fund reporting will need to draw conclusions on and compare the effectiveness of different WASH work supported by the Fund (note the MERP’s mid-term review documents also state</w:t>
      </w:r>
      <w:r w:rsidR="00396D8D">
        <w:t xml:space="preserve"> this)</w:t>
      </w:r>
    </w:p>
    <w:p w14:paraId="3B320E35" w14:textId="110E70D0" w:rsidR="001146D8" w:rsidRDefault="00396D8D" w:rsidP="001146D8">
      <w:pPr>
        <w:pStyle w:val="ListBullet"/>
      </w:pPr>
      <w:r>
        <w:t xml:space="preserve">For future phases, ‘feedback loops’ should be created so that CSOs have better access to emerging Fund-wide lessons and evidence. Such feedback loops could also be used to manage CSO expectations on when Fund-wide evidence can </w:t>
      </w:r>
      <w:r w:rsidR="00B41522">
        <w:t xml:space="preserve">reasonably </w:t>
      </w:r>
      <w:r>
        <w:t xml:space="preserve">be reported. As discussed in </w:t>
      </w:r>
      <w:r w:rsidRPr="002C23D8">
        <w:t>section</w:t>
      </w:r>
      <w:r>
        <w:t xml:space="preserve"> 3.6, this could potentially be achieved through a Fund forum in which DFAT WSH, other members of the Fund Management Team, and CSOs to meet on a regular basis.</w:t>
      </w:r>
    </w:p>
    <w:p w14:paraId="4C8BB59D" w14:textId="7B1E2A5C" w:rsidR="001146D8" w:rsidRDefault="001146D8" w:rsidP="007572C7">
      <w:pPr>
        <w:pStyle w:val="BodyText"/>
      </w:pPr>
      <w:r>
        <w:t>DFAT WSH interviewees also expressed concern about the effectiveness of Fund-wide reporting. There was a sense that the Fund is collecting a lot of data but there is insufficient consideration of whether this data is useful and/or being used. DFAT WSH also feel that some data collection is not delivering good value as it is time and resource-intensive to collect while the benefits are not immediately apparent. ‘Approach mapping’ was cited as a particular example in this regard. In addition, DFAT WSH does not feel confident that Fund-wide reporting, such as annual sy</w:t>
      </w:r>
      <w:r w:rsidR="00F8617D">
        <w:t>nthesis reports and the MERP mid-term</w:t>
      </w:r>
      <w:r w:rsidR="00D359F9">
        <w:t xml:space="preserve"> review</w:t>
      </w:r>
      <w:r w:rsidR="00F8617D">
        <w:t xml:space="preserve"> notes</w:t>
      </w:r>
      <w:r>
        <w:t xml:space="preserve">, are meeting its needs. </w:t>
      </w:r>
    </w:p>
    <w:p w14:paraId="382A312D" w14:textId="42CAB710" w:rsidR="001146D8" w:rsidRDefault="00B41522" w:rsidP="007572C7">
      <w:pPr>
        <w:pStyle w:val="BodyText"/>
      </w:pPr>
      <w:r>
        <w:t xml:space="preserve">The evaluation team identified two factors which are contributing to this situation. </w:t>
      </w:r>
      <w:r w:rsidR="001146D8">
        <w:t>First, there</w:t>
      </w:r>
      <w:r>
        <w:t xml:space="preserve"> appears to be </w:t>
      </w:r>
      <w:r w:rsidR="001146D8">
        <w:t>tension between the M&amp;E data and analysis that the MERP would ideally like to undertake, and what DFAT WSH views as reasonable and appropriate to undertake.</w:t>
      </w:r>
      <w:r>
        <w:t xml:space="preserve"> In interviews, DFAT WSH</w:t>
      </w:r>
      <w:r w:rsidR="001146D8">
        <w:t xml:space="preserve"> noted that the MERP’s independence needs to be tempered by strategic oversight to ensure their work remains within reasonable parameters.</w:t>
      </w:r>
    </w:p>
    <w:p w14:paraId="07998A4C" w14:textId="54600095" w:rsidR="001146D8" w:rsidRDefault="004D2466" w:rsidP="007572C7">
      <w:pPr>
        <w:pStyle w:val="BodyText"/>
      </w:pPr>
      <w:r>
        <w:t>Second</w:t>
      </w:r>
      <w:r w:rsidR="001146D8">
        <w:t>, DFAT WSH has found it challenging to define what they require from the Fund’s performance system. One interviewee noted that the</w:t>
      </w:r>
      <w:r w:rsidR="00F8617D">
        <w:t xml:space="preserve"> DFAT</w:t>
      </w:r>
      <w:r w:rsidR="001146D8">
        <w:t xml:space="preserve"> team is often focussed on detailed management and has few resources to look at big picture, strategic issues. It is the evaluation team’s view that these issues have constrained DFAT WSH’s ability to provide solid strategic oversight to the MERP and ensure its information needs are met.  </w:t>
      </w:r>
    </w:p>
    <w:p w14:paraId="0F9CE161" w14:textId="02033FF4" w:rsidR="001146D8" w:rsidRDefault="001146D8" w:rsidP="007572C7">
      <w:pPr>
        <w:pStyle w:val="BodyText"/>
      </w:pPr>
      <w:r>
        <w:t xml:space="preserve">This suggests that, </w:t>
      </w:r>
      <w:r w:rsidR="004D2466">
        <w:t>for the next phase of the Fund</w:t>
      </w:r>
      <w:r>
        <w:t xml:space="preserve">, DFAT WSH needs to ensure it has sufficient time and resources to engage with strategic level M&amp;E issues. It also suggests that DFAT WSH and the MERP need to create periodic opportunities to assess (or re-assess) the M&amp;E and reporting information that is required and ensure these needs are being met. This may become more feasible in the Fund’s second phase, particularly if alternative contracting arrangements for CSOs are put in place. </w:t>
      </w:r>
    </w:p>
    <w:p w14:paraId="47F8F04C" w14:textId="77777777" w:rsidR="00F63DC3" w:rsidRDefault="005E4454" w:rsidP="00F63DC3">
      <w:pPr>
        <w:pStyle w:val="Heading3"/>
      </w:pPr>
      <w:r>
        <w:lastRenderedPageBreak/>
        <w:t>3.4</w:t>
      </w:r>
      <w:r w:rsidR="00F63DC3">
        <w:t>.3</w:t>
      </w:r>
      <w:r w:rsidR="00F63DC3">
        <w:tab/>
      </w:r>
      <w:r w:rsidR="00F63DC3">
        <w:tab/>
        <w:t xml:space="preserve">MERP independence </w:t>
      </w:r>
      <w:r w:rsidR="00837A63">
        <w:t>could be reconsidered</w:t>
      </w:r>
    </w:p>
    <w:p w14:paraId="3427783D" w14:textId="6A5C3C81" w:rsidR="00ED58D4" w:rsidRDefault="00F63DC3" w:rsidP="00F63DC3">
      <w:pPr>
        <w:pStyle w:val="BodyText"/>
      </w:pPr>
      <w:r>
        <w:t>Currently, the MERP is contracted directly to DFAT</w:t>
      </w:r>
      <w:r w:rsidR="00D348DB">
        <w:t xml:space="preserve"> WSH</w:t>
      </w:r>
      <w:r>
        <w:t xml:space="preserve"> and so is considered independent from the FMF and CSOs. </w:t>
      </w:r>
      <w:r w:rsidR="00ED58D4">
        <w:t>This brings benefits, particularly for DFAT</w:t>
      </w:r>
      <w:r w:rsidR="00D348DB">
        <w:t xml:space="preserve"> WSH</w:t>
      </w:r>
      <w:r w:rsidR="00ED58D4">
        <w:t xml:space="preserve">. Because of the MERP’s independence, DFAT </w:t>
      </w:r>
      <w:r w:rsidR="00D348DB">
        <w:t xml:space="preserve">WSH </w:t>
      </w:r>
      <w:r w:rsidR="00ED58D4">
        <w:t>can feel assured the data provided by the MERP is credible and that it hasn’t been filtered or made more positive by a managing contractor who has a commercial imperative to ‘sell’ the Fund’s achievements.</w:t>
      </w:r>
    </w:p>
    <w:p w14:paraId="693C93D3" w14:textId="7A44689E" w:rsidR="00ED58D4" w:rsidRDefault="00F8617D" w:rsidP="00ED58D4">
      <w:pPr>
        <w:pStyle w:val="BodyText"/>
      </w:pPr>
      <w:r>
        <w:t>T</w:t>
      </w:r>
      <w:r w:rsidR="00ED58D4">
        <w:t>he benefits of the MERP’s independence have not be</w:t>
      </w:r>
      <w:r w:rsidR="00267059">
        <w:t>en</w:t>
      </w:r>
      <w:r w:rsidR="00ED58D4">
        <w:t xml:space="preserve"> as strong as antici</w:t>
      </w:r>
      <w:r w:rsidR="00CD58FD">
        <w:t>pated. Early in the evaluation</w:t>
      </w:r>
      <w:r w:rsidR="00E35407">
        <w:t>,</w:t>
      </w:r>
      <w:r w:rsidR="00ED58D4">
        <w:t xml:space="preserve"> members of the Fund management team stated that CSOs were likely to regard the MERP’s independence from the FMF as valuable. H</w:t>
      </w:r>
      <w:r w:rsidR="00E178C5">
        <w:t>owever, in interviews</w:t>
      </w:r>
      <w:r w:rsidR="00ED58D4">
        <w:t xml:space="preserve"> the majority of CSOs were ambivalent about the MERP’s independence and generally felt it had few direct benefits</w:t>
      </w:r>
      <w:r w:rsidR="00BA3BA6">
        <w:t xml:space="preserve"> for them</w:t>
      </w:r>
      <w:r w:rsidR="00ED58D4">
        <w:t xml:space="preserve">. Note that three CSOs were supportive of the MERP’s independence. </w:t>
      </w:r>
    </w:p>
    <w:p w14:paraId="1D2A540C" w14:textId="54669F8E" w:rsidR="00ED58D4" w:rsidRDefault="00DE36BA" w:rsidP="00F63DC3">
      <w:pPr>
        <w:pStyle w:val="BodyText"/>
      </w:pPr>
      <w:r>
        <w:t>D</w:t>
      </w:r>
      <w:r w:rsidR="00ED58D4">
        <w:t>uring interviews a number of disadvantages and risks to the MERP’s independence were raised. These include:</w:t>
      </w:r>
    </w:p>
    <w:p w14:paraId="7BE713B7" w14:textId="77777777" w:rsidR="00ED58D4" w:rsidRDefault="00ED58D4" w:rsidP="00ED58D4">
      <w:pPr>
        <w:pStyle w:val="ListBullet"/>
      </w:pPr>
      <w:r>
        <w:t>It creates greater administrative work for DFAT WSH, which must manage the three MERP contracts</w:t>
      </w:r>
    </w:p>
    <w:p w14:paraId="6AEC5EFF" w14:textId="77777777" w:rsidR="00ED58D4" w:rsidRDefault="00ED58D4" w:rsidP="00ED58D4">
      <w:pPr>
        <w:pStyle w:val="ListBullet"/>
      </w:pPr>
      <w:r>
        <w:t>It creates risks for CSO projects because</w:t>
      </w:r>
      <w:r w:rsidR="00690130">
        <w:t xml:space="preserve"> there</w:t>
      </w:r>
      <w:r>
        <w:t xml:space="preserve"> is potential disconnect between project budgets and </w:t>
      </w:r>
      <w:r w:rsidR="00C82CDB">
        <w:t>M&amp;E (for example, the MERP’s work</w:t>
      </w:r>
      <w:r>
        <w:t xml:space="preserve"> may point to project changes, but such changes m</w:t>
      </w:r>
      <w:r w:rsidR="00690130">
        <w:t>ay not be consistent with the Fund Manager</w:t>
      </w:r>
      <w:r>
        <w:t>’s views on appropriate use of budget)</w:t>
      </w:r>
    </w:p>
    <w:p w14:paraId="4498B4B6" w14:textId="04D34413" w:rsidR="003E0E6C" w:rsidRDefault="00267059" w:rsidP="00ED58D4">
      <w:pPr>
        <w:pStyle w:val="ListBullet"/>
      </w:pPr>
      <w:r>
        <w:t xml:space="preserve">Without a formal contracting arrangement between the FMF and the MERP, </w:t>
      </w:r>
      <w:r w:rsidR="00DE36BA">
        <w:t>the effectiveness of the management a</w:t>
      </w:r>
      <w:r w:rsidR="003E0E6C">
        <w:t>rrangements relies heavily</w:t>
      </w:r>
      <w:r w:rsidR="00DE36BA">
        <w:t xml:space="preserve"> on the goodwill and teamwork of the people involved. </w:t>
      </w:r>
      <w:r w:rsidR="003E0E6C">
        <w:t>Although the relationships are currently working well, the contracting arrangements do not manage the risk that team relationships can break down or become dysfunctional.</w:t>
      </w:r>
    </w:p>
    <w:p w14:paraId="2949A996" w14:textId="086C7820" w:rsidR="00267059" w:rsidRDefault="00267059" w:rsidP="00267059">
      <w:pPr>
        <w:pStyle w:val="ListBullet"/>
        <w:numPr>
          <w:ilvl w:val="0"/>
          <w:numId w:val="0"/>
        </w:numPr>
      </w:pPr>
      <w:r>
        <w:t xml:space="preserve">Because of these issues, alternative </w:t>
      </w:r>
      <w:r w:rsidR="00690130">
        <w:t xml:space="preserve">MERP </w:t>
      </w:r>
      <w:r>
        <w:t>contracting arrangements have been considered. One option is for all three MERP members to be contracted through a single contract with DFAT</w:t>
      </w:r>
      <w:r w:rsidR="005A6B54">
        <w:t xml:space="preserve"> WSH. This would reduce DFAT WSH’s</w:t>
      </w:r>
      <w:r>
        <w:t xml:space="preserve"> contract management load while retaining the MERP’s independence. Note that it would not address the other risks highlighted above. </w:t>
      </w:r>
    </w:p>
    <w:p w14:paraId="09FB984B" w14:textId="51B935BA" w:rsidR="000804CA" w:rsidRDefault="00123F0E" w:rsidP="000804CA">
      <w:pPr>
        <w:pStyle w:val="ListBullet"/>
        <w:numPr>
          <w:ilvl w:val="0"/>
          <w:numId w:val="0"/>
        </w:numPr>
      </w:pPr>
      <w:r>
        <w:t>A</w:t>
      </w:r>
      <w:r w:rsidR="00E35407">
        <w:t xml:space="preserve"> more significant</w:t>
      </w:r>
      <w:r w:rsidR="00267059">
        <w:t xml:space="preserve"> change</w:t>
      </w:r>
      <w:r w:rsidR="000804CA">
        <w:t xml:space="preserve"> that could be considered </w:t>
      </w:r>
      <w:r>
        <w:t xml:space="preserve">for the Fund’s next phase </w:t>
      </w:r>
      <w:r w:rsidR="000804CA">
        <w:t>is</w:t>
      </w:r>
      <w:r w:rsidR="00F63DC3">
        <w:t xml:space="preserve"> contract</w:t>
      </w:r>
      <w:r w:rsidR="000804CA">
        <w:t>ing</w:t>
      </w:r>
      <w:r w:rsidR="00F63DC3">
        <w:t xml:space="preserve"> the MERP through </w:t>
      </w:r>
      <w:r w:rsidR="004D2466">
        <w:t>a future</w:t>
      </w:r>
      <w:r w:rsidR="00F63DC3">
        <w:t xml:space="preserve"> FMF. The </w:t>
      </w:r>
      <w:r w:rsidR="00E5782C">
        <w:t>opportunities</w:t>
      </w:r>
      <w:r w:rsidR="00F63DC3">
        <w:t xml:space="preserve"> and </w:t>
      </w:r>
      <w:r w:rsidR="00E5782C">
        <w:t>risks</w:t>
      </w:r>
      <w:r w:rsidR="00267059">
        <w:t xml:space="preserve"> </w:t>
      </w:r>
      <w:r w:rsidR="00E5782C">
        <w:t>associated with</w:t>
      </w:r>
      <w:r w:rsidR="00267059">
        <w:t xml:space="preserve"> this are summarised in </w:t>
      </w:r>
      <w:r w:rsidR="002C23D8" w:rsidRPr="002C23D8">
        <w:t>Table 5</w:t>
      </w:r>
      <w:r w:rsidR="00267059" w:rsidRPr="002C23D8">
        <w:t>.</w:t>
      </w:r>
      <w:r w:rsidR="00F63DC3">
        <w:t xml:space="preserve"> </w:t>
      </w:r>
    </w:p>
    <w:p w14:paraId="140E1C96" w14:textId="571A7B00" w:rsidR="000804CA" w:rsidRDefault="000804CA" w:rsidP="000804CA">
      <w:pPr>
        <w:pStyle w:val="ListBullet"/>
        <w:numPr>
          <w:ilvl w:val="0"/>
          <w:numId w:val="0"/>
        </w:numPr>
      </w:pPr>
      <w:r>
        <w:t xml:space="preserve">One possible </w:t>
      </w:r>
      <w:r w:rsidR="00E5782C">
        <w:t xml:space="preserve">opportunity </w:t>
      </w:r>
      <w:r>
        <w:t xml:space="preserve">is that greater links between the Fund’s M&amp;E and K&amp;L component could be built. A number of interviewees suggested that the Fund’s M&amp;E system and K&amp;L component </w:t>
      </w:r>
      <w:r w:rsidR="00E5782C">
        <w:t>c</w:t>
      </w:r>
      <w:r>
        <w:t>ould be more closely linked. It is clear that the MERP and the KALM currently work together closely</w:t>
      </w:r>
      <w:r w:rsidR="00E5782C">
        <w:t>,</w:t>
      </w:r>
      <w:r>
        <w:t xml:space="preserve"> that information from the M&amp;E system is informing the K</w:t>
      </w:r>
      <w:r w:rsidR="00690130">
        <w:t>&amp;L component</w:t>
      </w:r>
      <w:r w:rsidR="00E5782C">
        <w:t>, and that no significant disconnects between Fund M&amp;E and K&amp;L have arisen as a result of the current contracting arrangements.</w:t>
      </w:r>
      <w:r w:rsidR="00690130">
        <w:t xml:space="preserve"> However, there is</w:t>
      </w:r>
      <w:r>
        <w:t xml:space="preserve"> a sense that the links between the two areas continue to evolve and that greater synergies could be possible in the future. Such synergi</w:t>
      </w:r>
      <w:r w:rsidR="00C82CDB">
        <w:t>es may be more easily realised</w:t>
      </w:r>
      <w:r>
        <w:t xml:space="preserve"> if the two components were brought under a single management structure. </w:t>
      </w:r>
    </w:p>
    <w:p w14:paraId="7DDA7102" w14:textId="77777777" w:rsidR="00D359F9" w:rsidRDefault="00525976" w:rsidP="00D359F9">
      <w:r>
        <w:t xml:space="preserve">A further advantage could be </w:t>
      </w:r>
      <w:r w:rsidR="00991DB5">
        <w:t>that, by bring</w:t>
      </w:r>
      <w:r w:rsidR="00690130">
        <w:t xml:space="preserve">ing Fund management </w:t>
      </w:r>
      <w:r w:rsidR="00991DB5">
        <w:t>team members under one roof, communication and team management could be streamlined. In particular, an ove</w:t>
      </w:r>
      <w:r w:rsidR="00690130">
        <w:t>rall team leader could allocate</w:t>
      </w:r>
      <w:r w:rsidR="00991DB5">
        <w:t xml:space="preserve"> resources more flexibly to meet priority work demands. </w:t>
      </w:r>
      <w:r w:rsidR="00977716">
        <w:t xml:space="preserve">In interviews, the FMF highlighted that their resources have been stretched at peak work periods, such as just prior to learning events, and that greater flexibility in allocating staff resources would be beneficial.  </w:t>
      </w:r>
      <w:r w:rsidR="00991DB5">
        <w:t xml:space="preserve"> </w:t>
      </w:r>
    </w:p>
    <w:p w14:paraId="354DCAC5" w14:textId="073E1947" w:rsidR="00D359F9" w:rsidRDefault="00D359F9" w:rsidP="00D359F9">
      <w:r>
        <w:t xml:space="preserve">A significant risk of contracting the MERP through an FMF may be the availability of appropriate staff. In interviews, both CSOs and members of the Fund management team noted it may be difficult to attract MERP members of a similar high calibre if they are contracted through a future FMF, particularly if </w:t>
      </w:r>
      <w:r w:rsidR="00326ECB">
        <w:t>the FMF contract is won by a large managing contractor</w:t>
      </w:r>
      <w:r>
        <w:t xml:space="preserve">. The assumption is that only a small pool of skilled people who can fulfil MERP roles are available, and because of the demand for their time such people generally work in small or single-consultant companies. </w:t>
      </w:r>
    </w:p>
    <w:p w14:paraId="7C6B67D4" w14:textId="5106B12A" w:rsidR="00525976" w:rsidRDefault="00D359F9" w:rsidP="00D554A6">
      <w:r>
        <w:t xml:space="preserve">In summary, the MERP contracting arrangements for the Fund’s next phase should be carefully considered. Each of the possible approaches (retaining the current model, contracting the MERP to DFAT WSH under a single contract, or contracting the MERP under an FMF) has advantages and disadvantages. A key point is that the Fund’s management arrangements work because of the quality and commitment of the team members involved. It is the evaluation team’s judgement that, for the future phase, a key driver should be ensuring the best possible team is in place to manage the Fund. This should be the key factor informing decisions about the contracting model for the MERP, rather than questions of independence.  </w:t>
      </w:r>
    </w:p>
    <w:p w14:paraId="3F7B18D7" w14:textId="494F025B" w:rsidR="00267059" w:rsidRDefault="002C23D8">
      <w:pPr>
        <w:pStyle w:val="TableandFigureName"/>
        <w:ind w:left="0" w:firstLine="0"/>
      </w:pPr>
      <w:r w:rsidRPr="002C23D8">
        <w:t>Table 5</w:t>
      </w:r>
      <w:r w:rsidR="00267059" w:rsidRPr="002C23D8">
        <w:t>:</w:t>
      </w:r>
      <w:r w:rsidR="00267059">
        <w:t xml:space="preserve"> </w:t>
      </w:r>
      <w:r w:rsidR="00E5782C">
        <w:t>Opportunities</w:t>
      </w:r>
      <w:r w:rsidR="00267059">
        <w:t xml:space="preserve"> and </w:t>
      </w:r>
      <w:r w:rsidR="00E5782C">
        <w:t>risks</w:t>
      </w:r>
      <w:r w:rsidR="00267059">
        <w:t xml:space="preserve"> of contracting </w:t>
      </w:r>
      <w:r w:rsidR="00D43BFD">
        <w:t xml:space="preserve">the </w:t>
      </w:r>
      <w:r w:rsidR="00267059">
        <w:t xml:space="preserve">MERP through </w:t>
      </w:r>
      <w:r w:rsidR="00525976">
        <w:t>a</w:t>
      </w:r>
      <w:r w:rsidR="004D2466">
        <w:t xml:space="preserve"> future</w:t>
      </w:r>
      <w:r w:rsidR="00525976">
        <w:t xml:space="preserve"> </w:t>
      </w:r>
      <w:r w:rsidR="00267059">
        <w:t>FMF</w:t>
      </w:r>
    </w:p>
    <w:tbl>
      <w:tblPr>
        <w:tblStyle w:val="TableGrid"/>
        <w:tblW w:w="0" w:type="auto"/>
        <w:tblLook w:val="04A0" w:firstRow="1" w:lastRow="0" w:firstColumn="1" w:lastColumn="0" w:noHBand="0" w:noVBand="1"/>
        <w:tblCaption w:val="Table 5: Opportunities and risks of contracting the MERP through a future FMF"/>
        <w:tblDescription w:val="In relation to Fund effectiveness, there are two opportunities. The first is a reduced risk of disconnect between M&amp;E and budget in relation to CSO projects. The second is that greater links between K&amp;L and M&amp;E could potentially be realised. There are also two risks in relation to Fund effectiveness. The first is a loss of MERP independence; DFAT may have less confidence in the credibility of M&amp;E data. The second is that it may be difficult to attract MERP members of similar high quality if they are contracted through a future FMF. In relation to Fund efficiency, there are two opportunities. The first is there would be fewer contracts for DFAT WSH to manage. The second is that a single team within an FMF could result in streamlined communication and management of resources. There is a risk in relation to Fund efficiency. There could be greater contract costs for DFAT WSH through increased management fees for a future FMF. Note this could be offset if MERP members were moved from daily to monthly rates."/>
      </w:tblPr>
      <w:tblGrid>
        <w:gridCol w:w="4261"/>
        <w:gridCol w:w="4261"/>
      </w:tblGrid>
      <w:tr w:rsidR="00267059" w14:paraId="18AD9779" w14:textId="77777777" w:rsidTr="00413E25">
        <w:tc>
          <w:tcPr>
            <w:tcW w:w="4261" w:type="dxa"/>
          </w:tcPr>
          <w:p w14:paraId="7074CE70" w14:textId="65014EBC" w:rsidR="00267059" w:rsidRDefault="00E5782C">
            <w:pPr>
              <w:pStyle w:val="TableHeading1"/>
              <w:keepNext/>
            </w:pPr>
            <w:r>
              <w:t>Opportunity</w:t>
            </w:r>
          </w:p>
        </w:tc>
        <w:tc>
          <w:tcPr>
            <w:tcW w:w="4261" w:type="dxa"/>
          </w:tcPr>
          <w:p w14:paraId="4C2092D3" w14:textId="7E367C34" w:rsidR="00267059" w:rsidRDefault="00E5782C">
            <w:pPr>
              <w:pStyle w:val="TableHeading1"/>
              <w:keepNext/>
            </w:pPr>
            <w:r>
              <w:t>Risk</w:t>
            </w:r>
          </w:p>
        </w:tc>
      </w:tr>
      <w:tr w:rsidR="00267059" w14:paraId="3E6CD931" w14:textId="77777777" w:rsidTr="00413E25">
        <w:tc>
          <w:tcPr>
            <w:tcW w:w="8522" w:type="dxa"/>
            <w:gridSpan w:val="2"/>
            <w:vAlign w:val="center"/>
          </w:tcPr>
          <w:p w14:paraId="5698C93C" w14:textId="77777777" w:rsidR="00267059" w:rsidRDefault="00267059" w:rsidP="00635902">
            <w:pPr>
              <w:pStyle w:val="TableHeading1"/>
              <w:keepNext/>
              <w:jc w:val="center"/>
            </w:pPr>
            <w:r>
              <w:t>Fund effectiveness</w:t>
            </w:r>
          </w:p>
        </w:tc>
      </w:tr>
      <w:tr w:rsidR="00267059" w14:paraId="014F7989" w14:textId="77777777" w:rsidTr="00413E25">
        <w:tc>
          <w:tcPr>
            <w:tcW w:w="4261" w:type="dxa"/>
          </w:tcPr>
          <w:p w14:paraId="70D4F0D5" w14:textId="77777777" w:rsidR="00267059" w:rsidRDefault="0050396F" w:rsidP="00635902">
            <w:pPr>
              <w:pStyle w:val="TableText"/>
              <w:keepNext/>
            </w:pPr>
            <w:r>
              <w:t>Reduced risk of disconnect</w:t>
            </w:r>
            <w:r w:rsidR="00267059">
              <w:t xml:space="preserve"> between M&amp;E and budget (in relation to CSO projects)</w:t>
            </w:r>
          </w:p>
        </w:tc>
        <w:tc>
          <w:tcPr>
            <w:tcW w:w="4261" w:type="dxa"/>
          </w:tcPr>
          <w:p w14:paraId="342818E3" w14:textId="16D716F4" w:rsidR="00267059" w:rsidRDefault="00267059" w:rsidP="00635902">
            <w:pPr>
              <w:pStyle w:val="TableText"/>
              <w:keepNext/>
            </w:pPr>
            <w:r>
              <w:t>Loss of MERP independence</w:t>
            </w:r>
            <w:r w:rsidR="00C05FDE">
              <w:t>; DFAT may have less confidence in credibility of M&amp;E data</w:t>
            </w:r>
          </w:p>
        </w:tc>
      </w:tr>
      <w:tr w:rsidR="00267059" w14:paraId="21F9D8BA" w14:textId="77777777" w:rsidTr="00413E25">
        <w:tc>
          <w:tcPr>
            <w:tcW w:w="4261" w:type="dxa"/>
          </w:tcPr>
          <w:p w14:paraId="60F631AB" w14:textId="77777777" w:rsidR="00267059" w:rsidRDefault="00EE1087" w:rsidP="00635902">
            <w:pPr>
              <w:pStyle w:val="TableText"/>
              <w:keepNext/>
            </w:pPr>
            <w:r>
              <w:t>G</w:t>
            </w:r>
            <w:r w:rsidR="00267059">
              <w:t>reater links between K&amp;L and M&amp;E could</w:t>
            </w:r>
            <w:r>
              <w:t xml:space="preserve"> potentially</w:t>
            </w:r>
            <w:r w:rsidR="00267059">
              <w:t xml:space="preserve"> be realised</w:t>
            </w:r>
          </w:p>
        </w:tc>
        <w:tc>
          <w:tcPr>
            <w:tcW w:w="4261" w:type="dxa"/>
          </w:tcPr>
          <w:p w14:paraId="5FDC501A" w14:textId="771A291C" w:rsidR="00267059" w:rsidRDefault="0050396F" w:rsidP="00635902">
            <w:pPr>
              <w:pStyle w:val="TableText"/>
              <w:keepNext/>
            </w:pPr>
            <w:r>
              <w:t>It m</w:t>
            </w:r>
            <w:r w:rsidR="00267059">
              <w:t xml:space="preserve">ay be difficult to attract MERP members of similar high quality if they are contracted through a </w:t>
            </w:r>
            <w:r w:rsidR="004D2466">
              <w:t>future FMF</w:t>
            </w:r>
          </w:p>
        </w:tc>
      </w:tr>
      <w:tr w:rsidR="00267059" w14:paraId="4C20506A" w14:textId="77777777" w:rsidTr="00413E25">
        <w:tc>
          <w:tcPr>
            <w:tcW w:w="8522" w:type="dxa"/>
            <w:gridSpan w:val="2"/>
          </w:tcPr>
          <w:p w14:paraId="08FC24E6" w14:textId="77777777" w:rsidR="00267059" w:rsidRDefault="00267059" w:rsidP="00635902">
            <w:pPr>
              <w:pStyle w:val="TableHeading1"/>
              <w:keepNext/>
              <w:jc w:val="center"/>
            </w:pPr>
            <w:r>
              <w:t>Fund efficiency</w:t>
            </w:r>
          </w:p>
        </w:tc>
      </w:tr>
      <w:tr w:rsidR="00267059" w14:paraId="66C729D6" w14:textId="77777777" w:rsidTr="00413E25">
        <w:tc>
          <w:tcPr>
            <w:tcW w:w="4261" w:type="dxa"/>
          </w:tcPr>
          <w:p w14:paraId="0EB9C994" w14:textId="0BDA0396" w:rsidR="00267059" w:rsidRDefault="00267059" w:rsidP="00D554A6">
            <w:pPr>
              <w:pStyle w:val="TableText"/>
              <w:keepNext/>
            </w:pPr>
            <w:r>
              <w:t xml:space="preserve">Fewer contracts for DFAT </w:t>
            </w:r>
            <w:r w:rsidR="005A6B54">
              <w:t xml:space="preserve">WSH </w:t>
            </w:r>
            <w:r>
              <w:t>to manage</w:t>
            </w:r>
          </w:p>
          <w:p w14:paraId="0876E8CB" w14:textId="77777777" w:rsidR="00267059" w:rsidRDefault="00267059" w:rsidP="00D554A6">
            <w:pPr>
              <w:pStyle w:val="TableText"/>
              <w:keepNext/>
            </w:pPr>
            <w:r>
              <w:t xml:space="preserve"> </w:t>
            </w:r>
          </w:p>
        </w:tc>
        <w:tc>
          <w:tcPr>
            <w:tcW w:w="4261" w:type="dxa"/>
          </w:tcPr>
          <w:p w14:paraId="54CD65CC" w14:textId="41A7FF06" w:rsidR="00267059" w:rsidRDefault="00267059" w:rsidP="00D554A6">
            <w:pPr>
              <w:pStyle w:val="TableText"/>
              <w:keepNext/>
            </w:pPr>
            <w:r>
              <w:t>Gre</w:t>
            </w:r>
            <w:r w:rsidR="00D70034">
              <w:t>ater contract</w:t>
            </w:r>
            <w:r w:rsidR="00D43BFD">
              <w:t xml:space="preserve"> costs for DFAT </w:t>
            </w:r>
            <w:r w:rsidR="005A6B54">
              <w:t xml:space="preserve">WSH </w:t>
            </w:r>
            <w:r>
              <w:t>through</w:t>
            </w:r>
            <w:r w:rsidR="00D43BFD">
              <w:t xml:space="preserve"> increased</w:t>
            </w:r>
            <w:r>
              <w:t xml:space="preserve"> managemen</w:t>
            </w:r>
            <w:r w:rsidR="00D70034">
              <w:t>t fees for</w:t>
            </w:r>
            <w:r w:rsidR="00D43BFD">
              <w:t xml:space="preserve"> a </w:t>
            </w:r>
            <w:r w:rsidR="004D2466">
              <w:t>future FMF</w:t>
            </w:r>
            <w:r>
              <w:t>. Note this could be offset if MERP members were moved from daily to monthly rates</w:t>
            </w:r>
          </w:p>
        </w:tc>
      </w:tr>
      <w:tr w:rsidR="00267059" w14:paraId="5E3D8739" w14:textId="77777777" w:rsidTr="00413E25">
        <w:tc>
          <w:tcPr>
            <w:tcW w:w="4261" w:type="dxa"/>
          </w:tcPr>
          <w:p w14:paraId="019CD1B6" w14:textId="318688FF" w:rsidR="00267059" w:rsidRDefault="00525976" w:rsidP="00267059">
            <w:pPr>
              <w:pStyle w:val="TableText"/>
            </w:pPr>
            <w:r>
              <w:t>A single team within an FMF</w:t>
            </w:r>
            <w:r w:rsidR="00267059">
              <w:t xml:space="preserve"> could</w:t>
            </w:r>
            <w:r w:rsidR="00CF5332">
              <w:t xml:space="preserve"> result</w:t>
            </w:r>
            <w:r w:rsidR="00126647">
              <w:t xml:space="preserve"> in</w:t>
            </w:r>
            <w:r w:rsidR="00267059">
              <w:t xml:space="preserve"> streamline</w:t>
            </w:r>
            <w:r w:rsidR="00126647">
              <w:t>d</w:t>
            </w:r>
            <w:r w:rsidR="00267059">
              <w:t xml:space="preserve"> communication and management of resources</w:t>
            </w:r>
          </w:p>
        </w:tc>
        <w:tc>
          <w:tcPr>
            <w:tcW w:w="4261" w:type="dxa"/>
          </w:tcPr>
          <w:p w14:paraId="7825D3DC" w14:textId="77777777" w:rsidR="00267059" w:rsidRDefault="00267059" w:rsidP="00267059">
            <w:pPr>
              <w:pStyle w:val="TableText"/>
            </w:pPr>
          </w:p>
        </w:tc>
      </w:tr>
    </w:tbl>
    <w:p w14:paraId="79797516" w14:textId="77777777" w:rsidR="00991DB5" w:rsidRDefault="00991DB5" w:rsidP="00AD1F68"/>
    <w:p w14:paraId="0924F858" w14:textId="77777777" w:rsidR="00802E83" w:rsidRDefault="005E4454" w:rsidP="00802E83">
      <w:pPr>
        <w:pStyle w:val="Heading3"/>
      </w:pPr>
      <w:r>
        <w:t>3.4</w:t>
      </w:r>
      <w:r w:rsidR="00802E83">
        <w:t>.4</w:t>
      </w:r>
      <w:r w:rsidR="00802E83">
        <w:tab/>
      </w:r>
      <w:r w:rsidR="00802E83">
        <w:tab/>
        <w:t>Engagement with DFAT country programs</w:t>
      </w:r>
      <w:r w:rsidR="00C01239">
        <w:t xml:space="preserve"> </w:t>
      </w:r>
      <w:r w:rsidR="00837A63">
        <w:t>could be improved</w:t>
      </w:r>
    </w:p>
    <w:p w14:paraId="6A57F54C" w14:textId="77777777" w:rsidR="00C01239" w:rsidRDefault="00C01239" w:rsidP="00C01239">
      <w:r>
        <w:t>When the Fund was being designed</w:t>
      </w:r>
      <w:r w:rsidR="00600D88">
        <w:t xml:space="preserve"> it was clear that </w:t>
      </w:r>
      <w:r>
        <w:t xml:space="preserve">interest from </w:t>
      </w:r>
      <w:r w:rsidR="00600D88">
        <w:t xml:space="preserve">DFAT </w:t>
      </w:r>
      <w:r>
        <w:t>country programs was variable. DFAT Posts were given the option to ‘opt-in’ to the Fund, or to be more actively involved in CSO selection and o</w:t>
      </w:r>
      <w:r w:rsidR="00600D88">
        <w:t xml:space="preserve">versight. However, if Posts </w:t>
      </w:r>
      <w:r>
        <w:t>were not able to</w:t>
      </w:r>
      <w:r w:rsidR="00600D88">
        <w:t xml:space="preserve"> or</w:t>
      </w:r>
      <w:r>
        <w:t xml:space="preserve"> did not wish to engage there was no obligation for them to do so. </w:t>
      </w:r>
      <w:r w:rsidRPr="00F51B6C">
        <w:t xml:space="preserve"> </w:t>
      </w:r>
      <w:r>
        <w:t xml:space="preserve">Regardless of their ‘opt-in’ status, DFAT WSH provides Posts with annual summary reports of Fund projects in their countries. </w:t>
      </w:r>
    </w:p>
    <w:p w14:paraId="456F6334" w14:textId="72EC37C3" w:rsidR="00326ECB" w:rsidRDefault="00C01239" w:rsidP="00C01239">
      <w:r>
        <w:t>The evaluation team interviewed five DFAT Posts to seek their views</w:t>
      </w:r>
      <w:r w:rsidR="00600D88">
        <w:t xml:space="preserve"> on the Fund. </w:t>
      </w:r>
      <w:r w:rsidR="00326ECB">
        <w:t xml:space="preserve">CSOs and the Fund management team were also asked about their engagement with DFAT country programs. </w:t>
      </w:r>
    </w:p>
    <w:p w14:paraId="4B0C3859" w14:textId="5B5EC48F" w:rsidR="00C01239" w:rsidRDefault="00506812" w:rsidP="00C01239">
      <w:r>
        <w:t>T</w:t>
      </w:r>
      <w:r w:rsidR="00C01239">
        <w:t>hese interactions</w:t>
      </w:r>
      <w:r>
        <w:t xml:space="preserve"> demonstrate</w:t>
      </w:r>
      <w:r w:rsidR="00C01239">
        <w:t xml:space="preserve"> that engagement with the Fund by Posts continues to be highly variable. Some Posts are actively involved, convening CSO partners working in their countries, </w:t>
      </w:r>
      <w:r w:rsidR="00CE7F9B">
        <w:t>participating in MERP monitoring</w:t>
      </w:r>
      <w:r w:rsidR="00C01239">
        <w:t xml:space="preserve"> visits and engaging with learning events. Other Posts have rarely engaged, largely due to resourcing pressures and challenges prioritising the Fund. Some staff, particularly A-based staff i</w:t>
      </w:r>
      <w:r w:rsidR="00EC4C5D">
        <w:t xml:space="preserve">n Posts with recent turnover, </w:t>
      </w:r>
      <w:proofErr w:type="gramStart"/>
      <w:r w:rsidR="00EC4C5D">
        <w:t>w</w:t>
      </w:r>
      <w:r w:rsidR="00C01239">
        <w:t>ere</w:t>
      </w:r>
      <w:proofErr w:type="gramEnd"/>
      <w:r w:rsidR="00C01239">
        <w:t xml:space="preserve"> not aware (or only peripherally aware) that the Fund was supporting CSOs in their country. This variable engagement is consistent with the experience of other centrall</w:t>
      </w:r>
      <w:r w:rsidR="00CE7F9B">
        <w:t xml:space="preserve">y managed </w:t>
      </w:r>
      <w:r w:rsidR="00841204">
        <w:t xml:space="preserve">DFAT </w:t>
      </w:r>
      <w:r w:rsidR="00CE7F9B">
        <w:t>programs such as ANCP (</w:t>
      </w:r>
      <w:r w:rsidR="002C23D8">
        <w:t>see ODE evaluation of ANCP, 201</w:t>
      </w:r>
      <w:r w:rsidR="00D30FAD">
        <w:t>5</w:t>
      </w:r>
      <w:r w:rsidR="002C23D8">
        <w:t>)</w:t>
      </w:r>
      <w:r w:rsidR="00CE7F9B">
        <w:t xml:space="preserve">. </w:t>
      </w:r>
    </w:p>
    <w:p w14:paraId="2EDA8434" w14:textId="5DA77711" w:rsidR="00841204" w:rsidRDefault="00600D88" w:rsidP="00841204">
      <w:r>
        <w:t>While engagement</w:t>
      </w:r>
      <w:r w:rsidR="00506812">
        <w:t xml:space="preserve"> between some Posts and the Fund has not </w:t>
      </w:r>
      <w:r>
        <w:t xml:space="preserve">been </w:t>
      </w:r>
      <w:r w:rsidR="00506812">
        <w:t xml:space="preserve">ideal, this does not appear to have created major issues. Rather, the low level of engagement is seen as a missed opportunity. </w:t>
      </w:r>
      <w:r w:rsidR="00841204">
        <w:t>All</w:t>
      </w:r>
      <w:r w:rsidR="00CE7F9B">
        <w:t xml:space="preserve"> groups interviewed indicated that greater engagement between the Fund and count</w:t>
      </w:r>
      <w:r w:rsidR="00841204">
        <w:t>ry programs is desirable.</w:t>
      </w:r>
      <w:r w:rsidR="00841204" w:rsidRPr="00841204">
        <w:t xml:space="preserve"> </w:t>
      </w:r>
      <w:r w:rsidR="00841204">
        <w:t>DFAT WSH reflected that there could be a number of b</w:t>
      </w:r>
      <w:r>
        <w:t>enefits of greater engagement, f</w:t>
      </w:r>
      <w:r w:rsidR="00841204">
        <w:t>or example, Posts could play a greater role in coordinating and/or overseeing CSO work. Posts and DFAT WSH could also work together to identify increased</w:t>
      </w:r>
      <w:r w:rsidR="00F81AC8">
        <w:t xml:space="preserve"> public diplomacy opportunitie</w:t>
      </w:r>
      <w:r w:rsidR="004E0A1B">
        <w:t>s and improve the links between the Fund and country programs,</w:t>
      </w:r>
      <w:r w:rsidR="00841204">
        <w:t xml:space="preserve"> for the benefit of both parties. </w:t>
      </w:r>
    </w:p>
    <w:p w14:paraId="100E7884" w14:textId="4D485426" w:rsidR="004D12FC" w:rsidRDefault="004D12FC" w:rsidP="00CE7F9B">
      <w:pPr>
        <w:pStyle w:val="BodyText"/>
      </w:pPr>
      <w:r>
        <w:t>A number of CSOs noted they had attempted to engage Posts but had</w:t>
      </w:r>
      <w:r w:rsidR="001B6F11">
        <w:t xml:space="preserve"> struggled to gain traction. 64 per cent</w:t>
      </w:r>
      <w:r>
        <w:t xml:space="preserve"> of survey respondents indicated they had contact with posts at le</w:t>
      </w:r>
      <w:r w:rsidR="001B6F11">
        <w:t>ast once or twice a year and 60 per cent</w:t>
      </w:r>
      <w:r>
        <w:t xml:space="preserve"> of survey respondents indicated they felt their engagement with Posts was ‘about right’. Note Posts indicated they were grateful when CSOs proactively engaged, for example through face to face meetings and invitations to participate in public events.</w:t>
      </w:r>
    </w:p>
    <w:p w14:paraId="16320738" w14:textId="77777777" w:rsidR="00CE7F9B" w:rsidRDefault="00841204" w:rsidP="00CE7F9B">
      <w:pPr>
        <w:pStyle w:val="BodyText"/>
      </w:pPr>
      <w:r>
        <w:t>While Posts agreed that greater engagement between the Fund and Posts would be beneficial,</w:t>
      </w:r>
      <w:r w:rsidR="00AB21C8">
        <w:t xml:space="preserve"> </w:t>
      </w:r>
      <w:r w:rsidR="00CE7F9B">
        <w:t>the level of engagement will continue to need to be tailored to individual Post needs. For example:</w:t>
      </w:r>
    </w:p>
    <w:p w14:paraId="184BA9B7" w14:textId="4CA88613" w:rsidR="00CE7F9B" w:rsidRDefault="004D2466" w:rsidP="00CE7F9B">
      <w:pPr>
        <w:pStyle w:val="ListBullet"/>
      </w:pPr>
      <w:r>
        <w:t>S</w:t>
      </w:r>
      <w:r w:rsidR="00CE7F9B">
        <w:t>ome Posts indicated they would like to better understand Fund projects, for example through regular reporting and involvement with monitoring visits. This can help ensure links with bilateral WASH activities or, at the least, avoid duplication</w:t>
      </w:r>
      <w:r w:rsidR="00CE7F9B" w:rsidRPr="00CE7F9B">
        <w:t xml:space="preserve"> </w:t>
      </w:r>
    </w:p>
    <w:p w14:paraId="29BA9811" w14:textId="782C5DF7" w:rsidR="00CE7F9B" w:rsidRDefault="004D2466" w:rsidP="00CE7F9B">
      <w:pPr>
        <w:pStyle w:val="ListBullet"/>
      </w:pPr>
      <w:r>
        <w:t>S</w:t>
      </w:r>
      <w:r w:rsidR="00CE7F9B">
        <w:t>ome Posts continued to want strong engagement, for example, an understanding of the overarching lessons coming out of t</w:t>
      </w:r>
      <w:r w:rsidR="00F81AC8">
        <w:t>he Fund</w:t>
      </w:r>
      <w:r w:rsidR="00CE7F9B">
        <w:t xml:space="preserve"> so that they could be applied to bilateral WASH programs</w:t>
      </w:r>
    </w:p>
    <w:p w14:paraId="76687BB2" w14:textId="591DCF7B" w:rsidR="00CE7F9B" w:rsidRDefault="004D2466" w:rsidP="00CE7F9B">
      <w:pPr>
        <w:pStyle w:val="ListBullet"/>
      </w:pPr>
      <w:r>
        <w:t>P</w:t>
      </w:r>
      <w:r w:rsidR="00CE7F9B">
        <w:t>articularly active Posts indicated they could coordinate CSO projects in-country, for example to build greater links between CSO projects and the partner government. This would be appropriate where an existing in-country coordination mechanism did not exist</w:t>
      </w:r>
      <w:r w:rsidR="00CE7F9B" w:rsidRPr="00CE7F9B">
        <w:t xml:space="preserve"> </w:t>
      </w:r>
    </w:p>
    <w:p w14:paraId="215E4C5C" w14:textId="0623CB8C" w:rsidR="00CE7F9B" w:rsidRDefault="00F81AC8" w:rsidP="00CE7F9B">
      <w:pPr>
        <w:pStyle w:val="ListBullet"/>
      </w:pPr>
      <w:r>
        <w:t>All Posts</w:t>
      </w:r>
      <w:r w:rsidR="00EC4C5D">
        <w:t xml:space="preserve"> interviewed</w:t>
      </w:r>
      <w:r w:rsidR="00CE7F9B">
        <w:t xml:space="preserve"> indicated they would like to be involved in</w:t>
      </w:r>
      <w:r>
        <w:t xml:space="preserve"> CSO</w:t>
      </w:r>
      <w:r w:rsidR="00CE7F9B">
        <w:t xml:space="preserve"> selection for the next Phase.</w:t>
      </w:r>
    </w:p>
    <w:p w14:paraId="39A42017" w14:textId="0F351384" w:rsidR="00AB21C8" w:rsidRDefault="00AB21C8" w:rsidP="00AB21C8">
      <w:r>
        <w:t>While all parties wish to engage more, broad DFAT experience demonstrates that staff at Post are busy and have competing priorities to manage. This makes it incumbent on the Fund management</w:t>
      </w:r>
      <w:r w:rsidR="00326ECB">
        <w:t xml:space="preserve"> team</w:t>
      </w:r>
      <w:r>
        <w:t xml:space="preserve"> to actively understand Posts’ needs and attempt to meet these needs efficiently. Some suggestions provided during interviews were:</w:t>
      </w:r>
    </w:p>
    <w:p w14:paraId="686FF4CF" w14:textId="67AD7A2C" w:rsidR="00AB21C8" w:rsidRDefault="00AB21C8" w:rsidP="00AB21C8">
      <w:pPr>
        <w:pStyle w:val="ListBullet"/>
      </w:pPr>
      <w:r>
        <w:t xml:space="preserve">Posts are more likely to engage with DFAT WSH than with </w:t>
      </w:r>
      <w:r w:rsidR="004D2466">
        <w:t>an FMF</w:t>
      </w:r>
    </w:p>
    <w:p w14:paraId="2A0F9CF7" w14:textId="129B0750" w:rsidR="00AB21C8" w:rsidRDefault="00AB21C8" w:rsidP="00AB21C8">
      <w:pPr>
        <w:pStyle w:val="ListBullet"/>
      </w:pPr>
      <w:r>
        <w:t>Desks in Canberra</w:t>
      </w:r>
      <w:r w:rsidR="00861801">
        <w:t xml:space="preserve"> should </w:t>
      </w:r>
      <w:r>
        <w:t>be kept in the loop</w:t>
      </w:r>
    </w:p>
    <w:p w14:paraId="34057B8F" w14:textId="77777777" w:rsidR="00AB21C8" w:rsidRDefault="00AB21C8" w:rsidP="00AB21C8">
      <w:pPr>
        <w:pStyle w:val="ListBullet"/>
      </w:pPr>
      <w:r>
        <w:t>It could be useful for the Fund to check in wit</w:t>
      </w:r>
      <w:r w:rsidR="00F81AC8">
        <w:t>h country programs twice a year</w:t>
      </w:r>
      <w:r>
        <w:t xml:space="preserve"> to ensure that any new staff are aware of the Fund and have the information they require</w:t>
      </w:r>
    </w:p>
    <w:p w14:paraId="5161EFE5" w14:textId="77777777" w:rsidR="00AB21C8" w:rsidRDefault="00AB21C8" w:rsidP="00AB21C8">
      <w:pPr>
        <w:pStyle w:val="ListBullet"/>
      </w:pPr>
      <w:r>
        <w:t>Discussions between DFAT WSH and Posts, rather than email, would be beneficial</w:t>
      </w:r>
    </w:p>
    <w:p w14:paraId="353D00F4" w14:textId="77777777" w:rsidR="00AB21C8" w:rsidRDefault="00AB21C8" w:rsidP="00AB21C8">
      <w:pPr>
        <w:pStyle w:val="ListBullet"/>
      </w:pPr>
      <w:r>
        <w:t xml:space="preserve">CSOs should continue to be encouraged to build relationships with Posts. </w:t>
      </w:r>
    </w:p>
    <w:p w14:paraId="005A658A" w14:textId="4125B191" w:rsidR="00506812" w:rsidRDefault="00506812" w:rsidP="00802E83">
      <w:r w:rsidRPr="00CD2017">
        <w:t>These findings indicate that</w:t>
      </w:r>
      <w:r w:rsidR="003F0D0E" w:rsidRPr="00CD2017">
        <w:t>,</w:t>
      </w:r>
      <w:r w:rsidRPr="00CD2017">
        <w:t xml:space="preserve"> to maximise engagement between the Fund and country </w:t>
      </w:r>
      <w:r w:rsidR="003F0D0E" w:rsidRPr="00CD2017">
        <w:t>programs</w:t>
      </w:r>
      <w:r w:rsidRPr="00CD2017">
        <w:t>, DFAT WSH</w:t>
      </w:r>
      <w:r w:rsidR="00861801" w:rsidRPr="00CD2017">
        <w:t xml:space="preserve"> prioritise engagement with country programs. </w:t>
      </w:r>
      <w:r w:rsidR="00F81AC8" w:rsidRPr="00CD2017">
        <w:t>The focus of such engagement c</w:t>
      </w:r>
      <w:r w:rsidR="003F0D0E" w:rsidRPr="00CD2017">
        <w:t>ould be increased public diplo</w:t>
      </w:r>
      <w:r w:rsidR="00F81AC8" w:rsidRPr="00CD2017">
        <w:t>macy and publicity for the Fund</w:t>
      </w:r>
      <w:r w:rsidR="003F0D0E" w:rsidRPr="00CD2017">
        <w:t xml:space="preserve"> as well as greater links between Fund and bilateral activities, given these </w:t>
      </w:r>
      <w:r w:rsidR="0080469E" w:rsidRPr="00CD2017">
        <w:t xml:space="preserve">two areas are mutually beneficial to </w:t>
      </w:r>
      <w:r w:rsidR="003F0D0E" w:rsidRPr="00CD2017">
        <w:t>DFAT WSH and country programs.</w:t>
      </w:r>
      <w:r w:rsidR="00EC3BE2">
        <w:t xml:space="preserve"> </w:t>
      </w:r>
      <w:r w:rsidR="00CD2017">
        <w:t xml:space="preserve">Higher prioritisation of this work </w:t>
      </w:r>
      <w:r w:rsidR="0080469E" w:rsidRPr="00CD2017">
        <w:t xml:space="preserve">may be difficult for the remainder of the Fund’s current phase but may become feasible for the Fund’s next phase, particularly if the management of CSO grant agreements is adjusted (see </w:t>
      </w:r>
      <w:r w:rsidR="009B51A0" w:rsidRPr="00CD2017">
        <w:t>section 3.4</w:t>
      </w:r>
      <w:r w:rsidR="0080469E" w:rsidRPr="00CD2017">
        <w:t>.1).</w:t>
      </w:r>
    </w:p>
    <w:p w14:paraId="26F60AE5" w14:textId="42FAA0C7" w:rsidR="00FE5DAF" w:rsidRDefault="005E4454" w:rsidP="00FE5DAF">
      <w:pPr>
        <w:pStyle w:val="Heading2"/>
      </w:pPr>
      <w:bookmarkStart w:id="33" w:name="_Toc468450003"/>
      <w:r>
        <w:t>3.5</w:t>
      </w:r>
      <w:r w:rsidR="00FE5DAF">
        <w:tab/>
      </w:r>
      <w:r w:rsidR="0085348F">
        <w:t xml:space="preserve">Fund </w:t>
      </w:r>
      <w:r w:rsidR="00925146">
        <w:t>management costs are relatively high</w:t>
      </w:r>
      <w:r w:rsidR="003F6AFF">
        <w:t xml:space="preserve"> but are justified</w:t>
      </w:r>
      <w:bookmarkEnd w:id="33"/>
    </w:p>
    <w:p w14:paraId="480CA9AA" w14:textId="5E19EC74" w:rsidR="00FE5DAF" w:rsidRDefault="00FE5DAF" w:rsidP="00FE5DAF">
      <w:r>
        <w:t>As discussed in the previous sections, the Fund’s management arrangements are generally operating well to support CSOs and Fund-wide success. However, given the resources devoted to Fund management it can be viewed as a relatively high cost model. This section address</w:t>
      </w:r>
      <w:r w:rsidR="00326ECB">
        <w:t>es</w:t>
      </w:r>
      <w:r>
        <w:t xml:space="preserve"> the question of whether the costs are justified by comparing the Fund to two other </w:t>
      </w:r>
      <w:r w:rsidR="00FD0A29">
        <w:t xml:space="preserve">DFAT-funded CSO </w:t>
      </w:r>
      <w:r>
        <w:t>programs: the Australia Africa Community Engagement Scheme (AACES) and the Australian</w:t>
      </w:r>
      <w:r w:rsidR="00DA7BBA">
        <w:t xml:space="preserve"> NGO Cooperation Program (ANCP) (see </w:t>
      </w:r>
      <w:r w:rsidR="009B51A0" w:rsidRPr="009B51A0">
        <w:t>sectio</w:t>
      </w:r>
      <w:r w:rsidR="009B51A0" w:rsidRPr="00DC2117">
        <w:t>n 2</w:t>
      </w:r>
      <w:r w:rsidR="009B51A0">
        <w:t>.3.1</w:t>
      </w:r>
      <w:r w:rsidR="00DA7BBA">
        <w:t xml:space="preserve"> for background on these programs). </w:t>
      </w:r>
    </w:p>
    <w:p w14:paraId="7676AE2C" w14:textId="239103BF" w:rsidR="00566C57" w:rsidRDefault="00DA7BBA" w:rsidP="007572C7">
      <w:r>
        <w:t xml:space="preserve">The comparison draws heavily on recent independent evaluations of AACES and ANCP. </w:t>
      </w:r>
      <w:r>
        <w:rPr>
          <w:lang w:val="en-US"/>
        </w:rPr>
        <w:t>Consistent with the focus of this evaluation, the comparison focusses on the effectiveness of each program’s management arrangements, rather than the effectiveness of CSO activities they fund.</w:t>
      </w:r>
      <w:r w:rsidR="00011CF3">
        <w:rPr>
          <w:lang w:val="en-US"/>
        </w:rPr>
        <w:t xml:space="preserve"> </w:t>
      </w:r>
      <w:r w:rsidR="00566C57">
        <w:t xml:space="preserve">When examining management costs, the evaluation considered all costs associated with the common management elements for CSO programs outlined in section 3.1 – that is, DFAT oversight, day to day program management, mechanisms to share knowledge between CSOs, and program M&amp;E. </w:t>
      </w:r>
    </w:p>
    <w:p w14:paraId="356A1F91" w14:textId="420B8D35" w:rsidR="001C2CE5" w:rsidRDefault="00561D94" w:rsidP="00402EA5">
      <w:pPr>
        <w:pStyle w:val="BodyText"/>
      </w:pPr>
      <w:r>
        <w:t xml:space="preserve">In summary, the evaluation finds that although the Fund’s costs are higher than other programs, they are justified because of the effectiveness of the Fund’s management arrangements. </w:t>
      </w:r>
      <w:r w:rsidR="001C2CE5">
        <w:t xml:space="preserve">For future </w:t>
      </w:r>
      <w:r w:rsidR="00497CF4">
        <w:t xml:space="preserve">Fund </w:t>
      </w:r>
      <w:r w:rsidR="001C2CE5">
        <w:t>phases, the Fund wou</w:t>
      </w:r>
      <w:r w:rsidR="00497CF4">
        <w:t>ld benefit from</w:t>
      </w:r>
      <w:r w:rsidR="001C2CE5">
        <w:t xml:space="preserve"> systems which can be used to justify its relatively high management costs. </w:t>
      </w:r>
    </w:p>
    <w:p w14:paraId="2C8D1AEF" w14:textId="5A5FABB4" w:rsidR="00411A56" w:rsidRDefault="00D9131E" w:rsidP="00402EA5">
      <w:pPr>
        <w:pStyle w:val="BodyText"/>
      </w:pPr>
      <w:r>
        <w:t>A summary</w:t>
      </w:r>
      <w:r w:rsidR="00411A56">
        <w:t xml:space="preserve"> of the effectiveness of each program’s management arrangements, as well as their program management costs, is at </w:t>
      </w:r>
      <w:r w:rsidR="00DC2117" w:rsidRPr="00DC2117">
        <w:t>Table 6</w:t>
      </w:r>
      <w:r w:rsidR="00411A56" w:rsidRPr="00DC2117">
        <w:t>.</w:t>
      </w:r>
      <w:r w:rsidR="00B030C4">
        <w:t xml:space="preserve"> The table highlights the following key points. </w:t>
      </w:r>
    </w:p>
    <w:p w14:paraId="3C4F080F" w14:textId="776C5B55" w:rsidR="00402EA5" w:rsidRDefault="00402EA5" w:rsidP="00402EA5">
      <w:pPr>
        <w:pStyle w:val="BodyText"/>
      </w:pPr>
      <w:r>
        <w:t>The ANCP has low man</w:t>
      </w:r>
      <w:r w:rsidR="001B6F11">
        <w:t>agement costs, with less than 2 per cent</w:t>
      </w:r>
      <w:r>
        <w:t xml:space="preserve"> of program value being used for program management. E</w:t>
      </w:r>
      <w:r w:rsidR="00600A8E">
        <w:t xml:space="preserve">ight </w:t>
      </w:r>
      <w:r w:rsidR="00565A37">
        <w:t>DFAT full-time equivalent (</w:t>
      </w:r>
      <w:r w:rsidR="00600A8E">
        <w:t>FTE</w:t>
      </w:r>
      <w:r w:rsidR="00565A37">
        <w:t>) staff</w:t>
      </w:r>
      <w:r w:rsidR="00600A8E">
        <w:t xml:space="preserve"> </w:t>
      </w:r>
      <w:proofErr w:type="gramStart"/>
      <w:r w:rsidR="00600A8E">
        <w:t>manage</w:t>
      </w:r>
      <w:proofErr w:type="gramEnd"/>
      <w:r w:rsidR="00600A8E">
        <w:t xml:space="preserve"> the program, a</w:t>
      </w:r>
      <w:r>
        <w:t xml:space="preserve"> relatively low commitment given the size of the program. In a</w:t>
      </w:r>
      <w:r w:rsidR="00565A37">
        <w:t xml:space="preserve"> given year, ANCP expenditure was</w:t>
      </w:r>
      <w:r>
        <w:t xml:space="preserve"> a</w:t>
      </w:r>
      <w:r w:rsidR="00600A8E">
        <w:t>round eight times that of AACES</w:t>
      </w:r>
      <w:r>
        <w:t xml:space="preserve"> but ha</w:t>
      </w:r>
      <w:r w:rsidR="00326ECB">
        <w:t>d</w:t>
      </w:r>
      <w:r>
        <w:t xml:space="preserve"> only three times as many staff. </w:t>
      </w:r>
    </w:p>
    <w:p w14:paraId="2851BFAF" w14:textId="313AB023" w:rsidR="00D06565" w:rsidRDefault="00402EA5" w:rsidP="00402EA5">
      <w:pPr>
        <w:pStyle w:val="BodyText"/>
      </w:pPr>
      <w:r>
        <w:t xml:space="preserve">At the same time, </w:t>
      </w:r>
      <w:r w:rsidR="00D06565">
        <w:t xml:space="preserve">the ANCP evaluation highlighted some issues with the program’s management arrangements. At the time of the evaluation ANCP did not have a theory of change or a system for collecting and reporting on high level outcomes. Cooperation between NGOs and learning from the </w:t>
      </w:r>
      <w:r w:rsidR="00492A28">
        <w:t xml:space="preserve">monitoring and evaluation </w:t>
      </w:r>
      <w:r w:rsidR="00D06565">
        <w:t>system was also limited.</w:t>
      </w:r>
      <w:r w:rsidR="00D06565" w:rsidRPr="00D06565">
        <w:t xml:space="preserve"> </w:t>
      </w:r>
    </w:p>
    <w:p w14:paraId="574DD06B" w14:textId="6EFEE4AF" w:rsidR="00402EA5" w:rsidRDefault="00402EA5" w:rsidP="00402EA5">
      <w:pPr>
        <w:pStyle w:val="BodyText"/>
      </w:pPr>
      <w:r>
        <w:t>In comparison, the effectiveness of the management arrangements for both AACES and</w:t>
      </w:r>
      <w:r w:rsidR="00600A8E">
        <w:t xml:space="preserve"> the</w:t>
      </w:r>
      <w:r>
        <w:t xml:space="preserve"> </w:t>
      </w:r>
      <w:r w:rsidR="00600A8E">
        <w:t xml:space="preserve">Fund </w:t>
      </w:r>
      <w:r>
        <w:t xml:space="preserve">are </w:t>
      </w:r>
      <w:proofErr w:type="gramStart"/>
      <w:r>
        <w:t>similar,</w:t>
      </w:r>
      <w:proofErr w:type="gramEnd"/>
      <w:r>
        <w:t xml:space="preserve"> and relative </w:t>
      </w:r>
      <w:r w:rsidR="00600A8E">
        <w:t>high. Both Funds have clear theories of change</w:t>
      </w:r>
      <w:r>
        <w:t xml:space="preserve"> and have strongly support</w:t>
      </w:r>
      <w:r w:rsidR="00CD2017">
        <w:t>ed</w:t>
      </w:r>
      <w:r>
        <w:t xml:space="preserve"> CSOs to implement gender equality and disability inclusive activities. Both ha</w:t>
      </w:r>
      <w:r w:rsidR="00600A8E">
        <w:t>ve well-regarded approaches to knowledge and l</w:t>
      </w:r>
      <w:r>
        <w:t>earning. One difference is around program-wide perf</w:t>
      </w:r>
      <w:r w:rsidR="00224371">
        <w:t>ormance assessment arrangements. T</w:t>
      </w:r>
      <w:r>
        <w:t>he Fund has clear Fund-wide performance assessment arrangement</w:t>
      </w:r>
      <w:r w:rsidR="007E6D52">
        <w:t>s</w:t>
      </w:r>
      <w:r>
        <w:t xml:space="preserve"> which can be used to d</w:t>
      </w:r>
      <w:r w:rsidR="00600A8E">
        <w:t>escribe the Fund’s achievements (although note the current issues with this described above).</w:t>
      </w:r>
      <w:r>
        <w:t xml:space="preserve"> Given AACES supported three different sectors, it struggled to build and describe a coherent program-wide story of achievements. </w:t>
      </w:r>
    </w:p>
    <w:p w14:paraId="6372C736" w14:textId="3A780713" w:rsidR="00171AB0" w:rsidRDefault="00402EA5" w:rsidP="00402EA5">
      <w:pPr>
        <w:pStyle w:val="BodyText"/>
      </w:pPr>
      <w:r>
        <w:t xml:space="preserve">On first glance, the program </w:t>
      </w:r>
      <w:r w:rsidR="00561705">
        <w:t>management costs for the</w:t>
      </w:r>
      <w:r>
        <w:t xml:space="preserve"> Fund appear </w:t>
      </w:r>
      <w:r w:rsidR="00600A8E">
        <w:t xml:space="preserve">significantly </w:t>
      </w:r>
      <w:r>
        <w:t xml:space="preserve">higher than for AACES. </w:t>
      </w:r>
      <w:r w:rsidR="00561705">
        <w:t>To a certain extent this</w:t>
      </w:r>
      <w:r>
        <w:t xml:space="preserve"> reflects</w:t>
      </w:r>
      <w:r w:rsidR="00561705">
        <w:t xml:space="preserve"> the different approaches to monitoring and evaluation and knowledge and learning</w:t>
      </w:r>
      <w:r>
        <w:t xml:space="preserve"> that the </w:t>
      </w:r>
      <w:r w:rsidR="00561705">
        <w:t>two programs have taken. The Fund</w:t>
      </w:r>
      <w:r>
        <w:t xml:space="preserve"> has contracted expertise and support in these areas, and as </w:t>
      </w:r>
      <w:r w:rsidR="001B6F11">
        <w:t>a result, a relatively high 7.</w:t>
      </w:r>
      <w:r w:rsidR="00977716">
        <w:t>9</w:t>
      </w:r>
      <w:r w:rsidR="001B6F11">
        <w:t xml:space="preserve"> per cent</w:t>
      </w:r>
      <w:r>
        <w:t xml:space="preserve"> of Fund value is committed to program management contracts. </w:t>
      </w:r>
      <w:r w:rsidR="00171AB0">
        <w:t>Some specific elements of the Fund’s approach, for example allowing CSOs flexibility to adapt their projects (see section 3.</w:t>
      </w:r>
      <w:r w:rsidR="00326ECB">
        <w:t>3.3</w:t>
      </w:r>
      <w:r w:rsidR="00171AB0">
        <w:t xml:space="preserve">) are also resource intensive. </w:t>
      </w:r>
    </w:p>
    <w:p w14:paraId="5F417328" w14:textId="5CF24406" w:rsidR="00402EA5" w:rsidRDefault="00171AB0" w:rsidP="00402EA5">
      <w:pPr>
        <w:pStyle w:val="BodyText"/>
      </w:pPr>
      <w:r>
        <w:t xml:space="preserve">In comparison, </w:t>
      </w:r>
      <w:r w:rsidR="00402EA5">
        <w:t>AACES received some support from a</w:t>
      </w:r>
      <w:r w:rsidR="001B6F11">
        <w:t xml:space="preserve"> Resource Facility and around 4 per cent</w:t>
      </w:r>
      <w:r w:rsidR="00402EA5">
        <w:t xml:space="preserve"> of program value was dedicated to program management contracts. AACES also relie</w:t>
      </w:r>
      <w:r w:rsidR="00561705">
        <w:t>d heavily on CSOs to provide monitoring and evaluation and knowledge and learning</w:t>
      </w:r>
      <w:r w:rsidR="00402EA5">
        <w:t xml:space="preserve"> support to each other. For example, CSOs organised and convened learning events on a rotating basis. They also peer reviewed each others’ work, including by conducting field visits. This would have taken a significant t</w:t>
      </w:r>
      <w:r w:rsidR="00224371">
        <w:t>ime commitment from CSOs, a</w:t>
      </w:r>
      <w:r w:rsidR="00402EA5">
        <w:t xml:space="preserve"> commitment which has not been quantified and is hidden when looking at the program management contract costs. </w:t>
      </w:r>
    </w:p>
    <w:p w14:paraId="3BBB71B0" w14:textId="0CE64AC2" w:rsidR="00835BA2" w:rsidRDefault="00003C3C" w:rsidP="00402EA5">
      <w:pPr>
        <w:pStyle w:val="BodyText"/>
      </w:pPr>
      <w:r>
        <w:t>E</w:t>
      </w:r>
      <w:r w:rsidR="00561705">
        <w:t>ven taking into account the CSO time commitment required to implement AACES, the Fund’</w:t>
      </w:r>
      <w:r w:rsidR="00192208">
        <w:t>s costs are relatively high. The Fund’s current investment in program management</w:t>
      </w:r>
      <w:r w:rsidR="001F3232">
        <w:t xml:space="preserve"> costs still appears reasonable</w:t>
      </w:r>
      <w:r w:rsidR="00CD2017">
        <w:t>, particularly as they are lower than what was planned in the Fund’s design. I</w:t>
      </w:r>
      <w:r w:rsidR="001F3232">
        <w:t>n the evaluation team’</w:t>
      </w:r>
      <w:r w:rsidR="00CD2017">
        <w:t xml:space="preserve">s judgement it </w:t>
      </w:r>
      <w:r w:rsidR="00AB6307">
        <w:t>is</w:t>
      </w:r>
      <w:r w:rsidR="001F3232">
        <w:t xml:space="preserve"> </w:t>
      </w:r>
      <w:r w:rsidR="00CD2017">
        <w:t xml:space="preserve">also </w:t>
      </w:r>
      <w:r w:rsidR="001F3232">
        <w:t>a good investment given the performance of the management arrangements</w:t>
      </w:r>
      <w:r w:rsidR="00192208">
        <w:t xml:space="preserve">. </w:t>
      </w:r>
      <w:r w:rsidR="00EC3BE2">
        <w:t>F</w:t>
      </w:r>
      <w:r w:rsidR="00192208">
        <w:t>or a future phase it is possible that the Fund’s management costs will increase further, particularly if alternative CSO and MERP contract management arrangements discussed above are implement</w:t>
      </w:r>
      <w:r w:rsidR="00224371">
        <w:t>ed</w:t>
      </w:r>
      <w:r w:rsidR="00EC3BE2">
        <w:t xml:space="preserve">. </w:t>
      </w:r>
    </w:p>
    <w:p w14:paraId="2B58771E" w14:textId="08786888" w:rsidR="00192208" w:rsidRDefault="00192208" w:rsidP="00402EA5">
      <w:pPr>
        <w:pStyle w:val="BodyText"/>
      </w:pPr>
      <w:r>
        <w:t>This suggest</w:t>
      </w:r>
      <w:r w:rsidR="00E46BFD">
        <w:t>s</w:t>
      </w:r>
      <w:r>
        <w:t xml:space="preserve"> two areas </w:t>
      </w:r>
      <w:r w:rsidR="00AD3C39">
        <w:t>of</w:t>
      </w:r>
      <w:r>
        <w:t xml:space="preserve"> consideration for the</w:t>
      </w:r>
      <w:r w:rsidR="00835BA2">
        <w:t xml:space="preserve"> current and future</w:t>
      </w:r>
      <w:r>
        <w:t xml:space="preserve"> Fund</w:t>
      </w:r>
      <w:r w:rsidR="00835BA2">
        <w:t xml:space="preserve"> phases</w:t>
      </w:r>
      <w:r>
        <w:t>:</w:t>
      </w:r>
    </w:p>
    <w:p w14:paraId="7BDE8A71" w14:textId="0086ACA9" w:rsidR="00192208" w:rsidRDefault="00835BA2" w:rsidP="00192208">
      <w:pPr>
        <w:pStyle w:val="ListBullet"/>
      </w:pPr>
      <w:r>
        <w:t>For the next phase, t</w:t>
      </w:r>
      <w:r w:rsidR="00192208">
        <w:t>he Fund could consider adopting some elements of the ‘partnership’ approach used by AACES</w:t>
      </w:r>
      <w:r w:rsidR="00F64C2B">
        <w:t>. For example, the Fund could reduce the</w:t>
      </w:r>
      <w:r w:rsidR="00E46BFD">
        <w:t xml:space="preserve"> cost</w:t>
      </w:r>
      <w:r w:rsidR="00F64C2B">
        <w:t xml:space="preserve"> of contracted expertise by having CSOs peer review each other’</w:t>
      </w:r>
      <w:r w:rsidR="00E46BFD">
        <w:t xml:space="preserve">s work (including by </w:t>
      </w:r>
      <w:r w:rsidR="00F64C2B">
        <w:t xml:space="preserve"> conduct</w:t>
      </w:r>
      <w:r w:rsidR="00E46BFD">
        <w:t>ing</w:t>
      </w:r>
      <w:r w:rsidR="00F64C2B">
        <w:t xml:space="preserve"> monitoring visits to each other’s field sites</w:t>
      </w:r>
      <w:r w:rsidR="00E46BFD">
        <w:t>)</w:t>
      </w:r>
      <w:r w:rsidR="00F64C2B">
        <w:t xml:space="preserve">, or by having CSOs convene learning events on a rotating basis. </w:t>
      </w:r>
      <w:r w:rsidR="00192208">
        <w:t>But while this may reduce the contracted Fund management costs, it is unlikely to decrease the overall costs of the Fund because of the additional time commitment needed</w:t>
      </w:r>
      <w:r w:rsidR="00326ECB">
        <w:t xml:space="preserve"> </w:t>
      </w:r>
      <w:r w:rsidR="00192208">
        <w:t>to implement</w:t>
      </w:r>
      <w:r w:rsidR="00224371">
        <w:t xml:space="preserve"> a partnership approach</w:t>
      </w:r>
      <w:r w:rsidR="00192208">
        <w:t>. Some elements of the AACES partnership approa</w:t>
      </w:r>
      <w:r w:rsidR="00AD3C39">
        <w:t>ch may also be more difficult for the Fund to implement</w:t>
      </w:r>
      <w:r w:rsidR="00192208">
        <w:t>, given it operates across several regions and supports CSOs based outside Australia</w:t>
      </w:r>
    </w:p>
    <w:p w14:paraId="739B7F83" w14:textId="72EFF852" w:rsidR="00326ECB" w:rsidRDefault="00497CF4" w:rsidP="00D554A6">
      <w:pPr>
        <w:pStyle w:val="ListBullet"/>
      </w:pPr>
      <w:r>
        <w:t>For the Fund’s next phase, the Fund should</w:t>
      </w:r>
      <w:r w:rsidR="00326ECB">
        <w:t xml:space="preserve"> consider how it can</w:t>
      </w:r>
      <w:r>
        <w:t xml:space="preserve"> justify its relatively high management costs. Ideally the Fund would attempt to demonstrate that its investment </w:t>
      </w:r>
      <w:r w:rsidR="00326ECB">
        <w:t>in management (including for M&amp;E</w:t>
      </w:r>
      <w:r>
        <w:t xml:space="preserve"> and K&amp;L) has contributed to more effective CSO projects. It is noted that this may be practically and methodologically challenging,</w:t>
      </w:r>
      <w:r w:rsidR="00C206E9">
        <w:t xml:space="preserve"> and that a </w:t>
      </w:r>
      <w:r>
        <w:t xml:space="preserve">more </w:t>
      </w:r>
      <w:r w:rsidR="00C206E9">
        <w:t xml:space="preserve">feasible approach may be ensuring the future Fund’s M&amp;E system monitors and reports on the </w:t>
      </w:r>
      <w:r w:rsidR="00326ECB">
        <w:t xml:space="preserve">effectiveness of the </w:t>
      </w:r>
      <w:r w:rsidR="00C206E9">
        <w:t xml:space="preserve">management arrangements. </w:t>
      </w:r>
      <w:r w:rsidR="00326ECB">
        <w:t>An independent review of the future Fund’s management arrangements, similar to this evaluation, could also be considered.</w:t>
      </w:r>
    </w:p>
    <w:p w14:paraId="0418924A" w14:textId="6DF1C183" w:rsidR="00326ECB" w:rsidRDefault="00326ECB">
      <w:pPr>
        <w:pStyle w:val="RecommendationBoxHeading"/>
      </w:pPr>
      <w:r>
        <w:t>Recommendation 1</w:t>
      </w:r>
    </w:p>
    <w:p w14:paraId="6E99A098" w14:textId="26162A0F" w:rsidR="00326ECB" w:rsidRDefault="00326ECB" w:rsidP="00D554A6">
      <w:pPr>
        <w:pStyle w:val="RecommendationBoxBullet"/>
      </w:pPr>
      <w:r>
        <w:t xml:space="preserve">For the Fund’s next phase, the Fund’s monitoring and evaluation system includes arrangements which ensure the Fund’s management costs can be justified. </w:t>
      </w:r>
    </w:p>
    <w:p w14:paraId="3C544B5B" w14:textId="52800D2B" w:rsidR="00003C3C" w:rsidRDefault="00003C3C" w:rsidP="00D554A6">
      <w:pPr>
        <w:pStyle w:val="RecommendationBoxHeading"/>
        <w:ind w:left="0"/>
        <w:rPr>
          <w:b w:val="0"/>
        </w:rPr>
        <w:sectPr w:rsidR="00003C3C" w:rsidSect="007E5022">
          <w:footnotePr>
            <w:numFmt w:val="chicago"/>
            <w:numRestart w:val="eachPage"/>
          </w:footnotePr>
          <w:endnotePr>
            <w:numFmt w:val="decimal"/>
          </w:endnotePr>
          <w:type w:val="continuous"/>
          <w:pgSz w:w="11907" w:h="16840" w:code="9"/>
          <w:pgMar w:top="958" w:right="1701" w:bottom="907" w:left="1701" w:header="851" w:footer="567" w:gutter="0"/>
          <w:cols w:space="720"/>
          <w:docGrid w:linePitch="326"/>
        </w:sectPr>
      </w:pPr>
    </w:p>
    <w:p w14:paraId="6B90CAF9" w14:textId="77777777" w:rsidR="00411A56" w:rsidRDefault="009B51A0" w:rsidP="009B51A0">
      <w:pPr>
        <w:pStyle w:val="TableandFigureName"/>
      </w:pPr>
      <w:r w:rsidRPr="009B51A0">
        <w:t xml:space="preserve">Table </w:t>
      </w:r>
      <w:r>
        <w:t>6</w:t>
      </w:r>
      <w:r w:rsidR="00411A56">
        <w:t>: Comparison of program management effectiveness and program management costs</w:t>
      </w:r>
    </w:p>
    <w:tbl>
      <w:tblPr>
        <w:tblStyle w:val="TableGrid"/>
        <w:tblW w:w="0" w:type="auto"/>
        <w:tblLook w:val="04A0" w:firstRow="1" w:lastRow="0" w:firstColumn="1" w:lastColumn="0" w:noHBand="0" w:noVBand="1"/>
        <w:tblCaption w:val="Table 6 comparison of program management effectiveness and program management costs"/>
        <w:tblDescription w:val="Row 1, summary of program. CS WASH Fund has 13 CSOs implementing 29 projects in 19 countries. Focused on a single sector (WASH). ANCP has 53 ANGOs implementing 575 projects in 57 countries countries. A broad range of sectors are covered including health, WASH, education, governance and agriculture. AACES had 10 ANGOs implementing projects in 11 African countries. It focussed on three sectors: WASH, food security, and maternal and child health. Row 2, program oversight. The CS WASH Fund has oversight through quarterly management team meetings and bi-weekly teleconferences involving DFAT WSH, FMF and MERP. ANCP has oversight by DFAT. The ANCP Committee for Development Cooperation oversees the accreditation process. Highly regarded by CSOs. AACES had oversight by a program steering commitee in which DFAT and each NGO had equal representation and responsibility for program decision making. Highly regarded by NGOs. Row 3, program management. CS WASH Fund has management by the FMF, with oversight by DFAT WSH. ANCP has oversight and data to day management by DFAT. AACES had management by DFAT and NGOs with support from a resource facility. Row 4, theory of change. CS WASH Fund has a clear Fund-wide theory of change on how change can happen in the WASH sector. ANCP has no program-wide theory of change. AACES had a clear program-wide theory of change on how NGOs can facilitate change but no sector-specific theories of change. Row 5, program level performance assessment. CS WASH Fund has clear and detailed Fund-wide performance assessment arrangements. ANCP has no performance assessment framework for collection and analysis of high level outcomes. For AACES, it is unclear from the Review whether AACES had a program-wide performance assessment framework. The Review reports that, given the program supports three sectors, it has been challenging to build and present a coherent program. Row 6, support for gender equality and disability inclusiveness. CS WASH Fund has strongly supported this through project design, Fund performance assessment arrangement and reporting and the knowledge learning component. ANCP has strong support this through ANCP guidelines. ANCP has influenced how NGOs address cross-cutting issues. AACES strongly supported this through program design and support/workshops provided during the program. Row 7, approach to knowledge and learning. CS WASH Fund has a specific K&amp;L component managed by a KALM. The approach is well-regarded by CSO. In ANCP, some learning is facilitated between a small number of partner NGOs. However, the learning potential of ANCP's learning framework has not been maximised and it is recognised learning could be better facilitated. AACES focussed on peer to peer NGO learning. For example, NGOs facilitated bi-annual learning workshops; peer reviewed each others' work; and conducted field visits to each others' projects. The approach was highly regarded by NGOs. Row 8, program value. CS WASH Fund valued at $103m over five years. ANCP valued at approximately $130m per year. AACES valued at $83m over five years. Row 9, DFAT FTE (taken from DFAT WSH and from the ANCP evaluation). CS WASH has 1.5 FTE. ANCP has 8 FTE. AACES has 2.5 FTE. Row 10, management contract costs (taken from Aidworks). For CS WASH it is 7.9 per cent of Fund value. For ANCP it is less than 2 per cent of program value. For AACES it was 4.1 per cent of program value.  "/>
      </w:tblPr>
      <w:tblGrid>
        <w:gridCol w:w="2943"/>
        <w:gridCol w:w="3544"/>
        <w:gridCol w:w="3686"/>
        <w:gridCol w:w="4001"/>
      </w:tblGrid>
      <w:tr w:rsidR="00411A56" w14:paraId="0340792E" w14:textId="77777777" w:rsidTr="001D45BD">
        <w:tc>
          <w:tcPr>
            <w:tcW w:w="14174" w:type="dxa"/>
            <w:gridSpan w:val="4"/>
          </w:tcPr>
          <w:p w14:paraId="2CC7ACE4" w14:textId="77777777" w:rsidR="00411A56" w:rsidRPr="00411A56" w:rsidRDefault="00411A56" w:rsidP="00411A56">
            <w:pPr>
              <w:pStyle w:val="TableHeading1"/>
              <w:jc w:val="center"/>
              <w:rPr>
                <w:sz w:val="20"/>
                <w:szCs w:val="20"/>
              </w:rPr>
            </w:pPr>
            <w:r w:rsidRPr="00411A56">
              <w:rPr>
                <w:sz w:val="20"/>
                <w:szCs w:val="20"/>
              </w:rPr>
              <w:t>Management Arrangements</w:t>
            </w:r>
          </w:p>
        </w:tc>
      </w:tr>
      <w:tr w:rsidR="00411A56" w14:paraId="1449811B" w14:textId="77777777" w:rsidTr="00914BF1">
        <w:tc>
          <w:tcPr>
            <w:tcW w:w="2943" w:type="dxa"/>
          </w:tcPr>
          <w:p w14:paraId="5B757EB9" w14:textId="77777777" w:rsidR="00411A56" w:rsidRDefault="00411A56" w:rsidP="001D45BD"/>
        </w:tc>
        <w:tc>
          <w:tcPr>
            <w:tcW w:w="3544" w:type="dxa"/>
          </w:tcPr>
          <w:p w14:paraId="458B7512" w14:textId="77777777" w:rsidR="00411A56" w:rsidRDefault="00411A56" w:rsidP="00411A56">
            <w:pPr>
              <w:pStyle w:val="TableHeading1"/>
            </w:pPr>
            <w:r>
              <w:t>CS WASH Fund</w:t>
            </w:r>
          </w:p>
        </w:tc>
        <w:tc>
          <w:tcPr>
            <w:tcW w:w="3686" w:type="dxa"/>
          </w:tcPr>
          <w:p w14:paraId="121719AB" w14:textId="50D219FC" w:rsidR="00411A56" w:rsidRDefault="00411A56" w:rsidP="00411A56">
            <w:pPr>
              <w:pStyle w:val="TableHeading1"/>
            </w:pPr>
            <w:r>
              <w:t>ANCP</w:t>
            </w:r>
            <w:r>
              <w:rPr>
                <w:rStyle w:val="FootnoteReference"/>
              </w:rPr>
              <w:footnoteReference w:id="10"/>
            </w:r>
            <w:r>
              <w:t xml:space="preserve"> </w:t>
            </w:r>
            <w:r w:rsidR="009B51A0">
              <w:t>(ODE evaluation, 201</w:t>
            </w:r>
            <w:r w:rsidR="0087299D">
              <w:t>5</w:t>
            </w:r>
            <w:r w:rsidR="009B51A0">
              <w:t>)</w:t>
            </w:r>
          </w:p>
        </w:tc>
        <w:tc>
          <w:tcPr>
            <w:tcW w:w="4001" w:type="dxa"/>
          </w:tcPr>
          <w:p w14:paraId="1B407EB4" w14:textId="77777777" w:rsidR="00411A56" w:rsidRDefault="00411A56" w:rsidP="009B51A0">
            <w:pPr>
              <w:pStyle w:val="TableHeading1"/>
            </w:pPr>
            <w:r>
              <w:t xml:space="preserve">AACES </w:t>
            </w:r>
            <w:r w:rsidR="009B51A0">
              <w:t>(Completion review, 2016)</w:t>
            </w:r>
          </w:p>
        </w:tc>
      </w:tr>
      <w:tr w:rsidR="009352B8" w14:paraId="57369F30" w14:textId="77777777" w:rsidTr="00914BF1">
        <w:tc>
          <w:tcPr>
            <w:tcW w:w="2943" w:type="dxa"/>
          </w:tcPr>
          <w:p w14:paraId="21942BDF" w14:textId="6585DFCF" w:rsidR="009352B8" w:rsidRDefault="009352B8" w:rsidP="00411A56">
            <w:pPr>
              <w:pStyle w:val="TableHeading1"/>
            </w:pPr>
            <w:r>
              <w:t>Summary of program</w:t>
            </w:r>
          </w:p>
        </w:tc>
        <w:tc>
          <w:tcPr>
            <w:tcW w:w="3544" w:type="dxa"/>
          </w:tcPr>
          <w:p w14:paraId="4C63CC53" w14:textId="5BE7ED34" w:rsidR="009352B8" w:rsidRDefault="009352B8" w:rsidP="00411A56">
            <w:pPr>
              <w:pStyle w:val="TableText"/>
            </w:pPr>
            <w:r>
              <w:t>13 CSOs implementing 29 projects in 19 countries. Focussed on a single sector (WASH)</w:t>
            </w:r>
          </w:p>
        </w:tc>
        <w:tc>
          <w:tcPr>
            <w:tcW w:w="3686" w:type="dxa"/>
          </w:tcPr>
          <w:p w14:paraId="2BA25C7A" w14:textId="30AF5260" w:rsidR="009352B8" w:rsidRDefault="001B4F38" w:rsidP="00411A56">
            <w:pPr>
              <w:pStyle w:val="TableText"/>
            </w:pPr>
            <w:r>
              <w:t xml:space="preserve">53 ANGOs implementing 575 projects in 57 countries. A broad range of sectors are covered including health, WASH, education, </w:t>
            </w:r>
            <w:r w:rsidR="00566C57">
              <w:t>governance and agriculture</w:t>
            </w:r>
            <w:r>
              <w:t xml:space="preserve"> </w:t>
            </w:r>
          </w:p>
        </w:tc>
        <w:tc>
          <w:tcPr>
            <w:tcW w:w="4001" w:type="dxa"/>
          </w:tcPr>
          <w:p w14:paraId="0EC2835F" w14:textId="6B83B808" w:rsidR="009352B8" w:rsidRDefault="009352B8" w:rsidP="00411A56">
            <w:pPr>
              <w:pStyle w:val="TableText"/>
            </w:pPr>
            <w:r>
              <w:t>10 ANGOs implementing projects in 11 African countries. Focussed on three sectors (WASH, food security, and maternal and child health)</w:t>
            </w:r>
          </w:p>
        </w:tc>
      </w:tr>
      <w:tr w:rsidR="00411A56" w14:paraId="427FFCC1" w14:textId="77777777" w:rsidTr="00914BF1">
        <w:tc>
          <w:tcPr>
            <w:tcW w:w="2943" w:type="dxa"/>
          </w:tcPr>
          <w:p w14:paraId="62EAA7BF" w14:textId="77777777" w:rsidR="00411A56" w:rsidRDefault="00411A56" w:rsidP="00411A56">
            <w:pPr>
              <w:pStyle w:val="TableHeading1"/>
            </w:pPr>
            <w:r>
              <w:t>Program oversight</w:t>
            </w:r>
          </w:p>
        </w:tc>
        <w:tc>
          <w:tcPr>
            <w:tcW w:w="3544" w:type="dxa"/>
          </w:tcPr>
          <w:p w14:paraId="5F323A67" w14:textId="53BB841C" w:rsidR="00411A56" w:rsidRDefault="00411A56" w:rsidP="00411A56">
            <w:pPr>
              <w:pStyle w:val="TableText"/>
            </w:pPr>
            <w:r>
              <w:t xml:space="preserve">Oversight through quarterly management team meetings </w:t>
            </w:r>
            <w:r w:rsidR="004E0A1B">
              <w:t xml:space="preserve">and bi-weekly teleconferences </w:t>
            </w:r>
            <w:r>
              <w:t>in</w:t>
            </w:r>
            <w:r w:rsidR="00A629A0">
              <w:t>volving DFAT WSH, FMF and MERP</w:t>
            </w:r>
          </w:p>
        </w:tc>
        <w:tc>
          <w:tcPr>
            <w:tcW w:w="3686" w:type="dxa"/>
          </w:tcPr>
          <w:p w14:paraId="24F77077" w14:textId="71456ECF" w:rsidR="00411A56" w:rsidRDefault="00411A56" w:rsidP="00411A56">
            <w:pPr>
              <w:pStyle w:val="TableText"/>
            </w:pPr>
            <w:r>
              <w:t>Oversight by DFAT. The ANCP Committee for Development Cooperation oversees the accreditation process</w:t>
            </w:r>
            <w:r w:rsidR="00AC216D">
              <w:t>. Highly regarded by NGOs</w:t>
            </w:r>
          </w:p>
        </w:tc>
        <w:tc>
          <w:tcPr>
            <w:tcW w:w="4001" w:type="dxa"/>
          </w:tcPr>
          <w:p w14:paraId="43A2400D" w14:textId="77777777" w:rsidR="00411A56" w:rsidRDefault="00411A56" w:rsidP="00411A56">
            <w:pPr>
              <w:pStyle w:val="TableText"/>
            </w:pPr>
            <w:r>
              <w:t>Oversight by a program steering committee in which DFAT and each NGO had equal representation and responsibility for program decision making. Highly regarded by NGOs</w:t>
            </w:r>
          </w:p>
        </w:tc>
      </w:tr>
      <w:tr w:rsidR="00411A56" w14:paraId="64B8310E" w14:textId="77777777" w:rsidTr="00914BF1">
        <w:tc>
          <w:tcPr>
            <w:tcW w:w="2943" w:type="dxa"/>
          </w:tcPr>
          <w:p w14:paraId="43103D46" w14:textId="77777777" w:rsidR="00411A56" w:rsidRDefault="00411A56" w:rsidP="00411A56">
            <w:pPr>
              <w:pStyle w:val="TableHeading1"/>
            </w:pPr>
            <w:r>
              <w:t>Program management</w:t>
            </w:r>
          </w:p>
        </w:tc>
        <w:tc>
          <w:tcPr>
            <w:tcW w:w="3544" w:type="dxa"/>
          </w:tcPr>
          <w:p w14:paraId="610B7301" w14:textId="77777777" w:rsidR="00411A56" w:rsidRDefault="00411A56" w:rsidP="00411A56">
            <w:pPr>
              <w:pStyle w:val="TableText"/>
            </w:pPr>
            <w:r>
              <w:t>Management by the FMF, with oversight by DFAT WSH</w:t>
            </w:r>
          </w:p>
        </w:tc>
        <w:tc>
          <w:tcPr>
            <w:tcW w:w="3686" w:type="dxa"/>
          </w:tcPr>
          <w:p w14:paraId="0F47DFA2" w14:textId="77777777" w:rsidR="00411A56" w:rsidRDefault="00411A56" w:rsidP="00411A56">
            <w:pPr>
              <w:pStyle w:val="TableText"/>
            </w:pPr>
            <w:r>
              <w:t xml:space="preserve">Oversight and day to day management by DFAT </w:t>
            </w:r>
          </w:p>
        </w:tc>
        <w:tc>
          <w:tcPr>
            <w:tcW w:w="4001" w:type="dxa"/>
          </w:tcPr>
          <w:p w14:paraId="535AFD67" w14:textId="15860AC2" w:rsidR="00411A56" w:rsidRDefault="00411A56" w:rsidP="00411A56">
            <w:pPr>
              <w:pStyle w:val="TableText"/>
            </w:pPr>
            <w:r>
              <w:t xml:space="preserve">Management by DFAT and </w:t>
            </w:r>
            <w:r w:rsidR="0026706C">
              <w:t>NG</w:t>
            </w:r>
            <w:r>
              <w:t>Os with support from a Resource Facility</w:t>
            </w:r>
          </w:p>
        </w:tc>
      </w:tr>
      <w:tr w:rsidR="00411A56" w14:paraId="4542C59A" w14:textId="77777777" w:rsidTr="00914BF1">
        <w:tc>
          <w:tcPr>
            <w:tcW w:w="2943" w:type="dxa"/>
          </w:tcPr>
          <w:p w14:paraId="093EE1B9" w14:textId="77777777" w:rsidR="00411A56" w:rsidRDefault="00411A56" w:rsidP="00411A56">
            <w:pPr>
              <w:pStyle w:val="TableHeading1"/>
            </w:pPr>
            <w:r>
              <w:t>Theory of change</w:t>
            </w:r>
          </w:p>
        </w:tc>
        <w:tc>
          <w:tcPr>
            <w:tcW w:w="3544" w:type="dxa"/>
          </w:tcPr>
          <w:p w14:paraId="4C661E71" w14:textId="77777777" w:rsidR="00411A56" w:rsidRDefault="00411A56" w:rsidP="00411A56">
            <w:pPr>
              <w:pStyle w:val="TableText"/>
            </w:pPr>
            <w:r>
              <w:t>Clear Fund-wide theory of change on how change can happen in the WASH sector</w:t>
            </w:r>
          </w:p>
        </w:tc>
        <w:tc>
          <w:tcPr>
            <w:tcW w:w="3686" w:type="dxa"/>
          </w:tcPr>
          <w:p w14:paraId="04AAC3A6" w14:textId="77777777" w:rsidR="00411A56" w:rsidRDefault="00411A56" w:rsidP="00411A56">
            <w:pPr>
              <w:pStyle w:val="TableText"/>
            </w:pPr>
            <w:r>
              <w:t>No program-wide theory of change</w:t>
            </w:r>
          </w:p>
        </w:tc>
        <w:tc>
          <w:tcPr>
            <w:tcW w:w="4001" w:type="dxa"/>
          </w:tcPr>
          <w:p w14:paraId="26206EAE" w14:textId="77777777" w:rsidR="00411A56" w:rsidRDefault="00411A56" w:rsidP="00411A56">
            <w:pPr>
              <w:pStyle w:val="TableText"/>
            </w:pPr>
            <w:r>
              <w:t>Clear program-wide theory of change on how NGOs can facilitate change. No sector-specific theories of change</w:t>
            </w:r>
          </w:p>
        </w:tc>
      </w:tr>
      <w:tr w:rsidR="00411A56" w14:paraId="15E1DDAF" w14:textId="77777777" w:rsidTr="00914BF1">
        <w:tc>
          <w:tcPr>
            <w:tcW w:w="2943" w:type="dxa"/>
          </w:tcPr>
          <w:p w14:paraId="2DA38E39" w14:textId="77777777" w:rsidR="00411A56" w:rsidRDefault="00411A56" w:rsidP="00411A56">
            <w:pPr>
              <w:pStyle w:val="TableHeading1"/>
            </w:pPr>
            <w:r>
              <w:t>Program-level performance assessment</w:t>
            </w:r>
          </w:p>
        </w:tc>
        <w:tc>
          <w:tcPr>
            <w:tcW w:w="3544" w:type="dxa"/>
          </w:tcPr>
          <w:p w14:paraId="7693DC0C" w14:textId="77777777" w:rsidR="00411A56" w:rsidRDefault="00411A56" w:rsidP="00411A56">
            <w:pPr>
              <w:pStyle w:val="TableText"/>
            </w:pPr>
            <w:r>
              <w:t>Clear and detailed Fund-wide performance assessment arrangements</w:t>
            </w:r>
          </w:p>
        </w:tc>
        <w:tc>
          <w:tcPr>
            <w:tcW w:w="3686" w:type="dxa"/>
          </w:tcPr>
          <w:p w14:paraId="216DB32B" w14:textId="77777777" w:rsidR="00411A56" w:rsidRDefault="00411A56" w:rsidP="00411A56">
            <w:pPr>
              <w:pStyle w:val="TableText"/>
            </w:pPr>
            <w:r>
              <w:t>No performance assessment framework for collection and analysis of high level outcomes</w:t>
            </w:r>
          </w:p>
        </w:tc>
        <w:tc>
          <w:tcPr>
            <w:tcW w:w="4001" w:type="dxa"/>
          </w:tcPr>
          <w:p w14:paraId="087F4760" w14:textId="77777777" w:rsidR="00411A56" w:rsidRDefault="00411A56" w:rsidP="00411A56">
            <w:pPr>
              <w:pStyle w:val="TableText"/>
            </w:pPr>
            <w:r>
              <w:t>It is unclear from the Review whether AACES had a program-wide performance assessment framework. The Review reports that, given the program supports three sectors, it has been challenging to build and present a coherent pr</w:t>
            </w:r>
            <w:r w:rsidR="00A629A0">
              <w:t>ogram</w:t>
            </w:r>
            <w:r>
              <w:t xml:space="preserve"> </w:t>
            </w:r>
          </w:p>
        </w:tc>
      </w:tr>
      <w:tr w:rsidR="00411A56" w14:paraId="2A90DEE9" w14:textId="77777777" w:rsidTr="00914BF1">
        <w:tc>
          <w:tcPr>
            <w:tcW w:w="2943" w:type="dxa"/>
          </w:tcPr>
          <w:p w14:paraId="150231B5" w14:textId="77777777" w:rsidR="00411A56" w:rsidRDefault="00411A56" w:rsidP="00411A56">
            <w:pPr>
              <w:pStyle w:val="TableHeading1"/>
            </w:pPr>
            <w:r>
              <w:t>Support for gender equality and disability inclusiveness</w:t>
            </w:r>
          </w:p>
        </w:tc>
        <w:tc>
          <w:tcPr>
            <w:tcW w:w="3544" w:type="dxa"/>
          </w:tcPr>
          <w:p w14:paraId="1039A9E6" w14:textId="77777777" w:rsidR="00411A56" w:rsidRDefault="00411A56" w:rsidP="00411A56">
            <w:pPr>
              <w:pStyle w:val="TableText"/>
            </w:pPr>
            <w:r>
              <w:t>Strongly support</w:t>
            </w:r>
            <w:r w:rsidR="00A629A0">
              <w:t>ed</w:t>
            </w:r>
            <w:r>
              <w:t xml:space="preserve"> through project design, Fund performance assessment arrangements and reporting, and knowledge and learning component</w:t>
            </w:r>
          </w:p>
        </w:tc>
        <w:tc>
          <w:tcPr>
            <w:tcW w:w="3686" w:type="dxa"/>
          </w:tcPr>
          <w:p w14:paraId="0F37986D" w14:textId="721271CD" w:rsidR="00411A56" w:rsidRDefault="00411A56" w:rsidP="00411A56">
            <w:pPr>
              <w:pStyle w:val="TableText"/>
            </w:pPr>
            <w:r>
              <w:t>Strongly supported through ANCP guidelines. ANCP has influenced how NGOs address cross-cutting issues</w:t>
            </w:r>
          </w:p>
        </w:tc>
        <w:tc>
          <w:tcPr>
            <w:tcW w:w="4001" w:type="dxa"/>
          </w:tcPr>
          <w:p w14:paraId="62DF4617" w14:textId="77777777" w:rsidR="00411A56" w:rsidRDefault="00411A56" w:rsidP="00411A56">
            <w:pPr>
              <w:pStyle w:val="TableText"/>
            </w:pPr>
            <w:r>
              <w:t xml:space="preserve">Strongly supported through program design and support/workshops </w:t>
            </w:r>
            <w:r w:rsidR="00A629A0">
              <w:t xml:space="preserve">provided </w:t>
            </w:r>
            <w:r>
              <w:t>during the program</w:t>
            </w:r>
          </w:p>
        </w:tc>
      </w:tr>
      <w:tr w:rsidR="00411A56" w14:paraId="61CD1D73" w14:textId="77777777" w:rsidTr="00914BF1">
        <w:tc>
          <w:tcPr>
            <w:tcW w:w="2943" w:type="dxa"/>
          </w:tcPr>
          <w:p w14:paraId="12C46278" w14:textId="77777777" w:rsidR="00411A56" w:rsidRDefault="00411A56" w:rsidP="00411A56">
            <w:pPr>
              <w:pStyle w:val="TableHeading1"/>
            </w:pPr>
            <w:r>
              <w:t>Approach to Knowledge and Learning</w:t>
            </w:r>
          </w:p>
        </w:tc>
        <w:tc>
          <w:tcPr>
            <w:tcW w:w="3544" w:type="dxa"/>
          </w:tcPr>
          <w:p w14:paraId="1302568F" w14:textId="77777777" w:rsidR="00411A56" w:rsidRDefault="00411A56" w:rsidP="00411A56">
            <w:pPr>
              <w:pStyle w:val="TableText"/>
            </w:pPr>
            <w:r>
              <w:t>Specific K&amp;L co</w:t>
            </w:r>
            <w:r w:rsidR="00A629A0">
              <w:t>mponent managed by a KALM</w:t>
            </w:r>
            <w:r>
              <w:t>. The approach is well-regarded by CSOs</w:t>
            </w:r>
          </w:p>
        </w:tc>
        <w:tc>
          <w:tcPr>
            <w:tcW w:w="3686" w:type="dxa"/>
          </w:tcPr>
          <w:p w14:paraId="5BBF71EE" w14:textId="525769AD" w:rsidR="00411A56" w:rsidRDefault="00411A56" w:rsidP="00411A56">
            <w:pPr>
              <w:pStyle w:val="TableText"/>
            </w:pPr>
            <w:r>
              <w:t xml:space="preserve">Some learning is facilitated between a small </w:t>
            </w:r>
            <w:proofErr w:type="gramStart"/>
            <w:r>
              <w:t>number</w:t>
            </w:r>
            <w:proofErr w:type="gramEnd"/>
            <w:r>
              <w:t xml:space="preserve"> of partner NGOs. However, the learning potential of ANCP’s learning framework has not been maximised and it is recognised learni</w:t>
            </w:r>
            <w:r w:rsidR="00A629A0">
              <w:t>ng could be better facilitated</w:t>
            </w:r>
            <w:r w:rsidR="00AC216D">
              <w:t xml:space="preserve"> </w:t>
            </w:r>
          </w:p>
        </w:tc>
        <w:tc>
          <w:tcPr>
            <w:tcW w:w="4001" w:type="dxa"/>
          </w:tcPr>
          <w:p w14:paraId="5A82AA53" w14:textId="3F93D2F0" w:rsidR="00411A56" w:rsidRDefault="00411A56" w:rsidP="00411A56">
            <w:pPr>
              <w:pStyle w:val="TableText"/>
            </w:pPr>
            <w:r>
              <w:t xml:space="preserve">Focussed on peer to peer NGO learning. For example, NGOs facilitated bi-annual learning workshops; peer reviewed each others’ work; and conducted field visits to each others’ projects. The approach was highly regarded by </w:t>
            </w:r>
            <w:r w:rsidR="0026706C">
              <w:t>NG</w:t>
            </w:r>
            <w:r>
              <w:t xml:space="preserve">Os </w:t>
            </w:r>
          </w:p>
        </w:tc>
      </w:tr>
      <w:tr w:rsidR="00411A56" w14:paraId="4845DDD4" w14:textId="77777777" w:rsidTr="001D45BD">
        <w:tc>
          <w:tcPr>
            <w:tcW w:w="14174" w:type="dxa"/>
            <w:gridSpan w:val="4"/>
          </w:tcPr>
          <w:p w14:paraId="14EFA2D1" w14:textId="77777777" w:rsidR="00411A56" w:rsidRPr="00411A56" w:rsidRDefault="00411A56" w:rsidP="007572C7">
            <w:pPr>
              <w:pStyle w:val="TableHeading1"/>
              <w:keepNext/>
              <w:jc w:val="center"/>
              <w:rPr>
                <w:sz w:val="20"/>
                <w:szCs w:val="20"/>
              </w:rPr>
            </w:pPr>
            <w:r w:rsidRPr="00411A56">
              <w:rPr>
                <w:sz w:val="20"/>
                <w:szCs w:val="20"/>
              </w:rPr>
              <w:t>Management costs</w:t>
            </w:r>
          </w:p>
        </w:tc>
      </w:tr>
      <w:tr w:rsidR="001B4F38" w14:paraId="15F22DEE" w14:textId="77777777" w:rsidTr="00914BF1">
        <w:tc>
          <w:tcPr>
            <w:tcW w:w="2943" w:type="dxa"/>
          </w:tcPr>
          <w:p w14:paraId="7F54CC95" w14:textId="77777777" w:rsidR="001B4F38" w:rsidRDefault="001B4F38" w:rsidP="001B4F38">
            <w:pPr>
              <w:pStyle w:val="TableHeading1"/>
              <w:keepNext/>
            </w:pPr>
          </w:p>
        </w:tc>
        <w:tc>
          <w:tcPr>
            <w:tcW w:w="3544" w:type="dxa"/>
          </w:tcPr>
          <w:p w14:paraId="7339738D" w14:textId="06D8ADB9" w:rsidR="001B4F38" w:rsidRPr="007572C7" w:rsidRDefault="001B4F38" w:rsidP="001B4F38">
            <w:pPr>
              <w:pStyle w:val="TableText"/>
              <w:keepNext/>
              <w:rPr>
                <w:b/>
              </w:rPr>
            </w:pPr>
            <w:r w:rsidRPr="007572C7">
              <w:rPr>
                <w:b/>
              </w:rPr>
              <w:t>CS WASH Fund</w:t>
            </w:r>
          </w:p>
        </w:tc>
        <w:tc>
          <w:tcPr>
            <w:tcW w:w="3686" w:type="dxa"/>
          </w:tcPr>
          <w:p w14:paraId="7E12D8FC" w14:textId="418D56C4" w:rsidR="001B4F38" w:rsidRPr="007572C7" w:rsidRDefault="001B4F38" w:rsidP="001B4F38">
            <w:pPr>
              <w:pStyle w:val="TableText"/>
              <w:keepNext/>
              <w:rPr>
                <w:b/>
              </w:rPr>
            </w:pPr>
            <w:r w:rsidRPr="007572C7">
              <w:rPr>
                <w:b/>
              </w:rPr>
              <w:t>ANCP</w:t>
            </w:r>
          </w:p>
        </w:tc>
        <w:tc>
          <w:tcPr>
            <w:tcW w:w="4001" w:type="dxa"/>
          </w:tcPr>
          <w:p w14:paraId="341B49FD" w14:textId="66467EC2" w:rsidR="001B4F38" w:rsidRPr="007572C7" w:rsidRDefault="001B4F38" w:rsidP="001B4F38">
            <w:pPr>
              <w:pStyle w:val="TableText"/>
              <w:keepNext/>
              <w:rPr>
                <w:b/>
              </w:rPr>
            </w:pPr>
            <w:r w:rsidRPr="007572C7">
              <w:rPr>
                <w:b/>
              </w:rPr>
              <w:t>AACES</w:t>
            </w:r>
          </w:p>
        </w:tc>
      </w:tr>
      <w:tr w:rsidR="00411A56" w14:paraId="24B9EE54" w14:textId="77777777" w:rsidTr="00914BF1">
        <w:tc>
          <w:tcPr>
            <w:tcW w:w="2943" w:type="dxa"/>
          </w:tcPr>
          <w:p w14:paraId="3B5BE6CE" w14:textId="77777777" w:rsidR="00411A56" w:rsidRDefault="00411A56" w:rsidP="007572C7">
            <w:pPr>
              <w:pStyle w:val="TableHeading1"/>
              <w:keepNext/>
            </w:pPr>
            <w:r>
              <w:t>Program value</w:t>
            </w:r>
          </w:p>
        </w:tc>
        <w:tc>
          <w:tcPr>
            <w:tcW w:w="3544" w:type="dxa"/>
          </w:tcPr>
          <w:p w14:paraId="4FB2500A" w14:textId="77777777" w:rsidR="00411A56" w:rsidRDefault="00411A56" w:rsidP="007572C7">
            <w:pPr>
              <w:pStyle w:val="TableText"/>
              <w:keepNext/>
            </w:pPr>
            <w:r>
              <w:t>$103m over five years  (on average, $20.6m per year)</w:t>
            </w:r>
          </w:p>
        </w:tc>
        <w:tc>
          <w:tcPr>
            <w:tcW w:w="3686" w:type="dxa"/>
          </w:tcPr>
          <w:p w14:paraId="06B57C5C" w14:textId="77777777" w:rsidR="00411A56" w:rsidRDefault="00411A56" w:rsidP="007572C7">
            <w:pPr>
              <w:pStyle w:val="TableText"/>
              <w:keepNext/>
            </w:pPr>
            <w:r>
              <w:t>Approximately $130m per year</w:t>
            </w:r>
          </w:p>
        </w:tc>
        <w:tc>
          <w:tcPr>
            <w:tcW w:w="4001" w:type="dxa"/>
          </w:tcPr>
          <w:p w14:paraId="7B707809" w14:textId="77777777" w:rsidR="00411A56" w:rsidRDefault="00411A56" w:rsidP="007572C7">
            <w:pPr>
              <w:pStyle w:val="TableText"/>
              <w:keepNext/>
            </w:pPr>
            <w:r>
              <w:t>$83m over five years (on average, $16.6m per year)</w:t>
            </w:r>
          </w:p>
        </w:tc>
      </w:tr>
      <w:tr w:rsidR="00411A56" w14:paraId="69ED3B52" w14:textId="77777777" w:rsidTr="00914BF1">
        <w:tc>
          <w:tcPr>
            <w:tcW w:w="2943" w:type="dxa"/>
          </w:tcPr>
          <w:p w14:paraId="0BF8C624" w14:textId="273BAE0B" w:rsidR="00411A56" w:rsidRDefault="00411A56" w:rsidP="00411A56">
            <w:pPr>
              <w:pStyle w:val="TableHeading1"/>
            </w:pPr>
            <w:r>
              <w:t>DFAT FTE</w:t>
            </w:r>
            <w:r w:rsidR="00CD2017">
              <w:t xml:space="preserve"> (</w:t>
            </w:r>
            <w:r w:rsidR="006E76A0">
              <w:t>f</w:t>
            </w:r>
            <w:r w:rsidR="00914BF1">
              <w:t>rom DFAT WSH and the ANCP evaluation)</w:t>
            </w:r>
            <w:r w:rsidR="0066757D">
              <w:rPr>
                <w:rStyle w:val="FootnoteReference"/>
              </w:rPr>
              <w:footnoteReference w:id="11"/>
            </w:r>
          </w:p>
        </w:tc>
        <w:tc>
          <w:tcPr>
            <w:tcW w:w="3544" w:type="dxa"/>
          </w:tcPr>
          <w:p w14:paraId="61D5FA57" w14:textId="77777777" w:rsidR="00411A56" w:rsidRDefault="00411A56" w:rsidP="00914BF1">
            <w:pPr>
              <w:pStyle w:val="TableText"/>
            </w:pPr>
            <w:r>
              <w:t>1.5 FTE</w:t>
            </w:r>
            <w:r w:rsidR="00914BF1">
              <w:t xml:space="preserve"> </w:t>
            </w:r>
          </w:p>
        </w:tc>
        <w:tc>
          <w:tcPr>
            <w:tcW w:w="3686" w:type="dxa"/>
          </w:tcPr>
          <w:p w14:paraId="68F1BC56" w14:textId="77777777" w:rsidR="00411A56" w:rsidRDefault="00411A56" w:rsidP="00411A56">
            <w:pPr>
              <w:pStyle w:val="TableText"/>
            </w:pPr>
            <w:r>
              <w:t>8 FTE</w:t>
            </w:r>
          </w:p>
        </w:tc>
        <w:tc>
          <w:tcPr>
            <w:tcW w:w="4001" w:type="dxa"/>
          </w:tcPr>
          <w:p w14:paraId="1CD31C31" w14:textId="77777777" w:rsidR="00411A56" w:rsidRDefault="00411A56" w:rsidP="00411A56">
            <w:pPr>
              <w:pStyle w:val="TableText"/>
            </w:pPr>
            <w:r>
              <w:t>2.5 FTE</w:t>
            </w:r>
          </w:p>
        </w:tc>
      </w:tr>
      <w:tr w:rsidR="00411A56" w14:paraId="016462B0" w14:textId="77777777" w:rsidTr="00914BF1">
        <w:tc>
          <w:tcPr>
            <w:tcW w:w="2943" w:type="dxa"/>
          </w:tcPr>
          <w:p w14:paraId="4D09A97B" w14:textId="37909923" w:rsidR="00411A56" w:rsidRDefault="00CD2017" w:rsidP="00411A56">
            <w:pPr>
              <w:pStyle w:val="TableHeading1"/>
            </w:pPr>
            <w:r>
              <w:t>M</w:t>
            </w:r>
            <w:r w:rsidR="00411A56">
              <w:t>anagement contract costs</w:t>
            </w:r>
            <w:r>
              <w:t xml:space="preserve"> (</w:t>
            </w:r>
            <w:r w:rsidR="006E76A0">
              <w:t>f</w:t>
            </w:r>
            <w:r>
              <w:t xml:space="preserve">rom </w:t>
            </w:r>
            <w:r w:rsidR="0033745F">
              <w:t>Aidworks)</w:t>
            </w:r>
          </w:p>
        </w:tc>
        <w:tc>
          <w:tcPr>
            <w:tcW w:w="3544" w:type="dxa"/>
          </w:tcPr>
          <w:p w14:paraId="06B7B4B8" w14:textId="414FB5F2" w:rsidR="00411A56" w:rsidRDefault="00411A56" w:rsidP="00411A56">
            <w:pPr>
              <w:pStyle w:val="TableText"/>
            </w:pPr>
            <w:r>
              <w:t>7.</w:t>
            </w:r>
            <w:r w:rsidR="00977716">
              <w:t>9</w:t>
            </w:r>
            <w:r>
              <w:t>% of Fund value</w:t>
            </w:r>
          </w:p>
        </w:tc>
        <w:tc>
          <w:tcPr>
            <w:tcW w:w="3686" w:type="dxa"/>
          </w:tcPr>
          <w:p w14:paraId="509CB2F0" w14:textId="77777777" w:rsidR="00411A56" w:rsidRDefault="00411A56" w:rsidP="00411A56">
            <w:pPr>
              <w:pStyle w:val="TableText"/>
            </w:pPr>
            <w:r>
              <w:t>Less than 2% of program value</w:t>
            </w:r>
          </w:p>
        </w:tc>
        <w:tc>
          <w:tcPr>
            <w:tcW w:w="4001" w:type="dxa"/>
          </w:tcPr>
          <w:p w14:paraId="26896E97" w14:textId="77777777" w:rsidR="00411A56" w:rsidRDefault="00411A56" w:rsidP="00411A56">
            <w:pPr>
              <w:pStyle w:val="TableText"/>
            </w:pPr>
            <w:r>
              <w:t>4.1% of program value</w:t>
            </w:r>
          </w:p>
        </w:tc>
      </w:tr>
    </w:tbl>
    <w:p w14:paraId="032AA686" w14:textId="77777777" w:rsidR="00A26C22" w:rsidRDefault="00A26C22" w:rsidP="00411A56">
      <w:pPr>
        <w:sectPr w:rsidR="00A26C22" w:rsidSect="00C81B90">
          <w:footnotePr>
            <w:numFmt w:val="chicago"/>
            <w:numRestart w:val="eachPage"/>
          </w:footnotePr>
          <w:endnotePr>
            <w:numFmt w:val="decimal"/>
          </w:endnotePr>
          <w:pgSz w:w="16840" w:h="11907" w:orient="landscape" w:code="9"/>
          <w:pgMar w:top="720" w:right="720" w:bottom="720" w:left="720" w:header="851" w:footer="567" w:gutter="0"/>
          <w:cols w:space="720"/>
          <w:docGrid w:linePitch="326"/>
        </w:sectPr>
      </w:pPr>
    </w:p>
    <w:p w14:paraId="16431915" w14:textId="77777777" w:rsidR="00411A56" w:rsidRDefault="0019783E" w:rsidP="00234638">
      <w:pPr>
        <w:pStyle w:val="Heading2"/>
      </w:pPr>
      <w:bookmarkStart w:id="34" w:name="_Toc468450004"/>
      <w:r>
        <w:t>3.6</w:t>
      </w:r>
      <w:r w:rsidR="00234638">
        <w:tab/>
      </w:r>
      <w:r w:rsidR="00CE3AD2">
        <w:t>Moving forward</w:t>
      </w:r>
      <w:bookmarkEnd w:id="34"/>
    </w:p>
    <w:p w14:paraId="2725F4A9" w14:textId="77777777" w:rsidR="00E626CF" w:rsidRDefault="00C8662F" w:rsidP="00C8662F">
      <w:r>
        <w:t>A key objective of this evaluation is</w:t>
      </w:r>
      <w:r w:rsidR="00DF3F80">
        <w:t xml:space="preserve"> to consider whether the Fund’s</w:t>
      </w:r>
      <w:r w:rsidR="00E626CF">
        <w:t xml:space="preserve"> </w:t>
      </w:r>
      <w:r>
        <w:t>management arrange</w:t>
      </w:r>
      <w:r w:rsidR="00E626CF">
        <w:t>ments are relevant to</w:t>
      </w:r>
      <w:r>
        <w:t xml:space="preserve"> the changing context of the aid program. </w:t>
      </w:r>
      <w:r w:rsidR="00E626CF">
        <w:t>An understanding of this will help inform the management arrangements for the Fund’s next phase.</w:t>
      </w:r>
    </w:p>
    <w:p w14:paraId="7627C129" w14:textId="4A3C62FC" w:rsidR="00C8662F" w:rsidRDefault="0094544D" w:rsidP="00C8662F">
      <w:r>
        <w:t>The</w:t>
      </w:r>
      <w:r w:rsidR="00C8662F">
        <w:t xml:space="preserve"> changing context </w:t>
      </w:r>
      <w:r w:rsidR="00E626CF">
        <w:t xml:space="preserve">of the aid program </w:t>
      </w:r>
      <w:r w:rsidR="00C8662F">
        <w:t>includes:</w:t>
      </w:r>
    </w:p>
    <w:p w14:paraId="6E2A2835" w14:textId="2AA4F2BD" w:rsidR="00E626CF" w:rsidRDefault="0094544D" w:rsidP="0076306C">
      <w:pPr>
        <w:pStyle w:val="ListBullet"/>
      </w:pPr>
      <w:r>
        <w:t>Constrained resources: this includes constrained</w:t>
      </w:r>
      <w:r w:rsidR="00E626CF">
        <w:t xml:space="preserve"> budgets</w:t>
      </w:r>
      <w:r>
        <w:t xml:space="preserve"> and, more particularly, limited</w:t>
      </w:r>
      <w:r w:rsidR="00E626CF">
        <w:t xml:space="preserve"> staff numbers</w:t>
      </w:r>
    </w:p>
    <w:p w14:paraId="62556779" w14:textId="77777777" w:rsidR="00E626CF" w:rsidRDefault="00E626CF" w:rsidP="0076306C">
      <w:pPr>
        <w:pStyle w:val="ListBullet"/>
      </w:pPr>
      <w:r>
        <w:t>Reduced aid management expertise: with the integration of DFAT and AusAID, a smaller proportion of DFAT staff have expertise and experience in aid management</w:t>
      </w:r>
    </w:p>
    <w:p w14:paraId="619D285F" w14:textId="77777777" w:rsidR="006C1A8A" w:rsidRDefault="00E626CF">
      <w:pPr>
        <w:pStyle w:val="ListBullet"/>
      </w:pPr>
      <w:r>
        <w:t>Public diplomacy: the integrated department has a high expectation that aid activities will provide public diplomacy opportunities</w:t>
      </w:r>
    </w:p>
    <w:p w14:paraId="016F6E4B" w14:textId="2A03E3C6" w:rsidR="00E626CF" w:rsidRDefault="006C1A8A">
      <w:pPr>
        <w:pStyle w:val="ListBullet"/>
      </w:pPr>
      <w:r>
        <w:t xml:space="preserve">Geographic priorities: the aid program has increased its focus on the Indo-Pacific and reduced focus on Africa. </w:t>
      </w:r>
    </w:p>
    <w:p w14:paraId="661BC1B6" w14:textId="65A664BE" w:rsidR="006C1A8A" w:rsidRDefault="006C1A8A" w:rsidP="007572C7">
      <w:pPr>
        <w:pStyle w:val="ListBullet"/>
        <w:numPr>
          <w:ilvl w:val="0"/>
          <w:numId w:val="0"/>
        </w:numPr>
      </w:pPr>
      <w:r>
        <w:t xml:space="preserve">The particular context for the Fund has also changed since it was designed in 2012. At that time the Fund was approximately 10 per cent of the aid program’s WASH funding. By 2016-17 this has increased to 46 per cent of the aid program’s WASH </w:t>
      </w:r>
      <w:r w:rsidR="00693433">
        <w:t xml:space="preserve">funding, making the Fund a more prominent part of DFAT’s support to the WASH sector. </w:t>
      </w:r>
    </w:p>
    <w:p w14:paraId="7BC6E10A" w14:textId="3B73B2B4" w:rsidR="00AF0897" w:rsidRDefault="00C8662F" w:rsidP="00C8662F">
      <w:r>
        <w:t>In this context, it is the evaluation team’s judgement that the Fund’s approach to management will remain relevant for the Fund’s next phase.</w:t>
      </w:r>
      <w:r w:rsidR="00237DA0">
        <w:t xml:space="preserve"> The key elements of the Fund’s management arrangements, including DFAT’s strategic oversight, day to day management by a</w:t>
      </w:r>
      <w:r w:rsidR="002E3D25">
        <w:t>n</w:t>
      </w:r>
      <w:r w:rsidR="00237DA0">
        <w:t xml:space="preserve"> FMF, the Knowledge and Learning component</w:t>
      </w:r>
      <w:r w:rsidR="00305FCB">
        <w:t xml:space="preserve"> and</w:t>
      </w:r>
      <w:r w:rsidR="00237DA0">
        <w:t xml:space="preserve"> the resources and effort devoted to Fund M&amp;E, remain appropriate to the changing context and should be retained. </w:t>
      </w:r>
    </w:p>
    <w:p w14:paraId="7DD1F863" w14:textId="2C3CA725" w:rsidR="00693433" w:rsidRDefault="00693433" w:rsidP="00693433">
      <w:r>
        <w:t xml:space="preserve">With reduced staff resources, it is appropriate for DFAT WSH to focus its scarce resources on areas where it can add the greatest value: policy and strategic oversight (including oversight related to M&amp;E), maintaining relationships with country programs, and public diplomacy. The need for DFAT WSH to focus on the latter two areas appears more important now than when the Fund was designed, given the Fund represents a greater proportion of the aid program’s WASH funding. In light of these factors, the evaluation team finds it is appropriate for CSO funding agreements to come under a future FMF, as discussed in section 3.4.1. It is also appropriate for DFAT WSH to contract expertise that is scarce in the department, in areas such as monitoring and evaluation and knowledge and learning. </w:t>
      </w:r>
    </w:p>
    <w:p w14:paraId="50111678" w14:textId="25384B40" w:rsidR="00FD7384" w:rsidRDefault="00FD7384" w:rsidP="007572C7">
      <w:pPr>
        <w:pStyle w:val="RecommendationBoxHeading"/>
      </w:pPr>
      <w:r>
        <w:t xml:space="preserve">Recommendation </w:t>
      </w:r>
      <w:r w:rsidR="0066777F">
        <w:t>2</w:t>
      </w:r>
    </w:p>
    <w:p w14:paraId="3AF6C7C9" w14:textId="0B6D8B6B" w:rsidR="00FD7384" w:rsidRDefault="00FD7384" w:rsidP="007572C7">
      <w:pPr>
        <w:pStyle w:val="RecommendationBoxBullet"/>
      </w:pPr>
      <w:r>
        <w:t>That for the Fund’s next phase, DFAT WSH commit</w:t>
      </w:r>
      <w:r w:rsidR="00D4729F">
        <w:t>s</w:t>
      </w:r>
      <w:r>
        <w:t xml:space="preserve"> its resources to areas where it has the greatest value add, particularly strategic oversight (including for M&amp;E and reporting), relationships with country programs and public diplomacy. </w:t>
      </w:r>
    </w:p>
    <w:p w14:paraId="76E63C1C" w14:textId="7BABA90B" w:rsidR="00D90E40" w:rsidRDefault="003669C3" w:rsidP="003669C3">
      <w:r>
        <w:t xml:space="preserve">At </w:t>
      </w:r>
      <w:r w:rsidR="009A08C8">
        <w:t>the same time as outsourcing Fund management</w:t>
      </w:r>
      <w:r>
        <w:t xml:space="preserve"> </w:t>
      </w:r>
      <w:r w:rsidR="009A08C8">
        <w:t xml:space="preserve">and specific </w:t>
      </w:r>
      <w:r>
        <w:t>expertise, DFAT WSH should continue to have strong oversight of the Fund and maintain relationships with CSOs in the sector.</w:t>
      </w:r>
      <w:r w:rsidR="00D90E40">
        <w:t xml:space="preserve"> This reflects the experience of the Fund’s current phase, as well as the experience of other DFAT</w:t>
      </w:r>
      <w:r w:rsidR="00305FCB">
        <w:t xml:space="preserve"> f</w:t>
      </w:r>
      <w:r w:rsidR="00D90E40">
        <w:t>unded CSO programs – in particular AACES, which found that partnership</w:t>
      </w:r>
      <w:r w:rsidR="0094544D">
        <w:t>s</w:t>
      </w:r>
      <w:r w:rsidR="00D90E40">
        <w:t xml:space="preserve"> between DFAT and CSOs maximised the program’s results.  </w:t>
      </w:r>
      <w:r>
        <w:t xml:space="preserve"> </w:t>
      </w:r>
    </w:p>
    <w:p w14:paraId="799CFD5C" w14:textId="630930FD" w:rsidR="00A54F60" w:rsidRDefault="00A54F60" w:rsidP="003669C3">
      <w:r>
        <w:t>To a certain extent</w:t>
      </w:r>
      <w:r w:rsidR="00D90E40">
        <w:t xml:space="preserve"> DFAT </w:t>
      </w:r>
      <w:r w:rsidR="005A6B54">
        <w:t xml:space="preserve">WSH </w:t>
      </w:r>
      <w:r w:rsidR="00D90E40">
        <w:t>can maintain its relationship with CSOs</w:t>
      </w:r>
      <w:r>
        <w:t xml:space="preserve"> </w:t>
      </w:r>
      <w:r w:rsidR="00D90E40">
        <w:t xml:space="preserve">through </w:t>
      </w:r>
      <w:r>
        <w:t xml:space="preserve">ongoing engagement with the WASH Reference Group. </w:t>
      </w:r>
      <w:r w:rsidR="004E0A1B">
        <w:t xml:space="preserve">For the Fund’s next phase, </w:t>
      </w:r>
      <w:r>
        <w:t>DFAT WSH should also consider a Fund</w:t>
      </w:r>
      <w:r w:rsidR="00A851BA">
        <w:noBreakHyphen/>
      </w:r>
      <w:r>
        <w:t xml:space="preserve">specific </w:t>
      </w:r>
      <w:r w:rsidR="00A851BA">
        <w:t>consultative or advisory</w:t>
      </w:r>
      <w:r>
        <w:t xml:space="preserve"> group that includes</w:t>
      </w:r>
      <w:r w:rsidR="006A60E2">
        <w:t xml:space="preserve"> DFAT WSH, the FMF, the MERP and</w:t>
      </w:r>
      <w:r>
        <w:t xml:space="preserve"> CSOs, as discussed in sections </w:t>
      </w:r>
      <w:r w:rsidRPr="00DC2117">
        <w:t>3.4.1 and 3.4</w:t>
      </w:r>
      <w:r w:rsidR="00DC2117" w:rsidRPr="00DC2117">
        <w:t>.</w:t>
      </w:r>
      <w:r w:rsidRPr="00DC2117">
        <w:t>2.</w:t>
      </w:r>
      <w:r>
        <w:t xml:space="preserve"> This group could meet on a regular basis (possibly six-monthly) </w:t>
      </w:r>
      <w:r w:rsidR="00305FCB">
        <w:t>and could provide advice to</w:t>
      </w:r>
      <w:r w:rsidR="00A851BA">
        <w:t xml:space="preserve"> inform Fund decision making. It </w:t>
      </w:r>
      <w:r>
        <w:t xml:space="preserve">could </w:t>
      </w:r>
      <w:r w:rsidR="00A851BA">
        <w:t xml:space="preserve">also </w:t>
      </w:r>
      <w:r>
        <w:t>address a number of issues highlighted in this evaluation, for example:</w:t>
      </w:r>
    </w:p>
    <w:p w14:paraId="16B0AC55" w14:textId="35FF15B3" w:rsidR="006A60E2" w:rsidRDefault="00C85476" w:rsidP="00A54F60">
      <w:pPr>
        <w:pStyle w:val="ListBullet"/>
      </w:pPr>
      <w:r>
        <w:t>It c</w:t>
      </w:r>
      <w:r w:rsidR="00A54F60">
        <w:t>ould ensure DFAT WSH and Fund CSOs continue to have a direct relationship. DFAT WSH would be able to regularly share its pri</w:t>
      </w:r>
      <w:r w:rsidR="006A60E2">
        <w:t>orities</w:t>
      </w:r>
      <w:r w:rsidR="00A54F60">
        <w:t xml:space="preserve"> and CSOs could fee</w:t>
      </w:r>
      <w:r w:rsidR="005A6B54">
        <w:t>l assured they understand DFAT WSH’s</w:t>
      </w:r>
      <w:r w:rsidR="00A54F60">
        <w:t xml:space="preserve"> needs and are able to meet them</w:t>
      </w:r>
      <w:r w:rsidR="006A60E2">
        <w:t xml:space="preserve"> </w:t>
      </w:r>
    </w:p>
    <w:p w14:paraId="12D000BD" w14:textId="77777777" w:rsidR="00A54F60" w:rsidRDefault="00C85476" w:rsidP="00A54F60">
      <w:pPr>
        <w:pStyle w:val="ListBullet"/>
      </w:pPr>
      <w:r>
        <w:t>It c</w:t>
      </w:r>
      <w:r w:rsidR="006A60E2">
        <w:t>ould</w:t>
      </w:r>
      <w:r>
        <w:t xml:space="preserve"> help ensure the Fund continues to be</w:t>
      </w:r>
      <w:r w:rsidR="006A60E2">
        <w:t xml:space="preserve"> strongly branded as a DFAT program</w:t>
      </w:r>
    </w:p>
    <w:p w14:paraId="50B90D8E" w14:textId="77777777" w:rsidR="006A60E2" w:rsidRDefault="006A60E2" w:rsidP="00A54F60">
      <w:pPr>
        <w:pStyle w:val="ListBullet"/>
      </w:pPr>
      <w:r>
        <w:t>It could provide a forum where management issues, such as appropriate CSO and Fund-wide reporting, could be discussed and negotiated</w:t>
      </w:r>
      <w:r w:rsidR="00D90E40">
        <w:t>, and</w:t>
      </w:r>
    </w:p>
    <w:p w14:paraId="6649D195" w14:textId="0800A48B" w:rsidR="00A54F60" w:rsidRDefault="006A60E2" w:rsidP="003669C3">
      <w:pPr>
        <w:pStyle w:val="ListBullet"/>
      </w:pPr>
      <w:r>
        <w:t>It could be used to create a reporting ‘feedback loop’ so that CSOs were aware of Fund-wide reporting and evidence</w:t>
      </w:r>
      <w:r w:rsidR="000632DD">
        <w:t>.</w:t>
      </w:r>
    </w:p>
    <w:p w14:paraId="1BB52185" w14:textId="078E9AF2" w:rsidR="00A851BA" w:rsidRDefault="00A851BA" w:rsidP="00D554A6">
      <w:pPr>
        <w:pStyle w:val="BodyText"/>
      </w:pPr>
      <w:r>
        <w:t xml:space="preserve">The exact remit of the group, as well as its intersection with other groups such as the WASH Reference Group and the Fund’s K&amp;L advisory group, should be further explored during the design of the Fund’s next phase. </w:t>
      </w:r>
    </w:p>
    <w:p w14:paraId="7BBFC62B" w14:textId="72A93DC9" w:rsidR="00FD7384" w:rsidRDefault="00FD7384" w:rsidP="007572C7">
      <w:pPr>
        <w:pStyle w:val="RecommendationBoxHeading"/>
      </w:pPr>
      <w:r>
        <w:t xml:space="preserve">Recommendation </w:t>
      </w:r>
      <w:r w:rsidR="0066777F">
        <w:t>3</w:t>
      </w:r>
    </w:p>
    <w:p w14:paraId="072259E8" w14:textId="207A89E5" w:rsidR="00FD7384" w:rsidRDefault="00A851BA" w:rsidP="0066777F">
      <w:pPr>
        <w:pStyle w:val="RecommendationBoxBullet"/>
      </w:pPr>
      <w:r>
        <w:t xml:space="preserve">When designing the Fund’s next phase, the design team considers a Fund-specific advisory or consultative group which includes all members of the Fund management team and Fund CSOs. </w:t>
      </w:r>
      <w:r w:rsidR="00FD7384">
        <w:t xml:space="preserve">  </w:t>
      </w:r>
    </w:p>
    <w:p w14:paraId="2145A6D4" w14:textId="42B3F33B" w:rsidR="007B5F96" w:rsidRPr="00D4729F" w:rsidRDefault="007B5F96" w:rsidP="00C8662F">
      <w:r w:rsidRPr="00D4729F">
        <w:t xml:space="preserve">By acting in </w:t>
      </w:r>
      <w:r w:rsidR="00D4729F">
        <w:t>this and other areas highlighted in this chapter,</w:t>
      </w:r>
      <w:r w:rsidRPr="00D4729F">
        <w:t xml:space="preserve"> DFAT </w:t>
      </w:r>
      <w:r w:rsidR="0001246E" w:rsidRPr="00D4729F">
        <w:t xml:space="preserve">WSH </w:t>
      </w:r>
      <w:r w:rsidRPr="00D4729F">
        <w:t>will ensure the</w:t>
      </w:r>
      <w:r w:rsidR="00DA524B" w:rsidRPr="00D4729F">
        <w:t xml:space="preserve"> management arrangements for the</w:t>
      </w:r>
      <w:r w:rsidRPr="00D4729F">
        <w:t xml:space="preserve"> Fund’s next phase </w:t>
      </w:r>
      <w:r w:rsidR="00DA524B" w:rsidRPr="00D4729F">
        <w:t>are effecti</w:t>
      </w:r>
      <w:r w:rsidR="00EA7232" w:rsidRPr="00D4729F">
        <w:t>ve, efficient, and relevant to the DFAT context</w:t>
      </w:r>
      <w:r w:rsidR="00DA524B" w:rsidRPr="00D4729F">
        <w:t xml:space="preserve">. </w:t>
      </w:r>
    </w:p>
    <w:p w14:paraId="081DDD93" w14:textId="77777777" w:rsidR="00C8662F" w:rsidRPr="00C8662F" w:rsidRDefault="00C8662F" w:rsidP="00C8662F">
      <w:pPr>
        <w:pStyle w:val="BodyText"/>
      </w:pPr>
    </w:p>
    <w:p w14:paraId="7CC9F99C" w14:textId="77777777" w:rsidR="0099593A" w:rsidRDefault="0099593A" w:rsidP="0099593A">
      <w:pPr>
        <w:pStyle w:val="Heading1b"/>
      </w:pPr>
      <w:bookmarkStart w:id="35" w:name="_Toc468450005"/>
      <w:r>
        <w:t>4</w:t>
      </w:r>
      <w:r>
        <w:tab/>
        <w:t>CSO Selection</w:t>
      </w:r>
      <w:bookmarkEnd w:id="35"/>
    </w:p>
    <w:p w14:paraId="6B79D220" w14:textId="1E3BB0C8" w:rsidR="00F47E34" w:rsidRPr="003D1248" w:rsidRDefault="00F47E34" w:rsidP="00F47E34">
      <w:pPr>
        <w:pStyle w:val="BodyText"/>
      </w:pPr>
      <w:r>
        <w:t>This chapter examines the extent to which the Fund’s initial selection process and inception phase enabled the selection of the most effective CSO projects. Understanding the advantages and disadvantages of how these processes were implemented can then inform the next Fund’s design.</w:t>
      </w:r>
      <w:r>
        <w:br/>
      </w:r>
      <w:r>
        <w:br/>
        <w:t xml:space="preserve">As noted in </w:t>
      </w:r>
      <w:r w:rsidRPr="00DC2117">
        <w:t>section 2.</w:t>
      </w:r>
      <w:r w:rsidR="00054A33">
        <w:t>4</w:t>
      </w:r>
      <w:r>
        <w:t xml:space="preserve"> on this evaluation’s limitations, the evaluation team does not judge </w:t>
      </w:r>
      <w:r w:rsidRPr="003D1248">
        <w:rPr>
          <w:i/>
        </w:rPr>
        <w:t>whether</w:t>
      </w:r>
      <w:r>
        <w:t xml:space="preserve"> the most effective CSOs and projects were selected. Analysis is solely of process and whether it could be improved.</w:t>
      </w:r>
    </w:p>
    <w:p w14:paraId="3B7F0A97" w14:textId="77777777" w:rsidR="00F47E34" w:rsidRDefault="00F47E34" w:rsidP="00F47E34">
      <w:pPr>
        <w:pStyle w:val="Heading2"/>
        <w:numPr>
          <w:ilvl w:val="1"/>
          <w:numId w:val="34"/>
        </w:numPr>
      </w:pPr>
      <w:bookmarkStart w:id="36" w:name="_Toc468450006"/>
      <w:r>
        <w:t>Improving the Fund’s CSO selection process</w:t>
      </w:r>
      <w:bookmarkEnd w:id="36"/>
    </w:p>
    <w:p w14:paraId="13C60B2A" w14:textId="77777777" w:rsidR="00F47E34" w:rsidRDefault="00F47E34" w:rsidP="00F47E34">
      <w:pPr>
        <w:pStyle w:val="Heading3"/>
      </w:pPr>
      <w:r>
        <w:t>4.1.1</w:t>
      </w:r>
      <w:r>
        <w:tab/>
      </w:r>
      <w:r>
        <w:tab/>
        <w:t>The CSO selection process had many strong elements</w:t>
      </w:r>
    </w:p>
    <w:p w14:paraId="2FA70899" w14:textId="76CDAEE7" w:rsidR="00F47E34" w:rsidRPr="00E82CCF" w:rsidRDefault="00F47E34" w:rsidP="007572C7">
      <w:pPr>
        <w:pStyle w:val="BodyText"/>
      </w:pPr>
      <w:r>
        <w:t>The CSO selection process displayed a number of strengths.  Fund management team stakeholders (</w:t>
      </w:r>
      <w:r w:rsidR="001542F1">
        <w:t xml:space="preserve">DFAT </w:t>
      </w:r>
      <w:r>
        <w:t xml:space="preserve">WSH, MERP and FMF) noted that some of the funded projects were clearly outstanding.  Fund management stakeholders and CSOs noted the Fund’s design </w:t>
      </w:r>
      <w:r w:rsidR="008606DF">
        <w:t xml:space="preserve">incorporated the findings from the </w:t>
      </w:r>
      <w:r w:rsidR="00427DCD">
        <w:t xml:space="preserve">independent </w:t>
      </w:r>
      <w:r w:rsidR="008606DF">
        <w:t xml:space="preserve">completion review of the Fund’s previous phase </w:t>
      </w:r>
      <w:r>
        <w:t xml:space="preserve">in </w:t>
      </w:r>
      <w:r w:rsidR="00054A33">
        <w:t xml:space="preserve">providing a framework for </w:t>
      </w:r>
      <w:r>
        <w:t xml:space="preserve">deciding which CSOs and projects to now support.  The selection panel </w:t>
      </w:r>
      <w:r w:rsidR="00054A33">
        <w:t xml:space="preserve">members interviewed </w:t>
      </w:r>
      <w:r>
        <w:t>appreciated the staged approach to CSO selection, the Selection Guidelines’ clearly weighted criteria, and that panel membership combined expertise from the WASH and NGO sectors.</w:t>
      </w:r>
      <w:r w:rsidRPr="00E82CCF">
        <w:tab/>
      </w:r>
    </w:p>
    <w:p w14:paraId="3601B438" w14:textId="32A4509E" w:rsidR="00F47E34" w:rsidRDefault="00F47E34" w:rsidP="00F47E34">
      <w:pPr>
        <w:pStyle w:val="Heading3"/>
      </w:pPr>
      <w:r>
        <w:t>4.1.2</w:t>
      </w:r>
      <w:r>
        <w:tab/>
      </w:r>
      <w:r>
        <w:tab/>
        <w:t>Fund stakeholders perceived a disconnect</w:t>
      </w:r>
      <w:r w:rsidR="00BF2964">
        <w:t xml:space="preserve"> between some projects </w:t>
      </w:r>
      <w:r>
        <w:t xml:space="preserve">and the Fund’s design intent and theory of change </w:t>
      </w:r>
    </w:p>
    <w:p w14:paraId="7A6B8BA0" w14:textId="77777777" w:rsidR="00F47E34" w:rsidRDefault="00F47E34" w:rsidP="00F47E34">
      <w:pPr>
        <w:pStyle w:val="BodyText"/>
      </w:pPr>
      <w:r>
        <w:t>T</w:t>
      </w:r>
      <w:r w:rsidRPr="003F6ED1">
        <w:t>he Fund management team noted that some of the Fu</w:t>
      </w:r>
      <w:r>
        <w:t>nd’s CSO projects were outstanding but</w:t>
      </w:r>
      <w:r w:rsidRPr="003F6ED1">
        <w:t xml:space="preserve"> </w:t>
      </w:r>
      <w:r>
        <w:t xml:space="preserve">a </w:t>
      </w:r>
      <w:r w:rsidRPr="003F6ED1">
        <w:t>minority of project</w:t>
      </w:r>
      <w:r>
        <w:t>s did not align with the Fund’s design intent.  T</w:t>
      </w:r>
      <w:r w:rsidRPr="003F6ED1">
        <w:t>hey were surprised by their</w:t>
      </w:r>
      <w:r>
        <w:t xml:space="preserve"> selection</w:t>
      </w:r>
      <w:r w:rsidRPr="003F6ED1">
        <w:t>.</w:t>
      </w:r>
      <w:r>
        <w:t xml:space="preserve">  The Fund’s purpose was to support projects which ‘raise the bar in terms of </w:t>
      </w:r>
      <w:r w:rsidRPr="001B5EE2">
        <w:rPr>
          <w:i/>
        </w:rPr>
        <w:t>[WASH]</w:t>
      </w:r>
      <w:r>
        <w:t xml:space="preserve"> program quality and sustainability.’</w:t>
      </w:r>
      <w:r>
        <w:rPr>
          <w:rStyle w:val="FootnoteReference"/>
        </w:rPr>
        <w:footnoteReference w:id="12"/>
      </w:r>
      <w:r>
        <w:t xml:space="preserve">  Some CSO program managers also shared the Fund management team’s view and were confused as to why some CSOs received funding while other CSOs which applied did not.  </w:t>
      </w:r>
    </w:p>
    <w:p w14:paraId="0AD87DAD" w14:textId="72F9A499" w:rsidR="00F47E34" w:rsidRDefault="00F47E34" w:rsidP="00F47E34">
      <w:pPr>
        <w:pStyle w:val="BodyText"/>
      </w:pPr>
      <w:r>
        <w:t>Fund management team mem</w:t>
      </w:r>
      <w:r w:rsidR="001B6F11">
        <w:t>bers said that approximately 20 per cent</w:t>
      </w:r>
      <w:r>
        <w:t xml:space="preserve"> of projects (6</w:t>
      </w:r>
      <w:r w:rsidR="001818DF">
        <w:t xml:space="preserve"> to </w:t>
      </w:r>
      <w:r>
        <w:t>7 of 29) were focussed on direct delivery of WASH services, rather than focussed on influencing sustainable</w:t>
      </w:r>
      <w:r w:rsidR="008606DF">
        <w:t xml:space="preserve"> change in the</w:t>
      </w:r>
      <w:r>
        <w:t xml:space="preserve"> WASH enabling environment</w:t>
      </w:r>
      <w:r w:rsidR="008606DF">
        <w:t xml:space="preserve"> (as intended in the Fund’s design document and theory of change)</w:t>
      </w:r>
      <w:r>
        <w:t xml:space="preserve">.  According to Fund management team stakeholders, the CSOs implementing projects with this service delivery focus tended to be either </w:t>
      </w:r>
      <w:proofErr w:type="gramStart"/>
      <w:r>
        <w:t>CSOs</w:t>
      </w:r>
      <w:proofErr w:type="gramEnd"/>
      <w:r>
        <w:t xml:space="preserve"> that were:</w:t>
      </w:r>
    </w:p>
    <w:p w14:paraId="2E5A15C3" w14:textId="77777777" w:rsidR="00F47E34" w:rsidRDefault="00DC2117" w:rsidP="008606DF">
      <w:pPr>
        <w:pStyle w:val="ListBullet"/>
      </w:pPr>
      <w:r>
        <w:t>N</w:t>
      </w:r>
      <w:r w:rsidR="00F47E34">
        <w:t>ot as experienced in delivering projects in the WASH sector (although experienced in development); or</w:t>
      </w:r>
    </w:p>
    <w:p w14:paraId="5101B15B" w14:textId="3887FB4A" w:rsidR="00F47E34" w:rsidRDefault="00DC2117" w:rsidP="008606DF">
      <w:pPr>
        <w:pStyle w:val="ListBullet"/>
      </w:pPr>
      <w:r>
        <w:t>E</w:t>
      </w:r>
      <w:r w:rsidR="00F47E34">
        <w:t xml:space="preserve">xperienced in WASH but </w:t>
      </w:r>
      <w:r w:rsidR="0036429B">
        <w:t>have</w:t>
      </w:r>
      <w:r w:rsidR="00F47E34">
        <w:t xml:space="preserve"> ado</w:t>
      </w:r>
      <w:r w:rsidR="008606DF">
        <w:t>pted a</w:t>
      </w:r>
      <w:r w:rsidR="00054A33">
        <w:t xml:space="preserve"> direct service delivery approach</w:t>
      </w:r>
      <w:r w:rsidR="00F47E34">
        <w:t>.</w:t>
      </w:r>
    </w:p>
    <w:p w14:paraId="48FDCFE4" w14:textId="53C01F1F" w:rsidR="00F47E34" w:rsidRDefault="00F47E34" w:rsidP="00F47E34">
      <w:pPr>
        <w:pStyle w:val="BodyText"/>
      </w:pPr>
      <w:r>
        <w:t>While agreeing that some CSO’s approaches did not seem to match the Fund’s design,</w:t>
      </w:r>
      <w:r w:rsidR="00054A33">
        <w:t xml:space="preserve"> a minority</w:t>
      </w:r>
      <w:r>
        <w:t xml:space="preserve"> </w:t>
      </w:r>
      <w:r w:rsidR="00054A33">
        <w:t>of</w:t>
      </w:r>
      <w:r>
        <w:t xml:space="preserve"> CSO staff noted that the Fund’s ‘</w:t>
      </w:r>
      <w:r w:rsidR="008606DF">
        <w:t>actor-centred’ theory of change</w:t>
      </w:r>
      <w:r>
        <w:t xml:space="preserve"> also went significantly further than the Fund’s design intent.  The Fund’s theory of change is reflected in the Fund’s performance asse</w:t>
      </w:r>
      <w:r w:rsidR="00594349">
        <w:t xml:space="preserve">ssment arrangements. It </w:t>
      </w:r>
      <w:r>
        <w:t>was not explicitly outlined until the</w:t>
      </w:r>
      <w:r w:rsidR="00594349">
        <w:t xml:space="preserve"> Fund’s inception phase in 2013</w:t>
      </w:r>
      <w:r>
        <w:t xml:space="preserve"> when the Fund’s performance arrangements were developed.  This means that CSOs did not have the full picture of the Fund’s theory of change when they applied for the Fund.</w:t>
      </w:r>
    </w:p>
    <w:p w14:paraId="4C1D43E1" w14:textId="438AE8C8" w:rsidR="00F47E34" w:rsidRDefault="00F47E34" w:rsidP="00F47E34">
      <w:pPr>
        <w:pStyle w:val="BodyText"/>
      </w:pPr>
      <w:r>
        <w:t xml:space="preserve">An implication </w:t>
      </w:r>
      <w:r w:rsidR="00054A33">
        <w:t xml:space="preserve">of </w:t>
      </w:r>
      <w:r w:rsidR="001818DF">
        <w:t xml:space="preserve">this </w:t>
      </w:r>
      <w:r>
        <w:t xml:space="preserve">is that the design for the next phase of the Fund should clearly outline the Fund’s theory of change.  The theory of how sustainable change occurs in the WASH sector should also be </w:t>
      </w:r>
      <w:r w:rsidR="001818DF">
        <w:t xml:space="preserve">reflected in a </w:t>
      </w:r>
      <w:r>
        <w:t>threshold or key selection criterion</w:t>
      </w:r>
      <w:r w:rsidR="001818DF">
        <w:t xml:space="preserve"> that is</w:t>
      </w:r>
      <w:r>
        <w:t xml:space="preserve"> integrated into the assessment of organisational capability and of individual project proposals (described further below).</w:t>
      </w:r>
    </w:p>
    <w:p w14:paraId="19C1F7B7" w14:textId="77777777" w:rsidR="00F47E34" w:rsidRDefault="00F47E34" w:rsidP="00F47E34">
      <w:pPr>
        <w:pStyle w:val="Heading3"/>
      </w:pPr>
      <w:r>
        <w:t>4.1.3</w:t>
      </w:r>
      <w:r>
        <w:tab/>
      </w:r>
      <w:r>
        <w:tab/>
        <w:t xml:space="preserve">Key selection criteria did not appear to be given sufficient weight, including CSO’s past experience </w:t>
      </w:r>
    </w:p>
    <w:p w14:paraId="4148ED50" w14:textId="277F7733" w:rsidR="00594349" w:rsidRDefault="00F47E34" w:rsidP="00F47E34">
      <w:pPr>
        <w:pStyle w:val="BodyText"/>
      </w:pPr>
      <w:r>
        <w:t>The Fund’s Selection Panel Guidelines arguably did n</w:t>
      </w:r>
      <w:r w:rsidR="00594349">
        <w:t>ot give sufficient weight to</w:t>
      </w:r>
      <w:r>
        <w:t xml:space="preserve"> selection criteria that supported the Fund’s key objective</w:t>
      </w:r>
      <w:r w:rsidR="00054A33">
        <w:t xml:space="preserve"> (raising the bar in terms of WASH program quality and sustainability). </w:t>
      </w:r>
      <w:r>
        <w:t>In hindsight, given issues with some funded projects, it appears that particular criteria could have been given greater weight or set as a minimum threshold</w:t>
      </w:r>
      <w:r w:rsidR="00054A33">
        <w:t xml:space="preserve"> to reduce the risk that projects focussed on direct service delivery would be selected. </w:t>
      </w:r>
    </w:p>
    <w:p w14:paraId="25C4FAFE" w14:textId="77777777" w:rsidR="00594349" w:rsidRDefault="00DC2117" w:rsidP="00F47E34">
      <w:pPr>
        <w:pStyle w:val="BodyText"/>
      </w:pPr>
      <w:r w:rsidRPr="00DC2117">
        <w:t>Figure</w:t>
      </w:r>
      <w:r>
        <w:t xml:space="preserve"> 4</w:t>
      </w:r>
      <w:r w:rsidR="00F47E34">
        <w:t xml:space="preserve"> (below) d</w:t>
      </w:r>
      <w:r w:rsidR="00594349">
        <w:t xml:space="preserve">escribes the selection process, </w:t>
      </w:r>
      <w:r w:rsidR="00F47E34">
        <w:t xml:space="preserve">with separate assessments made of an applicant CSO’s organisational capacity and country-specific project proposal.  </w:t>
      </w:r>
      <w:r w:rsidR="00F47E34" w:rsidRPr="00DC2117">
        <w:t>Table</w:t>
      </w:r>
      <w:r w:rsidR="00594349" w:rsidRPr="00DC2117">
        <w:t>s</w:t>
      </w:r>
      <w:r w:rsidRPr="00DC2117">
        <w:t xml:space="preserve"> 7</w:t>
      </w:r>
      <w:r w:rsidR="00594349">
        <w:t xml:space="preserve"> and </w:t>
      </w:r>
      <w:r>
        <w:t>8</w:t>
      </w:r>
      <w:r w:rsidR="00594349">
        <w:t xml:space="preserve"> provide</w:t>
      </w:r>
      <w:r w:rsidR="00F47E34">
        <w:t xml:space="preserve"> t</w:t>
      </w:r>
      <w:r w:rsidR="00594349">
        <w:t>he selection criteria ratings. Note that:</w:t>
      </w:r>
    </w:p>
    <w:p w14:paraId="10DDAF74" w14:textId="43AD25F9" w:rsidR="00594349" w:rsidRDefault="00594349" w:rsidP="00594349">
      <w:pPr>
        <w:pStyle w:val="ListBullet"/>
      </w:pPr>
      <w:r>
        <w:t xml:space="preserve">A </w:t>
      </w:r>
      <w:r w:rsidR="00F47E34">
        <w:t>CSO’s WASH specifi</w:t>
      </w:r>
      <w:r w:rsidR="001B6F11">
        <w:t>c expertise represented only 20 per cent</w:t>
      </w:r>
      <w:r w:rsidR="00F47E34">
        <w:t xml:space="preserve"> of the assessment of the CSO’s organisational capacity</w:t>
      </w:r>
      <w:r>
        <w:t xml:space="preserve"> (see </w:t>
      </w:r>
      <w:r w:rsidR="00DC2117" w:rsidRPr="00DC2117">
        <w:t xml:space="preserve">Table </w:t>
      </w:r>
      <w:r w:rsidR="00DC2117">
        <w:t>7</w:t>
      </w:r>
      <w:r w:rsidR="00054A33">
        <w:t xml:space="preserve"> – highlighted in red</w:t>
      </w:r>
      <w:r>
        <w:t>)</w:t>
      </w:r>
      <w:r w:rsidR="00F47E34">
        <w:t xml:space="preserve"> </w:t>
      </w:r>
    </w:p>
    <w:p w14:paraId="23A0AC11" w14:textId="19DF854E" w:rsidR="00594349" w:rsidRDefault="00594349" w:rsidP="00594349">
      <w:pPr>
        <w:pStyle w:val="ListBullet"/>
      </w:pPr>
      <w:r>
        <w:t xml:space="preserve">The </w:t>
      </w:r>
      <w:r w:rsidR="00F47E34">
        <w:t>CSO’s theory of change to implement the project repr</w:t>
      </w:r>
      <w:r w:rsidR="001B6F11">
        <w:t>esented only 10 per cent</w:t>
      </w:r>
      <w:r w:rsidR="00F47E34">
        <w:t xml:space="preserve"> of the separate and subsequent ass</w:t>
      </w:r>
      <w:r>
        <w:t>essment of the project proposal</w:t>
      </w:r>
      <w:r w:rsidR="00FB706D">
        <w:t xml:space="preserve"> (</w:t>
      </w:r>
      <w:r w:rsidR="00FB706D" w:rsidRPr="00DC2117">
        <w:t xml:space="preserve">see </w:t>
      </w:r>
      <w:r w:rsidR="00DC2117" w:rsidRPr="00DC2117">
        <w:t xml:space="preserve">Table </w:t>
      </w:r>
      <w:r w:rsidR="00DC2117">
        <w:t>8</w:t>
      </w:r>
      <w:r w:rsidR="00054A33">
        <w:t xml:space="preserve"> – highlighted in red</w:t>
      </w:r>
      <w:r w:rsidR="00FB706D">
        <w:t>)</w:t>
      </w:r>
    </w:p>
    <w:p w14:paraId="65F5C11F" w14:textId="77777777" w:rsidR="00594349" w:rsidRDefault="00F47E34" w:rsidP="00594349">
      <w:pPr>
        <w:pStyle w:val="ListBullet"/>
      </w:pPr>
      <w:r>
        <w:t xml:space="preserve">The project proposal score ultimately determined whether </w:t>
      </w:r>
      <w:r w:rsidR="00594349">
        <w:t>a CSO was funded under the Fund; that is, a CSO’s organisational capacity and project-specific scores were not added to give a cumulative total.</w:t>
      </w:r>
      <w:r>
        <w:t xml:space="preserve"> </w:t>
      </w:r>
    </w:p>
    <w:p w14:paraId="2D872723" w14:textId="6F33C72E" w:rsidR="00054A33" w:rsidRDefault="0036429B" w:rsidP="007572C7">
      <w:pPr>
        <w:pStyle w:val="BodyText"/>
      </w:pPr>
      <w:r>
        <w:t>The selection process did</w:t>
      </w:r>
      <w:r w:rsidR="00054A33">
        <w:t xml:space="preserve"> take into account that assessing likely WASH project sustainability is related to a number of assessment criteria, such as the capability to engage with local actors, among other criteria listed.</w:t>
      </w:r>
      <w:r>
        <w:t xml:space="preserve"> </w:t>
      </w:r>
      <w:r w:rsidR="00054A33">
        <w:t xml:space="preserve">However, the implication is that an application could achieve a competitive score overall despite potentially being weaker in a criteria which is considered key (that is, applying innovative WASH approaches rather than a service delivery model). </w:t>
      </w:r>
    </w:p>
    <w:p w14:paraId="2E10FB06" w14:textId="77777777" w:rsidR="00305FCB" w:rsidRDefault="00305FCB" w:rsidP="00305FCB">
      <w:pPr>
        <w:pStyle w:val="RecommendationBoxHeading"/>
      </w:pPr>
      <w:r>
        <w:t>Recommendation 4</w:t>
      </w:r>
    </w:p>
    <w:p w14:paraId="5C7AD3D1" w14:textId="77777777" w:rsidR="00305FCB" w:rsidRDefault="00305FCB" w:rsidP="00305FCB">
      <w:pPr>
        <w:pStyle w:val="RecommendationBoxBullet"/>
      </w:pPr>
      <w:r>
        <w:t>That for future CSO selection, consistency with the Fund’s intent/theory of change is a heavily weighted criteria.</w:t>
      </w:r>
    </w:p>
    <w:p w14:paraId="306D2546" w14:textId="77777777" w:rsidR="00305FCB" w:rsidRDefault="00305FCB" w:rsidP="007572C7">
      <w:pPr>
        <w:pStyle w:val="BodyText"/>
      </w:pPr>
    </w:p>
    <w:p w14:paraId="05FC6004" w14:textId="77777777" w:rsidR="00F47E34" w:rsidRDefault="00DC2117" w:rsidP="00F64C16">
      <w:pPr>
        <w:pStyle w:val="TableandFigureName"/>
      </w:pPr>
      <w:r w:rsidRPr="00DC2117">
        <w:t>Figure 4</w:t>
      </w:r>
      <w:r w:rsidR="00F47E34" w:rsidRPr="00DC2117">
        <w:t>:</w:t>
      </w:r>
      <w:r w:rsidR="00F47E34" w:rsidRPr="003F6ED1">
        <w:t xml:space="preserve"> CSO Selection Process</w:t>
      </w:r>
    </w:p>
    <w:p w14:paraId="3DFC3CAA" w14:textId="77777777" w:rsidR="00F47E34" w:rsidRDefault="00F47E34" w:rsidP="00594349">
      <w:pPr>
        <w:pStyle w:val="BodyText"/>
        <w:keepNext/>
        <w:rPr>
          <w:b/>
        </w:rPr>
      </w:pPr>
    </w:p>
    <w:p w14:paraId="10B01CFA" w14:textId="77777777" w:rsidR="00F47E34" w:rsidRDefault="00DA5631" w:rsidP="00594349">
      <w:pPr>
        <w:pStyle w:val="BodyText"/>
        <w:keepNext/>
        <w:rPr>
          <w:b/>
        </w:rPr>
      </w:pPr>
      <w:r>
        <w:rPr>
          <w:noProof/>
        </w:rPr>
        <w:drawing>
          <wp:inline distT="0" distB="0" distL="0" distR="0" wp14:anchorId="387184A4" wp14:editId="75FA514E">
            <wp:extent cx="4572000" cy="3435350"/>
            <wp:effectExtent l="0" t="0" r="0" b="0"/>
            <wp:docPr id="300" name="Picture 300" descr="cid:image001.png@01D20AA0.1B6CB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0AA0.1B6CB58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4572000" cy="3435350"/>
                    </a:xfrm>
                    <a:prstGeom prst="rect">
                      <a:avLst/>
                    </a:prstGeom>
                    <a:noFill/>
                    <a:ln>
                      <a:noFill/>
                    </a:ln>
                  </pic:spPr>
                </pic:pic>
              </a:graphicData>
            </a:graphic>
          </wp:inline>
        </w:drawing>
      </w:r>
    </w:p>
    <w:p w14:paraId="4F5466C8" w14:textId="77777777" w:rsidR="00FB706D" w:rsidRDefault="00FB706D" w:rsidP="00F64C16">
      <w:pPr>
        <w:pStyle w:val="TableandFigureName"/>
        <w:rPr>
          <w:highlight w:val="yellow"/>
        </w:rPr>
      </w:pPr>
    </w:p>
    <w:p w14:paraId="73F7D6D4" w14:textId="77777777" w:rsidR="00F47E34" w:rsidRDefault="00DC2117" w:rsidP="00F64C16">
      <w:pPr>
        <w:pStyle w:val="TableandFigureName"/>
      </w:pPr>
      <w:r w:rsidRPr="00DC2117">
        <w:t>Table 7</w:t>
      </w:r>
      <w:r w:rsidR="00F47E34" w:rsidRPr="00DC2117">
        <w:t>:</w:t>
      </w:r>
      <w:r w:rsidR="00F64C16" w:rsidRPr="00DC2117">
        <w:t xml:space="preserve"> Selection</w:t>
      </w:r>
      <w:r w:rsidR="00F64C16">
        <w:t xml:space="preserve"> c</w:t>
      </w:r>
      <w:r w:rsidR="00F47E34" w:rsidRPr="00032872">
        <w:t>riteria</w:t>
      </w:r>
      <w:r w:rsidR="00F64C16">
        <w:t xml:space="preserve"> w</w:t>
      </w:r>
      <w:r w:rsidR="00F47E34">
        <w:t>eightings</w:t>
      </w:r>
      <w:r w:rsidR="00F64C16">
        <w:t xml:space="preserve"> – initial assessment of CSO organisational capacity</w:t>
      </w:r>
    </w:p>
    <w:p w14:paraId="05F96A7F" w14:textId="77777777" w:rsidR="00F64C16" w:rsidRPr="00F64C16" w:rsidRDefault="00F64C16" w:rsidP="00F64C16">
      <w:pPr>
        <w:pStyle w:val="TableFigureNote"/>
      </w:pPr>
      <w:r>
        <w:t xml:space="preserve">Note this was a ‘pass-fail’ step in the assessment process. CSOs had to achieve a score of at least 60 per cent to proceed to the next stage of the assessment. </w:t>
      </w:r>
    </w:p>
    <w:tbl>
      <w:tblPr>
        <w:tblStyle w:val="TableGrid"/>
        <w:tblW w:w="0" w:type="auto"/>
        <w:tblLook w:val="04A0" w:firstRow="1" w:lastRow="0" w:firstColumn="1" w:lastColumn="0" w:noHBand="0" w:noVBand="1"/>
        <w:tblCaption w:val="Table 7: Selection criteria weightings - initial assessment of CSO organisational capacity"/>
        <w:tblDescription w:val="Criteria 1: Understanding of WASH sector challenges and effective WASH program approaches. Weighting: 20 per cent. Criteria 2: Capacity to achieve sustainable WASH outcomes for women, the poor and socially excluded groups. Weighting: 15 per cent. Criteria 3: Demonstrated high quality implementation of key AusAID policies. Weighting: 10 per cent. Criteria 4: Capacity to manage and support the proposed activities and ensure high quality planning, performance management and learning throughout the planning and implementation period. Weighting: 30 per cent. Criteria 5: capacity of key personnel, particularly the dedicated WASH program manager. "/>
      </w:tblPr>
      <w:tblGrid>
        <w:gridCol w:w="7196"/>
        <w:gridCol w:w="1525"/>
      </w:tblGrid>
      <w:tr w:rsidR="00F47E34" w14:paraId="579F92AC" w14:textId="77777777" w:rsidTr="001C5090">
        <w:tc>
          <w:tcPr>
            <w:tcW w:w="7196" w:type="dxa"/>
          </w:tcPr>
          <w:p w14:paraId="4C7737C5" w14:textId="77777777" w:rsidR="00F47E34" w:rsidRPr="00032872" w:rsidRDefault="00F47E34" w:rsidP="00F47E34">
            <w:pPr>
              <w:pStyle w:val="BodyText"/>
              <w:numPr>
                <w:ilvl w:val="0"/>
                <w:numId w:val="37"/>
              </w:numPr>
              <w:rPr>
                <w:color w:val="FF0000"/>
              </w:rPr>
            </w:pPr>
            <w:r w:rsidRPr="00032872">
              <w:rPr>
                <w:color w:val="FF0000"/>
              </w:rPr>
              <w:t>Understanding of WASH sector challenges and effective WASH program approaches</w:t>
            </w:r>
          </w:p>
        </w:tc>
        <w:tc>
          <w:tcPr>
            <w:tcW w:w="1525" w:type="dxa"/>
          </w:tcPr>
          <w:p w14:paraId="14A34BCC" w14:textId="77777777" w:rsidR="00F47E34" w:rsidRPr="00032872" w:rsidRDefault="00F47E34" w:rsidP="001C5090">
            <w:pPr>
              <w:pStyle w:val="BodyText"/>
              <w:rPr>
                <w:color w:val="FF0000"/>
              </w:rPr>
            </w:pPr>
            <w:r w:rsidRPr="00032872">
              <w:rPr>
                <w:color w:val="FF0000"/>
              </w:rPr>
              <w:t>20%</w:t>
            </w:r>
          </w:p>
        </w:tc>
      </w:tr>
      <w:tr w:rsidR="00F47E34" w14:paraId="678CE8A6" w14:textId="77777777" w:rsidTr="001C5090">
        <w:tc>
          <w:tcPr>
            <w:tcW w:w="7196" w:type="dxa"/>
          </w:tcPr>
          <w:p w14:paraId="1FCAA7DA" w14:textId="77777777" w:rsidR="00F47E34" w:rsidRDefault="00F47E34" w:rsidP="00F47E34">
            <w:pPr>
              <w:pStyle w:val="BodyText"/>
              <w:numPr>
                <w:ilvl w:val="0"/>
                <w:numId w:val="37"/>
              </w:numPr>
            </w:pPr>
            <w:r>
              <w:t>Capacity to achieve sustainable WASH outcomes for women, the poor and socially excluded groups</w:t>
            </w:r>
          </w:p>
        </w:tc>
        <w:tc>
          <w:tcPr>
            <w:tcW w:w="1525" w:type="dxa"/>
          </w:tcPr>
          <w:p w14:paraId="3C962818" w14:textId="77777777" w:rsidR="00F47E34" w:rsidRDefault="00F47E34" w:rsidP="001C5090">
            <w:pPr>
              <w:pStyle w:val="BodyText"/>
            </w:pPr>
            <w:r>
              <w:t>15%</w:t>
            </w:r>
          </w:p>
        </w:tc>
      </w:tr>
      <w:tr w:rsidR="00F47E34" w14:paraId="234BF7EF" w14:textId="77777777" w:rsidTr="001C5090">
        <w:tc>
          <w:tcPr>
            <w:tcW w:w="7196" w:type="dxa"/>
          </w:tcPr>
          <w:p w14:paraId="23C61088" w14:textId="77777777" w:rsidR="00F47E34" w:rsidRDefault="00F47E34" w:rsidP="00F47E34">
            <w:pPr>
              <w:pStyle w:val="BodyText"/>
              <w:numPr>
                <w:ilvl w:val="0"/>
                <w:numId w:val="37"/>
              </w:numPr>
            </w:pPr>
            <w:r>
              <w:t>Demonstrated high quality implementation of key AusAID policies</w:t>
            </w:r>
          </w:p>
        </w:tc>
        <w:tc>
          <w:tcPr>
            <w:tcW w:w="1525" w:type="dxa"/>
          </w:tcPr>
          <w:p w14:paraId="0074FE49" w14:textId="77777777" w:rsidR="00F47E34" w:rsidRDefault="00F47E34" w:rsidP="001C5090">
            <w:pPr>
              <w:pStyle w:val="BodyText"/>
            </w:pPr>
            <w:r>
              <w:t>10%</w:t>
            </w:r>
          </w:p>
        </w:tc>
      </w:tr>
      <w:tr w:rsidR="00F47E34" w14:paraId="0DD08772" w14:textId="77777777" w:rsidTr="001C5090">
        <w:tc>
          <w:tcPr>
            <w:tcW w:w="7196" w:type="dxa"/>
          </w:tcPr>
          <w:p w14:paraId="34735542" w14:textId="77777777" w:rsidR="00F47E34" w:rsidRDefault="00F47E34" w:rsidP="00F47E34">
            <w:pPr>
              <w:pStyle w:val="BodyText"/>
              <w:numPr>
                <w:ilvl w:val="0"/>
                <w:numId w:val="37"/>
              </w:numPr>
              <w:tabs>
                <w:tab w:val="left" w:pos="645"/>
              </w:tabs>
            </w:pPr>
            <w:r>
              <w:t>Capacity to manage and support the proposed activities and ensure high quality planning, performance management and learning throughout the planning and implementation period</w:t>
            </w:r>
          </w:p>
        </w:tc>
        <w:tc>
          <w:tcPr>
            <w:tcW w:w="1525" w:type="dxa"/>
          </w:tcPr>
          <w:p w14:paraId="479A8441" w14:textId="77777777" w:rsidR="00F47E34" w:rsidRDefault="00F47E34" w:rsidP="001C5090">
            <w:pPr>
              <w:pStyle w:val="BodyText"/>
            </w:pPr>
            <w:r>
              <w:t>30%</w:t>
            </w:r>
          </w:p>
        </w:tc>
      </w:tr>
      <w:tr w:rsidR="00F47E34" w14:paraId="41389D13" w14:textId="77777777" w:rsidTr="001C5090">
        <w:tc>
          <w:tcPr>
            <w:tcW w:w="7196" w:type="dxa"/>
          </w:tcPr>
          <w:p w14:paraId="13E8E9B2" w14:textId="77777777" w:rsidR="00F47E34" w:rsidRDefault="00F47E34" w:rsidP="00F47E34">
            <w:pPr>
              <w:pStyle w:val="BodyText"/>
              <w:numPr>
                <w:ilvl w:val="0"/>
                <w:numId w:val="37"/>
              </w:numPr>
            </w:pPr>
            <w:r>
              <w:t>Capacity of key personnel, particularly the dedicated WASH Program Manager</w:t>
            </w:r>
          </w:p>
        </w:tc>
        <w:tc>
          <w:tcPr>
            <w:tcW w:w="1525" w:type="dxa"/>
          </w:tcPr>
          <w:p w14:paraId="695A1DDD" w14:textId="77777777" w:rsidR="00F47E34" w:rsidRDefault="00F47E34" w:rsidP="001C5090">
            <w:pPr>
              <w:pStyle w:val="BodyText"/>
            </w:pPr>
            <w:r>
              <w:t>25%</w:t>
            </w:r>
          </w:p>
        </w:tc>
      </w:tr>
    </w:tbl>
    <w:p w14:paraId="33EEAA0F" w14:textId="77777777" w:rsidR="00F47E34" w:rsidRDefault="00F47E34" w:rsidP="00F47E34">
      <w:pPr>
        <w:pStyle w:val="BodyText"/>
      </w:pPr>
    </w:p>
    <w:p w14:paraId="65FED837" w14:textId="77777777" w:rsidR="00F64C16" w:rsidRDefault="00DC2117" w:rsidP="00F64C16">
      <w:pPr>
        <w:pStyle w:val="TableandFigureName"/>
      </w:pPr>
      <w:r w:rsidRPr="00DC2117">
        <w:t>Table 8</w:t>
      </w:r>
      <w:r w:rsidR="00F64C16" w:rsidRPr="00DC2117">
        <w:t>: Selection</w:t>
      </w:r>
      <w:r w:rsidR="00F64C16">
        <w:t xml:space="preserve"> criteria weightings - Project-specific selection criteria</w:t>
      </w:r>
    </w:p>
    <w:p w14:paraId="7CB99CDB" w14:textId="77777777" w:rsidR="00F64C16" w:rsidRDefault="00F64C16" w:rsidP="00F64C16">
      <w:pPr>
        <w:pStyle w:val="TableFigureNote"/>
        <w:keepNext/>
      </w:pPr>
      <w:r>
        <w:t xml:space="preserve">If a CSO achieved the requisite 60% score for its organisational capacity, its project-specific proposals were assessed against the following criteria. </w:t>
      </w:r>
    </w:p>
    <w:tbl>
      <w:tblPr>
        <w:tblStyle w:val="TableGrid"/>
        <w:tblW w:w="0" w:type="auto"/>
        <w:tblLook w:val="04A0" w:firstRow="1" w:lastRow="0" w:firstColumn="1" w:lastColumn="0" w:noHBand="0" w:noVBand="1"/>
        <w:tblCaption w:val="Table 8: selection criteria weightings - Project-specific selection criteria"/>
        <w:tblDescription w:val="Section A, In-country delivery capacity. 50 percent weighting made up of the following five criteria. 1) Understanding of the country context and WASH needs (15 per cent). 2) Capacity to engage with local and national government and the broader WASH sector to influence WASH policy and approaches (10 per cent). 3) Capacity to achieve sustainable WASH outcomes for women, the poor and socially excluded groups (10 per cent). 4) Capacity to manage and support the proposed activities and ensure high quality planning, performance management and learning throughout the planning and implementation period (10 per cent). 5) Capacity of key personnel (5 per cent). Section B, Activity concept, 50 per cent weighting made up of the following five criteria. 1) The theory of change and implementation strategies are feasible and build on current knowledge of effective approaches for sustainable WASH outcomes (10 per cent). 2) The concept design is relevant to the country context and will contribute both to the achievement of Fund outcomes in that country and AusAID WASH strategies (15 per cent). 3) Gender equality and social inclusion are an integral part of the concept design (10 per cent). 4) The capacity building approach is likely to influence the sustainability of WASH outcomes (10 per cent). 5) The activity will contribute to the knowledge base for the development of sustainable WASH outcomes (5 per cent). "/>
      </w:tblPr>
      <w:tblGrid>
        <w:gridCol w:w="7196"/>
        <w:gridCol w:w="1525"/>
      </w:tblGrid>
      <w:tr w:rsidR="00F47E34" w14:paraId="5E1D9E0E" w14:textId="77777777" w:rsidTr="001C5090">
        <w:tc>
          <w:tcPr>
            <w:tcW w:w="7196" w:type="dxa"/>
          </w:tcPr>
          <w:p w14:paraId="77C36675" w14:textId="77777777" w:rsidR="00F47E34" w:rsidRPr="0054307E" w:rsidRDefault="00F47E34" w:rsidP="00F64C16">
            <w:pPr>
              <w:pStyle w:val="BodyText"/>
              <w:keepNext/>
              <w:numPr>
                <w:ilvl w:val="0"/>
                <w:numId w:val="38"/>
              </w:numPr>
              <w:rPr>
                <w:b/>
              </w:rPr>
            </w:pPr>
            <w:r w:rsidRPr="0054307E">
              <w:rPr>
                <w:b/>
              </w:rPr>
              <w:t>In-Country Delivery Capacity (50%)</w:t>
            </w:r>
          </w:p>
        </w:tc>
        <w:tc>
          <w:tcPr>
            <w:tcW w:w="1525" w:type="dxa"/>
          </w:tcPr>
          <w:p w14:paraId="1E3E7BBC" w14:textId="77777777" w:rsidR="00F47E34" w:rsidRPr="0054307E" w:rsidRDefault="00F47E34" w:rsidP="00F64C16">
            <w:pPr>
              <w:pStyle w:val="BodyText"/>
              <w:keepNext/>
              <w:rPr>
                <w:b/>
              </w:rPr>
            </w:pPr>
          </w:p>
        </w:tc>
      </w:tr>
      <w:tr w:rsidR="00F47E34" w14:paraId="5A4D9ED5" w14:textId="77777777" w:rsidTr="001C5090">
        <w:tc>
          <w:tcPr>
            <w:tcW w:w="7196" w:type="dxa"/>
          </w:tcPr>
          <w:p w14:paraId="31457938" w14:textId="77777777" w:rsidR="00F47E34" w:rsidRDefault="00F47E34" w:rsidP="00F64C16">
            <w:pPr>
              <w:pStyle w:val="BodyText"/>
              <w:keepNext/>
              <w:numPr>
                <w:ilvl w:val="0"/>
                <w:numId w:val="39"/>
              </w:numPr>
            </w:pPr>
            <w:r>
              <w:t>Understanding of the country context and WASH needs</w:t>
            </w:r>
          </w:p>
        </w:tc>
        <w:tc>
          <w:tcPr>
            <w:tcW w:w="1525" w:type="dxa"/>
          </w:tcPr>
          <w:p w14:paraId="51483608" w14:textId="77777777" w:rsidR="00F47E34" w:rsidRDefault="00F47E34" w:rsidP="00F64C16">
            <w:pPr>
              <w:pStyle w:val="BodyText"/>
              <w:keepNext/>
            </w:pPr>
            <w:r>
              <w:t>15%</w:t>
            </w:r>
          </w:p>
        </w:tc>
      </w:tr>
      <w:tr w:rsidR="00F47E34" w14:paraId="6A1DF93D" w14:textId="77777777" w:rsidTr="001C5090">
        <w:tc>
          <w:tcPr>
            <w:tcW w:w="7196" w:type="dxa"/>
          </w:tcPr>
          <w:p w14:paraId="6ED3279E" w14:textId="77777777" w:rsidR="00F47E34" w:rsidRDefault="00F47E34" w:rsidP="00F64C16">
            <w:pPr>
              <w:pStyle w:val="BodyText"/>
              <w:keepNext/>
              <w:numPr>
                <w:ilvl w:val="0"/>
                <w:numId w:val="39"/>
              </w:numPr>
            </w:pPr>
            <w:r>
              <w:t>Capacity to engage with local and national government and the broader WASH sector to influence WASH policy and approaches</w:t>
            </w:r>
          </w:p>
        </w:tc>
        <w:tc>
          <w:tcPr>
            <w:tcW w:w="1525" w:type="dxa"/>
          </w:tcPr>
          <w:p w14:paraId="35A3DB39" w14:textId="77777777" w:rsidR="00F47E34" w:rsidRDefault="00F47E34" w:rsidP="00F64C16">
            <w:pPr>
              <w:pStyle w:val="BodyText"/>
              <w:keepNext/>
            </w:pPr>
            <w:r>
              <w:t>10%</w:t>
            </w:r>
          </w:p>
        </w:tc>
      </w:tr>
      <w:tr w:rsidR="00F47E34" w14:paraId="16142CBF" w14:textId="77777777" w:rsidTr="001C5090">
        <w:tc>
          <w:tcPr>
            <w:tcW w:w="7196" w:type="dxa"/>
          </w:tcPr>
          <w:p w14:paraId="1AEF89B4" w14:textId="77777777" w:rsidR="00F47E34" w:rsidRDefault="00F47E34" w:rsidP="00F64C16">
            <w:pPr>
              <w:pStyle w:val="BodyText"/>
              <w:keepNext/>
              <w:numPr>
                <w:ilvl w:val="0"/>
                <w:numId w:val="39"/>
              </w:numPr>
            </w:pPr>
            <w:r>
              <w:t>Capacity to achieve sustainable WASH outcomes for women, the poor and socially excluded groups</w:t>
            </w:r>
          </w:p>
        </w:tc>
        <w:tc>
          <w:tcPr>
            <w:tcW w:w="1525" w:type="dxa"/>
          </w:tcPr>
          <w:p w14:paraId="7282917C" w14:textId="77777777" w:rsidR="00F47E34" w:rsidRDefault="00F47E34" w:rsidP="00F64C16">
            <w:pPr>
              <w:pStyle w:val="BodyText"/>
              <w:keepNext/>
            </w:pPr>
            <w:r>
              <w:t>10%</w:t>
            </w:r>
          </w:p>
        </w:tc>
      </w:tr>
      <w:tr w:rsidR="00F47E34" w14:paraId="00869CA9" w14:textId="77777777" w:rsidTr="001C5090">
        <w:tc>
          <w:tcPr>
            <w:tcW w:w="7196" w:type="dxa"/>
          </w:tcPr>
          <w:p w14:paraId="1F05680A" w14:textId="77777777" w:rsidR="00F47E34" w:rsidRDefault="00F47E34" w:rsidP="00F47E34">
            <w:pPr>
              <w:pStyle w:val="BodyText"/>
              <w:numPr>
                <w:ilvl w:val="0"/>
                <w:numId w:val="39"/>
              </w:numPr>
            </w:pPr>
            <w:r>
              <w:t>Capacity to manage and support the proposed activities and ensure high quality planning, performance management and learning throughout the planning and implementation period</w:t>
            </w:r>
          </w:p>
        </w:tc>
        <w:tc>
          <w:tcPr>
            <w:tcW w:w="1525" w:type="dxa"/>
          </w:tcPr>
          <w:p w14:paraId="2D751A81" w14:textId="77777777" w:rsidR="00F47E34" w:rsidRDefault="00F47E34" w:rsidP="001C5090">
            <w:pPr>
              <w:pStyle w:val="BodyText"/>
            </w:pPr>
            <w:r>
              <w:t>10%</w:t>
            </w:r>
          </w:p>
        </w:tc>
      </w:tr>
      <w:tr w:rsidR="00F47E34" w14:paraId="389E1FA2" w14:textId="77777777" w:rsidTr="001C5090">
        <w:tc>
          <w:tcPr>
            <w:tcW w:w="7196" w:type="dxa"/>
          </w:tcPr>
          <w:p w14:paraId="4734B20C" w14:textId="77777777" w:rsidR="00F47E34" w:rsidRDefault="00F47E34" w:rsidP="00F47E34">
            <w:pPr>
              <w:pStyle w:val="BodyText"/>
              <w:numPr>
                <w:ilvl w:val="0"/>
                <w:numId w:val="39"/>
              </w:numPr>
            </w:pPr>
            <w:r>
              <w:t>Capacity of key personnel</w:t>
            </w:r>
          </w:p>
        </w:tc>
        <w:tc>
          <w:tcPr>
            <w:tcW w:w="1525" w:type="dxa"/>
          </w:tcPr>
          <w:p w14:paraId="4B9F481B" w14:textId="77777777" w:rsidR="00F47E34" w:rsidRDefault="00F47E34" w:rsidP="001C5090">
            <w:pPr>
              <w:pStyle w:val="BodyText"/>
            </w:pPr>
            <w:r>
              <w:t>5%</w:t>
            </w:r>
          </w:p>
        </w:tc>
      </w:tr>
      <w:tr w:rsidR="00F47E34" w14:paraId="0B4A6083" w14:textId="77777777" w:rsidTr="001C5090">
        <w:tc>
          <w:tcPr>
            <w:tcW w:w="7196" w:type="dxa"/>
          </w:tcPr>
          <w:p w14:paraId="25304BF1" w14:textId="77777777" w:rsidR="00F47E34" w:rsidRPr="0054307E" w:rsidRDefault="00F47E34" w:rsidP="00F47E34">
            <w:pPr>
              <w:pStyle w:val="BodyText"/>
              <w:numPr>
                <w:ilvl w:val="0"/>
                <w:numId w:val="38"/>
              </w:numPr>
              <w:rPr>
                <w:b/>
              </w:rPr>
            </w:pPr>
            <w:r w:rsidRPr="0054307E">
              <w:rPr>
                <w:b/>
              </w:rPr>
              <w:t>Activity Concept (50%)</w:t>
            </w:r>
          </w:p>
        </w:tc>
        <w:tc>
          <w:tcPr>
            <w:tcW w:w="1525" w:type="dxa"/>
          </w:tcPr>
          <w:p w14:paraId="48DE17F8" w14:textId="77777777" w:rsidR="00F47E34" w:rsidRDefault="00F47E34" w:rsidP="001C5090">
            <w:pPr>
              <w:pStyle w:val="BodyText"/>
            </w:pPr>
          </w:p>
        </w:tc>
      </w:tr>
      <w:tr w:rsidR="00F47E34" w14:paraId="610B6286" w14:textId="77777777" w:rsidTr="001C5090">
        <w:tc>
          <w:tcPr>
            <w:tcW w:w="7196" w:type="dxa"/>
          </w:tcPr>
          <w:p w14:paraId="3F6525C8" w14:textId="77777777" w:rsidR="00F47E34" w:rsidRDefault="00F47E34" w:rsidP="00F47E34">
            <w:pPr>
              <w:pStyle w:val="BodyText"/>
              <w:numPr>
                <w:ilvl w:val="0"/>
                <w:numId w:val="39"/>
              </w:numPr>
            </w:pPr>
            <w:r w:rsidRPr="00A3683E">
              <w:rPr>
                <w:color w:val="FF0000"/>
              </w:rPr>
              <w:t>The theory of change and implementation strategies are feasible and build on current knowledge of effective approaches for sustainable WASH outcomes</w:t>
            </w:r>
          </w:p>
        </w:tc>
        <w:tc>
          <w:tcPr>
            <w:tcW w:w="1525" w:type="dxa"/>
          </w:tcPr>
          <w:p w14:paraId="2667393B" w14:textId="77777777" w:rsidR="00F47E34" w:rsidRDefault="00F47E34" w:rsidP="001C5090">
            <w:pPr>
              <w:pStyle w:val="BodyText"/>
            </w:pPr>
            <w:r w:rsidRPr="00A3683E">
              <w:rPr>
                <w:color w:val="FF0000"/>
              </w:rPr>
              <w:t>10%</w:t>
            </w:r>
          </w:p>
        </w:tc>
      </w:tr>
      <w:tr w:rsidR="00F47E34" w14:paraId="121740D5" w14:textId="77777777" w:rsidTr="001C5090">
        <w:tc>
          <w:tcPr>
            <w:tcW w:w="7196" w:type="dxa"/>
          </w:tcPr>
          <w:p w14:paraId="0CCFA392" w14:textId="77777777" w:rsidR="00F47E34" w:rsidRDefault="00F47E34" w:rsidP="00F47E34">
            <w:pPr>
              <w:pStyle w:val="BodyText"/>
              <w:numPr>
                <w:ilvl w:val="0"/>
                <w:numId w:val="39"/>
              </w:numPr>
            </w:pPr>
            <w:r>
              <w:t>The concept design is relevant to the country context and will contribute both to the achievement of Fund outcomes in that country and AusAID WASH strategies (where relevant)</w:t>
            </w:r>
          </w:p>
        </w:tc>
        <w:tc>
          <w:tcPr>
            <w:tcW w:w="1525" w:type="dxa"/>
          </w:tcPr>
          <w:p w14:paraId="14C2D94E" w14:textId="77777777" w:rsidR="00F47E34" w:rsidRDefault="00F47E34" w:rsidP="001C5090">
            <w:pPr>
              <w:pStyle w:val="BodyText"/>
            </w:pPr>
            <w:r>
              <w:t>15%</w:t>
            </w:r>
          </w:p>
        </w:tc>
      </w:tr>
      <w:tr w:rsidR="00F47E34" w14:paraId="49595D5C" w14:textId="77777777" w:rsidTr="001C5090">
        <w:tc>
          <w:tcPr>
            <w:tcW w:w="7196" w:type="dxa"/>
          </w:tcPr>
          <w:p w14:paraId="211EE766" w14:textId="77777777" w:rsidR="00F47E34" w:rsidRDefault="00F47E34" w:rsidP="00F47E34">
            <w:pPr>
              <w:pStyle w:val="BodyText"/>
              <w:numPr>
                <w:ilvl w:val="0"/>
                <w:numId w:val="39"/>
              </w:numPr>
            </w:pPr>
            <w:r>
              <w:t>Gender equality and social inclusion are an integral part of the concept design</w:t>
            </w:r>
          </w:p>
        </w:tc>
        <w:tc>
          <w:tcPr>
            <w:tcW w:w="1525" w:type="dxa"/>
          </w:tcPr>
          <w:p w14:paraId="399FFA7D" w14:textId="77777777" w:rsidR="00F47E34" w:rsidRDefault="00F47E34" w:rsidP="001C5090">
            <w:pPr>
              <w:pStyle w:val="BodyText"/>
            </w:pPr>
            <w:r>
              <w:t>10%</w:t>
            </w:r>
          </w:p>
        </w:tc>
      </w:tr>
      <w:tr w:rsidR="00F47E34" w14:paraId="03FCE517" w14:textId="77777777" w:rsidTr="001C5090">
        <w:tc>
          <w:tcPr>
            <w:tcW w:w="7196" w:type="dxa"/>
          </w:tcPr>
          <w:p w14:paraId="045F64FF" w14:textId="77777777" w:rsidR="00F47E34" w:rsidRDefault="00F47E34" w:rsidP="00F47E34">
            <w:pPr>
              <w:pStyle w:val="BodyText"/>
              <w:numPr>
                <w:ilvl w:val="0"/>
                <w:numId w:val="39"/>
              </w:numPr>
            </w:pPr>
            <w:r>
              <w:t>The capacity building approach is likely to influence the sustainability of WASH outcomes</w:t>
            </w:r>
          </w:p>
        </w:tc>
        <w:tc>
          <w:tcPr>
            <w:tcW w:w="1525" w:type="dxa"/>
          </w:tcPr>
          <w:p w14:paraId="5AB2448E" w14:textId="77777777" w:rsidR="00F47E34" w:rsidRDefault="00F47E34" w:rsidP="001C5090">
            <w:pPr>
              <w:pStyle w:val="BodyText"/>
            </w:pPr>
            <w:r>
              <w:t>10%</w:t>
            </w:r>
          </w:p>
        </w:tc>
      </w:tr>
      <w:tr w:rsidR="00F47E34" w14:paraId="26FF091C" w14:textId="77777777" w:rsidTr="001C5090">
        <w:tc>
          <w:tcPr>
            <w:tcW w:w="7196" w:type="dxa"/>
          </w:tcPr>
          <w:p w14:paraId="17ED4D3E" w14:textId="77777777" w:rsidR="00F47E34" w:rsidRPr="00E467C9" w:rsidRDefault="00F47E34" w:rsidP="00F47E34">
            <w:pPr>
              <w:pStyle w:val="BodyText"/>
              <w:numPr>
                <w:ilvl w:val="0"/>
                <w:numId w:val="39"/>
              </w:numPr>
              <w:rPr>
                <w:color w:val="000000" w:themeColor="text1"/>
              </w:rPr>
            </w:pPr>
            <w:r w:rsidRPr="00E467C9">
              <w:rPr>
                <w:color w:val="000000" w:themeColor="text1"/>
              </w:rPr>
              <w:t>The activity will contribute to the knowledge base for the development of sustainable WASH outcomes</w:t>
            </w:r>
          </w:p>
        </w:tc>
        <w:tc>
          <w:tcPr>
            <w:tcW w:w="1525" w:type="dxa"/>
          </w:tcPr>
          <w:p w14:paraId="05B90B9C" w14:textId="77777777" w:rsidR="00F47E34" w:rsidRPr="00E467C9" w:rsidRDefault="00F47E34" w:rsidP="001C5090">
            <w:pPr>
              <w:pStyle w:val="BodyText"/>
              <w:rPr>
                <w:color w:val="000000" w:themeColor="text1"/>
              </w:rPr>
            </w:pPr>
            <w:r w:rsidRPr="00E467C9">
              <w:rPr>
                <w:color w:val="000000" w:themeColor="text1"/>
              </w:rPr>
              <w:t>5%</w:t>
            </w:r>
          </w:p>
        </w:tc>
      </w:tr>
    </w:tbl>
    <w:p w14:paraId="210D3BCF" w14:textId="77777777" w:rsidR="00F47E34" w:rsidRDefault="00F47E34" w:rsidP="00F47E34">
      <w:pPr>
        <w:pStyle w:val="BodyText"/>
      </w:pPr>
    </w:p>
    <w:p w14:paraId="13BC365D" w14:textId="77777777" w:rsidR="00F47E34" w:rsidRDefault="00F47E34" w:rsidP="00F47E34">
      <w:pPr>
        <w:pStyle w:val="BodyText"/>
      </w:pPr>
      <w:r>
        <w:t xml:space="preserve">Fund stakeholders also noted that the assessment process did not take into account past CSO performance and that this was an oversight.  This aspect was noted in interviews and through the CSO survey.  Within the current Fund, CSOs were required to provide a ‘Past Experience Form’ to support the assessment stage of individual project proposals.  However, this requirement did not have the effect that otherwise may have been intended (coming later in the assessment process, and not being weighted in the </w:t>
      </w:r>
      <w:r w:rsidR="00FB706D">
        <w:t>Selection Panel Guidelines). CSO</w:t>
      </w:r>
      <w:r>
        <w:t xml:space="preserve"> past experience within the WASH sector or within the previous Fund was therefore not an intrinsic part of assessing that CSO’s claims.</w:t>
      </w:r>
      <w:r w:rsidRPr="00B948B1">
        <w:t xml:space="preserve"> </w:t>
      </w:r>
      <w:r>
        <w:t xml:space="preserve"> </w:t>
      </w:r>
    </w:p>
    <w:p w14:paraId="6870525C" w14:textId="3AF0B9C5" w:rsidR="006947E2" w:rsidRDefault="00F47E34" w:rsidP="007572C7">
      <w:pPr>
        <w:pStyle w:val="BodyText"/>
      </w:pPr>
      <w:r>
        <w:t>Future CSO selection under the next Fund may therefore wish to</w:t>
      </w:r>
      <w:r w:rsidR="006947E2" w:rsidRPr="006947E2">
        <w:t xml:space="preserve"> </w:t>
      </w:r>
      <w:r w:rsidR="006947E2">
        <w:t xml:space="preserve">ensure a CSO’s past performance within the WASH sector </w:t>
      </w:r>
      <w:r w:rsidR="00DA04EE">
        <w:t>and</w:t>
      </w:r>
      <w:r w:rsidR="006947E2">
        <w:t xml:space="preserve"> within the </w:t>
      </w:r>
      <w:r w:rsidR="00710B14">
        <w:t xml:space="preserve">current </w:t>
      </w:r>
      <w:r w:rsidR="006947E2">
        <w:t xml:space="preserve">Fund </w:t>
      </w:r>
      <w:r w:rsidR="002412C0">
        <w:t xml:space="preserve">(where applicable) </w:t>
      </w:r>
      <w:r w:rsidR="006947E2">
        <w:t>is an essential part of assessing CSO’s claims.  A selection panel should consider this past performance</w:t>
      </w:r>
      <w:r w:rsidR="00216986">
        <w:t xml:space="preserve">, such as Partner Performance Assessments for DFAT-funded programs, </w:t>
      </w:r>
      <w:r w:rsidR="006947E2">
        <w:t>in accordance with relevant rules and guidelines.</w:t>
      </w:r>
      <w:r w:rsidR="006947E2">
        <w:rPr>
          <w:rStyle w:val="FootnoteReference"/>
        </w:rPr>
        <w:footnoteReference w:id="13"/>
      </w:r>
    </w:p>
    <w:p w14:paraId="367E502C" w14:textId="77777777" w:rsidR="00F47E34" w:rsidRDefault="00F47E34" w:rsidP="00F47E34">
      <w:pPr>
        <w:pStyle w:val="BodyText"/>
      </w:pPr>
    </w:p>
    <w:p w14:paraId="14E15147" w14:textId="77777777" w:rsidR="005264E0" w:rsidRDefault="005264E0" w:rsidP="005264E0">
      <w:pPr>
        <w:pStyle w:val="RecommendationBoxHeading"/>
      </w:pPr>
      <w:r>
        <w:t>Recommendation 5</w:t>
      </w:r>
    </w:p>
    <w:p w14:paraId="04DCD827" w14:textId="77777777" w:rsidR="0066777F" w:rsidRDefault="0066777F" w:rsidP="0066777F">
      <w:pPr>
        <w:pStyle w:val="RecommendationBoxBullet"/>
      </w:pPr>
      <w:r>
        <w:t xml:space="preserve">That for future CSO selection, CSO performance in the WASH sector and the current Fund is explicitly taken into account.  </w:t>
      </w:r>
    </w:p>
    <w:p w14:paraId="082C3243" w14:textId="77777777" w:rsidR="00F47E34" w:rsidRDefault="00E66E33" w:rsidP="00E66E33">
      <w:pPr>
        <w:pStyle w:val="Heading3"/>
        <w:ind w:left="852" w:hanging="852"/>
      </w:pPr>
      <w:r>
        <w:t>4.1.4</w:t>
      </w:r>
      <w:r>
        <w:tab/>
      </w:r>
      <w:r w:rsidR="00F47E34">
        <w:t xml:space="preserve">The selection panel’s diverse expertise could have been better drawn upon and managed </w:t>
      </w:r>
    </w:p>
    <w:p w14:paraId="2290F5D4" w14:textId="40138712" w:rsidR="00F47E34" w:rsidRDefault="00F47E34" w:rsidP="00F47E34">
      <w:pPr>
        <w:pStyle w:val="BodyText"/>
      </w:pPr>
      <w:r>
        <w:t xml:space="preserve">Some Fund management team stakeholders </w:t>
      </w:r>
      <w:proofErr w:type="gramStart"/>
      <w:r>
        <w:t>raised</w:t>
      </w:r>
      <w:proofErr w:type="gramEnd"/>
      <w:r>
        <w:t xml:space="preserve"> that the Fund’s selection panel did not have the right expertise to select the Fund’s CSOs.  The Fund’s selection panel comprised four members: two WASH members (from </w:t>
      </w:r>
      <w:r w:rsidR="001542F1">
        <w:t xml:space="preserve">DFAT </w:t>
      </w:r>
      <w:r>
        <w:t xml:space="preserve">WSH and an external consultant) and two members from </w:t>
      </w:r>
      <w:r w:rsidRPr="00CA697D">
        <w:t>DFAT’s NGO section.</w:t>
      </w:r>
      <w:r w:rsidR="00E66E33">
        <w:t xml:space="preserve"> The evaluation team ma</w:t>
      </w:r>
      <w:r w:rsidR="0002046A">
        <w:t>kes</w:t>
      </w:r>
      <w:r w:rsidR="00E66E33">
        <w:t xml:space="preserve"> the following observations on the selection panel: </w:t>
      </w:r>
      <w:r>
        <w:t xml:space="preserve">  </w:t>
      </w:r>
    </w:p>
    <w:p w14:paraId="51E53A28" w14:textId="794F143F" w:rsidR="00B3320E" w:rsidRDefault="00B3320E" w:rsidP="00B3320E">
      <w:pPr>
        <w:pStyle w:val="ListBullet"/>
      </w:pPr>
      <w:r>
        <w:t>It was difficult to identify and contract a suitable external WASH expert to sit on the selection panel. DFAT WSH contacted several different consultants until a person able and willing to undertake the task was identified. Interviewees from the Fund management team suggested this consultant’s expertise may not have been ideal for the selection process</w:t>
      </w:r>
    </w:p>
    <w:p w14:paraId="2E33966A" w14:textId="77777777" w:rsidR="00E66E33" w:rsidRDefault="00F47E34" w:rsidP="00E66E33">
      <w:pPr>
        <w:pStyle w:val="ListBullet"/>
      </w:pPr>
      <w:r>
        <w:t xml:space="preserve">To assess CSO’s statements of organisational capacity, </w:t>
      </w:r>
      <w:r w:rsidR="00E66E33">
        <w:t>the selection panel split into two</w:t>
      </w:r>
      <w:r>
        <w:t xml:space="preserve"> teams (each with a</w:t>
      </w:r>
      <w:r w:rsidR="00E66E33">
        <w:t xml:space="preserve"> WASH and NGO representative). T</w:t>
      </w:r>
      <w:r>
        <w:t>o assess the 115 country-level proj</w:t>
      </w:r>
      <w:r w:rsidR="00E66E33">
        <w:t xml:space="preserve">ect proposals, the two </w:t>
      </w:r>
      <w:r>
        <w:t xml:space="preserve">WASH representatives formed one team (assessing </w:t>
      </w:r>
      <w:r w:rsidR="00E66E33">
        <w:t>a greater number of proposals) while t</w:t>
      </w:r>
      <w:r>
        <w:t>he NGO representatives formed another team (assessing a</w:t>
      </w:r>
      <w:r w:rsidR="00E66E33">
        <w:t xml:space="preserve"> smaller number of proposals). This meant that this stage of assessment did not draw on the potential stre</w:t>
      </w:r>
      <w:r w:rsidR="00FA2A23">
        <w:t>ngths of having a diverse team</w:t>
      </w:r>
    </w:p>
    <w:p w14:paraId="0C1E3687" w14:textId="559CEC2F" w:rsidR="00F47E34" w:rsidRPr="001F740F" w:rsidRDefault="00F47E34" w:rsidP="00E66E33">
      <w:pPr>
        <w:pStyle w:val="ListBullet"/>
      </w:pPr>
      <w:r w:rsidRPr="001F740F">
        <w:t xml:space="preserve">The </w:t>
      </w:r>
      <w:r>
        <w:t>participation of the NGO representatives</w:t>
      </w:r>
      <w:r w:rsidRPr="001F740F">
        <w:t xml:space="preserve"> wa</w:t>
      </w:r>
      <w:r>
        <w:t xml:space="preserve">s highly valued by the </w:t>
      </w:r>
      <w:r w:rsidR="001542F1">
        <w:t xml:space="preserve">DFAT </w:t>
      </w:r>
      <w:r>
        <w:t>WSH</w:t>
      </w:r>
      <w:r w:rsidRPr="001F740F">
        <w:t xml:space="preserve"> panel member.  At the project level stage of assessment, t</w:t>
      </w:r>
      <w:r>
        <w:t>he NGO representatives</w:t>
      </w:r>
      <w:r w:rsidRPr="001F740F">
        <w:t xml:space="preserve"> also selected proposals </w:t>
      </w:r>
      <w:r>
        <w:t xml:space="preserve">from CSOs </w:t>
      </w:r>
      <w:r w:rsidRPr="001F740F">
        <w:t>which were considered by the Fund</w:t>
      </w:r>
      <w:r>
        <w:t xml:space="preserve"> management team to be outstanding</w:t>
      </w:r>
      <w:r w:rsidRPr="001F740F">
        <w:t xml:space="preserve">  </w:t>
      </w:r>
    </w:p>
    <w:p w14:paraId="7E1EA099" w14:textId="6C6AAE9F" w:rsidR="00E66E33" w:rsidRDefault="00F47E34" w:rsidP="00E66E33">
      <w:pPr>
        <w:pStyle w:val="ListBullet"/>
      </w:pPr>
      <w:r>
        <w:t>For certain</w:t>
      </w:r>
      <w:r w:rsidR="00140911">
        <w:t xml:space="preserve"> </w:t>
      </w:r>
      <w:proofErr w:type="gramStart"/>
      <w:r w:rsidR="00140911">
        <w:t>project</w:t>
      </w:r>
      <w:r>
        <w:t xml:space="preserve"> proposals there was</w:t>
      </w:r>
      <w:proofErr w:type="gramEnd"/>
      <w:r>
        <w:t xml:space="preserve"> a significant differenc</w:t>
      </w:r>
      <w:r w:rsidR="00E66E33">
        <w:t>e between WASH representatives’ scores -</w:t>
      </w:r>
      <w:r>
        <w:t xml:space="preserve"> up to 17 marks.</w:t>
      </w:r>
      <w:r w:rsidR="000900E2" w:rsidRPr="000900E2">
        <w:t xml:space="preserve"> </w:t>
      </w:r>
      <w:r w:rsidR="000900E2">
        <w:t xml:space="preserve">In reviewing a sample of </w:t>
      </w:r>
      <w:r w:rsidR="00442E3A">
        <w:t xml:space="preserve">five </w:t>
      </w:r>
      <w:r w:rsidR="00841FDE">
        <w:t>‘outlier’ CSO projects (</w:t>
      </w:r>
      <w:r w:rsidR="000900E2" w:rsidRPr="000117B2">
        <w:t xml:space="preserve">those </w:t>
      </w:r>
      <w:r w:rsidR="000900E2">
        <w:t xml:space="preserve">projects </w:t>
      </w:r>
      <w:r w:rsidR="00841FDE">
        <w:t>described by the Fund m</w:t>
      </w:r>
      <w:r w:rsidR="000900E2" w:rsidRPr="000117B2">
        <w:t xml:space="preserve">anagement team as </w:t>
      </w:r>
      <w:r w:rsidR="000900E2">
        <w:t xml:space="preserve">adopting </w:t>
      </w:r>
      <w:r w:rsidR="000900E2" w:rsidRPr="000117B2">
        <w:t xml:space="preserve">a service-delivery approach and a proposal </w:t>
      </w:r>
      <w:r w:rsidR="000900E2">
        <w:t>from a high-performing CSO from</w:t>
      </w:r>
      <w:r w:rsidR="000900E2" w:rsidRPr="000117B2">
        <w:t xml:space="preserve"> the previous Fund that was not </w:t>
      </w:r>
      <w:r w:rsidR="00841FDE">
        <w:t>successful in obtaining funding)</w:t>
      </w:r>
      <w:r w:rsidR="000900E2" w:rsidRPr="000117B2">
        <w:t xml:space="preserve"> the evaluation team found that the W</w:t>
      </w:r>
      <w:r w:rsidR="000900E2">
        <w:t>A</w:t>
      </w:r>
      <w:r w:rsidR="000900E2" w:rsidRPr="000117B2">
        <w:t xml:space="preserve">SH representatives typically had a significant difference between their scores.  The scores of the </w:t>
      </w:r>
      <w:r w:rsidR="001542F1">
        <w:t xml:space="preserve">DFAT </w:t>
      </w:r>
      <w:r w:rsidR="000900E2" w:rsidRPr="000117B2">
        <w:t>WSH Section representative typically were</w:t>
      </w:r>
      <w:r w:rsidR="000900E2">
        <w:t xml:space="preserve"> more in line with the later assessments of projects by the Fund management team.  This suggests that the external consultant had different views on how to ap</w:t>
      </w:r>
      <w:r w:rsidR="00CA67B0">
        <w:t xml:space="preserve">proach key selection </w:t>
      </w:r>
      <w:proofErr w:type="gramStart"/>
      <w:r w:rsidR="00CA67B0">
        <w:t>criteria</w:t>
      </w:r>
      <w:r w:rsidR="00140911">
        <w:t>,</w:t>
      </w:r>
      <w:proofErr w:type="gramEnd"/>
      <w:r w:rsidR="00140911">
        <w:t xml:space="preserve"> including criteria on gender equality and social inclusion (see section 4.1.5)</w:t>
      </w:r>
      <w:r w:rsidR="00913DA3">
        <w:t>.</w:t>
      </w:r>
    </w:p>
    <w:p w14:paraId="2C16985B" w14:textId="77777777" w:rsidR="00F47E34" w:rsidRDefault="00F47E34" w:rsidP="007034E1">
      <w:pPr>
        <w:pStyle w:val="BodyText"/>
      </w:pPr>
      <w:r>
        <w:t>These findings suggest that future CSO selection processes could ensure that:</w:t>
      </w:r>
    </w:p>
    <w:p w14:paraId="4836792A" w14:textId="1E438F8F" w:rsidR="00690436" w:rsidRDefault="00690436" w:rsidP="00690436">
      <w:pPr>
        <w:pStyle w:val="ListBullet"/>
      </w:pPr>
      <w:r>
        <w:t>Panel members have appropriate WASH and other expertise which enables them to appropriately assess the focus areas of the Fund</w:t>
      </w:r>
    </w:p>
    <w:p w14:paraId="24D1C371" w14:textId="48318279" w:rsidR="00690436" w:rsidRDefault="00690436" w:rsidP="00690436">
      <w:pPr>
        <w:pStyle w:val="ListBullet"/>
      </w:pPr>
      <w:r>
        <w:t xml:space="preserve">Panel members share the same views of what the Fund is aiming to support. For example, a similar view of what reflects best practice </w:t>
      </w:r>
      <w:r w:rsidR="0002046A">
        <w:t xml:space="preserve">and how change occurs in the WASH sector </w:t>
      </w:r>
      <w:r>
        <w:t>and for gender and social inclusion in WASH (see section 4.1.5)</w:t>
      </w:r>
    </w:p>
    <w:p w14:paraId="365AF9A5" w14:textId="45320B95" w:rsidR="00AA65C7" w:rsidRDefault="00EC2752" w:rsidP="00AA65C7">
      <w:pPr>
        <w:pStyle w:val="ListBullet"/>
      </w:pPr>
      <w:r>
        <w:t>T</w:t>
      </w:r>
      <w:r w:rsidR="00F47E34">
        <w:t>eams are suitably diverse and consistent throughout the process</w:t>
      </w:r>
      <w:r w:rsidR="006947E2">
        <w:t>. This will reduce the risk of inconsistent assessment of proposals</w:t>
      </w:r>
      <w:r w:rsidR="00BF013C">
        <w:t>,</w:t>
      </w:r>
      <w:r w:rsidR="00F47E34">
        <w:t xml:space="preserve"> and</w:t>
      </w:r>
    </w:p>
    <w:p w14:paraId="5B2803C2" w14:textId="2BF323AE" w:rsidR="00F47E34" w:rsidRDefault="00EC2752" w:rsidP="00AA65C7">
      <w:pPr>
        <w:pStyle w:val="ListBullet"/>
      </w:pPr>
      <w:r>
        <w:t>A</w:t>
      </w:r>
      <w:r w:rsidR="00F47E34">
        <w:t xml:space="preserve">ppropriate dispute resolution processes are in place in case there are significant differences </w:t>
      </w:r>
      <w:r w:rsidR="00FA2A23">
        <w:t xml:space="preserve">between panel members’ scores. </w:t>
      </w:r>
      <w:r w:rsidR="00F47E34">
        <w:t>This seemed to be in place for the assessment of organisational capability stage, but could have been strengthened at the project proposal ass</w:t>
      </w:r>
      <w:r w:rsidR="00AA65C7">
        <w:t>essment stage. D</w:t>
      </w:r>
      <w:r w:rsidR="00F47E34">
        <w:t>ifferences of ratings of up to 20 marks wer</w:t>
      </w:r>
      <w:r w:rsidR="00AA65C7">
        <w:t xml:space="preserve">e allowed under the </w:t>
      </w:r>
      <w:r w:rsidR="0036429B">
        <w:t>selection process g</w:t>
      </w:r>
      <w:r w:rsidR="00AA65C7">
        <w:t>uidelines; in hindsight, given concerns over some of the projects selected, this difference</w:t>
      </w:r>
      <w:r w:rsidR="00F47E34">
        <w:t xml:space="preserve"> seems too large. </w:t>
      </w:r>
    </w:p>
    <w:p w14:paraId="29251AFF" w14:textId="77777777" w:rsidR="00F47E34" w:rsidRPr="004F3449" w:rsidRDefault="00E86E8F" w:rsidP="00F47E34">
      <w:pPr>
        <w:pStyle w:val="Heading3"/>
      </w:pPr>
      <w:r>
        <w:t>4.1.5</w:t>
      </w:r>
      <w:r>
        <w:tab/>
      </w:r>
      <w:r>
        <w:tab/>
      </w:r>
      <w:r w:rsidR="00FF327F">
        <w:t>Focus on</w:t>
      </w:r>
      <w:r w:rsidR="00F47E34" w:rsidRPr="004F3449">
        <w:t xml:space="preserve"> gender and disability inclusion in CSO selection</w:t>
      </w:r>
    </w:p>
    <w:p w14:paraId="0F89633C" w14:textId="77777777" w:rsidR="00E86E8F" w:rsidRDefault="006C1A86" w:rsidP="00F47E34">
      <w:pPr>
        <w:pStyle w:val="BodyText"/>
      </w:pPr>
      <w:r>
        <w:t>The focus on</w:t>
      </w:r>
      <w:r w:rsidR="00F47E34">
        <w:t xml:space="preserve"> gender and disability inclusion </w:t>
      </w:r>
      <w:r>
        <w:t xml:space="preserve">in the Fund’s </w:t>
      </w:r>
      <w:r w:rsidR="00F47E34">
        <w:t>selection</w:t>
      </w:r>
      <w:r>
        <w:t xml:space="preserve"> process</w:t>
      </w:r>
      <w:r w:rsidR="00F47E34">
        <w:t xml:space="preserve"> appears appropriate.</w:t>
      </w:r>
      <w:r w:rsidR="00E86E8F">
        <w:t xml:space="preserve"> For example: </w:t>
      </w:r>
      <w:r w:rsidR="00F47E34">
        <w:t xml:space="preserve"> </w:t>
      </w:r>
    </w:p>
    <w:p w14:paraId="24B0A9EC" w14:textId="77777777" w:rsidR="00E86E8F" w:rsidRDefault="00E86E8F" w:rsidP="00E86E8F">
      <w:pPr>
        <w:pStyle w:val="ListBullet"/>
      </w:pPr>
      <w:r>
        <w:t>The assessment of CSOs’ general capacity to achieve outcomes for women and socially excluded groups formed 15</w:t>
      </w:r>
      <w:r w:rsidR="00FF327F">
        <w:t xml:space="preserve"> per cent</w:t>
      </w:r>
      <w:r>
        <w:t xml:space="preserve"> of the CSO’s organisational capacity score </w:t>
      </w:r>
      <w:r w:rsidRPr="000C2996">
        <w:t>(</w:t>
      </w:r>
      <w:r w:rsidR="000C2996" w:rsidRPr="000C2996">
        <w:t>see Table 7</w:t>
      </w:r>
      <w:r w:rsidRPr="000C2996">
        <w:t>)</w:t>
      </w:r>
    </w:p>
    <w:p w14:paraId="28739442" w14:textId="77777777" w:rsidR="00E86E8F" w:rsidRDefault="00E86E8F" w:rsidP="00E86E8F">
      <w:pPr>
        <w:pStyle w:val="ListBullet"/>
      </w:pPr>
      <w:r>
        <w:t xml:space="preserve">A further </w:t>
      </w:r>
      <w:r w:rsidR="00FF327F">
        <w:t>10 per cent</w:t>
      </w:r>
      <w:r>
        <w:t xml:space="preserve"> was applied for implementation of key AusAID policies, including on gender equality and disability inclusiveness (</w:t>
      </w:r>
      <w:r w:rsidRPr="000C2996">
        <w:t>see T</w:t>
      </w:r>
      <w:r w:rsidR="000C2996" w:rsidRPr="000C2996">
        <w:t xml:space="preserve">able </w:t>
      </w:r>
      <w:r w:rsidR="000C2996">
        <w:t>7</w:t>
      </w:r>
      <w:r>
        <w:t>)</w:t>
      </w:r>
    </w:p>
    <w:p w14:paraId="750B736D" w14:textId="1B973957" w:rsidR="00FF327F" w:rsidRDefault="00442E3A" w:rsidP="00E86E8F">
      <w:pPr>
        <w:pStyle w:val="ListBullet"/>
      </w:pPr>
      <w:r>
        <w:t>For</w:t>
      </w:r>
      <w:r w:rsidR="00FF327F">
        <w:t xml:space="preserve"> </w:t>
      </w:r>
      <w:r w:rsidR="000C2996">
        <w:t>project-specific proposals,</w:t>
      </w:r>
      <w:r w:rsidR="00FF327F">
        <w:t xml:space="preserve"> the criteria ‘capacity of achieve sustainable WASH outcomes for women, the poor and socially excluded groups’ and ‘gender equality and social inclusion are an integral part of the concept design’ we</w:t>
      </w:r>
      <w:r w:rsidR="000C2996">
        <w:t>re each given 10 per cent weightings (see Table 8).</w:t>
      </w:r>
    </w:p>
    <w:p w14:paraId="5758FF35" w14:textId="1D367561" w:rsidR="00442E3A" w:rsidRDefault="00442E3A" w:rsidP="00442E3A">
      <w:pPr>
        <w:pStyle w:val="ListBullet"/>
        <w:numPr>
          <w:ilvl w:val="0"/>
          <w:numId w:val="0"/>
        </w:numPr>
      </w:pPr>
      <w:r>
        <w:t xml:space="preserve">When it came to assessing project proposals, however, the evaluation team found there were sometimes significant differences between WASH representatives’ scores on the gender and social inclusion criteria (based on a random sample of proposals). This could result in the DFAT </w:t>
      </w:r>
      <w:r w:rsidRPr="004F3449">
        <w:t>WSH rep</w:t>
      </w:r>
      <w:r>
        <w:t xml:space="preserve">resentative rating a CSO’s response to these criteria as </w:t>
      </w:r>
      <w:r w:rsidRPr="004F3449">
        <w:t xml:space="preserve">‘poor’ and </w:t>
      </w:r>
      <w:r>
        <w:t xml:space="preserve">the </w:t>
      </w:r>
      <w:r w:rsidRPr="004F3449">
        <w:t xml:space="preserve">consultant rating these </w:t>
      </w:r>
      <w:r>
        <w:t xml:space="preserve">same criteria as ‘good’, to provide one example. This suggests that for a future phase panel members should have sufficient expertise in gender equality and disability inclusiveness, as discussed in section 4.1.4 above. </w:t>
      </w:r>
    </w:p>
    <w:p w14:paraId="133E3437" w14:textId="77777777" w:rsidR="00BF013C" w:rsidRDefault="00BF013C" w:rsidP="00BF013C">
      <w:pPr>
        <w:pStyle w:val="RecommendationBoxHeading"/>
      </w:pPr>
      <w:r>
        <w:t>Recommendation 6</w:t>
      </w:r>
    </w:p>
    <w:p w14:paraId="5465DD19" w14:textId="0577DDFF" w:rsidR="00BF013C" w:rsidRDefault="00BF013C" w:rsidP="00BF013C">
      <w:pPr>
        <w:pStyle w:val="RecommendationBoxBullet"/>
      </w:pPr>
      <w:r>
        <w:t xml:space="preserve">That for future CSO selection, panel members have appropriate expertise </w:t>
      </w:r>
      <w:r w:rsidR="0066777F">
        <w:t>(</w:t>
      </w:r>
      <w:r>
        <w:t>in WASH, gender equality and disability inclusiveness</w:t>
      </w:r>
      <w:r w:rsidR="00F2727F">
        <w:t>, and with CSOs</w:t>
      </w:r>
      <w:r w:rsidR="0066777F">
        <w:t>)</w:t>
      </w:r>
      <w:r w:rsidR="004A16E9">
        <w:t>.</w:t>
      </w:r>
    </w:p>
    <w:p w14:paraId="5B103C66" w14:textId="77777777" w:rsidR="00442E3A" w:rsidRDefault="00442E3A" w:rsidP="00442E3A">
      <w:pPr>
        <w:pStyle w:val="ListBullet"/>
        <w:numPr>
          <w:ilvl w:val="0"/>
          <w:numId w:val="0"/>
        </w:numPr>
      </w:pPr>
      <w:r>
        <w:t xml:space="preserve">Gender equality and disability inclusiveness were also a strong focus in the Fund’s inception phase. In their Operational Plans, CSOs were required to include a specific gender equality and social inclusion Plan to ensure these issues were appropriately addressed. CSOs were also actively encouraged to enter into partnerships with organisations with specific expertise in gender equality or disability inclusiveness (see MERP M&amp;E Note 9, Gender and Social Inclusion). </w:t>
      </w:r>
    </w:p>
    <w:p w14:paraId="1BB45637" w14:textId="3BEB6AE9" w:rsidR="00316ABA" w:rsidRDefault="0002046A" w:rsidP="00F47E34">
      <w:pPr>
        <w:pStyle w:val="BodyText"/>
      </w:pPr>
      <w:r>
        <w:t xml:space="preserve">ODE agrees with the </w:t>
      </w:r>
      <w:r w:rsidR="00316ABA">
        <w:t xml:space="preserve">option raised by some CSO stakeholders to improve gender equality in the next Fund </w:t>
      </w:r>
      <w:r>
        <w:t xml:space="preserve">by </w:t>
      </w:r>
      <w:r w:rsidR="00913DA3">
        <w:t>specifically includ</w:t>
      </w:r>
      <w:r>
        <w:t>ing</w:t>
      </w:r>
      <w:r w:rsidR="00913DA3">
        <w:t xml:space="preserve"> a focus o</w:t>
      </w:r>
      <w:r w:rsidR="00316ABA">
        <w:t>n how to reorient the traditional r</w:t>
      </w:r>
      <w:r w:rsidR="00F709DD">
        <w:t xml:space="preserve">oles of men in WASH activities. This would be </w:t>
      </w:r>
      <w:r w:rsidR="00913DA3">
        <w:t>i</w:t>
      </w:r>
      <w:r w:rsidR="00316ABA">
        <w:t>n addition to supporting the increased participation of</w:t>
      </w:r>
      <w:r w:rsidR="00F709DD">
        <w:t xml:space="preserve"> women in non-traditional roles</w:t>
      </w:r>
      <w:r w:rsidR="00316ABA">
        <w:t>.</w:t>
      </w:r>
    </w:p>
    <w:p w14:paraId="75D45C1C" w14:textId="1CA58EE7" w:rsidR="00F47E34" w:rsidRDefault="00F47E34" w:rsidP="00F47E34">
      <w:pPr>
        <w:pStyle w:val="Heading3"/>
      </w:pPr>
      <w:r>
        <w:t>4.1.6</w:t>
      </w:r>
      <w:r>
        <w:tab/>
      </w:r>
      <w:r>
        <w:tab/>
      </w:r>
      <w:r w:rsidR="001542F1">
        <w:t xml:space="preserve">DFAT </w:t>
      </w:r>
      <w:r>
        <w:t xml:space="preserve">WSH inadequately resourced </w:t>
      </w:r>
      <w:r w:rsidR="00710B14">
        <w:t xml:space="preserve">for </w:t>
      </w:r>
      <w:r>
        <w:t xml:space="preserve">CSO selection </w:t>
      </w:r>
    </w:p>
    <w:p w14:paraId="6EDEA57D" w14:textId="4540F05C" w:rsidR="00F47E34" w:rsidRDefault="00F47E34" w:rsidP="00F47E34">
      <w:pPr>
        <w:pStyle w:val="BodyText"/>
      </w:pPr>
      <w:r>
        <w:t xml:space="preserve">All </w:t>
      </w:r>
      <w:r w:rsidR="001542F1">
        <w:t xml:space="preserve">DFAT </w:t>
      </w:r>
      <w:r>
        <w:t xml:space="preserve">WSH stakeholders (former and current) stated that the selection panel </w:t>
      </w:r>
      <w:r w:rsidR="00AE36AE">
        <w:t>was under-resourced and DFAT</w:t>
      </w:r>
      <w:r>
        <w:t xml:space="preserve"> lacked appropriate corporate systems at the time of CSO selection.  This caused a huge workload in particular for the </w:t>
      </w:r>
      <w:r w:rsidR="001542F1">
        <w:t xml:space="preserve">DFAT </w:t>
      </w:r>
      <w:r>
        <w:t xml:space="preserve">WSH staff member on the selection panel, who had to manually upload grant applications onto the corporate drive.  This suggests that for future selection processes, the </w:t>
      </w:r>
      <w:r w:rsidR="001542F1">
        <w:t xml:space="preserve">DFAT </w:t>
      </w:r>
      <w:r>
        <w:t>WSH team should consider using online grants management systems and ensure they have sufficient staff resources to manage the process.</w:t>
      </w:r>
      <w:r w:rsidR="006947E2">
        <w:t xml:space="preserve"> Such resources are only likely to be required on</w:t>
      </w:r>
      <w:r w:rsidR="0002046A">
        <w:t xml:space="preserve"> </w:t>
      </w:r>
      <w:r w:rsidR="006947E2">
        <w:t xml:space="preserve">a short term basis, but could deliver significant value to DFAT WSH by helping ensure appropriate CSO projects are selected. </w:t>
      </w:r>
    </w:p>
    <w:p w14:paraId="6E7FAE69" w14:textId="77777777" w:rsidR="00F47E34" w:rsidRDefault="00F47E34" w:rsidP="00F47E34">
      <w:pPr>
        <w:pStyle w:val="Heading3"/>
      </w:pPr>
      <w:r>
        <w:t>4.1.7</w:t>
      </w:r>
      <w:r>
        <w:tab/>
      </w:r>
      <w:r>
        <w:tab/>
        <w:t>Transparency</w:t>
      </w:r>
    </w:p>
    <w:p w14:paraId="3352D1AE" w14:textId="44C0870C" w:rsidR="00F47E34" w:rsidRDefault="00F47E34" w:rsidP="00F47E34">
      <w:pPr>
        <w:pStyle w:val="BodyText"/>
      </w:pPr>
      <w:r>
        <w:t>An intention of the Fund was tha</w:t>
      </w:r>
      <w:r w:rsidR="006336A0">
        <w:t>t CSO selection should be transparent</w:t>
      </w:r>
      <w:r w:rsidR="00484DC3">
        <w:t xml:space="preserve"> – that is, the selection process should be clearly articulated to ensure CSOs under</w:t>
      </w:r>
      <w:r w:rsidR="00492A28">
        <w:t>stoo</w:t>
      </w:r>
      <w:r w:rsidR="00484DC3">
        <w:t xml:space="preserve">d the basis for funding decisions. This transparency aimed to </w:t>
      </w:r>
      <w:r>
        <w:t>remedy a cr</w:t>
      </w:r>
      <w:r w:rsidR="006336A0">
        <w:t>iticism highlighted in the previo</w:t>
      </w:r>
      <w:r w:rsidR="002A5D19">
        <w:t>us Fund’s independent progress</w:t>
      </w:r>
      <w:r w:rsidR="006336A0">
        <w:t xml:space="preserve"> report</w:t>
      </w:r>
      <w:r w:rsidR="00AE36AE">
        <w:t>.</w:t>
      </w:r>
      <w:r w:rsidR="00140911">
        <w:rPr>
          <w:rStyle w:val="FootnoteReference"/>
        </w:rPr>
        <w:footnoteReference w:id="14"/>
      </w:r>
      <w:r w:rsidR="00140911">
        <w:t xml:space="preserve"> </w:t>
      </w:r>
      <w:r w:rsidR="006336A0">
        <w:t xml:space="preserve">The </w:t>
      </w:r>
      <w:r w:rsidR="001542F1">
        <w:t xml:space="preserve">DFAT </w:t>
      </w:r>
      <w:r w:rsidR="006336A0">
        <w:t>WSH</w:t>
      </w:r>
      <w:r>
        <w:t xml:space="preserve"> panel member is to be commended for keeping detailed records of CSO selection, both of individual applications </w:t>
      </w:r>
      <w:r w:rsidR="006336A0">
        <w:t xml:space="preserve">and comparative data.  The </w:t>
      </w:r>
      <w:r w:rsidR="001542F1">
        <w:t xml:space="preserve">DFAT </w:t>
      </w:r>
      <w:r>
        <w:t>WSH team was able to provide detailed feedback to CSOs on how their application fared relative to successful applications.</w:t>
      </w:r>
    </w:p>
    <w:p w14:paraId="0B42CA78" w14:textId="6A78BDC4" w:rsidR="000D5CEA" w:rsidRPr="000D5CEA" w:rsidRDefault="000D5CEA" w:rsidP="000D5CEA">
      <w:pPr>
        <w:pStyle w:val="BodyText"/>
      </w:pPr>
      <w:r w:rsidRPr="000D5CEA">
        <w:t xml:space="preserve">Given some of the issues with respect to the CSO selection process (noted above) some CSOs may nevertheless have found some of the results of the CSO selection process inconsistent with the Fund’s stated purpose. This finding also appears borne out by the CSO survey results. The survey response was too small </w:t>
      </w:r>
      <w:r w:rsidR="0015506F">
        <w:t>to draw clear trends, however 18</w:t>
      </w:r>
      <w:r w:rsidRPr="000D5CEA">
        <w:t xml:space="preserve"> CSO staff responded who were involved in developing their CSO’s applications to the Fund. Eleven responded from unsuccessful CSOs and seven responded from successful CSOs. </w:t>
      </w:r>
    </w:p>
    <w:p w14:paraId="1C5E114C" w14:textId="77777777" w:rsidR="000D5CEA" w:rsidRPr="000D5CEA" w:rsidRDefault="000D5CEA" w:rsidP="000D5CEA">
      <w:pPr>
        <w:pStyle w:val="BodyText"/>
      </w:pPr>
      <w:r w:rsidRPr="000D5CEA">
        <w:t>Most staff from unsuccessful CSOs agreed that they had clear information with which to develop submissions,</w:t>
      </w:r>
      <w:r w:rsidRPr="000D5CEA">
        <w:footnoteReference w:id="15"/>
      </w:r>
      <w:r w:rsidRPr="000D5CEA">
        <w:t xml:space="preserve"> but most could not understand how applications were assessed or funding decisions were made.</w:t>
      </w:r>
      <w:r w:rsidRPr="000D5CEA">
        <w:footnoteReference w:id="16"/>
      </w:r>
    </w:p>
    <w:p w14:paraId="6F8B7BAD" w14:textId="77777777" w:rsidR="000D5CEA" w:rsidRPr="000D5CEA" w:rsidRDefault="000D5CEA" w:rsidP="000D5CEA">
      <w:pPr>
        <w:pStyle w:val="BodyText"/>
      </w:pPr>
      <w:r w:rsidRPr="000D5CEA">
        <w:t>Most staff from successful CSOs strongly agreed that they had clear information to develop submissions.</w:t>
      </w:r>
      <w:r w:rsidRPr="000D5CEA">
        <w:footnoteReference w:id="17"/>
      </w:r>
      <w:r w:rsidRPr="000D5CEA">
        <w:t xml:space="preserve"> Most staff from successful CSOs also agreed they knew how applications were assessed,</w:t>
      </w:r>
      <w:r w:rsidRPr="000D5CEA">
        <w:footnoteReference w:id="18"/>
      </w:r>
      <w:r w:rsidRPr="000D5CEA">
        <w:t xml:space="preserve"> but only a minority agreed that they understood how funding decisions were made.</w:t>
      </w:r>
      <w:r w:rsidRPr="000D5CEA">
        <w:footnoteReference w:id="19"/>
      </w:r>
    </w:p>
    <w:p w14:paraId="5514918F" w14:textId="77777777" w:rsidR="000D5CEA" w:rsidRPr="000D5CEA" w:rsidRDefault="000D5CEA" w:rsidP="000D5CEA">
      <w:pPr>
        <w:pStyle w:val="BodyText"/>
      </w:pPr>
      <w:r w:rsidRPr="000D5CEA">
        <w:t>Other factors could also explain the increased numbers of respondents who could not understand the basis for funding decisions. Most in-country project managers and CSO staff generally would have access to written guidelines for project proposal development, but may not have access to final results unless these were requested from DFAT and passed on by CSOs’ headquarters.</w:t>
      </w:r>
    </w:p>
    <w:p w14:paraId="41112477" w14:textId="49B0BB94" w:rsidR="00054A33" w:rsidRDefault="00054A33" w:rsidP="000D5CEA">
      <w:pPr>
        <w:pStyle w:val="BodyText"/>
      </w:pPr>
      <w:r w:rsidRPr="000D5CEA">
        <w:t>To increase transparency</w:t>
      </w:r>
      <w:r>
        <w:t>,</w:t>
      </w:r>
      <w:r w:rsidRPr="000D5CEA">
        <w:t xml:space="preserve"> the next Fund could potentially hold a group feedback session</w:t>
      </w:r>
      <w:r>
        <w:t xml:space="preserve"> on CSO selection</w:t>
      </w:r>
      <w:r w:rsidRPr="000D5CEA">
        <w:t xml:space="preserve"> </w:t>
      </w:r>
      <w:r w:rsidRPr="00114E68">
        <w:t xml:space="preserve">following </w:t>
      </w:r>
      <w:r>
        <w:t>the announcement of successful CSOs</w:t>
      </w:r>
      <w:r w:rsidRPr="000D5CEA">
        <w:t xml:space="preserve"> (in addition to </w:t>
      </w:r>
      <w:r>
        <w:t xml:space="preserve">the information </w:t>
      </w:r>
      <w:r w:rsidRPr="000D5CEA">
        <w:t xml:space="preserve">session </w:t>
      </w:r>
      <w:r>
        <w:t xml:space="preserve">on the Fund which is usually held for CSOs after the call for proposals and before the </w:t>
      </w:r>
      <w:r w:rsidRPr="000D5CEA">
        <w:t>proposal</w:t>
      </w:r>
      <w:r>
        <w:t xml:space="preserve"> deadline</w:t>
      </w:r>
      <w:r w:rsidRPr="000D5CEA">
        <w:t xml:space="preserve">).  </w:t>
      </w:r>
      <w:r>
        <w:t xml:space="preserve">DFAT </w:t>
      </w:r>
      <w:r w:rsidRPr="000D5CEA">
        <w:t xml:space="preserve">WSH could also continue to provide individualised feedback </w:t>
      </w:r>
      <w:r>
        <w:t xml:space="preserve">on the assessment of CSOs’ applications </w:t>
      </w:r>
      <w:r w:rsidRPr="000D5CEA">
        <w:t>to CSOs that request it</w:t>
      </w:r>
      <w:r>
        <w:t>.</w:t>
      </w:r>
    </w:p>
    <w:p w14:paraId="3A6CA342" w14:textId="77777777" w:rsidR="00F47E34" w:rsidRDefault="00F47E34" w:rsidP="00F47E34">
      <w:pPr>
        <w:pStyle w:val="Heading3"/>
      </w:pPr>
      <w:r>
        <w:t>4.1.8</w:t>
      </w:r>
      <w:r>
        <w:tab/>
      </w:r>
      <w:r>
        <w:tab/>
        <w:t>Other suggestions for the next Fund’s design: regional allocations and size of individual CSO projects</w:t>
      </w:r>
    </w:p>
    <w:p w14:paraId="2938A1D5" w14:textId="0483F299" w:rsidR="00054A33" w:rsidRDefault="00054A33" w:rsidP="00F47E34">
      <w:pPr>
        <w:pStyle w:val="BodyText"/>
      </w:pPr>
      <w:r>
        <w:t>Aside from other issues regarding CSO assessment, DFAT WSH may wish to consider the available pool of CSOs further when designing the next Fund in two respects</w:t>
      </w:r>
      <w:r w:rsidR="00070A43">
        <w:t xml:space="preserve">: </w:t>
      </w:r>
      <w:r>
        <w:t xml:space="preserve">the CSOs operating in particular regions and the size of individual CSO projects.  </w:t>
      </w:r>
    </w:p>
    <w:p w14:paraId="74BFFD5B" w14:textId="05208DF5" w:rsidR="00F47E34" w:rsidRDefault="00F47E34" w:rsidP="00F47E34">
      <w:pPr>
        <w:pStyle w:val="BodyText"/>
      </w:pPr>
      <w:r>
        <w:t xml:space="preserve">44 CSOs were found to have the requisite organisational capacity to then have their project proposals reviewed and some CSOs submitted proposals in multiple geographic regions.  A greater number of CSOs however submitted applications to implement activities in some </w:t>
      </w:r>
      <w:r w:rsidR="006336A0">
        <w:t>geographic regions over others.</w:t>
      </w:r>
      <w:r>
        <w:t xml:space="preserve">  The majority of proposals were for South East Asia and for Southern Africa (see </w:t>
      </w:r>
      <w:r w:rsidR="005919E7" w:rsidRPr="005919E7">
        <w:t>Figure 5</w:t>
      </w:r>
      <w:r>
        <w:t xml:space="preserve">).  Overall only </w:t>
      </w:r>
      <w:r w:rsidR="001818DF">
        <w:t>eight</w:t>
      </w:r>
      <w:r>
        <w:t xml:space="preserve"> eligible CSOs submitted proposals for the Pacif</w:t>
      </w:r>
      <w:r w:rsidR="006336A0">
        <w:t xml:space="preserve">ic region. </w:t>
      </w:r>
      <w:r>
        <w:t xml:space="preserve">Three </w:t>
      </w:r>
      <w:r w:rsidR="006336A0">
        <w:t xml:space="preserve">of these </w:t>
      </w:r>
      <w:r>
        <w:t xml:space="preserve">CSOs were </w:t>
      </w:r>
      <w:r w:rsidRPr="00E54C3B">
        <w:t>funded</w:t>
      </w:r>
      <w:r>
        <w:t xml:space="preserve">, with the bulk of Pacific proposals managed by one CSO.  </w:t>
      </w:r>
    </w:p>
    <w:p w14:paraId="046778DC" w14:textId="4CF291CC" w:rsidR="00F47E34" w:rsidRDefault="00F47E34" w:rsidP="00F47E34">
      <w:pPr>
        <w:pStyle w:val="BodyText"/>
      </w:pPr>
      <w:r>
        <w:t xml:space="preserve">In designing the next Fund, the lower number of eligible Pacific-based applications reviewed raises a potential question of how the Fund could support greater Pacific-based WASH capacity.  This is particularly the case if the next Fund decides to change its geographic distribution (with lesser support for African-based CSOs, as an example). In designing the next Fund, </w:t>
      </w:r>
      <w:r w:rsidR="001542F1">
        <w:t xml:space="preserve">DFAT </w:t>
      </w:r>
      <w:r>
        <w:t xml:space="preserve">WSH </w:t>
      </w:r>
      <w:r w:rsidRPr="00E54C3B">
        <w:t xml:space="preserve">may therefore wish to </w:t>
      </w:r>
      <w:r w:rsidR="00070A43">
        <w:t xml:space="preserve">further </w:t>
      </w:r>
      <w:r w:rsidRPr="00E54C3B">
        <w:t>consider</w:t>
      </w:r>
      <w:r>
        <w:t xml:space="preserve"> the available regional pool of CSOs</w:t>
      </w:r>
      <w:r w:rsidR="00070A43">
        <w:t>, particularly in the Pacific,</w:t>
      </w:r>
      <w:r>
        <w:t xml:space="preserve"> and what impacts this could have for Fund selection and management. </w:t>
      </w:r>
    </w:p>
    <w:p w14:paraId="10943983" w14:textId="77777777" w:rsidR="00F47E34" w:rsidRDefault="00F47E34" w:rsidP="00F47E34">
      <w:pPr>
        <w:pStyle w:val="BodyText"/>
        <w:rPr>
          <w:b/>
          <w:highlight w:val="yellow"/>
        </w:rPr>
      </w:pPr>
    </w:p>
    <w:p w14:paraId="216F02CD" w14:textId="77777777" w:rsidR="00F47E34" w:rsidRDefault="005919E7" w:rsidP="006E558D">
      <w:pPr>
        <w:pStyle w:val="BodyText"/>
        <w:keepNext/>
        <w:rPr>
          <w:b/>
        </w:rPr>
      </w:pPr>
      <w:r w:rsidRPr="005919E7">
        <w:rPr>
          <w:b/>
        </w:rPr>
        <w:t>Figure 5</w:t>
      </w:r>
      <w:r w:rsidR="00F47E34" w:rsidRPr="005919E7">
        <w:rPr>
          <w:b/>
        </w:rPr>
        <w:t xml:space="preserve">: </w:t>
      </w:r>
      <w:r w:rsidR="00F47E34">
        <w:rPr>
          <w:b/>
        </w:rPr>
        <w:t xml:space="preserve"> Eligible CSOs and regions for which t</w:t>
      </w:r>
      <w:r w:rsidR="006336A0">
        <w:rPr>
          <w:b/>
        </w:rPr>
        <w:t>hey submitted project proposals</w:t>
      </w:r>
    </w:p>
    <w:p w14:paraId="3ACB2C65" w14:textId="77777777" w:rsidR="00F47E34" w:rsidRPr="00CD180B" w:rsidRDefault="00F47E34" w:rsidP="00F47E34">
      <w:pPr>
        <w:pStyle w:val="BodyText"/>
        <w:rPr>
          <w:b/>
        </w:rPr>
      </w:pPr>
      <w:r>
        <w:rPr>
          <w:noProof/>
        </w:rPr>
        <w:drawing>
          <wp:inline distT="0" distB="0" distL="0" distR="0" wp14:anchorId="1F0E135A" wp14:editId="11C58631">
            <wp:extent cx="4572000" cy="2495550"/>
            <wp:effectExtent l="0" t="0" r="0" b="0"/>
            <wp:docPr id="298" name="Chart 298" descr="5 CSOs submitted applications for East Africa. 8 CSOs submitted applications for the Pacific. 17 CSOs submitted applications for South Asia. 23 CSOs submitted applications for Southern Africa. 24 CSOs submitted applications for South East Asia. " title="Figure 5: Eligible CSOs and regions for which they submitted project proposals"/>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F72E1D4" w14:textId="77777777" w:rsidR="00F47E34" w:rsidRDefault="00F47E34" w:rsidP="00F47E34">
      <w:pPr>
        <w:pStyle w:val="BodyText"/>
      </w:pPr>
    </w:p>
    <w:p w14:paraId="154E5244" w14:textId="2B03D952" w:rsidR="00F47E34" w:rsidRDefault="001542F1" w:rsidP="00F47E34">
      <w:pPr>
        <w:pStyle w:val="BodyText"/>
      </w:pPr>
      <w:r>
        <w:t xml:space="preserve">DFAT </w:t>
      </w:r>
      <w:r w:rsidR="00F47E34">
        <w:t>WSH may also wish to reconsider the expected project size likely to be managed</w:t>
      </w:r>
      <w:r w:rsidR="0085730C">
        <w:t xml:space="preserve"> by CSOs. The Fund supports</w:t>
      </w:r>
      <w:r w:rsidR="00F47E34">
        <w:t xml:space="preserve"> a greater number of smaller-sized grants than that originally envisaged under the design.  The Selection Panel Guidelines noted that grants for individual CSO projects were expected to be in the order of $7 - $10 million across four years.  A minimum of $2 million was also provided.</w:t>
      </w:r>
      <w:r w:rsidR="0085730C">
        <w:t xml:space="preserve"> </w:t>
      </w:r>
      <w:r w:rsidR="00F47E34">
        <w:t>Of</w:t>
      </w:r>
      <w:r w:rsidR="0085730C">
        <w:t xml:space="preserve"> the 29 projects supported, only two are valued at</w:t>
      </w:r>
      <w:r w:rsidR="00F47E34">
        <w:t xml:space="preserve"> $7 million or abo</w:t>
      </w:r>
      <w:r w:rsidR="0085730C">
        <w:t>ve.  The remainder of the projects are less than $5 million, with one third</w:t>
      </w:r>
      <w:r w:rsidR="00F47E34">
        <w:t xml:space="preserve"> of projects less than the expected grant minimum.  As project grant size impacts on the number of projects funded and the resources allocated for Fund management, </w:t>
      </w:r>
      <w:r>
        <w:t xml:space="preserve">DFAT </w:t>
      </w:r>
      <w:r w:rsidR="00F47E34">
        <w:t xml:space="preserve">WSH may wish to investigate with CSO’s directly their general capacity to manage </w:t>
      </w:r>
      <w:r w:rsidR="0085730C">
        <w:t>projects of a particular size.</w:t>
      </w:r>
      <w:r w:rsidR="00F47E34">
        <w:rPr>
          <w:rStyle w:val="FootnoteReference"/>
        </w:rPr>
        <w:footnoteReference w:id="20"/>
      </w:r>
      <w:r w:rsidR="00F47E34">
        <w:t xml:space="preserve">   </w:t>
      </w:r>
    </w:p>
    <w:p w14:paraId="78B6C2C8" w14:textId="77777777" w:rsidR="00F47E34" w:rsidRDefault="0024413E" w:rsidP="0024413E">
      <w:pPr>
        <w:pStyle w:val="Heading2"/>
      </w:pPr>
      <w:bookmarkStart w:id="37" w:name="_Toc468450007"/>
      <w:r>
        <w:t>4.2</w:t>
      </w:r>
      <w:r>
        <w:tab/>
      </w:r>
      <w:r w:rsidR="00F47E34">
        <w:t>General satisfaction with the Fund’s inception phase</w:t>
      </w:r>
      <w:bookmarkEnd w:id="37"/>
    </w:p>
    <w:p w14:paraId="165B68D2" w14:textId="77777777" w:rsidR="00F47E34" w:rsidRDefault="00F47E34" w:rsidP="00F47E34">
      <w:pPr>
        <w:pStyle w:val="Heading3"/>
      </w:pPr>
      <w:r>
        <w:t>4.2.1</w:t>
      </w:r>
      <w:r>
        <w:tab/>
      </w:r>
      <w:r>
        <w:tab/>
        <w:t xml:space="preserve">Benefits of inception phase </w:t>
      </w:r>
    </w:p>
    <w:p w14:paraId="4BD104FF" w14:textId="4DB4F5C8" w:rsidR="00F47E34" w:rsidRDefault="00F47E34" w:rsidP="00CF48BC">
      <w:pPr>
        <w:pStyle w:val="BodyText"/>
      </w:pPr>
      <w:r>
        <w:t xml:space="preserve">The inception phase had a number of benefits for CSOs and </w:t>
      </w:r>
      <w:r w:rsidR="001542F1">
        <w:t xml:space="preserve">DFAT </w:t>
      </w:r>
      <w:r>
        <w:t xml:space="preserve">WSH which point to this Fund feature being retained.  </w:t>
      </w:r>
    </w:p>
    <w:p w14:paraId="2CB99A22" w14:textId="15F055A9" w:rsidR="00F47E34" w:rsidRDefault="00F47E34" w:rsidP="00CF48BC">
      <w:pPr>
        <w:pStyle w:val="BodyText"/>
      </w:pPr>
      <w:r>
        <w:t>For CSOs, the inception phase lowered the cost of developing proposals as detailed project designs were not required upfront.  During the 3 m</w:t>
      </w:r>
      <w:r w:rsidR="00CF48BC">
        <w:t>onth inception phase, 70 per cent</w:t>
      </w:r>
      <w:r>
        <w:t xml:space="preserve"> of the cost of project design refinemen</w:t>
      </w:r>
      <w:r w:rsidR="00CF48BC">
        <w:t>t was supported by DFAT</w:t>
      </w:r>
      <w:r w:rsidR="005A6B54">
        <w:t xml:space="preserve"> WSH</w:t>
      </w:r>
      <w:r w:rsidR="00CF48BC">
        <w:t xml:space="preserve"> with 30 per cent</w:t>
      </w:r>
      <w:r>
        <w:t xml:space="preserve"> of the cost borne by CSOs.  CSOs also benefitted from MERP su</w:t>
      </w:r>
      <w:r w:rsidR="00D736D7">
        <w:t>pport for the</w:t>
      </w:r>
      <w:r w:rsidR="00CF48BC">
        <w:t xml:space="preserve"> development of Operational Plans.</w:t>
      </w:r>
    </w:p>
    <w:p w14:paraId="675AC89D" w14:textId="5AE307F6" w:rsidR="00F47E34" w:rsidRDefault="00F47E34" w:rsidP="00CF48BC">
      <w:pPr>
        <w:pStyle w:val="BodyText"/>
      </w:pPr>
      <w:r>
        <w:t xml:space="preserve">For </w:t>
      </w:r>
      <w:r w:rsidR="001542F1">
        <w:t xml:space="preserve">DFAT </w:t>
      </w:r>
      <w:r>
        <w:t xml:space="preserve">WSH, the inception phase managed risk. The MERP and the FMF made recommendations to </w:t>
      </w:r>
      <w:r w:rsidR="001542F1">
        <w:t xml:space="preserve">DFAT </w:t>
      </w:r>
      <w:r>
        <w:t>WSH on whether to fund each CSO’s operational plan.  CSOs were also required to have a number of plans within their overall operational plan, specifically: a WASH plan; gender and social inclusion plan; environment, climate change and disaster risk reduction plan; knowledge and learning plan; sustainability and exit plan; a risk assessment plan; and a</w:t>
      </w:r>
      <w:r w:rsidR="00E60842">
        <w:t>n</w:t>
      </w:r>
      <w:r>
        <w:t xml:space="preserve"> M&amp;E plan.  The Fund management team (and CSOs) could then track how certain issues were being managed by an individual CSO, and by the Fund as a whole.</w:t>
      </w:r>
    </w:p>
    <w:p w14:paraId="20CF2D11" w14:textId="3E7E5DC7" w:rsidR="00FB6984" w:rsidRDefault="00F47E34" w:rsidP="00CF48BC">
      <w:pPr>
        <w:pStyle w:val="BodyText"/>
      </w:pPr>
      <w:r w:rsidRPr="00290CD8">
        <w:t>The inception design workshop held in Canberra in April 2013 was almost universally highly praised by CSO staff that attended.  Of the 17 CSO</w:t>
      </w:r>
      <w:r w:rsidR="00FB6984">
        <w:t xml:space="preserve"> staff interviewed, seven</w:t>
      </w:r>
      <w:r w:rsidRPr="00290CD8">
        <w:t xml:space="preserve"> participated in the inception phase</w:t>
      </w:r>
      <w:r w:rsidR="00FB6984">
        <w:t xml:space="preserve"> workshop and</w:t>
      </w:r>
      <w:r>
        <w:t xml:space="preserve"> noted </w:t>
      </w:r>
      <w:r w:rsidR="00FB6984">
        <w:t xml:space="preserve">it as a </w:t>
      </w:r>
      <w:r>
        <w:t>Fund highlight</w:t>
      </w:r>
      <w:r w:rsidR="00FB6984">
        <w:t>. All four CSO project managers who responded to the survey on the inception phase workshop said it was ‘extremely’ or ‘signific</w:t>
      </w:r>
      <w:r w:rsidR="00D736D7">
        <w:t>antly’ beneficial in helping CSO</w:t>
      </w:r>
      <w:r w:rsidR="00FB6984">
        <w:t>s improve their Operational Plans.</w:t>
      </w:r>
    </w:p>
    <w:p w14:paraId="4700AC95" w14:textId="77777777" w:rsidR="00F47E34" w:rsidRDefault="00F47E34" w:rsidP="00F47E34">
      <w:pPr>
        <w:pStyle w:val="Heading3"/>
      </w:pPr>
      <w:r>
        <w:t>4.2.2</w:t>
      </w:r>
      <w:r>
        <w:tab/>
      </w:r>
      <w:r>
        <w:tab/>
        <w:t>Inception phase length</w:t>
      </w:r>
    </w:p>
    <w:p w14:paraId="7FE9ADF0" w14:textId="7F231F73" w:rsidR="00F47E34" w:rsidRDefault="00F47E34" w:rsidP="00F47E34">
      <w:pPr>
        <w:pStyle w:val="BodyText"/>
      </w:pPr>
      <w:r>
        <w:t>Fund stakeh</w:t>
      </w:r>
      <w:r w:rsidR="00FB6984">
        <w:t>olders differed on whether the three</w:t>
      </w:r>
      <w:r>
        <w:t xml:space="preserve"> month inception phase was a sufficient timeframe.  </w:t>
      </w:r>
      <w:r w:rsidR="001542F1">
        <w:t xml:space="preserve">DFAT </w:t>
      </w:r>
      <w:r>
        <w:t xml:space="preserve">WSH and some MERP members believed that a 6–12 month timeframe was preferable.  Some CSOs </w:t>
      </w:r>
      <w:r w:rsidR="00FB6984">
        <w:t xml:space="preserve">have </w:t>
      </w:r>
      <w:r>
        <w:t>requested frequent changes to the implementa</w:t>
      </w:r>
      <w:r w:rsidR="00FB6984">
        <w:t>tion of their projects.</w:t>
      </w:r>
      <w:r>
        <w:t xml:space="preserve"> A longer inception period may have given these CSOs more time to understand the relevant context and to anticipate appropriate responses.  CSOs al</w:t>
      </w:r>
      <w:r w:rsidR="00FB6984">
        <w:t>most universally stated that a three</w:t>
      </w:r>
      <w:r>
        <w:t xml:space="preserve"> month inception phase was appropriate. With the current Fund</w:t>
      </w:r>
      <w:r w:rsidR="00402C36">
        <w:t>, for some CSOs</w:t>
      </w:r>
      <w:r>
        <w:t xml:space="preserve"> there was a significant delay from the time of </w:t>
      </w:r>
      <w:r w:rsidRPr="00484A21">
        <w:t>submissions (2012) to actual program implementation (2014) caused by the Australian government election</w:t>
      </w:r>
      <w:r w:rsidR="00402C36">
        <w:t xml:space="preserve"> (2013)</w:t>
      </w:r>
      <w:r w:rsidRPr="00484A21">
        <w:t xml:space="preserve"> and associated </w:t>
      </w:r>
      <w:r w:rsidR="00402C36">
        <w:t xml:space="preserve">changes to the aid program, which caused delays for the </w:t>
      </w:r>
      <w:r w:rsidRPr="00484A21">
        <w:t>Fund.</w:t>
      </w:r>
      <w:r w:rsidR="00402C36">
        <w:rPr>
          <w:rStyle w:val="FootnoteReference"/>
        </w:rPr>
        <w:footnoteReference w:id="21"/>
      </w:r>
      <w:r w:rsidR="00FB6984">
        <w:t xml:space="preserve"> </w:t>
      </w:r>
      <w:r w:rsidRPr="00484A21">
        <w:t xml:space="preserve">CSOs reflected that </w:t>
      </w:r>
      <w:r w:rsidR="00FB6984">
        <w:t xml:space="preserve">this </w:t>
      </w:r>
      <w:r w:rsidRPr="00484A21">
        <w:t xml:space="preserve">delayed start caused </w:t>
      </w:r>
      <w:r w:rsidR="00FB6984">
        <w:t xml:space="preserve">some </w:t>
      </w:r>
      <w:r w:rsidRPr="00484A21">
        <w:t>problems (costs ha</w:t>
      </w:r>
      <w:r>
        <w:t>d increased with the fall of the Australian dollar, CSO staff had moved on, and original plans had changed as governments in partner countries ‘reallocated targeted areas etc’).</w:t>
      </w:r>
    </w:p>
    <w:p w14:paraId="42C2B9E9" w14:textId="2ACBB809" w:rsidR="00F47E34" w:rsidRPr="00411F6E" w:rsidRDefault="00F47E34" w:rsidP="00F47E34">
      <w:pPr>
        <w:pStyle w:val="BodyText"/>
      </w:pPr>
      <w:r>
        <w:t>It is difficult for the evalua</w:t>
      </w:r>
      <w:r w:rsidR="006359BF">
        <w:t>tion team to gauge whether the three</w:t>
      </w:r>
      <w:r>
        <w:t xml:space="preserve"> month timeframe for the inception phase was appropriate.  A number of other factors affected the development and implementation of CSO projects (the delays to Fund implementation and the CSO projects selected).  Ultimately the inception phase length will be a question for </w:t>
      </w:r>
      <w:r w:rsidR="001542F1">
        <w:t xml:space="preserve">DFAT </w:t>
      </w:r>
      <w:r>
        <w:t>WSH and what it would like to achieve with the next design. Incepti</w:t>
      </w:r>
      <w:r w:rsidR="00FB6984">
        <w:t xml:space="preserve">on phase length would depend on </w:t>
      </w:r>
      <w:r>
        <w:t>how high that Fund intends to continue to ‘raise the bar’ in WASH practice</w:t>
      </w:r>
      <w:r w:rsidR="00690436">
        <w:t xml:space="preserve"> and the planned length of the Fund’s next phase (if the Fund’s next phase is to be shorter in duration, it would not make sense to have a longer inception phase). </w:t>
      </w:r>
      <w:r w:rsidRPr="002F55BA">
        <w:t xml:space="preserve">If more of a ‘partnership’ approach is taken to the development of Fund-wide indicators, then a longer inception phase may </w:t>
      </w:r>
      <w:r>
        <w:t xml:space="preserve">also </w:t>
      </w:r>
      <w:r w:rsidRPr="002F55BA">
        <w:t>be suitable to allow this process.</w:t>
      </w:r>
    </w:p>
    <w:p w14:paraId="436304DF" w14:textId="77777777" w:rsidR="00F47E34" w:rsidRDefault="00F47E34" w:rsidP="00F47E34">
      <w:pPr>
        <w:pStyle w:val="Heading3"/>
      </w:pPr>
      <w:r>
        <w:t>4.2.3</w:t>
      </w:r>
      <w:r>
        <w:tab/>
      </w:r>
      <w:r>
        <w:tab/>
        <w:t>Suggested removal of ‘stop-go’ option</w:t>
      </w:r>
    </w:p>
    <w:p w14:paraId="589DCA9B" w14:textId="2F8EE627" w:rsidR="0050678D" w:rsidRDefault="009C2062" w:rsidP="00F47E34">
      <w:pPr>
        <w:pStyle w:val="BodyText"/>
      </w:pPr>
      <w:r>
        <w:t xml:space="preserve">The end of the inception phase was originally intended to be a stop-go point; that is, CSOs whose Operational Plans did not meet a certain standard at the end of the inception phase would not receive funding for their projects. CSOs reported that this created uncertainty. It was difficult for CSOs to make and keep commitments to partner government and to other local actors if CSOs did not know whether their project would be funded after the inception phase.  </w:t>
      </w:r>
      <w:r w:rsidR="00EC2752">
        <w:t>DFAT WSH also had</w:t>
      </w:r>
      <w:r>
        <w:t xml:space="preserve"> no appetite to utilise the ‘stop-go’ mechanism unless extreme circumstances warranted it. The evaluation team suggests that the inception phase no longer operate as a ‘stop-go’ point. </w:t>
      </w:r>
      <w:r w:rsidR="0050678D">
        <w:t xml:space="preserve">With the removal of the ‘stop-go’ option, CSOs could be engaged </w:t>
      </w:r>
      <w:r w:rsidR="0002046A">
        <w:t xml:space="preserve">and managed </w:t>
      </w:r>
      <w:r w:rsidR="0050678D">
        <w:t xml:space="preserve">under a single grant agreement, rather than entering into separate grant agreements for the inception and implementation phases. This could create additional efficiencies for Fund management. </w:t>
      </w:r>
    </w:p>
    <w:p w14:paraId="5A0DDA9D" w14:textId="77777777" w:rsidR="00F47E34" w:rsidRDefault="00F47E34" w:rsidP="00F47E34">
      <w:pPr>
        <w:pStyle w:val="Heading2"/>
        <w:numPr>
          <w:ilvl w:val="1"/>
          <w:numId w:val="35"/>
        </w:numPr>
      </w:pPr>
      <w:bookmarkStart w:id="38" w:name="_Toc468450008"/>
      <w:r>
        <w:t>Conclusion</w:t>
      </w:r>
      <w:bookmarkEnd w:id="38"/>
      <w:r>
        <w:t xml:space="preserve"> </w:t>
      </w:r>
    </w:p>
    <w:p w14:paraId="017A6BC2" w14:textId="485721A5" w:rsidR="00EC2752" w:rsidRDefault="00F47E34" w:rsidP="00F47E34">
      <w:pPr>
        <w:pStyle w:val="BodyText"/>
      </w:pPr>
      <w:r>
        <w:t>A lot of effort went into conceiving</w:t>
      </w:r>
      <w:r w:rsidR="009C2062">
        <w:t xml:space="preserve"> and undertaking CSO selection and many of its elements were strong.</w:t>
      </w:r>
      <w:r>
        <w:t xml:space="preserve"> In hindsight however, various aspects could be improved</w:t>
      </w:r>
      <w:r w:rsidR="009C2062">
        <w:t xml:space="preserve"> to help ensure the most suitable CSOs and projects are select</w:t>
      </w:r>
      <w:r w:rsidR="002B73B1">
        <w:t>ed</w:t>
      </w:r>
      <w:r w:rsidR="009C2062">
        <w:t xml:space="preserve">. These </w:t>
      </w:r>
      <w:r>
        <w:t xml:space="preserve">include: </w:t>
      </w:r>
    </w:p>
    <w:p w14:paraId="04B6C6DD" w14:textId="3B3B23AF" w:rsidR="00EC2752" w:rsidRDefault="00EC2752" w:rsidP="00EC2752">
      <w:pPr>
        <w:pStyle w:val="ListBullet"/>
      </w:pPr>
      <w:r>
        <w:t>I</w:t>
      </w:r>
      <w:r w:rsidR="00F47E34">
        <w:t xml:space="preserve">ncorporating the Fund’s </w:t>
      </w:r>
      <w:r>
        <w:t>theory of change in the design</w:t>
      </w:r>
    </w:p>
    <w:p w14:paraId="7A108F52" w14:textId="0A2A0FEB" w:rsidR="00EC2752" w:rsidRDefault="00EC2752" w:rsidP="00EC2752">
      <w:pPr>
        <w:pStyle w:val="ListBullet"/>
      </w:pPr>
      <w:r>
        <w:t>P</w:t>
      </w:r>
      <w:r w:rsidR="00F47E34">
        <w:t xml:space="preserve">roviding greater weighting to key criteria </w:t>
      </w:r>
      <w:r>
        <w:t>and to a CSO’s past experience</w:t>
      </w:r>
    </w:p>
    <w:p w14:paraId="498101B6" w14:textId="5383A752" w:rsidR="00EC2752" w:rsidRDefault="00EC2752" w:rsidP="00EC2752">
      <w:pPr>
        <w:pStyle w:val="ListBullet"/>
      </w:pPr>
      <w:r>
        <w:t>P</w:t>
      </w:r>
      <w:r w:rsidR="00F47E34">
        <w:t xml:space="preserve">ossibly taking into account scores of both the CSO’s organisational capacity and project proposal to </w:t>
      </w:r>
      <w:r>
        <w:t>determine the final assessment</w:t>
      </w:r>
    </w:p>
    <w:p w14:paraId="21EC8317" w14:textId="0B8F2EC2" w:rsidR="00EC2752" w:rsidRDefault="00EC2752" w:rsidP="00EC2752">
      <w:pPr>
        <w:pStyle w:val="ListBullet"/>
      </w:pPr>
      <w:r>
        <w:t>D</w:t>
      </w:r>
      <w:r w:rsidR="00F47E34">
        <w:t xml:space="preserve">rawing upon a selection panel with appropriate yet diverse expertise – including in gender and disability inclusive development, and </w:t>
      </w:r>
    </w:p>
    <w:p w14:paraId="608899D7" w14:textId="49AEF246" w:rsidR="00F47E34" w:rsidRDefault="00EC2752" w:rsidP="00EC2752">
      <w:pPr>
        <w:pStyle w:val="ListBullet"/>
      </w:pPr>
      <w:r>
        <w:t>E</w:t>
      </w:r>
      <w:r w:rsidR="00F47E34">
        <w:t>nsuring appropriate dispute resolution processes are in place to resolve any significant differences between panel members’ scores.</w:t>
      </w:r>
    </w:p>
    <w:p w14:paraId="7A33B694" w14:textId="42164016" w:rsidR="00F22677" w:rsidRPr="0099593A" w:rsidRDefault="00F47E34" w:rsidP="00AB686C">
      <w:pPr>
        <w:pStyle w:val="BodyText"/>
      </w:pPr>
      <w:r>
        <w:t>Fund stakeholders appreciated the Fund’s inception phase and the evaluation team suggests</w:t>
      </w:r>
      <w:r w:rsidR="00B04BF2">
        <w:t xml:space="preserve"> it</w:t>
      </w:r>
      <w:r>
        <w:t xml:space="preserve"> be retained for the next Fund.  An improvement would be to remove the ‘stop-go’ option.  </w:t>
      </w:r>
    </w:p>
    <w:p w14:paraId="2CF03CFC" w14:textId="77777777" w:rsidR="00514717" w:rsidRDefault="00593BB5" w:rsidP="00A0021E">
      <w:pPr>
        <w:pStyle w:val="Heading1"/>
      </w:pPr>
      <w:bookmarkStart w:id="39" w:name="_Toc468450009"/>
      <w:r>
        <w:t>Glossary</w:t>
      </w:r>
      <w:bookmarkEnd w:id="39"/>
    </w:p>
    <w:p w14:paraId="5B1D5D9C" w14:textId="109D1293" w:rsidR="00B103AE" w:rsidRPr="00737792" w:rsidRDefault="00B103AE" w:rsidP="008279AD">
      <w:r w:rsidRPr="00737792">
        <w:t>ADRA</w:t>
      </w:r>
      <w:r w:rsidRPr="00737792">
        <w:tab/>
      </w:r>
      <w:r w:rsidRPr="00737792">
        <w:tab/>
        <w:t>Australian Research Development Awards</w:t>
      </w:r>
    </w:p>
    <w:p w14:paraId="2DA77E13" w14:textId="77777777" w:rsidR="008279AD" w:rsidRPr="00737792" w:rsidRDefault="008279AD" w:rsidP="008279AD">
      <w:r w:rsidRPr="00737792">
        <w:t>ANCP</w:t>
      </w:r>
      <w:r w:rsidRPr="00737792">
        <w:tab/>
      </w:r>
      <w:r w:rsidRPr="00737792">
        <w:tab/>
        <w:t>Australian NGO Cooperation Program</w:t>
      </w:r>
    </w:p>
    <w:p w14:paraId="3E0B71D1" w14:textId="581A334B" w:rsidR="008279AD" w:rsidRPr="00737792" w:rsidRDefault="008279AD" w:rsidP="008279AD">
      <w:r w:rsidRPr="00737792">
        <w:t>AACES</w:t>
      </w:r>
      <w:r w:rsidRPr="00737792">
        <w:tab/>
        <w:t>Australia-Africa Community Engagement Scheme</w:t>
      </w:r>
    </w:p>
    <w:p w14:paraId="4743DD86" w14:textId="6345BF7E" w:rsidR="008279AD" w:rsidRPr="00737792" w:rsidRDefault="008279AD" w:rsidP="008279AD">
      <w:r w:rsidRPr="00737792">
        <w:t>A</w:t>
      </w:r>
      <w:r w:rsidR="00737792" w:rsidRPr="00737792">
        <w:t>NGO</w:t>
      </w:r>
      <w:r w:rsidR="00737792" w:rsidRPr="00737792">
        <w:tab/>
      </w:r>
      <w:r w:rsidR="00737792" w:rsidRPr="00737792">
        <w:tab/>
        <w:t>Australian Non-Government</w:t>
      </w:r>
      <w:r w:rsidRPr="00737792">
        <w:t xml:space="preserve"> Organisation</w:t>
      </w:r>
    </w:p>
    <w:p w14:paraId="737D8050" w14:textId="30B0679D" w:rsidR="008279AD" w:rsidRPr="00737792" w:rsidRDefault="008279AD" w:rsidP="008279AD">
      <w:r w:rsidRPr="00737792">
        <w:t>CSO</w:t>
      </w:r>
      <w:r w:rsidRPr="00737792">
        <w:tab/>
      </w:r>
      <w:r w:rsidRPr="00737792">
        <w:tab/>
        <w:t>Civil Society Organisation</w:t>
      </w:r>
    </w:p>
    <w:p w14:paraId="4F9CB80B" w14:textId="77777777" w:rsidR="008279AD" w:rsidRPr="00737792" w:rsidRDefault="008279AD" w:rsidP="008279AD">
      <w:r w:rsidRPr="00737792">
        <w:t>DFAT</w:t>
      </w:r>
      <w:r w:rsidRPr="00737792">
        <w:tab/>
      </w:r>
      <w:r w:rsidRPr="00737792">
        <w:tab/>
        <w:t>Department of Foreign Affairs and Trade</w:t>
      </w:r>
    </w:p>
    <w:p w14:paraId="61624354" w14:textId="11BDCD94" w:rsidR="008279AD" w:rsidRPr="00737792" w:rsidRDefault="008279AD" w:rsidP="008279AD">
      <w:r w:rsidRPr="00737792">
        <w:t>FMF</w:t>
      </w:r>
      <w:r w:rsidRPr="00737792">
        <w:tab/>
      </w:r>
      <w:r w:rsidRPr="00737792">
        <w:tab/>
        <w:t>Fund Management Facility</w:t>
      </w:r>
    </w:p>
    <w:p w14:paraId="74DE5044" w14:textId="0FBA29C2" w:rsidR="00B103AE" w:rsidRPr="00737792" w:rsidRDefault="00B103AE" w:rsidP="008279AD">
      <w:r w:rsidRPr="00737792">
        <w:t>FTE</w:t>
      </w:r>
      <w:r w:rsidRPr="00737792">
        <w:tab/>
      </w:r>
      <w:r w:rsidRPr="00737792">
        <w:tab/>
        <w:t>Full-Time Equivalent</w:t>
      </w:r>
    </w:p>
    <w:p w14:paraId="2DEEA11A" w14:textId="7E31E8D9" w:rsidR="00FB74AA" w:rsidRPr="00737792" w:rsidRDefault="00FB74AA" w:rsidP="00FB74AA">
      <w:r w:rsidRPr="00737792">
        <w:t>I&amp;I</w:t>
      </w:r>
      <w:r w:rsidRPr="00737792">
        <w:tab/>
      </w:r>
      <w:r w:rsidRPr="00737792">
        <w:tab/>
      </w:r>
      <w:r w:rsidRPr="00737792">
        <w:tab/>
        <w:t>Innovation and Impact</w:t>
      </w:r>
      <w:r w:rsidR="00EF2B0D">
        <w:t xml:space="preserve"> Fund</w:t>
      </w:r>
    </w:p>
    <w:p w14:paraId="385CAF16" w14:textId="77777777" w:rsidR="00B103AE" w:rsidRPr="00737792" w:rsidRDefault="00B103AE" w:rsidP="00B103AE">
      <w:r w:rsidRPr="00737792">
        <w:t>IEC</w:t>
      </w:r>
      <w:r w:rsidRPr="00737792">
        <w:tab/>
      </w:r>
      <w:r w:rsidRPr="00737792">
        <w:tab/>
        <w:t>Independent Evaluation Committee</w:t>
      </w:r>
    </w:p>
    <w:p w14:paraId="18603936" w14:textId="3C76097C" w:rsidR="008279AD" w:rsidRPr="00737792" w:rsidRDefault="008279AD" w:rsidP="008279AD">
      <w:r w:rsidRPr="00737792">
        <w:t>K&amp;L</w:t>
      </w:r>
      <w:r w:rsidRPr="00737792">
        <w:tab/>
      </w:r>
      <w:r w:rsidRPr="00737792">
        <w:tab/>
        <w:t>Knowledge and Learning</w:t>
      </w:r>
    </w:p>
    <w:p w14:paraId="3E7F809E" w14:textId="1756BCF4" w:rsidR="008279AD" w:rsidRPr="00737792" w:rsidRDefault="008279AD" w:rsidP="008279AD">
      <w:r w:rsidRPr="00737792">
        <w:t>KALM</w:t>
      </w:r>
      <w:r w:rsidRPr="00737792">
        <w:tab/>
      </w:r>
      <w:r w:rsidRPr="00737792">
        <w:tab/>
        <w:t>Knowledge and Learning Manager</w:t>
      </w:r>
    </w:p>
    <w:p w14:paraId="36A721C3" w14:textId="20BD59E6" w:rsidR="00FB74AA" w:rsidRPr="00737792" w:rsidRDefault="00FB74AA" w:rsidP="008279AD">
      <w:r w:rsidRPr="00737792">
        <w:t>KPIs</w:t>
      </w:r>
      <w:r w:rsidRPr="00737792">
        <w:tab/>
      </w:r>
      <w:r w:rsidRPr="00737792">
        <w:tab/>
        <w:t>Key Performance Indicators</w:t>
      </w:r>
    </w:p>
    <w:p w14:paraId="44C6FBF9" w14:textId="1B2E8940" w:rsidR="00FB74AA" w:rsidRPr="00737792" w:rsidRDefault="00FB74AA" w:rsidP="008279AD">
      <w:r w:rsidRPr="00737792">
        <w:t>KPQs</w:t>
      </w:r>
      <w:r w:rsidRPr="00737792">
        <w:tab/>
      </w:r>
      <w:r w:rsidRPr="00737792">
        <w:tab/>
        <w:t>key Performance Questions</w:t>
      </w:r>
    </w:p>
    <w:p w14:paraId="2397F25B" w14:textId="17395657" w:rsidR="008279AD" w:rsidRPr="00737792" w:rsidRDefault="008279AD" w:rsidP="008279AD">
      <w:r w:rsidRPr="00737792">
        <w:t>M&amp;E</w:t>
      </w:r>
      <w:r w:rsidRPr="00737792">
        <w:tab/>
      </w:r>
      <w:r w:rsidRPr="00737792">
        <w:tab/>
        <w:t>Monitoring and Evaluation</w:t>
      </w:r>
    </w:p>
    <w:p w14:paraId="398454FF" w14:textId="6F6440CD" w:rsidR="008279AD" w:rsidRPr="00737792" w:rsidRDefault="008279AD" w:rsidP="008279AD">
      <w:r w:rsidRPr="00737792">
        <w:t>MERP</w:t>
      </w:r>
      <w:r w:rsidRPr="00737792">
        <w:tab/>
      </w:r>
      <w:r w:rsidRPr="00737792">
        <w:tab/>
        <w:t>Monitoring, Ev</w:t>
      </w:r>
      <w:r w:rsidR="00EF2B0D">
        <w:t>aluation and Review Panel</w:t>
      </w:r>
    </w:p>
    <w:p w14:paraId="5E6E4AC7" w14:textId="6A39EAA7" w:rsidR="008279AD" w:rsidRPr="00737792" w:rsidRDefault="00737792" w:rsidP="008279AD">
      <w:r w:rsidRPr="00737792">
        <w:t>NGO</w:t>
      </w:r>
      <w:r w:rsidRPr="00737792">
        <w:tab/>
      </w:r>
      <w:r w:rsidRPr="00737792">
        <w:tab/>
        <w:t>Non-Government</w:t>
      </w:r>
      <w:r w:rsidR="008279AD" w:rsidRPr="00737792">
        <w:t xml:space="preserve"> Organisation</w:t>
      </w:r>
    </w:p>
    <w:p w14:paraId="796D1F4F" w14:textId="77777777" w:rsidR="008279AD" w:rsidRPr="00737792" w:rsidRDefault="008279AD" w:rsidP="008279AD">
      <w:r w:rsidRPr="00737792">
        <w:t>ODE</w:t>
      </w:r>
      <w:r w:rsidRPr="00737792">
        <w:tab/>
      </w:r>
      <w:r w:rsidRPr="00737792">
        <w:tab/>
        <w:t>Office of Development Effectiveness</w:t>
      </w:r>
    </w:p>
    <w:p w14:paraId="04BBE2A8" w14:textId="36F301C7" w:rsidR="008279AD" w:rsidRPr="00737792" w:rsidRDefault="008279AD" w:rsidP="008279AD">
      <w:r w:rsidRPr="00737792">
        <w:t>PRT</w:t>
      </w:r>
      <w:r w:rsidRPr="00737792">
        <w:tab/>
      </w:r>
      <w:r w:rsidRPr="00737792">
        <w:tab/>
        <w:t>Project Reporting Tool</w:t>
      </w:r>
    </w:p>
    <w:p w14:paraId="176054B5" w14:textId="65888D7D" w:rsidR="009E0DF9" w:rsidRPr="00737792" w:rsidRDefault="008279AD" w:rsidP="008279AD">
      <w:pPr>
        <w:pStyle w:val="BodyText"/>
      </w:pPr>
      <w:r w:rsidRPr="00737792">
        <w:t>WASH</w:t>
      </w:r>
      <w:r w:rsidRPr="00737792">
        <w:tab/>
      </w:r>
      <w:r w:rsidRPr="00737792">
        <w:tab/>
        <w:t>Water, Sanitation and Hygiene</w:t>
      </w:r>
      <w:r w:rsidRPr="00737792">
        <w:tab/>
      </w:r>
    </w:p>
    <w:p w14:paraId="7A83B0BF" w14:textId="292090DD" w:rsidR="008279AD" w:rsidRPr="009E0DF9" w:rsidRDefault="008279AD" w:rsidP="008279AD">
      <w:pPr>
        <w:pStyle w:val="BodyText"/>
      </w:pPr>
      <w:r w:rsidRPr="00737792">
        <w:t>WSH</w:t>
      </w:r>
      <w:r w:rsidRPr="00737792">
        <w:tab/>
      </w:r>
      <w:r w:rsidRPr="00737792">
        <w:tab/>
        <w:t>Water, Sanitation and Hygiene Section (DFAT)</w:t>
      </w:r>
    </w:p>
    <w:p w14:paraId="659E7054" w14:textId="77777777" w:rsidR="000957A1" w:rsidRDefault="000957A1" w:rsidP="000957A1">
      <w:pPr>
        <w:pStyle w:val="BodyText"/>
      </w:pPr>
    </w:p>
    <w:p w14:paraId="0A4838C9" w14:textId="77777777" w:rsidR="000957A1" w:rsidRDefault="000957A1" w:rsidP="000957A1">
      <w:pPr>
        <w:pStyle w:val="BodyText"/>
        <w:sectPr w:rsidR="000957A1" w:rsidSect="0074199B">
          <w:footnotePr>
            <w:numFmt w:val="chicago"/>
            <w:numRestart w:val="eachPage"/>
          </w:footnotePr>
          <w:endnotePr>
            <w:numFmt w:val="decimal"/>
          </w:endnotePr>
          <w:pgSz w:w="11907" w:h="16840" w:code="9"/>
          <w:pgMar w:top="1440" w:right="1440" w:bottom="1440" w:left="1440" w:header="851" w:footer="567" w:gutter="0"/>
          <w:cols w:space="720"/>
          <w:docGrid w:linePitch="326"/>
        </w:sectPr>
      </w:pPr>
    </w:p>
    <w:p w14:paraId="0FB72A93" w14:textId="77777777" w:rsidR="00593BB5" w:rsidRDefault="00593BB5" w:rsidP="00A0021E">
      <w:pPr>
        <w:pStyle w:val="Heading1"/>
        <w:rPr>
          <w:noProof/>
        </w:rPr>
      </w:pPr>
      <w:bookmarkStart w:id="40" w:name="_Toc468450010"/>
      <w:r>
        <w:rPr>
          <w:noProof/>
        </w:rPr>
        <w:t>References</w:t>
      </w:r>
      <w:bookmarkEnd w:id="40"/>
    </w:p>
    <w:p w14:paraId="6CAFFA94" w14:textId="162FD61E" w:rsidR="00824D26" w:rsidRDefault="00824D26" w:rsidP="009E0DF9">
      <w:pPr>
        <w:pStyle w:val="BodyText"/>
      </w:pPr>
      <w:r w:rsidRPr="007572C7">
        <w:t>Australian Agency for International Development, ‘Minute: Selection Process for the Civil Society WASH Fund’, unpublished, October 2012.</w:t>
      </w:r>
    </w:p>
    <w:p w14:paraId="00E8FBAF" w14:textId="31585B3E" w:rsidR="009E0DF9" w:rsidRDefault="00117CCB" w:rsidP="009E0DF9">
      <w:pPr>
        <w:pStyle w:val="BodyText"/>
      </w:pPr>
      <w:r>
        <w:t>Australian Agency for International Development, ‘AusAID Civil Society Water, Sanitation and Hygiene Fund – Guidelines and Templates’, July 2012.</w:t>
      </w:r>
    </w:p>
    <w:p w14:paraId="01556921" w14:textId="411707B9" w:rsidR="006621C0" w:rsidRDefault="006621C0" w:rsidP="009E0DF9">
      <w:pPr>
        <w:pStyle w:val="BodyText"/>
      </w:pPr>
      <w:r>
        <w:t>Australian Agency for International Development, ‘Civil Society Water, Sanitation and Hygiene Fund: Independent Completion Review’. June 2012.</w:t>
      </w:r>
    </w:p>
    <w:p w14:paraId="2B492D37" w14:textId="545A62B8" w:rsidR="00117CCB" w:rsidRDefault="00117CCB" w:rsidP="009E0DF9">
      <w:pPr>
        <w:pStyle w:val="BodyText"/>
      </w:pPr>
      <w:r>
        <w:t>Australian Agency for International Development, ‘Water, Sanitation and Hygiene Global Programs and Cross-Regional Support: Civil Society WASH Fund Design Document’, May 2012.</w:t>
      </w:r>
    </w:p>
    <w:p w14:paraId="6DA4A011" w14:textId="220E3955" w:rsidR="002D3870" w:rsidRDefault="002D3870" w:rsidP="009E0DF9">
      <w:pPr>
        <w:pStyle w:val="BodyText"/>
      </w:pPr>
      <w:r>
        <w:t>Australian Agency for International Development, ‘Civil Society Water, Sanitation and Hygiene Fund: Independent Progress Report’, February 2011.</w:t>
      </w:r>
    </w:p>
    <w:p w14:paraId="7D945516" w14:textId="77777777" w:rsidR="00B92101" w:rsidRDefault="00B92101" w:rsidP="00B92101">
      <w:r>
        <w:t>Civil Society Water, Sanitation and Hygiene Fund Management Facility, Annual Plans: CS WASH Fund, unpublished (2013-14 – 2015-16).</w:t>
      </w:r>
    </w:p>
    <w:p w14:paraId="0B7EAB03" w14:textId="77777777" w:rsidR="00B92101" w:rsidRDefault="00B92101" w:rsidP="00B92101">
      <w:r>
        <w:t>Civil Society Water, Sanitation and Hygiene Fund Management Facility, Quarterly Reports, unpublished (Nos. 1- 12).</w:t>
      </w:r>
    </w:p>
    <w:p w14:paraId="1A5B5239" w14:textId="1D6C4862" w:rsidR="00075EB9" w:rsidRDefault="00075EB9" w:rsidP="009E0DF9">
      <w:pPr>
        <w:pStyle w:val="BodyText"/>
      </w:pPr>
      <w:r>
        <w:t>Civil Society WASH Fund, ‘M&amp;E Note 1: About the Civil Society WASH Fund’, July 2016.</w:t>
      </w:r>
    </w:p>
    <w:p w14:paraId="01A7CCE6" w14:textId="1C8991DA" w:rsidR="00075EB9" w:rsidRDefault="00075EB9" w:rsidP="009E0DF9">
      <w:pPr>
        <w:pStyle w:val="BodyText"/>
      </w:pPr>
      <w:r>
        <w:t>Civil Society WASH Fund, ‘M&amp;E Note 2: Actor Analysis’, July 2016.</w:t>
      </w:r>
    </w:p>
    <w:p w14:paraId="2D792B94" w14:textId="7CC34A81" w:rsidR="00075EB9" w:rsidRDefault="00075EB9" w:rsidP="009E0DF9">
      <w:pPr>
        <w:pStyle w:val="BodyText"/>
      </w:pPr>
      <w:r>
        <w:t>Civil Society WASH Fund, ‘M&amp;E Note 3: Approach Mapping’, July 2016.</w:t>
      </w:r>
    </w:p>
    <w:p w14:paraId="6B0E3018" w14:textId="24E041EA" w:rsidR="00075EB9" w:rsidRDefault="00075EB9" w:rsidP="009E0DF9">
      <w:pPr>
        <w:pStyle w:val="BodyText"/>
      </w:pPr>
      <w:r>
        <w:t>Civil Society WASH Fund, ‘M&amp;E Note 4: Analysis of Implementation Progress’, July 2016.</w:t>
      </w:r>
    </w:p>
    <w:p w14:paraId="5EA96DA5" w14:textId="296A0E21" w:rsidR="00075EB9" w:rsidRDefault="00075EB9" w:rsidP="009E0DF9">
      <w:pPr>
        <w:pStyle w:val="BodyText"/>
      </w:pPr>
      <w:r>
        <w:t>Civil Society WASH Fund, ‘M&amp;E Note 5: Expected Changes and Emerging Impacts’, July 2016.</w:t>
      </w:r>
    </w:p>
    <w:p w14:paraId="64ACD131" w14:textId="41B20ECC" w:rsidR="00075EB9" w:rsidRDefault="00075EB9" w:rsidP="009E0DF9">
      <w:pPr>
        <w:pStyle w:val="BodyText"/>
      </w:pPr>
      <w:r>
        <w:t>Civil Society WASH Fund, ‘M&amp;E Note 6: Analysis of Changes’, July 2016.</w:t>
      </w:r>
    </w:p>
    <w:p w14:paraId="09ACB540" w14:textId="7973E21C" w:rsidR="00075EB9" w:rsidRDefault="00075EB9" w:rsidP="009E0DF9">
      <w:pPr>
        <w:pStyle w:val="BodyText"/>
      </w:pPr>
      <w:r>
        <w:t>Civil Society WASH Fund, ‘M&amp;E Note 7: Summary of Monitoring Visits’, July 2016.</w:t>
      </w:r>
    </w:p>
    <w:p w14:paraId="5BAC3B82" w14:textId="232F631C" w:rsidR="00075EB9" w:rsidRDefault="00075EB9" w:rsidP="009E0DF9">
      <w:pPr>
        <w:pStyle w:val="BodyText"/>
      </w:pPr>
      <w:r>
        <w:t>Civil Society WASH Fund, ‘M&amp;E Note 8: Behaviour Change’, July 2016.</w:t>
      </w:r>
    </w:p>
    <w:p w14:paraId="2E057A3E" w14:textId="1E6B4D01" w:rsidR="00075EB9" w:rsidRDefault="00075EB9" w:rsidP="009E0DF9">
      <w:pPr>
        <w:pStyle w:val="BodyText"/>
      </w:pPr>
      <w:r>
        <w:t>Civil Society WASH Fund, ‘M&amp;E Note 9: Gender and Social Inclusion’, July 2016.</w:t>
      </w:r>
    </w:p>
    <w:p w14:paraId="4A5FB2C7" w14:textId="494C3A9A" w:rsidR="00117CCB" w:rsidRDefault="00117CCB" w:rsidP="009E0DF9">
      <w:pPr>
        <w:pStyle w:val="BodyText"/>
      </w:pPr>
      <w:proofErr w:type="gramStart"/>
      <w:r>
        <w:t>Civil Society Water, Sanitation and Hygiene Fund Management Facility, Civil Society Water, Sanitation and Hygiene Fund website.</w:t>
      </w:r>
      <w:proofErr w:type="gramEnd"/>
      <w:r>
        <w:t xml:space="preserve"> Available from: &lt;http://www.cswashfund.org/&gt;.</w:t>
      </w:r>
    </w:p>
    <w:p w14:paraId="49A962A4" w14:textId="77777777" w:rsidR="00B92101" w:rsidRDefault="00B92101" w:rsidP="00B92101">
      <w:r>
        <w:t xml:space="preserve">Commonwealth of Australia, Agreement Number 64839: Contract between Australian Agency for International Development and AID-IT Solutions Pty Ltd for AusAID Civil Society WASH Fund Monitoring, Evaluation and Review Panel, unpublished, October 2013 and Deeds of Amendment (Nos. 1 – 2). </w:t>
      </w:r>
    </w:p>
    <w:p w14:paraId="023A0B9E" w14:textId="77777777" w:rsidR="00B92101" w:rsidRDefault="00B92101" w:rsidP="00B92101">
      <w:r>
        <w:t>Commonwealth of Australia, Services Order No. 67478/1 for the Civil Society WASH Fund Monitoring, Evaluation and Review Panel Team Leader (Global) between AusAID and Griffin NRM Pty Ltd, unpublished, September 2013 and Deed of Amendment (No. 1).</w:t>
      </w:r>
    </w:p>
    <w:p w14:paraId="07DC5E4E" w14:textId="77777777" w:rsidR="00B92101" w:rsidRDefault="00B92101" w:rsidP="00B92101">
      <w:r>
        <w:t>Commonwealth of Australia, Services Order No. 67821/1 for the Civil Society WASH Fund Monitoring, Evaluation and Review Panel between AusAID and FH Designs Pty Ltd, unpublished, September 2013 and Deed of Amendment (No. 1).</w:t>
      </w:r>
    </w:p>
    <w:p w14:paraId="2C1A88C4" w14:textId="77777777" w:rsidR="00B92101" w:rsidRDefault="00B92101" w:rsidP="00B92101">
      <w:r>
        <w:t>Commonwealth of Australia, Agreement Number 65627: Contract between Australian Agency for International Development and GRM International Pty Ltd for Civil Society Water, Sanitation and Hygiene Fund Management Facility, unpublished, March 2013 and Deeds of Amendment (Nos. 1 – 5).</w:t>
      </w:r>
    </w:p>
    <w:p w14:paraId="065DF29E" w14:textId="4091F82B" w:rsidR="00251728" w:rsidRDefault="00251728" w:rsidP="009E0DF9">
      <w:pPr>
        <w:pStyle w:val="BodyText"/>
      </w:pPr>
      <w:r>
        <w:t>Department of Finance, ‘Commonwealth Grants Rules and Guidelines’, July 2014.</w:t>
      </w:r>
    </w:p>
    <w:p w14:paraId="0C70F573" w14:textId="75737E08" w:rsidR="00117CCB" w:rsidRDefault="00117CCB" w:rsidP="009E0DF9">
      <w:pPr>
        <w:pStyle w:val="BodyText"/>
      </w:pPr>
      <w:r>
        <w:t>Department of Foreign Affairs and Trade, ‘</w:t>
      </w:r>
      <w:proofErr w:type="gramStart"/>
      <w:r>
        <w:t>The</w:t>
      </w:r>
      <w:proofErr w:type="gramEnd"/>
      <w:r>
        <w:t xml:space="preserve"> Australia Africa Community Engagement Scheme: Effective Partnerships for Sustainable Development Program Review 2011 – 2016’, May 2016.</w:t>
      </w:r>
    </w:p>
    <w:p w14:paraId="3ABA59BC" w14:textId="0BB34BBC" w:rsidR="00117CCB" w:rsidRDefault="00117CCB" w:rsidP="009E0DF9">
      <w:pPr>
        <w:pStyle w:val="BodyText"/>
      </w:pPr>
      <w:r w:rsidRPr="007572C7">
        <w:t>Department of Foreign Affairs and Trade, Quality at Implementation Report: 2013 Report for Civil Society WASH Fund, unpublished, March 2014.</w:t>
      </w:r>
    </w:p>
    <w:p w14:paraId="786D1DB8" w14:textId="35162326" w:rsidR="00333D82" w:rsidRDefault="00B92101" w:rsidP="00B92101">
      <w:r>
        <w:t>Department of Foreign Affairs and Trade, Aid Quality Check for INK182, Civil Society, Water, Sanitation and Hygiene Fund, unpublished, April 2015.</w:t>
      </w:r>
    </w:p>
    <w:p w14:paraId="2B1F3B21" w14:textId="481506F3" w:rsidR="00D03879" w:rsidRDefault="00D03879" w:rsidP="009E0DF9">
      <w:pPr>
        <w:pStyle w:val="BodyText"/>
      </w:pPr>
      <w:r>
        <w:t>Monitoring, Evaluation and Review Panel, ‘Performance Assessment Arrangements: CS WASH Fund II’, May 2013.</w:t>
      </w:r>
    </w:p>
    <w:p w14:paraId="18E56C7B" w14:textId="1C4A1472" w:rsidR="00117CCB" w:rsidRPr="009E0DF9" w:rsidRDefault="00117CCB" w:rsidP="009E0DF9">
      <w:pPr>
        <w:pStyle w:val="BodyText"/>
      </w:pPr>
      <w:r>
        <w:t xml:space="preserve">Office of Development Effectiveness (Department of Foreign Affairs and Trade), ‘Evaluation of the Australian NGO Cooperation Program’, </w:t>
      </w:r>
      <w:r w:rsidRPr="00F93565">
        <w:t>August 2015.</w:t>
      </w:r>
    </w:p>
    <w:p w14:paraId="050C177C" w14:textId="77777777" w:rsidR="00E85202" w:rsidRDefault="005D5113" w:rsidP="005D5113">
      <w:pPr>
        <w:pStyle w:val="Heading1"/>
        <w:rPr>
          <w:noProof/>
        </w:rPr>
      </w:pPr>
      <w:bookmarkStart w:id="41" w:name="_Toc468450011"/>
      <w:r>
        <w:rPr>
          <w:noProof/>
        </w:rPr>
        <w:t>Annex A: Summary of CSO projects</w:t>
      </w:r>
      <w:bookmarkEnd w:id="41"/>
    </w:p>
    <w:p w14:paraId="3BED9849" w14:textId="77777777" w:rsidR="00F76826" w:rsidRPr="00630098" w:rsidRDefault="00F76826" w:rsidP="00F76826">
      <w:pPr>
        <w:pStyle w:val="BodyText"/>
      </w:pPr>
      <w:r>
        <w:t xml:space="preserve">Source: CS </w:t>
      </w:r>
      <w:proofErr w:type="gramStart"/>
      <w:r>
        <w:t>WASH</w:t>
      </w:r>
      <w:proofErr w:type="gramEnd"/>
      <w:r>
        <w:t xml:space="preserve"> Fund Annual Plan 2015-16</w:t>
      </w:r>
    </w:p>
    <w:tbl>
      <w:tblPr>
        <w:tblStyle w:val="TableGrid"/>
        <w:tblW w:w="9021" w:type="dxa"/>
        <w:jc w:val="center"/>
        <w:tblLook w:val="04A0" w:firstRow="1" w:lastRow="0" w:firstColumn="1" w:lastColumn="0" w:noHBand="0" w:noVBand="1"/>
        <w:tblCaption w:val="Summary of CSO projects. "/>
        <w:tblDescription w:val="Australian Red Cross has projects in Bangladesh, Nepal and Lesotho from 1 May 2014 to 30 June 2018. Total value $7,585,117. Concern Universal has a project in Malawi from 1 May 2014 to 30 June 2018. Total value $4,579,663. Habitat for Humanity has a project in Bangladesh from 1 May 2014 to 30 June 2018. Total value $1,070,072. International Development Enterprises has projects in Cambodia and Vietnam from 1 May 2014 to 30 June 2018. Total value $8,132,075. International Rescue Committee has a project in Pakistan from 12 August 2013 to 31 October 2017. Total value $3,194,142. Live and Learn Environment Education has projects in Fiji, Papua New Guinea, Solomon Islands and Vanuate from 1 May 2014 to 30 June 2018. Total value $9,523,400. Plan International Australia has projects in Indonesia, Vietnam, Pakistan, and Malawi from 12 August 2013 to 31 October 2017. Total value $11,884,356. Save the Children Australia has a project in Myanmar from 1 May 2014 to 30 June 2018. Total value $2,308,043. SNV Netherlands Development Organisation has projects in Bhutan and Nepal from 12 August 2013 to 31 October 2017. Total value $4,103,131. Thrive Networks Global (formerly the East Meets West Foundation) has projects in Cambodia, Vietnam and Lao PDR from 12 August 2013 to 31 October 2017. Total value $10,201,408. WaterAid Australia has projects in Papua New Guinea, Timor-Leste and Mozambique from 12 August 2013 to 31 October 2017. Total value $11,282,827. Welthungerhilfe has a project in Zimbabwe from 12 August 2013 to 31 October 2017. Total value $9,050,000. World Vision Australia has projects in Sri Lanka, Papua New Guinea and Zimbabwe from 1 May 2014 to 30 June 2018. Total value $10,228,934."/>
      </w:tblPr>
      <w:tblGrid>
        <w:gridCol w:w="3194"/>
        <w:gridCol w:w="1918"/>
        <w:gridCol w:w="6"/>
        <w:gridCol w:w="2042"/>
        <w:gridCol w:w="1861"/>
      </w:tblGrid>
      <w:tr w:rsidR="00F76826" w:rsidRPr="00C764E2" w14:paraId="4037466D" w14:textId="77777777" w:rsidTr="00F76826">
        <w:trPr>
          <w:tblHeader/>
          <w:jc w:val="center"/>
        </w:trPr>
        <w:tc>
          <w:tcPr>
            <w:tcW w:w="3194" w:type="dxa"/>
            <w:shd w:val="clear" w:color="auto" w:fill="0070C0"/>
          </w:tcPr>
          <w:p w14:paraId="24F7FC40" w14:textId="77777777" w:rsidR="00F76826" w:rsidRDefault="00F76826" w:rsidP="005E5323">
            <w:pPr>
              <w:jc w:val="center"/>
              <w:rPr>
                <w:b/>
              </w:rPr>
            </w:pPr>
            <w:r>
              <w:rPr>
                <w:b/>
              </w:rPr>
              <w:t xml:space="preserve">CS WASH Fund – </w:t>
            </w:r>
            <w:r w:rsidRPr="00C764E2">
              <w:rPr>
                <w:b/>
              </w:rPr>
              <w:t>CSO</w:t>
            </w:r>
            <w:r>
              <w:rPr>
                <w:b/>
              </w:rPr>
              <w:t xml:space="preserve"> grantees</w:t>
            </w:r>
          </w:p>
          <w:p w14:paraId="5894E1AA" w14:textId="77777777" w:rsidR="00F76826" w:rsidRPr="00C764E2" w:rsidRDefault="00F76826" w:rsidP="005E5323">
            <w:pPr>
              <w:jc w:val="center"/>
              <w:rPr>
                <w:b/>
              </w:rPr>
            </w:pPr>
          </w:p>
        </w:tc>
        <w:tc>
          <w:tcPr>
            <w:tcW w:w="1918" w:type="dxa"/>
            <w:shd w:val="clear" w:color="auto" w:fill="0070C0"/>
          </w:tcPr>
          <w:p w14:paraId="62A21C5C" w14:textId="77777777" w:rsidR="00F76826" w:rsidRPr="00C764E2" w:rsidRDefault="00F76826" w:rsidP="005E5323">
            <w:pPr>
              <w:jc w:val="center"/>
              <w:rPr>
                <w:b/>
              </w:rPr>
            </w:pPr>
            <w:r>
              <w:rPr>
                <w:b/>
              </w:rPr>
              <w:t>Agreement dates</w:t>
            </w:r>
          </w:p>
        </w:tc>
        <w:tc>
          <w:tcPr>
            <w:tcW w:w="2048" w:type="dxa"/>
            <w:gridSpan w:val="2"/>
            <w:shd w:val="clear" w:color="auto" w:fill="0070C0"/>
          </w:tcPr>
          <w:p w14:paraId="0026DAF4" w14:textId="77777777" w:rsidR="00F76826" w:rsidRPr="00C764E2" w:rsidRDefault="00F76826" w:rsidP="005E5323">
            <w:pPr>
              <w:jc w:val="center"/>
              <w:rPr>
                <w:b/>
              </w:rPr>
            </w:pPr>
            <w:r w:rsidRPr="00C764E2">
              <w:rPr>
                <w:b/>
              </w:rPr>
              <w:t>Project Location/s</w:t>
            </w:r>
          </w:p>
        </w:tc>
        <w:tc>
          <w:tcPr>
            <w:tcW w:w="1861" w:type="dxa"/>
            <w:shd w:val="clear" w:color="auto" w:fill="0070C0"/>
          </w:tcPr>
          <w:p w14:paraId="6DAA7AD6" w14:textId="77777777" w:rsidR="00F76826" w:rsidRPr="00C764E2" w:rsidRDefault="00F76826" w:rsidP="005E5323">
            <w:pPr>
              <w:jc w:val="center"/>
              <w:rPr>
                <w:b/>
              </w:rPr>
            </w:pPr>
            <w:r>
              <w:rPr>
                <w:b/>
              </w:rPr>
              <w:t xml:space="preserve">Implementation </w:t>
            </w:r>
            <w:r w:rsidRPr="00C764E2">
              <w:rPr>
                <w:b/>
              </w:rPr>
              <w:t>Grant value</w:t>
            </w:r>
            <w:r>
              <w:rPr>
                <w:rStyle w:val="FootnoteReference"/>
                <w:b/>
              </w:rPr>
              <w:footnoteReference w:id="22"/>
            </w:r>
          </w:p>
        </w:tc>
      </w:tr>
      <w:tr w:rsidR="00F76826" w14:paraId="322E816F" w14:textId="77777777" w:rsidTr="005E5323">
        <w:trPr>
          <w:jc w:val="center"/>
        </w:trPr>
        <w:tc>
          <w:tcPr>
            <w:tcW w:w="3194" w:type="dxa"/>
          </w:tcPr>
          <w:p w14:paraId="23958E01" w14:textId="77777777" w:rsidR="00F76826" w:rsidRDefault="00F76826" w:rsidP="005E5323">
            <w:r>
              <w:t>Australian Red Cross (ARC)</w:t>
            </w:r>
          </w:p>
        </w:tc>
        <w:tc>
          <w:tcPr>
            <w:tcW w:w="1918" w:type="dxa"/>
          </w:tcPr>
          <w:p w14:paraId="3B757E00" w14:textId="77777777" w:rsidR="00F76826" w:rsidRDefault="00F76826" w:rsidP="005E5323">
            <w:r>
              <w:t xml:space="preserve">1 May 2014 </w:t>
            </w:r>
            <w:r w:rsidRPr="00556FEC">
              <w:t xml:space="preserve"> –</w:t>
            </w:r>
          </w:p>
          <w:p w14:paraId="256FA456" w14:textId="77777777" w:rsidR="00F76826" w:rsidRDefault="00F76826" w:rsidP="005E5323">
            <w:r>
              <w:t>30 June 2018</w:t>
            </w:r>
          </w:p>
        </w:tc>
        <w:tc>
          <w:tcPr>
            <w:tcW w:w="2048" w:type="dxa"/>
            <w:gridSpan w:val="2"/>
          </w:tcPr>
          <w:p w14:paraId="47004505" w14:textId="77777777" w:rsidR="00F76826" w:rsidRDefault="00F76826" w:rsidP="005E5323">
            <w:r>
              <w:t>Bangladesh</w:t>
            </w:r>
          </w:p>
          <w:p w14:paraId="7064991F" w14:textId="77777777" w:rsidR="00F76826" w:rsidRDefault="00F76826" w:rsidP="005E5323">
            <w:r>
              <w:t>Nepal</w:t>
            </w:r>
          </w:p>
          <w:p w14:paraId="5E531EF7" w14:textId="77777777" w:rsidR="00F76826" w:rsidRDefault="00F76826" w:rsidP="005E5323">
            <w:r>
              <w:t>Lesotho</w:t>
            </w:r>
          </w:p>
        </w:tc>
        <w:tc>
          <w:tcPr>
            <w:tcW w:w="1861" w:type="dxa"/>
          </w:tcPr>
          <w:p w14:paraId="35D7C85E" w14:textId="77777777" w:rsidR="00F76826" w:rsidRDefault="00F76826" w:rsidP="005E5323">
            <w:pPr>
              <w:jc w:val="right"/>
            </w:pPr>
            <w:r>
              <w:t>$7,585,117</w:t>
            </w:r>
          </w:p>
        </w:tc>
      </w:tr>
      <w:tr w:rsidR="00F76826" w14:paraId="48EE4134" w14:textId="77777777" w:rsidTr="005E5323">
        <w:trPr>
          <w:jc w:val="center"/>
        </w:trPr>
        <w:tc>
          <w:tcPr>
            <w:tcW w:w="3194" w:type="dxa"/>
          </w:tcPr>
          <w:p w14:paraId="3D285D82" w14:textId="77777777" w:rsidR="00F76826" w:rsidRDefault="00F76826" w:rsidP="005E5323">
            <w:r>
              <w:t>Concern Universal (Concern)</w:t>
            </w:r>
          </w:p>
        </w:tc>
        <w:tc>
          <w:tcPr>
            <w:tcW w:w="1918" w:type="dxa"/>
          </w:tcPr>
          <w:p w14:paraId="50982A6E" w14:textId="77777777" w:rsidR="00F76826" w:rsidRDefault="00F76826" w:rsidP="005E5323">
            <w:r>
              <w:t>1 May 2014-</w:t>
            </w:r>
          </w:p>
          <w:p w14:paraId="78A08E81" w14:textId="77777777" w:rsidR="00F76826" w:rsidRDefault="00F76826" w:rsidP="005E5323">
            <w:r>
              <w:t>30 June 2018</w:t>
            </w:r>
          </w:p>
        </w:tc>
        <w:tc>
          <w:tcPr>
            <w:tcW w:w="2048" w:type="dxa"/>
            <w:gridSpan w:val="2"/>
          </w:tcPr>
          <w:p w14:paraId="4287F52E" w14:textId="77777777" w:rsidR="00F76826" w:rsidRDefault="00F76826" w:rsidP="005E5323">
            <w:r>
              <w:t>Malawi</w:t>
            </w:r>
          </w:p>
        </w:tc>
        <w:tc>
          <w:tcPr>
            <w:tcW w:w="1861" w:type="dxa"/>
          </w:tcPr>
          <w:p w14:paraId="74D5CB89" w14:textId="77777777" w:rsidR="00F76826" w:rsidRDefault="00F76826" w:rsidP="005E5323">
            <w:pPr>
              <w:jc w:val="right"/>
            </w:pPr>
            <w:r>
              <w:t>$4,579,663</w:t>
            </w:r>
          </w:p>
        </w:tc>
      </w:tr>
      <w:tr w:rsidR="00F76826" w14:paraId="424C60A1" w14:textId="77777777" w:rsidTr="005E5323">
        <w:trPr>
          <w:jc w:val="center"/>
        </w:trPr>
        <w:tc>
          <w:tcPr>
            <w:tcW w:w="3194" w:type="dxa"/>
          </w:tcPr>
          <w:p w14:paraId="77483A3C" w14:textId="77777777" w:rsidR="00F76826" w:rsidRDefault="00F76826" w:rsidP="005E5323">
            <w:r>
              <w:t>Habitat for Humanity (HfH)</w:t>
            </w:r>
          </w:p>
        </w:tc>
        <w:tc>
          <w:tcPr>
            <w:tcW w:w="1918" w:type="dxa"/>
          </w:tcPr>
          <w:p w14:paraId="28EF018A" w14:textId="77777777" w:rsidR="00F76826" w:rsidRDefault="00F76826" w:rsidP="005E5323">
            <w:r>
              <w:t>1 May 2014 –</w:t>
            </w:r>
          </w:p>
          <w:p w14:paraId="741ADAC7" w14:textId="77777777" w:rsidR="00F76826" w:rsidRDefault="00F76826" w:rsidP="005E5323">
            <w:r>
              <w:t>30 June 2018</w:t>
            </w:r>
          </w:p>
        </w:tc>
        <w:tc>
          <w:tcPr>
            <w:tcW w:w="2048" w:type="dxa"/>
            <w:gridSpan w:val="2"/>
          </w:tcPr>
          <w:p w14:paraId="454807B8" w14:textId="77777777" w:rsidR="00F76826" w:rsidRDefault="00F76826" w:rsidP="005E5323">
            <w:r>
              <w:t>Bangladesh</w:t>
            </w:r>
          </w:p>
        </w:tc>
        <w:tc>
          <w:tcPr>
            <w:tcW w:w="1861" w:type="dxa"/>
          </w:tcPr>
          <w:p w14:paraId="775CE865" w14:textId="77777777" w:rsidR="00F76826" w:rsidRDefault="00F76826" w:rsidP="005E5323">
            <w:pPr>
              <w:jc w:val="right"/>
            </w:pPr>
            <w:r>
              <w:t>$1,070,072</w:t>
            </w:r>
          </w:p>
        </w:tc>
      </w:tr>
      <w:tr w:rsidR="00F76826" w14:paraId="4977932F" w14:textId="77777777" w:rsidTr="005E5323">
        <w:trPr>
          <w:jc w:val="center"/>
        </w:trPr>
        <w:tc>
          <w:tcPr>
            <w:tcW w:w="3194" w:type="dxa"/>
          </w:tcPr>
          <w:p w14:paraId="0723D6BC" w14:textId="77777777" w:rsidR="00F76826" w:rsidRDefault="00F76826" w:rsidP="005E5323">
            <w:r>
              <w:t>International Development Enterprises (iDE)</w:t>
            </w:r>
          </w:p>
        </w:tc>
        <w:tc>
          <w:tcPr>
            <w:tcW w:w="1918" w:type="dxa"/>
          </w:tcPr>
          <w:p w14:paraId="04F1A066" w14:textId="77777777" w:rsidR="00F76826" w:rsidRDefault="00F76826" w:rsidP="005E5323">
            <w:r>
              <w:t>1 May 2014 –</w:t>
            </w:r>
          </w:p>
          <w:p w14:paraId="44A32213" w14:textId="77777777" w:rsidR="00F76826" w:rsidRDefault="00F76826" w:rsidP="005E5323">
            <w:r>
              <w:t>30 June 2018</w:t>
            </w:r>
          </w:p>
        </w:tc>
        <w:tc>
          <w:tcPr>
            <w:tcW w:w="2048" w:type="dxa"/>
            <w:gridSpan w:val="2"/>
          </w:tcPr>
          <w:p w14:paraId="415F1582" w14:textId="77777777" w:rsidR="00F76826" w:rsidRDefault="00F76826" w:rsidP="005E5323">
            <w:r>
              <w:t>Cambodia</w:t>
            </w:r>
          </w:p>
          <w:p w14:paraId="77C8F790" w14:textId="77777777" w:rsidR="00F76826" w:rsidRDefault="00F76826" w:rsidP="005E5323">
            <w:r>
              <w:t>Vietnam</w:t>
            </w:r>
          </w:p>
        </w:tc>
        <w:tc>
          <w:tcPr>
            <w:tcW w:w="1861" w:type="dxa"/>
          </w:tcPr>
          <w:p w14:paraId="73CE3942" w14:textId="77777777" w:rsidR="00F76826" w:rsidRDefault="00F76826" w:rsidP="005E5323">
            <w:pPr>
              <w:jc w:val="right"/>
            </w:pPr>
            <w:r>
              <w:t>$8,132,075</w:t>
            </w:r>
          </w:p>
        </w:tc>
      </w:tr>
      <w:tr w:rsidR="00F76826" w14:paraId="13C6944A" w14:textId="77777777" w:rsidTr="005E5323">
        <w:trPr>
          <w:jc w:val="center"/>
        </w:trPr>
        <w:tc>
          <w:tcPr>
            <w:tcW w:w="3194" w:type="dxa"/>
          </w:tcPr>
          <w:p w14:paraId="0B5655CF" w14:textId="77777777" w:rsidR="00F76826" w:rsidRDefault="00F76826" w:rsidP="005E5323">
            <w:r>
              <w:t>International Rescue Committee (IRC)</w:t>
            </w:r>
          </w:p>
        </w:tc>
        <w:tc>
          <w:tcPr>
            <w:tcW w:w="1918" w:type="dxa"/>
          </w:tcPr>
          <w:p w14:paraId="0A26909D" w14:textId="77777777" w:rsidR="00F76826" w:rsidRDefault="00F76826" w:rsidP="005E5323">
            <w:r>
              <w:t>12 August 2013  –</w:t>
            </w:r>
          </w:p>
          <w:p w14:paraId="0486832C" w14:textId="77777777" w:rsidR="00F76826" w:rsidRDefault="00F76826" w:rsidP="005E5323">
            <w:r>
              <w:t>31 October 2017</w:t>
            </w:r>
          </w:p>
        </w:tc>
        <w:tc>
          <w:tcPr>
            <w:tcW w:w="2048" w:type="dxa"/>
            <w:gridSpan w:val="2"/>
          </w:tcPr>
          <w:p w14:paraId="3762E1F0" w14:textId="77777777" w:rsidR="00F76826" w:rsidRDefault="00F76826" w:rsidP="005E5323">
            <w:r>
              <w:t>Pakistan</w:t>
            </w:r>
          </w:p>
        </w:tc>
        <w:tc>
          <w:tcPr>
            <w:tcW w:w="1861" w:type="dxa"/>
          </w:tcPr>
          <w:p w14:paraId="67827B71" w14:textId="77777777" w:rsidR="00F76826" w:rsidRDefault="00F76826" w:rsidP="005E5323">
            <w:pPr>
              <w:jc w:val="right"/>
            </w:pPr>
            <w:r>
              <w:t>$3,194,142</w:t>
            </w:r>
          </w:p>
        </w:tc>
      </w:tr>
      <w:tr w:rsidR="00F76826" w14:paraId="1969F730" w14:textId="77777777" w:rsidTr="005E5323">
        <w:trPr>
          <w:jc w:val="center"/>
        </w:trPr>
        <w:tc>
          <w:tcPr>
            <w:tcW w:w="3194" w:type="dxa"/>
          </w:tcPr>
          <w:p w14:paraId="4433A67C" w14:textId="77777777" w:rsidR="00F76826" w:rsidRDefault="00F76826" w:rsidP="005E5323">
            <w:r>
              <w:t>Live &amp; Learn Environment Education (LLEE)</w:t>
            </w:r>
          </w:p>
        </w:tc>
        <w:tc>
          <w:tcPr>
            <w:tcW w:w="1918" w:type="dxa"/>
          </w:tcPr>
          <w:p w14:paraId="0C86C774" w14:textId="77777777" w:rsidR="00F76826" w:rsidRDefault="00F76826" w:rsidP="005E5323">
            <w:r>
              <w:t xml:space="preserve">1 May 2014 – </w:t>
            </w:r>
          </w:p>
          <w:p w14:paraId="299E6FE7" w14:textId="77777777" w:rsidR="00F76826" w:rsidRDefault="00F76826" w:rsidP="005E5323">
            <w:r>
              <w:t>30 June 2018</w:t>
            </w:r>
          </w:p>
        </w:tc>
        <w:tc>
          <w:tcPr>
            <w:tcW w:w="2048" w:type="dxa"/>
            <w:gridSpan w:val="2"/>
          </w:tcPr>
          <w:p w14:paraId="3E37C4B0" w14:textId="77777777" w:rsidR="00F76826" w:rsidRDefault="00F76826" w:rsidP="005E5323">
            <w:r>
              <w:t>Fiji</w:t>
            </w:r>
          </w:p>
          <w:p w14:paraId="7C81709F" w14:textId="77777777" w:rsidR="00F76826" w:rsidRDefault="00F76826" w:rsidP="005E5323">
            <w:r>
              <w:t>Papua New Guinea</w:t>
            </w:r>
          </w:p>
          <w:p w14:paraId="0CCA780E" w14:textId="77777777" w:rsidR="00F76826" w:rsidRDefault="00F76826" w:rsidP="005E5323">
            <w:r>
              <w:t>Solomon Islands</w:t>
            </w:r>
          </w:p>
          <w:p w14:paraId="4E6C60F7" w14:textId="77777777" w:rsidR="00F76826" w:rsidRDefault="00F76826" w:rsidP="005E5323">
            <w:r>
              <w:t>Vanuatu</w:t>
            </w:r>
          </w:p>
        </w:tc>
        <w:tc>
          <w:tcPr>
            <w:tcW w:w="1861" w:type="dxa"/>
          </w:tcPr>
          <w:p w14:paraId="2ED0C031" w14:textId="77777777" w:rsidR="00F76826" w:rsidRDefault="00F76826" w:rsidP="005E5323">
            <w:pPr>
              <w:jc w:val="right"/>
            </w:pPr>
            <w:r>
              <w:t>$9,523,400</w:t>
            </w:r>
          </w:p>
        </w:tc>
      </w:tr>
      <w:tr w:rsidR="00F76826" w14:paraId="366C951B" w14:textId="77777777" w:rsidTr="005E5323">
        <w:trPr>
          <w:jc w:val="center"/>
        </w:trPr>
        <w:tc>
          <w:tcPr>
            <w:tcW w:w="3194" w:type="dxa"/>
          </w:tcPr>
          <w:p w14:paraId="113CA8AF" w14:textId="77777777" w:rsidR="00F76826" w:rsidRDefault="00F76826" w:rsidP="005E5323">
            <w:r>
              <w:t>Plan International Australia (Plan)</w:t>
            </w:r>
          </w:p>
        </w:tc>
        <w:tc>
          <w:tcPr>
            <w:tcW w:w="1918" w:type="dxa"/>
          </w:tcPr>
          <w:p w14:paraId="5F1FF68C" w14:textId="77777777" w:rsidR="00F76826" w:rsidRDefault="00F76826" w:rsidP="005E5323">
            <w:r>
              <w:t>12 August 2013 – 31 October 2017</w:t>
            </w:r>
          </w:p>
        </w:tc>
        <w:tc>
          <w:tcPr>
            <w:tcW w:w="2048" w:type="dxa"/>
            <w:gridSpan w:val="2"/>
          </w:tcPr>
          <w:p w14:paraId="684242CE" w14:textId="77777777" w:rsidR="00F76826" w:rsidRDefault="00F76826" w:rsidP="005E5323">
            <w:r>
              <w:t>Indonesia</w:t>
            </w:r>
          </w:p>
          <w:p w14:paraId="5109D2E5" w14:textId="77777777" w:rsidR="00F76826" w:rsidRDefault="00F76826" w:rsidP="005E5323">
            <w:r>
              <w:t>Vietnam</w:t>
            </w:r>
          </w:p>
          <w:p w14:paraId="00EC70EA" w14:textId="77777777" w:rsidR="00F76826" w:rsidRDefault="00F76826" w:rsidP="005E5323">
            <w:r>
              <w:t>Pakistan</w:t>
            </w:r>
          </w:p>
          <w:p w14:paraId="09B46CB2" w14:textId="77777777" w:rsidR="00F76826" w:rsidRDefault="00F76826" w:rsidP="005E5323">
            <w:r>
              <w:t>Malawi</w:t>
            </w:r>
          </w:p>
        </w:tc>
        <w:tc>
          <w:tcPr>
            <w:tcW w:w="1861" w:type="dxa"/>
          </w:tcPr>
          <w:p w14:paraId="69BA982B" w14:textId="77777777" w:rsidR="00F76826" w:rsidRDefault="00F76826" w:rsidP="005E5323">
            <w:pPr>
              <w:jc w:val="right"/>
            </w:pPr>
            <w:r>
              <w:t>$11,884,356</w:t>
            </w:r>
          </w:p>
        </w:tc>
      </w:tr>
      <w:tr w:rsidR="00F76826" w14:paraId="60126D18" w14:textId="77777777" w:rsidTr="005E5323">
        <w:trPr>
          <w:jc w:val="center"/>
        </w:trPr>
        <w:tc>
          <w:tcPr>
            <w:tcW w:w="3194" w:type="dxa"/>
          </w:tcPr>
          <w:p w14:paraId="7EA1091E" w14:textId="77777777" w:rsidR="00F76826" w:rsidRDefault="00F76826" w:rsidP="005E5323">
            <w:r>
              <w:t>Save the Children Australia (SCA)</w:t>
            </w:r>
          </w:p>
        </w:tc>
        <w:tc>
          <w:tcPr>
            <w:tcW w:w="1918" w:type="dxa"/>
          </w:tcPr>
          <w:p w14:paraId="02E7BBB6" w14:textId="77777777" w:rsidR="00F76826" w:rsidRDefault="00F76826" w:rsidP="005E5323">
            <w:r>
              <w:t xml:space="preserve">1 May 2014 – </w:t>
            </w:r>
          </w:p>
          <w:p w14:paraId="0F18F9AE" w14:textId="77777777" w:rsidR="00F76826" w:rsidRDefault="00F76826" w:rsidP="005E5323">
            <w:r>
              <w:t>30 June 2018</w:t>
            </w:r>
          </w:p>
        </w:tc>
        <w:tc>
          <w:tcPr>
            <w:tcW w:w="2048" w:type="dxa"/>
            <w:gridSpan w:val="2"/>
          </w:tcPr>
          <w:p w14:paraId="4C2F4368" w14:textId="77777777" w:rsidR="00F76826" w:rsidRDefault="00F76826" w:rsidP="005E5323">
            <w:r>
              <w:t>Myanmar</w:t>
            </w:r>
          </w:p>
        </w:tc>
        <w:tc>
          <w:tcPr>
            <w:tcW w:w="1861" w:type="dxa"/>
          </w:tcPr>
          <w:p w14:paraId="4C39CA4B" w14:textId="77777777" w:rsidR="00F76826" w:rsidRDefault="00F76826" w:rsidP="005E5323">
            <w:pPr>
              <w:jc w:val="right"/>
            </w:pPr>
            <w:r>
              <w:t>$2,308,043</w:t>
            </w:r>
          </w:p>
        </w:tc>
      </w:tr>
      <w:tr w:rsidR="00F76826" w14:paraId="1605D285" w14:textId="77777777" w:rsidTr="005E5323">
        <w:trPr>
          <w:jc w:val="center"/>
        </w:trPr>
        <w:tc>
          <w:tcPr>
            <w:tcW w:w="3194" w:type="dxa"/>
          </w:tcPr>
          <w:p w14:paraId="3DF0275B" w14:textId="77777777" w:rsidR="00F76826" w:rsidRDefault="00F76826" w:rsidP="005E5323">
            <w:r>
              <w:t>SNV Netherlands Development Organisation (SNV)</w:t>
            </w:r>
          </w:p>
        </w:tc>
        <w:tc>
          <w:tcPr>
            <w:tcW w:w="1918" w:type="dxa"/>
          </w:tcPr>
          <w:p w14:paraId="4122AEA4" w14:textId="77777777" w:rsidR="00F76826" w:rsidRDefault="00F76826" w:rsidP="005E5323">
            <w:r>
              <w:t>12 August 2013  –</w:t>
            </w:r>
          </w:p>
          <w:p w14:paraId="6A92A896" w14:textId="77777777" w:rsidR="00F76826" w:rsidRDefault="00F76826" w:rsidP="005E5323">
            <w:r>
              <w:t>31 October 2017</w:t>
            </w:r>
          </w:p>
        </w:tc>
        <w:tc>
          <w:tcPr>
            <w:tcW w:w="2048" w:type="dxa"/>
            <w:gridSpan w:val="2"/>
          </w:tcPr>
          <w:p w14:paraId="175A689F" w14:textId="77777777" w:rsidR="00F76826" w:rsidRDefault="00F76826" w:rsidP="005E5323">
            <w:r>
              <w:t>Bhutan</w:t>
            </w:r>
          </w:p>
          <w:p w14:paraId="026C6558" w14:textId="77777777" w:rsidR="00F76826" w:rsidRDefault="00F76826" w:rsidP="005E5323">
            <w:r>
              <w:t>Nepal</w:t>
            </w:r>
          </w:p>
        </w:tc>
        <w:tc>
          <w:tcPr>
            <w:tcW w:w="1861" w:type="dxa"/>
          </w:tcPr>
          <w:p w14:paraId="1378A2AF" w14:textId="77777777" w:rsidR="00F76826" w:rsidRDefault="00F76826" w:rsidP="005E5323">
            <w:pPr>
              <w:jc w:val="right"/>
            </w:pPr>
            <w:r>
              <w:t>$4,103,131</w:t>
            </w:r>
          </w:p>
        </w:tc>
      </w:tr>
      <w:tr w:rsidR="00F76826" w14:paraId="3D95170D" w14:textId="77777777" w:rsidTr="005E5323">
        <w:trPr>
          <w:jc w:val="center"/>
        </w:trPr>
        <w:tc>
          <w:tcPr>
            <w:tcW w:w="3194" w:type="dxa"/>
          </w:tcPr>
          <w:p w14:paraId="7869F29C" w14:textId="77777777" w:rsidR="00F76826" w:rsidRDefault="00F76826" w:rsidP="005E5323">
            <w:r>
              <w:t>Thrive Networks Global (Thrive – formerly East Meets West Foundation)</w:t>
            </w:r>
          </w:p>
        </w:tc>
        <w:tc>
          <w:tcPr>
            <w:tcW w:w="1924" w:type="dxa"/>
            <w:gridSpan w:val="2"/>
          </w:tcPr>
          <w:p w14:paraId="138D30A7" w14:textId="77777777" w:rsidR="00F76826" w:rsidRDefault="00F76826" w:rsidP="005E5323">
            <w:r>
              <w:t xml:space="preserve">12 August 2013  –  </w:t>
            </w:r>
          </w:p>
          <w:p w14:paraId="2A903263" w14:textId="77777777" w:rsidR="00F76826" w:rsidRDefault="00F76826" w:rsidP="005E5323">
            <w:r>
              <w:t>31 October 2017</w:t>
            </w:r>
          </w:p>
          <w:p w14:paraId="78E9D0E2" w14:textId="77777777" w:rsidR="00F76826" w:rsidRDefault="00F76826" w:rsidP="005E5323">
            <w:r>
              <w:t>1 May 2014 – 30 June 2018 (for Lao PDR)</w:t>
            </w:r>
          </w:p>
        </w:tc>
        <w:tc>
          <w:tcPr>
            <w:tcW w:w="2042" w:type="dxa"/>
          </w:tcPr>
          <w:p w14:paraId="3CFF74E6" w14:textId="77777777" w:rsidR="00F76826" w:rsidRDefault="00F76826" w:rsidP="005E5323">
            <w:r>
              <w:t>Cambodia</w:t>
            </w:r>
          </w:p>
          <w:p w14:paraId="2F346CB4" w14:textId="77777777" w:rsidR="00F76826" w:rsidRDefault="00F76826" w:rsidP="005E5323">
            <w:r>
              <w:t>Vietnam</w:t>
            </w:r>
          </w:p>
          <w:p w14:paraId="093B045E" w14:textId="77777777" w:rsidR="00F76826" w:rsidRDefault="00F76826" w:rsidP="005E5323">
            <w:r>
              <w:t>Lao PDR</w:t>
            </w:r>
          </w:p>
        </w:tc>
        <w:tc>
          <w:tcPr>
            <w:tcW w:w="1861" w:type="dxa"/>
          </w:tcPr>
          <w:p w14:paraId="38234EDC" w14:textId="77777777" w:rsidR="00F76826" w:rsidRDefault="00F76826" w:rsidP="005E5323">
            <w:pPr>
              <w:jc w:val="right"/>
            </w:pPr>
            <w:r>
              <w:t>$ 10,201,408</w:t>
            </w:r>
          </w:p>
        </w:tc>
      </w:tr>
      <w:tr w:rsidR="00F76826" w14:paraId="2849FB8D" w14:textId="77777777" w:rsidTr="005E5323">
        <w:trPr>
          <w:jc w:val="center"/>
        </w:trPr>
        <w:tc>
          <w:tcPr>
            <w:tcW w:w="3194" w:type="dxa"/>
          </w:tcPr>
          <w:p w14:paraId="1BA2325B" w14:textId="77777777" w:rsidR="00F76826" w:rsidRDefault="00F76826" w:rsidP="005E5323">
            <w:r>
              <w:t>WaterAid Australia (WaterAid)</w:t>
            </w:r>
          </w:p>
        </w:tc>
        <w:tc>
          <w:tcPr>
            <w:tcW w:w="1918" w:type="dxa"/>
          </w:tcPr>
          <w:p w14:paraId="38727E5D" w14:textId="77777777" w:rsidR="00F76826" w:rsidRDefault="00F76826" w:rsidP="005E5323">
            <w:r>
              <w:t>12 August 2013 – 31 October 2017</w:t>
            </w:r>
          </w:p>
        </w:tc>
        <w:tc>
          <w:tcPr>
            <w:tcW w:w="2048" w:type="dxa"/>
            <w:gridSpan w:val="2"/>
          </w:tcPr>
          <w:p w14:paraId="1B667D32" w14:textId="77777777" w:rsidR="00F76826" w:rsidRDefault="00F76826" w:rsidP="005E5323">
            <w:r>
              <w:t>Papua New Guinea</w:t>
            </w:r>
          </w:p>
          <w:p w14:paraId="45DD9E9C" w14:textId="77777777" w:rsidR="00F76826" w:rsidRDefault="00F76826" w:rsidP="005E5323">
            <w:r>
              <w:t>Timor-Leste</w:t>
            </w:r>
          </w:p>
          <w:p w14:paraId="621AB065" w14:textId="77777777" w:rsidR="00F76826" w:rsidRDefault="00F76826" w:rsidP="005E5323">
            <w:r>
              <w:t>Mozambique</w:t>
            </w:r>
          </w:p>
        </w:tc>
        <w:tc>
          <w:tcPr>
            <w:tcW w:w="1861" w:type="dxa"/>
          </w:tcPr>
          <w:p w14:paraId="34EDF7D8" w14:textId="77777777" w:rsidR="00F76826" w:rsidRDefault="00F76826" w:rsidP="005E5323">
            <w:pPr>
              <w:jc w:val="right"/>
            </w:pPr>
            <w:r>
              <w:t>$11,282,827</w:t>
            </w:r>
          </w:p>
        </w:tc>
      </w:tr>
      <w:tr w:rsidR="00F76826" w14:paraId="6FB18BF3" w14:textId="77777777" w:rsidTr="005E5323">
        <w:trPr>
          <w:jc w:val="center"/>
        </w:trPr>
        <w:tc>
          <w:tcPr>
            <w:tcW w:w="3194" w:type="dxa"/>
          </w:tcPr>
          <w:p w14:paraId="39442125" w14:textId="77777777" w:rsidR="00F76826" w:rsidRDefault="00F76826" w:rsidP="005E5323">
            <w:r>
              <w:t>Welthungerhilfe (WHH)</w:t>
            </w:r>
          </w:p>
        </w:tc>
        <w:tc>
          <w:tcPr>
            <w:tcW w:w="1918" w:type="dxa"/>
          </w:tcPr>
          <w:p w14:paraId="05B868E1" w14:textId="77777777" w:rsidR="00F76826" w:rsidRDefault="00F76826" w:rsidP="005E5323">
            <w:r>
              <w:t>12 August 2013  –</w:t>
            </w:r>
          </w:p>
          <w:p w14:paraId="0E9C2A73" w14:textId="77777777" w:rsidR="00F76826" w:rsidRDefault="00F76826" w:rsidP="005E5323">
            <w:r>
              <w:t>31 October 2017</w:t>
            </w:r>
          </w:p>
        </w:tc>
        <w:tc>
          <w:tcPr>
            <w:tcW w:w="2048" w:type="dxa"/>
            <w:gridSpan w:val="2"/>
          </w:tcPr>
          <w:p w14:paraId="181545C9" w14:textId="77777777" w:rsidR="00F76826" w:rsidRDefault="00F76826" w:rsidP="005E5323">
            <w:r>
              <w:t>Zimbabwe</w:t>
            </w:r>
          </w:p>
        </w:tc>
        <w:tc>
          <w:tcPr>
            <w:tcW w:w="1861" w:type="dxa"/>
          </w:tcPr>
          <w:p w14:paraId="0322F8DB" w14:textId="77777777" w:rsidR="00F76826" w:rsidRDefault="00F76826" w:rsidP="005E5323">
            <w:pPr>
              <w:jc w:val="right"/>
            </w:pPr>
            <w:r>
              <w:t>$9,050,000</w:t>
            </w:r>
          </w:p>
        </w:tc>
      </w:tr>
      <w:tr w:rsidR="00F76826" w14:paraId="1A99A4C2" w14:textId="77777777" w:rsidTr="005E5323">
        <w:trPr>
          <w:jc w:val="center"/>
        </w:trPr>
        <w:tc>
          <w:tcPr>
            <w:tcW w:w="3194" w:type="dxa"/>
          </w:tcPr>
          <w:p w14:paraId="0952D16F" w14:textId="77777777" w:rsidR="00F76826" w:rsidRDefault="00F76826" w:rsidP="005E5323">
            <w:r>
              <w:t>World Vision Australia (WV)</w:t>
            </w:r>
          </w:p>
        </w:tc>
        <w:tc>
          <w:tcPr>
            <w:tcW w:w="1918" w:type="dxa"/>
          </w:tcPr>
          <w:p w14:paraId="493945F2" w14:textId="77777777" w:rsidR="00F76826" w:rsidRDefault="00F76826" w:rsidP="005E5323">
            <w:r>
              <w:t xml:space="preserve">1 May 2014 – </w:t>
            </w:r>
          </w:p>
          <w:p w14:paraId="353D3EB7" w14:textId="77777777" w:rsidR="00F76826" w:rsidRDefault="00F76826" w:rsidP="005E5323">
            <w:r>
              <w:t>30 June 2018</w:t>
            </w:r>
          </w:p>
        </w:tc>
        <w:tc>
          <w:tcPr>
            <w:tcW w:w="2048" w:type="dxa"/>
            <w:gridSpan w:val="2"/>
          </w:tcPr>
          <w:p w14:paraId="099BB83E" w14:textId="77777777" w:rsidR="00F76826" w:rsidRDefault="00F76826" w:rsidP="005E5323">
            <w:r>
              <w:t>Sri Lanka</w:t>
            </w:r>
          </w:p>
          <w:p w14:paraId="35F7DA1F" w14:textId="77777777" w:rsidR="00F76826" w:rsidRDefault="00F76826" w:rsidP="005E5323">
            <w:r>
              <w:t>Papua New Guinea</w:t>
            </w:r>
          </w:p>
          <w:p w14:paraId="0077A890" w14:textId="77777777" w:rsidR="00F76826" w:rsidRDefault="00F76826" w:rsidP="005E5323">
            <w:r>
              <w:t>Zimbabwe</w:t>
            </w:r>
          </w:p>
        </w:tc>
        <w:tc>
          <w:tcPr>
            <w:tcW w:w="1861" w:type="dxa"/>
          </w:tcPr>
          <w:p w14:paraId="098A52DD" w14:textId="77777777" w:rsidR="00F76826" w:rsidRDefault="00F76826" w:rsidP="005E5323">
            <w:pPr>
              <w:jc w:val="right"/>
            </w:pPr>
            <w:r>
              <w:t>$10,228,934</w:t>
            </w:r>
          </w:p>
        </w:tc>
      </w:tr>
    </w:tbl>
    <w:p w14:paraId="1352557F" w14:textId="77777777" w:rsidR="00F76826" w:rsidRDefault="00F76826" w:rsidP="00F76826">
      <w:pPr>
        <w:pStyle w:val="BodyText"/>
      </w:pPr>
    </w:p>
    <w:p w14:paraId="58A6AF02" w14:textId="77777777" w:rsidR="00F76826" w:rsidRDefault="00F76826" w:rsidP="00F76826">
      <w:pPr>
        <w:pStyle w:val="Heading3"/>
      </w:pPr>
      <w:r>
        <w:t>Impact and Innovation Fund</w:t>
      </w:r>
    </w:p>
    <w:tbl>
      <w:tblPr>
        <w:tblStyle w:val="TableGrid"/>
        <w:tblW w:w="7103" w:type="dxa"/>
        <w:jc w:val="center"/>
        <w:tblLook w:val="04A0" w:firstRow="1" w:lastRow="0" w:firstColumn="1" w:lastColumn="0" w:noHBand="0" w:noVBand="1"/>
        <w:tblCaption w:val="Impact and Innovation Fund - grant recipients"/>
        <w:tblDescription w:val="International Development Enterprises has a $200,000 grant for Cambodia. WaterAid has a $194,425 grant for Papua New Guinea and Timor-Leste. Welthungerhilfe has a $199,995 grant for Zimbabwe. Plan Australia has a $99,570 grant for Vietnam. SNV Netherlands Development Organisation has a $100,000 grant for Bhutan. "/>
      </w:tblPr>
      <w:tblGrid>
        <w:gridCol w:w="2134"/>
        <w:gridCol w:w="3108"/>
        <w:gridCol w:w="1861"/>
      </w:tblGrid>
      <w:tr w:rsidR="00F76826" w:rsidRPr="00C764E2" w14:paraId="46BF3FC8" w14:textId="77777777" w:rsidTr="00F76826">
        <w:trPr>
          <w:tblHeader/>
          <w:jc w:val="center"/>
        </w:trPr>
        <w:tc>
          <w:tcPr>
            <w:tcW w:w="2134" w:type="dxa"/>
            <w:shd w:val="clear" w:color="auto" w:fill="0070C0"/>
          </w:tcPr>
          <w:p w14:paraId="0D94B4F6" w14:textId="77777777" w:rsidR="00F76826" w:rsidRDefault="00F76826" w:rsidP="005E5323">
            <w:pPr>
              <w:rPr>
                <w:b/>
              </w:rPr>
            </w:pPr>
            <w:r w:rsidRPr="00C764E2">
              <w:rPr>
                <w:b/>
              </w:rPr>
              <w:t>CSO</w:t>
            </w:r>
            <w:r>
              <w:rPr>
                <w:b/>
              </w:rPr>
              <w:t xml:space="preserve"> grantees</w:t>
            </w:r>
          </w:p>
          <w:p w14:paraId="1CEEF944" w14:textId="77777777" w:rsidR="00F76826" w:rsidRPr="00C764E2" w:rsidRDefault="00F76826" w:rsidP="005E5323">
            <w:pPr>
              <w:jc w:val="center"/>
              <w:rPr>
                <w:b/>
              </w:rPr>
            </w:pPr>
          </w:p>
        </w:tc>
        <w:tc>
          <w:tcPr>
            <w:tcW w:w="3108" w:type="dxa"/>
            <w:shd w:val="clear" w:color="auto" w:fill="0070C0"/>
          </w:tcPr>
          <w:p w14:paraId="16DD6C83" w14:textId="77777777" w:rsidR="00F76826" w:rsidRPr="00C764E2" w:rsidRDefault="00F76826" w:rsidP="005E5323">
            <w:pPr>
              <w:jc w:val="center"/>
              <w:rPr>
                <w:b/>
              </w:rPr>
            </w:pPr>
            <w:r w:rsidRPr="00C764E2">
              <w:rPr>
                <w:b/>
              </w:rPr>
              <w:t>Project Location/s</w:t>
            </w:r>
          </w:p>
        </w:tc>
        <w:tc>
          <w:tcPr>
            <w:tcW w:w="1861" w:type="dxa"/>
            <w:shd w:val="clear" w:color="auto" w:fill="0070C0"/>
          </w:tcPr>
          <w:p w14:paraId="4798AA04" w14:textId="77777777" w:rsidR="00F76826" w:rsidRPr="00C764E2" w:rsidRDefault="00F76826" w:rsidP="005E5323">
            <w:pPr>
              <w:jc w:val="center"/>
              <w:rPr>
                <w:b/>
              </w:rPr>
            </w:pPr>
            <w:r>
              <w:rPr>
                <w:b/>
              </w:rPr>
              <w:t>I&amp;I Fund grant value</w:t>
            </w:r>
          </w:p>
        </w:tc>
      </w:tr>
      <w:tr w:rsidR="00F76826" w14:paraId="47B5C596" w14:textId="77777777" w:rsidTr="005E5323">
        <w:trPr>
          <w:jc w:val="center"/>
        </w:trPr>
        <w:tc>
          <w:tcPr>
            <w:tcW w:w="2134" w:type="dxa"/>
          </w:tcPr>
          <w:p w14:paraId="31FEBDD0" w14:textId="77777777" w:rsidR="00F76826" w:rsidRDefault="00F76826" w:rsidP="005E5323">
            <w:r>
              <w:t>iDE</w:t>
            </w:r>
          </w:p>
        </w:tc>
        <w:tc>
          <w:tcPr>
            <w:tcW w:w="3108" w:type="dxa"/>
          </w:tcPr>
          <w:p w14:paraId="14C4AC75" w14:textId="77777777" w:rsidR="00F76826" w:rsidRDefault="00F76826" w:rsidP="005E5323">
            <w:r>
              <w:t>Cambodia</w:t>
            </w:r>
          </w:p>
        </w:tc>
        <w:tc>
          <w:tcPr>
            <w:tcW w:w="1861" w:type="dxa"/>
          </w:tcPr>
          <w:p w14:paraId="5818BA73" w14:textId="77777777" w:rsidR="00F76826" w:rsidRDefault="00F76826" w:rsidP="005E5323">
            <w:pPr>
              <w:jc w:val="right"/>
            </w:pPr>
            <w:r>
              <w:t>$200,000</w:t>
            </w:r>
          </w:p>
        </w:tc>
      </w:tr>
      <w:tr w:rsidR="00F76826" w14:paraId="30233C4A" w14:textId="77777777" w:rsidTr="005E5323">
        <w:trPr>
          <w:jc w:val="center"/>
        </w:trPr>
        <w:tc>
          <w:tcPr>
            <w:tcW w:w="2134" w:type="dxa"/>
          </w:tcPr>
          <w:p w14:paraId="2369F658" w14:textId="77777777" w:rsidR="00F76826" w:rsidRDefault="00F76826" w:rsidP="005E5323">
            <w:r>
              <w:t xml:space="preserve">WaterAid </w:t>
            </w:r>
          </w:p>
        </w:tc>
        <w:tc>
          <w:tcPr>
            <w:tcW w:w="3108" w:type="dxa"/>
          </w:tcPr>
          <w:p w14:paraId="331C4232" w14:textId="77777777" w:rsidR="00F76826" w:rsidRDefault="00F76826" w:rsidP="005E5323">
            <w:r>
              <w:t>PNG and Timor-Leste</w:t>
            </w:r>
          </w:p>
        </w:tc>
        <w:tc>
          <w:tcPr>
            <w:tcW w:w="1861" w:type="dxa"/>
          </w:tcPr>
          <w:p w14:paraId="5E2442CB" w14:textId="77777777" w:rsidR="00F76826" w:rsidRDefault="00F76826" w:rsidP="005E5323">
            <w:pPr>
              <w:jc w:val="right"/>
            </w:pPr>
            <w:r>
              <w:t>$194,425</w:t>
            </w:r>
          </w:p>
        </w:tc>
      </w:tr>
      <w:tr w:rsidR="00F76826" w14:paraId="45CB8DEC" w14:textId="77777777" w:rsidTr="005E5323">
        <w:trPr>
          <w:jc w:val="center"/>
        </w:trPr>
        <w:tc>
          <w:tcPr>
            <w:tcW w:w="2134" w:type="dxa"/>
          </w:tcPr>
          <w:p w14:paraId="52CCB4DB" w14:textId="77777777" w:rsidR="00F76826" w:rsidRDefault="00F76826" w:rsidP="005E5323">
            <w:r>
              <w:t>Welthungerhilfe</w:t>
            </w:r>
          </w:p>
        </w:tc>
        <w:tc>
          <w:tcPr>
            <w:tcW w:w="3108" w:type="dxa"/>
          </w:tcPr>
          <w:p w14:paraId="12430476" w14:textId="77777777" w:rsidR="00F76826" w:rsidRDefault="00F76826" w:rsidP="005E5323">
            <w:r>
              <w:t xml:space="preserve">Zimbabwe </w:t>
            </w:r>
          </w:p>
        </w:tc>
        <w:tc>
          <w:tcPr>
            <w:tcW w:w="1861" w:type="dxa"/>
          </w:tcPr>
          <w:p w14:paraId="300EE09C" w14:textId="77777777" w:rsidR="00F76826" w:rsidRDefault="00F76826" w:rsidP="005E5323">
            <w:pPr>
              <w:jc w:val="right"/>
            </w:pPr>
            <w:r>
              <w:t>$199,995</w:t>
            </w:r>
          </w:p>
        </w:tc>
      </w:tr>
      <w:tr w:rsidR="00F76826" w14:paraId="070AD2A9" w14:textId="77777777" w:rsidTr="005E5323">
        <w:trPr>
          <w:jc w:val="center"/>
        </w:trPr>
        <w:tc>
          <w:tcPr>
            <w:tcW w:w="2134" w:type="dxa"/>
          </w:tcPr>
          <w:p w14:paraId="2D107AFD" w14:textId="77777777" w:rsidR="00F76826" w:rsidRDefault="00F76826" w:rsidP="005E5323">
            <w:r>
              <w:t>Plan Australia</w:t>
            </w:r>
          </w:p>
        </w:tc>
        <w:tc>
          <w:tcPr>
            <w:tcW w:w="3108" w:type="dxa"/>
          </w:tcPr>
          <w:p w14:paraId="6C4B1718" w14:textId="77777777" w:rsidR="00F76826" w:rsidRDefault="00F76826" w:rsidP="005E5323">
            <w:r>
              <w:t>Vietnam</w:t>
            </w:r>
          </w:p>
        </w:tc>
        <w:tc>
          <w:tcPr>
            <w:tcW w:w="1861" w:type="dxa"/>
          </w:tcPr>
          <w:p w14:paraId="17C1F619" w14:textId="77777777" w:rsidR="00F76826" w:rsidRDefault="00F76826" w:rsidP="005E5323">
            <w:pPr>
              <w:jc w:val="right"/>
            </w:pPr>
            <w:r>
              <w:t>$99,570</w:t>
            </w:r>
          </w:p>
        </w:tc>
      </w:tr>
      <w:tr w:rsidR="00F76826" w14:paraId="3509AAC7" w14:textId="77777777" w:rsidTr="005E5323">
        <w:trPr>
          <w:jc w:val="center"/>
        </w:trPr>
        <w:tc>
          <w:tcPr>
            <w:tcW w:w="2134" w:type="dxa"/>
          </w:tcPr>
          <w:p w14:paraId="45404C00" w14:textId="77777777" w:rsidR="00F76826" w:rsidRDefault="00F76826" w:rsidP="005E5323">
            <w:r>
              <w:t>SNV Netherlands Development Organisation</w:t>
            </w:r>
          </w:p>
        </w:tc>
        <w:tc>
          <w:tcPr>
            <w:tcW w:w="3108" w:type="dxa"/>
          </w:tcPr>
          <w:p w14:paraId="4EB07517" w14:textId="77777777" w:rsidR="00F76826" w:rsidRDefault="00F76826" w:rsidP="005E5323">
            <w:r>
              <w:t>Bhutan</w:t>
            </w:r>
          </w:p>
        </w:tc>
        <w:tc>
          <w:tcPr>
            <w:tcW w:w="1861" w:type="dxa"/>
          </w:tcPr>
          <w:p w14:paraId="6288CC12" w14:textId="77777777" w:rsidR="00F76826" w:rsidRDefault="00F76826" w:rsidP="005E5323">
            <w:pPr>
              <w:jc w:val="right"/>
            </w:pPr>
            <w:r>
              <w:t>$100,000</w:t>
            </w:r>
          </w:p>
        </w:tc>
      </w:tr>
    </w:tbl>
    <w:p w14:paraId="4EE95EC5" w14:textId="77777777" w:rsidR="00F76826" w:rsidRDefault="00F76826" w:rsidP="00F76826">
      <w:pPr>
        <w:pStyle w:val="Heading2"/>
        <w:sectPr w:rsidR="00F76826" w:rsidSect="005E5323">
          <w:footnotePr>
            <w:numFmt w:val="chicago"/>
            <w:numRestart w:val="eachPage"/>
          </w:footnotePr>
          <w:endnotePr>
            <w:numFmt w:val="decimal"/>
          </w:endnotePr>
          <w:pgSz w:w="11907" w:h="16840" w:code="9"/>
          <w:pgMar w:top="1072" w:right="1701" w:bottom="907" w:left="1701" w:header="851" w:footer="567" w:gutter="0"/>
          <w:cols w:space="720"/>
          <w:docGrid w:linePitch="326"/>
        </w:sectPr>
      </w:pPr>
    </w:p>
    <w:p w14:paraId="69E59A88" w14:textId="77777777" w:rsidR="00C71C16" w:rsidRDefault="009F385D" w:rsidP="005D5113">
      <w:pPr>
        <w:pStyle w:val="Heading1"/>
        <w:rPr>
          <w:noProof/>
        </w:rPr>
      </w:pPr>
      <w:bookmarkStart w:id="42" w:name="_Toc468450012"/>
      <w:r>
        <w:rPr>
          <w:noProof/>
        </w:rPr>
        <w:t>Annex B: Fund management: Expected roles and information flows</w:t>
      </w:r>
      <w:bookmarkEnd w:id="42"/>
    </w:p>
    <w:p w14:paraId="286653FC" w14:textId="77777777" w:rsidR="009F385D" w:rsidRPr="00ED53AB" w:rsidRDefault="009F385D" w:rsidP="009F385D">
      <w:r>
        <w:rPr>
          <w:b/>
          <w:noProof/>
        </w:rPr>
        <mc:AlternateContent>
          <mc:Choice Requires="wps">
            <w:drawing>
              <wp:anchor distT="0" distB="0" distL="114300" distR="114300" simplePos="0" relativeHeight="251724800" behindDoc="0" locked="0" layoutInCell="1" allowOverlap="1" wp14:anchorId="4A493EF7" wp14:editId="77016DC2">
                <wp:simplePos x="0" y="0"/>
                <wp:positionH relativeFrom="column">
                  <wp:posOffset>1634490</wp:posOffset>
                </wp:positionH>
                <wp:positionV relativeFrom="paragraph">
                  <wp:posOffset>128270</wp:posOffset>
                </wp:positionV>
                <wp:extent cx="2124075" cy="590550"/>
                <wp:effectExtent l="0" t="0" r="28575" b="1905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590550"/>
                        </a:xfrm>
                        <a:prstGeom prst="roundRect">
                          <a:avLst>
                            <a:gd name="adj" fmla="val 16667"/>
                          </a:avLst>
                        </a:prstGeom>
                        <a:solidFill>
                          <a:schemeClr val="accent4">
                            <a:lumMod val="20000"/>
                            <a:lumOff val="80000"/>
                          </a:schemeClr>
                        </a:solidFill>
                        <a:ln w="9525">
                          <a:solidFill>
                            <a:srgbClr val="000000"/>
                          </a:solidFill>
                          <a:round/>
                          <a:headEnd/>
                          <a:tailEnd/>
                        </a:ln>
                      </wps:spPr>
                      <wps:txbx>
                        <w:txbxContent>
                          <w:p w14:paraId="7C06814F" w14:textId="77777777" w:rsidR="007E5022" w:rsidRPr="00AE493A" w:rsidRDefault="007E5022" w:rsidP="009F385D">
                            <w:pPr>
                              <w:rPr>
                                <w:rFonts w:asciiTheme="minorHAnsi" w:hAnsiTheme="minorHAnsi"/>
                              </w:rPr>
                            </w:pPr>
                            <w:r w:rsidRPr="00AE493A">
                              <w:rPr>
                                <w:rFonts w:asciiTheme="minorHAnsi" w:hAnsiTheme="minorHAnsi"/>
                              </w:rPr>
                              <w:t>W</w:t>
                            </w:r>
                            <w:r>
                              <w:rPr>
                                <w:rFonts w:asciiTheme="minorHAnsi" w:hAnsiTheme="minorHAnsi"/>
                              </w:rPr>
                              <w:t>ASH practice in h</w:t>
                            </w:r>
                            <w:r w:rsidRPr="00AE493A">
                              <w:rPr>
                                <w:rFonts w:asciiTheme="minorHAnsi" w:hAnsiTheme="minorHAnsi"/>
                              </w:rPr>
                              <w:t>ost countries</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A493EF7" id="AutoShape 3" o:spid="_x0000_s1026" style="position:absolute;margin-left:128.7pt;margin-top:10.1pt;width:167.25pt;height:46.5pt;z-index:251724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" fillcolor="#fce3d2 [663]">
                <v:textbox>
                  <w:txbxContent>
                    <w:p w14:paraId="7C06814F" w14:textId="77777777" w:rsidR="007E5022" w:rsidRPr="00AE493A" w:rsidRDefault="007E5022" w:rsidP="009F385D">
                      <w:pPr>
                        <w:rPr>
                          <w:rFonts w:asciiTheme="minorHAnsi" w:hAnsiTheme="minorHAnsi"/>
                        </w:rPr>
                      </w:pPr>
                      <w:r w:rsidRPr="00AE493A">
                        <w:rPr>
                          <w:rFonts w:asciiTheme="minorHAnsi" w:hAnsiTheme="minorHAnsi"/>
                        </w:rPr>
                        <w:t>W</w:t>
                      </w:r>
                      <w:r>
                        <w:rPr>
                          <w:rFonts w:asciiTheme="minorHAnsi" w:hAnsiTheme="minorHAnsi"/>
                        </w:rPr>
                        <w:t>ASH practice in h</w:t>
                      </w:r>
                      <w:r w:rsidRPr="00AE493A">
                        <w:rPr>
                          <w:rFonts w:asciiTheme="minorHAnsi" w:hAnsiTheme="minorHAnsi"/>
                        </w:rPr>
                        <w:t>ost countries</w:t>
                      </w:r>
                    </w:p>
                  </w:txbxContent>
                </v:textbox>
              </v:roundrect>
            </w:pict>
          </mc:Fallback>
        </mc:AlternateContent>
      </w:r>
      <w:r>
        <w:rPr>
          <w:noProof/>
        </w:rPr>
        <mc:AlternateContent>
          <mc:Choice Requires="wps">
            <w:drawing>
              <wp:anchor distT="0" distB="0" distL="114300" distR="114300" simplePos="0" relativeHeight="251709440" behindDoc="0" locked="0" layoutInCell="1" allowOverlap="1" wp14:anchorId="0CDC9820" wp14:editId="05C4C5CA">
                <wp:simplePos x="0" y="0"/>
                <wp:positionH relativeFrom="column">
                  <wp:posOffset>2581275</wp:posOffset>
                </wp:positionH>
                <wp:positionV relativeFrom="paragraph">
                  <wp:posOffset>535305</wp:posOffset>
                </wp:positionV>
                <wp:extent cx="0" cy="1037590"/>
                <wp:effectExtent l="95250" t="38100" r="57150" b="10160"/>
                <wp:wrapNone/>
                <wp:docPr id="291" name="Straight Arrow Connector 291"/>
                <wp:cNvGraphicFramePr/>
                <a:graphic xmlns:a="http://schemas.openxmlformats.org/drawingml/2006/main">
                  <a:graphicData uri="http://schemas.microsoft.com/office/word/2010/wordprocessingShape">
                    <wps:wsp>
                      <wps:cNvCnPr/>
                      <wps:spPr>
                        <a:xfrm flipV="1">
                          <a:off x="0" y="0"/>
                          <a:ext cx="0" cy="1037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E3F75E2" id="_x0000_t32" coordsize="21600,21600" o:spt="32" o:oned="t" path="m,l21600,21600e" filled="f">
                <v:path arrowok="t" fillok="f" o:connecttype="none"/>
                <o:lock v:ext="edit" shapetype="t"/>
              </v:shapetype>
              <v:shape id="Straight Arrow Connector 291" o:spid="_x0000_s1026" type="#_x0000_t32" style="position:absolute;margin-left:203.25pt;margin-top:42.15pt;width:0;height:81.7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" strokecolor="#007fad [3204]">
                <v:stroke endarrow="open"/>
              </v:shape>
            </w:pict>
          </mc:Fallback>
        </mc:AlternateContent>
      </w:r>
      <w:r>
        <w:rPr>
          <w:noProof/>
        </w:rPr>
        <mc:AlternateContent>
          <mc:Choice Requires="wps">
            <w:drawing>
              <wp:anchor distT="0" distB="0" distL="114300" distR="114300" simplePos="0" relativeHeight="251708416" behindDoc="0" locked="0" layoutInCell="1" allowOverlap="1" wp14:anchorId="68E498C4" wp14:editId="24C594DC">
                <wp:simplePos x="0" y="0"/>
                <wp:positionH relativeFrom="column">
                  <wp:posOffset>533400</wp:posOffset>
                </wp:positionH>
                <wp:positionV relativeFrom="paragraph">
                  <wp:posOffset>8307705</wp:posOffset>
                </wp:positionV>
                <wp:extent cx="4048125" cy="0"/>
                <wp:effectExtent l="38100" t="76200" r="28575" b="114300"/>
                <wp:wrapNone/>
                <wp:docPr id="293" name="Straight Arrow Connector 293"/>
                <wp:cNvGraphicFramePr/>
                <a:graphic xmlns:a="http://schemas.openxmlformats.org/drawingml/2006/main">
                  <a:graphicData uri="http://schemas.microsoft.com/office/word/2010/wordprocessingShape">
                    <wps:wsp>
                      <wps:cNvCnPr/>
                      <wps:spPr>
                        <a:xfrm>
                          <a:off x="0" y="0"/>
                          <a:ext cx="404812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7CFA76" id="Straight Arrow Connector 293" o:spid="_x0000_s1026" type="#_x0000_t32" style="position:absolute;margin-left:42pt;margin-top:654.15pt;width:318.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" strokecolor="#007fad [3204]">
                <v:stroke startarrow="open" endarrow="open"/>
              </v:shape>
            </w:pict>
          </mc:Fallback>
        </mc:AlternateContent>
      </w:r>
    </w:p>
    <w:p w14:paraId="78B0B8B2" w14:textId="77777777" w:rsidR="009F385D" w:rsidRDefault="00595D59" w:rsidP="009F385D">
      <w:pPr>
        <w:spacing w:after="0"/>
        <w:sectPr w:rsidR="009F385D" w:rsidSect="005E5323">
          <w:footnotePr>
            <w:numFmt w:val="chicago"/>
            <w:numRestart w:val="eachPage"/>
          </w:footnotePr>
          <w:endnotePr>
            <w:numFmt w:val="decimal"/>
          </w:endnotePr>
          <w:pgSz w:w="11907" w:h="16840" w:code="9"/>
          <w:pgMar w:top="1072" w:right="1701" w:bottom="907" w:left="1701" w:header="851" w:footer="567" w:gutter="0"/>
          <w:cols w:space="720"/>
          <w:docGrid w:linePitch="326"/>
        </w:sectPr>
      </w:pPr>
      <w:r>
        <w:rPr>
          <w:noProof/>
        </w:rPr>
        <mc:AlternateContent>
          <mc:Choice Requires="wps">
            <w:drawing>
              <wp:anchor distT="0" distB="0" distL="114300" distR="114300" simplePos="0" relativeHeight="251719680" behindDoc="0" locked="0" layoutInCell="1" allowOverlap="1" wp14:anchorId="4AEC86DA" wp14:editId="6EFE253F">
                <wp:simplePos x="0" y="0"/>
                <wp:positionH relativeFrom="column">
                  <wp:posOffset>-889635</wp:posOffset>
                </wp:positionH>
                <wp:positionV relativeFrom="paragraph">
                  <wp:posOffset>2985135</wp:posOffset>
                </wp:positionV>
                <wp:extent cx="1200150" cy="1009650"/>
                <wp:effectExtent l="0" t="0" r="19050" b="190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009650"/>
                        </a:xfrm>
                        <a:prstGeom prst="roundRect">
                          <a:avLst>
                            <a:gd name="adj" fmla="val 16667"/>
                          </a:avLst>
                        </a:prstGeom>
                        <a:solidFill>
                          <a:schemeClr val="accent5">
                            <a:lumMod val="60000"/>
                            <a:lumOff val="40000"/>
                          </a:schemeClr>
                        </a:solidFill>
                        <a:ln w="9525">
                          <a:solidFill>
                            <a:srgbClr val="000000"/>
                          </a:solidFill>
                          <a:round/>
                          <a:headEnd/>
                          <a:tailEnd/>
                        </a:ln>
                      </wps:spPr>
                      <wps:txbx>
                        <w:txbxContent>
                          <w:p w14:paraId="0F1DE46E" w14:textId="77777777" w:rsidR="007E5022" w:rsidRDefault="007E5022" w:rsidP="009F385D">
                            <w:pPr>
                              <w:rPr>
                                <w:rFonts w:asciiTheme="minorHAnsi" w:hAnsiTheme="minorHAnsi"/>
                              </w:rPr>
                            </w:pPr>
                            <w:r w:rsidRPr="00AE493A">
                              <w:rPr>
                                <w:rFonts w:asciiTheme="minorHAnsi" w:hAnsiTheme="minorHAnsi"/>
                              </w:rPr>
                              <w:t>MERP</w:t>
                            </w:r>
                          </w:p>
                          <w:p w14:paraId="08D115F3" w14:textId="77777777" w:rsidR="007E5022" w:rsidRPr="00AE493A" w:rsidRDefault="007E5022" w:rsidP="009F385D">
                            <w:pPr>
                              <w:rPr>
                                <w:rFonts w:asciiTheme="minorHAnsi" w:hAnsiTheme="minorHAnsi"/>
                              </w:rPr>
                            </w:pPr>
                            <w:r>
                              <w:rPr>
                                <w:rFonts w:asciiTheme="minorHAnsi" w:hAnsiTheme="minorHAnsi"/>
                              </w:rPr>
                              <w:t>Facilitates project and Fund M&amp;E</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AEC86DA" id="AutoShape 4" o:spid="_x0000_s1027" style="position:absolute;margin-left:-70.05pt;margin-top:235.05pt;width:94.5pt;height:79.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" fillcolor="#fabf97 [1944]">
                <v:textbox>
                  <w:txbxContent>
                    <w:p w14:paraId="0F1DE46E" w14:textId="77777777" w:rsidR="007E5022" w:rsidRDefault="007E5022" w:rsidP="009F385D">
                      <w:pPr>
                        <w:rPr>
                          <w:rFonts w:asciiTheme="minorHAnsi" w:hAnsiTheme="minorHAnsi"/>
                        </w:rPr>
                      </w:pPr>
                      <w:r w:rsidRPr="00AE493A">
                        <w:rPr>
                          <w:rFonts w:asciiTheme="minorHAnsi" w:hAnsiTheme="minorHAnsi"/>
                        </w:rPr>
                        <w:t>MERP</w:t>
                      </w:r>
                    </w:p>
                    <w:p w14:paraId="08D115F3" w14:textId="77777777" w:rsidR="007E5022" w:rsidRPr="00AE493A" w:rsidRDefault="007E5022" w:rsidP="009F385D">
                      <w:pPr>
                        <w:rPr>
                          <w:rFonts w:asciiTheme="minorHAnsi" w:hAnsiTheme="minorHAnsi"/>
                        </w:rPr>
                      </w:pPr>
                      <w:r>
                        <w:rPr>
                          <w:rFonts w:asciiTheme="minorHAnsi" w:hAnsiTheme="minorHAnsi"/>
                        </w:rPr>
                        <w:t>Facilitates project and Fund M&amp;E</w:t>
                      </w:r>
                    </w:p>
                  </w:txbxContent>
                </v:textbox>
              </v:roundrect>
            </w:pict>
          </mc:Fallback>
        </mc:AlternateContent>
      </w:r>
      <w:r>
        <w:rPr>
          <w:noProof/>
        </w:rPr>
        <mc:AlternateContent>
          <mc:Choice Requires="wps">
            <w:drawing>
              <wp:anchor distT="0" distB="0" distL="114300" distR="114300" simplePos="0" relativeHeight="251728896" behindDoc="0" locked="0" layoutInCell="1" allowOverlap="1" wp14:anchorId="26E7C9BD" wp14:editId="25332836">
                <wp:simplePos x="0" y="0"/>
                <wp:positionH relativeFrom="column">
                  <wp:posOffset>1472565</wp:posOffset>
                </wp:positionH>
                <wp:positionV relativeFrom="paragraph">
                  <wp:posOffset>7813040</wp:posOffset>
                </wp:positionV>
                <wp:extent cx="2019300" cy="485775"/>
                <wp:effectExtent l="0" t="0" r="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485775"/>
                        </a:xfrm>
                        <a:prstGeom prst="rect">
                          <a:avLst/>
                        </a:prstGeom>
                        <a:solidFill>
                          <a:srgbClr val="FFFFFF"/>
                        </a:solidFill>
                        <a:ln w="9525">
                          <a:noFill/>
                          <a:miter lim="800000"/>
                          <a:headEnd/>
                          <a:tailEnd/>
                        </a:ln>
                      </wps:spPr>
                      <wps:txbx>
                        <w:txbxContent>
                          <w:p w14:paraId="37FA1ACE" w14:textId="77777777" w:rsidR="007E5022" w:rsidRPr="00AE493A" w:rsidRDefault="007E5022" w:rsidP="009F385D">
                            <w:pPr>
                              <w:rPr>
                                <w:rFonts w:asciiTheme="minorHAnsi" w:hAnsiTheme="minorHAnsi"/>
                                <w:sz w:val="18"/>
                                <w:szCs w:val="18"/>
                              </w:rPr>
                            </w:pPr>
                            <w:r>
                              <w:rPr>
                                <w:rFonts w:asciiTheme="minorHAnsi" w:hAnsiTheme="minorHAnsi"/>
                                <w:sz w:val="18"/>
                                <w:szCs w:val="18"/>
                              </w:rPr>
                              <w:t>DFAT WSH and DFAT Posts liaise on policy and program issues and monitoring visits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6E7C9BD" id="_x0000_t202" coordsize="21600,21600" o:spt="202" path="m,l,21600r21600,l21600,xe">
                <v:stroke joinstyle="miter"/>
                <v:path gradientshapeok="t" o:connecttype="rect"/>
              </v:shapetype>
              <v:shape id="Text Box 2" o:spid="_x0000_s1028" type="#_x0000_t202" style="position:absolute;margin-left:115.95pt;margin-top:615.2pt;width:159pt;height:38.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" stroked="f">
                <v:textbox>
                  <w:txbxContent>
                    <w:p w14:paraId="37FA1ACE" w14:textId="77777777" w:rsidR="007E5022" w:rsidRPr="00AE493A" w:rsidRDefault="007E5022" w:rsidP="009F385D">
                      <w:pPr>
                        <w:rPr>
                          <w:rFonts w:asciiTheme="minorHAnsi" w:hAnsiTheme="minorHAnsi"/>
                          <w:sz w:val="18"/>
                          <w:szCs w:val="18"/>
                        </w:rPr>
                      </w:pPr>
                      <w:r>
                        <w:rPr>
                          <w:rFonts w:asciiTheme="minorHAnsi" w:hAnsiTheme="minorHAnsi"/>
                          <w:sz w:val="18"/>
                          <w:szCs w:val="18"/>
                        </w:rPr>
                        <w:t>DFAT WSH and DFAT Posts liaise on policy and program issues and monitoring visits</w:t>
                      </w:r>
                    </w:p>
                  </w:txbxContent>
                </v:textbox>
              </v:shape>
            </w:pict>
          </mc:Fallback>
        </mc:AlternateContent>
      </w:r>
      <w:r w:rsidR="009F385D">
        <w:rPr>
          <w:noProof/>
        </w:rPr>
        <mc:AlternateContent>
          <mc:Choice Requires="wps">
            <w:drawing>
              <wp:anchor distT="0" distB="0" distL="114300" distR="114300" simplePos="0" relativeHeight="251734016" behindDoc="0" locked="0" layoutInCell="1" allowOverlap="1" wp14:anchorId="369A5D36" wp14:editId="5AF69FEE">
                <wp:simplePos x="0" y="0"/>
                <wp:positionH relativeFrom="column">
                  <wp:posOffset>3225165</wp:posOffset>
                </wp:positionH>
                <wp:positionV relativeFrom="paragraph">
                  <wp:posOffset>6765290</wp:posOffset>
                </wp:positionV>
                <wp:extent cx="2019300" cy="600075"/>
                <wp:effectExtent l="0" t="0" r="0"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0075"/>
                        </a:xfrm>
                        <a:prstGeom prst="rect">
                          <a:avLst/>
                        </a:prstGeom>
                        <a:solidFill>
                          <a:srgbClr val="FFFFFF"/>
                        </a:solidFill>
                        <a:ln w="9525">
                          <a:noFill/>
                          <a:miter lim="800000"/>
                          <a:headEnd/>
                          <a:tailEnd/>
                        </a:ln>
                      </wps:spPr>
                      <wps:txbx>
                        <w:txbxContent>
                          <w:p w14:paraId="7689F946" w14:textId="77777777" w:rsidR="007E5022" w:rsidRPr="00AE493A" w:rsidRDefault="007E5022" w:rsidP="009F385D">
                            <w:pPr>
                              <w:rPr>
                                <w:rFonts w:asciiTheme="minorHAnsi" w:hAnsiTheme="minorHAnsi"/>
                                <w:sz w:val="18"/>
                                <w:szCs w:val="18"/>
                              </w:rPr>
                            </w:pPr>
                            <w:r>
                              <w:rPr>
                                <w:rFonts w:asciiTheme="minorHAnsi" w:hAnsiTheme="minorHAnsi"/>
                                <w:sz w:val="18"/>
                                <w:szCs w:val="18"/>
                              </w:rPr>
                              <w:t>Fund manager ensures projects are properly linked to DFAT country programs and Posts are informed of monitoring visits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9A5D36" id="_x0000_s1029" type="#_x0000_t202" style="position:absolute;margin-left:253.95pt;margin-top:532.7pt;width:159pt;height:47.2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" stroked="f">
                <v:textbox>
                  <w:txbxContent>
                    <w:p w14:paraId="7689F946" w14:textId="77777777" w:rsidR="007E5022" w:rsidRPr="00AE493A" w:rsidRDefault="007E5022" w:rsidP="009F385D">
                      <w:pPr>
                        <w:rPr>
                          <w:rFonts w:asciiTheme="minorHAnsi" w:hAnsiTheme="minorHAnsi"/>
                          <w:sz w:val="18"/>
                          <w:szCs w:val="18"/>
                        </w:rPr>
                      </w:pPr>
                      <w:r>
                        <w:rPr>
                          <w:rFonts w:asciiTheme="minorHAnsi" w:hAnsiTheme="minorHAnsi"/>
                          <w:sz w:val="18"/>
                          <w:szCs w:val="18"/>
                        </w:rPr>
                        <w:t>Fund manager ensures projects are properly linked to DFAT country programs and Posts are informed of monitoring visits</w:t>
                      </w:r>
                    </w:p>
                  </w:txbxContent>
                </v:textbox>
              </v:shape>
            </w:pict>
          </mc:Fallback>
        </mc:AlternateContent>
      </w:r>
      <w:r w:rsidR="009F385D">
        <w:rPr>
          <w:noProof/>
        </w:rPr>
        <mc:AlternateContent>
          <mc:Choice Requires="wps">
            <w:drawing>
              <wp:anchor distT="0" distB="0" distL="114300" distR="114300" simplePos="0" relativeHeight="251739136" behindDoc="0" locked="0" layoutInCell="1" allowOverlap="1" wp14:anchorId="426259F5" wp14:editId="5221E671">
                <wp:simplePos x="0" y="0"/>
                <wp:positionH relativeFrom="column">
                  <wp:posOffset>1701165</wp:posOffset>
                </wp:positionH>
                <wp:positionV relativeFrom="paragraph">
                  <wp:posOffset>4003675</wp:posOffset>
                </wp:positionV>
                <wp:extent cx="2019300" cy="638175"/>
                <wp:effectExtent l="0" t="0" r="0" b="952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38175"/>
                        </a:xfrm>
                        <a:prstGeom prst="rect">
                          <a:avLst/>
                        </a:prstGeom>
                        <a:solidFill>
                          <a:srgbClr val="FFFFFF"/>
                        </a:solidFill>
                        <a:ln w="9525">
                          <a:noFill/>
                          <a:miter lim="800000"/>
                          <a:headEnd/>
                          <a:tailEnd/>
                        </a:ln>
                      </wps:spPr>
                      <wps:txbx>
                        <w:txbxContent>
                          <w:p w14:paraId="253CC469" w14:textId="77777777" w:rsidR="007E5022" w:rsidRPr="00AE493A" w:rsidRDefault="007E5022" w:rsidP="009F385D">
                            <w:pPr>
                              <w:rPr>
                                <w:rFonts w:asciiTheme="minorHAnsi" w:hAnsiTheme="minorHAnsi"/>
                                <w:sz w:val="18"/>
                                <w:szCs w:val="18"/>
                              </w:rPr>
                            </w:pPr>
                            <w:r>
                              <w:rPr>
                                <w:rFonts w:asciiTheme="minorHAnsi" w:hAnsiTheme="minorHAnsi"/>
                                <w:sz w:val="18"/>
                                <w:szCs w:val="18"/>
                              </w:rPr>
                              <w:t xml:space="preserve">FM and CSOs communicate </w:t>
                            </w:r>
                            <w:proofErr w:type="gramStart"/>
                            <w:r>
                              <w:rPr>
                                <w:rFonts w:asciiTheme="minorHAnsi" w:hAnsiTheme="minorHAnsi"/>
                                <w:sz w:val="18"/>
                                <w:szCs w:val="18"/>
                              </w:rPr>
                              <w:t>on  reporting</w:t>
                            </w:r>
                            <w:proofErr w:type="gramEnd"/>
                            <w:r>
                              <w:rPr>
                                <w:rFonts w:asciiTheme="minorHAnsi" w:hAnsiTheme="minorHAnsi"/>
                                <w:sz w:val="18"/>
                                <w:szCs w:val="18"/>
                              </w:rPr>
                              <w:t>, finances, project performance, risk management and contract issues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6259F5" id="_x0000_s1030" type="#_x0000_t202" style="position:absolute;margin-left:133.95pt;margin-top:315.25pt;width:159pt;height:50.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Lb0JAIAACQ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" stroked="f">
                <v:textbox>
                  <w:txbxContent>
                    <w:p w14:paraId="253CC469" w14:textId="77777777" w:rsidR="007E5022" w:rsidRPr="00AE493A" w:rsidRDefault="007E5022" w:rsidP="009F385D">
                      <w:pPr>
                        <w:rPr>
                          <w:rFonts w:asciiTheme="minorHAnsi" w:hAnsiTheme="minorHAnsi"/>
                          <w:sz w:val="18"/>
                          <w:szCs w:val="18"/>
                        </w:rPr>
                      </w:pPr>
                      <w:r>
                        <w:rPr>
                          <w:rFonts w:asciiTheme="minorHAnsi" w:hAnsiTheme="minorHAnsi"/>
                          <w:sz w:val="18"/>
                          <w:szCs w:val="18"/>
                        </w:rPr>
                        <w:t>FM and CSOs communicate on  reporting, finances, project performance, risk management and contract issues</w:t>
                      </w:r>
                    </w:p>
                  </w:txbxContent>
                </v:textbox>
              </v:shape>
            </w:pict>
          </mc:Fallback>
        </mc:AlternateContent>
      </w:r>
      <w:r w:rsidR="009F385D">
        <w:rPr>
          <w:noProof/>
        </w:rPr>
        <mc:AlternateContent>
          <mc:Choice Requires="wps">
            <w:drawing>
              <wp:anchor distT="0" distB="0" distL="114300" distR="114300" simplePos="0" relativeHeight="251738112" behindDoc="0" locked="0" layoutInCell="1" allowOverlap="1" wp14:anchorId="7992601A" wp14:editId="7F7DCA97">
                <wp:simplePos x="0" y="0"/>
                <wp:positionH relativeFrom="column">
                  <wp:posOffset>243840</wp:posOffset>
                </wp:positionH>
                <wp:positionV relativeFrom="paragraph">
                  <wp:posOffset>6575425</wp:posOffset>
                </wp:positionV>
                <wp:extent cx="2019300" cy="7239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23900"/>
                        </a:xfrm>
                        <a:prstGeom prst="rect">
                          <a:avLst/>
                        </a:prstGeom>
                        <a:solidFill>
                          <a:srgbClr val="FFFFFF"/>
                        </a:solidFill>
                        <a:ln w="9525">
                          <a:noFill/>
                          <a:miter lim="800000"/>
                          <a:headEnd/>
                          <a:tailEnd/>
                        </a:ln>
                      </wps:spPr>
                      <wps:txbx>
                        <w:txbxContent>
                          <w:p w14:paraId="063C8FD2" w14:textId="77777777" w:rsidR="007E5022" w:rsidRPr="00AE493A" w:rsidRDefault="007E5022" w:rsidP="009F385D">
                            <w:pPr>
                              <w:rPr>
                                <w:rFonts w:asciiTheme="minorHAnsi" w:hAnsiTheme="minorHAnsi"/>
                                <w:sz w:val="18"/>
                                <w:szCs w:val="18"/>
                              </w:rPr>
                            </w:pPr>
                            <w:r>
                              <w:rPr>
                                <w:rFonts w:asciiTheme="minorHAnsi" w:hAnsiTheme="minorHAnsi"/>
                                <w:sz w:val="18"/>
                                <w:szCs w:val="18"/>
                              </w:rPr>
                              <w:t>DFAT and FM communicate on finances, project and Fund performance, annual planning and risk management to inform decision making</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92601A" id="_x0000_s1031" type="#_x0000_t202" style="position:absolute;margin-left:19.2pt;margin-top:517.75pt;width:159pt;height:57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" stroked="f">
                <v:textbox>
                  <w:txbxContent>
                    <w:p w14:paraId="063C8FD2" w14:textId="77777777" w:rsidR="007E5022" w:rsidRPr="00AE493A" w:rsidRDefault="007E5022" w:rsidP="009F385D">
                      <w:pPr>
                        <w:rPr>
                          <w:rFonts w:asciiTheme="minorHAnsi" w:hAnsiTheme="minorHAnsi"/>
                          <w:sz w:val="18"/>
                          <w:szCs w:val="18"/>
                        </w:rPr>
                      </w:pPr>
                      <w:r>
                        <w:rPr>
                          <w:rFonts w:asciiTheme="minorHAnsi" w:hAnsiTheme="minorHAnsi"/>
                          <w:sz w:val="18"/>
                          <w:szCs w:val="18"/>
                        </w:rPr>
                        <w:t>DFAT and FM communicate on finances, project and Fund performance, annual planning and risk management to inform decision making</w:t>
                      </w:r>
                    </w:p>
                  </w:txbxContent>
                </v:textbox>
              </v:shape>
            </w:pict>
          </mc:Fallback>
        </mc:AlternateContent>
      </w:r>
      <w:r w:rsidR="009F385D">
        <w:rPr>
          <w:noProof/>
        </w:rPr>
        <mc:AlternateContent>
          <mc:Choice Requires="wps">
            <w:drawing>
              <wp:anchor distT="0" distB="0" distL="114300" distR="114300" simplePos="0" relativeHeight="251726848" behindDoc="0" locked="0" layoutInCell="1" allowOverlap="1" wp14:anchorId="17D1FA85" wp14:editId="6D8476F0">
                <wp:simplePos x="0" y="0"/>
                <wp:positionH relativeFrom="column">
                  <wp:posOffset>2853690</wp:posOffset>
                </wp:positionH>
                <wp:positionV relativeFrom="paragraph">
                  <wp:posOffset>2307590</wp:posOffset>
                </wp:positionV>
                <wp:extent cx="2209800" cy="8953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95350"/>
                        </a:xfrm>
                        <a:prstGeom prst="rect">
                          <a:avLst/>
                        </a:prstGeom>
                        <a:solidFill>
                          <a:srgbClr val="FFFFFF"/>
                        </a:solidFill>
                        <a:ln w="9525">
                          <a:noFill/>
                          <a:miter lim="800000"/>
                          <a:headEnd/>
                          <a:tailEnd/>
                        </a:ln>
                      </wps:spPr>
                      <wps:txbx>
                        <w:txbxContent>
                          <w:p w14:paraId="544CBBA9" w14:textId="77777777" w:rsidR="007E5022" w:rsidRPr="00AE493A" w:rsidRDefault="007E5022" w:rsidP="009F385D">
                            <w:pPr>
                              <w:rPr>
                                <w:rFonts w:asciiTheme="minorHAnsi" w:hAnsiTheme="minorHAnsi"/>
                                <w:sz w:val="18"/>
                                <w:szCs w:val="18"/>
                              </w:rPr>
                            </w:pPr>
                            <w:r>
                              <w:rPr>
                                <w:rFonts w:asciiTheme="minorHAnsi" w:hAnsiTheme="minorHAnsi"/>
                                <w:sz w:val="18"/>
                                <w:szCs w:val="18"/>
                              </w:rPr>
                              <w:t>KALM and CSOs work together</w:t>
                            </w:r>
                            <w:r w:rsidRPr="00AE493A">
                              <w:rPr>
                                <w:rFonts w:asciiTheme="minorHAnsi" w:hAnsiTheme="minorHAnsi"/>
                                <w:sz w:val="18"/>
                                <w:szCs w:val="18"/>
                              </w:rPr>
                              <w:t xml:space="preserve"> to improve </w:t>
                            </w:r>
                            <w:r>
                              <w:rPr>
                                <w:rFonts w:asciiTheme="minorHAnsi" w:hAnsiTheme="minorHAnsi"/>
                                <w:sz w:val="18"/>
                                <w:szCs w:val="18"/>
                              </w:rPr>
                              <w:t xml:space="preserve">projects and WASH knowledge and practice through CSO plans, communities of practice, learning events and knowledge brokering between CSOs, research and innovation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7D1FA85" id="_x0000_s1032" type="#_x0000_t202" style="position:absolute;margin-left:224.7pt;margin-top:181.7pt;width:174pt;height:7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" stroked="f">
                <v:textbox>
                  <w:txbxContent>
                    <w:p w14:paraId="544CBBA9" w14:textId="77777777" w:rsidR="007E5022" w:rsidRPr="00AE493A" w:rsidRDefault="007E5022" w:rsidP="009F385D">
                      <w:pPr>
                        <w:rPr>
                          <w:rFonts w:asciiTheme="minorHAnsi" w:hAnsiTheme="minorHAnsi"/>
                          <w:sz w:val="18"/>
                          <w:szCs w:val="18"/>
                        </w:rPr>
                      </w:pPr>
                      <w:r>
                        <w:rPr>
                          <w:rFonts w:asciiTheme="minorHAnsi" w:hAnsiTheme="minorHAnsi"/>
                          <w:sz w:val="18"/>
                          <w:szCs w:val="18"/>
                        </w:rPr>
                        <w:t>KALM and CSOs work together</w:t>
                      </w:r>
                      <w:r w:rsidRPr="00AE493A">
                        <w:rPr>
                          <w:rFonts w:asciiTheme="minorHAnsi" w:hAnsiTheme="minorHAnsi"/>
                          <w:sz w:val="18"/>
                          <w:szCs w:val="18"/>
                        </w:rPr>
                        <w:t xml:space="preserve"> to improve </w:t>
                      </w:r>
                      <w:r>
                        <w:rPr>
                          <w:rFonts w:asciiTheme="minorHAnsi" w:hAnsiTheme="minorHAnsi"/>
                          <w:sz w:val="18"/>
                          <w:szCs w:val="18"/>
                        </w:rPr>
                        <w:t xml:space="preserve">projects and WASH knowledge and practice through CSO plans, communities of practice, learning events and knowledge brokering between CSOs, research and innovation </w:t>
                      </w:r>
                    </w:p>
                  </w:txbxContent>
                </v:textbox>
              </v:shape>
            </w:pict>
          </mc:Fallback>
        </mc:AlternateContent>
      </w:r>
      <w:r w:rsidR="009F385D">
        <w:rPr>
          <w:noProof/>
        </w:rPr>
        <mc:AlternateContent>
          <mc:Choice Requires="wps">
            <w:drawing>
              <wp:anchor distT="0" distB="0" distL="114300" distR="114300" simplePos="0" relativeHeight="251742208" behindDoc="0" locked="0" layoutInCell="1" allowOverlap="1" wp14:anchorId="0DD3BEFD" wp14:editId="0F52B5AC">
                <wp:simplePos x="0" y="0"/>
                <wp:positionH relativeFrom="column">
                  <wp:posOffset>1558290</wp:posOffset>
                </wp:positionH>
                <wp:positionV relativeFrom="paragraph">
                  <wp:posOffset>584200</wp:posOffset>
                </wp:positionV>
                <wp:extent cx="2076450" cy="4762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76250"/>
                        </a:xfrm>
                        <a:prstGeom prst="rect">
                          <a:avLst/>
                        </a:prstGeom>
                        <a:solidFill>
                          <a:srgbClr val="FFFFFF"/>
                        </a:solidFill>
                        <a:ln w="9525">
                          <a:noFill/>
                          <a:miter lim="800000"/>
                          <a:headEnd/>
                          <a:tailEnd/>
                        </a:ln>
                      </wps:spPr>
                      <wps:txbx>
                        <w:txbxContent>
                          <w:p w14:paraId="7DB95DEC" w14:textId="77777777" w:rsidR="007E5022" w:rsidRPr="00AE493A" w:rsidRDefault="007E5022" w:rsidP="009F385D">
                            <w:pPr>
                              <w:rPr>
                                <w:rFonts w:asciiTheme="minorHAnsi" w:hAnsiTheme="minorHAnsi"/>
                                <w:sz w:val="18"/>
                                <w:szCs w:val="18"/>
                              </w:rPr>
                            </w:pPr>
                            <w:r>
                              <w:rPr>
                                <w:rFonts w:asciiTheme="minorHAnsi" w:hAnsiTheme="minorHAnsi"/>
                                <w:sz w:val="18"/>
                                <w:szCs w:val="18"/>
                              </w:rPr>
                              <w:t>CSOs work to strengthen host country enabling environment and government for sustainable WASH practices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DD3BEFD" id="_x0000_s1033" type="#_x0000_t202" style="position:absolute;margin-left:122.7pt;margin-top:46pt;width:163.5pt;height:37.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" stroked="f">
                <v:textbox>
                  <w:txbxContent>
                    <w:p w14:paraId="7DB95DEC" w14:textId="77777777" w:rsidR="007E5022" w:rsidRPr="00AE493A" w:rsidRDefault="007E5022" w:rsidP="009F385D">
                      <w:pPr>
                        <w:rPr>
                          <w:rFonts w:asciiTheme="minorHAnsi" w:hAnsiTheme="minorHAnsi"/>
                          <w:sz w:val="18"/>
                          <w:szCs w:val="18"/>
                        </w:rPr>
                      </w:pPr>
                      <w:r>
                        <w:rPr>
                          <w:rFonts w:asciiTheme="minorHAnsi" w:hAnsiTheme="minorHAnsi"/>
                          <w:sz w:val="18"/>
                          <w:szCs w:val="18"/>
                        </w:rPr>
                        <w:t>CSOs work to strengthen host country enabling environment and government for sustainable WASH practices</w:t>
                      </w:r>
                    </w:p>
                  </w:txbxContent>
                </v:textbox>
              </v:shape>
            </w:pict>
          </mc:Fallback>
        </mc:AlternateContent>
      </w:r>
      <w:r w:rsidR="009F385D">
        <w:rPr>
          <w:noProof/>
        </w:rPr>
        <mc:AlternateContent>
          <mc:Choice Requires="wps">
            <w:drawing>
              <wp:anchor distT="0" distB="0" distL="114300" distR="114300" simplePos="0" relativeHeight="251712512" behindDoc="0" locked="0" layoutInCell="1" allowOverlap="1" wp14:anchorId="73103F14" wp14:editId="5150D9ED">
                <wp:simplePos x="0" y="0"/>
                <wp:positionH relativeFrom="column">
                  <wp:posOffset>100965</wp:posOffset>
                </wp:positionH>
                <wp:positionV relativeFrom="paragraph">
                  <wp:posOffset>4041775</wp:posOffset>
                </wp:positionV>
                <wp:extent cx="2447925" cy="1189990"/>
                <wp:effectExtent l="38100" t="38100" r="85725" b="67310"/>
                <wp:wrapNone/>
                <wp:docPr id="6" name="Straight Arrow Connector 6"/>
                <wp:cNvGraphicFramePr/>
                <a:graphic xmlns:a="http://schemas.openxmlformats.org/drawingml/2006/main">
                  <a:graphicData uri="http://schemas.microsoft.com/office/word/2010/wordprocessingShape">
                    <wps:wsp>
                      <wps:cNvCnPr/>
                      <wps:spPr>
                        <a:xfrm>
                          <a:off x="0" y="0"/>
                          <a:ext cx="2447925" cy="118999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EEEA34" id="Straight Arrow Connector 6" o:spid="_x0000_s1026" type="#_x0000_t32" style="position:absolute;margin-left:7.95pt;margin-top:318.25pt;width:192.75pt;height:93.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" strokecolor="#007fad [3204]">
                <v:stroke startarrow="open" endarrow="open"/>
              </v:shape>
            </w:pict>
          </mc:Fallback>
        </mc:AlternateContent>
      </w:r>
      <w:r w:rsidR="009F385D">
        <w:rPr>
          <w:noProof/>
        </w:rPr>
        <mc:AlternateContent>
          <mc:Choice Requires="wps">
            <w:drawing>
              <wp:anchor distT="0" distB="0" distL="114300" distR="114300" simplePos="0" relativeHeight="251735040" behindDoc="0" locked="0" layoutInCell="1" allowOverlap="1" wp14:anchorId="25C53616" wp14:editId="19B8AD6E">
                <wp:simplePos x="0" y="0"/>
                <wp:positionH relativeFrom="column">
                  <wp:posOffset>4930140</wp:posOffset>
                </wp:positionH>
                <wp:positionV relativeFrom="paragraph">
                  <wp:posOffset>5241290</wp:posOffset>
                </wp:positionV>
                <wp:extent cx="1495425" cy="733425"/>
                <wp:effectExtent l="0" t="0" r="9525" b="95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733425"/>
                        </a:xfrm>
                        <a:prstGeom prst="rect">
                          <a:avLst/>
                        </a:prstGeom>
                        <a:solidFill>
                          <a:srgbClr val="FFFFFF"/>
                        </a:solidFill>
                        <a:ln w="9525">
                          <a:noFill/>
                          <a:miter lim="800000"/>
                          <a:headEnd/>
                          <a:tailEnd/>
                        </a:ln>
                      </wps:spPr>
                      <wps:txbx>
                        <w:txbxContent>
                          <w:p w14:paraId="1CEEB512" w14:textId="77777777" w:rsidR="007E5022" w:rsidRPr="00AE493A" w:rsidRDefault="007E5022" w:rsidP="009F385D">
                            <w:pPr>
                              <w:rPr>
                                <w:rFonts w:asciiTheme="minorHAnsi" w:hAnsiTheme="minorHAnsi"/>
                                <w:sz w:val="18"/>
                                <w:szCs w:val="18"/>
                              </w:rPr>
                            </w:pPr>
                            <w:r>
                              <w:rPr>
                                <w:rFonts w:asciiTheme="minorHAnsi" w:hAnsiTheme="minorHAnsi"/>
                                <w:sz w:val="18"/>
                                <w:szCs w:val="18"/>
                              </w:rPr>
                              <w:t xml:space="preserve">CSOs share information on their projects; DFAT Posts coordinate Fund and non-Fund WASH projects in country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C53616" id="_x0000_s1034" type="#_x0000_t202" style="position:absolute;margin-left:388.2pt;margin-top:412.7pt;width:117.75pt;height:57.7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" stroked="f">
                <v:textbox>
                  <w:txbxContent>
                    <w:p w14:paraId="1CEEB512" w14:textId="77777777" w:rsidR="007E5022" w:rsidRPr="00AE493A" w:rsidRDefault="007E5022" w:rsidP="009F385D">
                      <w:pPr>
                        <w:rPr>
                          <w:rFonts w:asciiTheme="minorHAnsi" w:hAnsiTheme="minorHAnsi"/>
                          <w:sz w:val="18"/>
                          <w:szCs w:val="18"/>
                        </w:rPr>
                      </w:pPr>
                      <w:r>
                        <w:rPr>
                          <w:rFonts w:asciiTheme="minorHAnsi" w:hAnsiTheme="minorHAnsi"/>
                          <w:sz w:val="18"/>
                          <w:szCs w:val="18"/>
                        </w:rPr>
                        <w:t xml:space="preserve">CSOs share information on their projects; DFAT Posts coordinate Fund and non-Fund WASH projects in country </w:t>
                      </w:r>
                    </w:p>
                  </w:txbxContent>
                </v:textbox>
              </v:shape>
            </w:pict>
          </mc:Fallback>
        </mc:AlternateContent>
      </w:r>
      <w:r w:rsidR="009F385D">
        <w:rPr>
          <w:noProof/>
        </w:rPr>
        <mc:AlternateContent>
          <mc:Choice Requires="wps">
            <w:drawing>
              <wp:anchor distT="0" distB="0" distL="114300" distR="114300" simplePos="0" relativeHeight="251714560" behindDoc="0" locked="0" layoutInCell="1" allowOverlap="1" wp14:anchorId="5CE21AB8" wp14:editId="6927E2CD">
                <wp:simplePos x="0" y="0"/>
                <wp:positionH relativeFrom="column">
                  <wp:posOffset>320040</wp:posOffset>
                </wp:positionH>
                <wp:positionV relativeFrom="paragraph">
                  <wp:posOffset>3670300</wp:posOffset>
                </wp:positionV>
                <wp:extent cx="3886200" cy="0"/>
                <wp:effectExtent l="38100" t="76200" r="19050" b="114300"/>
                <wp:wrapNone/>
                <wp:docPr id="7" name="Straight Arrow Connector 7"/>
                <wp:cNvGraphicFramePr/>
                <a:graphic xmlns:a="http://schemas.openxmlformats.org/drawingml/2006/main">
                  <a:graphicData uri="http://schemas.microsoft.com/office/word/2010/wordprocessingShape">
                    <wps:wsp>
                      <wps:cNvCnPr/>
                      <wps:spPr>
                        <a:xfrm>
                          <a:off x="0" y="0"/>
                          <a:ext cx="38862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1EC2B6" id="Straight Arrow Connector 7" o:spid="_x0000_s1026" type="#_x0000_t32" style="position:absolute;margin-left:25.2pt;margin-top:289pt;width:306pt;height:0;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" strokecolor="#007fad [3204]">
                <v:stroke startarrow="open" endarrow="open"/>
              </v:shape>
            </w:pict>
          </mc:Fallback>
        </mc:AlternateContent>
      </w:r>
      <w:r w:rsidR="009F385D">
        <w:rPr>
          <w:noProof/>
        </w:rPr>
        <mc:AlternateContent>
          <mc:Choice Requires="wps">
            <w:drawing>
              <wp:anchor distT="0" distB="0" distL="114300" distR="114300" simplePos="0" relativeHeight="251725824" behindDoc="0" locked="0" layoutInCell="1" allowOverlap="1" wp14:anchorId="3A34CA22" wp14:editId="163B5744">
                <wp:simplePos x="0" y="0"/>
                <wp:positionH relativeFrom="column">
                  <wp:posOffset>528955</wp:posOffset>
                </wp:positionH>
                <wp:positionV relativeFrom="paragraph">
                  <wp:posOffset>2441575</wp:posOffset>
                </wp:positionV>
                <wp:extent cx="1895475" cy="609600"/>
                <wp:effectExtent l="0" t="0" r="9525"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609600"/>
                        </a:xfrm>
                        <a:prstGeom prst="rect">
                          <a:avLst/>
                        </a:prstGeom>
                        <a:solidFill>
                          <a:srgbClr val="FFFFFF"/>
                        </a:solidFill>
                        <a:ln w="9525">
                          <a:noFill/>
                          <a:miter lim="800000"/>
                          <a:headEnd/>
                          <a:tailEnd/>
                        </a:ln>
                      </wps:spPr>
                      <wps:txbx>
                        <w:txbxContent>
                          <w:p w14:paraId="3B18051C" w14:textId="77777777" w:rsidR="007E5022" w:rsidRPr="00AE493A" w:rsidRDefault="007E5022" w:rsidP="009F385D">
                            <w:pPr>
                              <w:rPr>
                                <w:rFonts w:asciiTheme="minorHAnsi" w:hAnsiTheme="minorHAnsi"/>
                                <w:sz w:val="18"/>
                                <w:szCs w:val="18"/>
                              </w:rPr>
                            </w:pPr>
                            <w:r w:rsidRPr="00AE493A">
                              <w:rPr>
                                <w:rFonts w:asciiTheme="minorHAnsi" w:hAnsiTheme="minorHAnsi"/>
                                <w:sz w:val="18"/>
                                <w:szCs w:val="18"/>
                              </w:rPr>
                              <w:t>M</w:t>
                            </w:r>
                            <w:r>
                              <w:rPr>
                                <w:rFonts w:asciiTheme="minorHAnsi" w:hAnsiTheme="minorHAnsi"/>
                                <w:sz w:val="18"/>
                                <w:szCs w:val="18"/>
                              </w:rPr>
                              <w:t>ERP and</w:t>
                            </w:r>
                            <w:r w:rsidRPr="00AE493A">
                              <w:rPr>
                                <w:rFonts w:asciiTheme="minorHAnsi" w:hAnsiTheme="minorHAnsi"/>
                                <w:sz w:val="18"/>
                                <w:szCs w:val="18"/>
                              </w:rPr>
                              <w:t xml:space="preserve"> CSOs</w:t>
                            </w:r>
                            <w:r>
                              <w:rPr>
                                <w:rFonts w:asciiTheme="minorHAnsi" w:hAnsiTheme="minorHAnsi"/>
                                <w:sz w:val="18"/>
                                <w:szCs w:val="18"/>
                              </w:rPr>
                              <w:t xml:space="preserve"> work together</w:t>
                            </w:r>
                            <w:r w:rsidRPr="00AE493A">
                              <w:rPr>
                                <w:rFonts w:asciiTheme="minorHAnsi" w:hAnsiTheme="minorHAnsi"/>
                                <w:sz w:val="18"/>
                                <w:szCs w:val="18"/>
                              </w:rPr>
                              <w:t xml:space="preserve"> to improve projects through monitoring visits and support </w:t>
                            </w:r>
                            <w:r>
                              <w:rPr>
                                <w:rFonts w:asciiTheme="minorHAnsi" w:hAnsiTheme="minorHAnsi"/>
                                <w:sz w:val="18"/>
                                <w:szCs w:val="18"/>
                              </w:rPr>
                              <w:t>for project design, M&amp;E and reporting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34CA22" id="_x0000_s1035" type="#_x0000_t202" style="position:absolute;margin-left:41.65pt;margin-top:192.25pt;width:149.25pt;height:4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" stroked="f">
                <v:textbox>
                  <w:txbxContent>
                    <w:p w14:paraId="3B18051C" w14:textId="77777777" w:rsidR="007E5022" w:rsidRPr="00AE493A" w:rsidRDefault="007E5022" w:rsidP="009F385D">
                      <w:pPr>
                        <w:rPr>
                          <w:rFonts w:asciiTheme="minorHAnsi" w:hAnsiTheme="minorHAnsi"/>
                          <w:sz w:val="18"/>
                          <w:szCs w:val="18"/>
                        </w:rPr>
                      </w:pPr>
                      <w:r w:rsidRPr="00AE493A">
                        <w:rPr>
                          <w:rFonts w:asciiTheme="minorHAnsi" w:hAnsiTheme="minorHAnsi"/>
                          <w:sz w:val="18"/>
                          <w:szCs w:val="18"/>
                        </w:rPr>
                        <w:t>M</w:t>
                      </w:r>
                      <w:r>
                        <w:rPr>
                          <w:rFonts w:asciiTheme="minorHAnsi" w:hAnsiTheme="minorHAnsi"/>
                          <w:sz w:val="18"/>
                          <w:szCs w:val="18"/>
                        </w:rPr>
                        <w:t>ERP and</w:t>
                      </w:r>
                      <w:r w:rsidRPr="00AE493A">
                        <w:rPr>
                          <w:rFonts w:asciiTheme="minorHAnsi" w:hAnsiTheme="minorHAnsi"/>
                          <w:sz w:val="18"/>
                          <w:szCs w:val="18"/>
                        </w:rPr>
                        <w:t xml:space="preserve"> CSOs</w:t>
                      </w:r>
                      <w:r>
                        <w:rPr>
                          <w:rFonts w:asciiTheme="minorHAnsi" w:hAnsiTheme="minorHAnsi"/>
                          <w:sz w:val="18"/>
                          <w:szCs w:val="18"/>
                        </w:rPr>
                        <w:t xml:space="preserve"> work together</w:t>
                      </w:r>
                      <w:r w:rsidRPr="00AE493A">
                        <w:rPr>
                          <w:rFonts w:asciiTheme="minorHAnsi" w:hAnsiTheme="minorHAnsi"/>
                          <w:sz w:val="18"/>
                          <w:szCs w:val="18"/>
                        </w:rPr>
                        <w:t xml:space="preserve"> to improve projects through monitoring visits and support </w:t>
                      </w:r>
                      <w:r>
                        <w:rPr>
                          <w:rFonts w:asciiTheme="minorHAnsi" w:hAnsiTheme="minorHAnsi"/>
                          <w:sz w:val="18"/>
                          <w:szCs w:val="18"/>
                        </w:rPr>
                        <w:t>for project design, M&amp;E and reporting</w:t>
                      </w:r>
                    </w:p>
                  </w:txbxContent>
                </v:textbox>
              </v:shape>
            </w:pict>
          </mc:Fallback>
        </mc:AlternateContent>
      </w:r>
      <w:r w:rsidR="009F385D">
        <w:rPr>
          <w:noProof/>
        </w:rPr>
        <mc:AlternateContent>
          <mc:Choice Requires="wps">
            <w:drawing>
              <wp:anchor distT="0" distB="0" distL="114300" distR="114300" simplePos="0" relativeHeight="251717632" behindDoc="0" locked="0" layoutInCell="1" allowOverlap="1" wp14:anchorId="7D8F882B" wp14:editId="0667C9DE">
                <wp:simplePos x="0" y="0"/>
                <wp:positionH relativeFrom="column">
                  <wp:posOffset>320675</wp:posOffset>
                </wp:positionH>
                <wp:positionV relativeFrom="paragraph">
                  <wp:posOffset>2032000</wp:posOffset>
                </wp:positionV>
                <wp:extent cx="2104390" cy="1142999"/>
                <wp:effectExtent l="38100" t="38100" r="48260" b="57785"/>
                <wp:wrapNone/>
                <wp:docPr id="11" name="Straight Arrow Connector 11"/>
                <wp:cNvGraphicFramePr/>
                <a:graphic xmlns:a="http://schemas.openxmlformats.org/drawingml/2006/main">
                  <a:graphicData uri="http://schemas.microsoft.com/office/word/2010/wordprocessingShape">
                    <wps:wsp>
                      <wps:cNvCnPr/>
                      <wps:spPr>
                        <a:xfrm flipV="1">
                          <a:off x="0" y="0"/>
                          <a:ext cx="2104390" cy="1142999"/>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EBCEBB" id="Straight Arrow Connector 11" o:spid="_x0000_s1026" type="#_x0000_t32" style="position:absolute;margin-left:25.25pt;margin-top:160pt;width:165.7pt;height:90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" strokecolor="#007fad [3204]">
                <v:stroke startarrow="open" endarrow="open"/>
              </v:shape>
            </w:pict>
          </mc:Fallback>
        </mc:AlternateContent>
      </w:r>
      <w:r w:rsidR="009F385D">
        <w:rPr>
          <w:noProof/>
        </w:rPr>
        <mc:AlternateContent>
          <mc:Choice Requires="wps">
            <w:drawing>
              <wp:anchor distT="0" distB="0" distL="114300" distR="114300" simplePos="0" relativeHeight="251710464" behindDoc="0" locked="0" layoutInCell="1" allowOverlap="1" wp14:anchorId="56B80105" wp14:editId="6C0BFF92">
                <wp:simplePos x="0" y="0"/>
                <wp:positionH relativeFrom="column">
                  <wp:posOffset>2577465</wp:posOffset>
                </wp:positionH>
                <wp:positionV relativeFrom="paragraph">
                  <wp:posOffset>1984376</wp:posOffset>
                </wp:positionV>
                <wp:extent cx="0" cy="3256914"/>
                <wp:effectExtent l="95250" t="38100" r="57150" b="58420"/>
                <wp:wrapNone/>
                <wp:docPr id="292" name="Straight Arrow Connector 292"/>
                <wp:cNvGraphicFramePr/>
                <a:graphic xmlns:a="http://schemas.openxmlformats.org/drawingml/2006/main">
                  <a:graphicData uri="http://schemas.microsoft.com/office/word/2010/wordprocessingShape">
                    <wps:wsp>
                      <wps:cNvCnPr/>
                      <wps:spPr>
                        <a:xfrm flipV="1">
                          <a:off x="0" y="0"/>
                          <a:ext cx="0" cy="3256914"/>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5A3879" id="Straight Arrow Connector 292" o:spid="_x0000_s1026" type="#_x0000_t32" style="position:absolute;margin-left:202.95pt;margin-top:156.25pt;width:0;height:256.4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" strokecolor="#007fad [3204]">
                <v:stroke startarrow="open" endarrow="open"/>
              </v:shape>
            </w:pict>
          </mc:Fallback>
        </mc:AlternateContent>
      </w:r>
      <w:r w:rsidR="009F385D">
        <w:rPr>
          <w:noProof/>
        </w:rPr>
        <mc:AlternateContent>
          <mc:Choice Requires="wps">
            <w:drawing>
              <wp:anchor distT="0" distB="0" distL="114300" distR="114300" simplePos="0" relativeHeight="251715584" behindDoc="0" locked="0" layoutInCell="1" allowOverlap="1" wp14:anchorId="23586D51" wp14:editId="126677D9">
                <wp:simplePos x="0" y="0"/>
                <wp:positionH relativeFrom="column">
                  <wp:posOffset>-901700</wp:posOffset>
                </wp:positionH>
                <wp:positionV relativeFrom="paragraph">
                  <wp:posOffset>443230</wp:posOffset>
                </wp:positionV>
                <wp:extent cx="2999740" cy="1976755"/>
                <wp:effectExtent l="0" t="60008" r="0" b="26352"/>
                <wp:wrapNone/>
                <wp:docPr id="9" name="Curved Connector 9"/>
                <wp:cNvGraphicFramePr/>
                <a:graphic xmlns:a="http://schemas.openxmlformats.org/drawingml/2006/main">
                  <a:graphicData uri="http://schemas.microsoft.com/office/word/2010/wordprocessingShape">
                    <wps:wsp>
                      <wps:cNvCnPr/>
                      <wps:spPr>
                        <a:xfrm rot="5400000" flipH="1" flipV="1">
                          <a:off x="0" y="0"/>
                          <a:ext cx="2999740" cy="1976755"/>
                        </a:xfrm>
                        <a:prstGeom prst="curvedConnector3">
                          <a:avLst>
                            <a:gd name="adj1" fmla="val 98582"/>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DAA576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9" o:spid="_x0000_s1026" type="#_x0000_t38" style="position:absolute;margin-left:-71pt;margin-top:34.9pt;width:236.2pt;height:155.65pt;rotation:90;flip:x y;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" adj="21294" strokecolor="#007fad [3204]">
                <v:stroke endarrow="open"/>
              </v:shape>
            </w:pict>
          </mc:Fallback>
        </mc:AlternateContent>
      </w:r>
      <w:r w:rsidR="009F385D">
        <w:rPr>
          <w:noProof/>
        </w:rPr>
        <mc:AlternateContent>
          <mc:Choice Requires="wps">
            <w:drawing>
              <wp:anchor distT="0" distB="0" distL="114300" distR="114300" simplePos="0" relativeHeight="251737088" behindDoc="0" locked="0" layoutInCell="1" allowOverlap="1" wp14:anchorId="001074E3" wp14:editId="1260CCA9">
                <wp:simplePos x="0" y="0"/>
                <wp:positionH relativeFrom="column">
                  <wp:posOffset>4644390</wp:posOffset>
                </wp:positionH>
                <wp:positionV relativeFrom="paragraph">
                  <wp:posOffset>803275</wp:posOffset>
                </wp:positionV>
                <wp:extent cx="1495425" cy="800100"/>
                <wp:effectExtent l="0" t="0" r="952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800100"/>
                        </a:xfrm>
                        <a:prstGeom prst="rect">
                          <a:avLst/>
                        </a:prstGeom>
                        <a:solidFill>
                          <a:srgbClr val="FFFFFF"/>
                        </a:solidFill>
                        <a:ln w="9525">
                          <a:noFill/>
                          <a:miter lim="800000"/>
                          <a:headEnd/>
                          <a:tailEnd/>
                        </a:ln>
                      </wps:spPr>
                      <wps:txbx>
                        <w:txbxContent>
                          <w:p w14:paraId="5628DB87" w14:textId="77777777" w:rsidR="007E5022" w:rsidRPr="00AE493A" w:rsidRDefault="007E5022" w:rsidP="009F385D">
                            <w:pPr>
                              <w:rPr>
                                <w:rFonts w:asciiTheme="minorHAnsi" w:hAnsiTheme="minorHAnsi"/>
                                <w:sz w:val="18"/>
                                <w:szCs w:val="18"/>
                              </w:rPr>
                            </w:pPr>
                            <w:r>
                              <w:rPr>
                                <w:rFonts w:asciiTheme="minorHAnsi" w:hAnsiTheme="minorHAnsi"/>
                                <w:sz w:val="18"/>
                                <w:szCs w:val="18"/>
                              </w:rPr>
                              <w:t>DFAT Posts use information from Fund and non-Fund WASH projects to inform dialogue with host country</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1074E3" id="_x0000_s1036" type="#_x0000_t202" style="position:absolute;margin-left:365.7pt;margin-top:63.25pt;width:117.75pt;height:63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" stroked="f">
                <v:textbox>
                  <w:txbxContent>
                    <w:p w14:paraId="5628DB87" w14:textId="77777777" w:rsidR="007E5022" w:rsidRPr="00AE493A" w:rsidRDefault="007E5022" w:rsidP="009F385D">
                      <w:pPr>
                        <w:rPr>
                          <w:rFonts w:asciiTheme="minorHAnsi" w:hAnsiTheme="minorHAnsi"/>
                          <w:sz w:val="18"/>
                          <w:szCs w:val="18"/>
                        </w:rPr>
                      </w:pPr>
                      <w:r>
                        <w:rPr>
                          <w:rFonts w:asciiTheme="minorHAnsi" w:hAnsiTheme="minorHAnsi"/>
                          <w:sz w:val="18"/>
                          <w:szCs w:val="18"/>
                        </w:rPr>
                        <w:t>DFAT Posts use information from Fund and non-Fund WASH projects to inform dialogue with host country</w:t>
                      </w:r>
                    </w:p>
                  </w:txbxContent>
                </v:textbox>
              </v:shape>
            </w:pict>
          </mc:Fallback>
        </mc:AlternateContent>
      </w:r>
      <w:r w:rsidR="009F385D">
        <w:rPr>
          <w:noProof/>
        </w:rPr>
        <mc:AlternateContent>
          <mc:Choice Requires="wps">
            <w:drawing>
              <wp:anchor distT="0" distB="0" distL="114300" distR="114300" simplePos="0" relativeHeight="251727872" behindDoc="0" locked="0" layoutInCell="1" allowOverlap="1" wp14:anchorId="2698189C" wp14:editId="33F4D60F">
                <wp:simplePos x="0" y="0"/>
                <wp:positionH relativeFrom="column">
                  <wp:posOffset>795655</wp:posOffset>
                </wp:positionH>
                <wp:positionV relativeFrom="paragraph">
                  <wp:posOffset>3394075</wp:posOffset>
                </wp:positionV>
                <wp:extent cx="1628775" cy="485775"/>
                <wp:effectExtent l="0" t="0" r="9525" b="95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85775"/>
                        </a:xfrm>
                        <a:prstGeom prst="rect">
                          <a:avLst/>
                        </a:prstGeom>
                        <a:solidFill>
                          <a:srgbClr val="FFFFFF"/>
                        </a:solidFill>
                        <a:ln w="9525">
                          <a:noFill/>
                          <a:miter lim="800000"/>
                          <a:headEnd/>
                          <a:tailEnd/>
                        </a:ln>
                      </wps:spPr>
                      <wps:txbx>
                        <w:txbxContent>
                          <w:p w14:paraId="13051140" w14:textId="77777777" w:rsidR="007E5022" w:rsidRPr="00AE493A" w:rsidRDefault="007E5022" w:rsidP="009F385D">
                            <w:pPr>
                              <w:rPr>
                                <w:rFonts w:asciiTheme="minorHAnsi" w:hAnsiTheme="minorHAnsi"/>
                                <w:sz w:val="18"/>
                                <w:szCs w:val="18"/>
                              </w:rPr>
                            </w:pPr>
                            <w:r>
                              <w:rPr>
                                <w:rFonts w:asciiTheme="minorHAnsi" w:hAnsiTheme="minorHAnsi"/>
                                <w:sz w:val="18"/>
                                <w:szCs w:val="18"/>
                              </w:rPr>
                              <w:t>KALM and MERP collaborate and coordinate to facilitate   CSO learning</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698189C" id="_x0000_s1037" type="#_x0000_t202" style="position:absolute;margin-left:62.65pt;margin-top:267.25pt;width:128.25pt;height:38.2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" stroked="f">
                <v:textbox>
                  <w:txbxContent>
                    <w:p w14:paraId="13051140" w14:textId="77777777" w:rsidR="007E5022" w:rsidRPr="00AE493A" w:rsidRDefault="007E5022" w:rsidP="009F385D">
                      <w:pPr>
                        <w:rPr>
                          <w:rFonts w:asciiTheme="minorHAnsi" w:hAnsiTheme="minorHAnsi"/>
                          <w:sz w:val="18"/>
                          <w:szCs w:val="18"/>
                        </w:rPr>
                      </w:pPr>
                      <w:r>
                        <w:rPr>
                          <w:rFonts w:asciiTheme="minorHAnsi" w:hAnsiTheme="minorHAnsi"/>
                          <w:sz w:val="18"/>
                          <w:szCs w:val="18"/>
                        </w:rPr>
                        <w:t>KALM and MERP collaborate and coordinate to facilitate   CSO learning</w:t>
                      </w:r>
                    </w:p>
                  </w:txbxContent>
                </v:textbox>
              </v:shape>
            </w:pict>
          </mc:Fallback>
        </mc:AlternateContent>
      </w:r>
      <w:r w:rsidR="009F385D">
        <w:rPr>
          <w:noProof/>
        </w:rPr>
        <mc:AlternateContent>
          <mc:Choice Requires="wps">
            <w:drawing>
              <wp:anchor distT="0" distB="0" distL="114300" distR="114300" simplePos="0" relativeHeight="251711488" behindDoc="0" locked="0" layoutInCell="1" allowOverlap="1" wp14:anchorId="52C4C65B" wp14:editId="61FA60C8">
                <wp:simplePos x="0" y="0"/>
                <wp:positionH relativeFrom="column">
                  <wp:posOffset>3636711</wp:posOffset>
                </wp:positionH>
                <wp:positionV relativeFrom="paragraph">
                  <wp:posOffset>1797817</wp:posOffset>
                </wp:positionV>
                <wp:extent cx="1371600" cy="5838825"/>
                <wp:effectExtent l="0" t="76200" r="1390650" b="104775"/>
                <wp:wrapNone/>
                <wp:docPr id="10" name="Curved Connector 10"/>
                <wp:cNvGraphicFramePr/>
                <a:graphic xmlns:a="http://schemas.openxmlformats.org/drawingml/2006/main">
                  <a:graphicData uri="http://schemas.microsoft.com/office/word/2010/wordprocessingShape">
                    <wps:wsp>
                      <wps:cNvCnPr/>
                      <wps:spPr>
                        <a:xfrm flipH="1" flipV="1">
                          <a:off x="0" y="0"/>
                          <a:ext cx="1371600" cy="5838825"/>
                        </a:xfrm>
                        <a:prstGeom prst="curvedConnector3">
                          <a:avLst>
                            <a:gd name="adj1" fmla="val -100000"/>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6D8C31" id="Curved Connector 10" o:spid="_x0000_s1026" type="#_x0000_t38" style="position:absolute;margin-left:286.35pt;margin-top:141.55pt;width:108pt;height:459.75pt;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" adj="-21600" strokecolor="#007fad [3204]">
                <v:stroke startarrow="open" endarrow="open"/>
              </v:shape>
            </w:pict>
          </mc:Fallback>
        </mc:AlternateContent>
      </w:r>
      <w:r w:rsidR="009F385D">
        <w:rPr>
          <w:noProof/>
        </w:rPr>
        <mc:AlternateContent>
          <mc:Choice Requires="wps">
            <w:drawing>
              <wp:anchor distT="0" distB="0" distL="114300" distR="114300" simplePos="0" relativeHeight="251713536" behindDoc="0" locked="0" layoutInCell="1" allowOverlap="1" wp14:anchorId="5D5FBCAF" wp14:editId="3CD67239">
                <wp:simplePos x="0" y="0"/>
                <wp:positionH relativeFrom="column">
                  <wp:posOffset>-20889</wp:posOffset>
                </wp:positionH>
                <wp:positionV relativeFrom="paragraph">
                  <wp:posOffset>4004989</wp:posOffset>
                </wp:positionV>
                <wp:extent cx="123825" cy="3619500"/>
                <wp:effectExtent l="76200" t="38100" r="66675" b="57150"/>
                <wp:wrapNone/>
                <wp:docPr id="12" name="Straight Arrow Connector 12"/>
                <wp:cNvGraphicFramePr/>
                <a:graphic xmlns:a="http://schemas.openxmlformats.org/drawingml/2006/main">
                  <a:graphicData uri="http://schemas.microsoft.com/office/word/2010/wordprocessingShape">
                    <wps:wsp>
                      <wps:cNvCnPr/>
                      <wps:spPr>
                        <a:xfrm>
                          <a:off x="0" y="0"/>
                          <a:ext cx="123825" cy="36195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AB85CC" id="Straight Arrow Connector 12" o:spid="_x0000_s1026" type="#_x0000_t32" style="position:absolute;margin-left:-1.65pt;margin-top:315.35pt;width:9.75pt;height:28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" strokecolor="#007fad [3204]">
                <v:stroke startarrow="open" endarrow="open"/>
              </v:shape>
            </w:pict>
          </mc:Fallback>
        </mc:AlternateContent>
      </w:r>
      <w:r w:rsidR="009F385D">
        <w:rPr>
          <w:noProof/>
        </w:rPr>
        <mc:AlternateContent>
          <mc:Choice Requires="wps">
            <w:drawing>
              <wp:anchor distT="0" distB="0" distL="114300" distR="114300" simplePos="0" relativeHeight="251716608" behindDoc="0" locked="0" layoutInCell="1" allowOverlap="1" wp14:anchorId="09E8B6B9" wp14:editId="3FB68BA8">
                <wp:simplePos x="0" y="0"/>
                <wp:positionH relativeFrom="column">
                  <wp:posOffset>2690780</wp:posOffset>
                </wp:positionH>
                <wp:positionV relativeFrom="paragraph">
                  <wp:posOffset>1987003</wp:posOffset>
                </wp:positionV>
                <wp:extent cx="2304415" cy="1362075"/>
                <wp:effectExtent l="38100" t="38100" r="76835" b="47625"/>
                <wp:wrapNone/>
                <wp:docPr id="14" name="Straight Arrow Connector 14"/>
                <wp:cNvGraphicFramePr/>
                <a:graphic xmlns:a="http://schemas.openxmlformats.org/drawingml/2006/main">
                  <a:graphicData uri="http://schemas.microsoft.com/office/word/2010/wordprocessingShape">
                    <wps:wsp>
                      <wps:cNvCnPr/>
                      <wps:spPr>
                        <a:xfrm flipH="1" flipV="1">
                          <a:off x="0" y="0"/>
                          <a:ext cx="2304415" cy="1362075"/>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CA7DD0" id="Straight Arrow Connector 14" o:spid="_x0000_s1026" type="#_x0000_t32" style="position:absolute;margin-left:211.85pt;margin-top:156.45pt;width:181.45pt;height:107.25pt;flip:x 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" strokecolor="#4a7ebb">
                <v:stroke startarrow="open" endarrow="open"/>
              </v:shape>
            </w:pict>
          </mc:Fallback>
        </mc:AlternateContent>
      </w:r>
      <w:r w:rsidR="009F385D">
        <w:rPr>
          <w:noProof/>
        </w:rPr>
        <mc:AlternateContent>
          <mc:Choice Requires="wps">
            <w:drawing>
              <wp:anchor distT="0" distB="0" distL="114300" distR="114300" simplePos="0" relativeHeight="251718656" behindDoc="0" locked="0" layoutInCell="1" allowOverlap="1" wp14:anchorId="59188B90" wp14:editId="1DAF03DB">
                <wp:simplePos x="0" y="0"/>
                <wp:positionH relativeFrom="column">
                  <wp:posOffset>1634490</wp:posOffset>
                </wp:positionH>
                <wp:positionV relativeFrom="paragraph">
                  <wp:posOffset>1246023</wp:posOffset>
                </wp:positionV>
                <wp:extent cx="2000250" cy="742950"/>
                <wp:effectExtent l="0" t="0" r="19050" b="1905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742950"/>
                        </a:xfrm>
                        <a:prstGeom prst="roundRect">
                          <a:avLst>
                            <a:gd name="adj" fmla="val 16667"/>
                          </a:avLst>
                        </a:prstGeom>
                        <a:solidFill>
                          <a:schemeClr val="accent2">
                            <a:lumMod val="40000"/>
                            <a:lumOff val="60000"/>
                          </a:schemeClr>
                        </a:solidFill>
                        <a:ln w="9525">
                          <a:solidFill>
                            <a:srgbClr val="000000"/>
                          </a:solidFill>
                          <a:round/>
                          <a:headEnd/>
                          <a:tailEnd/>
                        </a:ln>
                      </wps:spPr>
                      <wps:txbx>
                        <w:txbxContent>
                          <w:p w14:paraId="20BE7E77" w14:textId="77777777" w:rsidR="007E5022" w:rsidRPr="00AE493A" w:rsidRDefault="007E5022" w:rsidP="009F385D">
                            <w:pPr>
                              <w:rPr>
                                <w:rFonts w:ascii="Calibri" w:hAnsi="Calibri"/>
                              </w:rPr>
                            </w:pPr>
                            <w:r w:rsidRPr="00AE493A">
                              <w:rPr>
                                <w:rFonts w:ascii="Calibri" w:hAnsi="Calibri"/>
                              </w:rPr>
                              <w:t xml:space="preserve">CSOs </w:t>
                            </w:r>
                          </w:p>
                          <w:p w14:paraId="47064D35" w14:textId="77777777" w:rsidR="007E5022" w:rsidRPr="00AE493A" w:rsidRDefault="007E5022" w:rsidP="009F385D">
                            <w:pPr>
                              <w:rPr>
                                <w:rFonts w:ascii="Calibri" w:hAnsi="Calibri"/>
                              </w:rPr>
                            </w:pPr>
                            <w:r>
                              <w:rPr>
                                <w:rFonts w:ascii="Calibri" w:hAnsi="Calibri"/>
                              </w:rPr>
                              <w:t>Implement high quality WASH projects</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9188B90" id="_x0000_s1038" style="position:absolute;margin-left:128.7pt;margin-top:98.1pt;width:157.5pt;height:58.5pt;z-index:2517186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" fillcolor="#87aaf3 [1301]">
                <v:textbox>
                  <w:txbxContent>
                    <w:p w14:paraId="20BE7E77" w14:textId="77777777" w:rsidR="007E5022" w:rsidRPr="00AE493A" w:rsidRDefault="007E5022" w:rsidP="009F385D">
                      <w:pPr>
                        <w:rPr>
                          <w:rFonts w:ascii="Calibri" w:hAnsi="Calibri"/>
                        </w:rPr>
                      </w:pPr>
                      <w:r w:rsidRPr="00AE493A">
                        <w:rPr>
                          <w:rFonts w:ascii="Calibri" w:hAnsi="Calibri"/>
                        </w:rPr>
                        <w:t xml:space="preserve">CSOs </w:t>
                      </w:r>
                    </w:p>
                    <w:p w14:paraId="47064D35" w14:textId="77777777" w:rsidR="007E5022" w:rsidRPr="00AE493A" w:rsidRDefault="007E5022" w:rsidP="009F385D">
                      <w:pPr>
                        <w:rPr>
                          <w:rFonts w:ascii="Calibri" w:hAnsi="Calibri"/>
                        </w:rPr>
                      </w:pPr>
                      <w:r>
                        <w:rPr>
                          <w:rFonts w:ascii="Calibri" w:hAnsi="Calibri"/>
                        </w:rPr>
                        <w:t>Implement high quality WASH projects</w:t>
                      </w:r>
                    </w:p>
                  </w:txbxContent>
                </v:textbox>
              </v:roundrect>
            </w:pict>
          </mc:Fallback>
        </mc:AlternateContent>
      </w:r>
      <w:r w:rsidR="009F385D">
        <w:rPr>
          <w:noProof/>
        </w:rPr>
        <mc:AlternateContent>
          <mc:Choice Requires="wps">
            <w:drawing>
              <wp:anchor distT="0" distB="0" distL="114300" distR="114300" simplePos="0" relativeHeight="251720704" behindDoc="0" locked="0" layoutInCell="1" allowOverlap="1" wp14:anchorId="5E33BBA7" wp14:editId="01B2E05F">
                <wp:simplePos x="0" y="0"/>
                <wp:positionH relativeFrom="column">
                  <wp:posOffset>1697552</wp:posOffset>
                </wp:positionH>
                <wp:positionV relativeFrom="paragraph">
                  <wp:posOffset>5250465</wp:posOffset>
                </wp:positionV>
                <wp:extent cx="2107564" cy="914400"/>
                <wp:effectExtent l="0" t="0" r="26670" b="1905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7564" cy="914400"/>
                        </a:xfrm>
                        <a:prstGeom prst="roundRect">
                          <a:avLst>
                            <a:gd name="adj" fmla="val 16667"/>
                          </a:avLst>
                        </a:prstGeom>
                        <a:solidFill>
                          <a:schemeClr val="accent3">
                            <a:lumMod val="60000"/>
                            <a:lumOff val="40000"/>
                          </a:schemeClr>
                        </a:solidFill>
                        <a:ln w="9525">
                          <a:solidFill>
                            <a:srgbClr val="000000"/>
                          </a:solidFill>
                          <a:round/>
                          <a:headEnd/>
                          <a:tailEnd/>
                        </a:ln>
                      </wps:spPr>
                      <wps:txbx>
                        <w:txbxContent>
                          <w:p w14:paraId="666EB42C" w14:textId="77777777" w:rsidR="007E5022" w:rsidRDefault="007E5022" w:rsidP="009F385D">
                            <w:pPr>
                              <w:rPr>
                                <w:rFonts w:asciiTheme="minorHAnsi" w:hAnsiTheme="minorHAnsi"/>
                              </w:rPr>
                            </w:pPr>
                            <w:r w:rsidRPr="00AE493A">
                              <w:rPr>
                                <w:rFonts w:asciiTheme="minorHAnsi" w:hAnsiTheme="minorHAnsi"/>
                              </w:rPr>
                              <w:t>Fund Manager</w:t>
                            </w:r>
                          </w:p>
                          <w:p w14:paraId="4002E915" w14:textId="77777777" w:rsidR="007E5022" w:rsidRPr="00AE493A" w:rsidRDefault="007E5022" w:rsidP="009F385D">
                            <w:pPr>
                              <w:rPr>
                                <w:rFonts w:asciiTheme="minorHAnsi" w:hAnsiTheme="minorHAnsi"/>
                              </w:rPr>
                            </w:pPr>
                            <w:r>
                              <w:rPr>
                                <w:rFonts w:asciiTheme="minorHAnsi" w:hAnsiTheme="minorHAnsi"/>
                              </w:rPr>
                              <w:t>Facilitates smooth communication between all parties</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E33BBA7" id="AutoShape 5" o:spid="_x0000_s1039" style="position:absolute;margin-left:133.65pt;margin-top:413.4pt;width:165.95pt;height:1in;z-index:2517207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" fillcolor="#9bc2d6 [1942]">
                <v:textbox>
                  <w:txbxContent>
                    <w:p w14:paraId="666EB42C" w14:textId="77777777" w:rsidR="007E5022" w:rsidRDefault="007E5022" w:rsidP="009F385D">
                      <w:pPr>
                        <w:rPr>
                          <w:rFonts w:asciiTheme="minorHAnsi" w:hAnsiTheme="minorHAnsi"/>
                        </w:rPr>
                      </w:pPr>
                      <w:r w:rsidRPr="00AE493A">
                        <w:rPr>
                          <w:rFonts w:asciiTheme="minorHAnsi" w:hAnsiTheme="minorHAnsi"/>
                        </w:rPr>
                        <w:t>Fund Manager</w:t>
                      </w:r>
                    </w:p>
                    <w:p w14:paraId="4002E915" w14:textId="77777777" w:rsidR="007E5022" w:rsidRPr="00AE493A" w:rsidRDefault="007E5022" w:rsidP="009F385D">
                      <w:pPr>
                        <w:rPr>
                          <w:rFonts w:asciiTheme="minorHAnsi" w:hAnsiTheme="minorHAnsi"/>
                        </w:rPr>
                      </w:pPr>
                      <w:r>
                        <w:rPr>
                          <w:rFonts w:asciiTheme="minorHAnsi" w:hAnsiTheme="minorHAnsi"/>
                        </w:rPr>
                        <w:t>Facilitates smooth communication between all parties</w:t>
                      </w:r>
                    </w:p>
                  </w:txbxContent>
                </v:textbox>
              </v:roundrect>
            </w:pict>
          </mc:Fallback>
        </mc:AlternateContent>
      </w:r>
      <w:r w:rsidR="009F385D">
        <w:rPr>
          <w:noProof/>
        </w:rPr>
        <mc:AlternateContent>
          <mc:Choice Requires="wps">
            <w:drawing>
              <wp:anchor distT="0" distB="0" distL="114300" distR="114300" simplePos="0" relativeHeight="251721728" behindDoc="0" locked="0" layoutInCell="1" allowOverlap="1" wp14:anchorId="465642CD" wp14:editId="764D8558">
                <wp:simplePos x="0" y="0"/>
                <wp:positionH relativeFrom="column">
                  <wp:posOffset>4251566</wp:posOffset>
                </wp:positionH>
                <wp:positionV relativeFrom="paragraph">
                  <wp:posOffset>3390134</wp:posOffset>
                </wp:positionV>
                <wp:extent cx="1724025" cy="762000"/>
                <wp:effectExtent l="0" t="0" r="28575" b="1905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762000"/>
                        </a:xfrm>
                        <a:prstGeom prst="roundRect">
                          <a:avLst>
                            <a:gd name="adj" fmla="val 16667"/>
                          </a:avLst>
                        </a:prstGeom>
                        <a:solidFill>
                          <a:schemeClr val="accent3">
                            <a:lumMod val="60000"/>
                            <a:lumOff val="40000"/>
                          </a:schemeClr>
                        </a:solidFill>
                        <a:ln w="9525">
                          <a:solidFill>
                            <a:srgbClr val="000000"/>
                          </a:solidFill>
                          <a:round/>
                          <a:headEnd/>
                          <a:tailEnd/>
                        </a:ln>
                      </wps:spPr>
                      <wps:txbx>
                        <w:txbxContent>
                          <w:p w14:paraId="0C088472" w14:textId="77777777" w:rsidR="007E5022" w:rsidRDefault="007E5022" w:rsidP="009F385D">
                            <w:pPr>
                              <w:rPr>
                                <w:rFonts w:asciiTheme="minorHAnsi" w:hAnsiTheme="minorHAnsi"/>
                              </w:rPr>
                            </w:pPr>
                            <w:r w:rsidRPr="00AE493A">
                              <w:rPr>
                                <w:rFonts w:asciiTheme="minorHAnsi" w:hAnsiTheme="minorHAnsi"/>
                              </w:rPr>
                              <w:t>KALM</w:t>
                            </w:r>
                          </w:p>
                          <w:p w14:paraId="3DCDC4D5" w14:textId="77777777" w:rsidR="007E5022" w:rsidRPr="00AE493A" w:rsidRDefault="007E5022" w:rsidP="009F385D">
                            <w:pPr>
                              <w:rPr>
                                <w:rFonts w:asciiTheme="minorHAnsi" w:hAnsiTheme="minorHAnsi"/>
                              </w:rPr>
                            </w:pPr>
                            <w:r>
                              <w:rPr>
                                <w:rFonts w:asciiTheme="minorHAnsi" w:hAnsiTheme="minorHAnsi"/>
                              </w:rPr>
                              <w:t>Facilitates knowledge and learning</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65642CD" id="AutoShape 6" o:spid="_x0000_s1040" style="position:absolute;margin-left:334.75pt;margin-top:266.95pt;width:135.75pt;height:60pt;z-index:2517217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" fillcolor="#9bc2d6 [1942]">
                <v:textbox>
                  <w:txbxContent>
                    <w:p w14:paraId="0C088472" w14:textId="77777777" w:rsidR="007E5022" w:rsidRDefault="007E5022" w:rsidP="009F385D">
                      <w:pPr>
                        <w:rPr>
                          <w:rFonts w:asciiTheme="minorHAnsi" w:hAnsiTheme="minorHAnsi"/>
                        </w:rPr>
                      </w:pPr>
                      <w:r w:rsidRPr="00AE493A">
                        <w:rPr>
                          <w:rFonts w:asciiTheme="minorHAnsi" w:hAnsiTheme="minorHAnsi"/>
                        </w:rPr>
                        <w:t>KALM</w:t>
                      </w:r>
                    </w:p>
                    <w:p w14:paraId="3DCDC4D5" w14:textId="77777777" w:rsidR="007E5022" w:rsidRPr="00AE493A" w:rsidRDefault="007E5022" w:rsidP="009F385D">
                      <w:pPr>
                        <w:rPr>
                          <w:rFonts w:asciiTheme="minorHAnsi" w:hAnsiTheme="minorHAnsi"/>
                        </w:rPr>
                      </w:pPr>
                      <w:r>
                        <w:rPr>
                          <w:rFonts w:asciiTheme="minorHAnsi" w:hAnsiTheme="minorHAnsi"/>
                        </w:rPr>
                        <w:t>Facilitates knowledge and learning</w:t>
                      </w:r>
                    </w:p>
                  </w:txbxContent>
                </v:textbox>
              </v:roundrect>
            </w:pict>
          </mc:Fallback>
        </mc:AlternateContent>
      </w:r>
      <w:r w:rsidR="009F385D">
        <w:rPr>
          <w:noProof/>
        </w:rPr>
        <mc:AlternateContent>
          <mc:Choice Requires="wps">
            <w:drawing>
              <wp:anchor distT="0" distB="0" distL="114300" distR="114300" simplePos="0" relativeHeight="251722752" behindDoc="0" locked="0" layoutInCell="1" allowOverlap="1" wp14:anchorId="17016DC4" wp14:editId="2CDCC827">
                <wp:simplePos x="0" y="0"/>
                <wp:positionH relativeFrom="column">
                  <wp:posOffset>-887993</wp:posOffset>
                </wp:positionH>
                <wp:positionV relativeFrom="paragraph">
                  <wp:posOffset>7631058</wp:posOffset>
                </wp:positionV>
                <wp:extent cx="1428750" cy="638175"/>
                <wp:effectExtent l="0" t="0" r="19050" b="28575"/>
                <wp:wrapNone/>
                <wp:docPr id="2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638175"/>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4C16084D" w14:textId="77777777" w:rsidR="007E5022" w:rsidRDefault="007E5022" w:rsidP="009F385D">
                            <w:pPr>
                              <w:rPr>
                                <w:rFonts w:asciiTheme="minorHAnsi" w:hAnsiTheme="minorHAnsi"/>
                              </w:rPr>
                            </w:pPr>
                            <w:r w:rsidRPr="00AE493A">
                              <w:rPr>
                                <w:rFonts w:asciiTheme="minorHAnsi" w:hAnsiTheme="minorHAnsi"/>
                              </w:rPr>
                              <w:t>D</w:t>
                            </w:r>
                            <w:r>
                              <w:rPr>
                                <w:rFonts w:asciiTheme="minorHAnsi" w:hAnsiTheme="minorHAnsi"/>
                              </w:rPr>
                              <w:t>FAT WSH</w:t>
                            </w:r>
                          </w:p>
                          <w:p w14:paraId="0449418D" w14:textId="77777777" w:rsidR="007E5022" w:rsidRPr="00AE493A" w:rsidRDefault="007E5022" w:rsidP="009F385D">
                            <w:pPr>
                              <w:rPr>
                                <w:rFonts w:asciiTheme="minorHAnsi" w:hAnsiTheme="minorHAnsi"/>
                              </w:rPr>
                            </w:pPr>
                            <w:r>
                              <w:rPr>
                                <w:rFonts w:asciiTheme="minorHAnsi" w:hAnsiTheme="minorHAnsi"/>
                              </w:rPr>
                              <w:t>Strategic oversight</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7016DC4" id="AutoShape 7" o:spid="_x0000_s1041" style="position:absolute;margin-left:-69.9pt;margin-top:600.85pt;width:112.5pt;height:50.25pt;z-index:2517227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" fillcolor="#7fc07c [1945]">
                <v:textbox>
                  <w:txbxContent>
                    <w:p w14:paraId="4C16084D" w14:textId="77777777" w:rsidR="007E5022" w:rsidRDefault="007E5022" w:rsidP="009F385D">
                      <w:pPr>
                        <w:rPr>
                          <w:rFonts w:asciiTheme="minorHAnsi" w:hAnsiTheme="minorHAnsi"/>
                        </w:rPr>
                      </w:pPr>
                      <w:r w:rsidRPr="00AE493A">
                        <w:rPr>
                          <w:rFonts w:asciiTheme="minorHAnsi" w:hAnsiTheme="minorHAnsi"/>
                        </w:rPr>
                        <w:t>D</w:t>
                      </w:r>
                      <w:r>
                        <w:rPr>
                          <w:rFonts w:asciiTheme="minorHAnsi" w:hAnsiTheme="minorHAnsi"/>
                        </w:rPr>
                        <w:t>FAT WSH</w:t>
                      </w:r>
                    </w:p>
                    <w:p w14:paraId="0449418D" w14:textId="77777777" w:rsidR="007E5022" w:rsidRPr="00AE493A" w:rsidRDefault="007E5022" w:rsidP="009F385D">
                      <w:pPr>
                        <w:rPr>
                          <w:rFonts w:asciiTheme="minorHAnsi" w:hAnsiTheme="minorHAnsi"/>
                        </w:rPr>
                      </w:pPr>
                      <w:r>
                        <w:rPr>
                          <w:rFonts w:asciiTheme="minorHAnsi" w:hAnsiTheme="minorHAnsi"/>
                        </w:rPr>
                        <w:t>Strategic oversight</w:t>
                      </w:r>
                    </w:p>
                  </w:txbxContent>
                </v:textbox>
              </v:roundrect>
            </w:pict>
          </mc:Fallback>
        </mc:AlternateContent>
      </w:r>
      <w:r w:rsidR="009F385D">
        <w:rPr>
          <w:noProof/>
        </w:rPr>
        <mc:AlternateContent>
          <mc:Choice Requires="wps">
            <w:drawing>
              <wp:anchor distT="0" distB="0" distL="114300" distR="114300" simplePos="0" relativeHeight="251723776" behindDoc="0" locked="0" layoutInCell="1" allowOverlap="1" wp14:anchorId="2CF752BE" wp14:editId="272DFCF2">
                <wp:simplePos x="0" y="0"/>
                <wp:positionH relativeFrom="column">
                  <wp:posOffset>4645704</wp:posOffset>
                </wp:positionH>
                <wp:positionV relativeFrom="paragraph">
                  <wp:posOffset>7631058</wp:posOffset>
                </wp:positionV>
                <wp:extent cx="1552575" cy="714375"/>
                <wp:effectExtent l="0" t="0" r="28575" b="28575"/>
                <wp:wrapNone/>
                <wp:docPr id="2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714375"/>
                        </a:xfrm>
                        <a:prstGeom prst="roundRect">
                          <a:avLst>
                            <a:gd name="adj" fmla="val 16667"/>
                          </a:avLst>
                        </a:prstGeom>
                        <a:solidFill>
                          <a:schemeClr val="accent6">
                            <a:lumMod val="60000"/>
                            <a:lumOff val="40000"/>
                          </a:schemeClr>
                        </a:solidFill>
                        <a:ln w="9525">
                          <a:solidFill>
                            <a:srgbClr val="000000"/>
                          </a:solidFill>
                          <a:round/>
                          <a:headEnd/>
                          <a:tailEnd/>
                        </a:ln>
                      </wps:spPr>
                      <wps:txbx>
                        <w:txbxContent>
                          <w:p w14:paraId="6CDAF82A" w14:textId="77777777" w:rsidR="007E5022" w:rsidRDefault="007E5022" w:rsidP="009F385D">
                            <w:pPr>
                              <w:rPr>
                                <w:rFonts w:asciiTheme="minorHAnsi" w:hAnsiTheme="minorHAnsi"/>
                              </w:rPr>
                            </w:pPr>
                            <w:r w:rsidRPr="00AE493A">
                              <w:rPr>
                                <w:rFonts w:asciiTheme="minorHAnsi" w:hAnsiTheme="minorHAnsi"/>
                              </w:rPr>
                              <w:t>D</w:t>
                            </w:r>
                            <w:r>
                              <w:rPr>
                                <w:rFonts w:asciiTheme="minorHAnsi" w:hAnsiTheme="minorHAnsi"/>
                              </w:rPr>
                              <w:t xml:space="preserve">FAT </w:t>
                            </w:r>
                            <w:r w:rsidRPr="00AE493A">
                              <w:rPr>
                                <w:rFonts w:asciiTheme="minorHAnsi" w:hAnsiTheme="minorHAnsi"/>
                              </w:rPr>
                              <w:t>Posts</w:t>
                            </w:r>
                          </w:p>
                          <w:p w14:paraId="276F4AE3" w14:textId="77777777" w:rsidR="007E5022" w:rsidRPr="00AE493A" w:rsidRDefault="007E5022" w:rsidP="009F385D">
                            <w:pPr>
                              <w:rPr>
                                <w:rFonts w:asciiTheme="minorHAnsi" w:hAnsiTheme="minorHAnsi"/>
                              </w:rPr>
                            </w:pPr>
                            <w:r>
                              <w:rPr>
                                <w:rFonts w:asciiTheme="minorHAnsi" w:hAnsiTheme="minorHAnsi"/>
                              </w:rPr>
                              <w:t>In-country coordination</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2CF752BE" id="_x0000_s1042" style="position:absolute;margin-left:365.8pt;margin-top:600.85pt;width:122.25pt;height:56.25pt;z-index:25172377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" fillcolor="#7fc07c [1945]">
                <v:textbox>
                  <w:txbxContent>
                    <w:p w14:paraId="6CDAF82A" w14:textId="77777777" w:rsidR="007E5022" w:rsidRDefault="007E5022" w:rsidP="009F385D">
                      <w:pPr>
                        <w:rPr>
                          <w:rFonts w:asciiTheme="minorHAnsi" w:hAnsiTheme="minorHAnsi"/>
                        </w:rPr>
                      </w:pPr>
                      <w:r w:rsidRPr="00AE493A">
                        <w:rPr>
                          <w:rFonts w:asciiTheme="minorHAnsi" w:hAnsiTheme="minorHAnsi"/>
                        </w:rPr>
                        <w:t>D</w:t>
                      </w:r>
                      <w:r>
                        <w:rPr>
                          <w:rFonts w:asciiTheme="minorHAnsi" w:hAnsiTheme="minorHAnsi"/>
                        </w:rPr>
                        <w:t xml:space="preserve">FAT </w:t>
                      </w:r>
                      <w:r w:rsidRPr="00AE493A">
                        <w:rPr>
                          <w:rFonts w:asciiTheme="minorHAnsi" w:hAnsiTheme="minorHAnsi"/>
                        </w:rPr>
                        <w:t>Posts</w:t>
                      </w:r>
                    </w:p>
                    <w:p w14:paraId="276F4AE3" w14:textId="77777777" w:rsidR="007E5022" w:rsidRPr="00AE493A" w:rsidRDefault="007E5022" w:rsidP="009F385D">
                      <w:pPr>
                        <w:rPr>
                          <w:rFonts w:asciiTheme="minorHAnsi" w:hAnsiTheme="minorHAnsi"/>
                        </w:rPr>
                      </w:pPr>
                      <w:r>
                        <w:rPr>
                          <w:rFonts w:asciiTheme="minorHAnsi" w:hAnsiTheme="minorHAnsi"/>
                        </w:rPr>
                        <w:t>In-country coordination</w:t>
                      </w:r>
                    </w:p>
                  </w:txbxContent>
                </v:textbox>
              </v:roundrect>
            </w:pict>
          </mc:Fallback>
        </mc:AlternateContent>
      </w:r>
      <w:r w:rsidR="009F385D">
        <w:rPr>
          <w:noProof/>
        </w:rPr>
        <mc:AlternateContent>
          <mc:Choice Requires="wps">
            <w:drawing>
              <wp:anchor distT="0" distB="0" distL="114300" distR="114300" simplePos="0" relativeHeight="251729920" behindDoc="0" locked="0" layoutInCell="1" allowOverlap="1" wp14:anchorId="2A4D930D" wp14:editId="7D0F29F8">
                <wp:simplePos x="0" y="0"/>
                <wp:positionH relativeFrom="column">
                  <wp:posOffset>-509620</wp:posOffset>
                </wp:positionH>
                <wp:positionV relativeFrom="paragraph">
                  <wp:posOffset>4194175</wp:posOffset>
                </wp:positionV>
                <wp:extent cx="1581150" cy="6286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628650"/>
                        </a:xfrm>
                        <a:prstGeom prst="rect">
                          <a:avLst/>
                        </a:prstGeom>
                        <a:solidFill>
                          <a:srgbClr val="FFFFFF"/>
                        </a:solidFill>
                        <a:ln w="9525">
                          <a:noFill/>
                          <a:miter lim="800000"/>
                          <a:headEnd/>
                          <a:tailEnd/>
                        </a:ln>
                      </wps:spPr>
                      <wps:txbx>
                        <w:txbxContent>
                          <w:p w14:paraId="418CF641" w14:textId="77777777" w:rsidR="007E5022" w:rsidRPr="00AE493A" w:rsidRDefault="007E5022" w:rsidP="009F385D">
                            <w:pPr>
                              <w:rPr>
                                <w:rFonts w:asciiTheme="minorHAnsi" w:hAnsiTheme="minorHAnsi"/>
                                <w:sz w:val="18"/>
                                <w:szCs w:val="18"/>
                              </w:rPr>
                            </w:pPr>
                            <w:r>
                              <w:rPr>
                                <w:rFonts w:asciiTheme="minorHAnsi" w:hAnsiTheme="minorHAnsi"/>
                                <w:sz w:val="18"/>
                                <w:szCs w:val="18"/>
                              </w:rPr>
                              <w:t>MERP provides information to DFAT and FM which meets accountability and informs Fund decision making</w:t>
                            </w:r>
                          </w:p>
                        </w:txbxContent>
                      </wps:txbx>
                      <wps:bodyPr rot="0" vert="horz" wrap="square" lIns="91440" tIns="45720" rIns="91440" bIns="4572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A4D930D" id="_x0000_s1043" type="#_x0000_t202" style="position:absolute;margin-left:-40.15pt;margin-top:330.25pt;width:124.5pt;height:49.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" stroked="f">
                <v:textbox>
                  <w:txbxContent>
                    <w:p w14:paraId="418CF641" w14:textId="77777777" w:rsidR="007E5022" w:rsidRPr="00AE493A" w:rsidRDefault="007E5022" w:rsidP="009F385D">
                      <w:pPr>
                        <w:rPr>
                          <w:rFonts w:asciiTheme="minorHAnsi" w:hAnsiTheme="minorHAnsi"/>
                          <w:sz w:val="18"/>
                          <w:szCs w:val="18"/>
                        </w:rPr>
                      </w:pPr>
                      <w:r>
                        <w:rPr>
                          <w:rFonts w:asciiTheme="minorHAnsi" w:hAnsiTheme="minorHAnsi"/>
                          <w:sz w:val="18"/>
                          <w:szCs w:val="18"/>
                        </w:rPr>
                        <w:t>MERP provides information to DFAT and FM which meets accountability and informs Fund decision making</w:t>
                      </w:r>
                    </w:p>
                  </w:txbxContent>
                </v:textbox>
              </v:shape>
            </w:pict>
          </mc:Fallback>
        </mc:AlternateContent>
      </w:r>
      <w:r w:rsidR="009F385D">
        <w:rPr>
          <w:noProof/>
        </w:rPr>
        <mc:AlternateContent>
          <mc:Choice Requires="wps">
            <w:drawing>
              <wp:anchor distT="0" distB="0" distL="114300" distR="114300" simplePos="0" relativeHeight="251730944" behindDoc="0" locked="0" layoutInCell="1" allowOverlap="1" wp14:anchorId="49C9FD8A" wp14:editId="65106714">
                <wp:simplePos x="0" y="0"/>
                <wp:positionH relativeFrom="column">
                  <wp:posOffset>231359</wp:posOffset>
                </wp:positionH>
                <wp:positionV relativeFrom="paragraph">
                  <wp:posOffset>6164865</wp:posOffset>
                </wp:positionV>
                <wp:extent cx="1828166" cy="1457325"/>
                <wp:effectExtent l="38100" t="38100" r="57785" b="47625"/>
                <wp:wrapNone/>
                <wp:docPr id="26" name="Straight Arrow Connector 26"/>
                <wp:cNvGraphicFramePr/>
                <a:graphic xmlns:a="http://schemas.openxmlformats.org/drawingml/2006/main">
                  <a:graphicData uri="http://schemas.microsoft.com/office/word/2010/wordprocessingShape">
                    <wps:wsp>
                      <wps:cNvCnPr/>
                      <wps:spPr>
                        <a:xfrm flipH="1">
                          <a:off x="0" y="0"/>
                          <a:ext cx="1828166" cy="14573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1DC2E2" id="Straight Arrow Connector 26" o:spid="_x0000_s1026" type="#_x0000_t32" style="position:absolute;margin-left:18.2pt;margin-top:485.4pt;width:143.95pt;height:114.75pt;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" strokecolor="#007fad [3204]">
                <v:stroke startarrow="open" endarrow="open"/>
              </v:shape>
            </w:pict>
          </mc:Fallback>
        </mc:AlternateContent>
      </w:r>
      <w:r w:rsidR="009F385D">
        <w:rPr>
          <w:noProof/>
        </w:rPr>
        <mc:AlternateContent>
          <mc:Choice Requires="wps">
            <w:drawing>
              <wp:anchor distT="0" distB="0" distL="114300" distR="114300" simplePos="0" relativeHeight="251731968" behindDoc="0" locked="0" layoutInCell="1" allowOverlap="1" wp14:anchorId="414F6333" wp14:editId="1D9D7BD0">
                <wp:simplePos x="0" y="0"/>
                <wp:positionH relativeFrom="column">
                  <wp:posOffset>3037621</wp:posOffset>
                </wp:positionH>
                <wp:positionV relativeFrom="paragraph">
                  <wp:posOffset>6212161</wp:posOffset>
                </wp:positionV>
                <wp:extent cx="1962150" cy="1419225"/>
                <wp:effectExtent l="0" t="0" r="76200" b="47625"/>
                <wp:wrapNone/>
                <wp:docPr id="29" name="Straight Arrow Connector 29"/>
                <wp:cNvGraphicFramePr/>
                <a:graphic xmlns:a="http://schemas.openxmlformats.org/drawingml/2006/main">
                  <a:graphicData uri="http://schemas.microsoft.com/office/word/2010/wordprocessingShape">
                    <wps:wsp>
                      <wps:cNvCnPr/>
                      <wps:spPr>
                        <a:xfrm>
                          <a:off x="0" y="0"/>
                          <a:ext cx="1962150" cy="1419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F1E219" id="Straight Arrow Connector 29" o:spid="_x0000_s1026" type="#_x0000_t32" style="position:absolute;margin-left:239.2pt;margin-top:489.15pt;width:154.5pt;height:111.7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" strokecolor="#007fad [3204]">
                <v:stroke endarrow="open"/>
              </v:shape>
            </w:pict>
          </mc:Fallback>
        </mc:AlternateContent>
      </w:r>
      <w:r w:rsidR="009F385D">
        <w:rPr>
          <w:noProof/>
        </w:rPr>
        <mc:AlternateContent>
          <mc:Choice Requires="wps">
            <w:drawing>
              <wp:anchor distT="0" distB="0" distL="114300" distR="114300" simplePos="0" relativeHeight="251732992" behindDoc="0" locked="0" layoutInCell="1" allowOverlap="1" wp14:anchorId="3DA39DB3" wp14:editId="48E5AC46">
                <wp:simplePos x="0" y="0"/>
                <wp:positionH relativeFrom="column">
                  <wp:posOffset>-872227</wp:posOffset>
                </wp:positionH>
                <wp:positionV relativeFrom="paragraph">
                  <wp:posOffset>741527</wp:posOffset>
                </wp:positionV>
                <wp:extent cx="2076450" cy="600075"/>
                <wp:effectExtent l="0" t="0" r="0" b="952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600075"/>
                        </a:xfrm>
                        <a:prstGeom prst="rect">
                          <a:avLst/>
                        </a:prstGeom>
                        <a:solidFill>
                          <a:srgbClr val="FFFFFF"/>
                        </a:solidFill>
                        <a:ln w="9525">
                          <a:noFill/>
                          <a:miter lim="800000"/>
                          <a:headEnd/>
                          <a:tailEnd/>
                        </a:ln>
                      </wps:spPr>
                      <wps:txbx>
                        <w:txbxContent>
                          <w:p w14:paraId="62471AF2" w14:textId="77777777" w:rsidR="007E5022" w:rsidRPr="00AE493A" w:rsidRDefault="007E5022" w:rsidP="009F385D">
                            <w:pPr>
                              <w:rPr>
                                <w:rFonts w:asciiTheme="minorHAnsi" w:hAnsiTheme="minorHAnsi"/>
                                <w:sz w:val="18"/>
                                <w:szCs w:val="18"/>
                              </w:rPr>
                            </w:pPr>
                            <w:r>
                              <w:rPr>
                                <w:rFonts w:asciiTheme="minorHAnsi" w:hAnsiTheme="minorHAnsi"/>
                                <w:sz w:val="18"/>
                                <w:szCs w:val="18"/>
                              </w:rPr>
                              <w:t>The MERP, the Fund Manager and Posts ensure M&amp;E data is available and aligns with host government M&amp;E systems</w:t>
                            </w:r>
                          </w:p>
                        </w:txbxContent>
                      </wps:txbx>
                      <wps:bodyPr rot="0" vert="horz" wrap="square" lIns="91440" tIns="45720" rIns="91440" bIns="4572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A39DB3" id="_x0000_s1044" type="#_x0000_t202" style="position:absolute;margin-left:-68.7pt;margin-top:58.4pt;width:163.5pt;height:47.2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" stroked="f">
                <v:textbox>
                  <w:txbxContent>
                    <w:p w14:paraId="62471AF2" w14:textId="77777777" w:rsidR="007E5022" w:rsidRPr="00AE493A" w:rsidRDefault="007E5022" w:rsidP="009F385D">
                      <w:pPr>
                        <w:rPr>
                          <w:rFonts w:asciiTheme="minorHAnsi" w:hAnsiTheme="minorHAnsi"/>
                          <w:sz w:val="18"/>
                          <w:szCs w:val="18"/>
                        </w:rPr>
                      </w:pPr>
                      <w:r>
                        <w:rPr>
                          <w:rFonts w:asciiTheme="minorHAnsi" w:hAnsiTheme="minorHAnsi"/>
                          <w:sz w:val="18"/>
                          <w:szCs w:val="18"/>
                        </w:rPr>
                        <w:t>The MERP, the Fund Manager and Posts ensure M&amp;E data is available and aligns with host government M&amp;E systems</w:t>
                      </w:r>
                    </w:p>
                  </w:txbxContent>
                </v:textbox>
              </v:shape>
            </w:pict>
          </mc:Fallback>
        </mc:AlternateContent>
      </w:r>
      <w:r w:rsidR="009F385D">
        <w:rPr>
          <w:noProof/>
        </w:rPr>
        <mc:AlternateContent>
          <mc:Choice Requires="wps">
            <w:drawing>
              <wp:anchor distT="0" distB="0" distL="114300" distR="114300" simplePos="0" relativeHeight="251736064" behindDoc="0" locked="0" layoutInCell="1" allowOverlap="1" wp14:anchorId="2E0EE7E0" wp14:editId="0CE24C2D">
                <wp:simplePos x="0" y="0"/>
                <wp:positionH relativeFrom="column">
                  <wp:posOffset>3242573</wp:posOffset>
                </wp:positionH>
                <wp:positionV relativeFrom="paragraph">
                  <wp:posOffset>457747</wp:posOffset>
                </wp:positionV>
                <wp:extent cx="3088639" cy="1950084"/>
                <wp:effectExtent l="0" t="78422" r="33972" b="14923"/>
                <wp:wrapNone/>
                <wp:docPr id="290" name="Curved Connector 290"/>
                <wp:cNvGraphicFramePr/>
                <a:graphic xmlns:a="http://schemas.openxmlformats.org/drawingml/2006/main">
                  <a:graphicData uri="http://schemas.microsoft.com/office/word/2010/wordprocessingShape">
                    <wps:wsp>
                      <wps:cNvCnPr/>
                      <wps:spPr>
                        <a:xfrm rot="16200000" flipV="1">
                          <a:off x="0" y="0"/>
                          <a:ext cx="3088639" cy="1950084"/>
                        </a:xfrm>
                        <a:prstGeom prst="curvedConnector3">
                          <a:avLst>
                            <a:gd name="adj1" fmla="val 99949"/>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38D05B" id="Curved Connector 290" o:spid="_x0000_s1026" type="#_x0000_t38" style="position:absolute;margin-left:255.3pt;margin-top:36.05pt;width:243.2pt;height:153.55pt;rotation:90;flip:y;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" adj="21589" strokecolor="#007fad [3204]">
                <v:stroke endarrow="open"/>
              </v:shape>
            </w:pict>
          </mc:Fallback>
        </mc:AlternateContent>
      </w:r>
      <w:r w:rsidR="009F385D">
        <w:rPr>
          <w:noProof/>
        </w:rPr>
        <mc:AlternateContent>
          <mc:Choice Requires="wps">
            <w:drawing>
              <wp:anchor distT="0" distB="0" distL="114300" distR="114300" simplePos="0" relativeHeight="251740160" behindDoc="0" locked="0" layoutInCell="1" allowOverlap="1" wp14:anchorId="60911EFB" wp14:editId="3A5E6BB6">
                <wp:simplePos x="0" y="0"/>
                <wp:positionH relativeFrom="column">
                  <wp:posOffset>2785373</wp:posOffset>
                </wp:positionH>
                <wp:positionV relativeFrom="paragraph">
                  <wp:posOffset>4178410</wp:posOffset>
                </wp:positionV>
                <wp:extent cx="2076450" cy="1066165"/>
                <wp:effectExtent l="38100" t="38100" r="57150" b="57785"/>
                <wp:wrapNone/>
                <wp:docPr id="294" name="Straight Arrow Connector 294"/>
                <wp:cNvGraphicFramePr/>
                <a:graphic xmlns:a="http://schemas.openxmlformats.org/drawingml/2006/main">
                  <a:graphicData uri="http://schemas.microsoft.com/office/word/2010/wordprocessingShape">
                    <wps:wsp>
                      <wps:cNvCnPr/>
                      <wps:spPr>
                        <a:xfrm flipH="1">
                          <a:off x="0" y="0"/>
                          <a:ext cx="2076450" cy="106616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E7CC74" id="Straight Arrow Connector 294" o:spid="_x0000_s1026" type="#_x0000_t32" style="position:absolute;margin-left:219.3pt;margin-top:329pt;width:163.5pt;height:83.95pt;flip:x;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" strokecolor="#007fad [3204]">
                <v:stroke startarrow="open" endarrow="open"/>
              </v:shape>
            </w:pict>
          </mc:Fallback>
        </mc:AlternateContent>
      </w:r>
      <w:r w:rsidR="009F385D">
        <w:rPr>
          <w:noProof/>
        </w:rPr>
        <mc:AlternateContent>
          <mc:Choice Requires="wps">
            <w:drawing>
              <wp:anchor distT="0" distB="0" distL="114300" distR="114300" simplePos="0" relativeHeight="251741184" behindDoc="0" locked="0" layoutInCell="1" allowOverlap="1" wp14:anchorId="5356E781" wp14:editId="47FC1728">
                <wp:simplePos x="0" y="0"/>
                <wp:positionH relativeFrom="column">
                  <wp:posOffset>3636711</wp:posOffset>
                </wp:positionH>
                <wp:positionV relativeFrom="paragraph">
                  <wp:posOffset>4509485</wp:posOffset>
                </wp:positionV>
                <wp:extent cx="1495425" cy="438150"/>
                <wp:effectExtent l="0" t="0" r="9525"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8150"/>
                        </a:xfrm>
                        <a:prstGeom prst="rect">
                          <a:avLst/>
                        </a:prstGeom>
                        <a:solidFill>
                          <a:srgbClr val="FFFFFF"/>
                        </a:solidFill>
                        <a:ln w="9525">
                          <a:noFill/>
                          <a:miter lim="800000"/>
                          <a:headEnd/>
                          <a:tailEnd/>
                        </a:ln>
                      </wps:spPr>
                      <wps:txbx>
                        <w:txbxContent>
                          <w:p w14:paraId="573A4F6B" w14:textId="77777777" w:rsidR="007E5022" w:rsidRPr="00AE493A" w:rsidRDefault="007E5022" w:rsidP="009F385D">
                            <w:pPr>
                              <w:rPr>
                                <w:rFonts w:asciiTheme="minorHAnsi" w:hAnsiTheme="minorHAnsi"/>
                                <w:sz w:val="18"/>
                                <w:szCs w:val="18"/>
                              </w:rPr>
                            </w:pPr>
                            <w:r>
                              <w:rPr>
                                <w:rFonts w:asciiTheme="minorHAnsi" w:hAnsiTheme="minorHAnsi"/>
                                <w:sz w:val="18"/>
                                <w:szCs w:val="18"/>
                              </w:rPr>
                              <w:t>Fund manager supervises the KALM</w:t>
                            </w:r>
                          </w:p>
                        </w:txbxContent>
                      </wps:txbx>
                      <wps:bodyPr rot="0" vert="horz" wrap="square" lIns="91440" tIns="45720" rIns="91440" bIns="45720" anchor="t" anchorCtr="0">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56E781" id="_x0000_s1045" type="#_x0000_t202" style="position:absolute;margin-left:286.35pt;margin-top:355.1pt;width:117.75pt;height:34.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" stroked="f">
                <v:textbox>
                  <w:txbxContent>
                    <w:p w14:paraId="573A4F6B" w14:textId="77777777" w:rsidR="007E5022" w:rsidRPr="00AE493A" w:rsidRDefault="007E5022" w:rsidP="009F385D">
                      <w:pPr>
                        <w:rPr>
                          <w:rFonts w:asciiTheme="minorHAnsi" w:hAnsiTheme="minorHAnsi"/>
                          <w:sz w:val="18"/>
                          <w:szCs w:val="18"/>
                        </w:rPr>
                      </w:pPr>
                      <w:r>
                        <w:rPr>
                          <w:rFonts w:asciiTheme="minorHAnsi" w:hAnsiTheme="minorHAnsi"/>
                          <w:sz w:val="18"/>
                          <w:szCs w:val="18"/>
                        </w:rPr>
                        <w:t>Fund manager supervises the KALM</w:t>
                      </w:r>
                    </w:p>
                  </w:txbxContent>
                </v:textbox>
              </v:shape>
            </w:pict>
          </mc:Fallback>
        </mc:AlternateContent>
      </w:r>
      <w:r w:rsidR="009F385D">
        <w:br w:type="page"/>
      </w:r>
    </w:p>
    <w:p w14:paraId="2EAA6FD0" w14:textId="0162A5E0" w:rsidR="005D5113" w:rsidRDefault="00C71C16" w:rsidP="005D5113">
      <w:pPr>
        <w:pStyle w:val="Heading1"/>
        <w:rPr>
          <w:noProof/>
        </w:rPr>
      </w:pPr>
      <w:bookmarkStart w:id="43" w:name="_Toc468450013"/>
      <w:r>
        <w:rPr>
          <w:noProof/>
        </w:rPr>
        <w:t>Annex C: E</w:t>
      </w:r>
      <w:r w:rsidR="00CE5DC9">
        <w:rPr>
          <w:noProof/>
        </w:rPr>
        <w:t>valuation methods</w:t>
      </w:r>
      <w:bookmarkEnd w:id="43"/>
    </w:p>
    <w:tbl>
      <w:tblPr>
        <w:tblStyle w:val="DFATtable1"/>
        <w:tblW w:w="10916" w:type="dxa"/>
        <w:tblInd w:w="-908" w:type="dxa"/>
        <w:tblLook w:val="04A0" w:firstRow="1" w:lastRow="0" w:firstColumn="1" w:lastColumn="0" w:noHBand="0" w:noVBand="1"/>
        <w:tblCaption w:val="Evaluation questions"/>
        <w:tblDescription w:val="The evaluation questions are repeated from section 2.2 of the body of the evaluation report. "/>
      </w:tblPr>
      <w:tblGrid>
        <w:gridCol w:w="709"/>
        <w:gridCol w:w="10207"/>
      </w:tblGrid>
      <w:tr w:rsidR="00E60842" w:rsidRPr="00D7182C" w14:paraId="18E668EF" w14:textId="77777777" w:rsidTr="007E5022">
        <w:trPr>
          <w:cnfStyle w:val="100000000000" w:firstRow="1" w:lastRow="0" w:firstColumn="0" w:lastColumn="0" w:oddVBand="0" w:evenVBand="0" w:oddHBand="0" w:evenHBand="0" w:firstRowFirstColumn="0" w:firstRowLastColumn="0" w:lastRowFirstColumn="0" w:lastRowLastColumn="0"/>
        </w:trPr>
        <w:tc>
          <w:tcPr>
            <w:tcW w:w="10916" w:type="dxa"/>
            <w:gridSpan w:val="2"/>
          </w:tcPr>
          <w:p w14:paraId="1B7CAC30" w14:textId="77777777" w:rsidR="00E60842" w:rsidRPr="00D7182C" w:rsidRDefault="00E60842" w:rsidP="007E5022">
            <w:pPr>
              <w:spacing w:line="280" w:lineRule="exact"/>
            </w:pPr>
            <w:r>
              <w:t>The evaluation</w:t>
            </w:r>
            <w:r w:rsidRPr="00D7182C">
              <w:t xml:space="preserve"> address</w:t>
            </w:r>
            <w:r>
              <w:t>ed</w:t>
            </w:r>
            <w:r w:rsidRPr="00D7182C">
              <w:t xml:space="preserve"> the followin</w:t>
            </w:r>
            <w:r>
              <w:t xml:space="preserve">g evaluation questions. </w:t>
            </w:r>
          </w:p>
        </w:tc>
      </w:tr>
      <w:tr w:rsidR="00E60842" w:rsidRPr="00D7182C" w14:paraId="7047A8E6" w14:textId="77777777" w:rsidTr="007E5022">
        <w:tc>
          <w:tcPr>
            <w:tcW w:w="10916" w:type="dxa"/>
            <w:gridSpan w:val="2"/>
            <w:tcBorders>
              <w:top w:val="single" w:sz="4" w:space="0" w:color="808080"/>
              <w:bottom w:val="single" w:sz="4" w:space="0" w:color="BFBFBF" w:themeColor="background1" w:themeShade="BF"/>
            </w:tcBorders>
          </w:tcPr>
          <w:p w14:paraId="5A5454D7" w14:textId="77777777" w:rsidR="00E60842" w:rsidRPr="00D7182C" w:rsidRDefault="00E60842" w:rsidP="007E5022">
            <w:pPr>
              <w:spacing w:after="120" w:line="280" w:lineRule="exact"/>
              <w:ind w:left="284" w:hanging="284"/>
              <w:rPr>
                <w:b/>
              </w:rPr>
            </w:pPr>
            <w:r w:rsidRPr="00D7182C">
              <w:rPr>
                <w:b/>
              </w:rPr>
              <w:t>Priority questions</w:t>
            </w:r>
            <w:r>
              <w:rPr>
                <w:b/>
              </w:rPr>
              <w:t xml:space="preserve">  (approximately 80% of the evaluation)</w:t>
            </w:r>
          </w:p>
        </w:tc>
      </w:tr>
      <w:tr w:rsidR="00E60842" w:rsidRPr="00D7182C" w14:paraId="259C5C80" w14:textId="77777777" w:rsidTr="007E5022">
        <w:tc>
          <w:tcPr>
            <w:tcW w:w="709" w:type="dxa"/>
            <w:tcBorders>
              <w:top w:val="single" w:sz="4" w:space="0" w:color="BFBFBF" w:themeColor="background1" w:themeShade="BF"/>
              <w:bottom w:val="single" w:sz="4" w:space="0" w:color="BFBFBF" w:themeColor="background1" w:themeShade="BF"/>
              <w:right w:val="nil"/>
            </w:tcBorders>
          </w:tcPr>
          <w:p w14:paraId="082775DF" w14:textId="77777777" w:rsidR="00E60842" w:rsidRPr="008B433A" w:rsidRDefault="00E60842" w:rsidP="007E5022">
            <w:pPr>
              <w:spacing w:after="120" w:line="280" w:lineRule="exact"/>
              <w:rPr>
                <w:i/>
              </w:rPr>
            </w:pPr>
            <w:r w:rsidRPr="008B433A">
              <w:rPr>
                <w:i/>
              </w:rPr>
              <w:t>M</w:t>
            </w:r>
          </w:p>
        </w:tc>
        <w:tc>
          <w:tcPr>
            <w:tcW w:w="10207" w:type="dxa"/>
            <w:tcBorders>
              <w:top w:val="single" w:sz="4" w:space="0" w:color="BFBFBF" w:themeColor="background1" w:themeShade="BF"/>
              <w:left w:val="nil"/>
              <w:bottom w:val="single" w:sz="4" w:space="0" w:color="BFBFBF" w:themeColor="background1" w:themeShade="BF"/>
            </w:tcBorders>
          </w:tcPr>
          <w:p w14:paraId="6CE1984B" w14:textId="77777777" w:rsidR="00E60842" w:rsidRPr="00D7182C" w:rsidRDefault="00E60842" w:rsidP="007E5022">
            <w:pPr>
              <w:spacing w:after="120"/>
              <w:rPr>
                <w:i/>
                <w:szCs w:val="21"/>
                <w:lang w:eastAsia="en-US"/>
              </w:rPr>
            </w:pPr>
            <w:r w:rsidRPr="008B433A">
              <w:rPr>
                <w:i/>
                <w:szCs w:val="21"/>
                <w:lang w:eastAsia="en-US"/>
              </w:rPr>
              <w:t>To what extent are the Fund’s management arrangements appropriate, effective and efficient?</w:t>
            </w:r>
          </w:p>
        </w:tc>
      </w:tr>
      <w:tr w:rsidR="00E60842" w:rsidRPr="00D7182C" w14:paraId="120EDF42" w14:textId="77777777" w:rsidTr="007E5022">
        <w:tc>
          <w:tcPr>
            <w:tcW w:w="709" w:type="dxa"/>
            <w:tcBorders>
              <w:top w:val="single" w:sz="4" w:space="0" w:color="BFBFBF" w:themeColor="background1" w:themeShade="BF"/>
              <w:bottom w:val="single" w:sz="4" w:space="0" w:color="BFBFBF" w:themeColor="background1" w:themeShade="BF"/>
              <w:right w:val="nil"/>
            </w:tcBorders>
          </w:tcPr>
          <w:p w14:paraId="7A9559A9" w14:textId="77777777" w:rsidR="00E60842" w:rsidRPr="00D7182C" w:rsidRDefault="00E60842" w:rsidP="007E5022">
            <w:pPr>
              <w:spacing w:after="120" w:line="280" w:lineRule="exact"/>
            </w:pPr>
            <w:r>
              <w:t>M(i)</w:t>
            </w:r>
          </w:p>
        </w:tc>
        <w:tc>
          <w:tcPr>
            <w:tcW w:w="10207" w:type="dxa"/>
            <w:tcBorders>
              <w:top w:val="single" w:sz="4" w:space="0" w:color="BFBFBF" w:themeColor="background1" w:themeShade="BF"/>
              <w:left w:val="nil"/>
              <w:bottom w:val="single" w:sz="4" w:space="0" w:color="BFBFBF" w:themeColor="background1" w:themeShade="BF"/>
            </w:tcBorders>
          </w:tcPr>
          <w:p w14:paraId="4E9DAD51" w14:textId="77777777" w:rsidR="00E60842" w:rsidRPr="00D7182C" w:rsidRDefault="00E60842" w:rsidP="007E5022">
            <w:pPr>
              <w:spacing w:after="120" w:line="280" w:lineRule="exact"/>
            </w:pPr>
            <w:r w:rsidRPr="00185F8B">
              <w:rPr>
                <w:szCs w:val="21"/>
              </w:rPr>
              <w:t>To what extent are DFAT staff in Canberra and at posts, Fund Management Facility staff, MERP members, and CSO staff working effectively together to achieve Fund objectives?</w:t>
            </w:r>
          </w:p>
        </w:tc>
      </w:tr>
      <w:tr w:rsidR="00E60842" w:rsidRPr="00D7182C" w14:paraId="1DAE2343" w14:textId="77777777" w:rsidTr="007E5022">
        <w:tc>
          <w:tcPr>
            <w:tcW w:w="709" w:type="dxa"/>
            <w:tcBorders>
              <w:top w:val="single" w:sz="4" w:space="0" w:color="BFBFBF" w:themeColor="background1" w:themeShade="BF"/>
              <w:bottom w:val="single" w:sz="4" w:space="0" w:color="BFBFBF" w:themeColor="background1" w:themeShade="BF"/>
              <w:right w:val="nil"/>
            </w:tcBorders>
          </w:tcPr>
          <w:p w14:paraId="5F97B0DB" w14:textId="77777777" w:rsidR="00E60842" w:rsidRPr="00D7182C" w:rsidRDefault="00E60842" w:rsidP="007E5022">
            <w:pPr>
              <w:spacing w:after="120" w:line="280" w:lineRule="exact"/>
            </w:pPr>
            <w:r>
              <w:t>M(ii)</w:t>
            </w:r>
          </w:p>
        </w:tc>
        <w:tc>
          <w:tcPr>
            <w:tcW w:w="10207" w:type="dxa"/>
            <w:tcBorders>
              <w:top w:val="single" w:sz="4" w:space="0" w:color="BFBFBF" w:themeColor="background1" w:themeShade="BF"/>
              <w:left w:val="nil"/>
              <w:bottom w:val="single" w:sz="4" w:space="0" w:color="BFBFBF" w:themeColor="background1" w:themeShade="BF"/>
            </w:tcBorders>
          </w:tcPr>
          <w:p w14:paraId="59689F25" w14:textId="77777777" w:rsidR="00E60842" w:rsidRPr="00D7182C" w:rsidRDefault="00E60842" w:rsidP="007E5022">
            <w:pPr>
              <w:spacing w:after="120" w:line="280" w:lineRule="exact"/>
            </w:pPr>
            <w:r w:rsidRPr="00185F8B">
              <w:rPr>
                <w:szCs w:val="21"/>
              </w:rPr>
              <w:t>To what extent are contracting arrangements facilitating the effective and efficient attainment of Fund objectives?</w:t>
            </w:r>
          </w:p>
        </w:tc>
      </w:tr>
      <w:tr w:rsidR="00E60842" w:rsidRPr="00D7182C" w14:paraId="306B476C" w14:textId="77777777" w:rsidTr="007E5022">
        <w:tc>
          <w:tcPr>
            <w:tcW w:w="709" w:type="dxa"/>
            <w:tcBorders>
              <w:top w:val="single" w:sz="4" w:space="0" w:color="BFBFBF" w:themeColor="background1" w:themeShade="BF"/>
              <w:bottom w:val="single" w:sz="4" w:space="0" w:color="BFBFBF" w:themeColor="background1" w:themeShade="BF"/>
              <w:right w:val="nil"/>
            </w:tcBorders>
          </w:tcPr>
          <w:p w14:paraId="3C8B8C7E" w14:textId="77777777" w:rsidR="00E60842" w:rsidRDefault="00E60842" w:rsidP="007E5022">
            <w:pPr>
              <w:spacing w:after="120" w:line="280" w:lineRule="exact"/>
            </w:pPr>
            <w:r>
              <w:t>M(iii)</w:t>
            </w:r>
          </w:p>
        </w:tc>
        <w:tc>
          <w:tcPr>
            <w:tcW w:w="10207" w:type="dxa"/>
            <w:tcBorders>
              <w:top w:val="single" w:sz="4" w:space="0" w:color="BFBFBF" w:themeColor="background1" w:themeShade="BF"/>
              <w:left w:val="nil"/>
              <w:bottom w:val="single" w:sz="4" w:space="0" w:color="BFBFBF" w:themeColor="background1" w:themeShade="BF"/>
            </w:tcBorders>
          </w:tcPr>
          <w:p w14:paraId="50999EBB" w14:textId="77777777" w:rsidR="00E60842" w:rsidRPr="00185F8B" w:rsidRDefault="00E60842" w:rsidP="007E5022">
            <w:pPr>
              <w:spacing w:after="120" w:line="280" w:lineRule="exact"/>
              <w:rPr>
                <w:szCs w:val="21"/>
              </w:rPr>
            </w:pPr>
            <w:r w:rsidRPr="00185F8B">
              <w:rPr>
                <w:szCs w:val="21"/>
              </w:rPr>
              <w:t>To what extent have the M&amp;E and learning approaches inherent in the Fund’s design and implementation assisted to develop and achieve better outcomes?</w:t>
            </w:r>
          </w:p>
        </w:tc>
      </w:tr>
      <w:tr w:rsidR="00E60842" w:rsidRPr="00D7182C" w14:paraId="29892CEE" w14:textId="77777777" w:rsidTr="007E5022">
        <w:tc>
          <w:tcPr>
            <w:tcW w:w="709" w:type="dxa"/>
            <w:tcBorders>
              <w:top w:val="single" w:sz="4" w:space="0" w:color="BFBFBF" w:themeColor="background1" w:themeShade="BF"/>
              <w:bottom w:val="single" w:sz="4" w:space="0" w:color="BFBFBF" w:themeColor="background1" w:themeShade="BF"/>
              <w:right w:val="nil"/>
            </w:tcBorders>
          </w:tcPr>
          <w:p w14:paraId="1E9FCBC2" w14:textId="77777777" w:rsidR="00E60842" w:rsidRDefault="00E60842" w:rsidP="007E5022">
            <w:pPr>
              <w:spacing w:after="120" w:line="280" w:lineRule="exact"/>
            </w:pPr>
            <w:r>
              <w:t>M(iv)</w:t>
            </w:r>
          </w:p>
        </w:tc>
        <w:tc>
          <w:tcPr>
            <w:tcW w:w="10207" w:type="dxa"/>
            <w:tcBorders>
              <w:top w:val="single" w:sz="4" w:space="0" w:color="BFBFBF" w:themeColor="background1" w:themeShade="BF"/>
              <w:left w:val="nil"/>
              <w:bottom w:val="single" w:sz="4" w:space="0" w:color="BFBFBF" w:themeColor="background1" w:themeShade="BF"/>
            </w:tcBorders>
          </w:tcPr>
          <w:p w14:paraId="73589CED" w14:textId="77777777" w:rsidR="00E60842" w:rsidRPr="00185F8B" w:rsidRDefault="00E60842" w:rsidP="007E5022">
            <w:pPr>
              <w:spacing w:after="120"/>
              <w:rPr>
                <w:szCs w:val="21"/>
              </w:rPr>
            </w:pPr>
            <w:r w:rsidRPr="00185F8B">
              <w:rPr>
                <w:szCs w:val="21"/>
              </w:rPr>
              <w:t xml:space="preserve">To what extent is Fund management cost-effective?  </w:t>
            </w:r>
          </w:p>
        </w:tc>
      </w:tr>
      <w:tr w:rsidR="00E60842" w:rsidRPr="00D7182C" w14:paraId="07310FC4" w14:textId="77777777" w:rsidTr="007E5022">
        <w:tc>
          <w:tcPr>
            <w:tcW w:w="709" w:type="dxa"/>
            <w:tcBorders>
              <w:top w:val="single" w:sz="4" w:space="0" w:color="BFBFBF" w:themeColor="background1" w:themeShade="BF"/>
              <w:bottom w:val="single" w:sz="4" w:space="0" w:color="BFBFBF" w:themeColor="background1" w:themeShade="BF"/>
              <w:right w:val="nil"/>
            </w:tcBorders>
          </w:tcPr>
          <w:p w14:paraId="0E8D719E" w14:textId="77777777" w:rsidR="00E60842" w:rsidRDefault="00E60842" w:rsidP="007E5022">
            <w:pPr>
              <w:spacing w:after="120" w:line="280" w:lineRule="exact"/>
            </w:pPr>
            <w:r>
              <w:t>M(v)</w:t>
            </w:r>
          </w:p>
        </w:tc>
        <w:tc>
          <w:tcPr>
            <w:tcW w:w="10207" w:type="dxa"/>
            <w:tcBorders>
              <w:top w:val="single" w:sz="4" w:space="0" w:color="BFBFBF" w:themeColor="background1" w:themeShade="BF"/>
              <w:left w:val="nil"/>
              <w:bottom w:val="single" w:sz="4" w:space="0" w:color="BFBFBF" w:themeColor="background1" w:themeShade="BF"/>
            </w:tcBorders>
          </w:tcPr>
          <w:p w14:paraId="634C74FE" w14:textId="77777777" w:rsidR="00E60842" w:rsidRPr="00185F8B" w:rsidRDefault="00E60842" w:rsidP="007E5022">
            <w:pPr>
              <w:spacing w:after="120" w:line="280" w:lineRule="exact"/>
              <w:rPr>
                <w:szCs w:val="21"/>
              </w:rPr>
            </w:pPr>
            <w:r>
              <w:rPr>
                <w:szCs w:val="21"/>
              </w:rPr>
              <w:t>To what extent d</w:t>
            </w:r>
            <w:r w:rsidRPr="00185F8B">
              <w:rPr>
                <w:szCs w:val="21"/>
              </w:rPr>
              <w:t>o the Fund’s management arrangements give due regard to advancing equity and inclusiveness, particularly in relation to gender and disability?</w:t>
            </w:r>
          </w:p>
        </w:tc>
      </w:tr>
      <w:tr w:rsidR="00E60842" w:rsidRPr="00D7182C" w14:paraId="4574243D" w14:textId="77777777" w:rsidTr="007E5022">
        <w:tc>
          <w:tcPr>
            <w:tcW w:w="10916" w:type="dxa"/>
            <w:gridSpan w:val="2"/>
            <w:tcBorders>
              <w:top w:val="single" w:sz="4" w:space="0" w:color="BFBFBF" w:themeColor="background1" w:themeShade="BF"/>
              <w:bottom w:val="single" w:sz="4" w:space="0" w:color="BFBFBF" w:themeColor="background1" w:themeShade="BF"/>
            </w:tcBorders>
          </w:tcPr>
          <w:p w14:paraId="00367D5E" w14:textId="77777777" w:rsidR="00E60842" w:rsidRPr="00D7182C" w:rsidRDefault="00E60842" w:rsidP="007E5022">
            <w:pPr>
              <w:spacing w:after="120" w:line="280" w:lineRule="exact"/>
              <w:rPr>
                <w:b/>
              </w:rPr>
            </w:pPr>
            <w:r>
              <w:rPr>
                <w:b/>
              </w:rPr>
              <w:t xml:space="preserve">Other </w:t>
            </w:r>
            <w:r w:rsidRPr="00D7182C">
              <w:rPr>
                <w:b/>
              </w:rPr>
              <w:t>questions</w:t>
            </w:r>
            <w:r>
              <w:rPr>
                <w:b/>
              </w:rPr>
              <w:t xml:space="preserve"> (approximately 20% of the evaluation)</w:t>
            </w:r>
          </w:p>
        </w:tc>
      </w:tr>
      <w:tr w:rsidR="00E60842" w:rsidRPr="00D7182C" w14:paraId="3BCAF8F7" w14:textId="77777777" w:rsidTr="007E5022">
        <w:tc>
          <w:tcPr>
            <w:tcW w:w="709" w:type="dxa"/>
            <w:tcBorders>
              <w:top w:val="single" w:sz="4" w:space="0" w:color="BFBFBF" w:themeColor="background1" w:themeShade="BF"/>
              <w:bottom w:val="single" w:sz="4" w:space="0" w:color="BFBFBF" w:themeColor="background1" w:themeShade="BF"/>
              <w:right w:val="nil"/>
            </w:tcBorders>
          </w:tcPr>
          <w:p w14:paraId="139F0EA2" w14:textId="77777777" w:rsidR="00E60842" w:rsidRPr="008B433A" w:rsidRDefault="00E60842" w:rsidP="007E5022">
            <w:pPr>
              <w:spacing w:after="120" w:line="280" w:lineRule="exact"/>
              <w:rPr>
                <w:i/>
              </w:rPr>
            </w:pPr>
            <w:r w:rsidRPr="008B433A">
              <w:rPr>
                <w:i/>
              </w:rPr>
              <w:t>S</w:t>
            </w:r>
          </w:p>
        </w:tc>
        <w:tc>
          <w:tcPr>
            <w:tcW w:w="10207" w:type="dxa"/>
            <w:tcBorders>
              <w:top w:val="single" w:sz="4" w:space="0" w:color="BFBFBF" w:themeColor="background1" w:themeShade="BF"/>
              <w:left w:val="nil"/>
              <w:bottom w:val="single" w:sz="4" w:space="0" w:color="BFBFBF" w:themeColor="background1" w:themeShade="BF"/>
            </w:tcBorders>
          </w:tcPr>
          <w:p w14:paraId="58010FE0" w14:textId="77777777" w:rsidR="00E60842" w:rsidRPr="00D7182C" w:rsidRDefault="00E60842" w:rsidP="007E5022">
            <w:pPr>
              <w:spacing w:after="120" w:line="280" w:lineRule="exact"/>
            </w:pPr>
            <w:r w:rsidRPr="00FE2517">
              <w:rPr>
                <w:rFonts w:asciiTheme="minorHAnsi" w:hAnsiTheme="minorHAnsi"/>
                <w:i/>
                <w:szCs w:val="21"/>
                <w:lang w:eastAsia="en-US"/>
              </w:rPr>
              <w:t xml:space="preserve">To what extent did the </w:t>
            </w:r>
            <w:r>
              <w:rPr>
                <w:rFonts w:asciiTheme="minorHAnsi" w:hAnsiTheme="minorHAnsi"/>
                <w:i/>
                <w:szCs w:val="21"/>
                <w:lang w:eastAsia="en-US"/>
              </w:rPr>
              <w:t xml:space="preserve">two-part </w:t>
            </w:r>
            <w:r w:rsidRPr="00FE2517">
              <w:rPr>
                <w:rFonts w:asciiTheme="minorHAnsi" w:hAnsiTheme="minorHAnsi"/>
                <w:i/>
                <w:szCs w:val="21"/>
                <w:lang w:eastAsia="en-US"/>
              </w:rPr>
              <w:t xml:space="preserve">CSO selection process enable selection of the most effective </w:t>
            </w:r>
            <w:r>
              <w:rPr>
                <w:rFonts w:asciiTheme="minorHAnsi" w:hAnsiTheme="minorHAnsi"/>
                <w:i/>
                <w:szCs w:val="21"/>
                <w:lang w:eastAsia="en-US"/>
              </w:rPr>
              <w:t>CSOs to deliver WASH projects</w:t>
            </w:r>
            <w:r w:rsidRPr="00FE2517">
              <w:rPr>
                <w:rFonts w:asciiTheme="minorHAnsi" w:hAnsiTheme="minorHAnsi"/>
                <w:i/>
                <w:szCs w:val="21"/>
                <w:lang w:eastAsia="en-US"/>
              </w:rPr>
              <w:t>?</w:t>
            </w:r>
          </w:p>
        </w:tc>
      </w:tr>
      <w:tr w:rsidR="00E60842" w:rsidRPr="00D7182C" w14:paraId="537F6336" w14:textId="77777777" w:rsidTr="007E5022">
        <w:tc>
          <w:tcPr>
            <w:tcW w:w="709" w:type="dxa"/>
            <w:tcBorders>
              <w:top w:val="single" w:sz="4" w:space="0" w:color="BFBFBF" w:themeColor="background1" w:themeShade="BF"/>
              <w:bottom w:val="single" w:sz="4" w:space="0" w:color="BFBFBF" w:themeColor="background1" w:themeShade="BF"/>
              <w:right w:val="nil"/>
            </w:tcBorders>
          </w:tcPr>
          <w:p w14:paraId="74BDE77B" w14:textId="77777777" w:rsidR="00E60842" w:rsidRPr="00D7182C" w:rsidRDefault="00E60842" w:rsidP="007E5022">
            <w:pPr>
              <w:spacing w:after="120" w:line="280" w:lineRule="exact"/>
              <w:ind w:left="284" w:hanging="284"/>
            </w:pPr>
            <w:r>
              <w:t>S(i)</w:t>
            </w:r>
          </w:p>
        </w:tc>
        <w:tc>
          <w:tcPr>
            <w:tcW w:w="10207" w:type="dxa"/>
            <w:tcBorders>
              <w:top w:val="single" w:sz="4" w:space="0" w:color="BFBFBF" w:themeColor="background1" w:themeShade="BF"/>
              <w:left w:val="nil"/>
              <w:bottom w:val="single" w:sz="4" w:space="0" w:color="BFBFBF" w:themeColor="background1" w:themeShade="BF"/>
            </w:tcBorders>
          </w:tcPr>
          <w:p w14:paraId="34664C06" w14:textId="77777777" w:rsidR="00E60842" w:rsidRPr="00D7182C" w:rsidRDefault="00E60842" w:rsidP="007E5022">
            <w:pPr>
              <w:spacing w:after="120"/>
              <w:rPr>
                <w:szCs w:val="21"/>
              </w:rPr>
            </w:pPr>
            <w:r w:rsidRPr="004C6DA7">
              <w:rPr>
                <w:szCs w:val="21"/>
              </w:rPr>
              <w:t xml:space="preserve">To what extent was CSO selection (including the </w:t>
            </w:r>
            <w:r>
              <w:rPr>
                <w:szCs w:val="21"/>
              </w:rPr>
              <w:t>inception phase)</w:t>
            </w:r>
            <w:r w:rsidRPr="004C6DA7">
              <w:rPr>
                <w:szCs w:val="21"/>
              </w:rPr>
              <w:t xml:space="preserve"> consistent with the design’s guidance and intent?</w:t>
            </w:r>
          </w:p>
        </w:tc>
      </w:tr>
      <w:tr w:rsidR="00E60842" w:rsidRPr="00D7182C" w14:paraId="484B032A" w14:textId="77777777" w:rsidTr="007E5022">
        <w:tc>
          <w:tcPr>
            <w:tcW w:w="709" w:type="dxa"/>
            <w:tcBorders>
              <w:top w:val="single" w:sz="4" w:space="0" w:color="BFBFBF" w:themeColor="background1" w:themeShade="BF"/>
              <w:bottom w:val="single" w:sz="4" w:space="0" w:color="808080"/>
              <w:right w:val="nil"/>
            </w:tcBorders>
          </w:tcPr>
          <w:p w14:paraId="590DF112" w14:textId="77777777" w:rsidR="00E60842" w:rsidRPr="00D7182C" w:rsidRDefault="00E60842" w:rsidP="007E5022">
            <w:pPr>
              <w:spacing w:after="120" w:line="280" w:lineRule="exact"/>
              <w:ind w:left="284" w:hanging="284"/>
            </w:pPr>
            <w:r>
              <w:t>S(ii)</w:t>
            </w:r>
          </w:p>
        </w:tc>
        <w:tc>
          <w:tcPr>
            <w:tcW w:w="10207" w:type="dxa"/>
            <w:tcBorders>
              <w:top w:val="single" w:sz="4" w:space="0" w:color="BFBFBF" w:themeColor="background1" w:themeShade="BF"/>
              <w:left w:val="nil"/>
              <w:bottom w:val="single" w:sz="4" w:space="0" w:color="808080"/>
            </w:tcBorders>
          </w:tcPr>
          <w:p w14:paraId="06E6334F" w14:textId="77777777" w:rsidR="00E60842" w:rsidRPr="00D7182C" w:rsidRDefault="00E60842" w:rsidP="007E5022">
            <w:pPr>
              <w:spacing w:after="120"/>
              <w:rPr>
                <w:szCs w:val="21"/>
              </w:rPr>
            </w:pPr>
            <w:r>
              <w:rPr>
                <w:szCs w:val="21"/>
              </w:rPr>
              <w:t>To what extent d</w:t>
            </w:r>
            <w:r w:rsidRPr="004C6DA7">
              <w:rPr>
                <w:szCs w:val="21"/>
              </w:rPr>
              <w:t>id CSO selection give due regard to advancing equity and inclusiveness, particularly in relation to gender and disability?</w:t>
            </w:r>
          </w:p>
        </w:tc>
      </w:tr>
    </w:tbl>
    <w:p w14:paraId="00C53535" w14:textId="77777777" w:rsidR="00E60842" w:rsidRDefault="00E60842" w:rsidP="00E60842">
      <w:pPr>
        <w:pStyle w:val="BodyText"/>
      </w:pPr>
    </w:p>
    <w:p w14:paraId="2896E8A7" w14:textId="77777777" w:rsidR="00E60842" w:rsidRDefault="00E60842" w:rsidP="00E60842">
      <w:pPr>
        <w:pStyle w:val="Heading2"/>
      </w:pPr>
      <w:bookmarkStart w:id="44" w:name="_Toc457471937"/>
      <w:bookmarkStart w:id="45" w:name="_Toc464825726"/>
      <w:bookmarkStart w:id="46" w:name="_Toc468450014"/>
      <w:r>
        <w:t>Methods</w:t>
      </w:r>
      <w:bookmarkEnd w:id="44"/>
      <w:bookmarkEnd w:id="45"/>
      <w:bookmarkEnd w:id="46"/>
      <w:r>
        <w:t xml:space="preserve"> </w:t>
      </w:r>
    </w:p>
    <w:p w14:paraId="40682390" w14:textId="77777777" w:rsidR="00E60842" w:rsidRDefault="00E60842" w:rsidP="00E60842">
      <w:pPr>
        <w:pStyle w:val="BodyText"/>
      </w:pPr>
      <w:r>
        <w:t xml:space="preserve">The methods used to address each evaluation question are outlined below and summarised at Appendix B. The evaluation methods included key informant interviews, an online survey and document review. Financial and staff number data were also be used. Note that non-participant observation of a regional learning event was planned in the draft evaluation </w:t>
      </w:r>
      <w:proofErr w:type="gramStart"/>
      <w:r>
        <w:t>plan,</w:t>
      </w:r>
      <w:proofErr w:type="gramEnd"/>
      <w:r>
        <w:t xml:space="preserve"> however, this was not undertaken as the evaluation team was unable to obtain the necessary visa. </w:t>
      </w:r>
    </w:p>
    <w:p w14:paraId="762928EF" w14:textId="77777777" w:rsidR="00E60842" w:rsidRDefault="00E60842" w:rsidP="00E60842">
      <w:pPr>
        <w:pStyle w:val="BodyText"/>
      </w:pPr>
      <w:r>
        <w:t>All evidence was triangulated where feasible to ensure a degree of rigour. So far as possible major evaluation findings drew upon the analysis of multiple data sources and were tested with Fund stakeholders.</w:t>
      </w:r>
    </w:p>
    <w:p w14:paraId="24144446" w14:textId="77777777" w:rsidR="00E60842" w:rsidRPr="00D7182C" w:rsidRDefault="00E60842" w:rsidP="00E60842">
      <w:pPr>
        <w:pStyle w:val="BodyText"/>
      </w:pPr>
      <w:r>
        <w:t xml:space="preserve">The evaluation used a ‘recommendations workshop’ to develop evaluation recommendations. Following development of the draft evaluation report, an externally facilitated workshop with the WSH team, the MERP, Fund Management Facility staff and the evaluation team was held. The purpose of the workshop was to develop and agree on the recommendations that flow from the evaluation findings. This process aimed to ensure the evaluation recommendations were practical, can feasibly be implemented, and have support from the Fund’s management team. </w:t>
      </w:r>
    </w:p>
    <w:p w14:paraId="388BF730" w14:textId="77777777" w:rsidR="00E60842" w:rsidRDefault="00E60842" w:rsidP="00E60842">
      <w:pPr>
        <w:pStyle w:val="Heading2"/>
      </w:pPr>
      <w:bookmarkStart w:id="47" w:name="_Toc457471938"/>
      <w:bookmarkStart w:id="48" w:name="_Toc464825727"/>
      <w:bookmarkStart w:id="49" w:name="_Toc468450015"/>
      <w:r>
        <w:t>Evaluation question: To what extent are the Fund’s management arrangements appropriate, effective and efficient?</w:t>
      </w:r>
      <w:bookmarkEnd w:id="47"/>
      <w:bookmarkEnd w:id="48"/>
      <w:bookmarkEnd w:id="49"/>
    </w:p>
    <w:p w14:paraId="6C96CA65" w14:textId="77777777" w:rsidR="00E60842" w:rsidRDefault="00E60842" w:rsidP="00E60842">
      <w:pPr>
        <w:pStyle w:val="BodyText"/>
      </w:pPr>
      <w:r>
        <w:t xml:space="preserve">The evaluation focussed on understanding the Fund’s management arrangements and the extent to which they have enabled CSOs to develop and implement high quality projects. To do this, the evaluation defined the behaviours and communication flows we would expect to see if the management arrangements support CSOs to deliver high quality projects. Data was then gathered to assess the extent to which these behaviours and communication flows were taking place. </w:t>
      </w:r>
    </w:p>
    <w:p w14:paraId="6FDF7C59" w14:textId="77777777" w:rsidR="00E60842" w:rsidRDefault="00E60842" w:rsidP="00E60842">
      <w:pPr>
        <w:pStyle w:val="BodyText"/>
      </w:pPr>
      <w:r>
        <w:t>The approach taken to address each sub-question is further explained below. Note that these questions focused on the current management arrangements and how they are functioning. Of key interest to the evaluation was how the management arrangements could or should be adapted in light of the changed context. This was a key element of data analysis, with the evaluation report outlining how well the management arrangements are currently working and how they may be adapted to better suit the changing context.</w:t>
      </w:r>
    </w:p>
    <w:p w14:paraId="6BB265AE" w14:textId="77777777" w:rsidR="00E60842" w:rsidRDefault="00E60842" w:rsidP="00E60842">
      <w:pPr>
        <w:pStyle w:val="Heading3"/>
      </w:pPr>
      <w:r>
        <w:t xml:space="preserve">Question </w:t>
      </w:r>
      <w:proofErr w:type="gramStart"/>
      <w:r>
        <w:t>M(</w:t>
      </w:r>
      <w:proofErr w:type="gramEnd"/>
      <w:r>
        <w:t xml:space="preserve">i): To what extent are DFAT staff in Canberra and at posts, Fund Management Facility staff, MERP members and CSO staff working effectively together to achieve Fund objectives? </w:t>
      </w:r>
    </w:p>
    <w:p w14:paraId="35F3AE16" w14:textId="77777777" w:rsidR="00E60842" w:rsidRDefault="00E60842" w:rsidP="00E60842">
      <w:pPr>
        <w:pStyle w:val="BodyText"/>
      </w:pPr>
      <w:r>
        <w:t xml:space="preserve">To address this question, the behaviours and communication channels between </w:t>
      </w:r>
      <w:proofErr w:type="gramStart"/>
      <w:r>
        <w:t>Fund</w:t>
      </w:r>
      <w:proofErr w:type="gramEnd"/>
      <w:r>
        <w:t xml:space="preserve"> stakeholders which we would expect to see if Fund stakeholders are working effectively together were defined. Drawing on Fund documents, as well as initial discussions with Fund stakeholders, an outline of the behaviours and communication lines is at Annex B to this report. Note that this diagram is only a broad outline; many day to day practices have not been included, while some communication channels which involve multiple parties or steps have been simplified. </w:t>
      </w:r>
    </w:p>
    <w:p w14:paraId="606A4ECB" w14:textId="77777777" w:rsidR="00E60842" w:rsidRDefault="00E60842" w:rsidP="00E60842">
      <w:pPr>
        <w:pStyle w:val="ListBullet"/>
        <w:numPr>
          <w:ilvl w:val="0"/>
          <w:numId w:val="0"/>
        </w:numPr>
      </w:pPr>
      <w:r>
        <w:t xml:space="preserve">Annex B highlights a number of features we would expect to see if the management arrangements are functioning well. These include: </w:t>
      </w:r>
    </w:p>
    <w:p w14:paraId="695DA28D" w14:textId="77777777" w:rsidR="00E60842" w:rsidRDefault="00E60842" w:rsidP="00E60842">
      <w:pPr>
        <w:pStyle w:val="ListBullet"/>
      </w:pPr>
      <w:r>
        <w:t>A focus on ensuring CSOs are supported through ongoing learning and M&amp;E to deliver high quality projects</w:t>
      </w:r>
    </w:p>
    <w:p w14:paraId="4831EF23" w14:textId="77777777" w:rsidR="00E60842" w:rsidRDefault="00E60842" w:rsidP="00E60842">
      <w:pPr>
        <w:pStyle w:val="ListBullet"/>
      </w:pPr>
      <w:r>
        <w:t>Strong communication between DFAT WSH, the Fund Manager and the MERP to ensure good Fund management decisions are made. The evaluation particularly focused on whether the management arrangements and information provided by the MERP and FMF meets DFAT’s needs and enables DFAT to make informed decisions on Fund management</w:t>
      </w:r>
    </w:p>
    <w:p w14:paraId="3EAFEB7B" w14:textId="77777777" w:rsidR="00E60842" w:rsidRDefault="00E60842" w:rsidP="00E60842">
      <w:pPr>
        <w:pStyle w:val="ListBullet"/>
      </w:pPr>
      <w:r>
        <w:t>Good links between the Fund Manager, DFAT Posts and CSOs to ensure DFAT-supported WASH projects in each country are coordinated, and that DFAT Posts can draw on relevant Fund information to inform discussions with host governments</w:t>
      </w:r>
    </w:p>
    <w:p w14:paraId="7DE99862" w14:textId="77777777" w:rsidR="00E60842" w:rsidRDefault="00E60842" w:rsidP="00E60842">
      <w:pPr>
        <w:pStyle w:val="ListBullet"/>
      </w:pPr>
      <w:r>
        <w:t xml:space="preserve">Good links between the Fund Manager, the MERP and DFAT Posts to ensure M&amp;E data is available to, and aligns with, host government M&amp;E systems. </w:t>
      </w:r>
    </w:p>
    <w:p w14:paraId="0587EB7B" w14:textId="77777777" w:rsidR="00E60842" w:rsidRDefault="00E60842" w:rsidP="00E60842">
      <w:pPr>
        <w:pStyle w:val="ListBullet"/>
        <w:numPr>
          <w:ilvl w:val="0"/>
          <w:numId w:val="0"/>
        </w:numPr>
      </w:pPr>
      <w:r>
        <w:t xml:space="preserve">The evaluation assessed the extent to which these features were being implemented to identify Fund management strengths as well as areas that can be improved. This was achieved through: </w:t>
      </w:r>
    </w:p>
    <w:p w14:paraId="4A61752C" w14:textId="77777777" w:rsidR="00E60842" w:rsidRDefault="00E60842" w:rsidP="00E60842">
      <w:pPr>
        <w:pStyle w:val="ListBullet"/>
      </w:pPr>
      <w:r>
        <w:t>Review of relevant program documents, particularly Aid Quality Checks (AQCs), contracts and regular reporting from the FMF</w:t>
      </w:r>
    </w:p>
    <w:p w14:paraId="17D8E843" w14:textId="77777777" w:rsidR="00E60842" w:rsidRDefault="00E60842" w:rsidP="00E60842">
      <w:pPr>
        <w:pStyle w:val="ListBullet"/>
      </w:pPr>
      <w:r>
        <w:t>Interviews with DFAT (WSH and Posts), the MERP, the FMF, and CSO program managers, and</w:t>
      </w:r>
    </w:p>
    <w:p w14:paraId="77530C8E" w14:textId="77777777" w:rsidR="00E60842" w:rsidRDefault="00E60842" w:rsidP="00E60842">
      <w:pPr>
        <w:pStyle w:val="ListBullet"/>
      </w:pPr>
      <w:r>
        <w:t xml:space="preserve">An online survey of CSO project managers.  </w:t>
      </w:r>
    </w:p>
    <w:p w14:paraId="4815A8F5" w14:textId="77777777" w:rsidR="00E60842" w:rsidRDefault="00E60842" w:rsidP="00E60842">
      <w:pPr>
        <w:pStyle w:val="Heading3"/>
        <w:rPr>
          <w:szCs w:val="21"/>
        </w:rPr>
      </w:pPr>
      <w:r>
        <w:t xml:space="preserve">Question </w:t>
      </w:r>
      <w:proofErr w:type="gramStart"/>
      <w:r>
        <w:t>M(</w:t>
      </w:r>
      <w:proofErr w:type="gramEnd"/>
      <w:r>
        <w:t xml:space="preserve">ii): </w:t>
      </w:r>
      <w:r w:rsidRPr="00185F8B">
        <w:rPr>
          <w:szCs w:val="21"/>
        </w:rPr>
        <w:t>To what extent are contracting arrangements facilitating the effective and efficient attainment of Fund objectives?</w:t>
      </w:r>
    </w:p>
    <w:p w14:paraId="01FFA523" w14:textId="77777777" w:rsidR="00E60842" w:rsidRDefault="00E60842" w:rsidP="00E60842">
      <w:pPr>
        <w:pStyle w:val="BodyText"/>
      </w:pPr>
      <w:r>
        <w:t xml:space="preserve">The DFAT WSH team holds the main contracts for the Fund. This includes funding agreements with each of the 13 CSOs, one contract with Palladium for the Fund Management Facility, and a contract with each of the three MERP members – a total of 17 contracts. </w:t>
      </w:r>
    </w:p>
    <w:p w14:paraId="476ED2EE" w14:textId="77777777" w:rsidR="00E60842" w:rsidRDefault="00E60842" w:rsidP="00E60842">
      <w:pPr>
        <w:pStyle w:val="BodyText"/>
      </w:pPr>
      <w:r>
        <w:t>An initial review of the Fund documents indicates WSH chose to manage the procurement processes to ensure quality outcomes were achieved</w:t>
      </w:r>
      <w:r>
        <w:rPr>
          <w:rStyle w:val="FootnoteReference"/>
        </w:rPr>
        <w:footnoteReference w:id="23"/>
      </w:r>
      <w:r>
        <w:t xml:space="preserve">. The documents reviewed provide little further justification for the contracting model, including why the MERP and Fund Management Facility were contracted separately. </w:t>
      </w:r>
    </w:p>
    <w:p w14:paraId="019EDC8B" w14:textId="77777777" w:rsidR="00E60842" w:rsidRDefault="00E60842" w:rsidP="00E60842">
      <w:pPr>
        <w:pStyle w:val="BodyText"/>
      </w:pPr>
      <w:r>
        <w:t xml:space="preserve">The contracting arrangement creates a significant amount of administrative work for WSH, who must ensure contracts are maintained, payments are made and partner performance assessments are completed. The contracting arrangements also mean there is potential for confused communication and authority. For example, although WSH has contracts with each of the CSOs, the Fund Management Facility manages the Fund’s day to day operations and is the first point of contact for CSOs. The Fund Management Facility and the MERP are also expected to work closely together without having a contractual arrangement in place. </w:t>
      </w:r>
    </w:p>
    <w:p w14:paraId="467F7013" w14:textId="77777777" w:rsidR="00E60842" w:rsidRDefault="00E60842" w:rsidP="00E60842">
      <w:pPr>
        <w:pStyle w:val="BodyText"/>
      </w:pPr>
      <w:r>
        <w:t xml:space="preserve">Key informant interviews with WSH, the Fund Manager, </w:t>
      </w:r>
      <w:proofErr w:type="gramStart"/>
      <w:r>
        <w:t>the</w:t>
      </w:r>
      <w:proofErr w:type="gramEnd"/>
      <w:r>
        <w:t xml:space="preserve"> MERP and CSO program managers were used to explore the extent to which these contracting arrangements support achievement of the Fund’s objectives. Interviews focused on the advantages and disadvantages of the current arrangements and how they could be improved. Interview data was supported by document review, particularly of the contracts in place. </w:t>
      </w:r>
    </w:p>
    <w:p w14:paraId="21FB6FDB" w14:textId="77777777" w:rsidR="00E60842" w:rsidRDefault="00E60842" w:rsidP="00E60842">
      <w:pPr>
        <w:pStyle w:val="Heading3"/>
        <w:rPr>
          <w:rFonts w:ascii="Franklin Gothic Book" w:hAnsi="Franklin Gothic Book"/>
        </w:rPr>
      </w:pPr>
      <w:r>
        <w:t xml:space="preserve">Question </w:t>
      </w:r>
      <w:proofErr w:type="gramStart"/>
      <w:r>
        <w:t>M(</w:t>
      </w:r>
      <w:proofErr w:type="gramEnd"/>
      <w:r>
        <w:t xml:space="preserve">iii): </w:t>
      </w:r>
      <w:r>
        <w:rPr>
          <w:rFonts w:ascii="Franklin Gothic Book" w:hAnsi="Franklin Gothic Book"/>
        </w:rPr>
        <w:t>To what extent have the M&amp;E and learning approaches inherent in the Fund’s design and implementation assisted to develop and achieve better outcomes?</w:t>
      </w:r>
    </w:p>
    <w:p w14:paraId="45FEF987" w14:textId="77777777" w:rsidR="00E60842" w:rsidRDefault="00E60842" w:rsidP="00E60842">
      <w:pPr>
        <w:pStyle w:val="BodyText"/>
      </w:pPr>
      <w:r>
        <w:t>To address this question the evaluation team focused on the extent to which the MERP and the Knowledge and Learning component have assisted CSOs to improve their projects. It looked at the relationships and communication flows between CSOs, the MERP and the KALM, as shown in Annex B to this report, in some depth. Data collection particularly focused on:</w:t>
      </w:r>
    </w:p>
    <w:p w14:paraId="61B78922" w14:textId="77777777" w:rsidR="00E60842" w:rsidRDefault="00E60842" w:rsidP="00E60842">
      <w:pPr>
        <w:pStyle w:val="ListBullet"/>
      </w:pPr>
      <w:r>
        <w:t xml:space="preserve">The extent to which MERP monitoring visits and involvement in project design, M&amp;E and reporting has assisted CSOs to improve their projects </w:t>
      </w:r>
    </w:p>
    <w:p w14:paraId="5914B611" w14:textId="77777777" w:rsidR="00E60842" w:rsidRDefault="00E60842" w:rsidP="00E60842">
      <w:pPr>
        <w:pStyle w:val="ListBullet"/>
      </w:pPr>
      <w:r>
        <w:t>The extent to the approaches to sharing knowledge and learning, such as electronic media and learning events, have assisted CSOs to improve their projects</w:t>
      </w:r>
    </w:p>
    <w:p w14:paraId="0A99866B" w14:textId="77777777" w:rsidR="00E60842" w:rsidRDefault="00E60842" w:rsidP="00E60842">
      <w:pPr>
        <w:pStyle w:val="ListBullet"/>
      </w:pPr>
      <w:r>
        <w:t>The extent to which the MERP and the KALM have collaborated to support CSOs.</w:t>
      </w:r>
    </w:p>
    <w:p w14:paraId="3EC65AFD" w14:textId="77777777" w:rsidR="00E60842" w:rsidRDefault="00E60842" w:rsidP="00E60842">
      <w:pPr>
        <w:pStyle w:val="ListBullet"/>
        <w:numPr>
          <w:ilvl w:val="0"/>
          <w:numId w:val="0"/>
        </w:numPr>
      </w:pPr>
      <w:r>
        <w:t xml:space="preserve">The evaluation team also examine the volume of evaluation data collected and the extent to which is it useful for all Fund stakeholders, and used by them to inform program-wide or project-specific management decisions. </w:t>
      </w:r>
    </w:p>
    <w:p w14:paraId="5A9D6484" w14:textId="77777777" w:rsidR="00E60842" w:rsidRDefault="00E60842" w:rsidP="00E60842">
      <w:pPr>
        <w:pStyle w:val="ListBullet"/>
        <w:numPr>
          <w:ilvl w:val="0"/>
          <w:numId w:val="0"/>
        </w:numPr>
      </w:pPr>
      <w:r>
        <w:t xml:space="preserve">Data was collected through an electronic survey of CSO project managers (see Appendix D). It was also discussed in key informant interviews, particularly with CSO program managers, the MERP and the KALM. The volume and use of M&amp;E data was covered in interviews with DFAT staff and will be assessed through examination of the Fund’s online database. </w:t>
      </w:r>
    </w:p>
    <w:p w14:paraId="6325F62A" w14:textId="77777777" w:rsidR="00E60842" w:rsidRDefault="00E60842" w:rsidP="00E60842">
      <w:pPr>
        <w:pStyle w:val="Heading3"/>
      </w:pPr>
      <w:r>
        <w:t xml:space="preserve">Question </w:t>
      </w:r>
      <w:proofErr w:type="gramStart"/>
      <w:r>
        <w:t>M(</w:t>
      </w:r>
      <w:proofErr w:type="gramEnd"/>
      <w:r>
        <w:t>iv):</w:t>
      </w:r>
      <w:r w:rsidRPr="00715099">
        <w:tab/>
        <w:t xml:space="preserve">To what extent is Fund management cost-effective?  </w:t>
      </w:r>
    </w:p>
    <w:p w14:paraId="42619DC5" w14:textId="77777777" w:rsidR="00E60842" w:rsidRDefault="00E60842" w:rsidP="00E60842">
      <w:pPr>
        <w:pStyle w:val="BodyText"/>
      </w:pPr>
      <w:r>
        <w:t xml:space="preserve">This question considers whether the Fund’s program management costs are proportionate to the effectiveness of the Fund’s program management arrangements. Note that as this evaluation is not assessing the effectiveness of the Fund projects, the evaluation did not examine the broader issue of whether the Fund has delivered value for money. </w:t>
      </w:r>
    </w:p>
    <w:p w14:paraId="35EE79B7" w14:textId="77777777" w:rsidR="00E60842" w:rsidRDefault="00E60842" w:rsidP="00E60842">
      <w:pPr>
        <w:pStyle w:val="BodyText"/>
      </w:pPr>
      <w:r>
        <w:t xml:space="preserve">To explore this question, the evaluation benchmarked the Fund’s management costs and management effectiveness against two other similar CSO programs: the Australia NGO Cooperation Program (ANCP) and the Australia Africa Community Engagement Scheme (AACES). These programs were chosen because they have similar funding mechanisms to the CSO WASH Fund. In addition, they have both recently been independently </w:t>
      </w:r>
      <w:proofErr w:type="gramStart"/>
      <w:r>
        <w:t>evaluated,</w:t>
      </w:r>
      <w:proofErr w:type="gramEnd"/>
      <w:r>
        <w:t xml:space="preserve"> meaning significant additional data collection on them was not required.</w:t>
      </w:r>
    </w:p>
    <w:p w14:paraId="18C03195" w14:textId="77777777" w:rsidR="00E60842" w:rsidRDefault="00E60842" w:rsidP="00E60842">
      <w:pPr>
        <w:pStyle w:val="BodyText"/>
      </w:pPr>
      <w:r>
        <w:t>The evaluation approach was as follows:</w:t>
      </w:r>
    </w:p>
    <w:p w14:paraId="203ADB47" w14:textId="77777777" w:rsidR="00E60842" w:rsidRDefault="00E60842" w:rsidP="00E60842">
      <w:pPr>
        <w:pStyle w:val="ListBullet"/>
      </w:pPr>
      <w:r>
        <w:t xml:space="preserve">The program management </w:t>
      </w:r>
      <w:proofErr w:type="gramStart"/>
      <w:r>
        <w:t>costs for the three programs (the Fund, ANCP and AACES) was</w:t>
      </w:r>
      <w:proofErr w:type="gramEnd"/>
      <w:r>
        <w:t xml:space="preserve"> collected. This included the number of DFAT and contractor staff involved, as well as expenditure on program management. The Fund’s cost were then compared to the other programs’ costs to determine whether its costs are low, moderate or high</w:t>
      </w:r>
    </w:p>
    <w:p w14:paraId="0CFAE479" w14:textId="77777777" w:rsidR="00E60842" w:rsidRDefault="00E60842" w:rsidP="00E60842">
      <w:pPr>
        <w:pStyle w:val="ListBullet"/>
      </w:pPr>
      <w:r>
        <w:t>The effectiveness of the program management arrangements (that is, the extent to which management arrangements supported CSOs to deliver high quality projects) for each program were examined. For the Fund, this wsd achieved through examination of the evaluation questions outlined above. For ANCP and AACES, it wsd achieved by examining their existing evaluations. The effectiveness of the Fund’s program management arrangements was then be compared to the other programs’ to determine whether management effectiveness is low, moderate or high</w:t>
      </w:r>
    </w:p>
    <w:p w14:paraId="101BB9D8" w14:textId="77777777" w:rsidR="00E60842" w:rsidRDefault="00E60842" w:rsidP="00E60842">
      <w:pPr>
        <w:pStyle w:val="ListBullet"/>
      </w:pPr>
      <w:r>
        <w:t xml:space="preserve">The resulting ratings for the Fund’s program management costs and effectiveness were assessed against the following matrix. This allowed the evaluation team to draw conclusions on whether the Fund’s management costs and effectiveness are proportionate and cost-effective or not. </w:t>
      </w:r>
    </w:p>
    <w:p w14:paraId="12B55CAD" w14:textId="77777777" w:rsidR="00E60842" w:rsidRDefault="00E60842" w:rsidP="00E60842">
      <w:pPr>
        <w:pStyle w:val="ListBullet"/>
        <w:numPr>
          <w:ilvl w:val="0"/>
          <w:numId w:val="0"/>
        </w:numPr>
        <w:ind w:left="284"/>
      </w:pPr>
    </w:p>
    <w:p w14:paraId="52B11E15" w14:textId="77777777" w:rsidR="00E60842" w:rsidRDefault="00E60842" w:rsidP="00E60842">
      <w:pPr>
        <w:pStyle w:val="TableHeading1"/>
      </w:pPr>
      <w:r>
        <w:t>Table 1: Cost effectiveness matrix</w:t>
      </w:r>
    </w:p>
    <w:tbl>
      <w:tblPr>
        <w:tblStyle w:val="TableGrid"/>
        <w:tblW w:w="0" w:type="auto"/>
        <w:tblLook w:val="04A0" w:firstRow="1" w:lastRow="0" w:firstColumn="1" w:lastColumn="0" w:noHBand="0" w:noVBand="1"/>
        <w:tblCaption w:val="Cost effectiveness matrix"/>
        <w:tblDescription w:val="The table provides a matrix for determining whether the Fund is cost effective or not."/>
      </w:tblPr>
      <w:tblGrid>
        <w:gridCol w:w="2907"/>
        <w:gridCol w:w="2907"/>
        <w:gridCol w:w="2907"/>
      </w:tblGrid>
      <w:tr w:rsidR="00E60842" w14:paraId="7DA1E5A6" w14:textId="77777777" w:rsidTr="007E5022">
        <w:tc>
          <w:tcPr>
            <w:tcW w:w="2907" w:type="dxa"/>
          </w:tcPr>
          <w:p w14:paraId="6FDBDF2C" w14:textId="77777777" w:rsidR="00E60842" w:rsidRPr="00B06797" w:rsidRDefault="00E60842" w:rsidP="007E5022">
            <w:pPr>
              <w:pStyle w:val="TableText"/>
              <w:rPr>
                <w:b/>
              </w:rPr>
            </w:pPr>
            <w:r>
              <w:rPr>
                <w:b/>
              </w:rPr>
              <w:t>Fund</w:t>
            </w:r>
            <w:r w:rsidRPr="00B06797">
              <w:rPr>
                <w:b/>
              </w:rPr>
              <w:t xml:space="preserve"> management costs are: </w:t>
            </w:r>
          </w:p>
        </w:tc>
        <w:tc>
          <w:tcPr>
            <w:tcW w:w="2907" w:type="dxa"/>
          </w:tcPr>
          <w:p w14:paraId="610D8921" w14:textId="77777777" w:rsidR="00E60842" w:rsidRPr="00B06797" w:rsidRDefault="00E60842" w:rsidP="007E5022">
            <w:pPr>
              <w:pStyle w:val="TableText"/>
              <w:rPr>
                <w:b/>
              </w:rPr>
            </w:pPr>
            <w:r>
              <w:rPr>
                <w:b/>
              </w:rPr>
              <w:t>Fund</w:t>
            </w:r>
            <w:r w:rsidRPr="00B06797">
              <w:rPr>
                <w:b/>
              </w:rPr>
              <w:t xml:space="preserve"> management effectiveness is:</w:t>
            </w:r>
          </w:p>
        </w:tc>
        <w:tc>
          <w:tcPr>
            <w:tcW w:w="2907" w:type="dxa"/>
          </w:tcPr>
          <w:p w14:paraId="5F52916D" w14:textId="77777777" w:rsidR="00E60842" w:rsidRPr="00B06797" w:rsidRDefault="00E60842" w:rsidP="007E5022">
            <w:pPr>
              <w:pStyle w:val="TableText"/>
              <w:rPr>
                <w:b/>
              </w:rPr>
            </w:pPr>
            <w:r>
              <w:rPr>
                <w:b/>
              </w:rPr>
              <w:t>Is the Fund</w:t>
            </w:r>
            <w:r w:rsidRPr="00B06797">
              <w:rPr>
                <w:b/>
              </w:rPr>
              <w:t xml:space="preserve"> cost-effective?</w:t>
            </w:r>
          </w:p>
        </w:tc>
      </w:tr>
      <w:tr w:rsidR="00E60842" w14:paraId="6385B98C" w14:textId="77777777" w:rsidTr="007E5022">
        <w:tc>
          <w:tcPr>
            <w:tcW w:w="2907" w:type="dxa"/>
            <w:vMerge w:val="restart"/>
            <w:shd w:val="clear" w:color="auto" w:fill="D4EAD3" w:themeFill="accent6" w:themeFillTint="33"/>
          </w:tcPr>
          <w:p w14:paraId="46F41674" w14:textId="77777777" w:rsidR="00E60842" w:rsidRPr="002B3133" w:rsidRDefault="00E60842" w:rsidP="007E5022">
            <w:pPr>
              <w:pStyle w:val="TableText"/>
            </w:pPr>
          </w:p>
          <w:p w14:paraId="1D0E3171" w14:textId="77777777" w:rsidR="00E60842" w:rsidRDefault="00E60842" w:rsidP="007E5022">
            <w:pPr>
              <w:pStyle w:val="TableText"/>
            </w:pPr>
          </w:p>
          <w:p w14:paraId="448B7299" w14:textId="77777777" w:rsidR="00E60842" w:rsidRPr="002B3133" w:rsidRDefault="00E60842" w:rsidP="007E5022">
            <w:pPr>
              <w:pStyle w:val="TableText"/>
            </w:pPr>
            <w:r w:rsidRPr="002B3133">
              <w:t>High</w:t>
            </w:r>
          </w:p>
        </w:tc>
        <w:tc>
          <w:tcPr>
            <w:tcW w:w="2907" w:type="dxa"/>
            <w:shd w:val="clear" w:color="auto" w:fill="D4EAD3" w:themeFill="accent6" w:themeFillTint="33"/>
          </w:tcPr>
          <w:p w14:paraId="34B83A6A" w14:textId="77777777" w:rsidR="00E60842" w:rsidRPr="002B3133" w:rsidRDefault="00E60842" w:rsidP="007E5022">
            <w:pPr>
              <w:pStyle w:val="TableText"/>
              <w:spacing w:before="120"/>
            </w:pPr>
            <w:r w:rsidRPr="002B3133">
              <w:t>High</w:t>
            </w:r>
          </w:p>
        </w:tc>
        <w:tc>
          <w:tcPr>
            <w:tcW w:w="2907" w:type="dxa"/>
            <w:shd w:val="clear" w:color="auto" w:fill="D4EAD3" w:themeFill="accent6" w:themeFillTint="33"/>
          </w:tcPr>
          <w:p w14:paraId="1AA5BE64" w14:textId="77777777" w:rsidR="00E60842" w:rsidRPr="002B3133" w:rsidRDefault="00E60842" w:rsidP="007E5022">
            <w:pPr>
              <w:pStyle w:val="TableText"/>
              <w:spacing w:before="120"/>
            </w:pPr>
            <w:r w:rsidRPr="002B3133">
              <w:t>Cost-effective</w:t>
            </w:r>
          </w:p>
        </w:tc>
      </w:tr>
      <w:tr w:rsidR="00E60842" w14:paraId="68CDAE53" w14:textId="77777777" w:rsidTr="007E5022">
        <w:tc>
          <w:tcPr>
            <w:tcW w:w="2907" w:type="dxa"/>
            <w:vMerge/>
            <w:shd w:val="clear" w:color="auto" w:fill="D4EAD3" w:themeFill="accent6" w:themeFillTint="33"/>
          </w:tcPr>
          <w:p w14:paraId="1C2C2B0B" w14:textId="77777777" w:rsidR="00E60842" w:rsidRPr="002B3133" w:rsidRDefault="00E60842" w:rsidP="007E5022">
            <w:pPr>
              <w:pStyle w:val="TableText"/>
            </w:pPr>
          </w:p>
        </w:tc>
        <w:tc>
          <w:tcPr>
            <w:tcW w:w="2907" w:type="dxa"/>
            <w:shd w:val="clear" w:color="auto" w:fill="D4EAD3" w:themeFill="accent6" w:themeFillTint="33"/>
          </w:tcPr>
          <w:p w14:paraId="657C1026" w14:textId="77777777" w:rsidR="00E60842" w:rsidRPr="002B3133" w:rsidRDefault="00E60842" w:rsidP="007E5022">
            <w:pPr>
              <w:pStyle w:val="TableText"/>
              <w:spacing w:before="120"/>
            </w:pPr>
            <w:r w:rsidRPr="002B3133">
              <w:t>Moderate</w:t>
            </w:r>
          </w:p>
        </w:tc>
        <w:tc>
          <w:tcPr>
            <w:tcW w:w="2907" w:type="dxa"/>
            <w:shd w:val="clear" w:color="auto" w:fill="D4EAD3" w:themeFill="accent6" w:themeFillTint="33"/>
          </w:tcPr>
          <w:p w14:paraId="638462C3" w14:textId="77777777" w:rsidR="00E60842" w:rsidRPr="002B3133" w:rsidRDefault="00E60842" w:rsidP="007E5022">
            <w:pPr>
              <w:pStyle w:val="TableText"/>
              <w:spacing w:before="120"/>
            </w:pPr>
            <w:r w:rsidRPr="002B3133">
              <w:t>Cost-effectiveness could be improved</w:t>
            </w:r>
          </w:p>
        </w:tc>
      </w:tr>
      <w:tr w:rsidR="00E60842" w14:paraId="3F4ACCDF" w14:textId="77777777" w:rsidTr="007E5022">
        <w:tc>
          <w:tcPr>
            <w:tcW w:w="2907" w:type="dxa"/>
            <w:vMerge/>
            <w:shd w:val="clear" w:color="auto" w:fill="D4EAD3" w:themeFill="accent6" w:themeFillTint="33"/>
          </w:tcPr>
          <w:p w14:paraId="35A59E0A" w14:textId="77777777" w:rsidR="00E60842" w:rsidRPr="002B3133" w:rsidRDefault="00E60842" w:rsidP="007E5022">
            <w:pPr>
              <w:pStyle w:val="TableText"/>
            </w:pPr>
          </w:p>
        </w:tc>
        <w:tc>
          <w:tcPr>
            <w:tcW w:w="2907" w:type="dxa"/>
            <w:shd w:val="clear" w:color="auto" w:fill="D4EAD3" w:themeFill="accent6" w:themeFillTint="33"/>
          </w:tcPr>
          <w:p w14:paraId="2DACB116" w14:textId="77777777" w:rsidR="00E60842" w:rsidRPr="002B3133" w:rsidRDefault="00E60842" w:rsidP="007E5022">
            <w:pPr>
              <w:pStyle w:val="TableText"/>
              <w:spacing w:before="120"/>
            </w:pPr>
            <w:r w:rsidRPr="002B3133">
              <w:t>Low</w:t>
            </w:r>
          </w:p>
        </w:tc>
        <w:tc>
          <w:tcPr>
            <w:tcW w:w="2907" w:type="dxa"/>
            <w:shd w:val="clear" w:color="auto" w:fill="D4EAD3" w:themeFill="accent6" w:themeFillTint="33"/>
          </w:tcPr>
          <w:p w14:paraId="55126F75" w14:textId="77777777" w:rsidR="00E60842" w:rsidRPr="002B3133" w:rsidRDefault="00E60842" w:rsidP="007E5022">
            <w:pPr>
              <w:pStyle w:val="TableText"/>
              <w:spacing w:before="120"/>
            </w:pPr>
            <w:r w:rsidRPr="002B3133">
              <w:t>Not cost-effective</w:t>
            </w:r>
          </w:p>
        </w:tc>
      </w:tr>
      <w:tr w:rsidR="00E60842" w14:paraId="382EC21F" w14:textId="77777777" w:rsidTr="007E5022">
        <w:tc>
          <w:tcPr>
            <w:tcW w:w="2907" w:type="dxa"/>
            <w:vMerge w:val="restart"/>
            <w:shd w:val="clear" w:color="auto" w:fill="FCE3D2" w:themeFill="accent4" w:themeFillTint="33"/>
          </w:tcPr>
          <w:p w14:paraId="33A25A09" w14:textId="77777777" w:rsidR="00E60842" w:rsidRPr="002B3133" w:rsidRDefault="00E60842" w:rsidP="007E5022">
            <w:pPr>
              <w:pStyle w:val="TableText"/>
            </w:pPr>
          </w:p>
          <w:p w14:paraId="7664C8A2" w14:textId="77777777" w:rsidR="00E60842" w:rsidRDefault="00E60842" w:rsidP="007E5022">
            <w:pPr>
              <w:pStyle w:val="TableText"/>
            </w:pPr>
          </w:p>
          <w:p w14:paraId="1371E5FE" w14:textId="77777777" w:rsidR="00E60842" w:rsidRPr="002B3133" w:rsidRDefault="00E60842" w:rsidP="007E5022">
            <w:pPr>
              <w:pStyle w:val="TableText"/>
            </w:pPr>
            <w:r w:rsidRPr="002B3133">
              <w:t>Moderate</w:t>
            </w:r>
          </w:p>
        </w:tc>
        <w:tc>
          <w:tcPr>
            <w:tcW w:w="2907" w:type="dxa"/>
            <w:shd w:val="clear" w:color="auto" w:fill="FCE3D2" w:themeFill="accent4" w:themeFillTint="33"/>
          </w:tcPr>
          <w:p w14:paraId="1390ED8F" w14:textId="77777777" w:rsidR="00E60842" w:rsidRPr="002B3133" w:rsidRDefault="00E60842" w:rsidP="007E5022">
            <w:pPr>
              <w:pStyle w:val="TableText"/>
              <w:spacing w:before="120"/>
            </w:pPr>
            <w:r w:rsidRPr="002B3133">
              <w:t>High</w:t>
            </w:r>
          </w:p>
        </w:tc>
        <w:tc>
          <w:tcPr>
            <w:tcW w:w="2907" w:type="dxa"/>
            <w:shd w:val="clear" w:color="auto" w:fill="FCE3D2" w:themeFill="accent4" w:themeFillTint="33"/>
          </w:tcPr>
          <w:p w14:paraId="39F647D6" w14:textId="77777777" w:rsidR="00E60842" w:rsidRPr="002B3133" w:rsidRDefault="00E60842" w:rsidP="007E5022">
            <w:pPr>
              <w:pStyle w:val="TableText"/>
              <w:spacing w:before="120"/>
            </w:pPr>
            <w:r w:rsidRPr="002B3133">
              <w:t>Very cost-effective</w:t>
            </w:r>
          </w:p>
        </w:tc>
      </w:tr>
      <w:tr w:rsidR="00E60842" w14:paraId="5BD1C009" w14:textId="77777777" w:rsidTr="007E5022">
        <w:tc>
          <w:tcPr>
            <w:tcW w:w="2907" w:type="dxa"/>
            <w:vMerge/>
            <w:shd w:val="clear" w:color="auto" w:fill="FCE3D2" w:themeFill="accent4" w:themeFillTint="33"/>
          </w:tcPr>
          <w:p w14:paraId="74D9EFE2" w14:textId="77777777" w:rsidR="00E60842" w:rsidRPr="002B3133" w:rsidRDefault="00E60842" w:rsidP="007E5022">
            <w:pPr>
              <w:pStyle w:val="TableText"/>
            </w:pPr>
          </w:p>
        </w:tc>
        <w:tc>
          <w:tcPr>
            <w:tcW w:w="2907" w:type="dxa"/>
            <w:shd w:val="clear" w:color="auto" w:fill="FCE3D2" w:themeFill="accent4" w:themeFillTint="33"/>
          </w:tcPr>
          <w:p w14:paraId="67D49C06" w14:textId="77777777" w:rsidR="00E60842" w:rsidRPr="002B3133" w:rsidRDefault="00E60842" w:rsidP="007E5022">
            <w:pPr>
              <w:pStyle w:val="TableText"/>
              <w:spacing w:before="120"/>
            </w:pPr>
            <w:r w:rsidRPr="002B3133">
              <w:t>Moderate</w:t>
            </w:r>
          </w:p>
        </w:tc>
        <w:tc>
          <w:tcPr>
            <w:tcW w:w="2907" w:type="dxa"/>
            <w:shd w:val="clear" w:color="auto" w:fill="FCE3D2" w:themeFill="accent4" w:themeFillTint="33"/>
          </w:tcPr>
          <w:p w14:paraId="627273CF" w14:textId="77777777" w:rsidR="00E60842" w:rsidRPr="002B3133" w:rsidRDefault="00E60842" w:rsidP="007E5022">
            <w:pPr>
              <w:pStyle w:val="TableText"/>
              <w:spacing w:before="120"/>
            </w:pPr>
            <w:r w:rsidRPr="002B3133">
              <w:t>Cost-effective</w:t>
            </w:r>
          </w:p>
        </w:tc>
      </w:tr>
      <w:tr w:rsidR="00E60842" w14:paraId="228ECFE8" w14:textId="77777777" w:rsidTr="007E5022">
        <w:tc>
          <w:tcPr>
            <w:tcW w:w="2907" w:type="dxa"/>
            <w:vMerge/>
            <w:shd w:val="clear" w:color="auto" w:fill="FCE3D2" w:themeFill="accent4" w:themeFillTint="33"/>
          </w:tcPr>
          <w:p w14:paraId="18C1126E" w14:textId="77777777" w:rsidR="00E60842" w:rsidRPr="002B3133" w:rsidRDefault="00E60842" w:rsidP="007E5022">
            <w:pPr>
              <w:pStyle w:val="TableText"/>
            </w:pPr>
          </w:p>
        </w:tc>
        <w:tc>
          <w:tcPr>
            <w:tcW w:w="2907" w:type="dxa"/>
            <w:shd w:val="clear" w:color="auto" w:fill="FCE3D2" w:themeFill="accent4" w:themeFillTint="33"/>
          </w:tcPr>
          <w:p w14:paraId="41ECD4C9" w14:textId="77777777" w:rsidR="00E60842" w:rsidRPr="002B3133" w:rsidRDefault="00E60842" w:rsidP="007E5022">
            <w:pPr>
              <w:pStyle w:val="TableText"/>
              <w:spacing w:before="120"/>
            </w:pPr>
            <w:r w:rsidRPr="002B3133">
              <w:t>Low</w:t>
            </w:r>
          </w:p>
        </w:tc>
        <w:tc>
          <w:tcPr>
            <w:tcW w:w="2907" w:type="dxa"/>
            <w:shd w:val="clear" w:color="auto" w:fill="FCE3D2" w:themeFill="accent4" w:themeFillTint="33"/>
          </w:tcPr>
          <w:p w14:paraId="35AC0028" w14:textId="77777777" w:rsidR="00E60842" w:rsidRPr="002B3133" w:rsidRDefault="00E60842" w:rsidP="007E5022">
            <w:pPr>
              <w:pStyle w:val="TableText"/>
              <w:spacing w:before="120"/>
            </w:pPr>
            <w:r w:rsidRPr="002B3133">
              <w:t>Cost-effectiveness could be improved</w:t>
            </w:r>
          </w:p>
        </w:tc>
      </w:tr>
      <w:tr w:rsidR="00E60842" w14:paraId="64CB47CF" w14:textId="77777777" w:rsidTr="007E5022">
        <w:tc>
          <w:tcPr>
            <w:tcW w:w="2907" w:type="dxa"/>
            <w:vMerge w:val="restart"/>
            <w:shd w:val="clear" w:color="auto" w:fill="BFD7F6" w:themeFill="text2" w:themeFillTint="33"/>
          </w:tcPr>
          <w:p w14:paraId="5BCAB4CC" w14:textId="77777777" w:rsidR="00E60842" w:rsidRPr="002B3133" w:rsidRDefault="00E60842" w:rsidP="007E5022">
            <w:pPr>
              <w:pStyle w:val="TableText"/>
            </w:pPr>
          </w:p>
          <w:p w14:paraId="0A86D4D3" w14:textId="77777777" w:rsidR="00E60842" w:rsidRDefault="00E60842" w:rsidP="007E5022">
            <w:pPr>
              <w:pStyle w:val="TableText"/>
            </w:pPr>
          </w:p>
          <w:p w14:paraId="719F468A" w14:textId="77777777" w:rsidR="00E60842" w:rsidRPr="002B3133" w:rsidRDefault="00E60842" w:rsidP="007E5022">
            <w:pPr>
              <w:pStyle w:val="TableText"/>
            </w:pPr>
            <w:r w:rsidRPr="002B3133">
              <w:t>Low</w:t>
            </w:r>
          </w:p>
        </w:tc>
        <w:tc>
          <w:tcPr>
            <w:tcW w:w="2907" w:type="dxa"/>
            <w:shd w:val="clear" w:color="auto" w:fill="BFD7F6" w:themeFill="text2" w:themeFillTint="33"/>
          </w:tcPr>
          <w:p w14:paraId="06621C90" w14:textId="77777777" w:rsidR="00E60842" w:rsidRPr="002B3133" w:rsidRDefault="00E60842" w:rsidP="007E5022">
            <w:pPr>
              <w:pStyle w:val="TableText"/>
              <w:spacing w:before="120"/>
            </w:pPr>
            <w:r w:rsidRPr="002B3133">
              <w:t>High</w:t>
            </w:r>
          </w:p>
        </w:tc>
        <w:tc>
          <w:tcPr>
            <w:tcW w:w="2907" w:type="dxa"/>
            <w:shd w:val="clear" w:color="auto" w:fill="BFD7F6" w:themeFill="text2" w:themeFillTint="33"/>
          </w:tcPr>
          <w:p w14:paraId="7CEE80AC" w14:textId="77777777" w:rsidR="00E60842" w:rsidRPr="002B3133" w:rsidRDefault="00E60842" w:rsidP="007E5022">
            <w:pPr>
              <w:pStyle w:val="TableText"/>
              <w:spacing w:before="120"/>
            </w:pPr>
            <w:r w:rsidRPr="002B3133">
              <w:t>Very cost-effective</w:t>
            </w:r>
          </w:p>
        </w:tc>
      </w:tr>
      <w:tr w:rsidR="00E60842" w14:paraId="4BBF1353" w14:textId="77777777" w:rsidTr="007E5022">
        <w:tc>
          <w:tcPr>
            <w:tcW w:w="2907" w:type="dxa"/>
            <w:vMerge/>
            <w:shd w:val="clear" w:color="auto" w:fill="BFD7F6" w:themeFill="text2" w:themeFillTint="33"/>
          </w:tcPr>
          <w:p w14:paraId="658EBDD1" w14:textId="77777777" w:rsidR="00E60842" w:rsidRPr="002B3133" w:rsidRDefault="00E60842" w:rsidP="007E5022">
            <w:pPr>
              <w:pStyle w:val="TableText"/>
            </w:pPr>
          </w:p>
        </w:tc>
        <w:tc>
          <w:tcPr>
            <w:tcW w:w="2907" w:type="dxa"/>
            <w:shd w:val="clear" w:color="auto" w:fill="BFD7F6" w:themeFill="text2" w:themeFillTint="33"/>
          </w:tcPr>
          <w:p w14:paraId="3014F12A" w14:textId="77777777" w:rsidR="00E60842" w:rsidRPr="002B3133" w:rsidRDefault="00E60842" w:rsidP="007E5022">
            <w:pPr>
              <w:pStyle w:val="TableText"/>
              <w:spacing w:before="120"/>
            </w:pPr>
            <w:r w:rsidRPr="002B3133">
              <w:t>Moderate</w:t>
            </w:r>
          </w:p>
        </w:tc>
        <w:tc>
          <w:tcPr>
            <w:tcW w:w="2907" w:type="dxa"/>
            <w:shd w:val="clear" w:color="auto" w:fill="BFD7F6" w:themeFill="text2" w:themeFillTint="33"/>
          </w:tcPr>
          <w:p w14:paraId="2E74A3DD" w14:textId="77777777" w:rsidR="00E60842" w:rsidRPr="002B3133" w:rsidRDefault="00E60842" w:rsidP="007E5022">
            <w:pPr>
              <w:pStyle w:val="TableText"/>
              <w:spacing w:before="120"/>
            </w:pPr>
            <w:r w:rsidRPr="002B3133">
              <w:t>Very cost-effective</w:t>
            </w:r>
          </w:p>
        </w:tc>
      </w:tr>
      <w:tr w:rsidR="00E60842" w14:paraId="3C4D49BE" w14:textId="77777777" w:rsidTr="007E5022">
        <w:tc>
          <w:tcPr>
            <w:tcW w:w="2907" w:type="dxa"/>
            <w:vMerge/>
            <w:shd w:val="clear" w:color="auto" w:fill="BFD7F6" w:themeFill="text2" w:themeFillTint="33"/>
          </w:tcPr>
          <w:p w14:paraId="7C554046" w14:textId="77777777" w:rsidR="00E60842" w:rsidRPr="002B3133" w:rsidRDefault="00E60842" w:rsidP="007E5022">
            <w:pPr>
              <w:pStyle w:val="TableText"/>
            </w:pPr>
          </w:p>
        </w:tc>
        <w:tc>
          <w:tcPr>
            <w:tcW w:w="2907" w:type="dxa"/>
            <w:shd w:val="clear" w:color="auto" w:fill="BFD7F6" w:themeFill="text2" w:themeFillTint="33"/>
          </w:tcPr>
          <w:p w14:paraId="6D8FB78F" w14:textId="77777777" w:rsidR="00E60842" w:rsidRPr="002B3133" w:rsidRDefault="00E60842" w:rsidP="007E5022">
            <w:pPr>
              <w:pStyle w:val="TableText"/>
              <w:spacing w:before="120"/>
            </w:pPr>
            <w:r w:rsidRPr="002B3133">
              <w:t>Low</w:t>
            </w:r>
          </w:p>
        </w:tc>
        <w:tc>
          <w:tcPr>
            <w:tcW w:w="2907" w:type="dxa"/>
            <w:shd w:val="clear" w:color="auto" w:fill="BFD7F6" w:themeFill="text2" w:themeFillTint="33"/>
          </w:tcPr>
          <w:p w14:paraId="3D81EC26" w14:textId="77777777" w:rsidR="00E60842" w:rsidRPr="002B3133" w:rsidRDefault="00E60842" w:rsidP="007E5022">
            <w:pPr>
              <w:pStyle w:val="TableText"/>
              <w:spacing w:before="120"/>
            </w:pPr>
            <w:r>
              <w:t>Not c</w:t>
            </w:r>
            <w:r w:rsidRPr="002B3133">
              <w:t>ost-effective</w:t>
            </w:r>
            <w:r>
              <w:rPr>
                <w:rStyle w:val="FootnoteReference"/>
              </w:rPr>
              <w:footnoteReference w:id="24"/>
            </w:r>
          </w:p>
        </w:tc>
      </w:tr>
    </w:tbl>
    <w:p w14:paraId="7C12D2FD" w14:textId="77777777" w:rsidR="00E60842" w:rsidRPr="00513A26" w:rsidRDefault="00E60842" w:rsidP="00E60842">
      <w:pPr>
        <w:pStyle w:val="TableText"/>
      </w:pPr>
    </w:p>
    <w:p w14:paraId="7935335C" w14:textId="77777777" w:rsidR="00E60842" w:rsidRDefault="00E60842" w:rsidP="00E60842">
      <w:pPr>
        <w:pStyle w:val="Heading3"/>
      </w:pPr>
      <w:r>
        <w:t xml:space="preserve">Question </w:t>
      </w:r>
      <w:proofErr w:type="gramStart"/>
      <w:r>
        <w:t>M(</w:t>
      </w:r>
      <w:proofErr w:type="gramEnd"/>
      <w:r>
        <w:t>v):</w:t>
      </w:r>
      <w:r>
        <w:tab/>
        <w:t>To what extent do</w:t>
      </w:r>
      <w:r w:rsidRPr="000820E5">
        <w:t xml:space="preserve"> the Fund’s management arrangements give due regard to advancing equity and inclusiveness, particularly in relation to gender and disability?</w:t>
      </w:r>
    </w:p>
    <w:p w14:paraId="09004F94" w14:textId="77777777" w:rsidR="00E60842" w:rsidRDefault="00E60842" w:rsidP="00E60842">
      <w:pPr>
        <w:pStyle w:val="BodyText"/>
      </w:pPr>
      <w:r>
        <w:t>Given the high priority placed on gender equality and disability inclusiveness by the aid program, the evaluation examined the extent to which the Fund’s management arrangements have ensured these topics have been integrated into the Fund’s work. Data was collected in the following ways:</w:t>
      </w:r>
    </w:p>
    <w:p w14:paraId="6BF99DAE" w14:textId="77777777" w:rsidR="00E60842" w:rsidRDefault="00E60842" w:rsidP="00E60842">
      <w:pPr>
        <w:pStyle w:val="ListBullet"/>
      </w:pPr>
      <w:r>
        <w:t>Content analysis was conducted to assess the extent to which gender equality and disability inclusion are integrated into key documents. Analysis particularly focused on: the Fund’s Performance Assessment Framework; regular reporting from the Fund Management Facility and CSOs; Aid Quality Checks completed by DFAT; and documents and discussion on the Fund’s website</w:t>
      </w:r>
    </w:p>
    <w:p w14:paraId="62230FE6" w14:textId="77777777" w:rsidR="00E60842" w:rsidRDefault="00E60842" w:rsidP="00E60842">
      <w:pPr>
        <w:pStyle w:val="ListBullet"/>
      </w:pPr>
      <w:r>
        <w:t>The survey of CSOs included questions on the extent to which the integration of gender equality and disability inclusion has been encouraged by the Fund.</w:t>
      </w:r>
    </w:p>
    <w:p w14:paraId="7625D5C6" w14:textId="77777777" w:rsidR="00E60842" w:rsidRDefault="00E60842" w:rsidP="00E60842">
      <w:pPr>
        <w:pStyle w:val="Heading2"/>
      </w:pPr>
      <w:bookmarkStart w:id="50" w:name="_Toc457471939"/>
      <w:bookmarkStart w:id="51" w:name="_Toc464825728"/>
      <w:bookmarkStart w:id="52" w:name="_Toc468450016"/>
      <w:r>
        <w:t xml:space="preserve">Evaluation question: </w:t>
      </w:r>
      <w:r w:rsidRPr="007B495C">
        <w:t xml:space="preserve">To what extent did the two-part CSO selection process enable selection of the most effective </w:t>
      </w:r>
      <w:r>
        <w:t>CSOs</w:t>
      </w:r>
      <w:r w:rsidRPr="007B495C">
        <w:t xml:space="preserve"> to deliver </w:t>
      </w:r>
      <w:r>
        <w:t>WASH projects</w:t>
      </w:r>
      <w:r w:rsidRPr="007B495C">
        <w:t>?</w:t>
      </w:r>
      <w:bookmarkEnd w:id="50"/>
      <w:bookmarkEnd w:id="51"/>
      <w:bookmarkEnd w:id="52"/>
    </w:p>
    <w:p w14:paraId="24870A5D" w14:textId="77777777" w:rsidR="00E60842" w:rsidRDefault="00E60842" w:rsidP="00E60842">
      <w:pPr>
        <w:pStyle w:val="Heading3"/>
      </w:pPr>
      <w:r>
        <w:t xml:space="preserve">Question </w:t>
      </w:r>
      <w:proofErr w:type="gramStart"/>
      <w:r>
        <w:t>S(</w:t>
      </w:r>
      <w:proofErr w:type="gramEnd"/>
      <w:r>
        <w:t>i): To what extent was CSO selection (including the inception phase) consistent with the design’s guidance and intent?</w:t>
      </w:r>
    </w:p>
    <w:p w14:paraId="6BA547F5" w14:textId="77777777" w:rsidR="00E60842" w:rsidRDefault="00E60842" w:rsidP="00E60842">
      <w:pPr>
        <w:pStyle w:val="BodyText"/>
      </w:pPr>
      <w:r>
        <w:t>To address this question, the team compared the design’s intent with actual implementation. The Fund’s design had particular views of CSO strengths in the WASH sector and areas of comparative CSO weakness</w:t>
      </w:r>
      <w:r w:rsidRPr="00E82E78">
        <w:t>.</w:t>
      </w:r>
      <w:r>
        <w:t xml:space="preserve"> As per the Fund’s design, three broad areas are selected for initial comparison: (1) the types of CSOs and proposals intended to be selected and actually selected; (2) the intent and actual implementation of the Fund’s inception phase; and (3) the intended and actual geographical balance of projects supported by the Fund.  </w:t>
      </w:r>
    </w:p>
    <w:p w14:paraId="3EC6685B" w14:textId="77777777" w:rsidR="00E60842" w:rsidRDefault="00E60842" w:rsidP="00E60842">
      <w:pPr>
        <w:spacing w:after="0"/>
      </w:pPr>
      <w:r>
        <w:t>Data was collected in the following ways:</w:t>
      </w:r>
    </w:p>
    <w:p w14:paraId="5C9E49B1" w14:textId="77777777" w:rsidR="00E60842" w:rsidRDefault="00E60842" w:rsidP="00E60842">
      <w:pPr>
        <w:pStyle w:val="ListBullet"/>
      </w:pPr>
      <w:r>
        <w:t xml:space="preserve">A document review focussed on the design document, DFAT minutes concerning CSO selection, and Fund monitoring reports during inception </w:t>
      </w:r>
    </w:p>
    <w:p w14:paraId="3F7DF4F3" w14:textId="77777777" w:rsidR="00E60842" w:rsidRDefault="00E60842" w:rsidP="00E60842">
      <w:pPr>
        <w:pStyle w:val="ListBullet"/>
      </w:pPr>
      <w:r>
        <w:t>A review of a small number of original CSO proposals to examine how they were assessed and scored by selection panel members</w:t>
      </w:r>
    </w:p>
    <w:p w14:paraId="5E2AEC76" w14:textId="77777777" w:rsidR="00E60842" w:rsidRDefault="00E60842" w:rsidP="00E60842">
      <w:pPr>
        <w:pStyle w:val="ListBullet"/>
      </w:pPr>
      <w:r>
        <w:t xml:space="preserve">Interviews with a range of respondents involved in the Fund’s design (WSH section and MERP members), and with those involved in the CSO selection process and the inception phase (DFAT selection panel members, WSH, MERP, FMF and funded CSOs’ program managers).  </w:t>
      </w:r>
    </w:p>
    <w:p w14:paraId="2FBE5112" w14:textId="77777777" w:rsidR="00E60842" w:rsidRDefault="00E60842" w:rsidP="00E60842">
      <w:pPr>
        <w:pStyle w:val="ListBullet"/>
      </w:pPr>
      <w:r>
        <w:t>An online survey of CSOs which applied but which were unsuccessful in obtaining Fund support to better understand whether the selection phase was perceived as transparent.</w:t>
      </w:r>
    </w:p>
    <w:p w14:paraId="3338F017" w14:textId="77777777" w:rsidR="00E60842" w:rsidRDefault="00E60842" w:rsidP="00E60842">
      <w:pPr>
        <w:pStyle w:val="Heading3"/>
      </w:pPr>
      <w:r>
        <w:t xml:space="preserve">Question </w:t>
      </w:r>
      <w:proofErr w:type="gramStart"/>
      <w:r>
        <w:t>S(</w:t>
      </w:r>
      <w:proofErr w:type="gramEnd"/>
      <w:r>
        <w:t>ii): To what extent did CSO selection give due regard to advancing equity and inclusiveness, particularly in relation to gender and disability?</w:t>
      </w:r>
    </w:p>
    <w:p w14:paraId="2A5F5FF3" w14:textId="77777777" w:rsidR="00E60842" w:rsidRDefault="00E60842" w:rsidP="00E60842">
      <w:pPr>
        <w:pStyle w:val="BodyText"/>
      </w:pPr>
      <w:r>
        <w:t xml:space="preserve">This question investigated the degree to which there is variation in the standard of how funded CSOs treated gender and disability, both in their initial proposals and then during the inception phase, and how this was assessed by the Fund. A uniformly high standard of attention to gender and disability inclusion within the initial CSO proposals by funded CSOs would indicate that funded CSOs are already strong in these areas (provided the selection process itself was robust). A uniformly high standard of attention only following the inception phase could indicate a successful feature of that phase.  The team also investigated the extent to which the CSO selection panel and Fund Management stakeholders supported CSOs during the inception phase to appropriately consider gender and disability inclusion.  </w:t>
      </w:r>
    </w:p>
    <w:p w14:paraId="27F0AC98" w14:textId="77777777" w:rsidR="00E60842" w:rsidRPr="009919D0" w:rsidRDefault="00E60842" w:rsidP="00E60842">
      <w:pPr>
        <w:pStyle w:val="BodyText"/>
      </w:pPr>
      <w:r>
        <w:t xml:space="preserve">Data collection particularly focused on relevant documents (CSO proposals, DFAT records regarding the selection process, Fund monitoring reports, and best practice guidance for gender and disability inclusion) and interviews.  </w:t>
      </w:r>
    </w:p>
    <w:p w14:paraId="571A095A" w14:textId="77777777" w:rsidR="00E60842" w:rsidRDefault="00E60842" w:rsidP="00E60842">
      <w:pPr>
        <w:pStyle w:val="Heading2"/>
      </w:pPr>
      <w:bookmarkStart w:id="53" w:name="_Toc457471942"/>
      <w:bookmarkStart w:id="54" w:name="_Toc464825729"/>
      <w:bookmarkStart w:id="55" w:name="_Toc468450017"/>
      <w:r>
        <w:t>Ethical issues</w:t>
      </w:r>
      <w:bookmarkEnd w:id="53"/>
      <w:bookmarkEnd w:id="54"/>
      <w:bookmarkEnd w:id="55"/>
    </w:p>
    <w:p w14:paraId="1CE59C23" w14:textId="77777777" w:rsidR="00E60842" w:rsidRDefault="00E60842" w:rsidP="00E60842">
      <w:pPr>
        <w:pStyle w:val="BodyText"/>
      </w:pPr>
      <w:r>
        <w:t xml:space="preserve">Consistent with DFAT’s draft Evaluation Policy, the evaluation will be conducted consistent with the AES Guidelines for the Ethical Conduct of Evaluations. The following three ethical issues are noteworthy. </w:t>
      </w:r>
    </w:p>
    <w:p w14:paraId="2FA3A768" w14:textId="77777777" w:rsidR="00E60842" w:rsidRDefault="00E60842" w:rsidP="00E60842">
      <w:pPr>
        <w:pStyle w:val="BodyText"/>
      </w:pPr>
      <w:r>
        <w:t xml:space="preserve">Informed consent will be sought from all participants who provide data for the evaluation through interview or survey response. Data will be securely maintained using DFAT’s systems. Interview and survey data will only be accessible to the evaluation team and other parts of DFAT will not have direct access to it. This will ensure respondents can comment frankly and freely. Interviewees can also request transcripts of their interview if desired.  </w:t>
      </w:r>
    </w:p>
    <w:p w14:paraId="345A1F91" w14:textId="77777777" w:rsidR="00E60842" w:rsidRDefault="00E60842" w:rsidP="00E60842">
      <w:pPr>
        <w:pStyle w:val="BodyText"/>
      </w:pPr>
      <w:r>
        <w:t xml:space="preserve">In the evaluation report all data will be de-identified (that is, responses will not be attributed to the individual who gave them). However, a number of groups will have a very small number of respondents; for example, there are only three MERP members and only two FMF staff will be interviewed. This means that it may be possible for those reading the evaluation report to link a particular response to a particular individual. All respondents will be made aware of this issue and will be given the option not to proceed with interview. </w:t>
      </w:r>
    </w:p>
    <w:p w14:paraId="0079CEE7" w14:textId="77777777" w:rsidR="00E60842" w:rsidRDefault="00E60842" w:rsidP="00E60842">
      <w:pPr>
        <w:pStyle w:val="BodyText"/>
      </w:pPr>
      <w:r>
        <w:t>It is also possible that the evaluation findings will have adverse findings for groups such as the MERP, FMF or the DFAT WSH section. For example, the evaluation could suggest that fewer contractor or DFAT resources are required to manage the future phase. As contractors and DFAT WSH will be involved in developing recommendations for the evaluation, ethical tensions could arise for these groups. In such a case:</w:t>
      </w:r>
    </w:p>
    <w:p w14:paraId="5C03237F" w14:textId="77777777" w:rsidR="00E60842" w:rsidRDefault="00E60842" w:rsidP="00E60842">
      <w:pPr>
        <w:pStyle w:val="ListBullet"/>
      </w:pPr>
      <w:r>
        <w:t>All groups will be asked to set aside personal interests and act in the interests of the program</w:t>
      </w:r>
    </w:p>
    <w:p w14:paraId="7F75A616" w14:textId="77777777" w:rsidR="00E60842" w:rsidRDefault="00E60842" w:rsidP="00E60842">
      <w:pPr>
        <w:pStyle w:val="ListBullet"/>
      </w:pPr>
      <w:r>
        <w:t xml:space="preserve">The evaluation team will reserve the right to make the final decision on evaluation recommendations. </w:t>
      </w:r>
    </w:p>
    <w:p w14:paraId="5F719553" w14:textId="77777777" w:rsidR="00E60842" w:rsidRDefault="00E60842" w:rsidP="00E60842">
      <w:pPr>
        <w:pStyle w:val="BodyText"/>
        <w:sectPr w:rsidR="00E60842" w:rsidSect="007E5022">
          <w:headerReference w:type="even" r:id="rId29"/>
          <w:footnotePr>
            <w:numFmt w:val="chicago"/>
            <w:numRestart w:val="eachPage"/>
          </w:footnotePr>
          <w:endnotePr>
            <w:numFmt w:val="decimal"/>
          </w:endnotePr>
          <w:pgSz w:w="11907" w:h="16840" w:code="9"/>
          <w:pgMar w:top="1072" w:right="1701" w:bottom="907" w:left="1701" w:header="851" w:footer="567" w:gutter="0"/>
          <w:cols w:space="720"/>
          <w:docGrid w:linePitch="326"/>
        </w:sectPr>
      </w:pPr>
    </w:p>
    <w:p w14:paraId="237A6A65" w14:textId="77777777" w:rsidR="00E60842" w:rsidRDefault="00E60842" w:rsidP="00E60842">
      <w:pPr>
        <w:pStyle w:val="Heading2"/>
      </w:pPr>
      <w:bookmarkStart w:id="56" w:name="_Toc457471947"/>
      <w:bookmarkStart w:id="57" w:name="_Toc464825730"/>
      <w:bookmarkStart w:id="58" w:name="_Toc468450018"/>
      <w:r>
        <w:t>Appendix A: Evaluation matrix</w:t>
      </w:r>
      <w:bookmarkEnd w:id="56"/>
      <w:bookmarkEnd w:id="57"/>
      <w:bookmarkEnd w:id="58"/>
    </w:p>
    <w:p w14:paraId="2A5064FB" w14:textId="77777777" w:rsidR="00E60842" w:rsidRPr="00957A19" w:rsidRDefault="00E60842" w:rsidP="00E60842">
      <w:pPr>
        <w:pStyle w:val="BodyText"/>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Caption w:val="Evaluation matrix"/>
        <w:tblDescription w:val="The table summarises the evaluation questions, data collection and data analysis methods. All information is included in the previous sections. "/>
      </w:tblPr>
      <w:tblGrid>
        <w:gridCol w:w="615"/>
        <w:gridCol w:w="3265"/>
        <w:gridCol w:w="2369"/>
        <w:gridCol w:w="4252"/>
        <w:gridCol w:w="3183"/>
        <w:gridCol w:w="1393"/>
      </w:tblGrid>
      <w:tr w:rsidR="00E60842" w:rsidRPr="00957A19" w14:paraId="39B52FC9" w14:textId="77777777" w:rsidTr="007E5022">
        <w:tc>
          <w:tcPr>
            <w:tcW w:w="622" w:type="dxa"/>
          </w:tcPr>
          <w:p w14:paraId="693EC52D" w14:textId="77777777" w:rsidR="00E60842" w:rsidRPr="00957A19" w:rsidRDefault="00E60842" w:rsidP="007E5022">
            <w:pPr>
              <w:spacing w:after="0"/>
              <w:rPr>
                <w:b/>
                <w:szCs w:val="21"/>
                <w:lang w:eastAsia="en-US"/>
              </w:rPr>
            </w:pPr>
            <w:r w:rsidRPr="00957A19">
              <w:rPr>
                <w:b/>
                <w:szCs w:val="21"/>
                <w:lang w:eastAsia="en-US"/>
              </w:rPr>
              <w:t xml:space="preserve">No. </w:t>
            </w:r>
          </w:p>
        </w:tc>
        <w:tc>
          <w:tcPr>
            <w:tcW w:w="3378" w:type="dxa"/>
          </w:tcPr>
          <w:p w14:paraId="281F40F1" w14:textId="77777777" w:rsidR="00E60842" w:rsidRPr="00957A19" w:rsidRDefault="00E60842" w:rsidP="007E5022">
            <w:pPr>
              <w:spacing w:after="0"/>
              <w:rPr>
                <w:b/>
                <w:szCs w:val="21"/>
                <w:lang w:eastAsia="en-US"/>
              </w:rPr>
            </w:pPr>
            <w:r w:rsidRPr="00957A19">
              <w:rPr>
                <w:b/>
                <w:szCs w:val="21"/>
                <w:lang w:eastAsia="en-US"/>
              </w:rPr>
              <w:t>Evaluation Question</w:t>
            </w:r>
          </w:p>
        </w:tc>
        <w:tc>
          <w:tcPr>
            <w:tcW w:w="2458" w:type="dxa"/>
          </w:tcPr>
          <w:p w14:paraId="520B1F1D" w14:textId="77777777" w:rsidR="00E60842" w:rsidRPr="00957A19" w:rsidRDefault="00E60842" w:rsidP="007E5022">
            <w:pPr>
              <w:spacing w:after="0"/>
              <w:rPr>
                <w:b/>
                <w:szCs w:val="21"/>
                <w:lang w:eastAsia="en-US"/>
              </w:rPr>
            </w:pPr>
            <w:r w:rsidRPr="00957A19">
              <w:rPr>
                <w:b/>
                <w:szCs w:val="21"/>
                <w:lang w:eastAsia="en-US"/>
              </w:rPr>
              <w:t>Primary Audience</w:t>
            </w:r>
          </w:p>
        </w:tc>
        <w:tc>
          <w:tcPr>
            <w:tcW w:w="4459" w:type="dxa"/>
          </w:tcPr>
          <w:p w14:paraId="0FB572E8" w14:textId="77777777" w:rsidR="00E60842" w:rsidRPr="00957A19" w:rsidRDefault="00E60842" w:rsidP="007E5022">
            <w:pPr>
              <w:spacing w:after="0"/>
              <w:rPr>
                <w:b/>
                <w:szCs w:val="21"/>
                <w:lang w:eastAsia="en-US"/>
              </w:rPr>
            </w:pPr>
            <w:r w:rsidRPr="00957A19">
              <w:rPr>
                <w:b/>
                <w:szCs w:val="21"/>
                <w:lang w:eastAsia="en-US"/>
              </w:rPr>
              <w:t>Data collection</w:t>
            </w:r>
          </w:p>
        </w:tc>
        <w:tc>
          <w:tcPr>
            <w:tcW w:w="3304" w:type="dxa"/>
          </w:tcPr>
          <w:p w14:paraId="3F05D9D1" w14:textId="77777777" w:rsidR="00E60842" w:rsidRPr="00957A19" w:rsidRDefault="00E60842" w:rsidP="007E5022">
            <w:pPr>
              <w:spacing w:after="0"/>
              <w:rPr>
                <w:b/>
                <w:szCs w:val="21"/>
                <w:lang w:eastAsia="en-US"/>
              </w:rPr>
            </w:pPr>
            <w:r w:rsidRPr="00957A19">
              <w:rPr>
                <w:b/>
                <w:szCs w:val="21"/>
                <w:lang w:eastAsia="en-US"/>
              </w:rPr>
              <w:t>Data analysis</w:t>
            </w:r>
          </w:p>
        </w:tc>
        <w:tc>
          <w:tcPr>
            <w:tcW w:w="1393" w:type="dxa"/>
          </w:tcPr>
          <w:p w14:paraId="5E81EEDB" w14:textId="77777777" w:rsidR="00E60842" w:rsidRPr="00957A19" w:rsidRDefault="00E60842" w:rsidP="007E5022">
            <w:pPr>
              <w:spacing w:after="0"/>
              <w:rPr>
                <w:b/>
                <w:szCs w:val="21"/>
                <w:lang w:eastAsia="en-US"/>
              </w:rPr>
            </w:pPr>
            <w:r w:rsidRPr="00957A19">
              <w:rPr>
                <w:b/>
                <w:szCs w:val="21"/>
                <w:lang w:eastAsia="en-US"/>
              </w:rPr>
              <w:t>Tools</w:t>
            </w:r>
          </w:p>
        </w:tc>
      </w:tr>
      <w:tr w:rsidR="00E60842" w:rsidRPr="00957A19" w14:paraId="060903C5" w14:textId="77777777" w:rsidTr="007E5022">
        <w:tc>
          <w:tcPr>
            <w:tcW w:w="622" w:type="dxa"/>
          </w:tcPr>
          <w:p w14:paraId="76F6FEE5" w14:textId="77777777" w:rsidR="00E60842" w:rsidRPr="00957A19" w:rsidRDefault="00E60842" w:rsidP="007E5022">
            <w:pPr>
              <w:spacing w:after="0"/>
              <w:rPr>
                <w:szCs w:val="21"/>
                <w:lang w:eastAsia="en-US"/>
              </w:rPr>
            </w:pPr>
            <w:r w:rsidRPr="00957A19">
              <w:rPr>
                <w:szCs w:val="21"/>
                <w:lang w:eastAsia="en-US"/>
              </w:rPr>
              <w:t>M</w:t>
            </w:r>
          </w:p>
        </w:tc>
        <w:tc>
          <w:tcPr>
            <w:tcW w:w="14992" w:type="dxa"/>
            <w:gridSpan w:val="5"/>
          </w:tcPr>
          <w:p w14:paraId="7C9D7EF7" w14:textId="77777777" w:rsidR="00E60842" w:rsidRPr="00957A19" w:rsidRDefault="00E60842" w:rsidP="007E5022">
            <w:pPr>
              <w:spacing w:after="0"/>
              <w:rPr>
                <w:i/>
                <w:szCs w:val="21"/>
                <w:lang w:eastAsia="en-US"/>
              </w:rPr>
            </w:pPr>
            <w:r w:rsidRPr="00957A19">
              <w:rPr>
                <w:i/>
                <w:szCs w:val="21"/>
                <w:lang w:eastAsia="en-US"/>
              </w:rPr>
              <w:t>To what extent are the Fund’s management arrangements appropriate, effective and efficient?</w:t>
            </w:r>
          </w:p>
          <w:p w14:paraId="411CB999" w14:textId="77777777" w:rsidR="00E60842" w:rsidRPr="00957A19" w:rsidRDefault="00E60842" w:rsidP="007E5022">
            <w:pPr>
              <w:spacing w:after="0"/>
              <w:rPr>
                <w:szCs w:val="21"/>
                <w:lang w:eastAsia="en-US"/>
              </w:rPr>
            </w:pPr>
          </w:p>
        </w:tc>
      </w:tr>
      <w:tr w:rsidR="00E60842" w:rsidRPr="00957A19" w14:paraId="7ECCDEF5" w14:textId="77777777" w:rsidTr="007E5022">
        <w:tc>
          <w:tcPr>
            <w:tcW w:w="622" w:type="dxa"/>
          </w:tcPr>
          <w:p w14:paraId="22E2403C" w14:textId="77777777" w:rsidR="00E60842" w:rsidRPr="00957A19" w:rsidRDefault="00E60842" w:rsidP="007E5022">
            <w:pPr>
              <w:spacing w:after="0"/>
              <w:rPr>
                <w:szCs w:val="21"/>
                <w:lang w:eastAsia="en-US"/>
              </w:rPr>
            </w:pPr>
            <w:r w:rsidRPr="00957A19">
              <w:rPr>
                <w:szCs w:val="21"/>
                <w:lang w:eastAsia="en-US"/>
              </w:rPr>
              <w:t>M (i)</w:t>
            </w:r>
          </w:p>
        </w:tc>
        <w:tc>
          <w:tcPr>
            <w:tcW w:w="3378" w:type="dxa"/>
          </w:tcPr>
          <w:p w14:paraId="5CC702F4" w14:textId="77777777" w:rsidR="00E60842" w:rsidRPr="00957A19" w:rsidRDefault="00E60842" w:rsidP="007E5022">
            <w:pPr>
              <w:spacing w:after="0"/>
              <w:rPr>
                <w:szCs w:val="21"/>
                <w:lang w:eastAsia="en-US"/>
              </w:rPr>
            </w:pPr>
            <w:r w:rsidRPr="00957A19">
              <w:rPr>
                <w:szCs w:val="21"/>
              </w:rPr>
              <w:t>To what extent are DFAT staff in Canberra and at posts, Fund Management Facility staff, MERP members, and CSO staff working effectively together to achieve Fund objectives?</w:t>
            </w:r>
          </w:p>
        </w:tc>
        <w:tc>
          <w:tcPr>
            <w:tcW w:w="2458" w:type="dxa"/>
          </w:tcPr>
          <w:p w14:paraId="59C93D94" w14:textId="77777777" w:rsidR="00E60842" w:rsidRPr="00957A19" w:rsidRDefault="00E60842" w:rsidP="007E5022">
            <w:pPr>
              <w:spacing w:after="0"/>
              <w:rPr>
                <w:szCs w:val="21"/>
                <w:lang w:eastAsia="en-US"/>
              </w:rPr>
            </w:pPr>
            <w:r w:rsidRPr="00957A19">
              <w:rPr>
                <w:szCs w:val="21"/>
                <w:lang w:eastAsia="en-US"/>
              </w:rPr>
              <w:t>DFAT (WSH and Post), FMF, MERP and CSOs – to inform the remainder of the Fund</w:t>
            </w:r>
          </w:p>
          <w:p w14:paraId="184C4909" w14:textId="77777777" w:rsidR="00E60842" w:rsidRPr="00957A19" w:rsidRDefault="00E60842" w:rsidP="007E5022">
            <w:pPr>
              <w:spacing w:after="0"/>
              <w:rPr>
                <w:szCs w:val="21"/>
                <w:lang w:eastAsia="en-US"/>
              </w:rPr>
            </w:pPr>
          </w:p>
          <w:p w14:paraId="419A91D2" w14:textId="77777777" w:rsidR="00E60842" w:rsidRPr="00957A19" w:rsidRDefault="00E60842" w:rsidP="007E5022">
            <w:pPr>
              <w:spacing w:after="0"/>
              <w:rPr>
                <w:szCs w:val="21"/>
                <w:lang w:eastAsia="en-US"/>
              </w:rPr>
            </w:pPr>
            <w:r w:rsidRPr="00957A19">
              <w:rPr>
                <w:szCs w:val="21"/>
                <w:lang w:eastAsia="en-US"/>
              </w:rPr>
              <w:t>DFAT WSH – to inform design of the next Fund phase</w:t>
            </w:r>
          </w:p>
        </w:tc>
        <w:tc>
          <w:tcPr>
            <w:tcW w:w="4459" w:type="dxa"/>
          </w:tcPr>
          <w:p w14:paraId="61D8FDED" w14:textId="77777777" w:rsidR="00E60842" w:rsidRPr="00957A19" w:rsidRDefault="00E60842" w:rsidP="007E5022">
            <w:pPr>
              <w:spacing w:after="0"/>
              <w:rPr>
                <w:szCs w:val="21"/>
                <w:lang w:eastAsia="en-US"/>
              </w:rPr>
            </w:pPr>
            <w:r w:rsidRPr="00957A19">
              <w:rPr>
                <w:szCs w:val="21"/>
                <w:lang w:eastAsia="en-US"/>
              </w:rPr>
              <w:t xml:space="preserve">Key informant interviews with DFAT (WSH and Post), MERP, FMF and CSO program managers  </w:t>
            </w:r>
          </w:p>
          <w:p w14:paraId="5C9268BA" w14:textId="77777777" w:rsidR="00E60842" w:rsidRPr="00957A19" w:rsidRDefault="00E60842" w:rsidP="007E5022">
            <w:pPr>
              <w:spacing w:after="0"/>
              <w:rPr>
                <w:szCs w:val="21"/>
                <w:lang w:eastAsia="en-US"/>
              </w:rPr>
            </w:pPr>
          </w:p>
          <w:p w14:paraId="77C89C88" w14:textId="77777777" w:rsidR="00E60842" w:rsidRPr="00957A19" w:rsidRDefault="00E60842" w:rsidP="007E5022">
            <w:pPr>
              <w:spacing w:after="0"/>
              <w:rPr>
                <w:szCs w:val="21"/>
                <w:lang w:eastAsia="en-US"/>
              </w:rPr>
            </w:pPr>
            <w:r w:rsidRPr="00957A19">
              <w:rPr>
                <w:szCs w:val="21"/>
                <w:lang w:eastAsia="en-US"/>
              </w:rPr>
              <w:t>Online survey of CSO project managers</w:t>
            </w:r>
          </w:p>
          <w:p w14:paraId="6629FC00" w14:textId="77777777" w:rsidR="00E60842" w:rsidRPr="00957A19" w:rsidRDefault="00E60842" w:rsidP="007E5022">
            <w:pPr>
              <w:spacing w:after="0"/>
              <w:rPr>
                <w:szCs w:val="21"/>
                <w:lang w:eastAsia="en-US"/>
              </w:rPr>
            </w:pPr>
          </w:p>
          <w:p w14:paraId="73B569BC" w14:textId="77777777" w:rsidR="00E60842" w:rsidRPr="00957A19" w:rsidRDefault="00E60842" w:rsidP="007E5022">
            <w:pPr>
              <w:spacing w:after="0"/>
              <w:rPr>
                <w:szCs w:val="21"/>
                <w:lang w:eastAsia="en-US"/>
              </w:rPr>
            </w:pPr>
            <w:r w:rsidRPr="00957A19">
              <w:rPr>
                <w:szCs w:val="21"/>
                <w:lang w:eastAsia="en-US"/>
              </w:rPr>
              <w:t>Document review, particularly Aid Quality Checks</w:t>
            </w:r>
            <w:r>
              <w:rPr>
                <w:szCs w:val="21"/>
                <w:lang w:eastAsia="en-US"/>
              </w:rPr>
              <w:t>, contracts</w:t>
            </w:r>
            <w:r w:rsidRPr="00957A19">
              <w:rPr>
                <w:szCs w:val="21"/>
                <w:lang w:eastAsia="en-US"/>
              </w:rPr>
              <w:t xml:space="preserve"> and regular reporting fro</w:t>
            </w:r>
            <w:r>
              <w:rPr>
                <w:szCs w:val="21"/>
                <w:lang w:eastAsia="en-US"/>
              </w:rPr>
              <w:t>m</w:t>
            </w:r>
            <w:r w:rsidRPr="00957A19">
              <w:rPr>
                <w:szCs w:val="21"/>
                <w:lang w:eastAsia="en-US"/>
              </w:rPr>
              <w:t xml:space="preserve"> FMF</w:t>
            </w:r>
          </w:p>
          <w:p w14:paraId="11A6340E" w14:textId="77777777" w:rsidR="00E60842" w:rsidRPr="00957A19" w:rsidRDefault="00E60842" w:rsidP="007E5022">
            <w:pPr>
              <w:spacing w:after="0"/>
              <w:rPr>
                <w:szCs w:val="21"/>
                <w:lang w:eastAsia="en-US"/>
              </w:rPr>
            </w:pPr>
          </w:p>
          <w:p w14:paraId="3027C026" w14:textId="77777777" w:rsidR="00E60842" w:rsidRPr="00957A19" w:rsidRDefault="00E60842" w:rsidP="007E5022">
            <w:pPr>
              <w:spacing w:after="0"/>
              <w:rPr>
                <w:szCs w:val="21"/>
                <w:lang w:eastAsia="en-US"/>
              </w:rPr>
            </w:pPr>
          </w:p>
        </w:tc>
        <w:tc>
          <w:tcPr>
            <w:tcW w:w="3304" w:type="dxa"/>
          </w:tcPr>
          <w:p w14:paraId="00033B17" w14:textId="77777777" w:rsidR="00E60842" w:rsidRPr="00957A19" w:rsidRDefault="00E60842" w:rsidP="007E5022">
            <w:pPr>
              <w:spacing w:after="0"/>
              <w:rPr>
                <w:szCs w:val="21"/>
                <w:lang w:eastAsia="en-US"/>
              </w:rPr>
            </w:pPr>
            <w:r>
              <w:rPr>
                <w:szCs w:val="21"/>
                <w:lang w:eastAsia="en-US"/>
              </w:rPr>
              <w:t>Data</w:t>
            </w:r>
            <w:r w:rsidRPr="00957A19">
              <w:rPr>
                <w:szCs w:val="21"/>
                <w:lang w:eastAsia="en-US"/>
              </w:rPr>
              <w:t xml:space="preserve"> mapped against the expecte</w:t>
            </w:r>
            <w:r>
              <w:rPr>
                <w:szCs w:val="21"/>
                <w:lang w:eastAsia="en-US"/>
              </w:rPr>
              <w:t>d behaviours outlined in Annex C</w:t>
            </w:r>
            <w:r w:rsidRPr="00957A19">
              <w:rPr>
                <w:szCs w:val="21"/>
                <w:lang w:eastAsia="en-US"/>
              </w:rPr>
              <w:t xml:space="preserve"> to highlight strengths and areas for improvement </w:t>
            </w:r>
          </w:p>
        </w:tc>
        <w:tc>
          <w:tcPr>
            <w:tcW w:w="1393" w:type="dxa"/>
          </w:tcPr>
          <w:p w14:paraId="16FE8732" w14:textId="77777777" w:rsidR="00E60842" w:rsidRPr="00957A19" w:rsidRDefault="00E60842" w:rsidP="007E5022">
            <w:pPr>
              <w:spacing w:after="0"/>
              <w:rPr>
                <w:szCs w:val="21"/>
                <w:lang w:eastAsia="en-US"/>
              </w:rPr>
            </w:pPr>
            <w:r w:rsidRPr="00957A19">
              <w:rPr>
                <w:szCs w:val="21"/>
                <w:lang w:eastAsia="en-US"/>
              </w:rPr>
              <w:t>Interview guides</w:t>
            </w:r>
          </w:p>
          <w:p w14:paraId="3D955897" w14:textId="77777777" w:rsidR="00E60842" w:rsidRPr="00957A19" w:rsidRDefault="00E60842" w:rsidP="007E5022">
            <w:pPr>
              <w:spacing w:after="0"/>
              <w:rPr>
                <w:szCs w:val="21"/>
                <w:lang w:eastAsia="en-US"/>
              </w:rPr>
            </w:pPr>
          </w:p>
          <w:p w14:paraId="25746ED6" w14:textId="77777777" w:rsidR="00E60842" w:rsidRPr="00957A19" w:rsidRDefault="00E60842" w:rsidP="007E5022">
            <w:pPr>
              <w:spacing w:after="0"/>
              <w:rPr>
                <w:szCs w:val="21"/>
                <w:lang w:eastAsia="en-US"/>
              </w:rPr>
            </w:pPr>
            <w:r w:rsidRPr="00957A19">
              <w:rPr>
                <w:szCs w:val="21"/>
                <w:lang w:eastAsia="en-US"/>
              </w:rPr>
              <w:t>Survey</w:t>
            </w:r>
          </w:p>
        </w:tc>
      </w:tr>
      <w:tr w:rsidR="00E60842" w:rsidRPr="00957A19" w14:paraId="0BE84ABD" w14:textId="77777777" w:rsidTr="007E5022">
        <w:tc>
          <w:tcPr>
            <w:tcW w:w="622" w:type="dxa"/>
          </w:tcPr>
          <w:p w14:paraId="14924755" w14:textId="77777777" w:rsidR="00E60842" w:rsidRPr="00957A19" w:rsidRDefault="00E60842" w:rsidP="007E5022">
            <w:pPr>
              <w:spacing w:after="0"/>
              <w:rPr>
                <w:szCs w:val="21"/>
                <w:lang w:eastAsia="en-US"/>
              </w:rPr>
            </w:pPr>
            <w:r w:rsidRPr="00957A19">
              <w:rPr>
                <w:szCs w:val="21"/>
                <w:lang w:eastAsia="en-US"/>
              </w:rPr>
              <w:t>M (ii)</w:t>
            </w:r>
          </w:p>
        </w:tc>
        <w:tc>
          <w:tcPr>
            <w:tcW w:w="3378" w:type="dxa"/>
          </w:tcPr>
          <w:p w14:paraId="4AC731C3" w14:textId="77777777" w:rsidR="00E60842" w:rsidRPr="00957A19" w:rsidRDefault="00E60842" w:rsidP="007E5022">
            <w:pPr>
              <w:spacing w:after="0"/>
              <w:rPr>
                <w:szCs w:val="21"/>
                <w:lang w:eastAsia="en-US"/>
              </w:rPr>
            </w:pPr>
            <w:r w:rsidRPr="00957A19">
              <w:rPr>
                <w:szCs w:val="21"/>
              </w:rPr>
              <w:t>To what extent are contracting arrangements facilitating the effective and efficient attainment of Fund objectives?</w:t>
            </w:r>
            <w:r w:rsidRPr="00957A19">
              <w:rPr>
                <w:szCs w:val="21"/>
                <w:vertAlign w:val="superscript"/>
              </w:rPr>
              <w:footnoteReference w:id="25"/>
            </w:r>
          </w:p>
        </w:tc>
        <w:tc>
          <w:tcPr>
            <w:tcW w:w="2458" w:type="dxa"/>
          </w:tcPr>
          <w:p w14:paraId="56CCF448" w14:textId="77777777" w:rsidR="00E60842" w:rsidRPr="00957A19" w:rsidRDefault="00E60842" w:rsidP="007E5022">
            <w:pPr>
              <w:spacing w:after="0"/>
              <w:rPr>
                <w:szCs w:val="21"/>
                <w:lang w:eastAsia="en-US"/>
              </w:rPr>
            </w:pPr>
            <w:r w:rsidRPr="00957A19">
              <w:rPr>
                <w:szCs w:val="21"/>
                <w:lang w:eastAsia="en-US"/>
              </w:rPr>
              <w:t>DFAT WSH – to inform design of the next Fund phase</w:t>
            </w:r>
          </w:p>
        </w:tc>
        <w:tc>
          <w:tcPr>
            <w:tcW w:w="4459" w:type="dxa"/>
          </w:tcPr>
          <w:p w14:paraId="0FC46452" w14:textId="77777777" w:rsidR="00E60842" w:rsidRPr="00957A19" w:rsidRDefault="00E60842" w:rsidP="007E5022">
            <w:pPr>
              <w:spacing w:after="0"/>
              <w:rPr>
                <w:szCs w:val="21"/>
                <w:lang w:eastAsia="en-US"/>
              </w:rPr>
            </w:pPr>
            <w:r w:rsidRPr="00957A19">
              <w:rPr>
                <w:szCs w:val="21"/>
                <w:lang w:eastAsia="en-US"/>
              </w:rPr>
              <w:t>Key informant interviews with WSH, FMF, MERP and CSO program managers</w:t>
            </w:r>
          </w:p>
          <w:p w14:paraId="7C49626C" w14:textId="77777777" w:rsidR="00E60842" w:rsidRDefault="00E60842" w:rsidP="007E5022">
            <w:pPr>
              <w:spacing w:after="0"/>
              <w:rPr>
                <w:szCs w:val="21"/>
                <w:lang w:eastAsia="en-US"/>
              </w:rPr>
            </w:pPr>
          </w:p>
          <w:p w14:paraId="2651B1C3" w14:textId="77777777" w:rsidR="00E60842" w:rsidRPr="00957A19" w:rsidRDefault="00E60842" w:rsidP="007E5022">
            <w:pPr>
              <w:spacing w:after="0"/>
              <w:rPr>
                <w:szCs w:val="21"/>
                <w:lang w:eastAsia="en-US"/>
              </w:rPr>
            </w:pPr>
            <w:r>
              <w:rPr>
                <w:szCs w:val="21"/>
                <w:lang w:eastAsia="en-US"/>
              </w:rPr>
              <w:t>Document review, particularly contracts</w:t>
            </w:r>
          </w:p>
        </w:tc>
        <w:tc>
          <w:tcPr>
            <w:tcW w:w="3304" w:type="dxa"/>
          </w:tcPr>
          <w:p w14:paraId="271D484E" w14:textId="77777777" w:rsidR="00E60842" w:rsidRPr="00957A19" w:rsidRDefault="00E60842" w:rsidP="007E5022">
            <w:pPr>
              <w:spacing w:after="0"/>
              <w:rPr>
                <w:szCs w:val="21"/>
                <w:lang w:eastAsia="en-US"/>
              </w:rPr>
            </w:pPr>
            <w:r w:rsidRPr="00957A19">
              <w:rPr>
                <w:szCs w:val="21"/>
                <w:lang w:eastAsia="en-US"/>
              </w:rPr>
              <w:t>Qualitative analysis to identify the advantages and disadvantages of the current arrangements and possible improvements for the next phase</w:t>
            </w:r>
          </w:p>
          <w:p w14:paraId="296B903C" w14:textId="77777777" w:rsidR="00E60842" w:rsidRPr="00957A19" w:rsidRDefault="00E60842" w:rsidP="007E5022">
            <w:pPr>
              <w:spacing w:after="0"/>
              <w:rPr>
                <w:szCs w:val="21"/>
                <w:lang w:eastAsia="en-US"/>
              </w:rPr>
            </w:pPr>
          </w:p>
        </w:tc>
        <w:tc>
          <w:tcPr>
            <w:tcW w:w="1393" w:type="dxa"/>
          </w:tcPr>
          <w:p w14:paraId="1E89149B" w14:textId="77777777" w:rsidR="00E60842" w:rsidRPr="00957A19" w:rsidRDefault="00E60842" w:rsidP="007E5022">
            <w:pPr>
              <w:spacing w:after="0"/>
              <w:rPr>
                <w:szCs w:val="21"/>
                <w:lang w:eastAsia="en-US"/>
              </w:rPr>
            </w:pPr>
            <w:r w:rsidRPr="00957A19">
              <w:rPr>
                <w:szCs w:val="21"/>
                <w:lang w:eastAsia="en-US"/>
              </w:rPr>
              <w:t>Interview guides</w:t>
            </w:r>
          </w:p>
        </w:tc>
      </w:tr>
      <w:tr w:rsidR="00E60842" w:rsidRPr="00957A19" w14:paraId="02073420" w14:textId="77777777" w:rsidTr="007E5022">
        <w:tc>
          <w:tcPr>
            <w:tcW w:w="622" w:type="dxa"/>
          </w:tcPr>
          <w:p w14:paraId="6987F2A0" w14:textId="77777777" w:rsidR="00E60842" w:rsidRPr="00957A19" w:rsidRDefault="00E60842" w:rsidP="007E5022">
            <w:pPr>
              <w:spacing w:after="0"/>
              <w:rPr>
                <w:szCs w:val="21"/>
                <w:lang w:eastAsia="en-US"/>
              </w:rPr>
            </w:pPr>
            <w:r w:rsidRPr="00957A19">
              <w:rPr>
                <w:szCs w:val="21"/>
                <w:lang w:eastAsia="en-US"/>
              </w:rPr>
              <w:t>M (iii)</w:t>
            </w:r>
          </w:p>
        </w:tc>
        <w:tc>
          <w:tcPr>
            <w:tcW w:w="3378" w:type="dxa"/>
          </w:tcPr>
          <w:p w14:paraId="1F73C649" w14:textId="77777777" w:rsidR="00E60842" w:rsidRPr="00957A19" w:rsidRDefault="00E60842" w:rsidP="007E5022">
            <w:pPr>
              <w:spacing w:after="0"/>
              <w:rPr>
                <w:szCs w:val="21"/>
                <w:lang w:eastAsia="en-US"/>
              </w:rPr>
            </w:pPr>
            <w:r w:rsidRPr="00957A19">
              <w:rPr>
                <w:szCs w:val="21"/>
              </w:rPr>
              <w:t>To what extent have the M&amp;E and learning approaches inherent in the Fund’s design and implementation assisted to develop and achieve better outcomes?</w:t>
            </w:r>
          </w:p>
        </w:tc>
        <w:tc>
          <w:tcPr>
            <w:tcW w:w="2458" w:type="dxa"/>
          </w:tcPr>
          <w:p w14:paraId="378A900C" w14:textId="77777777" w:rsidR="00E60842" w:rsidRPr="00957A19" w:rsidRDefault="00E60842" w:rsidP="007E5022">
            <w:pPr>
              <w:spacing w:after="0"/>
              <w:rPr>
                <w:szCs w:val="21"/>
                <w:lang w:eastAsia="en-US"/>
              </w:rPr>
            </w:pPr>
            <w:r w:rsidRPr="00957A19">
              <w:rPr>
                <w:szCs w:val="21"/>
                <w:lang w:eastAsia="en-US"/>
              </w:rPr>
              <w:t>DFAT WSH, MERP and KALM – to inform the remainder of the Fund</w:t>
            </w:r>
          </w:p>
          <w:p w14:paraId="59C4F8AB" w14:textId="77777777" w:rsidR="00E60842" w:rsidRPr="00957A19" w:rsidRDefault="00E60842" w:rsidP="007E5022">
            <w:pPr>
              <w:spacing w:after="0"/>
              <w:rPr>
                <w:szCs w:val="21"/>
                <w:lang w:eastAsia="en-US"/>
              </w:rPr>
            </w:pPr>
          </w:p>
          <w:p w14:paraId="7484AFEE" w14:textId="77777777" w:rsidR="00E60842" w:rsidRPr="00957A19" w:rsidRDefault="00E60842" w:rsidP="007E5022">
            <w:pPr>
              <w:spacing w:after="0"/>
              <w:rPr>
                <w:szCs w:val="21"/>
                <w:lang w:eastAsia="en-US"/>
              </w:rPr>
            </w:pPr>
            <w:r w:rsidRPr="00957A19">
              <w:rPr>
                <w:szCs w:val="21"/>
                <w:lang w:eastAsia="en-US"/>
              </w:rPr>
              <w:t>DFAT WSH – to inform design of the next phase</w:t>
            </w:r>
          </w:p>
        </w:tc>
        <w:tc>
          <w:tcPr>
            <w:tcW w:w="4459" w:type="dxa"/>
          </w:tcPr>
          <w:p w14:paraId="215E2850" w14:textId="77777777" w:rsidR="00E60842" w:rsidRPr="00957A19" w:rsidRDefault="00E60842" w:rsidP="007E5022">
            <w:pPr>
              <w:spacing w:after="0"/>
              <w:rPr>
                <w:szCs w:val="21"/>
                <w:lang w:eastAsia="en-US"/>
              </w:rPr>
            </w:pPr>
            <w:r w:rsidRPr="00957A19">
              <w:rPr>
                <w:szCs w:val="21"/>
                <w:lang w:eastAsia="en-US"/>
              </w:rPr>
              <w:t>Online survey of CSO project managers</w:t>
            </w:r>
          </w:p>
          <w:p w14:paraId="343D3970" w14:textId="77777777" w:rsidR="00E60842" w:rsidRPr="00957A19" w:rsidRDefault="00E60842" w:rsidP="007E5022">
            <w:pPr>
              <w:spacing w:after="0"/>
              <w:rPr>
                <w:szCs w:val="21"/>
                <w:lang w:eastAsia="en-US"/>
              </w:rPr>
            </w:pPr>
          </w:p>
          <w:p w14:paraId="2BD15641" w14:textId="77777777" w:rsidR="00E60842" w:rsidRDefault="00E60842" w:rsidP="007E5022">
            <w:pPr>
              <w:spacing w:after="0"/>
              <w:rPr>
                <w:szCs w:val="21"/>
                <w:lang w:eastAsia="en-US"/>
              </w:rPr>
            </w:pPr>
            <w:r w:rsidRPr="00957A19">
              <w:rPr>
                <w:szCs w:val="21"/>
                <w:lang w:eastAsia="en-US"/>
              </w:rPr>
              <w:t>Key informant</w:t>
            </w:r>
            <w:r>
              <w:rPr>
                <w:szCs w:val="21"/>
                <w:lang w:eastAsia="en-US"/>
              </w:rPr>
              <w:t xml:space="preserve"> interviews with MERP, KALM, </w:t>
            </w:r>
            <w:r w:rsidRPr="00957A19">
              <w:rPr>
                <w:szCs w:val="21"/>
                <w:lang w:eastAsia="en-US"/>
              </w:rPr>
              <w:t>CSO program managers</w:t>
            </w:r>
            <w:r>
              <w:rPr>
                <w:szCs w:val="21"/>
                <w:lang w:eastAsia="en-US"/>
              </w:rPr>
              <w:t xml:space="preserve"> and DFAT</w:t>
            </w:r>
          </w:p>
          <w:p w14:paraId="18E6C9EB" w14:textId="77777777" w:rsidR="00E60842" w:rsidRDefault="00E60842" w:rsidP="007E5022">
            <w:pPr>
              <w:spacing w:after="0"/>
              <w:rPr>
                <w:szCs w:val="21"/>
                <w:lang w:eastAsia="en-US"/>
              </w:rPr>
            </w:pPr>
          </w:p>
          <w:p w14:paraId="68DCE8BA" w14:textId="77777777" w:rsidR="00E60842" w:rsidRPr="00957A19" w:rsidRDefault="00E60842" w:rsidP="007E5022">
            <w:pPr>
              <w:spacing w:after="0"/>
              <w:rPr>
                <w:szCs w:val="21"/>
                <w:lang w:eastAsia="en-US"/>
              </w:rPr>
            </w:pPr>
            <w:r>
              <w:rPr>
                <w:szCs w:val="21"/>
                <w:lang w:eastAsia="en-US"/>
              </w:rPr>
              <w:t>Examination of Fund’s online database (known as Bob)</w:t>
            </w:r>
          </w:p>
          <w:p w14:paraId="7DD915C9" w14:textId="77777777" w:rsidR="00E60842" w:rsidRPr="00957A19" w:rsidRDefault="00E60842" w:rsidP="007E5022">
            <w:pPr>
              <w:spacing w:after="0"/>
              <w:rPr>
                <w:szCs w:val="21"/>
                <w:lang w:eastAsia="en-US"/>
              </w:rPr>
            </w:pPr>
          </w:p>
          <w:p w14:paraId="0C25C7A5" w14:textId="77777777" w:rsidR="00E60842" w:rsidRPr="00957A19" w:rsidRDefault="00E60842" w:rsidP="007E5022">
            <w:pPr>
              <w:spacing w:after="0"/>
              <w:rPr>
                <w:szCs w:val="21"/>
                <w:lang w:eastAsia="en-US"/>
              </w:rPr>
            </w:pPr>
          </w:p>
        </w:tc>
        <w:tc>
          <w:tcPr>
            <w:tcW w:w="3304" w:type="dxa"/>
          </w:tcPr>
          <w:p w14:paraId="2068AFBA" w14:textId="77777777" w:rsidR="00E60842" w:rsidRPr="00957A19" w:rsidRDefault="00E60842" w:rsidP="007E5022">
            <w:pPr>
              <w:spacing w:after="0"/>
              <w:rPr>
                <w:szCs w:val="21"/>
                <w:lang w:eastAsia="en-US"/>
              </w:rPr>
            </w:pPr>
            <w:r>
              <w:rPr>
                <w:szCs w:val="21"/>
                <w:lang w:eastAsia="en-US"/>
              </w:rPr>
              <w:t>Data</w:t>
            </w:r>
            <w:r w:rsidRPr="00957A19">
              <w:rPr>
                <w:szCs w:val="21"/>
                <w:lang w:eastAsia="en-US"/>
              </w:rPr>
              <w:t xml:space="preserve"> mapped against the expecte</w:t>
            </w:r>
            <w:r>
              <w:rPr>
                <w:szCs w:val="21"/>
                <w:lang w:eastAsia="en-US"/>
              </w:rPr>
              <w:t>d behaviours outlined in Annex C</w:t>
            </w:r>
            <w:r w:rsidRPr="00957A19">
              <w:rPr>
                <w:szCs w:val="21"/>
                <w:lang w:eastAsia="en-US"/>
              </w:rPr>
              <w:t xml:space="preserve"> to highlight strengths and areas for improvement</w:t>
            </w:r>
          </w:p>
        </w:tc>
        <w:tc>
          <w:tcPr>
            <w:tcW w:w="1393" w:type="dxa"/>
          </w:tcPr>
          <w:p w14:paraId="6B2A418B" w14:textId="77777777" w:rsidR="00E60842" w:rsidRPr="00957A19" w:rsidRDefault="00E60842" w:rsidP="007E5022">
            <w:pPr>
              <w:spacing w:after="0"/>
              <w:rPr>
                <w:szCs w:val="21"/>
                <w:lang w:eastAsia="en-US"/>
              </w:rPr>
            </w:pPr>
            <w:r w:rsidRPr="00957A19">
              <w:rPr>
                <w:szCs w:val="21"/>
                <w:lang w:eastAsia="en-US"/>
              </w:rPr>
              <w:t xml:space="preserve">Survey </w:t>
            </w:r>
          </w:p>
          <w:p w14:paraId="4F215C91" w14:textId="77777777" w:rsidR="00E60842" w:rsidRPr="00957A19" w:rsidRDefault="00E60842" w:rsidP="007E5022">
            <w:pPr>
              <w:spacing w:after="0"/>
              <w:rPr>
                <w:szCs w:val="21"/>
                <w:lang w:eastAsia="en-US"/>
              </w:rPr>
            </w:pPr>
          </w:p>
          <w:p w14:paraId="4DE9163E" w14:textId="77777777" w:rsidR="00E60842" w:rsidRPr="00957A19" w:rsidRDefault="00E60842" w:rsidP="007E5022">
            <w:pPr>
              <w:spacing w:after="0"/>
              <w:rPr>
                <w:szCs w:val="21"/>
                <w:lang w:eastAsia="en-US"/>
              </w:rPr>
            </w:pPr>
            <w:r w:rsidRPr="00957A19">
              <w:rPr>
                <w:szCs w:val="21"/>
                <w:lang w:eastAsia="en-US"/>
              </w:rPr>
              <w:t>Interview guide</w:t>
            </w:r>
          </w:p>
        </w:tc>
      </w:tr>
      <w:tr w:rsidR="00E60842" w:rsidRPr="00957A19" w14:paraId="61440BC6" w14:textId="77777777" w:rsidTr="007E5022">
        <w:tc>
          <w:tcPr>
            <w:tcW w:w="622" w:type="dxa"/>
          </w:tcPr>
          <w:p w14:paraId="69675CCE" w14:textId="77777777" w:rsidR="00E60842" w:rsidRPr="00957A19" w:rsidRDefault="00E60842" w:rsidP="007E5022">
            <w:pPr>
              <w:spacing w:after="0"/>
              <w:rPr>
                <w:szCs w:val="21"/>
                <w:lang w:eastAsia="en-US"/>
              </w:rPr>
            </w:pPr>
            <w:r w:rsidRPr="00957A19">
              <w:rPr>
                <w:szCs w:val="21"/>
                <w:lang w:eastAsia="en-US"/>
              </w:rPr>
              <w:t>M (iv)</w:t>
            </w:r>
          </w:p>
        </w:tc>
        <w:tc>
          <w:tcPr>
            <w:tcW w:w="3378" w:type="dxa"/>
          </w:tcPr>
          <w:p w14:paraId="3D6038FC" w14:textId="77777777" w:rsidR="00E60842" w:rsidRPr="00957A19" w:rsidRDefault="00E60842" w:rsidP="007E5022">
            <w:pPr>
              <w:spacing w:after="60"/>
              <w:rPr>
                <w:szCs w:val="21"/>
              </w:rPr>
            </w:pPr>
            <w:r w:rsidRPr="00957A19">
              <w:rPr>
                <w:szCs w:val="21"/>
              </w:rPr>
              <w:t xml:space="preserve">To what extent is Fund management cost-effective?  </w:t>
            </w:r>
          </w:p>
          <w:p w14:paraId="2F76E67A" w14:textId="77777777" w:rsidR="00E60842" w:rsidRPr="00957A19" w:rsidRDefault="00E60842" w:rsidP="007E5022">
            <w:pPr>
              <w:spacing w:after="0"/>
              <w:rPr>
                <w:szCs w:val="21"/>
                <w:lang w:eastAsia="en-US"/>
              </w:rPr>
            </w:pPr>
          </w:p>
        </w:tc>
        <w:tc>
          <w:tcPr>
            <w:tcW w:w="2458" w:type="dxa"/>
          </w:tcPr>
          <w:p w14:paraId="7F74A25E" w14:textId="77777777" w:rsidR="00E60842" w:rsidRPr="00957A19" w:rsidRDefault="00E60842" w:rsidP="007E5022">
            <w:pPr>
              <w:spacing w:after="0"/>
              <w:rPr>
                <w:szCs w:val="21"/>
                <w:lang w:eastAsia="en-US"/>
              </w:rPr>
            </w:pPr>
            <w:r w:rsidRPr="00957A19">
              <w:rPr>
                <w:szCs w:val="21"/>
                <w:lang w:eastAsia="en-US"/>
              </w:rPr>
              <w:t>DFAT WSH – to inform design of the next phase</w:t>
            </w:r>
          </w:p>
        </w:tc>
        <w:tc>
          <w:tcPr>
            <w:tcW w:w="4459" w:type="dxa"/>
          </w:tcPr>
          <w:p w14:paraId="3885FE5D" w14:textId="77777777" w:rsidR="00E60842" w:rsidRPr="00957A19" w:rsidRDefault="00E60842" w:rsidP="007E5022">
            <w:pPr>
              <w:spacing w:after="0"/>
              <w:rPr>
                <w:szCs w:val="21"/>
                <w:lang w:eastAsia="en-US"/>
              </w:rPr>
            </w:pPr>
            <w:r w:rsidRPr="00957A19">
              <w:rPr>
                <w:szCs w:val="21"/>
                <w:lang w:eastAsia="en-US"/>
              </w:rPr>
              <w:t>FTE and contract costs for the Fund, ANCP and AACES</w:t>
            </w:r>
          </w:p>
          <w:p w14:paraId="077C0656" w14:textId="77777777" w:rsidR="00E60842" w:rsidRPr="00957A19" w:rsidRDefault="00E60842" w:rsidP="007E5022">
            <w:pPr>
              <w:spacing w:after="0"/>
              <w:rPr>
                <w:szCs w:val="21"/>
                <w:lang w:eastAsia="en-US"/>
              </w:rPr>
            </w:pPr>
          </w:p>
          <w:p w14:paraId="3C0BCED5" w14:textId="77777777" w:rsidR="00E60842" w:rsidRPr="00957A19" w:rsidRDefault="00E60842" w:rsidP="007E5022">
            <w:pPr>
              <w:spacing w:after="0"/>
              <w:rPr>
                <w:szCs w:val="21"/>
                <w:lang w:eastAsia="en-US"/>
              </w:rPr>
            </w:pPr>
            <w:r w:rsidRPr="00957A19">
              <w:rPr>
                <w:szCs w:val="21"/>
                <w:lang w:eastAsia="en-US"/>
              </w:rPr>
              <w:t>ODE’s ANCP evaluation (2015)</w:t>
            </w:r>
          </w:p>
          <w:p w14:paraId="2C0AA70F" w14:textId="77777777" w:rsidR="00E60842" w:rsidRPr="00957A19" w:rsidRDefault="00E60842" w:rsidP="007E5022">
            <w:pPr>
              <w:spacing w:after="0"/>
              <w:rPr>
                <w:szCs w:val="21"/>
                <w:lang w:eastAsia="en-US"/>
              </w:rPr>
            </w:pPr>
          </w:p>
          <w:p w14:paraId="2FB7B095" w14:textId="77777777" w:rsidR="00E60842" w:rsidRPr="00957A19" w:rsidRDefault="00E60842" w:rsidP="007E5022">
            <w:pPr>
              <w:spacing w:after="0"/>
              <w:rPr>
                <w:szCs w:val="21"/>
                <w:lang w:eastAsia="en-US"/>
              </w:rPr>
            </w:pPr>
            <w:r w:rsidRPr="00957A19">
              <w:rPr>
                <w:szCs w:val="21"/>
                <w:lang w:eastAsia="en-US"/>
              </w:rPr>
              <w:t>Final evaluation of AACES program (2016)</w:t>
            </w:r>
          </w:p>
          <w:p w14:paraId="34FE1E91" w14:textId="77777777" w:rsidR="00E60842" w:rsidRPr="00957A19" w:rsidRDefault="00E60842" w:rsidP="007E5022">
            <w:pPr>
              <w:spacing w:after="0"/>
              <w:rPr>
                <w:szCs w:val="21"/>
                <w:lang w:eastAsia="en-US"/>
              </w:rPr>
            </w:pPr>
          </w:p>
          <w:p w14:paraId="13E783BC" w14:textId="77777777" w:rsidR="00E60842" w:rsidRPr="00957A19" w:rsidRDefault="00E60842" w:rsidP="007E5022">
            <w:pPr>
              <w:spacing w:after="0"/>
              <w:rPr>
                <w:szCs w:val="21"/>
                <w:lang w:eastAsia="en-US"/>
              </w:rPr>
            </w:pPr>
          </w:p>
        </w:tc>
        <w:tc>
          <w:tcPr>
            <w:tcW w:w="3304" w:type="dxa"/>
          </w:tcPr>
          <w:p w14:paraId="33B57BB8" w14:textId="77777777" w:rsidR="00E60842" w:rsidRPr="00957A19" w:rsidRDefault="00E60842" w:rsidP="007E5022">
            <w:pPr>
              <w:spacing w:after="0"/>
              <w:rPr>
                <w:szCs w:val="21"/>
                <w:lang w:eastAsia="en-US"/>
              </w:rPr>
            </w:pPr>
            <w:r w:rsidRPr="00957A19">
              <w:rPr>
                <w:szCs w:val="21"/>
                <w:lang w:eastAsia="en-US"/>
              </w:rPr>
              <w:t>Comparison of Fund, ANCP and AACES management costs to determine if Fund costs are low, moderate or high</w:t>
            </w:r>
          </w:p>
          <w:p w14:paraId="54581311" w14:textId="77777777" w:rsidR="00E60842" w:rsidRPr="00957A19" w:rsidRDefault="00E60842" w:rsidP="007E5022">
            <w:pPr>
              <w:spacing w:after="0"/>
              <w:rPr>
                <w:szCs w:val="21"/>
                <w:lang w:eastAsia="en-US"/>
              </w:rPr>
            </w:pPr>
          </w:p>
          <w:p w14:paraId="51E0491E" w14:textId="77777777" w:rsidR="00E60842" w:rsidRPr="00957A19" w:rsidRDefault="00E60842" w:rsidP="007E5022">
            <w:pPr>
              <w:spacing w:after="0"/>
              <w:rPr>
                <w:szCs w:val="21"/>
                <w:lang w:eastAsia="en-US"/>
              </w:rPr>
            </w:pPr>
            <w:r w:rsidRPr="00957A19">
              <w:rPr>
                <w:szCs w:val="21"/>
                <w:lang w:eastAsia="en-US"/>
              </w:rPr>
              <w:t>Comparison of Fund, ANCP and AACES management effectiveness to determine if Fund management effectiveness is low, moderate or high</w:t>
            </w:r>
          </w:p>
          <w:p w14:paraId="2461EADA" w14:textId="77777777" w:rsidR="00E60842" w:rsidRPr="00957A19" w:rsidRDefault="00E60842" w:rsidP="007E5022">
            <w:pPr>
              <w:spacing w:after="0"/>
              <w:rPr>
                <w:szCs w:val="21"/>
                <w:lang w:eastAsia="en-US"/>
              </w:rPr>
            </w:pPr>
          </w:p>
          <w:p w14:paraId="5B7B76B3" w14:textId="77777777" w:rsidR="00E60842" w:rsidRPr="00957A19" w:rsidRDefault="00E60842" w:rsidP="007E5022">
            <w:pPr>
              <w:spacing w:after="0"/>
              <w:rPr>
                <w:szCs w:val="21"/>
                <w:lang w:eastAsia="en-US"/>
              </w:rPr>
            </w:pPr>
            <w:r w:rsidRPr="00957A19">
              <w:rPr>
                <w:szCs w:val="21"/>
                <w:lang w:eastAsia="en-US"/>
              </w:rPr>
              <w:t xml:space="preserve">Mapping Fund ratings against the cost-effectiveness matrix </w:t>
            </w:r>
          </w:p>
        </w:tc>
        <w:tc>
          <w:tcPr>
            <w:tcW w:w="1393" w:type="dxa"/>
          </w:tcPr>
          <w:p w14:paraId="2A859223" w14:textId="77777777" w:rsidR="00E60842" w:rsidRPr="00957A19" w:rsidRDefault="00E60842" w:rsidP="007E5022">
            <w:pPr>
              <w:spacing w:after="0"/>
              <w:rPr>
                <w:szCs w:val="21"/>
                <w:lang w:eastAsia="en-US"/>
              </w:rPr>
            </w:pPr>
            <w:r w:rsidRPr="00957A19">
              <w:rPr>
                <w:szCs w:val="21"/>
                <w:lang w:eastAsia="en-US"/>
              </w:rPr>
              <w:t>Cost-effectiveness matrix</w:t>
            </w:r>
          </w:p>
        </w:tc>
      </w:tr>
      <w:tr w:rsidR="00E60842" w:rsidRPr="00957A19" w14:paraId="2CA10103" w14:textId="77777777" w:rsidTr="007E5022">
        <w:tc>
          <w:tcPr>
            <w:tcW w:w="622" w:type="dxa"/>
          </w:tcPr>
          <w:p w14:paraId="0A849A94" w14:textId="77777777" w:rsidR="00E60842" w:rsidRPr="00957A19" w:rsidRDefault="00E60842" w:rsidP="007E5022">
            <w:pPr>
              <w:spacing w:after="0"/>
              <w:rPr>
                <w:szCs w:val="21"/>
                <w:lang w:eastAsia="en-US"/>
              </w:rPr>
            </w:pPr>
            <w:r w:rsidRPr="00957A19">
              <w:rPr>
                <w:szCs w:val="21"/>
                <w:lang w:eastAsia="en-US"/>
              </w:rPr>
              <w:t>M (v)</w:t>
            </w:r>
          </w:p>
        </w:tc>
        <w:tc>
          <w:tcPr>
            <w:tcW w:w="3378" w:type="dxa"/>
          </w:tcPr>
          <w:p w14:paraId="1C2AC59B" w14:textId="77777777" w:rsidR="00E60842" w:rsidRPr="00957A19" w:rsidRDefault="00E60842" w:rsidP="007E5022">
            <w:pPr>
              <w:spacing w:after="0"/>
              <w:rPr>
                <w:szCs w:val="21"/>
                <w:lang w:eastAsia="en-US"/>
              </w:rPr>
            </w:pPr>
            <w:r>
              <w:rPr>
                <w:szCs w:val="21"/>
                <w:lang w:eastAsia="en-US"/>
              </w:rPr>
              <w:t>To what extent d</w:t>
            </w:r>
            <w:r w:rsidRPr="00957A19">
              <w:rPr>
                <w:szCs w:val="21"/>
                <w:lang w:eastAsia="en-US"/>
              </w:rPr>
              <w:t>o the Fund’s management arrangements give due regard to advancing equity and inclusiveness, particularly in relation to gender and disability?</w:t>
            </w:r>
          </w:p>
        </w:tc>
        <w:tc>
          <w:tcPr>
            <w:tcW w:w="2458" w:type="dxa"/>
          </w:tcPr>
          <w:p w14:paraId="2FEB9ABC" w14:textId="77777777" w:rsidR="00E60842" w:rsidRPr="00957A19" w:rsidRDefault="00E60842" w:rsidP="007E5022">
            <w:pPr>
              <w:spacing w:after="0"/>
              <w:rPr>
                <w:szCs w:val="21"/>
                <w:lang w:eastAsia="en-US"/>
              </w:rPr>
            </w:pPr>
            <w:r w:rsidRPr="00957A19">
              <w:rPr>
                <w:szCs w:val="21"/>
                <w:lang w:eastAsia="en-US"/>
              </w:rPr>
              <w:t>DFAT WSH, FMF, MERP and CSOs – to inform the remainder of the Fund</w:t>
            </w:r>
          </w:p>
          <w:p w14:paraId="7C9BE673" w14:textId="77777777" w:rsidR="00E60842" w:rsidRPr="00957A19" w:rsidRDefault="00E60842" w:rsidP="007E5022">
            <w:pPr>
              <w:spacing w:after="0"/>
              <w:rPr>
                <w:szCs w:val="21"/>
                <w:lang w:eastAsia="en-US"/>
              </w:rPr>
            </w:pPr>
          </w:p>
          <w:p w14:paraId="03E4C6E9" w14:textId="77777777" w:rsidR="00E60842" w:rsidRPr="00957A19" w:rsidRDefault="00E60842" w:rsidP="007E5022">
            <w:pPr>
              <w:spacing w:after="0"/>
              <w:rPr>
                <w:szCs w:val="21"/>
                <w:lang w:eastAsia="en-US"/>
              </w:rPr>
            </w:pPr>
            <w:r w:rsidRPr="00957A19">
              <w:rPr>
                <w:szCs w:val="21"/>
                <w:lang w:eastAsia="en-US"/>
              </w:rPr>
              <w:t>DFAT WSH – to inform design of the next phase</w:t>
            </w:r>
          </w:p>
          <w:p w14:paraId="7AAF994E" w14:textId="77777777" w:rsidR="00E60842" w:rsidRPr="00957A19" w:rsidRDefault="00E60842" w:rsidP="007E5022">
            <w:pPr>
              <w:spacing w:after="0"/>
              <w:rPr>
                <w:szCs w:val="21"/>
                <w:lang w:eastAsia="en-US"/>
              </w:rPr>
            </w:pPr>
          </w:p>
          <w:p w14:paraId="3D993C2C" w14:textId="77777777" w:rsidR="00E60842" w:rsidRPr="00957A19" w:rsidRDefault="00E60842" w:rsidP="007E5022">
            <w:pPr>
              <w:spacing w:after="0"/>
              <w:rPr>
                <w:szCs w:val="21"/>
                <w:lang w:eastAsia="en-US"/>
              </w:rPr>
            </w:pPr>
          </w:p>
        </w:tc>
        <w:tc>
          <w:tcPr>
            <w:tcW w:w="4459" w:type="dxa"/>
          </w:tcPr>
          <w:p w14:paraId="3AA6411F" w14:textId="77777777" w:rsidR="00E60842" w:rsidRPr="00957A19" w:rsidRDefault="00E60842" w:rsidP="007E5022">
            <w:pPr>
              <w:spacing w:after="0"/>
              <w:rPr>
                <w:szCs w:val="21"/>
                <w:lang w:eastAsia="en-US"/>
              </w:rPr>
            </w:pPr>
            <w:r w:rsidRPr="00957A19">
              <w:rPr>
                <w:szCs w:val="21"/>
                <w:lang w:eastAsia="en-US"/>
              </w:rPr>
              <w:t>Document review, particularly Fund PAF, regular reporting from the FMF and CSOs,</w:t>
            </w:r>
            <w:r>
              <w:rPr>
                <w:szCs w:val="21"/>
                <w:lang w:eastAsia="en-US"/>
              </w:rPr>
              <w:t xml:space="preserve"> </w:t>
            </w:r>
            <w:r w:rsidRPr="00957A19">
              <w:rPr>
                <w:szCs w:val="21"/>
                <w:lang w:eastAsia="en-US"/>
              </w:rPr>
              <w:t>AQCs</w:t>
            </w:r>
            <w:r>
              <w:rPr>
                <w:szCs w:val="21"/>
                <w:lang w:eastAsia="en-US"/>
              </w:rPr>
              <w:t xml:space="preserve"> and website documents</w:t>
            </w:r>
          </w:p>
          <w:p w14:paraId="171D13A3" w14:textId="77777777" w:rsidR="00E60842" w:rsidRPr="00957A19" w:rsidRDefault="00E60842" w:rsidP="007E5022">
            <w:pPr>
              <w:spacing w:after="0"/>
              <w:rPr>
                <w:szCs w:val="21"/>
                <w:lang w:eastAsia="en-US"/>
              </w:rPr>
            </w:pPr>
          </w:p>
          <w:p w14:paraId="518711BB" w14:textId="77777777" w:rsidR="00E60842" w:rsidRDefault="00E60842" w:rsidP="007E5022">
            <w:pPr>
              <w:spacing w:after="0"/>
              <w:rPr>
                <w:szCs w:val="21"/>
                <w:lang w:eastAsia="en-US"/>
              </w:rPr>
            </w:pPr>
            <w:r w:rsidRPr="00957A19">
              <w:rPr>
                <w:szCs w:val="21"/>
                <w:lang w:eastAsia="en-US"/>
              </w:rPr>
              <w:t>Online survey of CSO project managers</w:t>
            </w:r>
          </w:p>
          <w:p w14:paraId="45C011A5" w14:textId="77777777" w:rsidR="00E60842" w:rsidRDefault="00E60842" w:rsidP="007E5022">
            <w:pPr>
              <w:spacing w:after="0"/>
              <w:rPr>
                <w:szCs w:val="21"/>
                <w:lang w:eastAsia="en-US"/>
              </w:rPr>
            </w:pPr>
          </w:p>
          <w:p w14:paraId="7471B131" w14:textId="77777777" w:rsidR="00E60842" w:rsidRPr="00957A19" w:rsidRDefault="00E60842" w:rsidP="007E5022">
            <w:pPr>
              <w:spacing w:after="0"/>
              <w:rPr>
                <w:szCs w:val="21"/>
                <w:lang w:eastAsia="en-US"/>
              </w:rPr>
            </w:pPr>
          </w:p>
        </w:tc>
        <w:tc>
          <w:tcPr>
            <w:tcW w:w="3304" w:type="dxa"/>
          </w:tcPr>
          <w:p w14:paraId="48A7A53A" w14:textId="77777777" w:rsidR="00E60842" w:rsidRPr="00957A19" w:rsidRDefault="00E60842" w:rsidP="007E5022">
            <w:pPr>
              <w:spacing w:after="0"/>
              <w:rPr>
                <w:szCs w:val="21"/>
                <w:lang w:eastAsia="en-US"/>
              </w:rPr>
            </w:pPr>
            <w:r w:rsidRPr="00957A19">
              <w:rPr>
                <w:szCs w:val="21"/>
                <w:lang w:eastAsia="en-US"/>
              </w:rPr>
              <w:t>Qualitative analysis to the strengths and weaknesses of the current approaches and possible improvements for the next phase</w:t>
            </w:r>
          </w:p>
          <w:p w14:paraId="627A88CC" w14:textId="77777777" w:rsidR="00E60842" w:rsidRPr="00957A19" w:rsidRDefault="00E60842" w:rsidP="007E5022">
            <w:pPr>
              <w:spacing w:after="0"/>
              <w:rPr>
                <w:szCs w:val="21"/>
                <w:lang w:eastAsia="en-US"/>
              </w:rPr>
            </w:pPr>
          </w:p>
        </w:tc>
        <w:tc>
          <w:tcPr>
            <w:tcW w:w="1393" w:type="dxa"/>
          </w:tcPr>
          <w:p w14:paraId="11DED513" w14:textId="77777777" w:rsidR="00E60842" w:rsidRPr="00957A19" w:rsidRDefault="00E60842" w:rsidP="007E5022">
            <w:pPr>
              <w:spacing w:after="0"/>
              <w:rPr>
                <w:szCs w:val="21"/>
                <w:lang w:eastAsia="en-US"/>
              </w:rPr>
            </w:pPr>
            <w:r w:rsidRPr="00957A19">
              <w:rPr>
                <w:szCs w:val="21"/>
                <w:lang w:eastAsia="en-US"/>
              </w:rPr>
              <w:t>Survey</w:t>
            </w:r>
          </w:p>
        </w:tc>
      </w:tr>
      <w:tr w:rsidR="00E60842" w:rsidRPr="00957A19" w14:paraId="0C748C92" w14:textId="77777777" w:rsidTr="007E5022">
        <w:tc>
          <w:tcPr>
            <w:tcW w:w="622" w:type="dxa"/>
          </w:tcPr>
          <w:p w14:paraId="37B09207" w14:textId="77777777" w:rsidR="00E60842" w:rsidRPr="00957A19" w:rsidRDefault="00E60842" w:rsidP="007E5022">
            <w:pPr>
              <w:keepNext/>
              <w:spacing w:after="0"/>
              <w:rPr>
                <w:szCs w:val="21"/>
                <w:lang w:eastAsia="en-US"/>
              </w:rPr>
            </w:pPr>
            <w:r w:rsidRPr="00957A19">
              <w:rPr>
                <w:szCs w:val="21"/>
                <w:lang w:eastAsia="en-US"/>
              </w:rPr>
              <w:t>S</w:t>
            </w:r>
          </w:p>
        </w:tc>
        <w:tc>
          <w:tcPr>
            <w:tcW w:w="14992" w:type="dxa"/>
            <w:gridSpan w:val="5"/>
          </w:tcPr>
          <w:p w14:paraId="0BDEEA64" w14:textId="77777777" w:rsidR="00E60842" w:rsidRPr="00957A19" w:rsidRDefault="00E60842" w:rsidP="007E5022">
            <w:pPr>
              <w:keepNext/>
              <w:rPr>
                <w:rFonts w:ascii="Calibri" w:hAnsi="Calibri"/>
                <w:szCs w:val="21"/>
                <w:lang w:eastAsia="en-US"/>
              </w:rPr>
            </w:pPr>
            <w:r w:rsidRPr="00957A19">
              <w:rPr>
                <w:rFonts w:ascii="Calibri" w:hAnsi="Calibri"/>
                <w:i/>
                <w:szCs w:val="21"/>
                <w:lang w:eastAsia="en-US"/>
              </w:rPr>
              <w:t>To what extent did the two-part CSO selection process enable selection of the most effectiv</w:t>
            </w:r>
            <w:r>
              <w:rPr>
                <w:rFonts w:ascii="Calibri" w:hAnsi="Calibri"/>
                <w:i/>
                <w:szCs w:val="21"/>
                <w:lang w:eastAsia="en-US"/>
              </w:rPr>
              <w:t>e NGOs to deliver WASH project</w:t>
            </w:r>
            <w:r w:rsidRPr="00957A19">
              <w:rPr>
                <w:rFonts w:ascii="Calibri" w:hAnsi="Calibri"/>
                <w:i/>
                <w:szCs w:val="21"/>
                <w:lang w:eastAsia="en-US"/>
              </w:rPr>
              <w:t>?</w:t>
            </w:r>
          </w:p>
          <w:p w14:paraId="01D2BBA0" w14:textId="77777777" w:rsidR="00E60842" w:rsidRPr="00957A19" w:rsidRDefault="00E60842" w:rsidP="007E5022">
            <w:pPr>
              <w:keepNext/>
              <w:spacing w:after="0"/>
              <w:rPr>
                <w:szCs w:val="21"/>
                <w:lang w:eastAsia="en-US"/>
              </w:rPr>
            </w:pPr>
          </w:p>
        </w:tc>
      </w:tr>
      <w:tr w:rsidR="00E60842" w:rsidRPr="00957A19" w14:paraId="6A34C1C0" w14:textId="77777777" w:rsidTr="007E5022">
        <w:tc>
          <w:tcPr>
            <w:tcW w:w="622" w:type="dxa"/>
          </w:tcPr>
          <w:p w14:paraId="6E416D4B" w14:textId="77777777" w:rsidR="00E60842" w:rsidRPr="00957A19" w:rsidRDefault="00E60842" w:rsidP="007E5022">
            <w:pPr>
              <w:keepNext/>
              <w:spacing w:after="0"/>
              <w:rPr>
                <w:szCs w:val="21"/>
                <w:lang w:eastAsia="en-US"/>
              </w:rPr>
            </w:pPr>
            <w:r w:rsidRPr="00957A19">
              <w:rPr>
                <w:szCs w:val="21"/>
                <w:lang w:eastAsia="en-US"/>
              </w:rPr>
              <w:t>S (i)</w:t>
            </w:r>
          </w:p>
        </w:tc>
        <w:tc>
          <w:tcPr>
            <w:tcW w:w="3378" w:type="dxa"/>
          </w:tcPr>
          <w:p w14:paraId="5F0AC62E" w14:textId="77777777" w:rsidR="00E60842" w:rsidRPr="00957A19" w:rsidRDefault="00E60842" w:rsidP="007E5022">
            <w:pPr>
              <w:keepNext/>
              <w:spacing w:after="0"/>
              <w:rPr>
                <w:szCs w:val="21"/>
                <w:lang w:eastAsia="en-US"/>
              </w:rPr>
            </w:pPr>
            <w:r w:rsidRPr="00957A19">
              <w:rPr>
                <w:szCs w:val="21"/>
                <w:lang w:eastAsia="en-US"/>
              </w:rPr>
              <w:t>To what extent was CSO selection, (including the inception phase) consistent with the design’s guidance and intent?</w:t>
            </w:r>
          </w:p>
          <w:p w14:paraId="3B61ABA7" w14:textId="77777777" w:rsidR="00E60842" w:rsidRPr="00957A19" w:rsidRDefault="00E60842" w:rsidP="007E5022">
            <w:pPr>
              <w:keepNext/>
              <w:spacing w:after="0"/>
              <w:rPr>
                <w:szCs w:val="21"/>
                <w:lang w:eastAsia="en-US"/>
              </w:rPr>
            </w:pPr>
          </w:p>
        </w:tc>
        <w:tc>
          <w:tcPr>
            <w:tcW w:w="2458" w:type="dxa"/>
          </w:tcPr>
          <w:p w14:paraId="2D02F073" w14:textId="77777777" w:rsidR="00E60842" w:rsidRPr="00957A19" w:rsidRDefault="00E60842" w:rsidP="007E5022">
            <w:pPr>
              <w:keepNext/>
              <w:spacing w:after="0"/>
              <w:rPr>
                <w:szCs w:val="21"/>
                <w:lang w:eastAsia="en-US"/>
              </w:rPr>
            </w:pPr>
            <w:r w:rsidRPr="00957A19">
              <w:rPr>
                <w:szCs w:val="21"/>
                <w:lang w:eastAsia="en-US"/>
              </w:rPr>
              <w:t>DFAT WSH – to inform design of the next phase</w:t>
            </w:r>
          </w:p>
          <w:p w14:paraId="64CF29E4" w14:textId="77777777" w:rsidR="00E60842" w:rsidRPr="00957A19" w:rsidRDefault="00E60842" w:rsidP="007E5022">
            <w:pPr>
              <w:keepNext/>
              <w:spacing w:after="0"/>
              <w:rPr>
                <w:szCs w:val="21"/>
                <w:lang w:eastAsia="en-US"/>
              </w:rPr>
            </w:pPr>
          </w:p>
        </w:tc>
        <w:tc>
          <w:tcPr>
            <w:tcW w:w="4459" w:type="dxa"/>
          </w:tcPr>
          <w:p w14:paraId="7A86FFEB" w14:textId="77777777" w:rsidR="00E60842" w:rsidRPr="00957A19" w:rsidRDefault="00E60842" w:rsidP="007E5022">
            <w:pPr>
              <w:keepNext/>
              <w:spacing w:after="0"/>
              <w:rPr>
                <w:szCs w:val="21"/>
                <w:lang w:eastAsia="en-US"/>
              </w:rPr>
            </w:pPr>
            <w:r w:rsidRPr="00957A19">
              <w:rPr>
                <w:szCs w:val="21"/>
                <w:lang w:eastAsia="en-US"/>
              </w:rPr>
              <w:t>Document review, particularly of design documents, to establish the intent of the design</w:t>
            </w:r>
          </w:p>
          <w:p w14:paraId="2814D063" w14:textId="77777777" w:rsidR="00E60842" w:rsidRPr="00957A19" w:rsidRDefault="00E60842" w:rsidP="007E5022">
            <w:pPr>
              <w:keepNext/>
              <w:spacing w:after="0"/>
              <w:rPr>
                <w:szCs w:val="21"/>
                <w:lang w:eastAsia="en-US"/>
              </w:rPr>
            </w:pPr>
          </w:p>
          <w:p w14:paraId="418B1CBD" w14:textId="77777777" w:rsidR="00E60842" w:rsidRPr="00957A19" w:rsidRDefault="00E60842" w:rsidP="007E5022">
            <w:pPr>
              <w:keepNext/>
              <w:spacing w:after="0"/>
              <w:rPr>
                <w:szCs w:val="21"/>
                <w:lang w:eastAsia="en-US"/>
              </w:rPr>
            </w:pPr>
          </w:p>
          <w:p w14:paraId="10DA5009" w14:textId="77777777" w:rsidR="00E60842" w:rsidRDefault="00E60842" w:rsidP="007E5022">
            <w:pPr>
              <w:keepNext/>
              <w:spacing w:after="0"/>
              <w:rPr>
                <w:szCs w:val="21"/>
                <w:lang w:eastAsia="en-US"/>
              </w:rPr>
            </w:pPr>
            <w:r w:rsidRPr="00957A19">
              <w:rPr>
                <w:szCs w:val="21"/>
                <w:lang w:eastAsia="en-US"/>
              </w:rPr>
              <w:t>Key informant interviews with selection panel members (where available)</w:t>
            </w:r>
            <w:r>
              <w:rPr>
                <w:szCs w:val="21"/>
                <w:lang w:eastAsia="en-US"/>
              </w:rPr>
              <w:t xml:space="preserve">, </w:t>
            </w:r>
            <w:r w:rsidRPr="00957A19">
              <w:rPr>
                <w:szCs w:val="21"/>
                <w:lang w:eastAsia="en-US"/>
              </w:rPr>
              <w:t xml:space="preserve">WSH, MERP, </w:t>
            </w:r>
            <w:r>
              <w:rPr>
                <w:szCs w:val="21"/>
                <w:lang w:eastAsia="en-US"/>
              </w:rPr>
              <w:t xml:space="preserve">Fund Management Facility, and program managers of funded CSOs </w:t>
            </w:r>
          </w:p>
          <w:p w14:paraId="223D26CA" w14:textId="77777777" w:rsidR="00E60842" w:rsidRDefault="00E60842" w:rsidP="007E5022">
            <w:pPr>
              <w:keepNext/>
              <w:spacing w:after="0"/>
              <w:rPr>
                <w:szCs w:val="21"/>
                <w:lang w:eastAsia="en-US"/>
              </w:rPr>
            </w:pPr>
          </w:p>
          <w:p w14:paraId="1F05CBBB" w14:textId="77777777" w:rsidR="00E60842" w:rsidRPr="00957A19" w:rsidRDefault="00E60842" w:rsidP="007E5022">
            <w:pPr>
              <w:keepNext/>
              <w:spacing w:after="0"/>
              <w:rPr>
                <w:szCs w:val="21"/>
                <w:lang w:eastAsia="en-US"/>
              </w:rPr>
            </w:pPr>
            <w:r>
              <w:rPr>
                <w:szCs w:val="21"/>
                <w:lang w:eastAsia="en-US"/>
              </w:rPr>
              <w:t>Online survey of unsuccessful CSOs</w:t>
            </w:r>
          </w:p>
          <w:p w14:paraId="3C658F30" w14:textId="77777777" w:rsidR="00E60842" w:rsidRPr="00957A19" w:rsidRDefault="00E60842" w:rsidP="007E5022">
            <w:pPr>
              <w:keepNext/>
              <w:spacing w:after="0"/>
              <w:rPr>
                <w:szCs w:val="21"/>
                <w:lang w:eastAsia="en-US"/>
              </w:rPr>
            </w:pPr>
          </w:p>
          <w:p w14:paraId="1F32FE81" w14:textId="77777777" w:rsidR="00E60842" w:rsidRPr="00957A19" w:rsidRDefault="00E60842" w:rsidP="007E5022">
            <w:pPr>
              <w:keepNext/>
              <w:spacing w:after="0"/>
              <w:rPr>
                <w:szCs w:val="21"/>
                <w:lang w:eastAsia="en-US"/>
              </w:rPr>
            </w:pPr>
            <w:r w:rsidRPr="00957A19">
              <w:rPr>
                <w:szCs w:val="21"/>
                <w:lang w:eastAsia="en-US"/>
              </w:rPr>
              <w:br/>
            </w:r>
          </w:p>
        </w:tc>
        <w:tc>
          <w:tcPr>
            <w:tcW w:w="3304" w:type="dxa"/>
          </w:tcPr>
          <w:p w14:paraId="025A5B15" w14:textId="77777777" w:rsidR="00E60842" w:rsidRPr="00957A19" w:rsidRDefault="00E60842" w:rsidP="007E5022">
            <w:pPr>
              <w:keepNext/>
              <w:spacing w:after="0"/>
              <w:rPr>
                <w:szCs w:val="21"/>
                <w:lang w:eastAsia="en-US"/>
              </w:rPr>
            </w:pPr>
            <w:r>
              <w:rPr>
                <w:szCs w:val="21"/>
                <w:lang w:eastAsia="en-US"/>
              </w:rPr>
              <w:t>Qualitative c</w:t>
            </w:r>
            <w:r w:rsidRPr="00957A19">
              <w:rPr>
                <w:szCs w:val="21"/>
                <w:lang w:eastAsia="en-US"/>
              </w:rPr>
              <w:t>ompar</w:t>
            </w:r>
            <w:r>
              <w:rPr>
                <w:szCs w:val="21"/>
                <w:lang w:eastAsia="en-US"/>
              </w:rPr>
              <w:t>ison</w:t>
            </w:r>
            <w:r w:rsidRPr="00957A19">
              <w:rPr>
                <w:szCs w:val="21"/>
                <w:lang w:eastAsia="en-US"/>
              </w:rPr>
              <w:t xml:space="preserve"> to analyse extent to which intended outcomes regarding CSO selection (noted in Design guidance and intent) and CSO selection process as implemented are consistent</w:t>
            </w:r>
          </w:p>
        </w:tc>
        <w:tc>
          <w:tcPr>
            <w:tcW w:w="1393" w:type="dxa"/>
          </w:tcPr>
          <w:p w14:paraId="5F64DB4A" w14:textId="77777777" w:rsidR="00E60842" w:rsidRPr="00957A19" w:rsidRDefault="00E60842" w:rsidP="007E5022">
            <w:pPr>
              <w:keepNext/>
              <w:spacing w:after="0"/>
              <w:rPr>
                <w:szCs w:val="21"/>
                <w:lang w:eastAsia="en-US"/>
              </w:rPr>
            </w:pPr>
            <w:r w:rsidRPr="00957A19">
              <w:rPr>
                <w:szCs w:val="21"/>
                <w:lang w:eastAsia="en-US"/>
              </w:rPr>
              <w:t>Interview guides</w:t>
            </w:r>
          </w:p>
          <w:p w14:paraId="3B3D9B99" w14:textId="77777777" w:rsidR="00E60842" w:rsidRPr="00957A19" w:rsidRDefault="00E60842" w:rsidP="007E5022">
            <w:pPr>
              <w:keepNext/>
              <w:spacing w:after="0"/>
              <w:rPr>
                <w:szCs w:val="21"/>
                <w:lang w:eastAsia="en-US"/>
              </w:rPr>
            </w:pPr>
          </w:p>
          <w:p w14:paraId="458714C6" w14:textId="77777777" w:rsidR="00E60842" w:rsidRPr="00957A19" w:rsidRDefault="00E60842" w:rsidP="007E5022">
            <w:pPr>
              <w:keepNext/>
              <w:spacing w:after="0"/>
              <w:rPr>
                <w:szCs w:val="21"/>
                <w:lang w:eastAsia="en-US"/>
              </w:rPr>
            </w:pPr>
            <w:r w:rsidRPr="00957A19">
              <w:rPr>
                <w:szCs w:val="21"/>
                <w:lang w:eastAsia="en-US"/>
              </w:rPr>
              <w:t>Survey of CSOs</w:t>
            </w:r>
          </w:p>
        </w:tc>
      </w:tr>
      <w:tr w:rsidR="00E60842" w:rsidRPr="00957A19" w14:paraId="07971862" w14:textId="77777777" w:rsidTr="007E5022">
        <w:tc>
          <w:tcPr>
            <w:tcW w:w="622" w:type="dxa"/>
          </w:tcPr>
          <w:p w14:paraId="04F9CA14" w14:textId="77777777" w:rsidR="00E60842" w:rsidRPr="00957A19" w:rsidRDefault="00E60842" w:rsidP="007E5022">
            <w:pPr>
              <w:spacing w:after="0"/>
              <w:rPr>
                <w:szCs w:val="21"/>
                <w:lang w:eastAsia="en-US"/>
              </w:rPr>
            </w:pPr>
            <w:r w:rsidRPr="00957A19">
              <w:rPr>
                <w:szCs w:val="21"/>
                <w:lang w:eastAsia="en-US"/>
              </w:rPr>
              <w:t>S (ii)</w:t>
            </w:r>
          </w:p>
        </w:tc>
        <w:tc>
          <w:tcPr>
            <w:tcW w:w="3378" w:type="dxa"/>
          </w:tcPr>
          <w:p w14:paraId="7DCA273F" w14:textId="77777777" w:rsidR="00E60842" w:rsidRPr="00957A19" w:rsidRDefault="00E60842" w:rsidP="007E5022">
            <w:pPr>
              <w:spacing w:after="0"/>
              <w:rPr>
                <w:szCs w:val="21"/>
                <w:lang w:eastAsia="en-US"/>
              </w:rPr>
            </w:pPr>
            <w:r>
              <w:rPr>
                <w:szCs w:val="21"/>
                <w:lang w:eastAsia="en-US"/>
              </w:rPr>
              <w:t>To what extent d</w:t>
            </w:r>
            <w:r w:rsidRPr="00957A19">
              <w:rPr>
                <w:szCs w:val="21"/>
                <w:lang w:eastAsia="en-US"/>
              </w:rPr>
              <w:t>id CSO selection give due regard to advancing equity and inclusiveness, particularly in relation to gender and disability?</w:t>
            </w:r>
          </w:p>
          <w:p w14:paraId="4F508EC0" w14:textId="77777777" w:rsidR="00E60842" w:rsidRPr="00957A19" w:rsidRDefault="00E60842" w:rsidP="007E5022">
            <w:pPr>
              <w:spacing w:after="0"/>
              <w:rPr>
                <w:szCs w:val="21"/>
                <w:lang w:eastAsia="en-US"/>
              </w:rPr>
            </w:pPr>
          </w:p>
        </w:tc>
        <w:tc>
          <w:tcPr>
            <w:tcW w:w="2458" w:type="dxa"/>
          </w:tcPr>
          <w:p w14:paraId="6081471F" w14:textId="77777777" w:rsidR="00E60842" w:rsidRPr="00957A19" w:rsidRDefault="00E60842" w:rsidP="007E5022">
            <w:pPr>
              <w:spacing w:after="0"/>
              <w:rPr>
                <w:szCs w:val="21"/>
                <w:lang w:eastAsia="en-US"/>
              </w:rPr>
            </w:pPr>
            <w:r w:rsidRPr="00957A19">
              <w:rPr>
                <w:szCs w:val="21"/>
                <w:lang w:eastAsia="en-US"/>
              </w:rPr>
              <w:t>DFAT WSH – to inform design of the next phase</w:t>
            </w:r>
          </w:p>
          <w:p w14:paraId="5A925544" w14:textId="77777777" w:rsidR="00E60842" w:rsidRPr="00957A19" w:rsidRDefault="00E60842" w:rsidP="007E5022">
            <w:pPr>
              <w:spacing w:after="0"/>
              <w:rPr>
                <w:szCs w:val="21"/>
                <w:lang w:eastAsia="en-US"/>
              </w:rPr>
            </w:pPr>
          </w:p>
        </w:tc>
        <w:tc>
          <w:tcPr>
            <w:tcW w:w="4459" w:type="dxa"/>
          </w:tcPr>
          <w:p w14:paraId="3ADDE5D9" w14:textId="77777777" w:rsidR="00E60842" w:rsidRPr="00957A19" w:rsidRDefault="00E60842" w:rsidP="007E5022">
            <w:pPr>
              <w:spacing w:after="0"/>
              <w:rPr>
                <w:szCs w:val="21"/>
                <w:lang w:eastAsia="en-US"/>
              </w:rPr>
            </w:pPr>
            <w:r w:rsidRPr="00957A19">
              <w:rPr>
                <w:szCs w:val="21"/>
                <w:lang w:eastAsia="en-US"/>
              </w:rPr>
              <w:t>Document review</w:t>
            </w:r>
          </w:p>
          <w:p w14:paraId="6DC78EFF" w14:textId="77777777" w:rsidR="00E60842" w:rsidRPr="00957A19" w:rsidRDefault="00E60842" w:rsidP="007E5022">
            <w:pPr>
              <w:spacing w:after="0"/>
              <w:rPr>
                <w:szCs w:val="21"/>
                <w:lang w:eastAsia="en-US"/>
              </w:rPr>
            </w:pPr>
          </w:p>
          <w:p w14:paraId="1BC5AC53" w14:textId="77777777" w:rsidR="00E60842" w:rsidRPr="00957A19" w:rsidRDefault="00E60842" w:rsidP="007E5022">
            <w:pPr>
              <w:spacing w:after="0"/>
              <w:rPr>
                <w:szCs w:val="21"/>
                <w:lang w:eastAsia="en-US"/>
              </w:rPr>
            </w:pPr>
            <w:r w:rsidRPr="00957A19">
              <w:rPr>
                <w:szCs w:val="21"/>
                <w:lang w:eastAsia="en-US"/>
              </w:rPr>
              <w:t>Key informant interviews with selection panel members (where available)</w:t>
            </w:r>
            <w:r>
              <w:rPr>
                <w:szCs w:val="21"/>
                <w:lang w:eastAsia="en-US"/>
              </w:rPr>
              <w:t>, WSH, MERP, Fund Management Facility, and program managers of funded CSOs.</w:t>
            </w:r>
          </w:p>
          <w:p w14:paraId="09709DFC" w14:textId="77777777" w:rsidR="00E60842" w:rsidRPr="00957A19" w:rsidRDefault="00E60842" w:rsidP="007E5022">
            <w:pPr>
              <w:spacing w:after="0"/>
              <w:rPr>
                <w:szCs w:val="21"/>
                <w:lang w:eastAsia="en-US"/>
              </w:rPr>
            </w:pPr>
          </w:p>
          <w:p w14:paraId="40697801" w14:textId="77777777" w:rsidR="00E60842" w:rsidRPr="00957A19" w:rsidRDefault="00E60842" w:rsidP="007E5022">
            <w:pPr>
              <w:spacing w:after="0"/>
              <w:rPr>
                <w:szCs w:val="21"/>
                <w:lang w:eastAsia="en-US"/>
              </w:rPr>
            </w:pPr>
          </w:p>
        </w:tc>
        <w:tc>
          <w:tcPr>
            <w:tcW w:w="3304" w:type="dxa"/>
          </w:tcPr>
          <w:p w14:paraId="292DA5B1" w14:textId="77777777" w:rsidR="00E60842" w:rsidRPr="00957A19" w:rsidRDefault="00E60842" w:rsidP="007E5022">
            <w:pPr>
              <w:spacing w:after="0"/>
              <w:rPr>
                <w:szCs w:val="21"/>
                <w:lang w:eastAsia="en-US"/>
              </w:rPr>
            </w:pPr>
            <w:r>
              <w:rPr>
                <w:szCs w:val="21"/>
                <w:lang w:eastAsia="en-US"/>
              </w:rPr>
              <w:t>Qualitative analysis</w:t>
            </w:r>
            <w:r w:rsidRPr="00957A19">
              <w:rPr>
                <w:szCs w:val="21"/>
                <w:lang w:eastAsia="en-US"/>
              </w:rPr>
              <w:t xml:space="preserve"> to</w:t>
            </w:r>
            <w:r>
              <w:rPr>
                <w:szCs w:val="21"/>
                <w:lang w:eastAsia="en-US"/>
              </w:rPr>
              <w:t xml:space="preserve"> identify</w:t>
            </w:r>
            <w:r w:rsidRPr="00957A19">
              <w:rPr>
                <w:szCs w:val="21"/>
                <w:lang w:eastAsia="en-US"/>
              </w:rPr>
              <w:t xml:space="preserve"> the strengths and weaknesses of the current approaches and possible improvements for the next phase</w:t>
            </w:r>
          </w:p>
          <w:p w14:paraId="573A3D48" w14:textId="77777777" w:rsidR="00E60842" w:rsidRPr="00957A19" w:rsidRDefault="00E60842" w:rsidP="007E5022">
            <w:pPr>
              <w:spacing w:after="0"/>
              <w:rPr>
                <w:szCs w:val="21"/>
                <w:lang w:eastAsia="en-US"/>
              </w:rPr>
            </w:pPr>
          </w:p>
        </w:tc>
        <w:tc>
          <w:tcPr>
            <w:tcW w:w="1393" w:type="dxa"/>
          </w:tcPr>
          <w:p w14:paraId="704DE605" w14:textId="77777777" w:rsidR="00E60842" w:rsidRPr="00957A19" w:rsidRDefault="00E60842" w:rsidP="007E5022">
            <w:pPr>
              <w:spacing w:after="0"/>
              <w:rPr>
                <w:szCs w:val="21"/>
                <w:lang w:eastAsia="en-US"/>
              </w:rPr>
            </w:pPr>
            <w:r w:rsidRPr="00957A19">
              <w:rPr>
                <w:szCs w:val="21"/>
                <w:lang w:eastAsia="en-US"/>
              </w:rPr>
              <w:t>Interview guides</w:t>
            </w:r>
          </w:p>
          <w:p w14:paraId="777E391C" w14:textId="77777777" w:rsidR="00E60842" w:rsidRPr="00957A19" w:rsidRDefault="00E60842" w:rsidP="007E5022">
            <w:pPr>
              <w:spacing w:after="0"/>
              <w:rPr>
                <w:szCs w:val="21"/>
                <w:lang w:eastAsia="en-US"/>
              </w:rPr>
            </w:pPr>
          </w:p>
          <w:p w14:paraId="4061EB92" w14:textId="77777777" w:rsidR="00E60842" w:rsidRPr="00957A19" w:rsidRDefault="00E60842" w:rsidP="007E5022">
            <w:pPr>
              <w:spacing w:after="0"/>
              <w:rPr>
                <w:szCs w:val="21"/>
                <w:lang w:eastAsia="en-US"/>
              </w:rPr>
            </w:pPr>
          </w:p>
        </w:tc>
      </w:tr>
    </w:tbl>
    <w:p w14:paraId="4A8F20FF" w14:textId="77777777" w:rsidR="00E60842" w:rsidRDefault="00E60842" w:rsidP="00E60842">
      <w:pPr>
        <w:spacing w:after="0"/>
        <w:rPr>
          <w:rFonts w:ascii="Times New Roman" w:hAnsi="Times New Roman"/>
          <w:sz w:val="24"/>
          <w:lang w:eastAsia="en-US"/>
        </w:rPr>
        <w:sectPr w:rsidR="00E60842" w:rsidSect="007E5022">
          <w:footnotePr>
            <w:numFmt w:val="chicago"/>
            <w:numRestart w:val="eachPage"/>
          </w:footnotePr>
          <w:endnotePr>
            <w:numFmt w:val="decimal"/>
          </w:endnotePr>
          <w:pgSz w:w="16840" w:h="11907" w:orient="landscape" w:code="9"/>
          <w:pgMar w:top="1701" w:right="1072" w:bottom="1701" w:left="907" w:header="851" w:footer="567" w:gutter="0"/>
          <w:cols w:space="720"/>
          <w:docGrid w:linePitch="326"/>
        </w:sectPr>
      </w:pPr>
    </w:p>
    <w:p w14:paraId="6FF1B5B8" w14:textId="77777777" w:rsidR="00E60842" w:rsidRDefault="00E60842" w:rsidP="00E60842">
      <w:pPr>
        <w:pStyle w:val="Heading2"/>
      </w:pPr>
      <w:bookmarkStart w:id="59" w:name="_Toc457471949"/>
      <w:bookmarkStart w:id="60" w:name="_Toc464825731"/>
      <w:bookmarkStart w:id="61" w:name="_Toc468450019"/>
      <w:r>
        <w:t>Appendix B: CSO survey</w:t>
      </w:r>
      <w:bookmarkEnd w:id="59"/>
      <w:bookmarkEnd w:id="60"/>
      <w:bookmarkEnd w:id="61"/>
      <w:r>
        <w:t xml:space="preserve"> </w:t>
      </w:r>
    </w:p>
    <w:p w14:paraId="26D540F1" w14:textId="77777777" w:rsidR="00E60842" w:rsidRDefault="00E60842" w:rsidP="00E60842">
      <w:pPr>
        <w:pStyle w:val="BodyText"/>
      </w:pPr>
      <w:r w:rsidRPr="00E875F6">
        <w:t xml:space="preserve">The Office of Development Effectiveness (ODE) is evaluating the management arrangements for the Civil Society Water, Sanitation and Hygiene Fund (the Fund). </w:t>
      </w:r>
    </w:p>
    <w:p w14:paraId="5E292302" w14:textId="77777777" w:rsidR="00E60842" w:rsidRPr="00397D7F" w:rsidRDefault="00E60842" w:rsidP="00E60842">
      <w:pPr>
        <w:pStyle w:val="BodyText"/>
      </w:pPr>
      <w:r w:rsidRPr="00397D7F">
        <w:t xml:space="preserve">The focus of the evaluation is the main managers of the Fund – the Department of Foreign Affairs and Trade (DFAT), the Fund Management Facility (FMF) and the Monitoring, Evaluation and Review Panel (MERP) – and how they interact with each other and with CSOs. </w:t>
      </w:r>
    </w:p>
    <w:p w14:paraId="6B30EC2D" w14:textId="77777777" w:rsidR="00E60842" w:rsidRPr="00E875F6" w:rsidRDefault="00E60842" w:rsidP="00E60842">
      <w:pPr>
        <w:pStyle w:val="BodyText"/>
      </w:pPr>
      <w:r w:rsidRPr="00E875F6">
        <w:t xml:space="preserve">The evaluation aims to identify whether the management arrangements are efficient and appropriate, and how they can be improved in the future. </w:t>
      </w:r>
    </w:p>
    <w:p w14:paraId="4EE15C21" w14:textId="77777777" w:rsidR="00E60842" w:rsidRPr="00E875F6" w:rsidRDefault="00E60842" w:rsidP="00E60842">
      <w:pPr>
        <w:pStyle w:val="BodyText"/>
      </w:pPr>
      <w:r w:rsidRPr="00E875F6">
        <w:t>This survey is part of the evaluation. It will help us better understand how the Fund’s management a</w:t>
      </w:r>
      <w:r>
        <w:t xml:space="preserve">rrangements have </w:t>
      </w:r>
      <w:r w:rsidRPr="00397D7F">
        <w:t xml:space="preserve">supported civil society organisations (CSOs) </w:t>
      </w:r>
      <w:r w:rsidRPr="00E875F6">
        <w:t xml:space="preserve">to implement high quality WASH projects. </w:t>
      </w:r>
    </w:p>
    <w:p w14:paraId="3698397A" w14:textId="77777777" w:rsidR="00E60842" w:rsidRPr="002F789F" w:rsidRDefault="00E60842" w:rsidP="00E60842">
      <w:pPr>
        <w:pStyle w:val="BodyText"/>
      </w:pPr>
      <w:r w:rsidRPr="002F789F">
        <w:t xml:space="preserve">Survey responses will be reported in aggregate and will not be attributed to you or your organisation. </w:t>
      </w:r>
    </w:p>
    <w:p w14:paraId="08E1CED9" w14:textId="77777777" w:rsidR="00E60842" w:rsidRDefault="00E60842" w:rsidP="00E60842">
      <w:pPr>
        <w:pStyle w:val="BodyText"/>
      </w:pPr>
      <w:r w:rsidRPr="00E875F6">
        <w:t xml:space="preserve">The survey </w:t>
      </w:r>
      <w:r>
        <w:t xml:space="preserve">will take around </w:t>
      </w:r>
      <w:r w:rsidRPr="00397D7F">
        <w:t xml:space="preserve">15 minutes </w:t>
      </w:r>
      <w:r w:rsidRPr="00E875F6">
        <w:t>to complete.</w:t>
      </w:r>
      <w:r>
        <w:t xml:space="preserve"> </w:t>
      </w:r>
    </w:p>
    <w:p w14:paraId="59C8FFEC" w14:textId="77777777" w:rsidR="00E60842" w:rsidRPr="00E875F6" w:rsidRDefault="00E60842" w:rsidP="00E60842">
      <w:pPr>
        <w:pStyle w:val="BodyText"/>
      </w:pPr>
      <w:r>
        <w:t xml:space="preserve">For staff of CSOs which applied to the Fund but were not successful, the survey will take around </w:t>
      </w:r>
      <w:r w:rsidRPr="00397D7F">
        <w:t xml:space="preserve">five minutes to complete. </w:t>
      </w:r>
    </w:p>
    <w:p w14:paraId="0F0ED734" w14:textId="77777777" w:rsidR="00E60842" w:rsidRPr="00E875F6" w:rsidRDefault="00E60842" w:rsidP="00E60842">
      <w:pPr>
        <w:pStyle w:val="BodyText"/>
      </w:pPr>
      <w:r w:rsidRPr="00E875F6">
        <w:t>On behalf of ODE, thank you for your participation.</w:t>
      </w:r>
    </w:p>
    <w:p w14:paraId="4762B0E5" w14:textId="77777777" w:rsidR="00E60842" w:rsidRDefault="00E60842" w:rsidP="00E60842">
      <w:pPr>
        <w:pStyle w:val="Heading3"/>
      </w:pPr>
      <w:r>
        <w:t>A. Background information</w:t>
      </w:r>
    </w:p>
    <w:p w14:paraId="30291437" w14:textId="77777777" w:rsidR="00E60842" w:rsidRDefault="00E60842" w:rsidP="00E60842">
      <w:pPr>
        <w:pStyle w:val="BodyText"/>
      </w:pPr>
      <w:r>
        <w:t xml:space="preserve">1. Where is your CSOs’ headquarters? </w:t>
      </w:r>
    </w:p>
    <w:p w14:paraId="32F93F59" w14:textId="77777777" w:rsidR="00E60842" w:rsidRDefault="00E60842" w:rsidP="00E60842">
      <w:pPr>
        <w:pStyle w:val="BodyText"/>
        <w:numPr>
          <w:ilvl w:val="0"/>
          <w:numId w:val="51"/>
        </w:numPr>
        <w:ind w:left="709" w:hanging="283"/>
      </w:pPr>
      <w:r>
        <w:t xml:space="preserve">Australia </w:t>
      </w:r>
      <w:r>
        <w:tab/>
      </w:r>
    </w:p>
    <w:p w14:paraId="1F000A1B" w14:textId="77777777" w:rsidR="00E60842" w:rsidRDefault="00E60842" w:rsidP="00E60842">
      <w:pPr>
        <w:pStyle w:val="BodyText"/>
        <w:numPr>
          <w:ilvl w:val="0"/>
          <w:numId w:val="51"/>
        </w:numPr>
        <w:ind w:left="709" w:hanging="283"/>
      </w:pPr>
      <w:r>
        <w:t>outside Australia</w:t>
      </w:r>
    </w:p>
    <w:p w14:paraId="5F90804E" w14:textId="77777777" w:rsidR="00E60842" w:rsidRDefault="00E60842" w:rsidP="00E60842">
      <w:pPr>
        <w:pStyle w:val="BodyText"/>
      </w:pPr>
      <w:r>
        <w:t xml:space="preserve">2. Approximately how many staff </w:t>
      </w:r>
      <w:proofErr w:type="gramStart"/>
      <w:r>
        <w:t>are</w:t>
      </w:r>
      <w:proofErr w:type="gramEnd"/>
      <w:r>
        <w:t xml:space="preserve"> employed by your CSO? (</w:t>
      </w:r>
      <w:proofErr w:type="gramStart"/>
      <w:r>
        <w:t>include</w:t>
      </w:r>
      <w:proofErr w:type="gramEnd"/>
      <w:r>
        <w:t xml:space="preserve"> all staff working in all countries and headquarters staff)  </w:t>
      </w:r>
    </w:p>
    <w:p w14:paraId="459709A7" w14:textId="77777777" w:rsidR="00E60842" w:rsidRDefault="00E60842" w:rsidP="00E60842">
      <w:pPr>
        <w:pStyle w:val="BodyText"/>
        <w:numPr>
          <w:ilvl w:val="0"/>
          <w:numId w:val="52"/>
        </w:numPr>
      </w:pPr>
      <w:r>
        <w:t xml:space="preserve">More than 100 </w:t>
      </w:r>
    </w:p>
    <w:p w14:paraId="4E5A12ED" w14:textId="77777777" w:rsidR="00E60842" w:rsidRDefault="00E60842" w:rsidP="00E60842">
      <w:pPr>
        <w:pStyle w:val="BodyText"/>
        <w:numPr>
          <w:ilvl w:val="0"/>
          <w:numId w:val="52"/>
        </w:numPr>
      </w:pPr>
      <w:r>
        <w:t>less than 100</w:t>
      </w:r>
    </w:p>
    <w:p w14:paraId="7094DDF8" w14:textId="77777777" w:rsidR="00E60842" w:rsidRDefault="00E60842" w:rsidP="00E60842">
      <w:pPr>
        <w:pStyle w:val="BodyText"/>
      </w:pPr>
      <w:r>
        <w:t>3. When applying for funding from the CS WASH Fund, was your CSO:</w:t>
      </w:r>
    </w:p>
    <w:p w14:paraId="1A146510" w14:textId="77777777" w:rsidR="00E60842" w:rsidRDefault="00E60842" w:rsidP="00E60842">
      <w:pPr>
        <w:pStyle w:val="BodyText"/>
        <w:numPr>
          <w:ilvl w:val="0"/>
          <w:numId w:val="53"/>
        </w:numPr>
      </w:pPr>
      <w:r>
        <w:t>Successful? (if so, please answer all sections of the survey)</w:t>
      </w:r>
    </w:p>
    <w:p w14:paraId="1B75D4EE" w14:textId="77777777" w:rsidR="00E60842" w:rsidRDefault="00E60842" w:rsidP="00E60842">
      <w:pPr>
        <w:pStyle w:val="BodyText"/>
        <w:numPr>
          <w:ilvl w:val="0"/>
          <w:numId w:val="53"/>
        </w:numPr>
      </w:pPr>
      <w:r>
        <w:t>Unsuccessful? (if so, please answer only Section B, Selection Phase)</w:t>
      </w:r>
    </w:p>
    <w:p w14:paraId="12767832" w14:textId="77777777" w:rsidR="00E60842" w:rsidRDefault="00E60842" w:rsidP="00E60842">
      <w:pPr>
        <w:pStyle w:val="Heading3"/>
      </w:pPr>
      <w:r>
        <w:t>B. Initial selection of CSOs</w:t>
      </w:r>
    </w:p>
    <w:p w14:paraId="65EDBF73" w14:textId="77777777" w:rsidR="00E60842" w:rsidRDefault="00E60842" w:rsidP="00E60842">
      <w:pPr>
        <w:pStyle w:val="BodyText"/>
      </w:pPr>
      <w:r>
        <w:t xml:space="preserve">DFAT </w:t>
      </w:r>
      <w:r w:rsidRPr="00397D7F">
        <w:t xml:space="preserve">(formerly AusAID) </w:t>
      </w:r>
      <w:r>
        <w:t xml:space="preserve">called for CSOs to provide submissions for the Fund in June 2012. </w:t>
      </w:r>
    </w:p>
    <w:p w14:paraId="6CD67BD6" w14:textId="77777777" w:rsidR="00E60842" w:rsidRDefault="00E60842" w:rsidP="00E60842">
      <w:pPr>
        <w:pStyle w:val="BodyText"/>
      </w:pPr>
      <w:r>
        <w:t>4. Were you involved in developing your CSO’s submission to the Fund?</w:t>
      </w:r>
    </w:p>
    <w:p w14:paraId="7B59B182" w14:textId="77777777" w:rsidR="00E60842" w:rsidRDefault="00E60842" w:rsidP="00E60842">
      <w:pPr>
        <w:pStyle w:val="BodyText"/>
        <w:numPr>
          <w:ilvl w:val="0"/>
          <w:numId w:val="55"/>
        </w:numPr>
      </w:pPr>
      <w:r>
        <w:t>Yes</w:t>
      </w:r>
    </w:p>
    <w:p w14:paraId="3AFBB04D" w14:textId="77777777" w:rsidR="00E60842" w:rsidRDefault="00E60842" w:rsidP="00E60842">
      <w:pPr>
        <w:pStyle w:val="BodyText"/>
        <w:numPr>
          <w:ilvl w:val="0"/>
          <w:numId w:val="55"/>
        </w:numPr>
      </w:pPr>
      <w:r>
        <w:t>No (please go to Section C, Inception phase)</w:t>
      </w:r>
    </w:p>
    <w:p w14:paraId="64A75F59" w14:textId="77777777" w:rsidR="00E60842" w:rsidRDefault="00E60842" w:rsidP="00E60842">
      <w:pPr>
        <w:pStyle w:val="BodyText"/>
      </w:pPr>
      <w:r>
        <w:t xml:space="preserve">5. In relation to the call for submissions, to what extent would you agree to the following </w:t>
      </w:r>
      <w:proofErr w:type="gramStart"/>
      <w:r>
        <w:t>statements:</w:t>
      </w:r>
      <w:proofErr w:type="gramEnd"/>
    </w:p>
    <w:tbl>
      <w:tblPr>
        <w:tblStyle w:val="TableGrid"/>
        <w:tblW w:w="0" w:type="auto"/>
        <w:tblLook w:val="04A0" w:firstRow="1" w:lastRow="0" w:firstColumn="1" w:lastColumn="0" w:noHBand="0" w:noVBand="1"/>
        <w:tblCaption w:val="Call for submissions"/>
        <w:tblDescription w:val="The table outlines two questions relating to the Fund's call for submissions."/>
      </w:tblPr>
      <w:tblGrid>
        <w:gridCol w:w="1404"/>
        <w:gridCol w:w="1134"/>
        <w:gridCol w:w="1134"/>
        <w:gridCol w:w="1560"/>
        <w:gridCol w:w="1960"/>
        <w:gridCol w:w="931"/>
      </w:tblGrid>
      <w:tr w:rsidR="00E60842" w14:paraId="1DF543A1" w14:textId="77777777" w:rsidTr="007E5022">
        <w:tc>
          <w:tcPr>
            <w:tcW w:w="1327" w:type="dxa"/>
          </w:tcPr>
          <w:p w14:paraId="0401D052" w14:textId="77777777" w:rsidR="00E60842" w:rsidRDefault="00E60842" w:rsidP="007E5022">
            <w:pPr>
              <w:pStyle w:val="BodyText"/>
            </w:pPr>
          </w:p>
        </w:tc>
        <w:tc>
          <w:tcPr>
            <w:tcW w:w="1134" w:type="dxa"/>
          </w:tcPr>
          <w:p w14:paraId="54A19E59" w14:textId="77777777" w:rsidR="00E60842" w:rsidRDefault="00E60842" w:rsidP="007E5022">
            <w:pPr>
              <w:pStyle w:val="BodyText"/>
            </w:pPr>
            <w:r>
              <w:t>Strongly disagree</w:t>
            </w:r>
          </w:p>
        </w:tc>
        <w:tc>
          <w:tcPr>
            <w:tcW w:w="1134" w:type="dxa"/>
          </w:tcPr>
          <w:p w14:paraId="57449DE3" w14:textId="77777777" w:rsidR="00E60842" w:rsidRDefault="00E60842" w:rsidP="007E5022">
            <w:pPr>
              <w:pStyle w:val="BodyText"/>
            </w:pPr>
            <w:r>
              <w:t>Disagree</w:t>
            </w:r>
          </w:p>
        </w:tc>
        <w:tc>
          <w:tcPr>
            <w:tcW w:w="1560" w:type="dxa"/>
          </w:tcPr>
          <w:p w14:paraId="7E69FA55" w14:textId="77777777" w:rsidR="00E60842" w:rsidRDefault="00E60842" w:rsidP="007E5022">
            <w:pPr>
              <w:pStyle w:val="BodyText"/>
            </w:pPr>
            <w:r>
              <w:t>Neither agree or disagree</w:t>
            </w:r>
          </w:p>
        </w:tc>
        <w:tc>
          <w:tcPr>
            <w:tcW w:w="1960" w:type="dxa"/>
          </w:tcPr>
          <w:p w14:paraId="42B58C29" w14:textId="77777777" w:rsidR="00E60842" w:rsidRDefault="00E60842" w:rsidP="007E5022">
            <w:pPr>
              <w:pStyle w:val="BodyText"/>
            </w:pPr>
            <w:r>
              <w:t>Agree</w:t>
            </w:r>
          </w:p>
        </w:tc>
        <w:tc>
          <w:tcPr>
            <w:tcW w:w="931" w:type="dxa"/>
          </w:tcPr>
          <w:p w14:paraId="49CECF58" w14:textId="77777777" w:rsidR="00E60842" w:rsidRDefault="00E60842" w:rsidP="007E5022">
            <w:pPr>
              <w:pStyle w:val="BodyText"/>
            </w:pPr>
            <w:r>
              <w:t>Strongly agree</w:t>
            </w:r>
          </w:p>
        </w:tc>
      </w:tr>
      <w:tr w:rsidR="00E60842" w14:paraId="3D569FAD" w14:textId="77777777" w:rsidTr="007E5022">
        <w:tc>
          <w:tcPr>
            <w:tcW w:w="1327" w:type="dxa"/>
          </w:tcPr>
          <w:p w14:paraId="6530371A" w14:textId="77777777" w:rsidR="00E60842" w:rsidRDefault="00E60842" w:rsidP="007E5022">
            <w:pPr>
              <w:pStyle w:val="BodyText"/>
            </w:pPr>
            <w:r>
              <w:t xml:space="preserve">I had sufficient information </w:t>
            </w:r>
            <w:r w:rsidRPr="00397D7F">
              <w:t xml:space="preserve">on the Fund’s requirements </w:t>
            </w:r>
            <w:r>
              <w:t>to develop a high quality submission</w:t>
            </w:r>
          </w:p>
        </w:tc>
        <w:tc>
          <w:tcPr>
            <w:tcW w:w="1134" w:type="dxa"/>
          </w:tcPr>
          <w:p w14:paraId="05BEC275" w14:textId="77777777" w:rsidR="00E60842" w:rsidRDefault="00E60842" w:rsidP="007E5022">
            <w:pPr>
              <w:pStyle w:val="BodyText"/>
            </w:pPr>
          </w:p>
        </w:tc>
        <w:tc>
          <w:tcPr>
            <w:tcW w:w="1134" w:type="dxa"/>
          </w:tcPr>
          <w:p w14:paraId="0236A619" w14:textId="77777777" w:rsidR="00E60842" w:rsidRDefault="00E60842" w:rsidP="007E5022">
            <w:pPr>
              <w:pStyle w:val="BodyText"/>
            </w:pPr>
          </w:p>
        </w:tc>
        <w:tc>
          <w:tcPr>
            <w:tcW w:w="1560" w:type="dxa"/>
          </w:tcPr>
          <w:p w14:paraId="058ECB47" w14:textId="77777777" w:rsidR="00E60842" w:rsidRDefault="00E60842" w:rsidP="007E5022">
            <w:pPr>
              <w:pStyle w:val="BodyText"/>
            </w:pPr>
          </w:p>
        </w:tc>
        <w:tc>
          <w:tcPr>
            <w:tcW w:w="1960" w:type="dxa"/>
          </w:tcPr>
          <w:p w14:paraId="52190D21" w14:textId="77777777" w:rsidR="00E60842" w:rsidRDefault="00E60842" w:rsidP="007E5022">
            <w:pPr>
              <w:pStyle w:val="BodyText"/>
            </w:pPr>
          </w:p>
        </w:tc>
        <w:tc>
          <w:tcPr>
            <w:tcW w:w="931" w:type="dxa"/>
          </w:tcPr>
          <w:p w14:paraId="26198D83" w14:textId="77777777" w:rsidR="00E60842" w:rsidRDefault="00E60842" w:rsidP="007E5022">
            <w:pPr>
              <w:pStyle w:val="BodyText"/>
            </w:pPr>
          </w:p>
        </w:tc>
      </w:tr>
      <w:tr w:rsidR="00E60842" w14:paraId="4416E0AD" w14:textId="77777777" w:rsidTr="007E5022">
        <w:tc>
          <w:tcPr>
            <w:tcW w:w="1327" w:type="dxa"/>
          </w:tcPr>
          <w:p w14:paraId="3F387575" w14:textId="77777777" w:rsidR="00E60842" w:rsidRDefault="00E60842" w:rsidP="007E5022">
            <w:pPr>
              <w:pStyle w:val="BodyText"/>
            </w:pPr>
            <w:r>
              <w:t xml:space="preserve">I understood how submissions would be assessed and how decisions on funding would be made </w:t>
            </w:r>
          </w:p>
        </w:tc>
        <w:tc>
          <w:tcPr>
            <w:tcW w:w="1134" w:type="dxa"/>
          </w:tcPr>
          <w:p w14:paraId="73FED986" w14:textId="77777777" w:rsidR="00E60842" w:rsidRDefault="00E60842" w:rsidP="007E5022">
            <w:pPr>
              <w:pStyle w:val="BodyText"/>
            </w:pPr>
          </w:p>
        </w:tc>
        <w:tc>
          <w:tcPr>
            <w:tcW w:w="1134" w:type="dxa"/>
          </w:tcPr>
          <w:p w14:paraId="12EBE996" w14:textId="77777777" w:rsidR="00E60842" w:rsidRDefault="00E60842" w:rsidP="007E5022">
            <w:pPr>
              <w:pStyle w:val="BodyText"/>
            </w:pPr>
          </w:p>
        </w:tc>
        <w:tc>
          <w:tcPr>
            <w:tcW w:w="1560" w:type="dxa"/>
          </w:tcPr>
          <w:p w14:paraId="7F6CD55D" w14:textId="77777777" w:rsidR="00E60842" w:rsidRDefault="00E60842" w:rsidP="007E5022">
            <w:pPr>
              <w:pStyle w:val="BodyText"/>
            </w:pPr>
          </w:p>
        </w:tc>
        <w:tc>
          <w:tcPr>
            <w:tcW w:w="1960" w:type="dxa"/>
          </w:tcPr>
          <w:p w14:paraId="0D4241A1" w14:textId="77777777" w:rsidR="00E60842" w:rsidRDefault="00E60842" w:rsidP="007E5022">
            <w:pPr>
              <w:pStyle w:val="BodyText"/>
            </w:pPr>
          </w:p>
        </w:tc>
        <w:tc>
          <w:tcPr>
            <w:tcW w:w="931" w:type="dxa"/>
          </w:tcPr>
          <w:p w14:paraId="41DC863E" w14:textId="77777777" w:rsidR="00E60842" w:rsidRDefault="00E60842" w:rsidP="007E5022">
            <w:pPr>
              <w:pStyle w:val="BodyText"/>
            </w:pPr>
          </w:p>
        </w:tc>
      </w:tr>
    </w:tbl>
    <w:p w14:paraId="3CB612C2" w14:textId="77777777" w:rsidR="00E60842" w:rsidRDefault="00E60842" w:rsidP="00E60842">
      <w:pPr>
        <w:pStyle w:val="BodyText"/>
      </w:pPr>
    </w:p>
    <w:p w14:paraId="2FFA6203" w14:textId="77777777" w:rsidR="00E60842" w:rsidRDefault="00E60842" w:rsidP="00E60842">
      <w:pPr>
        <w:pStyle w:val="BodyText"/>
      </w:pPr>
      <w:r>
        <w:t xml:space="preserve">6. If your CSOs’ submission was not successful, were you given feedback on why the submission did not receive funding? </w:t>
      </w:r>
    </w:p>
    <w:p w14:paraId="338ED625" w14:textId="77777777" w:rsidR="00E60842" w:rsidRDefault="00E60842" w:rsidP="00E60842">
      <w:pPr>
        <w:pStyle w:val="BodyText"/>
        <w:numPr>
          <w:ilvl w:val="0"/>
          <w:numId w:val="54"/>
        </w:numPr>
      </w:pPr>
      <w:r>
        <w:t>Yes</w:t>
      </w:r>
    </w:p>
    <w:p w14:paraId="09BA271B" w14:textId="77777777" w:rsidR="00E60842" w:rsidRDefault="00E60842" w:rsidP="00E60842">
      <w:pPr>
        <w:pStyle w:val="BodyText"/>
        <w:numPr>
          <w:ilvl w:val="0"/>
          <w:numId w:val="54"/>
        </w:numPr>
      </w:pPr>
      <w:r>
        <w:t>No</w:t>
      </w:r>
    </w:p>
    <w:p w14:paraId="457AEC3C" w14:textId="77777777" w:rsidR="00E60842" w:rsidRDefault="00E60842" w:rsidP="00E60842">
      <w:pPr>
        <w:pStyle w:val="BodyText"/>
        <w:numPr>
          <w:ilvl w:val="0"/>
          <w:numId w:val="54"/>
        </w:numPr>
      </w:pPr>
      <w:r>
        <w:t>Unsure if feedback was received</w:t>
      </w:r>
    </w:p>
    <w:p w14:paraId="17C580D5" w14:textId="77777777" w:rsidR="00E60842" w:rsidRDefault="00E60842" w:rsidP="00E60842">
      <w:pPr>
        <w:pStyle w:val="BodyText"/>
        <w:numPr>
          <w:ilvl w:val="0"/>
          <w:numId w:val="54"/>
        </w:numPr>
      </w:pPr>
      <w:r>
        <w:t>N/A (submission was successful)</w:t>
      </w:r>
    </w:p>
    <w:p w14:paraId="0EEC265A" w14:textId="77777777" w:rsidR="00E60842" w:rsidRDefault="00E60842" w:rsidP="00E60842">
      <w:pPr>
        <w:pStyle w:val="BodyText"/>
      </w:pPr>
      <w:r>
        <w:t xml:space="preserve">7. If you answered </w:t>
      </w:r>
      <w:proofErr w:type="gramStart"/>
      <w:r>
        <w:t>Yes</w:t>
      </w:r>
      <w:proofErr w:type="gramEnd"/>
      <w:r>
        <w:t>, was it clear from the feedback why your CSO’s submission did not receive funding? [</w:t>
      </w:r>
      <w:proofErr w:type="gramStart"/>
      <w:r>
        <w:t>free</w:t>
      </w:r>
      <w:proofErr w:type="gramEnd"/>
      <w:r>
        <w:t xml:space="preserve"> text; leave blank if can’t recall]</w:t>
      </w:r>
    </w:p>
    <w:p w14:paraId="1487FC4D" w14:textId="77777777" w:rsidR="00E60842" w:rsidRDefault="00E60842" w:rsidP="00E60842">
      <w:pPr>
        <w:pStyle w:val="BodyText"/>
        <w:numPr>
          <w:ilvl w:val="0"/>
          <w:numId w:val="54"/>
        </w:numPr>
      </w:pPr>
      <w:r>
        <w:t>Yes</w:t>
      </w:r>
    </w:p>
    <w:p w14:paraId="3FE6D2E4" w14:textId="77777777" w:rsidR="00E60842" w:rsidRDefault="00E60842" w:rsidP="00E60842">
      <w:pPr>
        <w:pStyle w:val="BodyText"/>
        <w:numPr>
          <w:ilvl w:val="0"/>
          <w:numId w:val="54"/>
        </w:numPr>
      </w:pPr>
      <w:r>
        <w:t>No</w:t>
      </w:r>
    </w:p>
    <w:p w14:paraId="15354228" w14:textId="77777777" w:rsidR="00E60842" w:rsidRDefault="00E60842" w:rsidP="00E60842">
      <w:pPr>
        <w:pStyle w:val="BodyText"/>
        <w:numPr>
          <w:ilvl w:val="0"/>
          <w:numId w:val="54"/>
        </w:numPr>
      </w:pPr>
      <w:r>
        <w:t>Unsure/can’t recall</w:t>
      </w:r>
    </w:p>
    <w:p w14:paraId="3737BD64" w14:textId="77777777" w:rsidR="00E60842" w:rsidRDefault="00E60842" w:rsidP="00E60842">
      <w:pPr>
        <w:pStyle w:val="BodyText"/>
      </w:pPr>
      <w:r>
        <w:t>8. Do you have any comments on the selection phase which you would like to share? [</w:t>
      </w:r>
      <w:proofErr w:type="gramStart"/>
      <w:r>
        <w:t>free</w:t>
      </w:r>
      <w:proofErr w:type="gramEnd"/>
      <w:r>
        <w:t xml:space="preserve"> text]</w:t>
      </w:r>
    </w:p>
    <w:p w14:paraId="70697C64" w14:textId="77777777" w:rsidR="00E60842" w:rsidRDefault="00E60842" w:rsidP="00E60842">
      <w:pPr>
        <w:pStyle w:val="Heading3"/>
      </w:pPr>
      <w:r>
        <w:t xml:space="preserve">C. Inception Phase </w:t>
      </w:r>
    </w:p>
    <w:p w14:paraId="19D60B15" w14:textId="77777777" w:rsidR="00E60842" w:rsidRDefault="00E60842" w:rsidP="00E60842">
      <w:pPr>
        <w:pStyle w:val="BodyText"/>
      </w:pPr>
      <w:r>
        <w:t xml:space="preserve">These questions relate to the Fund’s inception phase, when selected CSOs were provided with funding and support to develop operational plans (or designs) for their projects. </w:t>
      </w:r>
    </w:p>
    <w:p w14:paraId="4373D6C2" w14:textId="77777777" w:rsidR="00E60842" w:rsidRDefault="00E60842" w:rsidP="00E60842">
      <w:pPr>
        <w:pStyle w:val="BodyText"/>
      </w:pPr>
      <w:r>
        <w:t>9. How were you involved in the inception phase and the development of your project’s design/operational plan? (</w:t>
      </w:r>
      <w:proofErr w:type="gramStart"/>
      <w:r>
        <w:t>check</w:t>
      </w:r>
      <w:proofErr w:type="gramEnd"/>
      <w:r>
        <w:t xml:space="preserve"> all that apply)</w:t>
      </w:r>
    </w:p>
    <w:p w14:paraId="4E0297CF" w14:textId="77777777" w:rsidR="00E60842" w:rsidRDefault="00E60842" w:rsidP="00E60842">
      <w:pPr>
        <w:pStyle w:val="BodyText"/>
        <w:numPr>
          <w:ilvl w:val="0"/>
          <w:numId w:val="56"/>
        </w:numPr>
      </w:pPr>
      <w:r>
        <w:t>Not involved (please go to section D, Engagement with the MERP)</w:t>
      </w:r>
    </w:p>
    <w:p w14:paraId="5486B70A" w14:textId="77777777" w:rsidR="00E60842" w:rsidRDefault="00E60842" w:rsidP="00E60842">
      <w:pPr>
        <w:pStyle w:val="BodyText"/>
        <w:numPr>
          <w:ilvl w:val="0"/>
          <w:numId w:val="56"/>
        </w:numPr>
      </w:pPr>
      <w:r>
        <w:t>Participated in the Inception Phase Design Workshop in Canberra in April 2013</w:t>
      </w:r>
    </w:p>
    <w:p w14:paraId="4F28E87A" w14:textId="77777777" w:rsidR="00E60842" w:rsidRDefault="00E60842" w:rsidP="00E60842">
      <w:pPr>
        <w:pStyle w:val="BodyText"/>
        <w:numPr>
          <w:ilvl w:val="0"/>
          <w:numId w:val="56"/>
        </w:numPr>
      </w:pPr>
      <w:r>
        <w:t>Received advice from the Fund Management Facility and/or the Monitoring, Evaluation and Review Panel (MERP)</w:t>
      </w:r>
    </w:p>
    <w:p w14:paraId="6F6B7519" w14:textId="77777777" w:rsidR="00E60842" w:rsidRDefault="00E60842" w:rsidP="00E60842">
      <w:pPr>
        <w:pStyle w:val="BodyText"/>
        <w:numPr>
          <w:ilvl w:val="0"/>
          <w:numId w:val="56"/>
        </w:numPr>
      </w:pPr>
      <w:r>
        <w:t>Other (please specify)</w:t>
      </w:r>
    </w:p>
    <w:p w14:paraId="087825B0" w14:textId="77777777" w:rsidR="00E60842" w:rsidRDefault="00E60842" w:rsidP="00E60842">
      <w:pPr>
        <w:spacing w:after="0"/>
      </w:pPr>
      <w:r>
        <w:t xml:space="preserve">10. </w:t>
      </w:r>
      <w:r w:rsidRPr="00CC11EC">
        <w:t xml:space="preserve">Overall, to what extent </w:t>
      </w:r>
      <w:r>
        <w:t>did the support provided by the Fund</w:t>
      </w:r>
      <w:r w:rsidRPr="00CC11EC">
        <w:t xml:space="preserve"> help you improve your design/operational plan:</w:t>
      </w:r>
    </w:p>
    <w:tbl>
      <w:tblPr>
        <w:tblStyle w:val="TableGrid"/>
        <w:tblW w:w="0" w:type="auto"/>
        <w:tblLook w:val="04A0" w:firstRow="1" w:lastRow="0" w:firstColumn="1" w:lastColumn="0" w:noHBand="0" w:noVBand="1"/>
        <w:tblCaption w:val="Design/operational plan"/>
        <w:tblDescription w:val="The table outlines questions for CSOs related to the support received from the Fund to improve their designs/operational plans."/>
      </w:tblPr>
      <w:tblGrid>
        <w:gridCol w:w="1407"/>
        <w:gridCol w:w="1175"/>
        <w:gridCol w:w="1207"/>
        <w:gridCol w:w="1242"/>
        <w:gridCol w:w="1283"/>
        <w:gridCol w:w="1229"/>
        <w:gridCol w:w="1178"/>
      </w:tblGrid>
      <w:tr w:rsidR="00E60842" w14:paraId="407986C3" w14:textId="77777777" w:rsidTr="007E5022">
        <w:tc>
          <w:tcPr>
            <w:tcW w:w="1235" w:type="dxa"/>
          </w:tcPr>
          <w:p w14:paraId="044A901B" w14:textId="77777777" w:rsidR="00E60842" w:rsidRDefault="00E60842" w:rsidP="007E5022">
            <w:pPr>
              <w:pStyle w:val="BodyText"/>
            </w:pPr>
          </w:p>
        </w:tc>
        <w:tc>
          <w:tcPr>
            <w:tcW w:w="1235" w:type="dxa"/>
          </w:tcPr>
          <w:p w14:paraId="3B871401" w14:textId="77777777" w:rsidR="00E60842" w:rsidRDefault="00E60842" w:rsidP="007E5022">
            <w:pPr>
              <w:pStyle w:val="BodyText"/>
            </w:pPr>
            <w:r>
              <w:t>1</w:t>
            </w:r>
          </w:p>
          <w:p w14:paraId="48174D0B" w14:textId="77777777" w:rsidR="00E60842" w:rsidRDefault="00E60842" w:rsidP="007E5022">
            <w:pPr>
              <w:pStyle w:val="BodyText"/>
            </w:pPr>
            <w:r>
              <w:t>Not at all</w:t>
            </w:r>
          </w:p>
        </w:tc>
        <w:tc>
          <w:tcPr>
            <w:tcW w:w="1240" w:type="dxa"/>
          </w:tcPr>
          <w:p w14:paraId="40F3814D" w14:textId="77777777" w:rsidR="00E60842" w:rsidRDefault="00E60842" w:rsidP="007E5022">
            <w:pPr>
              <w:pStyle w:val="BodyText"/>
            </w:pPr>
            <w:r>
              <w:t>2</w:t>
            </w:r>
          </w:p>
          <w:p w14:paraId="58B44CCD" w14:textId="77777777" w:rsidR="00E60842" w:rsidRDefault="00E60842" w:rsidP="007E5022">
            <w:pPr>
              <w:pStyle w:val="BodyText"/>
            </w:pPr>
            <w:r>
              <w:t>Slightly</w:t>
            </w:r>
          </w:p>
        </w:tc>
        <w:tc>
          <w:tcPr>
            <w:tcW w:w="1245" w:type="dxa"/>
          </w:tcPr>
          <w:p w14:paraId="17F3288C" w14:textId="77777777" w:rsidR="00E60842" w:rsidRDefault="00E60842" w:rsidP="007E5022">
            <w:pPr>
              <w:pStyle w:val="BodyText"/>
            </w:pPr>
            <w:r>
              <w:t xml:space="preserve">3: </w:t>
            </w:r>
          </w:p>
          <w:p w14:paraId="66672EB1" w14:textId="77777777" w:rsidR="00E60842" w:rsidRDefault="00E60842" w:rsidP="007E5022">
            <w:pPr>
              <w:pStyle w:val="BodyText"/>
            </w:pPr>
            <w:r>
              <w:t>Moderately</w:t>
            </w:r>
          </w:p>
        </w:tc>
        <w:tc>
          <w:tcPr>
            <w:tcW w:w="1283" w:type="dxa"/>
          </w:tcPr>
          <w:p w14:paraId="1F77201C" w14:textId="77777777" w:rsidR="00E60842" w:rsidRDefault="00E60842" w:rsidP="007E5022">
            <w:pPr>
              <w:pStyle w:val="BodyText"/>
            </w:pPr>
            <w:r>
              <w:t>4</w:t>
            </w:r>
          </w:p>
          <w:p w14:paraId="3817838D" w14:textId="77777777" w:rsidR="00E60842" w:rsidRDefault="00E60842" w:rsidP="007E5022">
            <w:pPr>
              <w:pStyle w:val="BodyText"/>
            </w:pPr>
            <w:r>
              <w:t>Significantly</w:t>
            </w:r>
          </w:p>
        </w:tc>
        <w:tc>
          <w:tcPr>
            <w:tcW w:w="1243" w:type="dxa"/>
          </w:tcPr>
          <w:p w14:paraId="791E8698" w14:textId="77777777" w:rsidR="00E60842" w:rsidRDefault="00E60842" w:rsidP="007E5022">
            <w:pPr>
              <w:pStyle w:val="BodyText"/>
            </w:pPr>
            <w:r>
              <w:t>5</w:t>
            </w:r>
          </w:p>
          <w:p w14:paraId="231E7546" w14:textId="77777777" w:rsidR="00E60842" w:rsidRDefault="00E60842" w:rsidP="007E5022">
            <w:pPr>
              <w:pStyle w:val="BodyText"/>
            </w:pPr>
            <w:r>
              <w:t>Extremely</w:t>
            </w:r>
          </w:p>
        </w:tc>
        <w:tc>
          <w:tcPr>
            <w:tcW w:w="1235" w:type="dxa"/>
          </w:tcPr>
          <w:p w14:paraId="6285C23D" w14:textId="77777777" w:rsidR="00E60842" w:rsidRDefault="00E60842" w:rsidP="007E5022">
            <w:pPr>
              <w:pStyle w:val="BodyText"/>
            </w:pPr>
            <w:r>
              <w:t>N/A</w:t>
            </w:r>
          </w:p>
        </w:tc>
      </w:tr>
      <w:tr w:rsidR="00E60842" w14:paraId="6F2C1298" w14:textId="77777777" w:rsidTr="007E5022">
        <w:tc>
          <w:tcPr>
            <w:tcW w:w="1235" w:type="dxa"/>
          </w:tcPr>
          <w:p w14:paraId="1133B033" w14:textId="77777777" w:rsidR="00E60842" w:rsidRDefault="00E60842" w:rsidP="007E5022">
            <w:pPr>
              <w:pStyle w:val="BodyText"/>
            </w:pPr>
            <w:r>
              <w:t>Inception Phase Design Workshop</w:t>
            </w:r>
          </w:p>
        </w:tc>
        <w:tc>
          <w:tcPr>
            <w:tcW w:w="1235" w:type="dxa"/>
          </w:tcPr>
          <w:p w14:paraId="06FB4157" w14:textId="77777777" w:rsidR="00E60842" w:rsidRDefault="00E60842" w:rsidP="007E5022">
            <w:pPr>
              <w:pStyle w:val="BodyText"/>
            </w:pPr>
          </w:p>
        </w:tc>
        <w:tc>
          <w:tcPr>
            <w:tcW w:w="1240" w:type="dxa"/>
          </w:tcPr>
          <w:p w14:paraId="70064B8B" w14:textId="77777777" w:rsidR="00E60842" w:rsidRDefault="00E60842" w:rsidP="007E5022">
            <w:pPr>
              <w:pStyle w:val="BodyText"/>
            </w:pPr>
          </w:p>
        </w:tc>
        <w:tc>
          <w:tcPr>
            <w:tcW w:w="1245" w:type="dxa"/>
          </w:tcPr>
          <w:p w14:paraId="3C8D0264" w14:textId="77777777" w:rsidR="00E60842" w:rsidRDefault="00E60842" w:rsidP="007E5022">
            <w:pPr>
              <w:pStyle w:val="BodyText"/>
            </w:pPr>
          </w:p>
        </w:tc>
        <w:tc>
          <w:tcPr>
            <w:tcW w:w="1283" w:type="dxa"/>
          </w:tcPr>
          <w:p w14:paraId="08A18994" w14:textId="77777777" w:rsidR="00E60842" w:rsidRDefault="00E60842" w:rsidP="007E5022">
            <w:pPr>
              <w:pStyle w:val="BodyText"/>
            </w:pPr>
          </w:p>
        </w:tc>
        <w:tc>
          <w:tcPr>
            <w:tcW w:w="1243" w:type="dxa"/>
          </w:tcPr>
          <w:p w14:paraId="38279EAD" w14:textId="77777777" w:rsidR="00E60842" w:rsidRDefault="00E60842" w:rsidP="007E5022">
            <w:pPr>
              <w:pStyle w:val="BodyText"/>
            </w:pPr>
          </w:p>
        </w:tc>
        <w:tc>
          <w:tcPr>
            <w:tcW w:w="1235" w:type="dxa"/>
          </w:tcPr>
          <w:p w14:paraId="62FF1741" w14:textId="77777777" w:rsidR="00E60842" w:rsidRDefault="00E60842" w:rsidP="007E5022">
            <w:pPr>
              <w:pStyle w:val="BodyText"/>
            </w:pPr>
          </w:p>
        </w:tc>
      </w:tr>
      <w:tr w:rsidR="00E60842" w14:paraId="1255F6F4" w14:textId="77777777" w:rsidTr="007E5022">
        <w:tc>
          <w:tcPr>
            <w:tcW w:w="1235" w:type="dxa"/>
          </w:tcPr>
          <w:p w14:paraId="08D24656" w14:textId="77777777" w:rsidR="00E60842" w:rsidRDefault="00E60842" w:rsidP="007E5022">
            <w:pPr>
              <w:pStyle w:val="BodyText"/>
            </w:pPr>
            <w:r>
              <w:t>Advice from Fund Management Facility and/or MERP</w:t>
            </w:r>
          </w:p>
        </w:tc>
        <w:tc>
          <w:tcPr>
            <w:tcW w:w="1235" w:type="dxa"/>
          </w:tcPr>
          <w:p w14:paraId="05E10120" w14:textId="77777777" w:rsidR="00E60842" w:rsidRDefault="00E60842" w:rsidP="007E5022">
            <w:pPr>
              <w:pStyle w:val="BodyText"/>
            </w:pPr>
          </w:p>
        </w:tc>
        <w:tc>
          <w:tcPr>
            <w:tcW w:w="1240" w:type="dxa"/>
          </w:tcPr>
          <w:p w14:paraId="23F4DEBA" w14:textId="77777777" w:rsidR="00E60842" w:rsidRDefault="00E60842" w:rsidP="007E5022">
            <w:pPr>
              <w:pStyle w:val="BodyText"/>
            </w:pPr>
          </w:p>
        </w:tc>
        <w:tc>
          <w:tcPr>
            <w:tcW w:w="1245" w:type="dxa"/>
          </w:tcPr>
          <w:p w14:paraId="04113E98" w14:textId="77777777" w:rsidR="00E60842" w:rsidRDefault="00E60842" w:rsidP="007E5022">
            <w:pPr>
              <w:pStyle w:val="BodyText"/>
            </w:pPr>
          </w:p>
        </w:tc>
        <w:tc>
          <w:tcPr>
            <w:tcW w:w="1283" w:type="dxa"/>
          </w:tcPr>
          <w:p w14:paraId="249B0977" w14:textId="77777777" w:rsidR="00E60842" w:rsidRDefault="00E60842" w:rsidP="007E5022">
            <w:pPr>
              <w:pStyle w:val="BodyText"/>
            </w:pPr>
          </w:p>
        </w:tc>
        <w:tc>
          <w:tcPr>
            <w:tcW w:w="1243" w:type="dxa"/>
          </w:tcPr>
          <w:p w14:paraId="6AC6CF34" w14:textId="77777777" w:rsidR="00E60842" w:rsidRDefault="00E60842" w:rsidP="007E5022">
            <w:pPr>
              <w:pStyle w:val="BodyText"/>
            </w:pPr>
          </w:p>
        </w:tc>
        <w:tc>
          <w:tcPr>
            <w:tcW w:w="1235" w:type="dxa"/>
          </w:tcPr>
          <w:p w14:paraId="6807E7D6" w14:textId="77777777" w:rsidR="00E60842" w:rsidRDefault="00E60842" w:rsidP="007E5022">
            <w:pPr>
              <w:pStyle w:val="BodyText"/>
            </w:pPr>
          </w:p>
        </w:tc>
      </w:tr>
      <w:tr w:rsidR="00E60842" w14:paraId="24A538CC" w14:textId="77777777" w:rsidTr="007E5022">
        <w:tc>
          <w:tcPr>
            <w:tcW w:w="1235" w:type="dxa"/>
          </w:tcPr>
          <w:p w14:paraId="06EFABF0" w14:textId="77777777" w:rsidR="00E60842" w:rsidRDefault="00E60842" w:rsidP="007E5022">
            <w:pPr>
              <w:pStyle w:val="BodyText"/>
            </w:pPr>
            <w:r>
              <w:t>Advice on gender equality issues</w:t>
            </w:r>
          </w:p>
        </w:tc>
        <w:tc>
          <w:tcPr>
            <w:tcW w:w="1235" w:type="dxa"/>
          </w:tcPr>
          <w:p w14:paraId="33A3B9A1" w14:textId="77777777" w:rsidR="00E60842" w:rsidRDefault="00E60842" w:rsidP="007E5022">
            <w:pPr>
              <w:pStyle w:val="BodyText"/>
            </w:pPr>
          </w:p>
        </w:tc>
        <w:tc>
          <w:tcPr>
            <w:tcW w:w="1240" w:type="dxa"/>
          </w:tcPr>
          <w:p w14:paraId="2B152C1B" w14:textId="77777777" w:rsidR="00E60842" w:rsidRDefault="00E60842" w:rsidP="007E5022">
            <w:pPr>
              <w:pStyle w:val="BodyText"/>
            </w:pPr>
          </w:p>
        </w:tc>
        <w:tc>
          <w:tcPr>
            <w:tcW w:w="1245" w:type="dxa"/>
          </w:tcPr>
          <w:p w14:paraId="6649E0BF" w14:textId="77777777" w:rsidR="00E60842" w:rsidRDefault="00E60842" w:rsidP="007E5022">
            <w:pPr>
              <w:pStyle w:val="BodyText"/>
            </w:pPr>
          </w:p>
        </w:tc>
        <w:tc>
          <w:tcPr>
            <w:tcW w:w="1283" w:type="dxa"/>
          </w:tcPr>
          <w:p w14:paraId="3B3FF087" w14:textId="77777777" w:rsidR="00E60842" w:rsidRDefault="00E60842" w:rsidP="007E5022">
            <w:pPr>
              <w:pStyle w:val="BodyText"/>
            </w:pPr>
          </w:p>
        </w:tc>
        <w:tc>
          <w:tcPr>
            <w:tcW w:w="1243" w:type="dxa"/>
          </w:tcPr>
          <w:p w14:paraId="1EFB4F86" w14:textId="77777777" w:rsidR="00E60842" w:rsidRDefault="00E60842" w:rsidP="007E5022">
            <w:pPr>
              <w:pStyle w:val="BodyText"/>
            </w:pPr>
          </w:p>
        </w:tc>
        <w:tc>
          <w:tcPr>
            <w:tcW w:w="1235" w:type="dxa"/>
          </w:tcPr>
          <w:p w14:paraId="2A269169" w14:textId="77777777" w:rsidR="00E60842" w:rsidRDefault="00E60842" w:rsidP="007E5022">
            <w:pPr>
              <w:pStyle w:val="BodyText"/>
            </w:pPr>
          </w:p>
        </w:tc>
      </w:tr>
      <w:tr w:rsidR="00E60842" w14:paraId="1ACD1709" w14:textId="77777777" w:rsidTr="007E5022">
        <w:tc>
          <w:tcPr>
            <w:tcW w:w="1235" w:type="dxa"/>
          </w:tcPr>
          <w:p w14:paraId="7180A0CE" w14:textId="77777777" w:rsidR="00E60842" w:rsidRDefault="00E60842" w:rsidP="007E5022">
            <w:pPr>
              <w:pStyle w:val="BodyText"/>
            </w:pPr>
            <w:r>
              <w:t xml:space="preserve">Advice on disability inclusiveness issues </w:t>
            </w:r>
          </w:p>
        </w:tc>
        <w:tc>
          <w:tcPr>
            <w:tcW w:w="1235" w:type="dxa"/>
          </w:tcPr>
          <w:p w14:paraId="6EA5EF9A" w14:textId="77777777" w:rsidR="00E60842" w:rsidRDefault="00E60842" w:rsidP="007E5022">
            <w:pPr>
              <w:pStyle w:val="BodyText"/>
            </w:pPr>
          </w:p>
        </w:tc>
        <w:tc>
          <w:tcPr>
            <w:tcW w:w="1240" w:type="dxa"/>
          </w:tcPr>
          <w:p w14:paraId="6EE5CF05" w14:textId="77777777" w:rsidR="00E60842" w:rsidRDefault="00E60842" w:rsidP="007E5022">
            <w:pPr>
              <w:pStyle w:val="BodyText"/>
            </w:pPr>
          </w:p>
        </w:tc>
        <w:tc>
          <w:tcPr>
            <w:tcW w:w="1245" w:type="dxa"/>
          </w:tcPr>
          <w:p w14:paraId="0143D833" w14:textId="77777777" w:rsidR="00E60842" w:rsidRDefault="00E60842" w:rsidP="007E5022">
            <w:pPr>
              <w:pStyle w:val="BodyText"/>
            </w:pPr>
          </w:p>
        </w:tc>
        <w:tc>
          <w:tcPr>
            <w:tcW w:w="1283" w:type="dxa"/>
          </w:tcPr>
          <w:p w14:paraId="22C9C6DD" w14:textId="77777777" w:rsidR="00E60842" w:rsidRDefault="00E60842" w:rsidP="007E5022">
            <w:pPr>
              <w:pStyle w:val="BodyText"/>
            </w:pPr>
          </w:p>
        </w:tc>
        <w:tc>
          <w:tcPr>
            <w:tcW w:w="1243" w:type="dxa"/>
          </w:tcPr>
          <w:p w14:paraId="31DED7D1" w14:textId="77777777" w:rsidR="00E60842" w:rsidRDefault="00E60842" w:rsidP="007E5022">
            <w:pPr>
              <w:pStyle w:val="BodyText"/>
            </w:pPr>
          </w:p>
        </w:tc>
        <w:tc>
          <w:tcPr>
            <w:tcW w:w="1235" w:type="dxa"/>
          </w:tcPr>
          <w:p w14:paraId="4D0A2F80" w14:textId="77777777" w:rsidR="00E60842" w:rsidRDefault="00E60842" w:rsidP="007E5022">
            <w:pPr>
              <w:pStyle w:val="BodyText"/>
            </w:pPr>
          </w:p>
        </w:tc>
      </w:tr>
      <w:tr w:rsidR="00E60842" w14:paraId="232C6885" w14:textId="77777777" w:rsidTr="007E5022">
        <w:tc>
          <w:tcPr>
            <w:tcW w:w="1235" w:type="dxa"/>
          </w:tcPr>
          <w:p w14:paraId="48F961AD" w14:textId="77777777" w:rsidR="00E60842" w:rsidRDefault="00E60842" w:rsidP="007E5022">
            <w:pPr>
              <w:pStyle w:val="BodyText"/>
            </w:pPr>
            <w:r>
              <w:t>Other (please specify)</w:t>
            </w:r>
          </w:p>
        </w:tc>
        <w:tc>
          <w:tcPr>
            <w:tcW w:w="1235" w:type="dxa"/>
          </w:tcPr>
          <w:p w14:paraId="22250689" w14:textId="77777777" w:rsidR="00E60842" w:rsidRDefault="00E60842" w:rsidP="007E5022">
            <w:pPr>
              <w:pStyle w:val="BodyText"/>
            </w:pPr>
          </w:p>
        </w:tc>
        <w:tc>
          <w:tcPr>
            <w:tcW w:w="1240" w:type="dxa"/>
          </w:tcPr>
          <w:p w14:paraId="017883B3" w14:textId="77777777" w:rsidR="00E60842" w:rsidRDefault="00E60842" w:rsidP="007E5022">
            <w:pPr>
              <w:pStyle w:val="BodyText"/>
            </w:pPr>
          </w:p>
        </w:tc>
        <w:tc>
          <w:tcPr>
            <w:tcW w:w="1245" w:type="dxa"/>
          </w:tcPr>
          <w:p w14:paraId="076119E9" w14:textId="77777777" w:rsidR="00E60842" w:rsidRDefault="00E60842" w:rsidP="007E5022">
            <w:pPr>
              <w:pStyle w:val="BodyText"/>
            </w:pPr>
          </w:p>
        </w:tc>
        <w:tc>
          <w:tcPr>
            <w:tcW w:w="1283" w:type="dxa"/>
          </w:tcPr>
          <w:p w14:paraId="332BB5BF" w14:textId="77777777" w:rsidR="00E60842" w:rsidRDefault="00E60842" w:rsidP="007E5022">
            <w:pPr>
              <w:pStyle w:val="BodyText"/>
            </w:pPr>
          </w:p>
        </w:tc>
        <w:tc>
          <w:tcPr>
            <w:tcW w:w="1243" w:type="dxa"/>
          </w:tcPr>
          <w:p w14:paraId="2EE824E9" w14:textId="77777777" w:rsidR="00E60842" w:rsidRDefault="00E60842" w:rsidP="007E5022">
            <w:pPr>
              <w:pStyle w:val="BodyText"/>
            </w:pPr>
          </w:p>
        </w:tc>
        <w:tc>
          <w:tcPr>
            <w:tcW w:w="1235" w:type="dxa"/>
          </w:tcPr>
          <w:p w14:paraId="1ADCC98A" w14:textId="77777777" w:rsidR="00E60842" w:rsidRDefault="00E60842" w:rsidP="007E5022">
            <w:pPr>
              <w:pStyle w:val="BodyText"/>
            </w:pPr>
          </w:p>
        </w:tc>
      </w:tr>
    </w:tbl>
    <w:p w14:paraId="79B28D0B" w14:textId="77777777" w:rsidR="00E60842" w:rsidRPr="001F058E" w:rsidRDefault="00E60842" w:rsidP="00E60842">
      <w:pPr>
        <w:pStyle w:val="BodyText"/>
      </w:pPr>
    </w:p>
    <w:p w14:paraId="51D9D592" w14:textId="77777777" w:rsidR="00E60842" w:rsidRDefault="00E60842" w:rsidP="00E60842">
      <w:pPr>
        <w:pStyle w:val="Heading3"/>
      </w:pPr>
      <w:r>
        <w:t>D. Fund M&amp;E and engagement with the Monitoring, Review and Evaluation Panel (MERP)</w:t>
      </w:r>
    </w:p>
    <w:p w14:paraId="2CE319EE" w14:textId="77777777" w:rsidR="00E60842" w:rsidRDefault="00E60842" w:rsidP="00E60842">
      <w:pPr>
        <w:pStyle w:val="BodyText"/>
      </w:pPr>
      <w:r>
        <w:t xml:space="preserve">These questions relate to the Fund’s monitoring and evaluation system your engagement with the Monitoring, Review and Evaluation Panel: Bruce Bailey, Paul Crawford and Paul Tyndale-Biscoe. </w:t>
      </w:r>
    </w:p>
    <w:p w14:paraId="1F669BC6" w14:textId="77777777" w:rsidR="00E60842" w:rsidRPr="00A900A3" w:rsidRDefault="00E60842" w:rsidP="00E60842">
      <w:pPr>
        <w:pStyle w:val="BodyText"/>
      </w:pPr>
      <w:r w:rsidRPr="00A900A3">
        <w:t xml:space="preserve">11. To what extent do you agree with the following </w:t>
      </w:r>
      <w:proofErr w:type="gramStart"/>
      <w:r w:rsidRPr="00A900A3">
        <w:t>statements:</w:t>
      </w:r>
      <w:proofErr w:type="gramEnd"/>
    </w:p>
    <w:tbl>
      <w:tblPr>
        <w:tblStyle w:val="TableGrid"/>
        <w:tblW w:w="0" w:type="auto"/>
        <w:tblLook w:val="04A0" w:firstRow="1" w:lastRow="0" w:firstColumn="1" w:lastColumn="0" w:noHBand="0" w:noVBand="1"/>
        <w:tblCaption w:val="Fund M&amp;E and MERP"/>
        <w:tblDescription w:val="The table outlines questions relating to CSOs engagement with the Fund's M&amp;E system and the MERP. "/>
      </w:tblPr>
      <w:tblGrid>
        <w:gridCol w:w="2518"/>
        <w:gridCol w:w="985"/>
        <w:gridCol w:w="1000"/>
        <w:gridCol w:w="1701"/>
        <w:gridCol w:w="911"/>
        <w:gridCol w:w="931"/>
      </w:tblGrid>
      <w:tr w:rsidR="00E60842" w14:paraId="3F31AE0E" w14:textId="77777777" w:rsidTr="007E5022">
        <w:tc>
          <w:tcPr>
            <w:tcW w:w="2518" w:type="dxa"/>
          </w:tcPr>
          <w:p w14:paraId="3E72CC61" w14:textId="77777777" w:rsidR="00E60842" w:rsidRDefault="00E60842" w:rsidP="007E5022">
            <w:pPr>
              <w:pStyle w:val="BodyText"/>
            </w:pPr>
          </w:p>
        </w:tc>
        <w:tc>
          <w:tcPr>
            <w:tcW w:w="985" w:type="dxa"/>
          </w:tcPr>
          <w:p w14:paraId="551769B9" w14:textId="77777777" w:rsidR="00E60842" w:rsidRDefault="00E60842" w:rsidP="007E5022">
            <w:pPr>
              <w:pStyle w:val="BodyText"/>
            </w:pPr>
            <w:r>
              <w:t>Strongly disagree</w:t>
            </w:r>
          </w:p>
        </w:tc>
        <w:tc>
          <w:tcPr>
            <w:tcW w:w="1000" w:type="dxa"/>
          </w:tcPr>
          <w:p w14:paraId="7E3FB8CB" w14:textId="77777777" w:rsidR="00E60842" w:rsidRDefault="00E60842" w:rsidP="007E5022">
            <w:pPr>
              <w:pStyle w:val="BodyText"/>
            </w:pPr>
            <w:r>
              <w:t>Disagree</w:t>
            </w:r>
          </w:p>
        </w:tc>
        <w:tc>
          <w:tcPr>
            <w:tcW w:w="1701" w:type="dxa"/>
          </w:tcPr>
          <w:p w14:paraId="6DA134BC" w14:textId="77777777" w:rsidR="00E60842" w:rsidRDefault="00E60842" w:rsidP="007E5022">
            <w:pPr>
              <w:pStyle w:val="BodyText"/>
            </w:pPr>
            <w:r>
              <w:t>Neither agree or disagree</w:t>
            </w:r>
          </w:p>
        </w:tc>
        <w:tc>
          <w:tcPr>
            <w:tcW w:w="911" w:type="dxa"/>
          </w:tcPr>
          <w:p w14:paraId="5C710D33" w14:textId="77777777" w:rsidR="00E60842" w:rsidRDefault="00E60842" w:rsidP="007E5022">
            <w:pPr>
              <w:pStyle w:val="BodyText"/>
            </w:pPr>
            <w:r>
              <w:t>Agree</w:t>
            </w:r>
          </w:p>
        </w:tc>
        <w:tc>
          <w:tcPr>
            <w:tcW w:w="931" w:type="dxa"/>
          </w:tcPr>
          <w:p w14:paraId="781455EF" w14:textId="77777777" w:rsidR="00E60842" w:rsidRDefault="00E60842" w:rsidP="007E5022">
            <w:pPr>
              <w:pStyle w:val="BodyText"/>
            </w:pPr>
            <w:r>
              <w:t>Strongly agree</w:t>
            </w:r>
          </w:p>
        </w:tc>
      </w:tr>
      <w:tr w:rsidR="00E60842" w14:paraId="7AA05319" w14:textId="77777777" w:rsidTr="007E5022">
        <w:tc>
          <w:tcPr>
            <w:tcW w:w="2518" w:type="dxa"/>
          </w:tcPr>
          <w:p w14:paraId="6FEF2F37" w14:textId="77777777" w:rsidR="00E60842" w:rsidRDefault="00E60842" w:rsidP="007E5022">
            <w:pPr>
              <w:pStyle w:val="BodyText"/>
            </w:pPr>
            <w:r>
              <w:t>The M&amp;E reports (e.g. 6 monthly reports) we provide to the Fund Management Facility and DFAT are also useful to our organisation.</w:t>
            </w:r>
          </w:p>
        </w:tc>
        <w:tc>
          <w:tcPr>
            <w:tcW w:w="985" w:type="dxa"/>
          </w:tcPr>
          <w:p w14:paraId="45F352E8" w14:textId="77777777" w:rsidR="00E60842" w:rsidRDefault="00E60842" w:rsidP="007E5022">
            <w:pPr>
              <w:pStyle w:val="BodyText"/>
            </w:pPr>
          </w:p>
        </w:tc>
        <w:tc>
          <w:tcPr>
            <w:tcW w:w="1000" w:type="dxa"/>
          </w:tcPr>
          <w:p w14:paraId="22C066EC" w14:textId="77777777" w:rsidR="00E60842" w:rsidRDefault="00E60842" w:rsidP="007E5022">
            <w:pPr>
              <w:pStyle w:val="BodyText"/>
            </w:pPr>
          </w:p>
        </w:tc>
        <w:tc>
          <w:tcPr>
            <w:tcW w:w="1701" w:type="dxa"/>
          </w:tcPr>
          <w:p w14:paraId="4A394101" w14:textId="77777777" w:rsidR="00E60842" w:rsidRDefault="00E60842" w:rsidP="007E5022">
            <w:pPr>
              <w:pStyle w:val="BodyText"/>
            </w:pPr>
          </w:p>
        </w:tc>
        <w:tc>
          <w:tcPr>
            <w:tcW w:w="911" w:type="dxa"/>
          </w:tcPr>
          <w:p w14:paraId="117F91F7" w14:textId="77777777" w:rsidR="00E60842" w:rsidRDefault="00E60842" w:rsidP="007E5022">
            <w:pPr>
              <w:pStyle w:val="BodyText"/>
            </w:pPr>
          </w:p>
        </w:tc>
        <w:tc>
          <w:tcPr>
            <w:tcW w:w="931" w:type="dxa"/>
          </w:tcPr>
          <w:p w14:paraId="660F78F6" w14:textId="77777777" w:rsidR="00E60842" w:rsidRDefault="00E60842" w:rsidP="007E5022">
            <w:pPr>
              <w:pStyle w:val="BodyText"/>
            </w:pPr>
          </w:p>
        </w:tc>
      </w:tr>
      <w:tr w:rsidR="00E60842" w14:paraId="008CCA74" w14:textId="77777777" w:rsidTr="007E5022">
        <w:tc>
          <w:tcPr>
            <w:tcW w:w="2518" w:type="dxa"/>
          </w:tcPr>
          <w:p w14:paraId="73A0EF33" w14:textId="77777777" w:rsidR="00E60842" w:rsidRDefault="00E60842" w:rsidP="007E5022">
            <w:pPr>
              <w:pStyle w:val="BodyText"/>
            </w:pPr>
            <w:r>
              <w:t>The M&amp;E reports (e.g. 6 monthly reports) we provide to the Fund Management Facility and DFAT help us make improvements to our project</w:t>
            </w:r>
          </w:p>
        </w:tc>
        <w:tc>
          <w:tcPr>
            <w:tcW w:w="985" w:type="dxa"/>
          </w:tcPr>
          <w:p w14:paraId="000560F5" w14:textId="77777777" w:rsidR="00E60842" w:rsidRDefault="00E60842" w:rsidP="007E5022">
            <w:pPr>
              <w:pStyle w:val="BodyText"/>
            </w:pPr>
          </w:p>
        </w:tc>
        <w:tc>
          <w:tcPr>
            <w:tcW w:w="1000" w:type="dxa"/>
          </w:tcPr>
          <w:p w14:paraId="696539FE" w14:textId="77777777" w:rsidR="00E60842" w:rsidRDefault="00E60842" w:rsidP="007E5022">
            <w:pPr>
              <w:pStyle w:val="BodyText"/>
            </w:pPr>
          </w:p>
        </w:tc>
        <w:tc>
          <w:tcPr>
            <w:tcW w:w="1701" w:type="dxa"/>
          </w:tcPr>
          <w:p w14:paraId="6B6EBECE" w14:textId="77777777" w:rsidR="00E60842" w:rsidRDefault="00E60842" w:rsidP="007E5022">
            <w:pPr>
              <w:pStyle w:val="BodyText"/>
            </w:pPr>
          </w:p>
        </w:tc>
        <w:tc>
          <w:tcPr>
            <w:tcW w:w="911" w:type="dxa"/>
          </w:tcPr>
          <w:p w14:paraId="129AE45E" w14:textId="77777777" w:rsidR="00E60842" w:rsidRDefault="00E60842" w:rsidP="007E5022">
            <w:pPr>
              <w:pStyle w:val="BodyText"/>
            </w:pPr>
          </w:p>
        </w:tc>
        <w:tc>
          <w:tcPr>
            <w:tcW w:w="931" w:type="dxa"/>
          </w:tcPr>
          <w:p w14:paraId="5B37A39E" w14:textId="77777777" w:rsidR="00E60842" w:rsidRDefault="00E60842" w:rsidP="007E5022">
            <w:pPr>
              <w:pStyle w:val="BodyText"/>
            </w:pPr>
          </w:p>
        </w:tc>
      </w:tr>
      <w:tr w:rsidR="00E60842" w14:paraId="7C1CD8FA" w14:textId="77777777" w:rsidTr="007E5022">
        <w:tc>
          <w:tcPr>
            <w:tcW w:w="2518" w:type="dxa"/>
          </w:tcPr>
          <w:p w14:paraId="343F86C1" w14:textId="77777777" w:rsidR="00E60842" w:rsidRDefault="00E60842" w:rsidP="007E5022">
            <w:pPr>
              <w:pStyle w:val="BodyText"/>
            </w:pPr>
            <w:r>
              <w:t>The level of reporting required for our project is overly onerous</w:t>
            </w:r>
          </w:p>
        </w:tc>
        <w:tc>
          <w:tcPr>
            <w:tcW w:w="985" w:type="dxa"/>
          </w:tcPr>
          <w:p w14:paraId="04215FF4" w14:textId="77777777" w:rsidR="00E60842" w:rsidRDefault="00E60842" w:rsidP="007E5022">
            <w:pPr>
              <w:pStyle w:val="BodyText"/>
            </w:pPr>
          </w:p>
        </w:tc>
        <w:tc>
          <w:tcPr>
            <w:tcW w:w="1000" w:type="dxa"/>
          </w:tcPr>
          <w:p w14:paraId="0F6AB759" w14:textId="77777777" w:rsidR="00E60842" w:rsidRDefault="00E60842" w:rsidP="007E5022">
            <w:pPr>
              <w:pStyle w:val="BodyText"/>
            </w:pPr>
          </w:p>
        </w:tc>
        <w:tc>
          <w:tcPr>
            <w:tcW w:w="1701" w:type="dxa"/>
          </w:tcPr>
          <w:p w14:paraId="0C0886CC" w14:textId="77777777" w:rsidR="00E60842" w:rsidRDefault="00E60842" w:rsidP="007E5022">
            <w:pPr>
              <w:pStyle w:val="BodyText"/>
            </w:pPr>
          </w:p>
        </w:tc>
        <w:tc>
          <w:tcPr>
            <w:tcW w:w="911" w:type="dxa"/>
          </w:tcPr>
          <w:p w14:paraId="3E27F772" w14:textId="77777777" w:rsidR="00E60842" w:rsidRDefault="00E60842" w:rsidP="007E5022">
            <w:pPr>
              <w:pStyle w:val="BodyText"/>
            </w:pPr>
          </w:p>
        </w:tc>
        <w:tc>
          <w:tcPr>
            <w:tcW w:w="931" w:type="dxa"/>
          </w:tcPr>
          <w:p w14:paraId="1E4C9C82" w14:textId="77777777" w:rsidR="00E60842" w:rsidRDefault="00E60842" w:rsidP="007E5022">
            <w:pPr>
              <w:pStyle w:val="BodyText"/>
            </w:pPr>
          </w:p>
        </w:tc>
      </w:tr>
      <w:tr w:rsidR="00E60842" w14:paraId="2E6D1B16" w14:textId="77777777" w:rsidTr="007E5022">
        <w:tc>
          <w:tcPr>
            <w:tcW w:w="2518" w:type="dxa"/>
          </w:tcPr>
          <w:p w14:paraId="79BCE009" w14:textId="77777777" w:rsidR="00E60842" w:rsidRDefault="00E60842" w:rsidP="007E5022">
            <w:pPr>
              <w:pStyle w:val="BodyText"/>
            </w:pPr>
            <w:r>
              <w:t>The Fund’s monitoring and evaluation system adds more cost to the way we do things without improving our project</w:t>
            </w:r>
          </w:p>
        </w:tc>
        <w:tc>
          <w:tcPr>
            <w:tcW w:w="985" w:type="dxa"/>
          </w:tcPr>
          <w:p w14:paraId="5DEBA4CA" w14:textId="77777777" w:rsidR="00E60842" w:rsidRDefault="00E60842" w:rsidP="007E5022">
            <w:pPr>
              <w:pStyle w:val="BodyText"/>
            </w:pPr>
          </w:p>
        </w:tc>
        <w:tc>
          <w:tcPr>
            <w:tcW w:w="1000" w:type="dxa"/>
          </w:tcPr>
          <w:p w14:paraId="341DCC66" w14:textId="77777777" w:rsidR="00E60842" w:rsidRDefault="00E60842" w:rsidP="007E5022">
            <w:pPr>
              <w:pStyle w:val="BodyText"/>
            </w:pPr>
          </w:p>
        </w:tc>
        <w:tc>
          <w:tcPr>
            <w:tcW w:w="1701" w:type="dxa"/>
          </w:tcPr>
          <w:p w14:paraId="763737EC" w14:textId="77777777" w:rsidR="00E60842" w:rsidRDefault="00E60842" w:rsidP="007E5022">
            <w:pPr>
              <w:pStyle w:val="BodyText"/>
            </w:pPr>
          </w:p>
        </w:tc>
        <w:tc>
          <w:tcPr>
            <w:tcW w:w="911" w:type="dxa"/>
          </w:tcPr>
          <w:p w14:paraId="3F6954E4" w14:textId="77777777" w:rsidR="00E60842" w:rsidRDefault="00E60842" w:rsidP="007E5022">
            <w:pPr>
              <w:pStyle w:val="BodyText"/>
            </w:pPr>
          </w:p>
        </w:tc>
        <w:tc>
          <w:tcPr>
            <w:tcW w:w="931" w:type="dxa"/>
          </w:tcPr>
          <w:p w14:paraId="46EA87EB" w14:textId="77777777" w:rsidR="00E60842" w:rsidRDefault="00E60842" w:rsidP="007E5022">
            <w:pPr>
              <w:pStyle w:val="BodyText"/>
            </w:pPr>
          </w:p>
        </w:tc>
      </w:tr>
      <w:tr w:rsidR="00E60842" w14:paraId="32F95631" w14:textId="77777777" w:rsidTr="007E5022">
        <w:tc>
          <w:tcPr>
            <w:tcW w:w="2518" w:type="dxa"/>
          </w:tcPr>
          <w:p w14:paraId="2AB4F73B" w14:textId="77777777" w:rsidR="00E60842" w:rsidRDefault="00E60842" w:rsidP="007E5022">
            <w:pPr>
              <w:pStyle w:val="BodyText"/>
            </w:pPr>
            <w:r>
              <w:t>The Fund’s monitoring and evaluation system helps our project identify learnings which can be shared across the Fund</w:t>
            </w:r>
          </w:p>
        </w:tc>
        <w:tc>
          <w:tcPr>
            <w:tcW w:w="985" w:type="dxa"/>
          </w:tcPr>
          <w:p w14:paraId="7B7D5CE9" w14:textId="77777777" w:rsidR="00E60842" w:rsidRDefault="00E60842" w:rsidP="007E5022">
            <w:pPr>
              <w:pStyle w:val="BodyText"/>
            </w:pPr>
          </w:p>
        </w:tc>
        <w:tc>
          <w:tcPr>
            <w:tcW w:w="1000" w:type="dxa"/>
          </w:tcPr>
          <w:p w14:paraId="1362459E" w14:textId="77777777" w:rsidR="00E60842" w:rsidRDefault="00E60842" w:rsidP="007E5022">
            <w:pPr>
              <w:pStyle w:val="BodyText"/>
            </w:pPr>
          </w:p>
        </w:tc>
        <w:tc>
          <w:tcPr>
            <w:tcW w:w="1701" w:type="dxa"/>
          </w:tcPr>
          <w:p w14:paraId="3C157253" w14:textId="77777777" w:rsidR="00E60842" w:rsidRDefault="00E60842" w:rsidP="007E5022">
            <w:pPr>
              <w:pStyle w:val="BodyText"/>
            </w:pPr>
          </w:p>
        </w:tc>
        <w:tc>
          <w:tcPr>
            <w:tcW w:w="911" w:type="dxa"/>
          </w:tcPr>
          <w:p w14:paraId="1DCFAF46" w14:textId="77777777" w:rsidR="00E60842" w:rsidRDefault="00E60842" w:rsidP="007E5022">
            <w:pPr>
              <w:pStyle w:val="BodyText"/>
            </w:pPr>
          </w:p>
        </w:tc>
        <w:tc>
          <w:tcPr>
            <w:tcW w:w="931" w:type="dxa"/>
          </w:tcPr>
          <w:p w14:paraId="4383D118" w14:textId="77777777" w:rsidR="00E60842" w:rsidRDefault="00E60842" w:rsidP="007E5022">
            <w:pPr>
              <w:pStyle w:val="BodyText"/>
            </w:pPr>
          </w:p>
        </w:tc>
      </w:tr>
      <w:tr w:rsidR="00E60842" w14:paraId="082D2E0D" w14:textId="77777777" w:rsidTr="007E5022">
        <w:tc>
          <w:tcPr>
            <w:tcW w:w="2518" w:type="dxa"/>
          </w:tcPr>
          <w:p w14:paraId="226C72CA" w14:textId="77777777" w:rsidR="00E60842" w:rsidRDefault="00E60842" w:rsidP="007E5022">
            <w:pPr>
              <w:pStyle w:val="BodyText"/>
            </w:pPr>
            <w:r>
              <w:t>The Fund’s M&amp;E arrangements enable my project to adapt and change to accommodate learnings during implementation</w:t>
            </w:r>
          </w:p>
        </w:tc>
        <w:tc>
          <w:tcPr>
            <w:tcW w:w="985" w:type="dxa"/>
          </w:tcPr>
          <w:p w14:paraId="357C72D2" w14:textId="77777777" w:rsidR="00E60842" w:rsidRDefault="00E60842" w:rsidP="007E5022">
            <w:pPr>
              <w:pStyle w:val="BodyText"/>
            </w:pPr>
          </w:p>
        </w:tc>
        <w:tc>
          <w:tcPr>
            <w:tcW w:w="1000" w:type="dxa"/>
          </w:tcPr>
          <w:p w14:paraId="024DA80D" w14:textId="77777777" w:rsidR="00E60842" w:rsidRDefault="00E60842" w:rsidP="007E5022">
            <w:pPr>
              <w:pStyle w:val="BodyText"/>
            </w:pPr>
          </w:p>
        </w:tc>
        <w:tc>
          <w:tcPr>
            <w:tcW w:w="1701" w:type="dxa"/>
          </w:tcPr>
          <w:p w14:paraId="7834B251" w14:textId="77777777" w:rsidR="00E60842" w:rsidRDefault="00E60842" w:rsidP="007E5022">
            <w:pPr>
              <w:pStyle w:val="BodyText"/>
            </w:pPr>
          </w:p>
        </w:tc>
        <w:tc>
          <w:tcPr>
            <w:tcW w:w="911" w:type="dxa"/>
          </w:tcPr>
          <w:p w14:paraId="18A9C517" w14:textId="77777777" w:rsidR="00E60842" w:rsidRDefault="00E60842" w:rsidP="007E5022">
            <w:pPr>
              <w:pStyle w:val="BodyText"/>
            </w:pPr>
          </w:p>
        </w:tc>
        <w:tc>
          <w:tcPr>
            <w:tcW w:w="931" w:type="dxa"/>
          </w:tcPr>
          <w:p w14:paraId="43FAD0E8" w14:textId="77777777" w:rsidR="00E60842" w:rsidRDefault="00E60842" w:rsidP="007E5022">
            <w:pPr>
              <w:pStyle w:val="BodyText"/>
            </w:pPr>
          </w:p>
        </w:tc>
      </w:tr>
      <w:tr w:rsidR="00E60842" w14:paraId="3250DA07" w14:textId="77777777" w:rsidTr="007E5022">
        <w:tc>
          <w:tcPr>
            <w:tcW w:w="2518" w:type="dxa"/>
          </w:tcPr>
          <w:p w14:paraId="484C4D10" w14:textId="77777777" w:rsidR="00E60842" w:rsidRDefault="00E60842" w:rsidP="007E5022">
            <w:pPr>
              <w:pStyle w:val="BodyText"/>
            </w:pPr>
            <w:r>
              <w:t xml:space="preserve">The requirement for a Gender equality and social inclusion (GeSI) operational plan and related Key Performance Indicators and Questions has strengthened my project’s approach to gender equality </w:t>
            </w:r>
          </w:p>
        </w:tc>
        <w:tc>
          <w:tcPr>
            <w:tcW w:w="985" w:type="dxa"/>
          </w:tcPr>
          <w:p w14:paraId="32353C53" w14:textId="77777777" w:rsidR="00E60842" w:rsidRDefault="00E60842" w:rsidP="007E5022">
            <w:pPr>
              <w:pStyle w:val="BodyText"/>
            </w:pPr>
          </w:p>
        </w:tc>
        <w:tc>
          <w:tcPr>
            <w:tcW w:w="1000" w:type="dxa"/>
          </w:tcPr>
          <w:p w14:paraId="3F580A01" w14:textId="77777777" w:rsidR="00E60842" w:rsidRDefault="00E60842" w:rsidP="007E5022">
            <w:pPr>
              <w:pStyle w:val="BodyText"/>
            </w:pPr>
          </w:p>
        </w:tc>
        <w:tc>
          <w:tcPr>
            <w:tcW w:w="1701" w:type="dxa"/>
          </w:tcPr>
          <w:p w14:paraId="2F8497A4" w14:textId="77777777" w:rsidR="00E60842" w:rsidRDefault="00E60842" w:rsidP="007E5022">
            <w:pPr>
              <w:pStyle w:val="BodyText"/>
            </w:pPr>
          </w:p>
        </w:tc>
        <w:tc>
          <w:tcPr>
            <w:tcW w:w="911" w:type="dxa"/>
          </w:tcPr>
          <w:p w14:paraId="0CBA28CD" w14:textId="77777777" w:rsidR="00E60842" w:rsidRDefault="00E60842" w:rsidP="007E5022">
            <w:pPr>
              <w:pStyle w:val="BodyText"/>
            </w:pPr>
          </w:p>
        </w:tc>
        <w:tc>
          <w:tcPr>
            <w:tcW w:w="931" w:type="dxa"/>
          </w:tcPr>
          <w:p w14:paraId="5CBBF91E" w14:textId="77777777" w:rsidR="00E60842" w:rsidRDefault="00E60842" w:rsidP="007E5022">
            <w:pPr>
              <w:pStyle w:val="BodyText"/>
            </w:pPr>
          </w:p>
        </w:tc>
      </w:tr>
      <w:tr w:rsidR="00E60842" w14:paraId="11DF9258" w14:textId="77777777" w:rsidTr="007E5022">
        <w:tc>
          <w:tcPr>
            <w:tcW w:w="2518" w:type="dxa"/>
          </w:tcPr>
          <w:p w14:paraId="62C9081F" w14:textId="77777777" w:rsidR="00E60842" w:rsidRDefault="00E60842" w:rsidP="007E5022">
            <w:pPr>
              <w:pStyle w:val="BodyText"/>
            </w:pPr>
            <w:r>
              <w:t>The requirement for a Gender equality and social inclusion (GeSI) operational plan and related Key Performance Indicators and Questions has strengthened my project’s approach to disability inclusiveness</w:t>
            </w:r>
          </w:p>
        </w:tc>
        <w:tc>
          <w:tcPr>
            <w:tcW w:w="985" w:type="dxa"/>
          </w:tcPr>
          <w:p w14:paraId="55497556" w14:textId="77777777" w:rsidR="00E60842" w:rsidRDefault="00E60842" w:rsidP="007E5022">
            <w:pPr>
              <w:pStyle w:val="BodyText"/>
            </w:pPr>
          </w:p>
        </w:tc>
        <w:tc>
          <w:tcPr>
            <w:tcW w:w="1000" w:type="dxa"/>
          </w:tcPr>
          <w:p w14:paraId="7E27498B" w14:textId="77777777" w:rsidR="00E60842" w:rsidRDefault="00E60842" w:rsidP="007E5022">
            <w:pPr>
              <w:pStyle w:val="BodyText"/>
            </w:pPr>
          </w:p>
        </w:tc>
        <w:tc>
          <w:tcPr>
            <w:tcW w:w="1701" w:type="dxa"/>
          </w:tcPr>
          <w:p w14:paraId="443D4984" w14:textId="77777777" w:rsidR="00E60842" w:rsidRDefault="00E60842" w:rsidP="007E5022">
            <w:pPr>
              <w:pStyle w:val="BodyText"/>
            </w:pPr>
          </w:p>
        </w:tc>
        <w:tc>
          <w:tcPr>
            <w:tcW w:w="911" w:type="dxa"/>
          </w:tcPr>
          <w:p w14:paraId="7E3A15B4" w14:textId="77777777" w:rsidR="00E60842" w:rsidRDefault="00E60842" w:rsidP="007E5022">
            <w:pPr>
              <w:pStyle w:val="BodyText"/>
            </w:pPr>
          </w:p>
        </w:tc>
        <w:tc>
          <w:tcPr>
            <w:tcW w:w="931" w:type="dxa"/>
          </w:tcPr>
          <w:p w14:paraId="155FA8E8" w14:textId="77777777" w:rsidR="00E60842" w:rsidRDefault="00E60842" w:rsidP="007E5022">
            <w:pPr>
              <w:pStyle w:val="BodyText"/>
            </w:pPr>
          </w:p>
        </w:tc>
      </w:tr>
      <w:tr w:rsidR="00E60842" w14:paraId="73E20B3F" w14:textId="77777777" w:rsidTr="007E5022">
        <w:tc>
          <w:tcPr>
            <w:tcW w:w="2518" w:type="dxa"/>
          </w:tcPr>
          <w:p w14:paraId="48FDE713" w14:textId="77777777" w:rsidR="00E60842" w:rsidRDefault="00E60842" w:rsidP="007E5022">
            <w:pPr>
              <w:pStyle w:val="BodyText"/>
            </w:pPr>
            <w:r>
              <w:t>The actor-centred theory of change (delivery teams, change agents and target populations) has helped my project to identify and influence key actors important to WASH service delivery in my location(s).</w:t>
            </w:r>
          </w:p>
        </w:tc>
        <w:tc>
          <w:tcPr>
            <w:tcW w:w="985" w:type="dxa"/>
          </w:tcPr>
          <w:p w14:paraId="4F96AB14" w14:textId="77777777" w:rsidR="00E60842" w:rsidRDefault="00E60842" w:rsidP="007E5022">
            <w:pPr>
              <w:pStyle w:val="BodyText"/>
            </w:pPr>
          </w:p>
        </w:tc>
        <w:tc>
          <w:tcPr>
            <w:tcW w:w="1000" w:type="dxa"/>
          </w:tcPr>
          <w:p w14:paraId="622DFCAC" w14:textId="77777777" w:rsidR="00E60842" w:rsidRDefault="00E60842" w:rsidP="007E5022">
            <w:pPr>
              <w:pStyle w:val="BodyText"/>
            </w:pPr>
          </w:p>
        </w:tc>
        <w:tc>
          <w:tcPr>
            <w:tcW w:w="1701" w:type="dxa"/>
          </w:tcPr>
          <w:p w14:paraId="19434D98" w14:textId="77777777" w:rsidR="00E60842" w:rsidRDefault="00E60842" w:rsidP="007E5022">
            <w:pPr>
              <w:pStyle w:val="BodyText"/>
            </w:pPr>
          </w:p>
        </w:tc>
        <w:tc>
          <w:tcPr>
            <w:tcW w:w="911" w:type="dxa"/>
          </w:tcPr>
          <w:p w14:paraId="46048467" w14:textId="77777777" w:rsidR="00E60842" w:rsidRDefault="00E60842" w:rsidP="007E5022">
            <w:pPr>
              <w:pStyle w:val="BodyText"/>
            </w:pPr>
          </w:p>
        </w:tc>
        <w:tc>
          <w:tcPr>
            <w:tcW w:w="931" w:type="dxa"/>
          </w:tcPr>
          <w:p w14:paraId="3658487F" w14:textId="77777777" w:rsidR="00E60842" w:rsidRDefault="00E60842" w:rsidP="007E5022">
            <w:pPr>
              <w:pStyle w:val="BodyText"/>
            </w:pPr>
          </w:p>
        </w:tc>
      </w:tr>
      <w:tr w:rsidR="00E60842" w14:paraId="67FFE383" w14:textId="77777777" w:rsidTr="007E5022">
        <w:tc>
          <w:tcPr>
            <w:tcW w:w="2518" w:type="dxa"/>
          </w:tcPr>
          <w:p w14:paraId="41D66B4B" w14:textId="77777777" w:rsidR="00E60842" w:rsidRDefault="00E60842" w:rsidP="007E5022">
            <w:pPr>
              <w:pStyle w:val="BodyText"/>
            </w:pPr>
            <w:r>
              <w:t>Monitoring trips conducted by MERP members were professional and constructive and provided opportunities to reflect and improve the design and implementation of my project.</w:t>
            </w:r>
          </w:p>
        </w:tc>
        <w:tc>
          <w:tcPr>
            <w:tcW w:w="985" w:type="dxa"/>
          </w:tcPr>
          <w:p w14:paraId="59DEFC61" w14:textId="77777777" w:rsidR="00E60842" w:rsidRDefault="00E60842" w:rsidP="007E5022">
            <w:pPr>
              <w:pStyle w:val="BodyText"/>
            </w:pPr>
          </w:p>
        </w:tc>
        <w:tc>
          <w:tcPr>
            <w:tcW w:w="1000" w:type="dxa"/>
          </w:tcPr>
          <w:p w14:paraId="5A84F0CD" w14:textId="77777777" w:rsidR="00E60842" w:rsidRDefault="00E60842" w:rsidP="007E5022">
            <w:pPr>
              <w:pStyle w:val="BodyText"/>
            </w:pPr>
          </w:p>
        </w:tc>
        <w:tc>
          <w:tcPr>
            <w:tcW w:w="1701" w:type="dxa"/>
          </w:tcPr>
          <w:p w14:paraId="3916C0F7" w14:textId="77777777" w:rsidR="00E60842" w:rsidRDefault="00E60842" w:rsidP="007E5022">
            <w:pPr>
              <w:pStyle w:val="BodyText"/>
            </w:pPr>
          </w:p>
        </w:tc>
        <w:tc>
          <w:tcPr>
            <w:tcW w:w="911" w:type="dxa"/>
          </w:tcPr>
          <w:p w14:paraId="38F58B10" w14:textId="77777777" w:rsidR="00E60842" w:rsidRDefault="00E60842" w:rsidP="007E5022">
            <w:pPr>
              <w:pStyle w:val="BodyText"/>
            </w:pPr>
          </w:p>
        </w:tc>
        <w:tc>
          <w:tcPr>
            <w:tcW w:w="931" w:type="dxa"/>
          </w:tcPr>
          <w:p w14:paraId="3EE4BBA8" w14:textId="77777777" w:rsidR="00E60842" w:rsidRDefault="00E60842" w:rsidP="007E5022">
            <w:pPr>
              <w:pStyle w:val="BodyText"/>
            </w:pPr>
          </w:p>
        </w:tc>
      </w:tr>
      <w:tr w:rsidR="00E60842" w14:paraId="2F4EAB8A" w14:textId="77777777" w:rsidTr="007E5022">
        <w:tc>
          <w:tcPr>
            <w:tcW w:w="2518" w:type="dxa"/>
          </w:tcPr>
          <w:p w14:paraId="5EC7FD5E" w14:textId="77777777" w:rsidR="00E60842" w:rsidRDefault="00E60842" w:rsidP="007E5022">
            <w:pPr>
              <w:pStyle w:val="BodyText"/>
            </w:pPr>
            <w:r>
              <w:t>The MERP model of having independent specialists retained for the whole life of the Fund is useful and helps to improve project implementation, monitoring, review and reporting.</w:t>
            </w:r>
          </w:p>
        </w:tc>
        <w:tc>
          <w:tcPr>
            <w:tcW w:w="985" w:type="dxa"/>
          </w:tcPr>
          <w:p w14:paraId="394FE4C0" w14:textId="77777777" w:rsidR="00E60842" w:rsidRDefault="00E60842" w:rsidP="007E5022">
            <w:pPr>
              <w:pStyle w:val="BodyText"/>
            </w:pPr>
          </w:p>
        </w:tc>
        <w:tc>
          <w:tcPr>
            <w:tcW w:w="1000" w:type="dxa"/>
          </w:tcPr>
          <w:p w14:paraId="49077F47" w14:textId="77777777" w:rsidR="00E60842" w:rsidRDefault="00E60842" w:rsidP="007E5022">
            <w:pPr>
              <w:pStyle w:val="BodyText"/>
            </w:pPr>
          </w:p>
        </w:tc>
        <w:tc>
          <w:tcPr>
            <w:tcW w:w="1701" w:type="dxa"/>
          </w:tcPr>
          <w:p w14:paraId="3FAAA55A" w14:textId="77777777" w:rsidR="00E60842" w:rsidRDefault="00E60842" w:rsidP="007E5022">
            <w:pPr>
              <w:pStyle w:val="BodyText"/>
            </w:pPr>
          </w:p>
        </w:tc>
        <w:tc>
          <w:tcPr>
            <w:tcW w:w="911" w:type="dxa"/>
          </w:tcPr>
          <w:p w14:paraId="10965061" w14:textId="77777777" w:rsidR="00E60842" w:rsidRDefault="00E60842" w:rsidP="007E5022">
            <w:pPr>
              <w:pStyle w:val="BodyText"/>
            </w:pPr>
          </w:p>
        </w:tc>
        <w:tc>
          <w:tcPr>
            <w:tcW w:w="931" w:type="dxa"/>
          </w:tcPr>
          <w:p w14:paraId="7196552E" w14:textId="77777777" w:rsidR="00E60842" w:rsidRDefault="00E60842" w:rsidP="007E5022">
            <w:pPr>
              <w:pStyle w:val="BodyText"/>
            </w:pPr>
          </w:p>
        </w:tc>
      </w:tr>
    </w:tbl>
    <w:p w14:paraId="7817A146" w14:textId="77777777" w:rsidR="00E60842" w:rsidRDefault="00E60842" w:rsidP="00E60842">
      <w:pPr>
        <w:pStyle w:val="BodyText"/>
      </w:pPr>
    </w:p>
    <w:p w14:paraId="3D92F9F5" w14:textId="77777777" w:rsidR="00E60842" w:rsidRDefault="00E60842" w:rsidP="00E60842">
      <w:pPr>
        <w:pStyle w:val="BodyText"/>
      </w:pPr>
      <w:r>
        <w:t>12. How have you worked with the MERP? (</w:t>
      </w:r>
      <w:proofErr w:type="gramStart"/>
      <w:r>
        <w:t>check</w:t>
      </w:r>
      <w:proofErr w:type="gramEnd"/>
      <w:r>
        <w:t xml:space="preserve"> all that apply)</w:t>
      </w:r>
    </w:p>
    <w:p w14:paraId="4A8C0BD6" w14:textId="77777777" w:rsidR="00E60842" w:rsidRDefault="00E60842" w:rsidP="00E60842">
      <w:pPr>
        <w:pStyle w:val="BodyText"/>
        <w:numPr>
          <w:ilvl w:val="0"/>
          <w:numId w:val="47"/>
        </w:numPr>
      </w:pPr>
      <w:r>
        <w:t>I have not received any support from the MERP [go to next section]</w:t>
      </w:r>
    </w:p>
    <w:p w14:paraId="79AEF6CB" w14:textId="77777777" w:rsidR="00E60842" w:rsidRDefault="00E60842" w:rsidP="00E60842">
      <w:pPr>
        <w:pStyle w:val="BodyText"/>
        <w:numPr>
          <w:ilvl w:val="0"/>
          <w:numId w:val="47"/>
        </w:numPr>
      </w:pPr>
      <w:r>
        <w:t>I was involved in a monitoring visit conducted by a MERP member</w:t>
      </w:r>
    </w:p>
    <w:p w14:paraId="483EB2B8" w14:textId="77777777" w:rsidR="00E60842" w:rsidRDefault="00E60842" w:rsidP="00E60842">
      <w:pPr>
        <w:pStyle w:val="BodyText"/>
        <w:numPr>
          <w:ilvl w:val="0"/>
          <w:numId w:val="47"/>
        </w:numPr>
      </w:pPr>
      <w:r>
        <w:t>I have received support to develop my project’s operational plan</w:t>
      </w:r>
    </w:p>
    <w:p w14:paraId="285B291E" w14:textId="77777777" w:rsidR="00E60842" w:rsidRDefault="00E60842" w:rsidP="00E60842">
      <w:pPr>
        <w:pStyle w:val="BodyText"/>
        <w:numPr>
          <w:ilvl w:val="0"/>
          <w:numId w:val="47"/>
        </w:numPr>
      </w:pPr>
      <w:r>
        <w:t>I have received support for project reporting</w:t>
      </w:r>
    </w:p>
    <w:p w14:paraId="4C45296E" w14:textId="77777777" w:rsidR="00E60842" w:rsidRDefault="00E60842" w:rsidP="00E60842">
      <w:pPr>
        <w:pStyle w:val="BodyText"/>
        <w:numPr>
          <w:ilvl w:val="0"/>
          <w:numId w:val="47"/>
        </w:numPr>
      </w:pPr>
      <w:r>
        <w:t>I have received other M&amp;E support, including capacity building</w:t>
      </w:r>
    </w:p>
    <w:p w14:paraId="14535062" w14:textId="77777777" w:rsidR="00E60842" w:rsidRDefault="00E60842" w:rsidP="00E60842">
      <w:pPr>
        <w:pStyle w:val="BodyText"/>
        <w:numPr>
          <w:ilvl w:val="0"/>
          <w:numId w:val="47"/>
        </w:numPr>
      </w:pPr>
      <w:r>
        <w:t>Other: please specify</w:t>
      </w:r>
    </w:p>
    <w:p w14:paraId="5B3F76E6" w14:textId="77777777" w:rsidR="00E60842" w:rsidRDefault="00E60842" w:rsidP="00E60842">
      <w:pPr>
        <w:pStyle w:val="BodyText"/>
      </w:pPr>
      <w:r>
        <w:t xml:space="preserve">13. Overall, to what extent has support from the MERP in the following areas helped you improve your WASH project? </w:t>
      </w:r>
    </w:p>
    <w:tbl>
      <w:tblPr>
        <w:tblStyle w:val="TableGrid"/>
        <w:tblW w:w="0" w:type="auto"/>
        <w:tblLook w:val="04A0" w:firstRow="1" w:lastRow="0" w:firstColumn="1" w:lastColumn="0" w:noHBand="0" w:noVBand="1"/>
        <w:tblCaption w:val="MERP support"/>
        <w:tblDescription w:val="The table asks CSOs which aspects of MERP support have helped them improve their WASH projects. "/>
      </w:tblPr>
      <w:tblGrid>
        <w:gridCol w:w="1407"/>
        <w:gridCol w:w="1175"/>
        <w:gridCol w:w="1207"/>
        <w:gridCol w:w="1242"/>
        <w:gridCol w:w="1283"/>
        <w:gridCol w:w="1229"/>
        <w:gridCol w:w="1178"/>
      </w:tblGrid>
      <w:tr w:rsidR="00E60842" w14:paraId="7B57B180" w14:textId="77777777" w:rsidTr="007E5022">
        <w:tc>
          <w:tcPr>
            <w:tcW w:w="1407" w:type="dxa"/>
          </w:tcPr>
          <w:p w14:paraId="2CC13158" w14:textId="77777777" w:rsidR="00E60842" w:rsidRDefault="00E60842" w:rsidP="007E5022">
            <w:pPr>
              <w:pStyle w:val="BodyText"/>
            </w:pPr>
          </w:p>
        </w:tc>
        <w:tc>
          <w:tcPr>
            <w:tcW w:w="1175" w:type="dxa"/>
          </w:tcPr>
          <w:p w14:paraId="0A8EC401" w14:textId="77777777" w:rsidR="00E60842" w:rsidRDefault="00E60842" w:rsidP="007E5022">
            <w:pPr>
              <w:pStyle w:val="BodyText"/>
            </w:pPr>
            <w:r>
              <w:t>1</w:t>
            </w:r>
          </w:p>
          <w:p w14:paraId="22021556" w14:textId="77777777" w:rsidR="00E60842" w:rsidRDefault="00E60842" w:rsidP="007E5022">
            <w:pPr>
              <w:pStyle w:val="BodyText"/>
            </w:pPr>
            <w:r>
              <w:t>Not at all</w:t>
            </w:r>
          </w:p>
        </w:tc>
        <w:tc>
          <w:tcPr>
            <w:tcW w:w="1207" w:type="dxa"/>
          </w:tcPr>
          <w:p w14:paraId="44F935D8" w14:textId="77777777" w:rsidR="00E60842" w:rsidRDefault="00E60842" w:rsidP="007E5022">
            <w:pPr>
              <w:pStyle w:val="BodyText"/>
            </w:pPr>
            <w:r>
              <w:t>2</w:t>
            </w:r>
          </w:p>
          <w:p w14:paraId="279382C0" w14:textId="77777777" w:rsidR="00E60842" w:rsidRDefault="00E60842" w:rsidP="007E5022">
            <w:pPr>
              <w:pStyle w:val="BodyText"/>
            </w:pPr>
            <w:r>
              <w:t>Slightly</w:t>
            </w:r>
          </w:p>
        </w:tc>
        <w:tc>
          <w:tcPr>
            <w:tcW w:w="1242" w:type="dxa"/>
          </w:tcPr>
          <w:p w14:paraId="610BCD13" w14:textId="77777777" w:rsidR="00E60842" w:rsidRDefault="00E60842" w:rsidP="007E5022">
            <w:pPr>
              <w:pStyle w:val="BodyText"/>
            </w:pPr>
            <w:r>
              <w:t xml:space="preserve">3: </w:t>
            </w:r>
          </w:p>
          <w:p w14:paraId="1CC73D21" w14:textId="77777777" w:rsidR="00E60842" w:rsidRDefault="00E60842" w:rsidP="007E5022">
            <w:pPr>
              <w:pStyle w:val="BodyText"/>
            </w:pPr>
            <w:r>
              <w:t>Moderately</w:t>
            </w:r>
          </w:p>
        </w:tc>
        <w:tc>
          <w:tcPr>
            <w:tcW w:w="1283" w:type="dxa"/>
          </w:tcPr>
          <w:p w14:paraId="2280CBB2" w14:textId="77777777" w:rsidR="00E60842" w:rsidRDefault="00E60842" w:rsidP="007E5022">
            <w:pPr>
              <w:pStyle w:val="BodyText"/>
            </w:pPr>
            <w:r>
              <w:t>4</w:t>
            </w:r>
          </w:p>
          <w:p w14:paraId="421321B0" w14:textId="77777777" w:rsidR="00E60842" w:rsidRDefault="00E60842" w:rsidP="007E5022">
            <w:pPr>
              <w:pStyle w:val="BodyText"/>
            </w:pPr>
            <w:r>
              <w:t>Significantly</w:t>
            </w:r>
          </w:p>
        </w:tc>
        <w:tc>
          <w:tcPr>
            <w:tcW w:w="1229" w:type="dxa"/>
          </w:tcPr>
          <w:p w14:paraId="7300355A" w14:textId="77777777" w:rsidR="00E60842" w:rsidRDefault="00E60842" w:rsidP="007E5022">
            <w:pPr>
              <w:pStyle w:val="BodyText"/>
            </w:pPr>
            <w:r>
              <w:t>5</w:t>
            </w:r>
          </w:p>
          <w:p w14:paraId="6A0BA46B" w14:textId="77777777" w:rsidR="00E60842" w:rsidRDefault="00E60842" w:rsidP="007E5022">
            <w:pPr>
              <w:pStyle w:val="BodyText"/>
            </w:pPr>
            <w:r>
              <w:t>Extremely</w:t>
            </w:r>
          </w:p>
        </w:tc>
        <w:tc>
          <w:tcPr>
            <w:tcW w:w="1178" w:type="dxa"/>
          </w:tcPr>
          <w:p w14:paraId="5BAF9E45" w14:textId="77777777" w:rsidR="00E60842" w:rsidRDefault="00E60842" w:rsidP="007E5022">
            <w:pPr>
              <w:pStyle w:val="BodyText"/>
            </w:pPr>
            <w:r>
              <w:t>N/A</w:t>
            </w:r>
          </w:p>
        </w:tc>
      </w:tr>
      <w:tr w:rsidR="00E60842" w14:paraId="6A7F62E4" w14:textId="77777777" w:rsidTr="007E5022">
        <w:tc>
          <w:tcPr>
            <w:tcW w:w="1407" w:type="dxa"/>
          </w:tcPr>
          <w:p w14:paraId="6E41860A" w14:textId="77777777" w:rsidR="00E60842" w:rsidRDefault="00E60842" w:rsidP="007E5022">
            <w:pPr>
              <w:pStyle w:val="BodyText"/>
            </w:pPr>
            <w:r>
              <w:t>Monitoring visit</w:t>
            </w:r>
          </w:p>
        </w:tc>
        <w:tc>
          <w:tcPr>
            <w:tcW w:w="1175" w:type="dxa"/>
          </w:tcPr>
          <w:p w14:paraId="62C0284A" w14:textId="77777777" w:rsidR="00E60842" w:rsidRDefault="00E60842" w:rsidP="007E5022">
            <w:pPr>
              <w:pStyle w:val="BodyText"/>
            </w:pPr>
          </w:p>
        </w:tc>
        <w:tc>
          <w:tcPr>
            <w:tcW w:w="1207" w:type="dxa"/>
          </w:tcPr>
          <w:p w14:paraId="00D68610" w14:textId="77777777" w:rsidR="00E60842" w:rsidRDefault="00E60842" w:rsidP="007E5022">
            <w:pPr>
              <w:pStyle w:val="BodyText"/>
            </w:pPr>
          </w:p>
        </w:tc>
        <w:tc>
          <w:tcPr>
            <w:tcW w:w="1242" w:type="dxa"/>
          </w:tcPr>
          <w:p w14:paraId="40E1CBDC" w14:textId="77777777" w:rsidR="00E60842" w:rsidRDefault="00E60842" w:rsidP="007E5022">
            <w:pPr>
              <w:pStyle w:val="BodyText"/>
            </w:pPr>
          </w:p>
        </w:tc>
        <w:tc>
          <w:tcPr>
            <w:tcW w:w="1283" w:type="dxa"/>
          </w:tcPr>
          <w:p w14:paraId="31568BAB" w14:textId="77777777" w:rsidR="00E60842" w:rsidRDefault="00E60842" w:rsidP="007E5022">
            <w:pPr>
              <w:pStyle w:val="BodyText"/>
            </w:pPr>
          </w:p>
        </w:tc>
        <w:tc>
          <w:tcPr>
            <w:tcW w:w="1229" w:type="dxa"/>
          </w:tcPr>
          <w:p w14:paraId="6038EEC5" w14:textId="77777777" w:rsidR="00E60842" w:rsidRDefault="00E60842" w:rsidP="007E5022">
            <w:pPr>
              <w:pStyle w:val="BodyText"/>
            </w:pPr>
          </w:p>
        </w:tc>
        <w:tc>
          <w:tcPr>
            <w:tcW w:w="1178" w:type="dxa"/>
          </w:tcPr>
          <w:p w14:paraId="032CD8A2" w14:textId="77777777" w:rsidR="00E60842" w:rsidRDefault="00E60842" w:rsidP="007E5022">
            <w:pPr>
              <w:pStyle w:val="BodyText"/>
            </w:pPr>
          </w:p>
        </w:tc>
      </w:tr>
      <w:tr w:rsidR="00E60842" w14:paraId="196F0CC1" w14:textId="77777777" w:rsidTr="007E5022">
        <w:tc>
          <w:tcPr>
            <w:tcW w:w="1407" w:type="dxa"/>
          </w:tcPr>
          <w:p w14:paraId="3401ACD5" w14:textId="77777777" w:rsidR="00E60842" w:rsidRDefault="00E60842" w:rsidP="007E5022">
            <w:pPr>
              <w:pStyle w:val="BodyText"/>
            </w:pPr>
            <w:r>
              <w:t>Support for operational plan</w:t>
            </w:r>
          </w:p>
        </w:tc>
        <w:tc>
          <w:tcPr>
            <w:tcW w:w="1175" w:type="dxa"/>
          </w:tcPr>
          <w:p w14:paraId="3F50365B" w14:textId="77777777" w:rsidR="00E60842" w:rsidRDefault="00E60842" w:rsidP="007E5022">
            <w:pPr>
              <w:pStyle w:val="BodyText"/>
            </w:pPr>
          </w:p>
        </w:tc>
        <w:tc>
          <w:tcPr>
            <w:tcW w:w="1207" w:type="dxa"/>
          </w:tcPr>
          <w:p w14:paraId="034205C6" w14:textId="77777777" w:rsidR="00E60842" w:rsidRDefault="00E60842" w:rsidP="007E5022">
            <w:pPr>
              <w:pStyle w:val="BodyText"/>
            </w:pPr>
          </w:p>
        </w:tc>
        <w:tc>
          <w:tcPr>
            <w:tcW w:w="1242" w:type="dxa"/>
          </w:tcPr>
          <w:p w14:paraId="16E41FB3" w14:textId="77777777" w:rsidR="00E60842" w:rsidRDefault="00E60842" w:rsidP="007E5022">
            <w:pPr>
              <w:pStyle w:val="BodyText"/>
            </w:pPr>
          </w:p>
        </w:tc>
        <w:tc>
          <w:tcPr>
            <w:tcW w:w="1283" w:type="dxa"/>
          </w:tcPr>
          <w:p w14:paraId="48A0D44B" w14:textId="77777777" w:rsidR="00E60842" w:rsidRDefault="00E60842" w:rsidP="007E5022">
            <w:pPr>
              <w:pStyle w:val="BodyText"/>
            </w:pPr>
          </w:p>
        </w:tc>
        <w:tc>
          <w:tcPr>
            <w:tcW w:w="1229" w:type="dxa"/>
          </w:tcPr>
          <w:p w14:paraId="5CFD2FEA" w14:textId="77777777" w:rsidR="00E60842" w:rsidRDefault="00E60842" w:rsidP="007E5022">
            <w:pPr>
              <w:pStyle w:val="BodyText"/>
            </w:pPr>
          </w:p>
        </w:tc>
        <w:tc>
          <w:tcPr>
            <w:tcW w:w="1178" w:type="dxa"/>
          </w:tcPr>
          <w:p w14:paraId="782408B5" w14:textId="77777777" w:rsidR="00E60842" w:rsidRDefault="00E60842" w:rsidP="007E5022">
            <w:pPr>
              <w:pStyle w:val="BodyText"/>
            </w:pPr>
          </w:p>
        </w:tc>
      </w:tr>
      <w:tr w:rsidR="00E60842" w14:paraId="6D0B9D7D" w14:textId="77777777" w:rsidTr="007E5022">
        <w:tc>
          <w:tcPr>
            <w:tcW w:w="1407" w:type="dxa"/>
          </w:tcPr>
          <w:p w14:paraId="54490B79" w14:textId="77777777" w:rsidR="00E60842" w:rsidRDefault="00E60842" w:rsidP="007E5022">
            <w:pPr>
              <w:pStyle w:val="BodyText"/>
            </w:pPr>
            <w:r>
              <w:t>Support for project reporting</w:t>
            </w:r>
          </w:p>
        </w:tc>
        <w:tc>
          <w:tcPr>
            <w:tcW w:w="1175" w:type="dxa"/>
          </w:tcPr>
          <w:p w14:paraId="114A061D" w14:textId="77777777" w:rsidR="00E60842" w:rsidRDefault="00E60842" w:rsidP="007E5022">
            <w:pPr>
              <w:pStyle w:val="BodyText"/>
            </w:pPr>
          </w:p>
        </w:tc>
        <w:tc>
          <w:tcPr>
            <w:tcW w:w="1207" w:type="dxa"/>
          </w:tcPr>
          <w:p w14:paraId="5FD94240" w14:textId="77777777" w:rsidR="00E60842" w:rsidRDefault="00E60842" w:rsidP="007E5022">
            <w:pPr>
              <w:pStyle w:val="BodyText"/>
            </w:pPr>
          </w:p>
        </w:tc>
        <w:tc>
          <w:tcPr>
            <w:tcW w:w="1242" w:type="dxa"/>
          </w:tcPr>
          <w:p w14:paraId="2CCF888A" w14:textId="77777777" w:rsidR="00E60842" w:rsidRDefault="00E60842" w:rsidP="007E5022">
            <w:pPr>
              <w:pStyle w:val="BodyText"/>
            </w:pPr>
          </w:p>
        </w:tc>
        <w:tc>
          <w:tcPr>
            <w:tcW w:w="1283" w:type="dxa"/>
          </w:tcPr>
          <w:p w14:paraId="30B5D034" w14:textId="77777777" w:rsidR="00E60842" w:rsidRDefault="00E60842" w:rsidP="007E5022">
            <w:pPr>
              <w:pStyle w:val="BodyText"/>
            </w:pPr>
          </w:p>
        </w:tc>
        <w:tc>
          <w:tcPr>
            <w:tcW w:w="1229" w:type="dxa"/>
          </w:tcPr>
          <w:p w14:paraId="4A012BF6" w14:textId="77777777" w:rsidR="00E60842" w:rsidRDefault="00E60842" w:rsidP="007E5022">
            <w:pPr>
              <w:pStyle w:val="BodyText"/>
            </w:pPr>
          </w:p>
        </w:tc>
        <w:tc>
          <w:tcPr>
            <w:tcW w:w="1178" w:type="dxa"/>
          </w:tcPr>
          <w:p w14:paraId="2A006ABD" w14:textId="77777777" w:rsidR="00E60842" w:rsidRDefault="00E60842" w:rsidP="007E5022">
            <w:pPr>
              <w:pStyle w:val="BodyText"/>
            </w:pPr>
          </w:p>
        </w:tc>
      </w:tr>
      <w:tr w:rsidR="00E60842" w14:paraId="296E5358" w14:textId="77777777" w:rsidTr="007E5022">
        <w:tc>
          <w:tcPr>
            <w:tcW w:w="1407" w:type="dxa"/>
          </w:tcPr>
          <w:p w14:paraId="71A5B387" w14:textId="77777777" w:rsidR="00E60842" w:rsidRDefault="00E60842" w:rsidP="007E5022">
            <w:pPr>
              <w:pStyle w:val="BodyText"/>
            </w:pPr>
            <w:r>
              <w:t>Other M&amp;E support, including capacity building</w:t>
            </w:r>
          </w:p>
        </w:tc>
        <w:tc>
          <w:tcPr>
            <w:tcW w:w="1175" w:type="dxa"/>
          </w:tcPr>
          <w:p w14:paraId="7CE52A44" w14:textId="77777777" w:rsidR="00E60842" w:rsidRDefault="00E60842" w:rsidP="007E5022">
            <w:pPr>
              <w:pStyle w:val="BodyText"/>
            </w:pPr>
          </w:p>
        </w:tc>
        <w:tc>
          <w:tcPr>
            <w:tcW w:w="1207" w:type="dxa"/>
          </w:tcPr>
          <w:p w14:paraId="7E936604" w14:textId="77777777" w:rsidR="00E60842" w:rsidRDefault="00E60842" w:rsidP="007E5022">
            <w:pPr>
              <w:pStyle w:val="BodyText"/>
            </w:pPr>
          </w:p>
        </w:tc>
        <w:tc>
          <w:tcPr>
            <w:tcW w:w="1242" w:type="dxa"/>
          </w:tcPr>
          <w:p w14:paraId="77BD9645" w14:textId="77777777" w:rsidR="00E60842" w:rsidRDefault="00E60842" w:rsidP="007E5022">
            <w:pPr>
              <w:pStyle w:val="BodyText"/>
            </w:pPr>
          </w:p>
        </w:tc>
        <w:tc>
          <w:tcPr>
            <w:tcW w:w="1283" w:type="dxa"/>
          </w:tcPr>
          <w:p w14:paraId="3F3AC7C8" w14:textId="77777777" w:rsidR="00E60842" w:rsidRDefault="00E60842" w:rsidP="007E5022">
            <w:pPr>
              <w:pStyle w:val="BodyText"/>
            </w:pPr>
          </w:p>
        </w:tc>
        <w:tc>
          <w:tcPr>
            <w:tcW w:w="1229" w:type="dxa"/>
          </w:tcPr>
          <w:p w14:paraId="4D0F2117" w14:textId="77777777" w:rsidR="00E60842" w:rsidRDefault="00E60842" w:rsidP="007E5022">
            <w:pPr>
              <w:pStyle w:val="BodyText"/>
            </w:pPr>
          </w:p>
        </w:tc>
        <w:tc>
          <w:tcPr>
            <w:tcW w:w="1178" w:type="dxa"/>
          </w:tcPr>
          <w:p w14:paraId="58755C9A" w14:textId="77777777" w:rsidR="00E60842" w:rsidRDefault="00E60842" w:rsidP="007E5022">
            <w:pPr>
              <w:pStyle w:val="BodyText"/>
            </w:pPr>
          </w:p>
        </w:tc>
      </w:tr>
      <w:tr w:rsidR="00E60842" w14:paraId="76E18117" w14:textId="77777777" w:rsidTr="007E5022">
        <w:tc>
          <w:tcPr>
            <w:tcW w:w="1407" w:type="dxa"/>
          </w:tcPr>
          <w:p w14:paraId="088010D1" w14:textId="77777777" w:rsidR="00E60842" w:rsidRDefault="00E60842" w:rsidP="007E5022">
            <w:pPr>
              <w:pStyle w:val="BodyText"/>
            </w:pPr>
            <w:r>
              <w:t>Other – please specify</w:t>
            </w:r>
          </w:p>
        </w:tc>
        <w:tc>
          <w:tcPr>
            <w:tcW w:w="1175" w:type="dxa"/>
          </w:tcPr>
          <w:p w14:paraId="3411DE18" w14:textId="77777777" w:rsidR="00E60842" w:rsidRDefault="00E60842" w:rsidP="007E5022">
            <w:pPr>
              <w:pStyle w:val="BodyText"/>
            </w:pPr>
          </w:p>
        </w:tc>
        <w:tc>
          <w:tcPr>
            <w:tcW w:w="1207" w:type="dxa"/>
          </w:tcPr>
          <w:p w14:paraId="2C821317" w14:textId="77777777" w:rsidR="00E60842" w:rsidRDefault="00E60842" w:rsidP="007E5022">
            <w:pPr>
              <w:pStyle w:val="BodyText"/>
            </w:pPr>
          </w:p>
        </w:tc>
        <w:tc>
          <w:tcPr>
            <w:tcW w:w="1242" w:type="dxa"/>
          </w:tcPr>
          <w:p w14:paraId="15232111" w14:textId="77777777" w:rsidR="00E60842" w:rsidRDefault="00E60842" w:rsidP="007E5022">
            <w:pPr>
              <w:pStyle w:val="BodyText"/>
            </w:pPr>
          </w:p>
        </w:tc>
        <w:tc>
          <w:tcPr>
            <w:tcW w:w="1283" w:type="dxa"/>
          </w:tcPr>
          <w:p w14:paraId="7FB83621" w14:textId="77777777" w:rsidR="00E60842" w:rsidRDefault="00E60842" w:rsidP="007E5022">
            <w:pPr>
              <w:pStyle w:val="BodyText"/>
            </w:pPr>
          </w:p>
        </w:tc>
        <w:tc>
          <w:tcPr>
            <w:tcW w:w="1229" w:type="dxa"/>
          </w:tcPr>
          <w:p w14:paraId="59018F97" w14:textId="77777777" w:rsidR="00E60842" w:rsidRDefault="00E60842" w:rsidP="007E5022">
            <w:pPr>
              <w:pStyle w:val="BodyText"/>
            </w:pPr>
          </w:p>
        </w:tc>
        <w:tc>
          <w:tcPr>
            <w:tcW w:w="1178" w:type="dxa"/>
          </w:tcPr>
          <w:p w14:paraId="2BEE7A95" w14:textId="77777777" w:rsidR="00E60842" w:rsidRDefault="00E60842" w:rsidP="007E5022">
            <w:pPr>
              <w:pStyle w:val="BodyText"/>
            </w:pPr>
          </w:p>
        </w:tc>
      </w:tr>
    </w:tbl>
    <w:p w14:paraId="44223CD3" w14:textId="77777777" w:rsidR="00E60842" w:rsidRDefault="00E60842" w:rsidP="00E60842">
      <w:pPr>
        <w:pStyle w:val="BodyText"/>
      </w:pPr>
    </w:p>
    <w:p w14:paraId="70845306" w14:textId="77777777" w:rsidR="00E60842" w:rsidRDefault="00E60842" w:rsidP="00E60842">
      <w:pPr>
        <w:pStyle w:val="BodyText"/>
        <w:keepNext/>
      </w:pPr>
      <w:r>
        <w:t xml:space="preserve">In relation to the </w:t>
      </w:r>
      <w:r w:rsidRPr="00B74519">
        <w:rPr>
          <w:b/>
        </w:rPr>
        <w:t>monitoring visit</w:t>
      </w:r>
      <w:r>
        <w:t xml:space="preserve"> by a MERP member:</w:t>
      </w:r>
    </w:p>
    <w:p w14:paraId="1F720E5C" w14:textId="77777777" w:rsidR="00E60842" w:rsidRDefault="00E60842" w:rsidP="00E60842">
      <w:pPr>
        <w:pStyle w:val="BodyText"/>
        <w:keepNext/>
      </w:pPr>
      <w:r>
        <w:t>14. What aspects of the monitoring visit were most helpful for improving your project? [</w:t>
      </w:r>
      <w:proofErr w:type="gramStart"/>
      <w:r>
        <w:t>free</w:t>
      </w:r>
      <w:proofErr w:type="gramEnd"/>
      <w:r>
        <w:t xml:space="preserve"> text]</w:t>
      </w:r>
    </w:p>
    <w:p w14:paraId="759D9897" w14:textId="77777777" w:rsidR="00E60842" w:rsidRDefault="00E60842" w:rsidP="00E60842">
      <w:pPr>
        <w:pStyle w:val="BodyText"/>
      </w:pPr>
      <w:r>
        <w:t>15. What aspects of the monitoring visit were least helpful for improving your project? [</w:t>
      </w:r>
      <w:proofErr w:type="gramStart"/>
      <w:r>
        <w:t>free</w:t>
      </w:r>
      <w:proofErr w:type="gramEnd"/>
      <w:r>
        <w:t xml:space="preserve"> text]</w:t>
      </w:r>
    </w:p>
    <w:p w14:paraId="39F3C966" w14:textId="77777777" w:rsidR="00E60842" w:rsidRDefault="00E60842" w:rsidP="00E60842">
      <w:pPr>
        <w:pStyle w:val="BodyText"/>
      </w:pPr>
      <w:r>
        <w:t>16. Would further monitoring visits be useful? Yes/No/Unsure</w:t>
      </w:r>
    </w:p>
    <w:p w14:paraId="5882214D" w14:textId="77777777" w:rsidR="00E60842" w:rsidRPr="00660080" w:rsidRDefault="00E60842" w:rsidP="00E60842">
      <w:pPr>
        <w:pStyle w:val="BodyText"/>
      </w:pPr>
      <w:r w:rsidRPr="00660080">
        <w:t>Please explain your answer [free text]</w:t>
      </w:r>
    </w:p>
    <w:p w14:paraId="1344593F" w14:textId="77777777" w:rsidR="00E60842" w:rsidRDefault="00E60842" w:rsidP="00E60842">
      <w:pPr>
        <w:pStyle w:val="Heading3"/>
      </w:pPr>
      <w:r>
        <w:t>E. Engagement with the Knowledge and Learning Component</w:t>
      </w:r>
    </w:p>
    <w:p w14:paraId="40208A4C" w14:textId="77777777" w:rsidR="00E60842" w:rsidRPr="000B54DA" w:rsidRDefault="00E60842" w:rsidP="00E60842">
      <w:pPr>
        <w:pStyle w:val="BodyText"/>
      </w:pPr>
      <w:r w:rsidRPr="000B54DA">
        <w:t xml:space="preserve">The Fund-wide Knowledge and Learning Component is implemented by a team at the Fund Management Facility led by the Knowledge and Learning Manager, Bronwyn Powell. </w:t>
      </w:r>
    </w:p>
    <w:p w14:paraId="3B66593B" w14:textId="77777777" w:rsidR="00E60842" w:rsidRDefault="00E60842" w:rsidP="00E60842">
      <w:pPr>
        <w:pStyle w:val="BodyText"/>
      </w:pPr>
      <w:r>
        <w:t xml:space="preserve">17. What knowledge and learning opportunities facilitated by the Fund have you participated in? </w:t>
      </w:r>
    </w:p>
    <w:p w14:paraId="6079FB2E" w14:textId="77777777" w:rsidR="00E60842" w:rsidRDefault="00E60842" w:rsidP="00E60842">
      <w:pPr>
        <w:pStyle w:val="ListBullet"/>
        <w:numPr>
          <w:ilvl w:val="0"/>
          <w:numId w:val="57"/>
        </w:numPr>
        <w:rPr>
          <w:color w:val="124486" w:themeColor="text2"/>
          <w:sz w:val="28"/>
        </w:rPr>
      </w:pPr>
      <w:r>
        <w:t>Watched webinar hosted on CS WASH Fund website</w:t>
      </w:r>
    </w:p>
    <w:p w14:paraId="42A6103E" w14:textId="77777777" w:rsidR="00E60842" w:rsidRDefault="00E60842" w:rsidP="00E60842">
      <w:pPr>
        <w:pStyle w:val="ListBullet"/>
        <w:numPr>
          <w:ilvl w:val="0"/>
          <w:numId w:val="57"/>
        </w:numPr>
        <w:rPr>
          <w:color w:val="124486" w:themeColor="text2"/>
          <w:sz w:val="28"/>
        </w:rPr>
      </w:pPr>
      <w:r>
        <w:t>Contributed to or followed e-discussion/forum hosted on cswashfund.org</w:t>
      </w:r>
    </w:p>
    <w:p w14:paraId="77C9F003" w14:textId="77777777" w:rsidR="00E60842" w:rsidRDefault="00E60842" w:rsidP="00E60842">
      <w:pPr>
        <w:pStyle w:val="ListBullet"/>
        <w:numPr>
          <w:ilvl w:val="0"/>
          <w:numId w:val="57"/>
        </w:numPr>
        <w:rPr>
          <w:color w:val="124486" w:themeColor="text2"/>
          <w:sz w:val="28"/>
        </w:rPr>
      </w:pPr>
      <w:r>
        <w:t>Accessed resources or information hosted on cswashfund.org</w:t>
      </w:r>
    </w:p>
    <w:p w14:paraId="1909ACF6" w14:textId="77777777" w:rsidR="00E60842" w:rsidRDefault="00E60842" w:rsidP="00E60842">
      <w:pPr>
        <w:pStyle w:val="ListBullet"/>
        <w:numPr>
          <w:ilvl w:val="0"/>
          <w:numId w:val="57"/>
        </w:numPr>
        <w:rPr>
          <w:color w:val="124486" w:themeColor="text2"/>
          <w:sz w:val="28"/>
        </w:rPr>
      </w:pPr>
      <w:r>
        <w:t>Attended a regional or global learning event</w:t>
      </w:r>
    </w:p>
    <w:p w14:paraId="233D153D" w14:textId="77777777" w:rsidR="00E60842" w:rsidRDefault="00E60842" w:rsidP="00E60842">
      <w:pPr>
        <w:pStyle w:val="ListBullet"/>
        <w:numPr>
          <w:ilvl w:val="0"/>
          <w:numId w:val="57"/>
        </w:numPr>
        <w:rPr>
          <w:rStyle w:val="BodyTextChar"/>
          <w:color w:val="124486" w:themeColor="text2"/>
          <w:sz w:val="28"/>
        </w:rPr>
      </w:pPr>
      <w:r>
        <w:t xml:space="preserve">Drawn on a research project (for example, </w:t>
      </w:r>
      <w:r w:rsidRPr="009E3852">
        <w:rPr>
          <w:rStyle w:val="BodyTextChar"/>
        </w:rPr>
        <w:t xml:space="preserve">an Australian Development Research Award (ADRAs)) </w:t>
      </w:r>
    </w:p>
    <w:p w14:paraId="79647DA7" w14:textId="77777777" w:rsidR="00E60842" w:rsidRDefault="00E60842" w:rsidP="00E60842">
      <w:pPr>
        <w:pStyle w:val="ListBullet"/>
        <w:numPr>
          <w:ilvl w:val="0"/>
          <w:numId w:val="57"/>
        </w:numPr>
        <w:rPr>
          <w:rStyle w:val="BodyTextChar"/>
          <w:color w:val="124486" w:themeColor="text2"/>
          <w:sz w:val="28"/>
        </w:rPr>
      </w:pPr>
      <w:r>
        <w:rPr>
          <w:rStyle w:val="BodyTextChar"/>
        </w:rPr>
        <w:t>Collaborated with another CSO supported by the Fund</w:t>
      </w:r>
    </w:p>
    <w:p w14:paraId="1F356E39" w14:textId="77777777" w:rsidR="00E60842" w:rsidRPr="00E2544B" w:rsidRDefault="00E60842" w:rsidP="00E60842">
      <w:pPr>
        <w:pStyle w:val="ListBullet"/>
        <w:numPr>
          <w:ilvl w:val="0"/>
          <w:numId w:val="57"/>
        </w:numPr>
        <w:rPr>
          <w:rStyle w:val="BodyTextChar"/>
          <w:color w:val="124486" w:themeColor="text2"/>
          <w:sz w:val="28"/>
        </w:rPr>
      </w:pPr>
      <w:r>
        <w:rPr>
          <w:rStyle w:val="BodyTextChar"/>
        </w:rPr>
        <w:t>Developed and/implemented your organisation’s Knowledge and Learning Plan</w:t>
      </w:r>
    </w:p>
    <w:p w14:paraId="5FD2529A" w14:textId="77777777" w:rsidR="00E60842" w:rsidRPr="00E2544B" w:rsidRDefault="00E60842" w:rsidP="00E60842">
      <w:pPr>
        <w:pStyle w:val="ListBullet"/>
        <w:numPr>
          <w:ilvl w:val="0"/>
          <w:numId w:val="57"/>
        </w:numPr>
        <w:rPr>
          <w:rStyle w:val="BodyTextChar"/>
          <w:color w:val="124486" w:themeColor="text2"/>
          <w:sz w:val="28"/>
        </w:rPr>
      </w:pPr>
      <w:r>
        <w:rPr>
          <w:rStyle w:val="BodyTextChar"/>
        </w:rPr>
        <w:t>Received feedback on my organisation’s Knowledge and Learning Plan from the Knowledge and Learning Manager</w:t>
      </w:r>
    </w:p>
    <w:p w14:paraId="22B7CC3E" w14:textId="77777777" w:rsidR="00E60842" w:rsidRPr="00E2544B" w:rsidRDefault="00E60842" w:rsidP="00E60842">
      <w:pPr>
        <w:pStyle w:val="ListBullet"/>
        <w:numPr>
          <w:ilvl w:val="0"/>
          <w:numId w:val="57"/>
        </w:numPr>
        <w:rPr>
          <w:rStyle w:val="BodyTextChar"/>
          <w:color w:val="124486" w:themeColor="text2"/>
          <w:sz w:val="28"/>
        </w:rPr>
      </w:pPr>
      <w:r>
        <w:rPr>
          <w:rStyle w:val="BodyTextChar"/>
        </w:rPr>
        <w:t>Received newsletter/electronic updates</w:t>
      </w:r>
    </w:p>
    <w:p w14:paraId="00232864" w14:textId="77777777" w:rsidR="00E60842" w:rsidRDefault="00E60842" w:rsidP="00E60842">
      <w:pPr>
        <w:pStyle w:val="CommentText"/>
        <w:numPr>
          <w:ilvl w:val="0"/>
          <w:numId w:val="57"/>
        </w:numPr>
        <w:rPr>
          <w:sz w:val="21"/>
          <w:szCs w:val="21"/>
        </w:rPr>
      </w:pPr>
      <w:r>
        <w:rPr>
          <w:sz w:val="21"/>
          <w:szCs w:val="21"/>
        </w:rPr>
        <w:t>Watched videos shared by CS WASH Fund</w:t>
      </w:r>
    </w:p>
    <w:p w14:paraId="5FD12AD7" w14:textId="77777777" w:rsidR="00E60842" w:rsidRPr="00E2544B" w:rsidRDefault="00E60842" w:rsidP="00E60842">
      <w:pPr>
        <w:pStyle w:val="CommentText"/>
        <w:numPr>
          <w:ilvl w:val="0"/>
          <w:numId w:val="57"/>
        </w:numPr>
        <w:rPr>
          <w:sz w:val="21"/>
          <w:szCs w:val="21"/>
        </w:rPr>
      </w:pPr>
      <w:r w:rsidRPr="00E2544B">
        <w:rPr>
          <w:sz w:val="21"/>
          <w:szCs w:val="21"/>
        </w:rPr>
        <w:t xml:space="preserve">Participated or followed Civil Society Innovation Award </w:t>
      </w:r>
    </w:p>
    <w:p w14:paraId="766561E1" w14:textId="77777777" w:rsidR="00E60842" w:rsidRPr="00E2544B" w:rsidRDefault="00E60842" w:rsidP="00E60842">
      <w:pPr>
        <w:pStyle w:val="CommentText"/>
        <w:numPr>
          <w:ilvl w:val="0"/>
          <w:numId w:val="57"/>
        </w:numPr>
        <w:rPr>
          <w:sz w:val="21"/>
          <w:szCs w:val="21"/>
        </w:rPr>
      </w:pPr>
      <w:r w:rsidRPr="00E2544B">
        <w:rPr>
          <w:sz w:val="21"/>
          <w:szCs w:val="21"/>
        </w:rPr>
        <w:t xml:space="preserve"> Accessed resources and information shared via CS WASH Fund social media channels (Facebook, Google +, LinkedIn Group, Twitter)</w:t>
      </w:r>
    </w:p>
    <w:p w14:paraId="2A68F2EB" w14:textId="77777777" w:rsidR="00E60842" w:rsidRPr="00E2544B" w:rsidRDefault="00E60842" w:rsidP="00E60842">
      <w:pPr>
        <w:pStyle w:val="CommentText"/>
        <w:numPr>
          <w:ilvl w:val="0"/>
          <w:numId w:val="57"/>
        </w:numPr>
        <w:rPr>
          <w:sz w:val="21"/>
          <w:szCs w:val="21"/>
        </w:rPr>
      </w:pPr>
      <w:r w:rsidRPr="00E2544B">
        <w:rPr>
          <w:sz w:val="21"/>
          <w:szCs w:val="21"/>
        </w:rPr>
        <w:t>Member of Knowledge and Learning Advisory Group</w:t>
      </w:r>
    </w:p>
    <w:p w14:paraId="173BF6B8" w14:textId="77777777" w:rsidR="00E60842" w:rsidRPr="00E2544B" w:rsidRDefault="00E60842" w:rsidP="00E60842">
      <w:pPr>
        <w:pStyle w:val="ListBullet"/>
        <w:numPr>
          <w:ilvl w:val="0"/>
          <w:numId w:val="57"/>
        </w:numPr>
        <w:rPr>
          <w:rStyle w:val="BodyTextChar"/>
          <w:color w:val="124486" w:themeColor="text2"/>
          <w:szCs w:val="21"/>
        </w:rPr>
      </w:pPr>
      <w:r w:rsidRPr="00E2544B">
        <w:rPr>
          <w:szCs w:val="21"/>
        </w:rPr>
        <w:t>Completed survey or interview for CSO Learning for Impact research with Institute for Sustainable Futures UTS</w:t>
      </w:r>
    </w:p>
    <w:p w14:paraId="7274A00C" w14:textId="77777777" w:rsidR="00E60842" w:rsidRPr="004A7ABE" w:rsidRDefault="00E60842" w:rsidP="00E60842">
      <w:pPr>
        <w:pStyle w:val="ListBullet"/>
        <w:numPr>
          <w:ilvl w:val="0"/>
          <w:numId w:val="57"/>
        </w:numPr>
        <w:rPr>
          <w:rStyle w:val="BodyTextChar"/>
          <w:color w:val="124486" w:themeColor="text2"/>
          <w:sz w:val="28"/>
        </w:rPr>
      </w:pPr>
      <w:r>
        <w:rPr>
          <w:rStyle w:val="BodyTextChar"/>
        </w:rPr>
        <w:t>Other (please specify): [free text]</w:t>
      </w:r>
    </w:p>
    <w:p w14:paraId="7F2CD6D4" w14:textId="77777777" w:rsidR="00E60842" w:rsidRDefault="00E60842" w:rsidP="00E60842">
      <w:pPr>
        <w:pStyle w:val="BodyText"/>
      </w:pPr>
      <w:r>
        <w:t>18. In general, when engaging in Fund-wide learning and knowledge activities how frequently are the following issues discussed?</w:t>
      </w:r>
    </w:p>
    <w:tbl>
      <w:tblPr>
        <w:tblStyle w:val="TableGrid"/>
        <w:tblW w:w="0" w:type="auto"/>
        <w:tblLook w:val="04A0" w:firstRow="1" w:lastRow="0" w:firstColumn="1" w:lastColumn="0" w:noHBand="0" w:noVBand="1"/>
        <w:tblCaption w:val="Discussion of gender equality and disability inclusiveness issues"/>
        <w:tblDescription w:val="The table asks CSOs how frequently gender equality and disability inclusiveness issues are discussed at Knowledge and Learning events. "/>
      </w:tblPr>
      <w:tblGrid>
        <w:gridCol w:w="2351"/>
        <w:gridCol w:w="1120"/>
        <w:gridCol w:w="984"/>
        <w:gridCol w:w="1319"/>
        <w:gridCol w:w="1278"/>
        <w:gridCol w:w="1107"/>
        <w:gridCol w:w="562"/>
      </w:tblGrid>
      <w:tr w:rsidR="00E60842" w14:paraId="7D4CAEEF" w14:textId="77777777" w:rsidTr="007E5022">
        <w:tc>
          <w:tcPr>
            <w:tcW w:w="2351" w:type="dxa"/>
          </w:tcPr>
          <w:p w14:paraId="763A8790" w14:textId="77777777" w:rsidR="00E60842" w:rsidRDefault="00E60842" w:rsidP="007E5022">
            <w:pPr>
              <w:pStyle w:val="BodyText"/>
            </w:pPr>
            <w:r>
              <w:t>Service</w:t>
            </w:r>
          </w:p>
        </w:tc>
        <w:tc>
          <w:tcPr>
            <w:tcW w:w="1120" w:type="dxa"/>
          </w:tcPr>
          <w:p w14:paraId="3E6F8597" w14:textId="77777777" w:rsidR="00E60842" w:rsidRDefault="00E60842" w:rsidP="007E5022">
            <w:pPr>
              <w:pStyle w:val="BodyText"/>
            </w:pPr>
            <w:r>
              <w:t>1</w:t>
            </w:r>
          </w:p>
          <w:p w14:paraId="5764C972" w14:textId="77777777" w:rsidR="00E60842" w:rsidRDefault="00E60842" w:rsidP="007E5022">
            <w:pPr>
              <w:pStyle w:val="BodyText"/>
            </w:pPr>
            <w:r>
              <w:t>Never</w:t>
            </w:r>
          </w:p>
        </w:tc>
        <w:tc>
          <w:tcPr>
            <w:tcW w:w="984" w:type="dxa"/>
          </w:tcPr>
          <w:p w14:paraId="50910137" w14:textId="77777777" w:rsidR="00E60842" w:rsidRDefault="00E60842" w:rsidP="007E5022">
            <w:pPr>
              <w:pStyle w:val="BodyText"/>
            </w:pPr>
            <w:r>
              <w:t>2</w:t>
            </w:r>
          </w:p>
          <w:p w14:paraId="65E87CE9" w14:textId="77777777" w:rsidR="00E60842" w:rsidRDefault="00E60842" w:rsidP="007E5022">
            <w:pPr>
              <w:pStyle w:val="BodyText"/>
            </w:pPr>
            <w:r>
              <w:t>Rarely</w:t>
            </w:r>
          </w:p>
        </w:tc>
        <w:tc>
          <w:tcPr>
            <w:tcW w:w="1319" w:type="dxa"/>
          </w:tcPr>
          <w:p w14:paraId="230CDFFF" w14:textId="77777777" w:rsidR="00E60842" w:rsidRDefault="00E60842" w:rsidP="007E5022">
            <w:pPr>
              <w:pStyle w:val="BodyText"/>
            </w:pPr>
            <w:r>
              <w:t xml:space="preserve">3: </w:t>
            </w:r>
          </w:p>
          <w:p w14:paraId="3FF9FBF3" w14:textId="77777777" w:rsidR="00E60842" w:rsidRDefault="00E60842" w:rsidP="007E5022">
            <w:pPr>
              <w:pStyle w:val="BodyText"/>
            </w:pPr>
            <w:r>
              <w:t>Occasionally</w:t>
            </w:r>
          </w:p>
        </w:tc>
        <w:tc>
          <w:tcPr>
            <w:tcW w:w="1278" w:type="dxa"/>
          </w:tcPr>
          <w:p w14:paraId="74436999" w14:textId="77777777" w:rsidR="00E60842" w:rsidRDefault="00E60842" w:rsidP="007E5022">
            <w:pPr>
              <w:pStyle w:val="BodyText"/>
            </w:pPr>
            <w:r>
              <w:t>4</w:t>
            </w:r>
          </w:p>
          <w:p w14:paraId="593707FE" w14:textId="77777777" w:rsidR="00E60842" w:rsidRDefault="00E60842" w:rsidP="007E5022">
            <w:pPr>
              <w:pStyle w:val="BodyText"/>
            </w:pPr>
            <w:r>
              <w:t>Frequently</w:t>
            </w:r>
          </w:p>
        </w:tc>
        <w:tc>
          <w:tcPr>
            <w:tcW w:w="1107" w:type="dxa"/>
          </w:tcPr>
          <w:p w14:paraId="2F3A8D64" w14:textId="77777777" w:rsidR="00E60842" w:rsidRDefault="00E60842" w:rsidP="007E5022">
            <w:pPr>
              <w:pStyle w:val="BodyText"/>
            </w:pPr>
            <w:r>
              <w:t>5</w:t>
            </w:r>
          </w:p>
          <w:p w14:paraId="744F014D" w14:textId="77777777" w:rsidR="00E60842" w:rsidRDefault="00E60842" w:rsidP="007E5022">
            <w:pPr>
              <w:pStyle w:val="BodyText"/>
            </w:pPr>
            <w:r>
              <w:t>Very frequently</w:t>
            </w:r>
          </w:p>
        </w:tc>
        <w:tc>
          <w:tcPr>
            <w:tcW w:w="562" w:type="dxa"/>
          </w:tcPr>
          <w:p w14:paraId="15F1EE39" w14:textId="77777777" w:rsidR="00E60842" w:rsidRDefault="00E60842" w:rsidP="007E5022">
            <w:pPr>
              <w:pStyle w:val="BodyText"/>
            </w:pPr>
            <w:r>
              <w:t>N/A</w:t>
            </w:r>
          </w:p>
        </w:tc>
      </w:tr>
      <w:tr w:rsidR="00E60842" w14:paraId="3F16E0BB" w14:textId="77777777" w:rsidTr="007E5022">
        <w:tc>
          <w:tcPr>
            <w:tcW w:w="2351" w:type="dxa"/>
          </w:tcPr>
          <w:p w14:paraId="01E009CE" w14:textId="77777777" w:rsidR="00E60842" w:rsidRDefault="00E60842" w:rsidP="007E5022">
            <w:pPr>
              <w:pStyle w:val="BodyText"/>
            </w:pPr>
            <w:r>
              <w:t>Gender equality</w:t>
            </w:r>
          </w:p>
        </w:tc>
        <w:tc>
          <w:tcPr>
            <w:tcW w:w="1120" w:type="dxa"/>
          </w:tcPr>
          <w:p w14:paraId="0AE4C46F" w14:textId="77777777" w:rsidR="00E60842" w:rsidRDefault="00E60842" w:rsidP="007E5022">
            <w:pPr>
              <w:pStyle w:val="BodyText"/>
            </w:pPr>
          </w:p>
        </w:tc>
        <w:tc>
          <w:tcPr>
            <w:tcW w:w="984" w:type="dxa"/>
          </w:tcPr>
          <w:p w14:paraId="05508A55" w14:textId="77777777" w:rsidR="00E60842" w:rsidRDefault="00E60842" w:rsidP="007E5022">
            <w:pPr>
              <w:pStyle w:val="BodyText"/>
            </w:pPr>
          </w:p>
        </w:tc>
        <w:tc>
          <w:tcPr>
            <w:tcW w:w="1319" w:type="dxa"/>
          </w:tcPr>
          <w:p w14:paraId="7DD7853B" w14:textId="77777777" w:rsidR="00E60842" w:rsidRDefault="00E60842" w:rsidP="007E5022">
            <w:pPr>
              <w:pStyle w:val="BodyText"/>
            </w:pPr>
          </w:p>
        </w:tc>
        <w:tc>
          <w:tcPr>
            <w:tcW w:w="1278" w:type="dxa"/>
          </w:tcPr>
          <w:p w14:paraId="501F1961" w14:textId="77777777" w:rsidR="00E60842" w:rsidRDefault="00E60842" w:rsidP="007E5022">
            <w:pPr>
              <w:pStyle w:val="BodyText"/>
            </w:pPr>
          </w:p>
        </w:tc>
        <w:tc>
          <w:tcPr>
            <w:tcW w:w="1107" w:type="dxa"/>
          </w:tcPr>
          <w:p w14:paraId="541D753B" w14:textId="77777777" w:rsidR="00E60842" w:rsidRDefault="00E60842" w:rsidP="007E5022">
            <w:pPr>
              <w:pStyle w:val="BodyText"/>
            </w:pPr>
          </w:p>
        </w:tc>
        <w:tc>
          <w:tcPr>
            <w:tcW w:w="562" w:type="dxa"/>
          </w:tcPr>
          <w:p w14:paraId="09272DDB" w14:textId="77777777" w:rsidR="00E60842" w:rsidRDefault="00E60842" w:rsidP="007E5022">
            <w:pPr>
              <w:pStyle w:val="BodyText"/>
            </w:pPr>
          </w:p>
        </w:tc>
      </w:tr>
      <w:tr w:rsidR="00E60842" w14:paraId="645B93B6" w14:textId="77777777" w:rsidTr="007E5022">
        <w:tc>
          <w:tcPr>
            <w:tcW w:w="2351" w:type="dxa"/>
          </w:tcPr>
          <w:p w14:paraId="6BB84C49" w14:textId="77777777" w:rsidR="00E60842" w:rsidRDefault="00E60842" w:rsidP="007E5022">
            <w:pPr>
              <w:pStyle w:val="BodyText"/>
            </w:pPr>
            <w:r>
              <w:t>Disability inclusiveness</w:t>
            </w:r>
          </w:p>
        </w:tc>
        <w:tc>
          <w:tcPr>
            <w:tcW w:w="1120" w:type="dxa"/>
          </w:tcPr>
          <w:p w14:paraId="18536B02" w14:textId="77777777" w:rsidR="00E60842" w:rsidRDefault="00E60842" w:rsidP="007E5022">
            <w:pPr>
              <w:pStyle w:val="BodyText"/>
            </w:pPr>
          </w:p>
        </w:tc>
        <w:tc>
          <w:tcPr>
            <w:tcW w:w="984" w:type="dxa"/>
          </w:tcPr>
          <w:p w14:paraId="533CE126" w14:textId="77777777" w:rsidR="00E60842" w:rsidRDefault="00E60842" w:rsidP="007E5022">
            <w:pPr>
              <w:pStyle w:val="BodyText"/>
            </w:pPr>
          </w:p>
        </w:tc>
        <w:tc>
          <w:tcPr>
            <w:tcW w:w="1319" w:type="dxa"/>
          </w:tcPr>
          <w:p w14:paraId="61965C33" w14:textId="77777777" w:rsidR="00E60842" w:rsidRDefault="00E60842" w:rsidP="007E5022">
            <w:pPr>
              <w:pStyle w:val="BodyText"/>
            </w:pPr>
          </w:p>
        </w:tc>
        <w:tc>
          <w:tcPr>
            <w:tcW w:w="1278" w:type="dxa"/>
          </w:tcPr>
          <w:p w14:paraId="605BF1DC" w14:textId="77777777" w:rsidR="00E60842" w:rsidRDefault="00E60842" w:rsidP="007E5022">
            <w:pPr>
              <w:pStyle w:val="BodyText"/>
            </w:pPr>
          </w:p>
        </w:tc>
        <w:tc>
          <w:tcPr>
            <w:tcW w:w="1107" w:type="dxa"/>
          </w:tcPr>
          <w:p w14:paraId="425A5CE3" w14:textId="77777777" w:rsidR="00E60842" w:rsidRDefault="00E60842" w:rsidP="007E5022">
            <w:pPr>
              <w:pStyle w:val="BodyText"/>
            </w:pPr>
          </w:p>
        </w:tc>
        <w:tc>
          <w:tcPr>
            <w:tcW w:w="562" w:type="dxa"/>
          </w:tcPr>
          <w:p w14:paraId="1FAA53BF" w14:textId="77777777" w:rsidR="00E60842" w:rsidRDefault="00E60842" w:rsidP="007E5022">
            <w:pPr>
              <w:pStyle w:val="BodyText"/>
            </w:pPr>
          </w:p>
        </w:tc>
      </w:tr>
    </w:tbl>
    <w:p w14:paraId="283E9857" w14:textId="77777777" w:rsidR="00E60842" w:rsidRDefault="00E60842" w:rsidP="00E60842">
      <w:pPr>
        <w:pStyle w:val="BodyText"/>
      </w:pPr>
    </w:p>
    <w:p w14:paraId="046718AD" w14:textId="77777777" w:rsidR="00E60842" w:rsidRDefault="00E60842" w:rsidP="00E60842">
      <w:pPr>
        <w:pStyle w:val="ListBullet"/>
        <w:numPr>
          <w:ilvl w:val="0"/>
          <w:numId w:val="0"/>
        </w:numPr>
        <w:rPr>
          <w:rStyle w:val="BodyTextChar"/>
        </w:rPr>
      </w:pPr>
      <w:r>
        <w:rPr>
          <w:rStyle w:val="BodyTextChar"/>
        </w:rPr>
        <w:t xml:space="preserve">19. To what extent has engagement with these knowledge and learning activities helped your project delivery team </w:t>
      </w:r>
      <w:r>
        <w:rPr>
          <w:rStyle w:val="BodyTextChar"/>
          <w:b/>
        </w:rPr>
        <w:t>improve its</w:t>
      </w:r>
      <w:r>
        <w:rPr>
          <w:rStyle w:val="BodyTextChar"/>
        </w:rPr>
        <w:t xml:space="preserve"> </w:t>
      </w:r>
      <w:r w:rsidRPr="00BF4161">
        <w:rPr>
          <w:rStyle w:val="BodyTextChar"/>
          <w:b/>
        </w:rPr>
        <w:t>knowledge</w:t>
      </w:r>
      <w:r>
        <w:rPr>
          <w:rStyle w:val="BodyTextChar"/>
        </w:rPr>
        <w:t xml:space="preserve"> of issues related to WASH? </w:t>
      </w:r>
    </w:p>
    <w:tbl>
      <w:tblPr>
        <w:tblStyle w:val="TableGrid"/>
        <w:tblW w:w="0" w:type="auto"/>
        <w:tblLook w:val="04A0" w:firstRow="1" w:lastRow="0" w:firstColumn="1" w:lastColumn="0" w:noHBand="0" w:noVBand="1"/>
        <w:tblCaption w:val="Knowledge and learning activities"/>
        <w:tblDescription w:val="The table asks which knowledge and learning activities have improved CSO teams' knowledge of WASH issues. "/>
      </w:tblPr>
      <w:tblGrid>
        <w:gridCol w:w="2377"/>
        <w:gridCol w:w="1134"/>
        <w:gridCol w:w="992"/>
        <w:gridCol w:w="1269"/>
        <w:gridCol w:w="1283"/>
        <w:gridCol w:w="1104"/>
        <w:gridCol w:w="562"/>
      </w:tblGrid>
      <w:tr w:rsidR="00E60842" w14:paraId="6CB904B5" w14:textId="77777777" w:rsidTr="007E5022">
        <w:tc>
          <w:tcPr>
            <w:tcW w:w="2377" w:type="dxa"/>
          </w:tcPr>
          <w:p w14:paraId="022A5AE0" w14:textId="77777777" w:rsidR="00E60842" w:rsidRDefault="00E60842" w:rsidP="007E5022">
            <w:pPr>
              <w:pStyle w:val="BodyText"/>
            </w:pPr>
          </w:p>
        </w:tc>
        <w:tc>
          <w:tcPr>
            <w:tcW w:w="1134" w:type="dxa"/>
          </w:tcPr>
          <w:p w14:paraId="2DECF56E" w14:textId="77777777" w:rsidR="00E60842" w:rsidRDefault="00E60842" w:rsidP="007E5022">
            <w:pPr>
              <w:pStyle w:val="BodyText"/>
            </w:pPr>
            <w:r>
              <w:t>1</w:t>
            </w:r>
          </w:p>
          <w:p w14:paraId="76903D53" w14:textId="77777777" w:rsidR="00E60842" w:rsidRDefault="00E60842" w:rsidP="007E5022">
            <w:pPr>
              <w:pStyle w:val="BodyText"/>
            </w:pPr>
            <w:r>
              <w:t>Not at all</w:t>
            </w:r>
          </w:p>
        </w:tc>
        <w:tc>
          <w:tcPr>
            <w:tcW w:w="992" w:type="dxa"/>
          </w:tcPr>
          <w:p w14:paraId="168D8B1F" w14:textId="77777777" w:rsidR="00E60842" w:rsidRDefault="00E60842" w:rsidP="007E5022">
            <w:pPr>
              <w:pStyle w:val="BodyText"/>
            </w:pPr>
            <w:r>
              <w:t>2</w:t>
            </w:r>
          </w:p>
          <w:p w14:paraId="4F1EE260" w14:textId="77777777" w:rsidR="00E60842" w:rsidRDefault="00E60842" w:rsidP="007E5022">
            <w:pPr>
              <w:pStyle w:val="BodyText"/>
            </w:pPr>
            <w:r>
              <w:t>Slightly</w:t>
            </w:r>
          </w:p>
        </w:tc>
        <w:tc>
          <w:tcPr>
            <w:tcW w:w="1269" w:type="dxa"/>
          </w:tcPr>
          <w:p w14:paraId="6EDF6CF7" w14:textId="77777777" w:rsidR="00E60842" w:rsidRDefault="00E60842" w:rsidP="007E5022">
            <w:pPr>
              <w:pStyle w:val="BodyText"/>
            </w:pPr>
            <w:r>
              <w:t xml:space="preserve">3: </w:t>
            </w:r>
          </w:p>
          <w:p w14:paraId="0C6435BF" w14:textId="77777777" w:rsidR="00E60842" w:rsidRDefault="00E60842" w:rsidP="007E5022">
            <w:pPr>
              <w:pStyle w:val="BodyText"/>
            </w:pPr>
            <w:r>
              <w:t>Moderately</w:t>
            </w:r>
          </w:p>
        </w:tc>
        <w:tc>
          <w:tcPr>
            <w:tcW w:w="1283" w:type="dxa"/>
          </w:tcPr>
          <w:p w14:paraId="7B6E9728" w14:textId="77777777" w:rsidR="00E60842" w:rsidRDefault="00E60842" w:rsidP="007E5022">
            <w:pPr>
              <w:pStyle w:val="BodyText"/>
            </w:pPr>
            <w:r>
              <w:t>4</w:t>
            </w:r>
          </w:p>
          <w:p w14:paraId="5CA9D144" w14:textId="77777777" w:rsidR="00E60842" w:rsidRDefault="00E60842" w:rsidP="007E5022">
            <w:pPr>
              <w:pStyle w:val="BodyText"/>
            </w:pPr>
            <w:r>
              <w:t>Significantly</w:t>
            </w:r>
          </w:p>
        </w:tc>
        <w:tc>
          <w:tcPr>
            <w:tcW w:w="1104" w:type="dxa"/>
          </w:tcPr>
          <w:p w14:paraId="79CE01BB" w14:textId="77777777" w:rsidR="00E60842" w:rsidRDefault="00E60842" w:rsidP="007E5022">
            <w:pPr>
              <w:pStyle w:val="BodyText"/>
            </w:pPr>
            <w:r>
              <w:t>5</w:t>
            </w:r>
          </w:p>
          <w:p w14:paraId="6F254F94" w14:textId="77777777" w:rsidR="00E60842" w:rsidRDefault="00E60842" w:rsidP="007E5022">
            <w:pPr>
              <w:pStyle w:val="BodyText"/>
            </w:pPr>
            <w:r>
              <w:t>Extremely</w:t>
            </w:r>
          </w:p>
        </w:tc>
        <w:tc>
          <w:tcPr>
            <w:tcW w:w="562" w:type="dxa"/>
          </w:tcPr>
          <w:p w14:paraId="056AC94B" w14:textId="77777777" w:rsidR="00E60842" w:rsidRDefault="00E60842" w:rsidP="007E5022">
            <w:pPr>
              <w:pStyle w:val="BodyText"/>
            </w:pPr>
            <w:r>
              <w:t>N/A</w:t>
            </w:r>
          </w:p>
        </w:tc>
      </w:tr>
      <w:tr w:rsidR="00E60842" w14:paraId="30C24D85" w14:textId="77777777" w:rsidTr="007E5022">
        <w:tc>
          <w:tcPr>
            <w:tcW w:w="2377" w:type="dxa"/>
          </w:tcPr>
          <w:p w14:paraId="10F67204" w14:textId="77777777" w:rsidR="00E60842" w:rsidRDefault="00E60842" w:rsidP="007E5022">
            <w:pPr>
              <w:pStyle w:val="BodyText"/>
            </w:pPr>
            <w:r>
              <w:t>Webinar hosted on CS WASH Fund website</w:t>
            </w:r>
          </w:p>
        </w:tc>
        <w:tc>
          <w:tcPr>
            <w:tcW w:w="1134" w:type="dxa"/>
          </w:tcPr>
          <w:p w14:paraId="5980CA69" w14:textId="77777777" w:rsidR="00E60842" w:rsidRDefault="00E60842" w:rsidP="007E5022">
            <w:pPr>
              <w:pStyle w:val="BodyText"/>
            </w:pPr>
          </w:p>
        </w:tc>
        <w:tc>
          <w:tcPr>
            <w:tcW w:w="992" w:type="dxa"/>
          </w:tcPr>
          <w:p w14:paraId="3CE1F882" w14:textId="77777777" w:rsidR="00E60842" w:rsidRDefault="00E60842" w:rsidP="007E5022">
            <w:pPr>
              <w:pStyle w:val="BodyText"/>
            </w:pPr>
          </w:p>
        </w:tc>
        <w:tc>
          <w:tcPr>
            <w:tcW w:w="1269" w:type="dxa"/>
          </w:tcPr>
          <w:p w14:paraId="44076F50" w14:textId="77777777" w:rsidR="00E60842" w:rsidRDefault="00E60842" w:rsidP="007E5022">
            <w:pPr>
              <w:pStyle w:val="BodyText"/>
            </w:pPr>
          </w:p>
        </w:tc>
        <w:tc>
          <w:tcPr>
            <w:tcW w:w="1283" w:type="dxa"/>
          </w:tcPr>
          <w:p w14:paraId="6C4632F7" w14:textId="77777777" w:rsidR="00E60842" w:rsidRDefault="00E60842" w:rsidP="007E5022">
            <w:pPr>
              <w:pStyle w:val="BodyText"/>
            </w:pPr>
          </w:p>
        </w:tc>
        <w:tc>
          <w:tcPr>
            <w:tcW w:w="1104" w:type="dxa"/>
          </w:tcPr>
          <w:p w14:paraId="5C1E24F1" w14:textId="77777777" w:rsidR="00E60842" w:rsidRDefault="00E60842" w:rsidP="007E5022">
            <w:pPr>
              <w:pStyle w:val="BodyText"/>
            </w:pPr>
          </w:p>
        </w:tc>
        <w:tc>
          <w:tcPr>
            <w:tcW w:w="562" w:type="dxa"/>
          </w:tcPr>
          <w:p w14:paraId="0B7C0B18" w14:textId="77777777" w:rsidR="00E60842" w:rsidRDefault="00E60842" w:rsidP="007E5022">
            <w:pPr>
              <w:pStyle w:val="BodyText"/>
            </w:pPr>
          </w:p>
        </w:tc>
      </w:tr>
      <w:tr w:rsidR="00E60842" w14:paraId="33F0E9F9" w14:textId="77777777" w:rsidTr="007E5022">
        <w:tc>
          <w:tcPr>
            <w:tcW w:w="2377" w:type="dxa"/>
          </w:tcPr>
          <w:p w14:paraId="2924AAD4" w14:textId="77777777" w:rsidR="00E60842" w:rsidRDefault="00E60842" w:rsidP="007E5022">
            <w:pPr>
              <w:pStyle w:val="BodyText"/>
            </w:pPr>
            <w:r>
              <w:t>E-discussion/forum hosted on cswashfund.org</w:t>
            </w:r>
          </w:p>
        </w:tc>
        <w:tc>
          <w:tcPr>
            <w:tcW w:w="1134" w:type="dxa"/>
          </w:tcPr>
          <w:p w14:paraId="7EBA53BD" w14:textId="77777777" w:rsidR="00E60842" w:rsidRDefault="00E60842" w:rsidP="007E5022">
            <w:pPr>
              <w:pStyle w:val="BodyText"/>
            </w:pPr>
          </w:p>
        </w:tc>
        <w:tc>
          <w:tcPr>
            <w:tcW w:w="992" w:type="dxa"/>
          </w:tcPr>
          <w:p w14:paraId="4D2B79DD" w14:textId="77777777" w:rsidR="00E60842" w:rsidRDefault="00E60842" w:rsidP="007E5022">
            <w:pPr>
              <w:pStyle w:val="BodyText"/>
            </w:pPr>
          </w:p>
        </w:tc>
        <w:tc>
          <w:tcPr>
            <w:tcW w:w="1269" w:type="dxa"/>
          </w:tcPr>
          <w:p w14:paraId="17EEE509" w14:textId="77777777" w:rsidR="00E60842" w:rsidRDefault="00E60842" w:rsidP="007E5022">
            <w:pPr>
              <w:pStyle w:val="BodyText"/>
            </w:pPr>
          </w:p>
        </w:tc>
        <w:tc>
          <w:tcPr>
            <w:tcW w:w="1283" w:type="dxa"/>
          </w:tcPr>
          <w:p w14:paraId="42D54444" w14:textId="77777777" w:rsidR="00E60842" w:rsidRDefault="00E60842" w:rsidP="007E5022">
            <w:pPr>
              <w:pStyle w:val="BodyText"/>
            </w:pPr>
          </w:p>
        </w:tc>
        <w:tc>
          <w:tcPr>
            <w:tcW w:w="1104" w:type="dxa"/>
          </w:tcPr>
          <w:p w14:paraId="0AA8AED0" w14:textId="77777777" w:rsidR="00E60842" w:rsidRDefault="00E60842" w:rsidP="007E5022">
            <w:pPr>
              <w:pStyle w:val="BodyText"/>
            </w:pPr>
          </w:p>
        </w:tc>
        <w:tc>
          <w:tcPr>
            <w:tcW w:w="562" w:type="dxa"/>
          </w:tcPr>
          <w:p w14:paraId="04470755" w14:textId="77777777" w:rsidR="00E60842" w:rsidRDefault="00E60842" w:rsidP="007E5022">
            <w:pPr>
              <w:pStyle w:val="BodyText"/>
            </w:pPr>
          </w:p>
        </w:tc>
      </w:tr>
      <w:tr w:rsidR="00E60842" w14:paraId="40205F8F" w14:textId="77777777" w:rsidTr="007E5022">
        <w:tc>
          <w:tcPr>
            <w:tcW w:w="2377" w:type="dxa"/>
          </w:tcPr>
          <w:p w14:paraId="3C4CC1BC" w14:textId="77777777" w:rsidR="00E60842" w:rsidRDefault="00E60842" w:rsidP="007E5022">
            <w:pPr>
              <w:pStyle w:val="BodyText"/>
            </w:pPr>
            <w:r>
              <w:t>Accessed resources or information on cswashfund.org</w:t>
            </w:r>
          </w:p>
        </w:tc>
        <w:tc>
          <w:tcPr>
            <w:tcW w:w="1134" w:type="dxa"/>
          </w:tcPr>
          <w:p w14:paraId="67B11FB0" w14:textId="77777777" w:rsidR="00E60842" w:rsidRDefault="00E60842" w:rsidP="007E5022">
            <w:pPr>
              <w:pStyle w:val="BodyText"/>
            </w:pPr>
          </w:p>
        </w:tc>
        <w:tc>
          <w:tcPr>
            <w:tcW w:w="992" w:type="dxa"/>
          </w:tcPr>
          <w:p w14:paraId="11198D57" w14:textId="77777777" w:rsidR="00E60842" w:rsidRDefault="00E60842" w:rsidP="007E5022">
            <w:pPr>
              <w:pStyle w:val="BodyText"/>
            </w:pPr>
          </w:p>
        </w:tc>
        <w:tc>
          <w:tcPr>
            <w:tcW w:w="1269" w:type="dxa"/>
          </w:tcPr>
          <w:p w14:paraId="1C4FF363" w14:textId="77777777" w:rsidR="00E60842" w:rsidRDefault="00E60842" w:rsidP="007E5022">
            <w:pPr>
              <w:pStyle w:val="BodyText"/>
            </w:pPr>
          </w:p>
        </w:tc>
        <w:tc>
          <w:tcPr>
            <w:tcW w:w="1283" w:type="dxa"/>
          </w:tcPr>
          <w:p w14:paraId="4238D9F5" w14:textId="77777777" w:rsidR="00E60842" w:rsidRDefault="00E60842" w:rsidP="007E5022">
            <w:pPr>
              <w:pStyle w:val="BodyText"/>
            </w:pPr>
          </w:p>
        </w:tc>
        <w:tc>
          <w:tcPr>
            <w:tcW w:w="1104" w:type="dxa"/>
          </w:tcPr>
          <w:p w14:paraId="1A0E604D" w14:textId="77777777" w:rsidR="00E60842" w:rsidRDefault="00E60842" w:rsidP="007E5022">
            <w:pPr>
              <w:pStyle w:val="BodyText"/>
            </w:pPr>
          </w:p>
        </w:tc>
        <w:tc>
          <w:tcPr>
            <w:tcW w:w="562" w:type="dxa"/>
          </w:tcPr>
          <w:p w14:paraId="34912AB6" w14:textId="77777777" w:rsidR="00E60842" w:rsidRDefault="00E60842" w:rsidP="007E5022">
            <w:pPr>
              <w:pStyle w:val="BodyText"/>
            </w:pPr>
          </w:p>
        </w:tc>
      </w:tr>
      <w:tr w:rsidR="00E60842" w14:paraId="429F5DFA" w14:textId="77777777" w:rsidTr="007E5022">
        <w:tc>
          <w:tcPr>
            <w:tcW w:w="2377" w:type="dxa"/>
          </w:tcPr>
          <w:p w14:paraId="34FEC9D1" w14:textId="77777777" w:rsidR="00E60842" w:rsidRDefault="00E60842" w:rsidP="007E5022">
            <w:pPr>
              <w:pStyle w:val="BodyText"/>
            </w:pPr>
            <w:r>
              <w:t>Regional or global learning event</w:t>
            </w:r>
          </w:p>
        </w:tc>
        <w:tc>
          <w:tcPr>
            <w:tcW w:w="1134" w:type="dxa"/>
          </w:tcPr>
          <w:p w14:paraId="2D911ABD" w14:textId="77777777" w:rsidR="00E60842" w:rsidRDefault="00E60842" w:rsidP="007E5022">
            <w:pPr>
              <w:pStyle w:val="BodyText"/>
            </w:pPr>
          </w:p>
        </w:tc>
        <w:tc>
          <w:tcPr>
            <w:tcW w:w="992" w:type="dxa"/>
          </w:tcPr>
          <w:p w14:paraId="32BB86E6" w14:textId="77777777" w:rsidR="00E60842" w:rsidRDefault="00E60842" w:rsidP="007E5022">
            <w:pPr>
              <w:pStyle w:val="BodyText"/>
            </w:pPr>
          </w:p>
        </w:tc>
        <w:tc>
          <w:tcPr>
            <w:tcW w:w="1269" w:type="dxa"/>
          </w:tcPr>
          <w:p w14:paraId="5F32EEE8" w14:textId="77777777" w:rsidR="00E60842" w:rsidRDefault="00E60842" w:rsidP="007E5022">
            <w:pPr>
              <w:pStyle w:val="BodyText"/>
            </w:pPr>
          </w:p>
        </w:tc>
        <w:tc>
          <w:tcPr>
            <w:tcW w:w="1283" w:type="dxa"/>
          </w:tcPr>
          <w:p w14:paraId="400433D1" w14:textId="77777777" w:rsidR="00E60842" w:rsidRDefault="00E60842" w:rsidP="007E5022">
            <w:pPr>
              <w:pStyle w:val="BodyText"/>
            </w:pPr>
          </w:p>
        </w:tc>
        <w:tc>
          <w:tcPr>
            <w:tcW w:w="1104" w:type="dxa"/>
          </w:tcPr>
          <w:p w14:paraId="7C44A43A" w14:textId="77777777" w:rsidR="00E60842" w:rsidRDefault="00E60842" w:rsidP="007E5022">
            <w:pPr>
              <w:pStyle w:val="BodyText"/>
            </w:pPr>
          </w:p>
        </w:tc>
        <w:tc>
          <w:tcPr>
            <w:tcW w:w="562" w:type="dxa"/>
          </w:tcPr>
          <w:p w14:paraId="705D33F6" w14:textId="77777777" w:rsidR="00E60842" w:rsidRDefault="00E60842" w:rsidP="007E5022">
            <w:pPr>
              <w:pStyle w:val="BodyText"/>
            </w:pPr>
          </w:p>
        </w:tc>
      </w:tr>
      <w:tr w:rsidR="00E60842" w14:paraId="6019D2A9" w14:textId="77777777" w:rsidTr="007E5022">
        <w:tc>
          <w:tcPr>
            <w:tcW w:w="2377" w:type="dxa"/>
          </w:tcPr>
          <w:p w14:paraId="76E5122A" w14:textId="77777777" w:rsidR="00E60842" w:rsidRDefault="00E60842" w:rsidP="007E5022">
            <w:pPr>
              <w:pStyle w:val="BodyText"/>
            </w:pPr>
            <w:r>
              <w:t>Linked to a research project</w:t>
            </w:r>
          </w:p>
        </w:tc>
        <w:tc>
          <w:tcPr>
            <w:tcW w:w="1134" w:type="dxa"/>
          </w:tcPr>
          <w:p w14:paraId="4CF6C700" w14:textId="77777777" w:rsidR="00E60842" w:rsidRDefault="00E60842" w:rsidP="007E5022">
            <w:pPr>
              <w:pStyle w:val="BodyText"/>
            </w:pPr>
          </w:p>
        </w:tc>
        <w:tc>
          <w:tcPr>
            <w:tcW w:w="992" w:type="dxa"/>
          </w:tcPr>
          <w:p w14:paraId="323D1AA6" w14:textId="77777777" w:rsidR="00E60842" w:rsidRDefault="00E60842" w:rsidP="007E5022">
            <w:pPr>
              <w:pStyle w:val="BodyText"/>
            </w:pPr>
          </w:p>
        </w:tc>
        <w:tc>
          <w:tcPr>
            <w:tcW w:w="1269" w:type="dxa"/>
          </w:tcPr>
          <w:p w14:paraId="6D342F5D" w14:textId="77777777" w:rsidR="00E60842" w:rsidRDefault="00E60842" w:rsidP="007E5022">
            <w:pPr>
              <w:pStyle w:val="BodyText"/>
            </w:pPr>
          </w:p>
        </w:tc>
        <w:tc>
          <w:tcPr>
            <w:tcW w:w="1283" w:type="dxa"/>
          </w:tcPr>
          <w:p w14:paraId="0609F38E" w14:textId="77777777" w:rsidR="00E60842" w:rsidRDefault="00E60842" w:rsidP="007E5022">
            <w:pPr>
              <w:pStyle w:val="BodyText"/>
            </w:pPr>
          </w:p>
        </w:tc>
        <w:tc>
          <w:tcPr>
            <w:tcW w:w="1104" w:type="dxa"/>
          </w:tcPr>
          <w:p w14:paraId="46D1504C" w14:textId="77777777" w:rsidR="00E60842" w:rsidRDefault="00E60842" w:rsidP="007E5022">
            <w:pPr>
              <w:pStyle w:val="BodyText"/>
            </w:pPr>
          </w:p>
        </w:tc>
        <w:tc>
          <w:tcPr>
            <w:tcW w:w="562" w:type="dxa"/>
          </w:tcPr>
          <w:p w14:paraId="670258E9" w14:textId="77777777" w:rsidR="00E60842" w:rsidRDefault="00E60842" w:rsidP="007E5022">
            <w:pPr>
              <w:pStyle w:val="BodyText"/>
            </w:pPr>
          </w:p>
        </w:tc>
      </w:tr>
      <w:tr w:rsidR="00E60842" w14:paraId="4BC8A291" w14:textId="77777777" w:rsidTr="007E5022">
        <w:tc>
          <w:tcPr>
            <w:tcW w:w="2377" w:type="dxa"/>
          </w:tcPr>
          <w:p w14:paraId="59B38C70" w14:textId="77777777" w:rsidR="00E60842" w:rsidRDefault="00E60842" w:rsidP="007E5022">
            <w:pPr>
              <w:pStyle w:val="BodyText"/>
            </w:pPr>
            <w:r>
              <w:t>Collaborated with another CSO</w:t>
            </w:r>
          </w:p>
        </w:tc>
        <w:tc>
          <w:tcPr>
            <w:tcW w:w="1134" w:type="dxa"/>
          </w:tcPr>
          <w:p w14:paraId="581F85DE" w14:textId="77777777" w:rsidR="00E60842" w:rsidRDefault="00E60842" w:rsidP="007E5022">
            <w:pPr>
              <w:pStyle w:val="BodyText"/>
            </w:pPr>
          </w:p>
        </w:tc>
        <w:tc>
          <w:tcPr>
            <w:tcW w:w="992" w:type="dxa"/>
          </w:tcPr>
          <w:p w14:paraId="4C5F860A" w14:textId="77777777" w:rsidR="00E60842" w:rsidRDefault="00E60842" w:rsidP="007E5022">
            <w:pPr>
              <w:pStyle w:val="BodyText"/>
            </w:pPr>
          </w:p>
        </w:tc>
        <w:tc>
          <w:tcPr>
            <w:tcW w:w="1269" w:type="dxa"/>
          </w:tcPr>
          <w:p w14:paraId="07A61929" w14:textId="77777777" w:rsidR="00E60842" w:rsidRDefault="00E60842" w:rsidP="007E5022">
            <w:pPr>
              <w:pStyle w:val="BodyText"/>
            </w:pPr>
          </w:p>
        </w:tc>
        <w:tc>
          <w:tcPr>
            <w:tcW w:w="1283" w:type="dxa"/>
          </w:tcPr>
          <w:p w14:paraId="0A1FE01D" w14:textId="77777777" w:rsidR="00E60842" w:rsidRDefault="00E60842" w:rsidP="007E5022">
            <w:pPr>
              <w:pStyle w:val="BodyText"/>
            </w:pPr>
          </w:p>
        </w:tc>
        <w:tc>
          <w:tcPr>
            <w:tcW w:w="1104" w:type="dxa"/>
          </w:tcPr>
          <w:p w14:paraId="03E55E14" w14:textId="77777777" w:rsidR="00E60842" w:rsidRDefault="00E60842" w:rsidP="007E5022">
            <w:pPr>
              <w:pStyle w:val="BodyText"/>
            </w:pPr>
          </w:p>
        </w:tc>
        <w:tc>
          <w:tcPr>
            <w:tcW w:w="562" w:type="dxa"/>
          </w:tcPr>
          <w:p w14:paraId="1156D8D2" w14:textId="77777777" w:rsidR="00E60842" w:rsidRDefault="00E60842" w:rsidP="007E5022">
            <w:pPr>
              <w:pStyle w:val="BodyText"/>
            </w:pPr>
          </w:p>
        </w:tc>
      </w:tr>
      <w:tr w:rsidR="00E60842" w14:paraId="4F2308D5" w14:textId="77777777" w:rsidTr="007E5022">
        <w:tc>
          <w:tcPr>
            <w:tcW w:w="2377" w:type="dxa"/>
          </w:tcPr>
          <w:p w14:paraId="6B1169F1" w14:textId="77777777" w:rsidR="00E60842" w:rsidRDefault="00E60842" w:rsidP="007E5022">
            <w:pPr>
              <w:pStyle w:val="BodyText"/>
            </w:pPr>
            <w:r>
              <w:t>Developed and/or implemented Knowledge and Learning Plan</w:t>
            </w:r>
          </w:p>
        </w:tc>
        <w:tc>
          <w:tcPr>
            <w:tcW w:w="1134" w:type="dxa"/>
          </w:tcPr>
          <w:p w14:paraId="161A3784" w14:textId="77777777" w:rsidR="00E60842" w:rsidRDefault="00E60842" w:rsidP="007E5022">
            <w:pPr>
              <w:pStyle w:val="BodyText"/>
            </w:pPr>
          </w:p>
        </w:tc>
        <w:tc>
          <w:tcPr>
            <w:tcW w:w="992" w:type="dxa"/>
          </w:tcPr>
          <w:p w14:paraId="06D08B43" w14:textId="77777777" w:rsidR="00E60842" w:rsidRDefault="00E60842" w:rsidP="007E5022">
            <w:pPr>
              <w:pStyle w:val="BodyText"/>
            </w:pPr>
          </w:p>
        </w:tc>
        <w:tc>
          <w:tcPr>
            <w:tcW w:w="1269" w:type="dxa"/>
          </w:tcPr>
          <w:p w14:paraId="097B47AF" w14:textId="77777777" w:rsidR="00E60842" w:rsidRDefault="00E60842" w:rsidP="007E5022">
            <w:pPr>
              <w:pStyle w:val="BodyText"/>
            </w:pPr>
          </w:p>
        </w:tc>
        <w:tc>
          <w:tcPr>
            <w:tcW w:w="1283" w:type="dxa"/>
          </w:tcPr>
          <w:p w14:paraId="5979BCD8" w14:textId="77777777" w:rsidR="00E60842" w:rsidRDefault="00E60842" w:rsidP="007E5022">
            <w:pPr>
              <w:pStyle w:val="BodyText"/>
            </w:pPr>
          </w:p>
        </w:tc>
        <w:tc>
          <w:tcPr>
            <w:tcW w:w="1104" w:type="dxa"/>
          </w:tcPr>
          <w:p w14:paraId="2E4E941E" w14:textId="77777777" w:rsidR="00E60842" w:rsidRDefault="00E60842" w:rsidP="007E5022">
            <w:pPr>
              <w:pStyle w:val="BodyText"/>
            </w:pPr>
          </w:p>
        </w:tc>
        <w:tc>
          <w:tcPr>
            <w:tcW w:w="562" w:type="dxa"/>
          </w:tcPr>
          <w:p w14:paraId="17952116" w14:textId="77777777" w:rsidR="00E60842" w:rsidRDefault="00E60842" w:rsidP="007E5022">
            <w:pPr>
              <w:pStyle w:val="BodyText"/>
            </w:pPr>
          </w:p>
        </w:tc>
      </w:tr>
      <w:tr w:rsidR="00E60842" w14:paraId="39A8E89C" w14:textId="77777777" w:rsidTr="007E5022">
        <w:tc>
          <w:tcPr>
            <w:tcW w:w="2377" w:type="dxa"/>
          </w:tcPr>
          <w:p w14:paraId="0E16A3EE" w14:textId="77777777" w:rsidR="00E60842" w:rsidRDefault="00E60842" w:rsidP="007E5022">
            <w:pPr>
              <w:pStyle w:val="BodyText"/>
            </w:pPr>
            <w:r>
              <w:rPr>
                <w:rStyle w:val="BodyTextChar"/>
              </w:rPr>
              <w:t>Received feedback on your organisation’s Knowledge and Learning Plan</w:t>
            </w:r>
            <w:r>
              <w:t xml:space="preserve"> </w:t>
            </w:r>
            <w:r w:rsidRPr="00447D6C">
              <w:rPr>
                <w:rStyle w:val="BodyTextChar"/>
              </w:rPr>
              <w:t>f</w:t>
            </w:r>
            <w:r>
              <w:rPr>
                <w:rStyle w:val="BodyTextChar"/>
              </w:rPr>
              <w:t>rom the Knowledge and Learning M</w:t>
            </w:r>
            <w:r w:rsidRPr="00447D6C">
              <w:rPr>
                <w:rStyle w:val="BodyTextChar"/>
              </w:rPr>
              <w:t>anager</w:t>
            </w:r>
          </w:p>
        </w:tc>
        <w:tc>
          <w:tcPr>
            <w:tcW w:w="1134" w:type="dxa"/>
          </w:tcPr>
          <w:p w14:paraId="159B9F0E" w14:textId="77777777" w:rsidR="00E60842" w:rsidRDefault="00E60842" w:rsidP="007E5022">
            <w:pPr>
              <w:pStyle w:val="BodyText"/>
            </w:pPr>
          </w:p>
        </w:tc>
        <w:tc>
          <w:tcPr>
            <w:tcW w:w="992" w:type="dxa"/>
          </w:tcPr>
          <w:p w14:paraId="0E319B67" w14:textId="77777777" w:rsidR="00E60842" w:rsidRDefault="00E60842" w:rsidP="007E5022">
            <w:pPr>
              <w:pStyle w:val="BodyText"/>
            </w:pPr>
          </w:p>
        </w:tc>
        <w:tc>
          <w:tcPr>
            <w:tcW w:w="1269" w:type="dxa"/>
          </w:tcPr>
          <w:p w14:paraId="2023848E" w14:textId="77777777" w:rsidR="00E60842" w:rsidRDefault="00E60842" w:rsidP="007E5022">
            <w:pPr>
              <w:pStyle w:val="BodyText"/>
            </w:pPr>
          </w:p>
        </w:tc>
        <w:tc>
          <w:tcPr>
            <w:tcW w:w="1283" w:type="dxa"/>
          </w:tcPr>
          <w:p w14:paraId="0DA0EFAA" w14:textId="77777777" w:rsidR="00E60842" w:rsidRDefault="00E60842" w:rsidP="007E5022">
            <w:pPr>
              <w:pStyle w:val="BodyText"/>
            </w:pPr>
          </w:p>
        </w:tc>
        <w:tc>
          <w:tcPr>
            <w:tcW w:w="1104" w:type="dxa"/>
          </w:tcPr>
          <w:p w14:paraId="72170972" w14:textId="77777777" w:rsidR="00E60842" w:rsidRDefault="00E60842" w:rsidP="007E5022">
            <w:pPr>
              <w:pStyle w:val="BodyText"/>
            </w:pPr>
          </w:p>
        </w:tc>
        <w:tc>
          <w:tcPr>
            <w:tcW w:w="562" w:type="dxa"/>
          </w:tcPr>
          <w:p w14:paraId="78D25F8F" w14:textId="77777777" w:rsidR="00E60842" w:rsidRDefault="00E60842" w:rsidP="007E5022">
            <w:pPr>
              <w:pStyle w:val="BodyText"/>
            </w:pPr>
          </w:p>
        </w:tc>
      </w:tr>
      <w:tr w:rsidR="00E60842" w14:paraId="72D318ED" w14:textId="77777777" w:rsidTr="007E5022">
        <w:tc>
          <w:tcPr>
            <w:tcW w:w="2377" w:type="dxa"/>
          </w:tcPr>
          <w:p w14:paraId="1FF085A9" w14:textId="77777777" w:rsidR="00E60842" w:rsidRDefault="00E60842" w:rsidP="007E5022">
            <w:pPr>
              <w:pStyle w:val="BodyText"/>
              <w:rPr>
                <w:rStyle w:val="BodyTextChar"/>
              </w:rPr>
            </w:pPr>
            <w:r w:rsidRPr="00447D6C">
              <w:rPr>
                <w:rStyle w:val="BodyTextChar"/>
              </w:rPr>
              <w:t>Receive</w:t>
            </w:r>
            <w:r>
              <w:rPr>
                <w:rStyle w:val="BodyTextChar"/>
              </w:rPr>
              <w:t>d newsletter/electronic updates</w:t>
            </w:r>
          </w:p>
        </w:tc>
        <w:tc>
          <w:tcPr>
            <w:tcW w:w="1134" w:type="dxa"/>
          </w:tcPr>
          <w:p w14:paraId="694467D4" w14:textId="77777777" w:rsidR="00E60842" w:rsidRDefault="00E60842" w:rsidP="007E5022">
            <w:pPr>
              <w:pStyle w:val="BodyText"/>
            </w:pPr>
          </w:p>
        </w:tc>
        <w:tc>
          <w:tcPr>
            <w:tcW w:w="992" w:type="dxa"/>
          </w:tcPr>
          <w:p w14:paraId="00501C24" w14:textId="77777777" w:rsidR="00E60842" w:rsidRDefault="00E60842" w:rsidP="007E5022">
            <w:pPr>
              <w:pStyle w:val="BodyText"/>
            </w:pPr>
          </w:p>
        </w:tc>
        <w:tc>
          <w:tcPr>
            <w:tcW w:w="1269" w:type="dxa"/>
          </w:tcPr>
          <w:p w14:paraId="1C5448AD" w14:textId="77777777" w:rsidR="00E60842" w:rsidRDefault="00E60842" w:rsidP="007E5022">
            <w:pPr>
              <w:pStyle w:val="BodyText"/>
            </w:pPr>
          </w:p>
        </w:tc>
        <w:tc>
          <w:tcPr>
            <w:tcW w:w="1283" w:type="dxa"/>
          </w:tcPr>
          <w:p w14:paraId="6874E625" w14:textId="77777777" w:rsidR="00E60842" w:rsidRDefault="00E60842" w:rsidP="007E5022">
            <w:pPr>
              <w:pStyle w:val="BodyText"/>
            </w:pPr>
          </w:p>
        </w:tc>
        <w:tc>
          <w:tcPr>
            <w:tcW w:w="1104" w:type="dxa"/>
          </w:tcPr>
          <w:p w14:paraId="67AE04BD" w14:textId="77777777" w:rsidR="00E60842" w:rsidRDefault="00E60842" w:rsidP="007E5022">
            <w:pPr>
              <w:pStyle w:val="BodyText"/>
            </w:pPr>
          </w:p>
        </w:tc>
        <w:tc>
          <w:tcPr>
            <w:tcW w:w="562" w:type="dxa"/>
          </w:tcPr>
          <w:p w14:paraId="19F8A4B3" w14:textId="77777777" w:rsidR="00E60842" w:rsidRDefault="00E60842" w:rsidP="007E5022">
            <w:pPr>
              <w:pStyle w:val="BodyText"/>
            </w:pPr>
          </w:p>
        </w:tc>
      </w:tr>
      <w:tr w:rsidR="00E60842" w14:paraId="147A2DF5" w14:textId="77777777" w:rsidTr="007E5022">
        <w:tc>
          <w:tcPr>
            <w:tcW w:w="2377" w:type="dxa"/>
          </w:tcPr>
          <w:p w14:paraId="27703B41" w14:textId="77777777" w:rsidR="00E60842" w:rsidRPr="00447D6C" w:rsidRDefault="00E60842" w:rsidP="007E5022">
            <w:pPr>
              <w:pStyle w:val="BodyText"/>
              <w:rPr>
                <w:rStyle w:val="BodyTextChar"/>
              </w:rPr>
            </w:pPr>
            <w:r>
              <w:rPr>
                <w:rStyle w:val="BodyTextChar"/>
              </w:rPr>
              <w:t>Watched videos shared by CS WASH Fund</w:t>
            </w:r>
          </w:p>
        </w:tc>
        <w:tc>
          <w:tcPr>
            <w:tcW w:w="1134" w:type="dxa"/>
          </w:tcPr>
          <w:p w14:paraId="179DE988" w14:textId="77777777" w:rsidR="00E60842" w:rsidRDefault="00E60842" w:rsidP="007E5022">
            <w:pPr>
              <w:pStyle w:val="BodyText"/>
            </w:pPr>
          </w:p>
        </w:tc>
        <w:tc>
          <w:tcPr>
            <w:tcW w:w="992" w:type="dxa"/>
          </w:tcPr>
          <w:p w14:paraId="2014D3BC" w14:textId="77777777" w:rsidR="00E60842" w:rsidRDefault="00E60842" w:rsidP="007E5022">
            <w:pPr>
              <w:pStyle w:val="BodyText"/>
            </w:pPr>
          </w:p>
        </w:tc>
        <w:tc>
          <w:tcPr>
            <w:tcW w:w="1269" w:type="dxa"/>
          </w:tcPr>
          <w:p w14:paraId="5A0B9828" w14:textId="77777777" w:rsidR="00E60842" w:rsidRDefault="00E60842" w:rsidP="007E5022">
            <w:pPr>
              <w:pStyle w:val="BodyText"/>
            </w:pPr>
          </w:p>
        </w:tc>
        <w:tc>
          <w:tcPr>
            <w:tcW w:w="1283" w:type="dxa"/>
          </w:tcPr>
          <w:p w14:paraId="09D90D9A" w14:textId="77777777" w:rsidR="00E60842" w:rsidRDefault="00E60842" w:rsidP="007E5022">
            <w:pPr>
              <w:pStyle w:val="BodyText"/>
            </w:pPr>
          </w:p>
        </w:tc>
        <w:tc>
          <w:tcPr>
            <w:tcW w:w="1104" w:type="dxa"/>
          </w:tcPr>
          <w:p w14:paraId="66EB82F7" w14:textId="77777777" w:rsidR="00E60842" w:rsidRDefault="00E60842" w:rsidP="007E5022">
            <w:pPr>
              <w:pStyle w:val="BodyText"/>
            </w:pPr>
          </w:p>
        </w:tc>
        <w:tc>
          <w:tcPr>
            <w:tcW w:w="562" w:type="dxa"/>
          </w:tcPr>
          <w:p w14:paraId="740C3C82" w14:textId="77777777" w:rsidR="00E60842" w:rsidRDefault="00E60842" w:rsidP="007E5022">
            <w:pPr>
              <w:pStyle w:val="BodyText"/>
            </w:pPr>
          </w:p>
        </w:tc>
      </w:tr>
      <w:tr w:rsidR="00E60842" w14:paraId="1228BA03" w14:textId="77777777" w:rsidTr="007E5022">
        <w:tc>
          <w:tcPr>
            <w:tcW w:w="2377" w:type="dxa"/>
          </w:tcPr>
          <w:p w14:paraId="2E41C4AE" w14:textId="77777777" w:rsidR="00E60842" w:rsidRDefault="00E60842" w:rsidP="007E5022">
            <w:pPr>
              <w:pStyle w:val="BodyText"/>
              <w:rPr>
                <w:rStyle w:val="BodyTextChar"/>
              </w:rPr>
            </w:pPr>
            <w:r w:rsidRPr="00447D6C">
              <w:rPr>
                <w:rStyle w:val="BodyTextChar"/>
              </w:rPr>
              <w:t>Participated or followed Civil Society Innovation Award</w:t>
            </w:r>
          </w:p>
        </w:tc>
        <w:tc>
          <w:tcPr>
            <w:tcW w:w="1134" w:type="dxa"/>
          </w:tcPr>
          <w:p w14:paraId="2C23154A" w14:textId="77777777" w:rsidR="00E60842" w:rsidRDefault="00E60842" w:rsidP="007E5022">
            <w:pPr>
              <w:pStyle w:val="BodyText"/>
            </w:pPr>
          </w:p>
        </w:tc>
        <w:tc>
          <w:tcPr>
            <w:tcW w:w="992" w:type="dxa"/>
          </w:tcPr>
          <w:p w14:paraId="58F475B3" w14:textId="77777777" w:rsidR="00E60842" w:rsidRDefault="00E60842" w:rsidP="007E5022">
            <w:pPr>
              <w:pStyle w:val="BodyText"/>
            </w:pPr>
          </w:p>
        </w:tc>
        <w:tc>
          <w:tcPr>
            <w:tcW w:w="1269" w:type="dxa"/>
          </w:tcPr>
          <w:p w14:paraId="3554283F" w14:textId="77777777" w:rsidR="00E60842" w:rsidRDefault="00E60842" w:rsidP="007E5022">
            <w:pPr>
              <w:pStyle w:val="BodyText"/>
            </w:pPr>
          </w:p>
        </w:tc>
        <w:tc>
          <w:tcPr>
            <w:tcW w:w="1283" w:type="dxa"/>
          </w:tcPr>
          <w:p w14:paraId="7898D904" w14:textId="77777777" w:rsidR="00E60842" w:rsidRDefault="00E60842" w:rsidP="007E5022">
            <w:pPr>
              <w:pStyle w:val="BodyText"/>
            </w:pPr>
          </w:p>
        </w:tc>
        <w:tc>
          <w:tcPr>
            <w:tcW w:w="1104" w:type="dxa"/>
          </w:tcPr>
          <w:p w14:paraId="1ACA7062" w14:textId="77777777" w:rsidR="00E60842" w:rsidRDefault="00E60842" w:rsidP="007E5022">
            <w:pPr>
              <w:pStyle w:val="BodyText"/>
            </w:pPr>
          </w:p>
        </w:tc>
        <w:tc>
          <w:tcPr>
            <w:tcW w:w="562" w:type="dxa"/>
          </w:tcPr>
          <w:p w14:paraId="634611E0" w14:textId="77777777" w:rsidR="00E60842" w:rsidRDefault="00E60842" w:rsidP="007E5022">
            <w:pPr>
              <w:pStyle w:val="BodyText"/>
            </w:pPr>
          </w:p>
        </w:tc>
      </w:tr>
      <w:tr w:rsidR="00E60842" w14:paraId="206C7514" w14:textId="77777777" w:rsidTr="007E5022">
        <w:tc>
          <w:tcPr>
            <w:tcW w:w="2377" w:type="dxa"/>
          </w:tcPr>
          <w:p w14:paraId="3F74AD54" w14:textId="77777777" w:rsidR="00E60842" w:rsidRDefault="00E60842" w:rsidP="007E5022">
            <w:pPr>
              <w:pStyle w:val="BodyText"/>
              <w:rPr>
                <w:rStyle w:val="BodyTextChar"/>
              </w:rPr>
            </w:pPr>
            <w:r w:rsidRPr="00447D6C">
              <w:rPr>
                <w:rStyle w:val="BodyTextChar"/>
              </w:rPr>
              <w:t>Accessed resources and information shared via CS WASH Fund social media channels (Facebook, Google +, LinkedIn Group, Twitter)</w:t>
            </w:r>
          </w:p>
        </w:tc>
        <w:tc>
          <w:tcPr>
            <w:tcW w:w="1134" w:type="dxa"/>
          </w:tcPr>
          <w:p w14:paraId="7A2A37BE" w14:textId="77777777" w:rsidR="00E60842" w:rsidRDefault="00E60842" w:rsidP="007E5022">
            <w:pPr>
              <w:pStyle w:val="BodyText"/>
            </w:pPr>
          </w:p>
        </w:tc>
        <w:tc>
          <w:tcPr>
            <w:tcW w:w="992" w:type="dxa"/>
          </w:tcPr>
          <w:p w14:paraId="40A9781F" w14:textId="77777777" w:rsidR="00E60842" w:rsidRDefault="00E60842" w:rsidP="007E5022">
            <w:pPr>
              <w:pStyle w:val="BodyText"/>
            </w:pPr>
          </w:p>
        </w:tc>
        <w:tc>
          <w:tcPr>
            <w:tcW w:w="1269" w:type="dxa"/>
          </w:tcPr>
          <w:p w14:paraId="40722018" w14:textId="77777777" w:rsidR="00E60842" w:rsidRDefault="00E60842" w:rsidP="007E5022">
            <w:pPr>
              <w:pStyle w:val="BodyText"/>
            </w:pPr>
          </w:p>
        </w:tc>
        <w:tc>
          <w:tcPr>
            <w:tcW w:w="1283" w:type="dxa"/>
          </w:tcPr>
          <w:p w14:paraId="75460298" w14:textId="77777777" w:rsidR="00E60842" w:rsidRDefault="00E60842" w:rsidP="007E5022">
            <w:pPr>
              <w:pStyle w:val="BodyText"/>
            </w:pPr>
          </w:p>
        </w:tc>
        <w:tc>
          <w:tcPr>
            <w:tcW w:w="1104" w:type="dxa"/>
          </w:tcPr>
          <w:p w14:paraId="19DE852C" w14:textId="77777777" w:rsidR="00E60842" w:rsidRDefault="00E60842" w:rsidP="007E5022">
            <w:pPr>
              <w:pStyle w:val="BodyText"/>
            </w:pPr>
          </w:p>
        </w:tc>
        <w:tc>
          <w:tcPr>
            <w:tcW w:w="562" w:type="dxa"/>
          </w:tcPr>
          <w:p w14:paraId="08A79785" w14:textId="77777777" w:rsidR="00E60842" w:rsidRDefault="00E60842" w:rsidP="007E5022">
            <w:pPr>
              <w:pStyle w:val="BodyText"/>
            </w:pPr>
          </w:p>
        </w:tc>
      </w:tr>
      <w:tr w:rsidR="00E60842" w14:paraId="168F98BB" w14:textId="77777777" w:rsidTr="007E5022">
        <w:tc>
          <w:tcPr>
            <w:tcW w:w="2377" w:type="dxa"/>
          </w:tcPr>
          <w:p w14:paraId="7BD436BC" w14:textId="77777777" w:rsidR="00E60842" w:rsidRDefault="00E60842" w:rsidP="007E5022">
            <w:pPr>
              <w:pStyle w:val="BodyText"/>
              <w:rPr>
                <w:rStyle w:val="BodyTextChar"/>
              </w:rPr>
            </w:pPr>
            <w:r w:rsidRPr="00447D6C">
              <w:rPr>
                <w:rStyle w:val="BodyTextChar"/>
              </w:rPr>
              <w:t>Member of Knowledge and Learning Advisory Group</w:t>
            </w:r>
          </w:p>
        </w:tc>
        <w:tc>
          <w:tcPr>
            <w:tcW w:w="1134" w:type="dxa"/>
          </w:tcPr>
          <w:p w14:paraId="1744CC86" w14:textId="77777777" w:rsidR="00E60842" w:rsidRDefault="00E60842" w:rsidP="007E5022">
            <w:pPr>
              <w:pStyle w:val="BodyText"/>
            </w:pPr>
          </w:p>
        </w:tc>
        <w:tc>
          <w:tcPr>
            <w:tcW w:w="992" w:type="dxa"/>
          </w:tcPr>
          <w:p w14:paraId="4566FED4" w14:textId="77777777" w:rsidR="00E60842" w:rsidRDefault="00E60842" w:rsidP="007E5022">
            <w:pPr>
              <w:pStyle w:val="BodyText"/>
            </w:pPr>
          </w:p>
        </w:tc>
        <w:tc>
          <w:tcPr>
            <w:tcW w:w="1269" w:type="dxa"/>
          </w:tcPr>
          <w:p w14:paraId="1B4AF62A" w14:textId="77777777" w:rsidR="00E60842" w:rsidRDefault="00E60842" w:rsidP="007E5022">
            <w:pPr>
              <w:pStyle w:val="BodyText"/>
            </w:pPr>
          </w:p>
        </w:tc>
        <w:tc>
          <w:tcPr>
            <w:tcW w:w="1283" w:type="dxa"/>
          </w:tcPr>
          <w:p w14:paraId="25D2795C" w14:textId="77777777" w:rsidR="00E60842" w:rsidRDefault="00E60842" w:rsidP="007E5022">
            <w:pPr>
              <w:pStyle w:val="BodyText"/>
            </w:pPr>
          </w:p>
        </w:tc>
        <w:tc>
          <w:tcPr>
            <w:tcW w:w="1104" w:type="dxa"/>
          </w:tcPr>
          <w:p w14:paraId="16867892" w14:textId="77777777" w:rsidR="00E60842" w:rsidRDefault="00E60842" w:rsidP="007E5022">
            <w:pPr>
              <w:pStyle w:val="BodyText"/>
            </w:pPr>
          </w:p>
        </w:tc>
        <w:tc>
          <w:tcPr>
            <w:tcW w:w="562" w:type="dxa"/>
          </w:tcPr>
          <w:p w14:paraId="3FCC2AB8" w14:textId="77777777" w:rsidR="00E60842" w:rsidRDefault="00E60842" w:rsidP="007E5022">
            <w:pPr>
              <w:pStyle w:val="BodyText"/>
            </w:pPr>
          </w:p>
        </w:tc>
      </w:tr>
      <w:tr w:rsidR="00E60842" w14:paraId="69E7E633" w14:textId="77777777" w:rsidTr="007E5022">
        <w:tc>
          <w:tcPr>
            <w:tcW w:w="2377" w:type="dxa"/>
          </w:tcPr>
          <w:p w14:paraId="1DE30724" w14:textId="77777777" w:rsidR="00E60842" w:rsidRDefault="00E60842" w:rsidP="007E5022">
            <w:pPr>
              <w:pStyle w:val="BodyText"/>
            </w:pPr>
            <w:r>
              <w:t>Other (please specify)</w:t>
            </w:r>
          </w:p>
        </w:tc>
        <w:tc>
          <w:tcPr>
            <w:tcW w:w="1134" w:type="dxa"/>
          </w:tcPr>
          <w:p w14:paraId="2995B550" w14:textId="77777777" w:rsidR="00E60842" w:rsidRDefault="00E60842" w:rsidP="007E5022">
            <w:pPr>
              <w:pStyle w:val="BodyText"/>
            </w:pPr>
          </w:p>
        </w:tc>
        <w:tc>
          <w:tcPr>
            <w:tcW w:w="992" w:type="dxa"/>
          </w:tcPr>
          <w:p w14:paraId="6F59919B" w14:textId="77777777" w:rsidR="00E60842" w:rsidRDefault="00E60842" w:rsidP="007E5022">
            <w:pPr>
              <w:pStyle w:val="BodyText"/>
            </w:pPr>
          </w:p>
        </w:tc>
        <w:tc>
          <w:tcPr>
            <w:tcW w:w="1269" w:type="dxa"/>
          </w:tcPr>
          <w:p w14:paraId="5A33D574" w14:textId="77777777" w:rsidR="00E60842" w:rsidRDefault="00E60842" w:rsidP="007E5022">
            <w:pPr>
              <w:pStyle w:val="BodyText"/>
            </w:pPr>
          </w:p>
        </w:tc>
        <w:tc>
          <w:tcPr>
            <w:tcW w:w="1283" w:type="dxa"/>
          </w:tcPr>
          <w:p w14:paraId="11909D95" w14:textId="77777777" w:rsidR="00E60842" w:rsidRDefault="00E60842" w:rsidP="007E5022">
            <w:pPr>
              <w:pStyle w:val="BodyText"/>
            </w:pPr>
          </w:p>
        </w:tc>
        <w:tc>
          <w:tcPr>
            <w:tcW w:w="1104" w:type="dxa"/>
          </w:tcPr>
          <w:p w14:paraId="73FA19D1" w14:textId="77777777" w:rsidR="00E60842" w:rsidRDefault="00E60842" w:rsidP="007E5022">
            <w:pPr>
              <w:pStyle w:val="BodyText"/>
            </w:pPr>
          </w:p>
        </w:tc>
        <w:tc>
          <w:tcPr>
            <w:tcW w:w="562" w:type="dxa"/>
          </w:tcPr>
          <w:p w14:paraId="5CBD6C12" w14:textId="77777777" w:rsidR="00E60842" w:rsidRDefault="00E60842" w:rsidP="007E5022">
            <w:pPr>
              <w:pStyle w:val="BodyText"/>
            </w:pPr>
          </w:p>
        </w:tc>
      </w:tr>
    </w:tbl>
    <w:p w14:paraId="00770F71" w14:textId="77777777" w:rsidR="00E60842" w:rsidRDefault="00E60842" w:rsidP="00E60842">
      <w:pPr>
        <w:pStyle w:val="ListBullet"/>
        <w:numPr>
          <w:ilvl w:val="0"/>
          <w:numId w:val="0"/>
        </w:numPr>
        <w:ind w:left="284" w:hanging="284"/>
      </w:pPr>
    </w:p>
    <w:p w14:paraId="72981E84" w14:textId="77777777" w:rsidR="00E60842" w:rsidRDefault="00E60842" w:rsidP="00E60842">
      <w:pPr>
        <w:pStyle w:val="ListBullet"/>
        <w:numPr>
          <w:ilvl w:val="0"/>
          <w:numId w:val="0"/>
        </w:numPr>
      </w:pPr>
      <w:r>
        <w:t xml:space="preserve">20. To what extent has engagement with these knowledge and learning activities helped your project delivery team </w:t>
      </w:r>
      <w:r w:rsidRPr="00BF4161">
        <w:rPr>
          <w:b/>
        </w:rPr>
        <w:t>improve practices</w:t>
      </w:r>
      <w:r>
        <w:t xml:space="preserve"> in your WASH project? </w:t>
      </w:r>
    </w:p>
    <w:tbl>
      <w:tblPr>
        <w:tblStyle w:val="TableGrid"/>
        <w:tblW w:w="0" w:type="auto"/>
        <w:tblLook w:val="04A0" w:firstRow="1" w:lastRow="0" w:firstColumn="1" w:lastColumn="0" w:noHBand="0" w:noVBand="1"/>
        <w:tblCaption w:val="Knowledge and learning support"/>
        <w:tblDescription w:val="The table asks which Knowledge and Learning events have helped CSOs improve practices in their WASH projects. "/>
      </w:tblPr>
      <w:tblGrid>
        <w:gridCol w:w="2377"/>
        <w:gridCol w:w="1134"/>
        <w:gridCol w:w="992"/>
        <w:gridCol w:w="1269"/>
        <w:gridCol w:w="1283"/>
        <w:gridCol w:w="1104"/>
        <w:gridCol w:w="562"/>
      </w:tblGrid>
      <w:tr w:rsidR="00E60842" w14:paraId="33C9CC2C" w14:textId="77777777" w:rsidTr="007E5022">
        <w:tc>
          <w:tcPr>
            <w:tcW w:w="2377" w:type="dxa"/>
          </w:tcPr>
          <w:p w14:paraId="50D79E32" w14:textId="77777777" w:rsidR="00E60842" w:rsidRDefault="00E60842" w:rsidP="007E5022">
            <w:pPr>
              <w:pStyle w:val="BodyText"/>
            </w:pPr>
          </w:p>
        </w:tc>
        <w:tc>
          <w:tcPr>
            <w:tcW w:w="1134" w:type="dxa"/>
          </w:tcPr>
          <w:p w14:paraId="7ADCCD49" w14:textId="77777777" w:rsidR="00E60842" w:rsidRDefault="00E60842" w:rsidP="007E5022">
            <w:pPr>
              <w:pStyle w:val="BodyText"/>
            </w:pPr>
            <w:r>
              <w:t>1</w:t>
            </w:r>
          </w:p>
          <w:p w14:paraId="03BC63A8" w14:textId="77777777" w:rsidR="00E60842" w:rsidRDefault="00E60842" w:rsidP="007E5022">
            <w:pPr>
              <w:pStyle w:val="BodyText"/>
            </w:pPr>
            <w:r>
              <w:t>Not at all</w:t>
            </w:r>
          </w:p>
        </w:tc>
        <w:tc>
          <w:tcPr>
            <w:tcW w:w="992" w:type="dxa"/>
          </w:tcPr>
          <w:p w14:paraId="6D47DA80" w14:textId="77777777" w:rsidR="00E60842" w:rsidRDefault="00E60842" w:rsidP="007E5022">
            <w:pPr>
              <w:pStyle w:val="BodyText"/>
            </w:pPr>
            <w:r>
              <w:t>2</w:t>
            </w:r>
          </w:p>
          <w:p w14:paraId="789662B9" w14:textId="77777777" w:rsidR="00E60842" w:rsidRDefault="00E60842" w:rsidP="007E5022">
            <w:pPr>
              <w:pStyle w:val="BodyText"/>
            </w:pPr>
            <w:r>
              <w:t>Slightly</w:t>
            </w:r>
          </w:p>
        </w:tc>
        <w:tc>
          <w:tcPr>
            <w:tcW w:w="1269" w:type="dxa"/>
          </w:tcPr>
          <w:p w14:paraId="3C5647B9" w14:textId="77777777" w:rsidR="00E60842" w:rsidRDefault="00E60842" w:rsidP="007E5022">
            <w:pPr>
              <w:pStyle w:val="BodyText"/>
            </w:pPr>
            <w:r>
              <w:t xml:space="preserve">3: </w:t>
            </w:r>
          </w:p>
          <w:p w14:paraId="550A4911" w14:textId="77777777" w:rsidR="00E60842" w:rsidRDefault="00E60842" w:rsidP="007E5022">
            <w:pPr>
              <w:pStyle w:val="BodyText"/>
            </w:pPr>
            <w:r>
              <w:t>Moderately</w:t>
            </w:r>
          </w:p>
        </w:tc>
        <w:tc>
          <w:tcPr>
            <w:tcW w:w="1283" w:type="dxa"/>
          </w:tcPr>
          <w:p w14:paraId="06A1E83F" w14:textId="77777777" w:rsidR="00E60842" w:rsidRDefault="00E60842" w:rsidP="007E5022">
            <w:pPr>
              <w:pStyle w:val="BodyText"/>
            </w:pPr>
            <w:r>
              <w:t>4</w:t>
            </w:r>
          </w:p>
          <w:p w14:paraId="0C576EEA" w14:textId="77777777" w:rsidR="00E60842" w:rsidRDefault="00E60842" w:rsidP="007E5022">
            <w:pPr>
              <w:pStyle w:val="BodyText"/>
            </w:pPr>
            <w:r>
              <w:t>Significantly</w:t>
            </w:r>
          </w:p>
        </w:tc>
        <w:tc>
          <w:tcPr>
            <w:tcW w:w="1104" w:type="dxa"/>
          </w:tcPr>
          <w:p w14:paraId="1146B910" w14:textId="77777777" w:rsidR="00E60842" w:rsidRDefault="00E60842" w:rsidP="007E5022">
            <w:pPr>
              <w:pStyle w:val="BodyText"/>
            </w:pPr>
            <w:r>
              <w:t>5</w:t>
            </w:r>
          </w:p>
          <w:p w14:paraId="61365B2D" w14:textId="77777777" w:rsidR="00E60842" w:rsidRDefault="00E60842" w:rsidP="007E5022">
            <w:pPr>
              <w:pStyle w:val="BodyText"/>
            </w:pPr>
            <w:r>
              <w:t>Extremely</w:t>
            </w:r>
          </w:p>
        </w:tc>
        <w:tc>
          <w:tcPr>
            <w:tcW w:w="562" w:type="dxa"/>
          </w:tcPr>
          <w:p w14:paraId="7D54A84F" w14:textId="77777777" w:rsidR="00E60842" w:rsidRDefault="00E60842" w:rsidP="007E5022">
            <w:pPr>
              <w:pStyle w:val="BodyText"/>
            </w:pPr>
            <w:r>
              <w:t>N/A</w:t>
            </w:r>
          </w:p>
        </w:tc>
      </w:tr>
      <w:tr w:rsidR="00E60842" w14:paraId="4BB91F2B" w14:textId="77777777" w:rsidTr="007E5022">
        <w:tc>
          <w:tcPr>
            <w:tcW w:w="2377" w:type="dxa"/>
          </w:tcPr>
          <w:p w14:paraId="5FAA75FF" w14:textId="77777777" w:rsidR="00E60842" w:rsidRDefault="00E60842" w:rsidP="007E5022">
            <w:pPr>
              <w:pStyle w:val="BodyText"/>
            </w:pPr>
            <w:r>
              <w:t>Webinar hosted on CS WASH Fund website</w:t>
            </w:r>
          </w:p>
        </w:tc>
        <w:tc>
          <w:tcPr>
            <w:tcW w:w="1134" w:type="dxa"/>
          </w:tcPr>
          <w:p w14:paraId="297D9274" w14:textId="77777777" w:rsidR="00E60842" w:rsidRDefault="00E60842" w:rsidP="007E5022">
            <w:pPr>
              <w:pStyle w:val="BodyText"/>
            </w:pPr>
          </w:p>
        </w:tc>
        <w:tc>
          <w:tcPr>
            <w:tcW w:w="992" w:type="dxa"/>
          </w:tcPr>
          <w:p w14:paraId="5168254F" w14:textId="77777777" w:rsidR="00E60842" w:rsidRDefault="00E60842" w:rsidP="007E5022">
            <w:pPr>
              <w:pStyle w:val="BodyText"/>
            </w:pPr>
          </w:p>
        </w:tc>
        <w:tc>
          <w:tcPr>
            <w:tcW w:w="1269" w:type="dxa"/>
          </w:tcPr>
          <w:p w14:paraId="236C383E" w14:textId="77777777" w:rsidR="00E60842" w:rsidRDefault="00E60842" w:rsidP="007E5022">
            <w:pPr>
              <w:pStyle w:val="BodyText"/>
            </w:pPr>
          </w:p>
        </w:tc>
        <w:tc>
          <w:tcPr>
            <w:tcW w:w="1283" w:type="dxa"/>
          </w:tcPr>
          <w:p w14:paraId="09B6759F" w14:textId="77777777" w:rsidR="00E60842" w:rsidRDefault="00E60842" w:rsidP="007E5022">
            <w:pPr>
              <w:pStyle w:val="BodyText"/>
            </w:pPr>
          </w:p>
        </w:tc>
        <w:tc>
          <w:tcPr>
            <w:tcW w:w="1104" w:type="dxa"/>
          </w:tcPr>
          <w:p w14:paraId="37CB1919" w14:textId="77777777" w:rsidR="00E60842" w:rsidRDefault="00E60842" w:rsidP="007E5022">
            <w:pPr>
              <w:pStyle w:val="BodyText"/>
            </w:pPr>
          </w:p>
        </w:tc>
        <w:tc>
          <w:tcPr>
            <w:tcW w:w="562" w:type="dxa"/>
          </w:tcPr>
          <w:p w14:paraId="058EA0BD" w14:textId="77777777" w:rsidR="00E60842" w:rsidRDefault="00E60842" w:rsidP="007E5022">
            <w:pPr>
              <w:pStyle w:val="BodyText"/>
            </w:pPr>
          </w:p>
        </w:tc>
      </w:tr>
      <w:tr w:rsidR="00E60842" w14:paraId="6B14CD50" w14:textId="77777777" w:rsidTr="007E5022">
        <w:tc>
          <w:tcPr>
            <w:tcW w:w="2377" w:type="dxa"/>
          </w:tcPr>
          <w:p w14:paraId="17ED8A6B" w14:textId="77777777" w:rsidR="00E60842" w:rsidRDefault="00E60842" w:rsidP="007E5022">
            <w:pPr>
              <w:pStyle w:val="BodyText"/>
            </w:pPr>
            <w:r>
              <w:t>E-discussion/forum hosted on cswashfund.org</w:t>
            </w:r>
          </w:p>
        </w:tc>
        <w:tc>
          <w:tcPr>
            <w:tcW w:w="1134" w:type="dxa"/>
          </w:tcPr>
          <w:p w14:paraId="0EE3DD87" w14:textId="77777777" w:rsidR="00E60842" w:rsidRDefault="00E60842" w:rsidP="007E5022">
            <w:pPr>
              <w:pStyle w:val="BodyText"/>
            </w:pPr>
          </w:p>
        </w:tc>
        <w:tc>
          <w:tcPr>
            <w:tcW w:w="992" w:type="dxa"/>
          </w:tcPr>
          <w:p w14:paraId="56B62F6D" w14:textId="77777777" w:rsidR="00E60842" w:rsidRDefault="00E60842" w:rsidP="007E5022">
            <w:pPr>
              <w:pStyle w:val="BodyText"/>
            </w:pPr>
          </w:p>
        </w:tc>
        <w:tc>
          <w:tcPr>
            <w:tcW w:w="1269" w:type="dxa"/>
          </w:tcPr>
          <w:p w14:paraId="264648F5" w14:textId="77777777" w:rsidR="00E60842" w:rsidRDefault="00E60842" w:rsidP="007E5022">
            <w:pPr>
              <w:pStyle w:val="BodyText"/>
            </w:pPr>
          </w:p>
        </w:tc>
        <w:tc>
          <w:tcPr>
            <w:tcW w:w="1283" w:type="dxa"/>
          </w:tcPr>
          <w:p w14:paraId="7169A91B" w14:textId="77777777" w:rsidR="00E60842" w:rsidRDefault="00E60842" w:rsidP="007E5022">
            <w:pPr>
              <w:pStyle w:val="BodyText"/>
            </w:pPr>
          </w:p>
        </w:tc>
        <w:tc>
          <w:tcPr>
            <w:tcW w:w="1104" w:type="dxa"/>
          </w:tcPr>
          <w:p w14:paraId="7D89634C" w14:textId="77777777" w:rsidR="00E60842" w:rsidRDefault="00E60842" w:rsidP="007E5022">
            <w:pPr>
              <w:pStyle w:val="BodyText"/>
            </w:pPr>
          </w:p>
        </w:tc>
        <w:tc>
          <w:tcPr>
            <w:tcW w:w="562" w:type="dxa"/>
          </w:tcPr>
          <w:p w14:paraId="1AB3496E" w14:textId="77777777" w:rsidR="00E60842" w:rsidRDefault="00E60842" w:rsidP="007E5022">
            <w:pPr>
              <w:pStyle w:val="BodyText"/>
            </w:pPr>
          </w:p>
        </w:tc>
      </w:tr>
      <w:tr w:rsidR="00E60842" w14:paraId="17E2440D" w14:textId="77777777" w:rsidTr="007E5022">
        <w:tc>
          <w:tcPr>
            <w:tcW w:w="2377" w:type="dxa"/>
          </w:tcPr>
          <w:p w14:paraId="1815536D" w14:textId="77777777" w:rsidR="00E60842" w:rsidRDefault="00E60842" w:rsidP="007E5022">
            <w:pPr>
              <w:pStyle w:val="BodyText"/>
            </w:pPr>
            <w:r>
              <w:t>Accessed resources or information on cswashfund.org</w:t>
            </w:r>
          </w:p>
        </w:tc>
        <w:tc>
          <w:tcPr>
            <w:tcW w:w="1134" w:type="dxa"/>
          </w:tcPr>
          <w:p w14:paraId="052E3CAA" w14:textId="77777777" w:rsidR="00E60842" w:rsidRDefault="00E60842" w:rsidP="007E5022">
            <w:pPr>
              <w:pStyle w:val="BodyText"/>
            </w:pPr>
          </w:p>
        </w:tc>
        <w:tc>
          <w:tcPr>
            <w:tcW w:w="992" w:type="dxa"/>
          </w:tcPr>
          <w:p w14:paraId="59DA04D9" w14:textId="77777777" w:rsidR="00E60842" w:rsidRDefault="00E60842" w:rsidP="007E5022">
            <w:pPr>
              <w:pStyle w:val="BodyText"/>
            </w:pPr>
          </w:p>
        </w:tc>
        <w:tc>
          <w:tcPr>
            <w:tcW w:w="1269" w:type="dxa"/>
          </w:tcPr>
          <w:p w14:paraId="1BF8D06D" w14:textId="77777777" w:rsidR="00E60842" w:rsidRDefault="00E60842" w:rsidP="007E5022">
            <w:pPr>
              <w:pStyle w:val="BodyText"/>
            </w:pPr>
          </w:p>
        </w:tc>
        <w:tc>
          <w:tcPr>
            <w:tcW w:w="1283" w:type="dxa"/>
          </w:tcPr>
          <w:p w14:paraId="3360A609" w14:textId="77777777" w:rsidR="00E60842" w:rsidRDefault="00E60842" w:rsidP="007E5022">
            <w:pPr>
              <w:pStyle w:val="BodyText"/>
            </w:pPr>
          </w:p>
        </w:tc>
        <w:tc>
          <w:tcPr>
            <w:tcW w:w="1104" w:type="dxa"/>
          </w:tcPr>
          <w:p w14:paraId="1DCE8934" w14:textId="77777777" w:rsidR="00E60842" w:rsidRDefault="00E60842" w:rsidP="007E5022">
            <w:pPr>
              <w:pStyle w:val="BodyText"/>
            </w:pPr>
          </w:p>
        </w:tc>
        <w:tc>
          <w:tcPr>
            <w:tcW w:w="562" w:type="dxa"/>
          </w:tcPr>
          <w:p w14:paraId="177252E1" w14:textId="77777777" w:rsidR="00E60842" w:rsidRDefault="00E60842" w:rsidP="007E5022">
            <w:pPr>
              <w:pStyle w:val="BodyText"/>
            </w:pPr>
          </w:p>
        </w:tc>
      </w:tr>
      <w:tr w:rsidR="00E60842" w14:paraId="512D6022" w14:textId="77777777" w:rsidTr="007E5022">
        <w:tc>
          <w:tcPr>
            <w:tcW w:w="2377" w:type="dxa"/>
          </w:tcPr>
          <w:p w14:paraId="5E59770B" w14:textId="77777777" w:rsidR="00E60842" w:rsidRDefault="00E60842" w:rsidP="007E5022">
            <w:pPr>
              <w:pStyle w:val="BodyText"/>
            </w:pPr>
            <w:r>
              <w:t>Regional or global learning event</w:t>
            </w:r>
          </w:p>
        </w:tc>
        <w:tc>
          <w:tcPr>
            <w:tcW w:w="1134" w:type="dxa"/>
          </w:tcPr>
          <w:p w14:paraId="2938D669" w14:textId="77777777" w:rsidR="00E60842" w:rsidRDefault="00E60842" w:rsidP="007E5022">
            <w:pPr>
              <w:pStyle w:val="BodyText"/>
            </w:pPr>
          </w:p>
        </w:tc>
        <w:tc>
          <w:tcPr>
            <w:tcW w:w="992" w:type="dxa"/>
          </w:tcPr>
          <w:p w14:paraId="048645D3" w14:textId="77777777" w:rsidR="00E60842" w:rsidRDefault="00E60842" w:rsidP="007E5022">
            <w:pPr>
              <w:pStyle w:val="BodyText"/>
            </w:pPr>
          </w:p>
        </w:tc>
        <w:tc>
          <w:tcPr>
            <w:tcW w:w="1269" w:type="dxa"/>
          </w:tcPr>
          <w:p w14:paraId="2E3174AA" w14:textId="77777777" w:rsidR="00E60842" w:rsidRDefault="00E60842" w:rsidP="007E5022">
            <w:pPr>
              <w:pStyle w:val="BodyText"/>
            </w:pPr>
          </w:p>
        </w:tc>
        <w:tc>
          <w:tcPr>
            <w:tcW w:w="1283" w:type="dxa"/>
          </w:tcPr>
          <w:p w14:paraId="3A555C66" w14:textId="77777777" w:rsidR="00E60842" w:rsidRDefault="00E60842" w:rsidP="007E5022">
            <w:pPr>
              <w:pStyle w:val="BodyText"/>
            </w:pPr>
          </w:p>
        </w:tc>
        <w:tc>
          <w:tcPr>
            <w:tcW w:w="1104" w:type="dxa"/>
          </w:tcPr>
          <w:p w14:paraId="77C68932" w14:textId="77777777" w:rsidR="00E60842" w:rsidRDefault="00E60842" w:rsidP="007E5022">
            <w:pPr>
              <w:pStyle w:val="BodyText"/>
            </w:pPr>
          </w:p>
        </w:tc>
        <w:tc>
          <w:tcPr>
            <w:tcW w:w="562" w:type="dxa"/>
          </w:tcPr>
          <w:p w14:paraId="168A42B2" w14:textId="77777777" w:rsidR="00E60842" w:rsidRDefault="00E60842" w:rsidP="007E5022">
            <w:pPr>
              <w:pStyle w:val="BodyText"/>
            </w:pPr>
          </w:p>
        </w:tc>
      </w:tr>
      <w:tr w:rsidR="00E60842" w14:paraId="6BB778D2" w14:textId="77777777" w:rsidTr="007E5022">
        <w:tc>
          <w:tcPr>
            <w:tcW w:w="2377" w:type="dxa"/>
          </w:tcPr>
          <w:p w14:paraId="54CDDE67" w14:textId="77777777" w:rsidR="00E60842" w:rsidRDefault="00E60842" w:rsidP="007E5022">
            <w:pPr>
              <w:pStyle w:val="BodyText"/>
            </w:pPr>
            <w:r>
              <w:t>Linked to a research project</w:t>
            </w:r>
          </w:p>
        </w:tc>
        <w:tc>
          <w:tcPr>
            <w:tcW w:w="1134" w:type="dxa"/>
          </w:tcPr>
          <w:p w14:paraId="78D9FE64" w14:textId="77777777" w:rsidR="00E60842" w:rsidRDefault="00E60842" w:rsidP="007E5022">
            <w:pPr>
              <w:pStyle w:val="BodyText"/>
            </w:pPr>
          </w:p>
        </w:tc>
        <w:tc>
          <w:tcPr>
            <w:tcW w:w="992" w:type="dxa"/>
          </w:tcPr>
          <w:p w14:paraId="5E012E86" w14:textId="77777777" w:rsidR="00E60842" w:rsidRDefault="00E60842" w:rsidP="007E5022">
            <w:pPr>
              <w:pStyle w:val="BodyText"/>
            </w:pPr>
          </w:p>
        </w:tc>
        <w:tc>
          <w:tcPr>
            <w:tcW w:w="1269" w:type="dxa"/>
          </w:tcPr>
          <w:p w14:paraId="6E62AF9B" w14:textId="77777777" w:rsidR="00E60842" w:rsidRDefault="00E60842" w:rsidP="007E5022">
            <w:pPr>
              <w:pStyle w:val="BodyText"/>
            </w:pPr>
          </w:p>
        </w:tc>
        <w:tc>
          <w:tcPr>
            <w:tcW w:w="1283" w:type="dxa"/>
          </w:tcPr>
          <w:p w14:paraId="5AF7C0D9" w14:textId="77777777" w:rsidR="00E60842" w:rsidRDefault="00E60842" w:rsidP="007E5022">
            <w:pPr>
              <w:pStyle w:val="BodyText"/>
            </w:pPr>
          </w:p>
        </w:tc>
        <w:tc>
          <w:tcPr>
            <w:tcW w:w="1104" w:type="dxa"/>
          </w:tcPr>
          <w:p w14:paraId="6DAE2244" w14:textId="77777777" w:rsidR="00E60842" w:rsidRDefault="00E60842" w:rsidP="007E5022">
            <w:pPr>
              <w:pStyle w:val="BodyText"/>
            </w:pPr>
          </w:p>
        </w:tc>
        <w:tc>
          <w:tcPr>
            <w:tcW w:w="562" w:type="dxa"/>
          </w:tcPr>
          <w:p w14:paraId="4C6577F3" w14:textId="77777777" w:rsidR="00E60842" w:rsidRDefault="00E60842" w:rsidP="007E5022">
            <w:pPr>
              <w:pStyle w:val="BodyText"/>
            </w:pPr>
          </w:p>
        </w:tc>
      </w:tr>
      <w:tr w:rsidR="00E60842" w14:paraId="1335627E" w14:textId="77777777" w:rsidTr="007E5022">
        <w:tc>
          <w:tcPr>
            <w:tcW w:w="2377" w:type="dxa"/>
          </w:tcPr>
          <w:p w14:paraId="78A2FE6E" w14:textId="77777777" w:rsidR="00E60842" w:rsidRDefault="00E60842" w:rsidP="007E5022">
            <w:pPr>
              <w:pStyle w:val="BodyText"/>
            </w:pPr>
            <w:r>
              <w:t>Collaborated with another CSO</w:t>
            </w:r>
          </w:p>
        </w:tc>
        <w:tc>
          <w:tcPr>
            <w:tcW w:w="1134" w:type="dxa"/>
          </w:tcPr>
          <w:p w14:paraId="2007C2C4" w14:textId="77777777" w:rsidR="00E60842" w:rsidRDefault="00E60842" w:rsidP="007E5022">
            <w:pPr>
              <w:pStyle w:val="BodyText"/>
            </w:pPr>
          </w:p>
        </w:tc>
        <w:tc>
          <w:tcPr>
            <w:tcW w:w="992" w:type="dxa"/>
          </w:tcPr>
          <w:p w14:paraId="64C795F8" w14:textId="77777777" w:rsidR="00E60842" w:rsidRDefault="00E60842" w:rsidP="007E5022">
            <w:pPr>
              <w:pStyle w:val="BodyText"/>
            </w:pPr>
          </w:p>
        </w:tc>
        <w:tc>
          <w:tcPr>
            <w:tcW w:w="1269" w:type="dxa"/>
          </w:tcPr>
          <w:p w14:paraId="57D130D8" w14:textId="77777777" w:rsidR="00E60842" w:rsidRDefault="00E60842" w:rsidP="007E5022">
            <w:pPr>
              <w:pStyle w:val="BodyText"/>
            </w:pPr>
          </w:p>
        </w:tc>
        <w:tc>
          <w:tcPr>
            <w:tcW w:w="1283" w:type="dxa"/>
          </w:tcPr>
          <w:p w14:paraId="0F4BC1F0" w14:textId="77777777" w:rsidR="00E60842" w:rsidRDefault="00E60842" w:rsidP="007E5022">
            <w:pPr>
              <w:pStyle w:val="BodyText"/>
            </w:pPr>
          </w:p>
        </w:tc>
        <w:tc>
          <w:tcPr>
            <w:tcW w:w="1104" w:type="dxa"/>
          </w:tcPr>
          <w:p w14:paraId="685BC424" w14:textId="77777777" w:rsidR="00E60842" w:rsidRDefault="00E60842" w:rsidP="007E5022">
            <w:pPr>
              <w:pStyle w:val="BodyText"/>
            </w:pPr>
          </w:p>
        </w:tc>
        <w:tc>
          <w:tcPr>
            <w:tcW w:w="562" w:type="dxa"/>
          </w:tcPr>
          <w:p w14:paraId="23807C83" w14:textId="77777777" w:rsidR="00E60842" w:rsidRDefault="00E60842" w:rsidP="007E5022">
            <w:pPr>
              <w:pStyle w:val="BodyText"/>
            </w:pPr>
          </w:p>
        </w:tc>
      </w:tr>
      <w:tr w:rsidR="00E60842" w14:paraId="1F7FCCC3" w14:textId="77777777" w:rsidTr="007E5022">
        <w:tc>
          <w:tcPr>
            <w:tcW w:w="2377" w:type="dxa"/>
          </w:tcPr>
          <w:p w14:paraId="02103865" w14:textId="77777777" w:rsidR="00E60842" w:rsidRDefault="00E60842" w:rsidP="007E5022">
            <w:pPr>
              <w:pStyle w:val="BodyText"/>
            </w:pPr>
            <w:r>
              <w:t>Developed and/or implemented Knowledge and Learning Plan</w:t>
            </w:r>
          </w:p>
        </w:tc>
        <w:tc>
          <w:tcPr>
            <w:tcW w:w="1134" w:type="dxa"/>
          </w:tcPr>
          <w:p w14:paraId="43502C25" w14:textId="77777777" w:rsidR="00E60842" w:rsidRDefault="00E60842" w:rsidP="007E5022">
            <w:pPr>
              <w:pStyle w:val="BodyText"/>
            </w:pPr>
          </w:p>
        </w:tc>
        <w:tc>
          <w:tcPr>
            <w:tcW w:w="992" w:type="dxa"/>
          </w:tcPr>
          <w:p w14:paraId="75BA5CC9" w14:textId="77777777" w:rsidR="00E60842" w:rsidRDefault="00E60842" w:rsidP="007E5022">
            <w:pPr>
              <w:pStyle w:val="BodyText"/>
            </w:pPr>
          </w:p>
        </w:tc>
        <w:tc>
          <w:tcPr>
            <w:tcW w:w="1269" w:type="dxa"/>
          </w:tcPr>
          <w:p w14:paraId="09867798" w14:textId="77777777" w:rsidR="00E60842" w:rsidRDefault="00E60842" w:rsidP="007E5022">
            <w:pPr>
              <w:pStyle w:val="BodyText"/>
            </w:pPr>
          </w:p>
        </w:tc>
        <w:tc>
          <w:tcPr>
            <w:tcW w:w="1283" w:type="dxa"/>
          </w:tcPr>
          <w:p w14:paraId="06A6BD57" w14:textId="77777777" w:rsidR="00E60842" w:rsidRDefault="00E60842" w:rsidP="007E5022">
            <w:pPr>
              <w:pStyle w:val="BodyText"/>
            </w:pPr>
          </w:p>
        </w:tc>
        <w:tc>
          <w:tcPr>
            <w:tcW w:w="1104" w:type="dxa"/>
          </w:tcPr>
          <w:p w14:paraId="45BA7225" w14:textId="77777777" w:rsidR="00E60842" w:rsidRDefault="00E60842" w:rsidP="007E5022">
            <w:pPr>
              <w:pStyle w:val="BodyText"/>
            </w:pPr>
          </w:p>
        </w:tc>
        <w:tc>
          <w:tcPr>
            <w:tcW w:w="562" w:type="dxa"/>
          </w:tcPr>
          <w:p w14:paraId="1CB9D07B" w14:textId="77777777" w:rsidR="00E60842" w:rsidRDefault="00E60842" w:rsidP="007E5022">
            <w:pPr>
              <w:pStyle w:val="BodyText"/>
            </w:pPr>
          </w:p>
        </w:tc>
      </w:tr>
      <w:tr w:rsidR="00E60842" w14:paraId="3260E9CF" w14:textId="77777777" w:rsidTr="007E5022">
        <w:tc>
          <w:tcPr>
            <w:tcW w:w="2377" w:type="dxa"/>
          </w:tcPr>
          <w:p w14:paraId="04DF12A9" w14:textId="77777777" w:rsidR="00E60842" w:rsidRDefault="00E60842" w:rsidP="007E5022">
            <w:pPr>
              <w:pStyle w:val="BodyText"/>
            </w:pPr>
            <w:r>
              <w:rPr>
                <w:rStyle w:val="BodyTextChar"/>
              </w:rPr>
              <w:t>Received feedback on your organisation’s Knowledge and Learning Plan</w:t>
            </w:r>
            <w:r>
              <w:t xml:space="preserve"> </w:t>
            </w:r>
            <w:r w:rsidRPr="00447D6C">
              <w:rPr>
                <w:rStyle w:val="BodyTextChar"/>
              </w:rPr>
              <w:t>f</w:t>
            </w:r>
            <w:r>
              <w:rPr>
                <w:rStyle w:val="BodyTextChar"/>
              </w:rPr>
              <w:t>rom the Knowledge and Learning M</w:t>
            </w:r>
            <w:r w:rsidRPr="00447D6C">
              <w:rPr>
                <w:rStyle w:val="BodyTextChar"/>
              </w:rPr>
              <w:t>anager</w:t>
            </w:r>
          </w:p>
        </w:tc>
        <w:tc>
          <w:tcPr>
            <w:tcW w:w="1134" w:type="dxa"/>
          </w:tcPr>
          <w:p w14:paraId="7CDB8B3F" w14:textId="77777777" w:rsidR="00E60842" w:rsidRDefault="00E60842" w:rsidP="007E5022">
            <w:pPr>
              <w:pStyle w:val="BodyText"/>
            </w:pPr>
          </w:p>
        </w:tc>
        <w:tc>
          <w:tcPr>
            <w:tcW w:w="992" w:type="dxa"/>
          </w:tcPr>
          <w:p w14:paraId="0D79F663" w14:textId="77777777" w:rsidR="00E60842" w:rsidRDefault="00E60842" w:rsidP="007E5022">
            <w:pPr>
              <w:pStyle w:val="BodyText"/>
            </w:pPr>
          </w:p>
        </w:tc>
        <w:tc>
          <w:tcPr>
            <w:tcW w:w="1269" w:type="dxa"/>
          </w:tcPr>
          <w:p w14:paraId="1AEDE93E" w14:textId="77777777" w:rsidR="00E60842" w:rsidRDefault="00E60842" w:rsidP="007E5022">
            <w:pPr>
              <w:pStyle w:val="BodyText"/>
            </w:pPr>
          </w:p>
        </w:tc>
        <w:tc>
          <w:tcPr>
            <w:tcW w:w="1283" w:type="dxa"/>
          </w:tcPr>
          <w:p w14:paraId="3419A89F" w14:textId="77777777" w:rsidR="00E60842" w:rsidRDefault="00E60842" w:rsidP="007E5022">
            <w:pPr>
              <w:pStyle w:val="BodyText"/>
            </w:pPr>
          </w:p>
        </w:tc>
        <w:tc>
          <w:tcPr>
            <w:tcW w:w="1104" w:type="dxa"/>
          </w:tcPr>
          <w:p w14:paraId="57669EF9" w14:textId="77777777" w:rsidR="00E60842" w:rsidRDefault="00E60842" w:rsidP="007E5022">
            <w:pPr>
              <w:pStyle w:val="BodyText"/>
            </w:pPr>
          </w:p>
        </w:tc>
        <w:tc>
          <w:tcPr>
            <w:tcW w:w="562" w:type="dxa"/>
          </w:tcPr>
          <w:p w14:paraId="16ED8DAD" w14:textId="77777777" w:rsidR="00E60842" w:rsidRDefault="00E60842" w:rsidP="007E5022">
            <w:pPr>
              <w:pStyle w:val="BodyText"/>
            </w:pPr>
          </w:p>
        </w:tc>
      </w:tr>
      <w:tr w:rsidR="00E60842" w14:paraId="5F01F525" w14:textId="77777777" w:rsidTr="007E5022">
        <w:tc>
          <w:tcPr>
            <w:tcW w:w="2377" w:type="dxa"/>
          </w:tcPr>
          <w:p w14:paraId="4AF67A5F" w14:textId="77777777" w:rsidR="00E60842" w:rsidRDefault="00E60842" w:rsidP="007E5022">
            <w:pPr>
              <w:pStyle w:val="BodyText"/>
              <w:rPr>
                <w:rStyle w:val="BodyTextChar"/>
              </w:rPr>
            </w:pPr>
            <w:r w:rsidRPr="00447D6C">
              <w:rPr>
                <w:rStyle w:val="BodyTextChar"/>
              </w:rPr>
              <w:t>Receive</w:t>
            </w:r>
            <w:r>
              <w:rPr>
                <w:rStyle w:val="BodyTextChar"/>
              </w:rPr>
              <w:t>d newsletter/electronic updates</w:t>
            </w:r>
          </w:p>
        </w:tc>
        <w:tc>
          <w:tcPr>
            <w:tcW w:w="1134" w:type="dxa"/>
          </w:tcPr>
          <w:p w14:paraId="6CC175FC" w14:textId="77777777" w:rsidR="00E60842" w:rsidRDefault="00E60842" w:rsidP="007E5022">
            <w:pPr>
              <w:pStyle w:val="BodyText"/>
            </w:pPr>
          </w:p>
        </w:tc>
        <w:tc>
          <w:tcPr>
            <w:tcW w:w="992" w:type="dxa"/>
          </w:tcPr>
          <w:p w14:paraId="54D83ED4" w14:textId="77777777" w:rsidR="00E60842" w:rsidRDefault="00E60842" w:rsidP="007E5022">
            <w:pPr>
              <w:pStyle w:val="BodyText"/>
            </w:pPr>
          </w:p>
        </w:tc>
        <w:tc>
          <w:tcPr>
            <w:tcW w:w="1269" w:type="dxa"/>
          </w:tcPr>
          <w:p w14:paraId="06EF35A4" w14:textId="77777777" w:rsidR="00E60842" w:rsidRDefault="00E60842" w:rsidP="007E5022">
            <w:pPr>
              <w:pStyle w:val="BodyText"/>
            </w:pPr>
          </w:p>
        </w:tc>
        <w:tc>
          <w:tcPr>
            <w:tcW w:w="1283" w:type="dxa"/>
          </w:tcPr>
          <w:p w14:paraId="21E99A43" w14:textId="77777777" w:rsidR="00E60842" w:rsidRDefault="00E60842" w:rsidP="007E5022">
            <w:pPr>
              <w:pStyle w:val="BodyText"/>
            </w:pPr>
          </w:p>
        </w:tc>
        <w:tc>
          <w:tcPr>
            <w:tcW w:w="1104" w:type="dxa"/>
          </w:tcPr>
          <w:p w14:paraId="19CFD356" w14:textId="77777777" w:rsidR="00E60842" w:rsidRDefault="00E60842" w:rsidP="007E5022">
            <w:pPr>
              <w:pStyle w:val="BodyText"/>
            </w:pPr>
          </w:p>
        </w:tc>
        <w:tc>
          <w:tcPr>
            <w:tcW w:w="562" w:type="dxa"/>
          </w:tcPr>
          <w:p w14:paraId="54EB394C" w14:textId="77777777" w:rsidR="00E60842" w:rsidRDefault="00E60842" w:rsidP="007E5022">
            <w:pPr>
              <w:pStyle w:val="BodyText"/>
            </w:pPr>
          </w:p>
        </w:tc>
      </w:tr>
      <w:tr w:rsidR="00E60842" w14:paraId="6B64C5CB" w14:textId="77777777" w:rsidTr="007E5022">
        <w:tc>
          <w:tcPr>
            <w:tcW w:w="2377" w:type="dxa"/>
          </w:tcPr>
          <w:p w14:paraId="692672CB" w14:textId="77777777" w:rsidR="00E60842" w:rsidRPr="00447D6C" w:rsidRDefault="00E60842" w:rsidP="007E5022">
            <w:pPr>
              <w:pStyle w:val="BodyText"/>
              <w:rPr>
                <w:rStyle w:val="BodyTextChar"/>
              </w:rPr>
            </w:pPr>
            <w:r>
              <w:rPr>
                <w:rStyle w:val="BodyTextChar"/>
              </w:rPr>
              <w:t>Watched videos shared by CS WASH Fund</w:t>
            </w:r>
          </w:p>
        </w:tc>
        <w:tc>
          <w:tcPr>
            <w:tcW w:w="1134" w:type="dxa"/>
          </w:tcPr>
          <w:p w14:paraId="030EB43C" w14:textId="77777777" w:rsidR="00E60842" w:rsidRDefault="00E60842" w:rsidP="007E5022">
            <w:pPr>
              <w:pStyle w:val="BodyText"/>
            </w:pPr>
          </w:p>
        </w:tc>
        <w:tc>
          <w:tcPr>
            <w:tcW w:w="992" w:type="dxa"/>
          </w:tcPr>
          <w:p w14:paraId="66251725" w14:textId="77777777" w:rsidR="00E60842" w:rsidRDefault="00E60842" w:rsidP="007E5022">
            <w:pPr>
              <w:pStyle w:val="BodyText"/>
            </w:pPr>
          </w:p>
        </w:tc>
        <w:tc>
          <w:tcPr>
            <w:tcW w:w="1269" w:type="dxa"/>
          </w:tcPr>
          <w:p w14:paraId="37F5CCDF" w14:textId="77777777" w:rsidR="00E60842" w:rsidRDefault="00E60842" w:rsidP="007E5022">
            <w:pPr>
              <w:pStyle w:val="BodyText"/>
            </w:pPr>
          </w:p>
        </w:tc>
        <w:tc>
          <w:tcPr>
            <w:tcW w:w="1283" w:type="dxa"/>
          </w:tcPr>
          <w:p w14:paraId="6BC15D1A" w14:textId="77777777" w:rsidR="00E60842" w:rsidRDefault="00E60842" w:rsidP="007E5022">
            <w:pPr>
              <w:pStyle w:val="BodyText"/>
            </w:pPr>
          </w:p>
        </w:tc>
        <w:tc>
          <w:tcPr>
            <w:tcW w:w="1104" w:type="dxa"/>
          </w:tcPr>
          <w:p w14:paraId="741DA355" w14:textId="77777777" w:rsidR="00E60842" w:rsidRDefault="00E60842" w:rsidP="007E5022">
            <w:pPr>
              <w:pStyle w:val="BodyText"/>
            </w:pPr>
          </w:p>
        </w:tc>
        <w:tc>
          <w:tcPr>
            <w:tcW w:w="562" w:type="dxa"/>
          </w:tcPr>
          <w:p w14:paraId="300FDB82" w14:textId="77777777" w:rsidR="00E60842" w:rsidRDefault="00E60842" w:rsidP="007E5022">
            <w:pPr>
              <w:pStyle w:val="BodyText"/>
            </w:pPr>
          </w:p>
        </w:tc>
      </w:tr>
      <w:tr w:rsidR="00E60842" w14:paraId="7567450B" w14:textId="77777777" w:rsidTr="007E5022">
        <w:tc>
          <w:tcPr>
            <w:tcW w:w="2377" w:type="dxa"/>
          </w:tcPr>
          <w:p w14:paraId="1404E619" w14:textId="77777777" w:rsidR="00E60842" w:rsidRDefault="00E60842" w:rsidP="007E5022">
            <w:pPr>
              <w:pStyle w:val="BodyText"/>
              <w:rPr>
                <w:rStyle w:val="BodyTextChar"/>
              </w:rPr>
            </w:pPr>
            <w:r w:rsidRPr="00447D6C">
              <w:rPr>
                <w:rStyle w:val="BodyTextChar"/>
              </w:rPr>
              <w:t>Participated or followed Civil Society Innovation Award</w:t>
            </w:r>
          </w:p>
        </w:tc>
        <w:tc>
          <w:tcPr>
            <w:tcW w:w="1134" w:type="dxa"/>
          </w:tcPr>
          <w:p w14:paraId="1AFC0F8C" w14:textId="77777777" w:rsidR="00E60842" w:rsidRDefault="00E60842" w:rsidP="007E5022">
            <w:pPr>
              <w:pStyle w:val="BodyText"/>
            </w:pPr>
          </w:p>
        </w:tc>
        <w:tc>
          <w:tcPr>
            <w:tcW w:w="992" w:type="dxa"/>
          </w:tcPr>
          <w:p w14:paraId="52ED25C1" w14:textId="77777777" w:rsidR="00E60842" w:rsidRDefault="00E60842" w:rsidP="007E5022">
            <w:pPr>
              <w:pStyle w:val="BodyText"/>
            </w:pPr>
          </w:p>
        </w:tc>
        <w:tc>
          <w:tcPr>
            <w:tcW w:w="1269" w:type="dxa"/>
          </w:tcPr>
          <w:p w14:paraId="6ECE4A48" w14:textId="77777777" w:rsidR="00E60842" w:rsidRDefault="00E60842" w:rsidP="007E5022">
            <w:pPr>
              <w:pStyle w:val="BodyText"/>
            </w:pPr>
          </w:p>
        </w:tc>
        <w:tc>
          <w:tcPr>
            <w:tcW w:w="1283" w:type="dxa"/>
          </w:tcPr>
          <w:p w14:paraId="7B049EF1" w14:textId="77777777" w:rsidR="00E60842" w:rsidRDefault="00E60842" w:rsidP="007E5022">
            <w:pPr>
              <w:pStyle w:val="BodyText"/>
            </w:pPr>
          </w:p>
        </w:tc>
        <w:tc>
          <w:tcPr>
            <w:tcW w:w="1104" w:type="dxa"/>
          </w:tcPr>
          <w:p w14:paraId="7B528E3D" w14:textId="77777777" w:rsidR="00E60842" w:rsidRDefault="00E60842" w:rsidP="007E5022">
            <w:pPr>
              <w:pStyle w:val="BodyText"/>
            </w:pPr>
          </w:p>
        </w:tc>
        <w:tc>
          <w:tcPr>
            <w:tcW w:w="562" w:type="dxa"/>
          </w:tcPr>
          <w:p w14:paraId="2927C2C2" w14:textId="77777777" w:rsidR="00E60842" w:rsidRDefault="00E60842" w:rsidP="007E5022">
            <w:pPr>
              <w:pStyle w:val="BodyText"/>
            </w:pPr>
          </w:p>
        </w:tc>
      </w:tr>
      <w:tr w:rsidR="00E60842" w14:paraId="189A6797" w14:textId="77777777" w:rsidTr="007E5022">
        <w:tc>
          <w:tcPr>
            <w:tcW w:w="2377" w:type="dxa"/>
          </w:tcPr>
          <w:p w14:paraId="15D0BC85" w14:textId="77777777" w:rsidR="00E60842" w:rsidRDefault="00E60842" w:rsidP="007E5022">
            <w:pPr>
              <w:pStyle w:val="BodyText"/>
              <w:rPr>
                <w:rStyle w:val="BodyTextChar"/>
              </w:rPr>
            </w:pPr>
            <w:r w:rsidRPr="00447D6C">
              <w:rPr>
                <w:rStyle w:val="BodyTextChar"/>
              </w:rPr>
              <w:t>Accessed resources and information shared via CS WASH Fund social media channels (Facebook, Google +, LinkedIn Group, Twitter)</w:t>
            </w:r>
          </w:p>
        </w:tc>
        <w:tc>
          <w:tcPr>
            <w:tcW w:w="1134" w:type="dxa"/>
          </w:tcPr>
          <w:p w14:paraId="03DD082C" w14:textId="77777777" w:rsidR="00E60842" w:rsidRDefault="00E60842" w:rsidP="007E5022">
            <w:pPr>
              <w:pStyle w:val="BodyText"/>
            </w:pPr>
          </w:p>
        </w:tc>
        <w:tc>
          <w:tcPr>
            <w:tcW w:w="992" w:type="dxa"/>
          </w:tcPr>
          <w:p w14:paraId="518F28E5" w14:textId="77777777" w:rsidR="00E60842" w:rsidRDefault="00E60842" w:rsidP="007E5022">
            <w:pPr>
              <w:pStyle w:val="BodyText"/>
            </w:pPr>
          </w:p>
        </w:tc>
        <w:tc>
          <w:tcPr>
            <w:tcW w:w="1269" w:type="dxa"/>
          </w:tcPr>
          <w:p w14:paraId="7C20B9C5" w14:textId="77777777" w:rsidR="00E60842" w:rsidRDefault="00E60842" w:rsidP="007E5022">
            <w:pPr>
              <w:pStyle w:val="BodyText"/>
            </w:pPr>
          </w:p>
        </w:tc>
        <w:tc>
          <w:tcPr>
            <w:tcW w:w="1283" w:type="dxa"/>
          </w:tcPr>
          <w:p w14:paraId="0E83BFF1" w14:textId="77777777" w:rsidR="00E60842" w:rsidRDefault="00E60842" w:rsidP="007E5022">
            <w:pPr>
              <w:pStyle w:val="BodyText"/>
            </w:pPr>
          </w:p>
        </w:tc>
        <w:tc>
          <w:tcPr>
            <w:tcW w:w="1104" w:type="dxa"/>
          </w:tcPr>
          <w:p w14:paraId="6F674050" w14:textId="77777777" w:rsidR="00E60842" w:rsidRDefault="00E60842" w:rsidP="007E5022">
            <w:pPr>
              <w:pStyle w:val="BodyText"/>
            </w:pPr>
          </w:p>
        </w:tc>
        <w:tc>
          <w:tcPr>
            <w:tcW w:w="562" w:type="dxa"/>
          </w:tcPr>
          <w:p w14:paraId="671B2D01" w14:textId="77777777" w:rsidR="00E60842" w:rsidRDefault="00E60842" w:rsidP="007E5022">
            <w:pPr>
              <w:pStyle w:val="BodyText"/>
            </w:pPr>
          </w:p>
        </w:tc>
      </w:tr>
      <w:tr w:rsidR="00E60842" w14:paraId="7F875A37" w14:textId="77777777" w:rsidTr="007E5022">
        <w:tc>
          <w:tcPr>
            <w:tcW w:w="2377" w:type="dxa"/>
          </w:tcPr>
          <w:p w14:paraId="7684D8BB" w14:textId="77777777" w:rsidR="00E60842" w:rsidRDefault="00E60842" w:rsidP="007E5022">
            <w:pPr>
              <w:pStyle w:val="BodyText"/>
              <w:rPr>
                <w:rStyle w:val="BodyTextChar"/>
              </w:rPr>
            </w:pPr>
            <w:r w:rsidRPr="00447D6C">
              <w:rPr>
                <w:rStyle w:val="BodyTextChar"/>
              </w:rPr>
              <w:t>Member of Knowledge and Learning Advisory Group</w:t>
            </w:r>
          </w:p>
        </w:tc>
        <w:tc>
          <w:tcPr>
            <w:tcW w:w="1134" w:type="dxa"/>
          </w:tcPr>
          <w:p w14:paraId="617B65B5" w14:textId="77777777" w:rsidR="00E60842" w:rsidRDefault="00E60842" w:rsidP="007E5022">
            <w:pPr>
              <w:pStyle w:val="BodyText"/>
            </w:pPr>
          </w:p>
        </w:tc>
        <w:tc>
          <w:tcPr>
            <w:tcW w:w="992" w:type="dxa"/>
          </w:tcPr>
          <w:p w14:paraId="55F9C09F" w14:textId="77777777" w:rsidR="00E60842" w:rsidRDefault="00E60842" w:rsidP="007E5022">
            <w:pPr>
              <w:pStyle w:val="BodyText"/>
            </w:pPr>
          </w:p>
        </w:tc>
        <w:tc>
          <w:tcPr>
            <w:tcW w:w="1269" w:type="dxa"/>
          </w:tcPr>
          <w:p w14:paraId="695F74DE" w14:textId="77777777" w:rsidR="00E60842" w:rsidRDefault="00E60842" w:rsidP="007E5022">
            <w:pPr>
              <w:pStyle w:val="BodyText"/>
            </w:pPr>
          </w:p>
        </w:tc>
        <w:tc>
          <w:tcPr>
            <w:tcW w:w="1283" w:type="dxa"/>
          </w:tcPr>
          <w:p w14:paraId="0E135213" w14:textId="77777777" w:rsidR="00E60842" w:rsidRDefault="00E60842" w:rsidP="007E5022">
            <w:pPr>
              <w:pStyle w:val="BodyText"/>
            </w:pPr>
          </w:p>
        </w:tc>
        <w:tc>
          <w:tcPr>
            <w:tcW w:w="1104" w:type="dxa"/>
          </w:tcPr>
          <w:p w14:paraId="16406C2F" w14:textId="77777777" w:rsidR="00E60842" w:rsidRDefault="00E60842" w:rsidP="007E5022">
            <w:pPr>
              <w:pStyle w:val="BodyText"/>
            </w:pPr>
          </w:p>
        </w:tc>
        <w:tc>
          <w:tcPr>
            <w:tcW w:w="562" w:type="dxa"/>
          </w:tcPr>
          <w:p w14:paraId="40831347" w14:textId="77777777" w:rsidR="00E60842" w:rsidRDefault="00E60842" w:rsidP="007E5022">
            <w:pPr>
              <w:pStyle w:val="BodyText"/>
            </w:pPr>
          </w:p>
        </w:tc>
      </w:tr>
      <w:tr w:rsidR="00E60842" w14:paraId="3A0FB890" w14:textId="77777777" w:rsidTr="007E5022">
        <w:tc>
          <w:tcPr>
            <w:tcW w:w="2377" w:type="dxa"/>
          </w:tcPr>
          <w:p w14:paraId="069CDE81" w14:textId="77777777" w:rsidR="00E60842" w:rsidRDefault="00E60842" w:rsidP="007E5022">
            <w:pPr>
              <w:pStyle w:val="BodyText"/>
            </w:pPr>
            <w:r>
              <w:t>Other (please specify)</w:t>
            </w:r>
          </w:p>
        </w:tc>
        <w:tc>
          <w:tcPr>
            <w:tcW w:w="1134" w:type="dxa"/>
          </w:tcPr>
          <w:p w14:paraId="4B10AB57" w14:textId="77777777" w:rsidR="00E60842" w:rsidRDefault="00E60842" w:rsidP="007E5022">
            <w:pPr>
              <w:pStyle w:val="BodyText"/>
            </w:pPr>
          </w:p>
        </w:tc>
        <w:tc>
          <w:tcPr>
            <w:tcW w:w="992" w:type="dxa"/>
          </w:tcPr>
          <w:p w14:paraId="598A1673" w14:textId="77777777" w:rsidR="00E60842" w:rsidRDefault="00E60842" w:rsidP="007E5022">
            <w:pPr>
              <w:pStyle w:val="BodyText"/>
            </w:pPr>
          </w:p>
        </w:tc>
        <w:tc>
          <w:tcPr>
            <w:tcW w:w="1269" w:type="dxa"/>
          </w:tcPr>
          <w:p w14:paraId="218C1E8F" w14:textId="77777777" w:rsidR="00E60842" w:rsidRDefault="00E60842" w:rsidP="007E5022">
            <w:pPr>
              <w:pStyle w:val="BodyText"/>
            </w:pPr>
          </w:p>
        </w:tc>
        <w:tc>
          <w:tcPr>
            <w:tcW w:w="1283" w:type="dxa"/>
          </w:tcPr>
          <w:p w14:paraId="177D1331" w14:textId="77777777" w:rsidR="00E60842" w:rsidRDefault="00E60842" w:rsidP="007E5022">
            <w:pPr>
              <w:pStyle w:val="BodyText"/>
            </w:pPr>
          </w:p>
        </w:tc>
        <w:tc>
          <w:tcPr>
            <w:tcW w:w="1104" w:type="dxa"/>
          </w:tcPr>
          <w:p w14:paraId="3455FDF7" w14:textId="77777777" w:rsidR="00E60842" w:rsidRDefault="00E60842" w:rsidP="007E5022">
            <w:pPr>
              <w:pStyle w:val="BodyText"/>
            </w:pPr>
          </w:p>
        </w:tc>
        <w:tc>
          <w:tcPr>
            <w:tcW w:w="562" w:type="dxa"/>
          </w:tcPr>
          <w:p w14:paraId="61FCCB4A" w14:textId="77777777" w:rsidR="00E60842" w:rsidRDefault="00E60842" w:rsidP="007E5022">
            <w:pPr>
              <w:pStyle w:val="BodyText"/>
            </w:pPr>
          </w:p>
        </w:tc>
      </w:tr>
    </w:tbl>
    <w:p w14:paraId="08284E9F" w14:textId="77777777" w:rsidR="00E60842" w:rsidRDefault="00E60842" w:rsidP="00E60842">
      <w:pPr>
        <w:pStyle w:val="ListBullet"/>
        <w:numPr>
          <w:ilvl w:val="0"/>
          <w:numId w:val="0"/>
        </w:numPr>
        <w:ind w:left="284" w:hanging="284"/>
      </w:pPr>
    </w:p>
    <w:p w14:paraId="0D5CE93B" w14:textId="77777777" w:rsidR="00E60842" w:rsidRDefault="00E60842" w:rsidP="00E60842">
      <w:pPr>
        <w:pStyle w:val="ListBullet"/>
        <w:numPr>
          <w:ilvl w:val="0"/>
          <w:numId w:val="0"/>
        </w:numPr>
        <w:rPr>
          <w:rStyle w:val="BodyTextChar"/>
        </w:rPr>
      </w:pPr>
      <w:r>
        <w:rPr>
          <w:rStyle w:val="BodyTextChar"/>
        </w:rPr>
        <w:t>21. To what extent do you agree with the following statements:</w:t>
      </w:r>
    </w:p>
    <w:tbl>
      <w:tblPr>
        <w:tblStyle w:val="TableGrid"/>
        <w:tblW w:w="0" w:type="auto"/>
        <w:tblLook w:val="04A0" w:firstRow="1" w:lastRow="0" w:firstColumn="1" w:lastColumn="0" w:noHBand="0" w:noVBand="1"/>
        <w:tblCaption w:val="Views on knowledge and learning component"/>
        <w:tblDescription w:val="The table asks for CSO views on a range of issues related to the Knowledge and Learning component"/>
      </w:tblPr>
      <w:tblGrid>
        <w:gridCol w:w="2518"/>
        <w:gridCol w:w="985"/>
        <w:gridCol w:w="1000"/>
        <w:gridCol w:w="1701"/>
        <w:gridCol w:w="911"/>
        <w:gridCol w:w="931"/>
      </w:tblGrid>
      <w:tr w:rsidR="00E60842" w14:paraId="5666A3FF" w14:textId="77777777" w:rsidTr="007E5022">
        <w:tc>
          <w:tcPr>
            <w:tcW w:w="2518" w:type="dxa"/>
          </w:tcPr>
          <w:p w14:paraId="406C2A24" w14:textId="77777777" w:rsidR="00E60842" w:rsidRDefault="00E60842" w:rsidP="007E5022">
            <w:pPr>
              <w:pStyle w:val="BodyText"/>
            </w:pPr>
          </w:p>
        </w:tc>
        <w:tc>
          <w:tcPr>
            <w:tcW w:w="985" w:type="dxa"/>
          </w:tcPr>
          <w:p w14:paraId="10997947" w14:textId="77777777" w:rsidR="00E60842" w:rsidRDefault="00E60842" w:rsidP="007E5022">
            <w:pPr>
              <w:pStyle w:val="BodyText"/>
            </w:pPr>
            <w:r>
              <w:t>Strongly disagree</w:t>
            </w:r>
          </w:p>
        </w:tc>
        <w:tc>
          <w:tcPr>
            <w:tcW w:w="1000" w:type="dxa"/>
          </w:tcPr>
          <w:p w14:paraId="6ACE563B" w14:textId="77777777" w:rsidR="00E60842" w:rsidRDefault="00E60842" w:rsidP="007E5022">
            <w:pPr>
              <w:pStyle w:val="BodyText"/>
            </w:pPr>
            <w:r>
              <w:t>Disagree</w:t>
            </w:r>
          </w:p>
        </w:tc>
        <w:tc>
          <w:tcPr>
            <w:tcW w:w="1701" w:type="dxa"/>
          </w:tcPr>
          <w:p w14:paraId="08CF138B" w14:textId="77777777" w:rsidR="00E60842" w:rsidRDefault="00E60842" w:rsidP="007E5022">
            <w:pPr>
              <w:pStyle w:val="BodyText"/>
            </w:pPr>
            <w:r>
              <w:t>Neither agree or disagree</w:t>
            </w:r>
          </w:p>
        </w:tc>
        <w:tc>
          <w:tcPr>
            <w:tcW w:w="911" w:type="dxa"/>
          </w:tcPr>
          <w:p w14:paraId="0B2D6396" w14:textId="77777777" w:rsidR="00E60842" w:rsidRDefault="00E60842" w:rsidP="007E5022">
            <w:pPr>
              <w:pStyle w:val="BodyText"/>
            </w:pPr>
            <w:r>
              <w:t>Agree</w:t>
            </w:r>
          </w:p>
        </w:tc>
        <w:tc>
          <w:tcPr>
            <w:tcW w:w="931" w:type="dxa"/>
          </w:tcPr>
          <w:p w14:paraId="67522BC9" w14:textId="77777777" w:rsidR="00E60842" w:rsidRDefault="00E60842" w:rsidP="007E5022">
            <w:pPr>
              <w:pStyle w:val="BodyText"/>
            </w:pPr>
            <w:r>
              <w:t>Strongly agree</w:t>
            </w:r>
          </w:p>
        </w:tc>
      </w:tr>
      <w:tr w:rsidR="00E60842" w14:paraId="4322F3FF" w14:textId="77777777" w:rsidTr="007E5022">
        <w:tc>
          <w:tcPr>
            <w:tcW w:w="2518" w:type="dxa"/>
          </w:tcPr>
          <w:p w14:paraId="3AAE4FA5" w14:textId="77777777" w:rsidR="00E60842" w:rsidRDefault="00E60842" w:rsidP="007E5022">
            <w:pPr>
              <w:pStyle w:val="BodyText"/>
            </w:pPr>
            <w:r>
              <w:t>Fund-wide learning and knowledge activities are useful to our organisation</w:t>
            </w:r>
          </w:p>
        </w:tc>
        <w:tc>
          <w:tcPr>
            <w:tcW w:w="985" w:type="dxa"/>
          </w:tcPr>
          <w:p w14:paraId="4C3236E5" w14:textId="77777777" w:rsidR="00E60842" w:rsidRDefault="00E60842" w:rsidP="007E5022">
            <w:pPr>
              <w:pStyle w:val="BodyText"/>
            </w:pPr>
          </w:p>
        </w:tc>
        <w:tc>
          <w:tcPr>
            <w:tcW w:w="1000" w:type="dxa"/>
          </w:tcPr>
          <w:p w14:paraId="3D70D3BF" w14:textId="77777777" w:rsidR="00E60842" w:rsidRDefault="00E60842" w:rsidP="007E5022">
            <w:pPr>
              <w:pStyle w:val="BodyText"/>
            </w:pPr>
          </w:p>
        </w:tc>
        <w:tc>
          <w:tcPr>
            <w:tcW w:w="1701" w:type="dxa"/>
          </w:tcPr>
          <w:p w14:paraId="2C781716" w14:textId="77777777" w:rsidR="00E60842" w:rsidRDefault="00E60842" w:rsidP="007E5022">
            <w:pPr>
              <w:pStyle w:val="BodyText"/>
            </w:pPr>
          </w:p>
        </w:tc>
        <w:tc>
          <w:tcPr>
            <w:tcW w:w="911" w:type="dxa"/>
          </w:tcPr>
          <w:p w14:paraId="161A7286" w14:textId="77777777" w:rsidR="00E60842" w:rsidRDefault="00E60842" w:rsidP="007E5022">
            <w:pPr>
              <w:pStyle w:val="BodyText"/>
            </w:pPr>
          </w:p>
        </w:tc>
        <w:tc>
          <w:tcPr>
            <w:tcW w:w="931" w:type="dxa"/>
          </w:tcPr>
          <w:p w14:paraId="0FA835C1" w14:textId="77777777" w:rsidR="00E60842" w:rsidRDefault="00E60842" w:rsidP="007E5022">
            <w:pPr>
              <w:pStyle w:val="BodyText"/>
            </w:pPr>
          </w:p>
        </w:tc>
      </w:tr>
      <w:tr w:rsidR="00E60842" w14:paraId="6703F9A8" w14:textId="77777777" w:rsidTr="007E5022">
        <w:tc>
          <w:tcPr>
            <w:tcW w:w="2518" w:type="dxa"/>
          </w:tcPr>
          <w:p w14:paraId="2EF75109" w14:textId="77777777" w:rsidR="00E60842" w:rsidRDefault="00E60842" w:rsidP="007E5022">
            <w:pPr>
              <w:pStyle w:val="BodyText"/>
            </w:pPr>
            <w:r>
              <w:t>Fund-wide learning and knowledge activities help us make improvements to our project</w:t>
            </w:r>
          </w:p>
        </w:tc>
        <w:tc>
          <w:tcPr>
            <w:tcW w:w="985" w:type="dxa"/>
          </w:tcPr>
          <w:p w14:paraId="60EC801D" w14:textId="77777777" w:rsidR="00E60842" w:rsidRDefault="00E60842" w:rsidP="007E5022">
            <w:pPr>
              <w:pStyle w:val="BodyText"/>
            </w:pPr>
          </w:p>
        </w:tc>
        <w:tc>
          <w:tcPr>
            <w:tcW w:w="1000" w:type="dxa"/>
          </w:tcPr>
          <w:p w14:paraId="6BFBBB10" w14:textId="77777777" w:rsidR="00E60842" w:rsidRDefault="00E60842" w:rsidP="007E5022">
            <w:pPr>
              <w:pStyle w:val="BodyText"/>
            </w:pPr>
          </w:p>
        </w:tc>
        <w:tc>
          <w:tcPr>
            <w:tcW w:w="1701" w:type="dxa"/>
          </w:tcPr>
          <w:p w14:paraId="33444F8C" w14:textId="77777777" w:rsidR="00E60842" w:rsidRDefault="00E60842" w:rsidP="007E5022">
            <w:pPr>
              <w:pStyle w:val="BodyText"/>
            </w:pPr>
          </w:p>
        </w:tc>
        <w:tc>
          <w:tcPr>
            <w:tcW w:w="911" w:type="dxa"/>
          </w:tcPr>
          <w:p w14:paraId="5EAC75B7" w14:textId="77777777" w:rsidR="00E60842" w:rsidRDefault="00E60842" w:rsidP="007E5022">
            <w:pPr>
              <w:pStyle w:val="BodyText"/>
            </w:pPr>
          </w:p>
        </w:tc>
        <w:tc>
          <w:tcPr>
            <w:tcW w:w="931" w:type="dxa"/>
          </w:tcPr>
          <w:p w14:paraId="192CCEBD" w14:textId="77777777" w:rsidR="00E60842" w:rsidRDefault="00E60842" w:rsidP="007E5022">
            <w:pPr>
              <w:pStyle w:val="BodyText"/>
            </w:pPr>
          </w:p>
        </w:tc>
      </w:tr>
      <w:tr w:rsidR="00E60842" w14:paraId="30D02CFC" w14:textId="77777777" w:rsidTr="007E5022">
        <w:tc>
          <w:tcPr>
            <w:tcW w:w="2518" w:type="dxa"/>
          </w:tcPr>
          <w:p w14:paraId="1E8D896F" w14:textId="77777777" w:rsidR="00E60842" w:rsidRDefault="00E60842" w:rsidP="007E5022">
            <w:pPr>
              <w:pStyle w:val="BodyText"/>
            </w:pPr>
            <w:r>
              <w:t xml:space="preserve">The time and resources required to engage with Fund-wide learning and knowledge activities is overly onerous </w:t>
            </w:r>
          </w:p>
        </w:tc>
        <w:tc>
          <w:tcPr>
            <w:tcW w:w="985" w:type="dxa"/>
          </w:tcPr>
          <w:p w14:paraId="36DE3447" w14:textId="77777777" w:rsidR="00E60842" w:rsidRDefault="00E60842" w:rsidP="007E5022">
            <w:pPr>
              <w:pStyle w:val="BodyText"/>
            </w:pPr>
          </w:p>
        </w:tc>
        <w:tc>
          <w:tcPr>
            <w:tcW w:w="1000" w:type="dxa"/>
          </w:tcPr>
          <w:p w14:paraId="0588502D" w14:textId="77777777" w:rsidR="00E60842" w:rsidRDefault="00E60842" w:rsidP="007E5022">
            <w:pPr>
              <w:pStyle w:val="BodyText"/>
            </w:pPr>
          </w:p>
        </w:tc>
        <w:tc>
          <w:tcPr>
            <w:tcW w:w="1701" w:type="dxa"/>
          </w:tcPr>
          <w:p w14:paraId="597893A8" w14:textId="77777777" w:rsidR="00E60842" w:rsidRDefault="00E60842" w:rsidP="007E5022">
            <w:pPr>
              <w:pStyle w:val="BodyText"/>
            </w:pPr>
          </w:p>
        </w:tc>
        <w:tc>
          <w:tcPr>
            <w:tcW w:w="911" w:type="dxa"/>
          </w:tcPr>
          <w:p w14:paraId="01C56E8C" w14:textId="77777777" w:rsidR="00E60842" w:rsidRDefault="00E60842" w:rsidP="007E5022">
            <w:pPr>
              <w:pStyle w:val="BodyText"/>
            </w:pPr>
          </w:p>
        </w:tc>
        <w:tc>
          <w:tcPr>
            <w:tcW w:w="931" w:type="dxa"/>
          </w:tcPr>
          <w:p w14:paraId="0E2EB486" w14:textId="77777777" w:rsidR="00E60842" w:rsidRDefault="00E60842" w:rsidP="007E5022">
            <w:pPr>
              <w:pStyle w:val="BodyText"/>
            </w:pPr>
          </w:p>
        </w:tc>
      </w:tr>
      <w:tr w:rsidR="00E60842" w14:paraId="68330242" w14:textId="77777777" w:rsidTr="007E5022">
        <w:tc>
          <w:tcPr>
            <w:tcW w:w="2518" w:type="dxa"/>
          </w:tcPr>
          <w:p w14:paraId="3D5A81C9" w14:textId="77777777" w:rsidR="00E60842" w:rsidRDefault="00E60842" w:rsidP="007E5022">
            <w:pPr>
              <w:pStyle w:val="BodyText"/>
            </w:pPr>
            <w:r>
              <w:t>Fund-wide learning and knowledge activities add more cost to the way we do things without improving our project</w:t>
            </w:r>
          </w:p>
        </w:tc>
        <w:tc>
          <w:tcPr>
            <w:tcW w:w="985" w:type="dxa"/>
          </w:tcPr>
          <w:p w14:paraId="5431C560" w14:textId="77777777" w:rsidR="00E60842" w:rsidRDefault="00E60842" w:rsidP="007E5022">
            <w:pPr>
              <w:pStyle w:val="BodyText"/>
            </w:pPr>
          </w:p>
        </w:tc>
        <w:tc>
          <w:tcPr>
            <w:tcW w:w="1000" w:type="dxa"/>
          </w:tcPr>
          <w:p w14:paraId="146DC70C" w14:textId="77777777" w:rsidR="00E60842" w:rsidRDefault="00E60842" w:rsidP="007E5022">
            <w:pPr>
              <w:pStyle w:val="BodyText"/>
            </w:pPr>
          </w:p>
        </w:tc>
        <w:tc>
          <w:tcPr>
            <w:tcW w:w="1701" w:type="dxa"/>
          </w:tcPr>
          <w:p w14:paraId="5279E2A9" w14:textId="77777777" w:rsidR="00E60842" w:rsidRDefault="00E60842" w:rsidP="007E5022">
            <w:pPr>
              <w:pStyle w:val="BodyText"/>
            </w:pPr>
          </w:p>
        </w:tc>
        <w:tc>
          <w:tcPr>
            <w:tcW w:w="911" w:type="dxa"/>
          </w:tcPr>
          <w:p w14:paraId="28F95C4A" w14:textId="77777777" w:rsidR="00E60842" w:rsidRDefault="00E60842" w:rsidP="007E5022">
            <w:pPr>
              <w:pStyle w:val="BodyText"/>
            </w:pPr>
          </w:p>
        </w:tc>
        <w:tc>
          <w:tcPr>
            <w:tcW w:w="931" w:type="dxa"/>
          </w:tcPr>
          <w:p w14:paraId="01565622" w14:textId="77777777" w:rsidR="00E60842" w:rsidRDefault="00E60842" w:rsidP="007E5022">
            <w:pPr>
              <w:pStyle w:val="BodyText"/>
            </w:pPr>
          </w:p>
        </w:tc>
      </w:tr>
      <w:tr w:rsidR="00E60842" w14:paraId="1A5D9524" w14:textId="77777777" w:rsidTr="007E5022">
        <w:tc>
          <w:tcPr>
            <w:tcW w:w="2518" w:type="dxa"/>
          </w:tcPr>
          <w:p w14:paraId="07EA88C1" w14:textId="77777777" w:rsidR="00E60842" w:rsidRDefault="00E60842" w:rsidP="007E5022">
            <w:pPr>
              <w:pStyle w:val="BodyText"/>
            </w:pPr>
            <w:r>
              <w:t>The Fund’s approach to learning and knowledge helps our project identify learnings which can be shared across the Fund and with the global WASH sector</w:t>
            </w:r>
          </w:p>
        </w:tc>
        <w:tc>
          <w:tcPr>
            <w:tcW w:w="985" w:type="dxa"/>
          </w:tcPr>
          <w:p w14:paraId="4B8D0CD5" w14:textId="77777777" w:rsidR="00E60842" w:rsidRDefault="00E60842" w:rsidP="007E5022">
            <w:pPr>
              <w:pStyle w:val="BodyText"/>
            </w:pPr>
          </w:p>
        </w:tc>
        <w:tc>
          <w:tcPr>
            <w:tcW w:w="1000" w:type="dxa"/>
          </w:tcPr>
          <w:p w14:paraId="7D323479" w14:textId="77777777" w:rsidR="00E60842" w:rsidRDefault="00E60842" w:rsidP="007E5022">
            <w:pPr>
              <w:pStyle w:val="BodyText"/>
            </w:pPr>
          </w:p>
        </w:tc>
        <w:tc>
          <w:tcPr>
            <w:tcW w:w="1701" w:type="dxa"/>
          </w:tcPr>
          <w:p w14:paraId="0A13F1C8" w14:textId="77777777" w:rsidR="00E60842" w:rsidRDefault="00E60842" w:rsidP="007E5022">
            <w:pPr>
              <w:pStyle w:val="BodyText"/>
            </w:pPr>
          </w:p>
        </w:tc>
        <w:tc>
          <w:tcPr>
            <w:tcW w:w="911" w:type="dxa"/>
          </w:tcPr>
          <w:p w14:paraId="3A2F47D2" w14:textId="77777777" w:rsidR="00E60842" w:rsidRDefault="00E60842" w:rsidP="007E5022">
            <w:pPr>
              <w:pStyle w:val="BodyText"/>
            </w:pPr>
          </w:p>
        </w:tc>
        <w:tc>
          <w:tcPr>
            <w:tcW w:w="931" w:type="dxa"/>
          </w:tcPr>
          <w:p w14:paraId="42E305AD" w14:textId="77777777" w:rsidR="00E60842" w:rsidRDefault="00E60842" w:rsidP="007E5022">
            <w:pPr>
              <w:pStyle w:val="BodyText"/>
            </w:pPr>
          </w:p>
        </w:tc>
      </w:tr>
      <w:tr w:rsidR="00E60842" w14:paraId="7557F774" w14:textId="77777777" w:rsidTr="007E5022">
        <w:tc>
          <w:tcPr>
            <w:tcW w:w="2518" w:type="dxa"/>
          </w:tcPr>
          <w:p w14:paraId="132F5102" w14:textId="77777777" w:rsidR="00E60842" w:rsidRDefault="00E60842" w:rsidP="007E5022">
            <w:pPr>
              <w:pStyle w:val="BodyText"/>
            </w:pPr>
            <w:r>
              <w:t>Fund-wide channels  such as the website, social media and the newsletter have helped our CSO disseminate and promote our knowledge and learning outputs</w:t>
            </w:r>
          </w:p>
        </w:tc>
        <w:tc>
          <w:tcPr>
            <w:tcW w:w="985" w:type="dxa"/>
          </w:tcPr>
          <w:p w14:paraId="194385C8" w14:textId="77777777" w:rsidR="00E60842" w:rsidRDefault="00E60842" w:rsidP="007E5022">
            <w:pPr>
              <w:pStyle w:val="BodyText"/>
            </w:pPr>
          </w:p>
        </w:tc>
        <w:tc>
          <w:tcPr>
            <w:tcW w:w="1000" w:type="dxa"/>
          </w:tcPr>
          <w:p w14:paraId="4E700B25" w14:textId="77777777" w:rsidR="00E60842" w:rsidRDefault="00E60842" w:rsidP="007E5022">
            <w:pPr>
              <w:pStyle w:val="BodyText"/>
            </w:pPr>
          </w:p>
        </w:tc>
        <w:tc>
          <w:tcPr>
            <w:tcW w:w="1701" w:type="dxa"/>
          </w:tcPr>
          <w:p w14:paraId="3B685AD7" w14:textId="77777777" w:rsidR="00E60842" w:rsidRDefault="00E60842" w:rsidP="007E5022">
            <w:pPr>
              <w:pStyle w:val="BodyText"/>
            </w:pPr>
          </w:p>
        </w:tc>
        <w:tc>
          <w:tcPr>
            <w:tcW w:w="911" w:type="dxa"/>
          </w:tcPr>
          <w:p w14:paraId="2D71C020" w14:textId="77777777" w:rsidR="00E60842" w:rsidRDefault="00E60842" w:rsidP="007E5022">
            <w:pPr>
              <w:pStyle w:val="BodyText"/>
            </w:pPr>
          </w:p>
        </w:tc>
        <w:tc>
          <w:tcPr>
            <w:tcW w:w="931" w:type="dxa"/>
          </w:tcPr>
          <w:p w14:paraId="7FE4532E" w14:textId="77777777" w:rsidR="00E60842" w:rsidRDefault="00E60842" w:rsidP="007E5022">
            <w:pPr>
              <w:pStyle w:val="BodyText"/>
            </w:pPr>
          </w:p>
        </w:tc>
      </w:tr>
      <w:tr w:rsidR="00E60842" w14:paraId="47AEB8CF" w14:textId="77777777" w:rsidTr="007E5022">
        <w:tc>
          <w:tcPr>
            <w:tcW w:w="2518" w:type="dxa"/>
          </w:tcPr>
          <w:p w14:paraId="4ABD2523" w14:textId="77777777" w:rsidR="00E60842" w:rsidRDefault="00E60842" w:rsidP="007E5022">
            <w:pPr>
              <w:pStyle w:val="BodyText"/>
            </w:pPr>
            <w:r>
              <w:t>The Fund’s model of having a Fund-wide knowledge and learning component led by the Knowledge and Learning Manager is useful and helps us improve our project</w:t>
            </w:r>
          </w:p>
        </w:tc>
        <w:tc>
          <w:tcPr>
            <w:tcW w:w="985" w:type="dxa"/>
          </w:tcPr>
          <w:p w14:paraId="55467D44" w14:textId="77777777" w:rsidR="00E60842" w:rsidRDefault="00E60842" w:rsidP="007E5022">
            <w:pPr>
              <w:pStyle w:val="BodyText"/>
            </w:pPr>
          </w:p>
        </w:tc>
        <w:tc>
          <w:tcPr>
            <w:tcW w:w="1000" w:type="dxa"/>
          </w:tcPr>
          <w:p w14:paraId="0C407378" w14:textId="77777777" w:rsidR="00E60842" w:rsidRDefault="00E60842" w:rsidP="007E5022">
            <w:pPr>
              <w:pStyle w:val="BodyText"/>
            </w:pPr>
          </w:p>
        </w:tc>
        <w:tc>
          <w:tcPr>
            <w:tcW w:w="1701" w:type="dxa"/>
          </w:tcPr>
          <w:p w14:paraId="1F9A8D4D" w14:textId="77777777" w:rsidR="00E60842" w:rsidRDefault="00E60842" w:rsidP="007E5022">
            <w:pPr>
              <w:pStyle w:val="BodyText"/>
            </w:pPr>
          </w:p>
        </w:tc>
        <w:tc>
          <w:tcPr>
            <w:tcW w:w="911" w:type="dxa"/>
          </w:tcPr>
          <w:p w14:paraId="072B7A20" w14:textId="77777777" w:rsidR="00E60842" w:rsidRDefault="00E60842" w:rsidP="007E5022">
            <w:pPr>
              <w:pStyle w:val="BodyText"/>
            </w:pPr>
          </w:p>
        </w:tc>
        <w:tc>
          <w:tcPr>
            <w:tcW w:w="931" w:type="dxa"/>
          </w:tcPr>
          <w:p w14:paraId="29F8C51D" w14:textId="77777777" w:rsidR="00E60842" w:rsidRDefault="00E60842" w:rsidP="007E5022">
            <w:pPr>
              <w:pStyle w:val="BodyText"/>
            </w:pPr>
          </w:p>
        </w:tc>
      </w:tr>
      <w:tr w:rsidR="00E60842" w14:paraId="3E7E49C7" w14:textId="77777777" w:rsidTr="007E5022">
        <w:tc>
          <w:tcPr>
            <w:tcW w:w="2518" w:type="dxa"/>
          </w:tcPr>
          <w:p w14:paraId="14F4BDC9" w14:textId="77777777" w:rsidR="00E60842" w:rsidRDefault="00E60842" w:rsidP="007E5022">
            <w:pPr>
              <w:pStyle w:val="BodyText"/>
            </w:pPr>
            <w:r>
              <w:t xml:space="preserve">Feedback from the Knowledge and Learning Manager on our regular reporting has been valuable to improve our project and knowledge and learning activities </w:t>
            </w:r>
          </w:p>
        </w:tc>
        <w:tc>
          <w:tcPr>
            <w:tcW w:w="985" w:type="dxa"/>
          </w:tcPr>
          <w:p w14:paraId="0C2180AB" w14:textId="77777777" w:rsidR="00E60842" w:rsidRDefault="00E60842" w:rsidP="007E5022">
            <w:pPr>
              <w:pStyle w:val="BodyText"/>
            </w:pPr>
          </w:p>
        </w:tc>
        <w:tc>
          <w:tcPr>
            <w:tcW w:w="1000" w:type="dxa"/>
          </w:tcPr>
          <w:p w14:paraId="7C51DFE2" w14:textId="77777777" w:rsidR="00E60842" w:rsidRDefault="00E60842" w:rsidP="007E5022">
            <w:pPr>
              <w:pStyle w:val="BodyText"/>
            </w:pPr>
          </w:p>
        </w:tc>
        <w:tc>
          <w:tcPr>
            <w:tcW w:w="1701" w:type="dxa"/>
          </w:tcPr>
          <w:p w14:paraId="6C06D10B" w14:textId="77777777" w:rsidR="00E60842" w:rsidRDefault="00E60842" w:rsidP="007E5022">
            <w:pPr>
              <w:pStyle w:val="BodyText"/>
            </w:pPr>
          </w:p>
        </w:tc>
        <w:tc>
          <w:tcPr>
            <w:tcW w:w="911" w:type="dxa"/>
          </w:tcPr>
          <w:p w14:paraId="5C8E7B38" w14:textId="77777777" w:rsidR="00E60842" w:rsidRDefault="00E60842" w:rsidP="007E5022">
            <w:pPr>
              <w:pStyle w:val="BodyText"/>
            </w:pPr>
          </w:p>
        </w:tc>
        <w:tc>
          <w:tcPr>
            <w:tcW w:w="931" w:type="dxa"/>
          </w:tcPr>
          <w:p w14:paraId="611A06A8" w14:textId="77777777" w:rsidR="00E60842" w:rsidRDefault="00E60842" w:rsidP="007E5022">
            <w:pPr>
              <w:pStyle w:val="BodyText"/>
            </w:pPr>
          </w:p>
        </w:tc>
      </w:tr>
      <w:tr w:rsidR="00E60842" w14:paraId="6130CA3E" w14:textId="77777777" w:rsidTr="007E5022">
        <w:tc>
          <w:tcPr>
            <w:tcW w:w="2518" w:type="dxa"/>
          </w:tcPr>
          <w:p w14:paraId="0DE11C9B" w14:textId="77777777" w:rsidR="00E60842" w:rsidRDefault="00E60842" w:rsidP="007E5022">
            <w:pPr>
              <w:pStyle w:val="BodyText"/>
            </w:pPr>
            <w:r>
              <w:t>Fund-wide learning and knowledge activities have helped us improve our project’s approach to gender equality</w:t>
            </w:r>
          </w:p>
        </w:tc>
        <w:tc>
          <w:tcPr>
            <w:tcW w:w="985" w:type="dxa"/>
          </w:tcPr>
          <w:p w14:paraId="10131A76" w14:textId="77777777" w:rsidR="00E60842" w:rsidRDefault="00E60842" w:rsidP="007E5022">
            <w:pPr>
              <w:pStyle w:val="BodyText"/>
            </w:pPr>
          </w:p>
        </w:tc>
        <w:tc>
          <w:tcPr>
            <w:tcW w:w="1000" w:type="dxa"/>
          </w:tcPr>
          <w:p w14:paraId="47EAE487" w14:textId="77777777" w:rsidR="00E60842" w:rsidRDefault="00E60842" w:rsidP="007E5022">
            <w:pPr>
              <w:pStyle w:val="BodyText"/>
            </w:pPr>
          </w:p>
        </w:tc>
        <w:tc>
          <w:tcPr>
            <w:tcW w:w="1701" w:type="dxa"/>
          </w:tcPr>
          <w:p w14:paraId="194DE9B5" w14:textId="77777777" w:rsidR="00E60842" w:rsidRDefault="00E60842" w:rsidP="007E5022">
            <w:pPr>
              <w:pStyle w:val="BodyText"/>
            </w:pPr>
          </w:p>
        </w:tc>
        <w:tc>
          <w:tcPr>
            <w:tcW w:w="911" w:type="dxa"/>
          </w:tcPr>
          <w:p w14:paraId="5D0B9659" w14:textId="77777777" w:rsidR="00E60842" w:rsidRDefault="00E60842" w:rsidP="007E5022">
            <w:pPr>
              <w:pStyle w:val="BodyText"/>
            </w:pPr>
          </w:p>
        </w:tc>
        <w:tc>
          <w:tcPr>
            <w:tcW w:w="931" w:type="dxa"/>
          </w:tcPr>
          <w:p w14:paraId="2093CD1E" w14:textId="77777777" w:rsidR="00E60842" w:rsidRDefault="00E60842" w:rsidP="007E5022">
            <w:pPr>
              <w:pStyle w:val="BodyText"/>
            </w:pPr>
          </w:p>
        </w:tc>
      </w:tr>
      <w:tr w:rsidR="00E60842" w14:paraId="350B28AD" w14:textId="77777777" w:rsidTr="007E5022">
        <w:tc>
          <w:tcPr>
            <w:tcW w:w="2518" w:type="dxa"/>
          </w:tcPr>
          <w:p w14:paraId="27CB9E44" w14:textId="77777777" w:rsidR="00E60842" w:rsidRDefault="00E60842" w:rsidP="007E5022">
            <w:pPr>
              <w:pStyle w:val="BodyText"/>
            </w:pPr>
            <w:r>
              <w:t xml:space="preserve">Fund-wide learning and knowledge activities have helped us improve our project’s approach to disability inclusiveness </w:t>
            </w:r>
          </w:p>
        </w:tc>
        <w:tc>
          <w:tcPr>
            <w:tcW w:w="985" w:type="dxa"/>
          </w:tcPr>
          <w:p w14:paraId="49836634" w14:textId="77777777" w:rsidR="00E60842" w:rsidRDefault="00E60842" w:rsidP="007E5022">
            <w:pPr>
              <w:pStyle w:val="BodyText"/>
            </w:pPr>
          </w:p>
        </w:tc>
        <w:tc>
          <w:tcPr>
            <w:tcW w:w="1000" w:type="dxa"/>
          </w:tcPr>
          <w:p w14:paraId="50F4A804" w14:textId="77777777" w:rsidR="00E60842" w:rsidRDefault="00E60842" w:rsidP="007E5022">
            <w:pPr>
              <w:pStyle w:val="BodyText"/>
            </w:pPr>
          </w:p>
        </w:tc>
        <w:tc>
          <w:tcPr>
            <w:tcW w:w="1701" w:type="dxa"/>
          </w:tcPr>
          <w:p w14:paraId="54DE7419" w14:textId="77777777" w:rsidR="00E60842" w:rsidRDefault="00E60842" w:rsidP="007E5022">
            <w:pPr>
              <w:pStyle w:val="BodyText"/>
            </w:pPr>
          </w:p>
        </w:tc>
        <w:tc>
          <w:tcPr>
            <w:tcW w:w="911" w:type="dxa"/>
          </w:tcPr>
          <w:p w14:paraId="7518CA55" w14:textId="77777777" w:rsidR="00E60842" w:rsidRDefault="00E60842" w:rsidP="007E5022">
            <w:pPr>
              <w:pStyle w:val="BodyText"/>
            </w:pPr>
          </w:p>
        </w:tc>
        <w:tc>
          <w:tcPr>
            <w:tcW w:w="931" w:type="dxa"/>
          </w:tcPr>
          <w:p w14:paraId="53170442" w14:textId="77777777" w:rsidR="00E60842" w:rsidRDefault="00E60842" w:rsidP="007E5022">
            <w:pPr>
              <w:pStyle w:val="BodyText"/>
            </w:pPr>
          </w:p>
        </w:tc>
      </w:tr>
      <w:tr w:rsidR="00E60842" w14:paraId="4ADB05D7" w14:textId="77777777" w:rsidTr="007E5022">
        <w:tc>
          <w:tcPr>
            <w:tcW w:w="2518" w:type="dxa"/>
          </w:tcPr>
          <w:p w14:paraId="08244061" w14:textId="77777777" w:rsidR="00E60842" w:rsidRDefault="00E60842" w:rsidP="007E5022">
            <w:pPr>
              <w:pStyle w:val="BodyText"/>
            </w:pPr>
            <w:r>
              <w:t xml:space="preserve">Our project delivery team collaborated or learnt from other CSOs because of the Fund’s learning and knowledge activities </w:t>
            </w:r>
          </w:p>
        </w:tc>
        <w:tc>
          <w:tcPr>
            <w:tcW w:w="985" w:type="dxa"/>
          </w:tcPr>
          <w:p w14:paraId="71C6804F" w14:textId="77777777" w:rsidR="00E60842" w:rsidRDefault="00E60842" w:rsidP="007E5022">
            <w:pPr>
              <w:pStyle w:val="BodyText"/>
            </w:pPr>
          </w:p>
        </w:tc>
        <w:tc>
          <w:tcPr>
            <w:tcW w:w="1000" w:type="dxa"/>
          </w:tcPr>
          <w:p w14:paraId="673543F1" w14:textId="77777777" w:rsidR="00E60842" w:rsidRDefault="00E60842" w:rsidP="007E5022">
            <w:pPr>
              <w:pStyle w:val="BodyText"/>
            </w:pPr>
          </w:p>
        </w:tc>
        <w:tc>
          <w:tcPr>
            <w:tcW w:w="1701" w:type="dxa"/>
          </w:tcPr>
          <w:p w14:paraId="017C6E77" w14:textId="77777777" w:rsidR="00E60842" w:rsidRDefault="00E60842" w:rsidP="007E5022">
            <w:pPr>
              <w:pStyle w:val="BodyText"/>
            </w:pPr>
          </w:p>
        </w:tc>
        <w:tc>
          <w:tcPr>
            <w:tcW w:w="911" w:type="dxa"/>
          </w:tcPr>
          <w:p w14:paraId="1DA66CA7" w14:textId="77777777" w:rsidR="00E60842" w:rsidRDefault="00E60842" w:rsidP="007E5022">
            <w:pPr>
              <w:pStyle w:val="BodyText"/>
            </w:pPr>
          </w:p>
        </w:tc>
        <w:tc>
          <w:tcPr>
            <w:tcW w:w="931" w:type="dxa"/>
          </w:tcPr>
          <w:p w14:paraId="14A2F699" w14:textId="77777777" w:rsidR="00E60842" w:rsidRDefault="00E60842" w:rsidP="007E5022">
            <w:pPr>
              <w:pStyle w:val="BodyText"/>
            </w:pPr>
          </w:p>
        </w:tc>
      </w:tr>
      <w:tr w:rsidR="00E60842" w14:paraId="6E5A7DA1" w14:textId="77777777" w:rsidTr="007E5022">
        <w:tc>
          <w:tcPr>
            <w:tcW w:w="2518" w:type="dxa"/>
          </w:tcPr>
          <w:p w14:paraId="4F7BD86B" w14:textId="77777777" w:rsidR="00E60842" w:rsidRDefault="00E60842" w:rsidP="007E5022">
            <w:pPr>
              <w:pStyle w:val="BodyText"/>
            </w:pPr>
            <w:r>
              <w:t xml:space="preserve">The Fund’s approach to learning and knowledge has helped our project delivery team link to and draw on useful research </w:t>
            </w:r>
          </w:p>
        </w:tc>
        <w:tc>
          <w:tcPr>
            <w:tcW w:w="985" w:type="dxa"/>
          </w:tcPr>
          <w:p w14:paraId="5D2A51CB" w14:textId="77777777" w:rsidR="00E60842" w:rsidRDefault="00E60842" w:rsidP="007E5022">
            <w:pPr>
              <w:pStyle w:val="BodyText"/>
            </w:pPr>
          </w:p>
        </w:tc>
        <w:tc>
          <w:tcPr>
            <w:tcW w:w="1000" w:type="dxa"/>
          </w:tcPr>
          <w:p w14:paraId="3B90B92E" w14:textId="77777777" w:rsidR="00E60842" w:rsidRDefault="00E60842" w:rsidP="007E5022">
            <w:pPr>
              <w:pStyle w:val="BodyText"/>
            </w:pPr>
          </w:p>
        </w:tc>
        <w:tc>
          <w:tcPr>
            <w:tcW w:w="1701" w:type="dxa"/>
          </w:tcPr>
          <w:p w14:paraId="3A1CEAC9" w14:textId="77777777" w:rsidR="00E60842" w:rsidRDefault="00E60842" w:rsidP="007E5022">
            <w:pPr>
              <w:pStyle w:val="BodyText"/>
            </w:pPr>
          </w:p>
        </w:tc>
        <w:tc>
          <w:tcPr>
            <w:tcW w:w="911" w:type="dxa"/>
          </w:tcPr>
          <w:p w14:paraId="0267E908" w14:textId="77777777" w:rsidR="00E60842" w:rsidRDefault="00E60842" w:rsidP="007E5022">
            <w:pPr>
              <w:pStyle w:val="BodyText"/>
            </w:pPr>
          </w:p>
        </w:tc>
        <w:tc>
          <w:tcPr>
            <w:tcW w:w="931" w:type="dxa"/>
          </w:tcPr>
          <w:p w14:paraId="67637A5F" w14:textId="77777777" w:rsidR="00E60842" w:rsidRDefault="00E60842" w:rsidP="007E5022">
            <w:pPr>
              <w:pStyle w:val="BodyText"/>
            </w:pPr>
          </w:p>
        </w:tc>
      </w:tr>
      <w:tr w:rsidR="00E60842" w14:paraId="0C40CB18" w14:textId="77777777" w:rsidTr="007E5022">
        <w:tc>
          <w:tcPr>
            <w:tcW w:w="2518" w:type="dxa"/>
          </w:tcPr>
          <w:p w14:paraId="209288A5" w14:textId="77777777" w:rsidR="00E60842" w:rsidRDefault="00E60842" w:rsidP="007E5022">
            <w:pPr>
              <w:pStyle w:val="BodyText"/>
            </w:pPr>
            <w:r>
              <w:t>The ideas, themes and topics emphasised through Fund-wide knowledge and learning activities have been relevant and current for our project delivery team</w:t>
            </w:r>
          </w:p>
        </w:tc>
        <w:tc>
          <w:tcPr>
            <w:tcW w:w="985" w:type="dxa"/>
          </w:tcPr>
          <w:p w14:paraId="3090DEDC" w14:textId="77777777" w:rsidR="00E60842" w:rsidRDefault="00E60842" w:rsidP="007E5022">
            <w:pPr>
              <w:pStyle w:val="BodyText"/>
            </w:pPr>
          </w:p>
        </w:tc>
        <w:tc>
          <w:tcPr>
            <w:tcW w:w="1000" w:type="dxa"/>
          </w:tcPr>
          <w:p w14:paraId="40C26B40" w14:textId="77777777" w:rsidR="00E60842" w:rsidRDefault="00E60842" w:rsidP="007E5022">
            <w:pPr>
              <w:pStyle w:val="BodyText"/>
            </w:pPr>
          </w:p>
        </w:tc>
        <w:tc>
          <w:tcPr>
            <w:tcW w:w="1701" w:type="dxa"/>
          </w:tcPr>
          <w:p w14:paraId="7D993B1B" w14:textId="77777777" w:rsidR="00E60842" w:rsidRDefault="00E60842" w:rsidP="007E5022">
            <w:pPr>
              <w:pStyle w:val="BodyText"/>
            </w:pPr>
          </w:p>
        </w:tc>
        <w:tc>
          <w:tcPr>
            <w:tcW w:w="911" w:type="dxa"/>
          </w:tcPr>
          <w:p w14:paraId="7A7D783C" w14:textId="77777777" w:rsidR="00E60842" w:rsidRDefault="00E60842" w:rsidP="007E5022">
            <w:pPr>
              <w:pStyle w:val="BodyText"/>
            </w:pPr>
          </w:p>
        </w:tc>
        <w:tc>
          <w:tcPr>
            <w:tcW w:w="931" w:type="dxa"/>
          </w:tcPr>
          <w:p w14:paraId="3A7A98B3" w14:textId="77777777" w:rsidR="00E60842" w:rsidRDefault="00E60842" w:rsidP="007E5022">
            <w:pPr>
              <w:pStyle w:val="BodyText"/>
            </w:pPr>
          </w:p>
        </w:tc>
      </w:tr>
      <w:tr w:rsidR="00E60842" w14:paraId="01D31813" w14:textId="77777777" w:rsidTr="007E5022">
        <w:tc>
          <w:tcPr>
            <w:tcW w:w="2518" w:type="dxa"/>
          </w:tcPr>
          <w:p w14:paraId="2CBC16CF" w14:textId="77777777" w:rsidR="00E60842" w:rsidRDefault="00E60842" w:rsidP="007E5022">
            <w:pPr>
              <w:pStyle w:val="BodyText"/>
            </w:pPr>
            <w:r>
              <w:t>The ideas and content on WASH provided through Fund-wide knowledge and learning activities has extended our delivery team to consider good practice and new approaches</w:t>
            </w:r>
          </w:p>
        </w:tc>
        <w:tc>
          <w:tcPr>
            <w:tcW w:w="985" w:type="dxa"/>
          </w:tcPr>
          <w:p w14:paraId="46C3DACA" w14:textId="77777777" w:rsidR="00E60842" w:rsidRDefault="00E60842" w:rsidP="007E5022">
            <w:pPr>
              <w:pStyle w:val="BodyText"/>
            </w:pPr>
          </w:p>
        </w:tc>
        <w:tc>
          <w:tcPr>
            <w:tcW w:w="1000" w:type="dxa"/>
          </w:tcPr>
          <w:p w14:paraId="62AD5E2F" w14:textId="77777777" w:rsidR="00E60842" w:rsidRDefault="00E60842" w:rsidP="007E5022">
            <w:pPr>
              <w:pStyle w:val="BodyText"/>
            </w:pPr>
          </w:p>
        </w:tc>
        <w:tc>
          <w:tcPr>
            <w:tcW w:w="1701" w:type="dxa"/>
          </w:tcPr>
          <w:p w14:paraId="30031302" w14:textId="77777777" w:rsidR="00E60842" w:rsidRDefault="00E60842" w:rsidP="007E5022">
            <w:pPr>
              <w:pStyle w:val="BodyText"/>
            </w:pPr>
          </w:p>
        </w:tc>
        <w:tc>
          <w:tcPr>
            <w:tcW w:w="911" w:type="dxa"/>
          </w:tcPr>
          <w:p w14:paraId="00FCF6B7" w14:textId="77777777" w:rsidR="00E60842" w:rsidRDefault="00E60842" w:rsidP="007E5022">
            <w:pPr>
              <w:pStyle w:val="BodyText"/>
            </w:pPr>
          </w:p>
        </w:tc>
        <w:tc>
          <w:tcPr>
            <w:tcW w:w="931" w:type="dxa"/>
          </w:tcPr>
          <w:p w14:paraId="03918CCC" w14:textId="77777777" w:rsidR="00E60842" w:rsidRDefault="00E60842" w:rsidP="007E5022">
            <w:pPr>
              <w:pStyle w:val="BodyText"/>
            </w:pPr>
          </w:p>
        </w:tc>
      </w:tr>
      <w:tr w:rsidR="00E60842" w14:paraId="51D5F704" w14:textId="77777777" w:rsidTr="007E5022">
        <w:tc>
          <w:tcPr>
            <w:tcW w:w="2518" w:type="dxa"/>
          </w:tcPr>
          <w:p w14:paraId="1A4F4516" w14:textId="77777777" w:rsidR="00E60842" w:rsidRDefault="00E60842" w:rsidP="007E5022">
            <w:pPr>
              <w:pStyle w:val="BodyText"/>
            </w:pPr>
            <w:r>
              <w:t>The ideas and content on knowledge and learning management provided through Fund-wide knowledge and learning activities has extended our delivery team to consider good practice and new approaches</w:t>
            </w:r>
          </w:p>
        </w:tc>
        <w:tc>
          <w:tcPr>
            <w:tcW w:w="985" w:type="dxa"/>
          </w:tcPr>
          <w:p w14:paraId="6E1A2FB1" w14:textId="77777777" w:rsidR="00E60842" w:rsidRDefault="00E60842" w:rsidP="007E5022">
            <w:pPr>
              <w:pStyle w:val="BodyText"/>
            </w:pPr>
          </w:p>
        </w:tc>
        <w:tc>
          <w:tcPr>
            <w:tcW w:w="1000" w:type="dxa"/>
          </w:tcPr>
          <w:p w14:paraId="7DA4785D" w14:textId="77777777" w:rsidR="00E60842" w:rsidRDefault="00E60842" w:rsidP="007E5022">
            <w:pPr>
              <w:pStyle w:val="BodyText"/>
            </w:pPr>
          </w:p>
        </w:tc>
        <w:tc>
          <w:tcPr>
            <w:tcW w:w="1701" w:type="dxa"/>
          </w:tcPr>
          <w:p w14:paraId="29AA7CC0" w14:textId="77777777" w:rsidR="00E60842" w:rsidRDefault="00E60842" w:rsidP="007E5022">
            <w:pPr>
              <w:pStyle w:val="BodyText"/>
            </w:pPr>
          </w:p>
        </w:tc>
        <w:tc>
          <w:tcPr>
            <w:tcW w:w="911" w:type="dxa"/>
          </w:tcPr>
          <w:p w14:paraId="0C809A0F" w14:textId="77777777" w:rsidR="00E60842" w:rsidRDefault="00E60842" w:rsidP="007E5022">
            <w:pPr>
              <w:pStyle w:val="BodyText"/>
            </w:pPr>
          </w:p>
        </w:tc>
        <w:tc>
          <w:tcPr>
            <w:tcW w:w="931" w:type="dxa"/>
          </w:tcPr>
          <w:p w14:paraId="3CA2EFCA" w14:textId="77777777" w:rsidR="00E60842" w:rsidRDefault="00E60842" w:rsidP="007E5022">
            <w:pPr>
              <w:pStyle w:val="BodyText"/>
            </w:pPr>
          </w:p>
        </w:tc>
      </w:tr>
      <w:tr w:rsidR="00E60842" w14:paraId="17A7DE3D" w14:textId="77777777" w:rsidTr="007E5022">
        <w:tc>
          <w:tcPr>
            <w:tcW w:w="2518" w:type="dxa"/>
          </w:tcPr>
          <w:p w14:paraId="18723E1B" w14:textId="77777777" w:rsidR="00E60842" w:rsidRDefault="00E60842" w:rsidP="007E5022">
            <w:pPr>
              <w:pStyle w:val="BodyText"/>
            </w:pPr>
            <w:r>
              <w:t>Our project delivery team has had the opportunity to help shape Fund-wide knowledge and learning activities, particularly global and regional learning events</w:t>
            </w:r>
          </w:p>
        </w:tc>
        <w:tc>
          <w:tcPr>
            <w:tcW w:w="985" w:type="dxa"/>
          </w:tcPr>
          <w:p w14:paraId="71C549A1" w14:textId="77777777" w:rsidR="00E60842" w:rsidRDefault="00E60842" w:rsidP="007E5022">
            <w:pPr>
              <w:pStyle w:val="BodyText"/>
            </w:pPr>
          </w:p>
        </w:tc>
        <w:tc>
          <w:tcPr>
            <w:tcW w:w="1000" w:type="dxa"/>
          </w:tcPr>
          <w:p w14:paraId="38A68BB1" w14:textId="77777777" w:rsidR="00E60842" w:rsidRDefault="00E60842" w:rsidP="007E5022">
            <w:pPr>
              <w:pStyle w:val="BodyText"/>
            </w:pPr>
          </w:p>
        </w:tc>
        <w:tc>
          <w:tcPr>
            <w:tcW w:w="1701" w:type="dxa"/>
          </w:tcPr>
          <w:p w14:paraId="6849D5D9" w14:textId="77777777" w:rsidR="00E60842" w:rsidRDefault="00E60842" w:rsidP="007E5022">
            <w:pPr>
              <w:pStyle w:val="BodyText"/>
            </w:pPr>
          </w:p>
        </w:tc>
        <w:tc>
          <w:tcPr>
            <w:tcW w:w="911" w:type="dxa"/>
          </w:tcPr>
          <w:p w14:paraId="739DC9C9" w14:textId="77777777" w:rsidR="00E60842" w:rsidRDefault="00E60842" w:rsidP="007E5022">
            <w:pPr>
              <w:pStyle w:val="BodyText"/>
            </w:pPr>
          </w:p>
        </w:tc>
        <w:tc>
          <w:tcPr>
            <w:tcW w:w="931" w:type="dxa"/>
          </w:tcPr>
          <w:p w14:paraId="075309B3" w14:textId="77777777" w:rsidR="00E60842" w:rsidRDefault="00E60842" w:rsidP="007E5022">
            <w:pPr>
              <w:pStyle w:val="BodyText"/>
            </w:pPr>
          </w:p>
        </w:tc>
      </w:tr>
      <w:tr w:rsidR="00E60842" w14:paraId="0BD80204" w14:textId="77777777" w:rsidTr="007E5022">
        <w:tc>
          <w:tcPr>
            <w:tcW w:w="2518" w:type="dxa"/>
          </w:tcPr>
          <w:p w14:paraId="1E058535" w14:textId="77777777" w:rsidR="00E60842" w:rsidRDefault="00E60842" w:rsidP="007E5022">
            <w:pPr>
              <w:pStyle w:val="BodyText"/>
            </w:pPr>
            <w:r>
              <w:t>The Fund’s knowledge and learning component has helped our organisation in activities beyond the Fund.</w:t>
            </w:r>
          </w:p>
          <w:p w14:paraId="54D3FAD3" w14:textId="77777777" w:rsidR="00E60842" w:rsidRDefault="00E60842" w:rsidP="007E5022">
            <w:pPr>
              <w:pStyle w:val="BodyText"/>
            </w:pPr>
          </w:p>
        </w:tc>
        <w:tc>
          <w:tcPr>
            <w:tcW w:w="985" w:type="dxa"/>
          </w:tcPr>
          <w:p w14:paraId="634A4FCF" w14:textId="77777777" w:rsidR="00E60842" w:rsidRDefault="00E60842" w:rsidP="007E5022">
            <w:pPr>
              <w:pStyle w:val="BodyText"/>
            </w:pPr>
          </w:p>
        </w:tc>
        <w:tc>
          <w:tcPr>
            <w:tcW w:w="1000" w:type="dxa"/>
          </w:tcPr>
          <w:p w14:paraId="34E4AC44" w14:textId="77777777" w:rsidR="00E60842" w:rsidRDefault="00E60842" w:rsidP="007E5022">
            <w:pPr>
              <w:pStyle w:val="BodyText"/>
            </w:pPr>
          </w:p>
        </w:tc>
        <w:tc>
          <w:tcPr>
            <w:tcW w:w="1701" w:type="dxa"/>
          </w:tcPr>
          <w:p w14:paraId="43B16E0A" w14:textId="77777777" w:rsidR="00E60842" w:rsidRDefault="00E60842" w:rsidP="007E5022">
            <w:pPr>
              <w:pStyle w:val="BodyText"/>
            </w:pPr>
          </w:p>
        </w:tc>
        <w:tc>
          <w:tcPr>
            <w:tcW w:w="911" w:type="dxa"/>
          </w:tcPr>
          <w:p w14:paraId="08D75E76" w14:textId="77777777" w:rsidR="00E60842" w:rsidRDefault="00E60842" w:rsidP="007E5022">
            <w:pPr>
              <w:pStyle w:val="BodyText"/>
            </w:pPr>
          </w:p>
        </w:tc>
        <w:tc>
          <w:tcPr>
            <w:tcW w:w="931" w:type="dxa"/>
          </w:tcPr>
          <w:p w14:paraId="494F8CC3" w14:textId="77777777" w:rsidR="00E60842" w:rsidRDefault="00E60842" w:rsidP="007E5022">
            <w:pPr>
              <w:pStyle w:val="BodyText"/>
            </w:pPr>
          </w:p>
        </w:tc>
      </w:tr>
    </w:tbl>
    <w:p w14:paraId="78D1F983" w14:textId="77777777" w:rsidR="00E60842" w:rsidRDefault="00E60842" w:rsidP="00E60842">
      <w:pPr>
        <w:pStyle w:val="ListBullet"/>
        <w:numPr>
          <w:ilvl w:val="0"/>
          <w:numId w:val="0"/>
        </w:numPr>
        <w:rPr>
          <w:rStyle w:val="BodyTextChar"/>
        </w:rPr>
      </w:pPr>
    </w:p>
    <w:p w14:paraId="2A5E2149" w14:textId="77777777" w:rsidR="00E60842" w:rsidRDefault="00E60842" w:rsidP="00E60842">
      <w:pPr>
        <w:pStyle w:val="ListBullet"/>
        <w:numPr>
          <w:ilvl w:val="0"/>
          <w:numId w:val="0"/>
        </w:numPr>
        <w:rPr>
          <w:rStyle w:val="BodyTextChar"/>
        </w:rPr>
      </w:pPr>
    </w:p>
    <w:p w14:paraId="782FA962" w14:textId="77777777" w:rsidR="00E60842" w:rsidRDefault="00E60842" w:rsidP="00E60842">
      <w:pPr>
        <w:pStyle w:val="Heading3"/>
      </w:pPr>
      <w:r>
        <w:t>F. Engagement with DFAT Posts and Host Governments</w:t>
      </w:r>
    </w:p>
    <w:p w14:paraId="578219D3" w14:textId="77777777" w:rsidR="00E60842" w:rsidRDefault="00E60842" w:rsidP="00E60842">
      <w:pPr>
        <w:pStyle w:val="BodyText"/>
      </w:pPr>
      <w:r>
        <w:t>These questions relate to your engagement with DFAT Posts (embassies or high commissions) in the country where your project is implemented.</w:t>
      </w:r>
    </w:p>
    <w:p w14:paraId="35258BFE" w14:textId="77777777" w:rsidR="00E60842" w:rsidRDefault="00E60842" w:rsidP="00E60842">
      <w:pPr>
        <w:pStyle w:val="BodyText"/>
      </w:pPr>
      <w:r>
        <w:t>22. How frequently do you engage with DFAT Post staff in the country where your project is implemented? Chose the answer which is most correct</w:t>
      </w:r>
    </w:p>
    <w:tbl>
      <w:tblPr>
        <w:tblStyle w:val="TableGrid"/>
        <w:tblW w:w="0" w:type="auto"/>
        <w:tblLook w:val="04A0" w:firstRow="1" w:lastRow="0" w:firstColumn="1" w:lastColumn="0" w:noHBand="0" w:noVBand="1"/>
        <w:tblCaption w:val="Engagement between CSOs and DFAT Post staff"/>
        <w:tblDescription w:val="The table asks how often CSOs engage with DFAT post staff: never, rarely, occasionally, frequently or very frequently."/>
      </w:tblPr>
      <w:tblGrid>
        <w:gridCol w:w="1134"/>
        <w:gridCol w:w="992"/>
        <w:gridCol w:w="1319"/>
        <w:gridCol w:w="1283"/>
        <w:gridCol w:w="1107"/>
      </w:tblGrid>
      <w:tr w:rsidR="00E60842" w14:paraId="5DFD5F9D" w14:textId="77777777" w:rsidTr="007E5022">
        <w:tc>
          <w:tcPr>
            <w:tcW w:w="1134" w:type="dxa"/>
          </w:tcPr>
          <w:p w14:paraId="7C786F07" w14:textId="77777777" w:rsidR="00E60842" w:rsidRDefault="00E60842" w:rsidP="007E5022">
            <w:pPr>
              <w:pStyle w:val="BodyText"/>
            </w:pPr>
            <w:r>
              <w:t>Never</w:t>
            </w:r>
          </w:p>
        </w:tc>
        <w:tc>
          <w:tcPr>
            <w:tcW w:w="992" w:type="dxa"/>
          </w:tcPr>
          <w:p w14:paraId="334864FE" w14:textId="77777777" w:rsidR="00E60842" w:rsidRDefault="00E60842" w:rsidP="007E5022">
            <w:pPr>
              <w:pStyle w:val="BodyText"/>
            </w:pPr>
            <w:r>
              <w:t>Rarely (1-2 times per year)</w:t>
            </w:r>
          </w:p>
        </w:tc>
        <w:tc>
          <w:tcPr>
            <w:tcW w:w="1269" w:type="dxa"/>
          </w:tcPr>
          <w:p w14:paraId="7B572B14" w14:textId="77777777" w:rsidR="00E60842" w:rsidRDefault="00E60842" w:rsidP="007E5022">
            <w:pPr>
              <w:pStyle w:val="BodyText"/>
            </w:pPr>
            <w:r>
              <w:t xml:space="preserve">Occasionally </w:t>
            </w:r>
          </w:p>
          <w:p w14:paraId="5A1C910E" w14:textId="77777777" w:rsidR="00E60842" w:rsidRDefault="00E60842" w:rsidP="007E5022">
            <w:pPr>
              <w:pStyle w:val="BodyText"/>
            </w:pPr>
            <w:r>
              <w:t>(5-6 times per year)</w:t>
            </w:r>
          </w:p>
        </w:tc>
        <w:tc>
          <w:tcPr>
            <w:tcW w:w="1283" w:type="dxa"/>
          </w:tcPr>
          <w:p w14:paraId="14F5AA6B" w14:textId="77777777" w:rsidR="00E60842" w:rsidRDefault="00E60842" w:rsidP="007E5022">
            <w:pPr>
              <w:pStyle w:val="BodyText"/>
            </w:pPr>
            <w:r>
              <w:t>Frequently (monthly)</w:t>
            </w:r>
          </w:p>
        </w:tc>
        <w:tc>
          <w:tcPr>
            <w:tcW w:w="1104" w:type="dxa"/>
          </w:tcPr>
          <w:p w14:paraId="2F9786AA" w14:textId="77777777" w:rsidR="00E60842" w:rsidRDefault="00E60842" w:rsidP="007E5022">
            <w:pPr>
              <w:pStyle w:val="BodyText"/>
            </w:pPr>
            <w:r>
              <w:t>Very frequently</w:t>
            </w:r>
          </w:p>
          <w:p w14:paraId="6315FFA6" w14:textId="77777777" w:rsidR="00E60842" w:rsidRDefault="00E60842" w:rsidP="007E5022">
            <w:pPr>
              <w:pStyle w:val="BodyText"/>
            </w:pPr>
            <w:r>
              <w:t>(weekly)</w:t>
            </w:r>
          </w:p>
        </w:tc>
      </w:tr>
    </w:tbl>
    <w:p w14:paraId="5C4A01D8" w14:textId="77777777" w:rsidR="00E60842" w:rsidRDefault="00E60842" w:rsidP="00E60842">
      <w:pPr>
        <w:pStyle w:val="BodyText"/>
      </w:pPr>
    </w:p>
    <w:p w14:paraId="1E35A652" w14:textId="77777777" w:rsidR="00E60842" w:rsidRDefault="00E60842" w:rsidP="00E60842">
      <w:pPr>
        <w:pStyle w:val="BodyText"/>
      </w:pPr>
      <w:r>
        <w:t xml:space="preserve">23. Is this level of </w:t>
      </w:r>
      <w:proofErr w:type="gramStart"/>
      <w:r>
        <w:t>engagement:</w:t>
      </w:r>
      <w:proofErr w:type="gramEnd"/>
    </w:p>
    <w:tbl>
      <w:tblPr>
        <w:tblStyle w:val="TableGrid"/>
        <w:tblW w:w="0" w:type="auto"/>
        <w:tblLook w:val="04A0" w:firstRow="1" w:lastRow="0" w:firstColumn="1" w:lastColumn="0" w:noHBand="0" w:noVBand="1"/>
        <w:tblCaption w:val="Adequacy of engagement"/>
        <w:tblDescription w:val="The table asks whether this level of engagement is not enough, about right or too much."/>
      </w:tblPr>
      <w:tblGrid>
        <w:gridCol w:w="1134"/>
        <w:gridCol w:w="992"/>
        <w:gridCol w:w="1269"/>
      </w:tblGrid>
      <w:tr w:rsidR="00E60842" w14:paraId="7324F5F4" w14:textId="77777777" w:rsidTr="007E5022">
        <w:tc>
          <w:tcPr>
            <w:tcW w:w="1134" w:type="dxa"/>
          </w:tcPr>
          <w:p w14:paraId="0B3A4C05" w14:textId="77777777" w:rsidR="00E60842" w:rsidRDefault="00E60842" w:rsidP="007E5022">
            <w:pPr>
              <w:pStyle w:val="BodyText"/>
            </w:pPr>
            <w:r>
              <w:t>Not enough?</w:t>
            </w:r>
          </w:p>
        </w:tc>
        <w:tc>
          <w:tcPr>
            <w:tcW w:w="992" w:type="dxa"/>
          </w:tcPr>
          <w:p w14:paraId="56830015" w14:textId="77777777" w:rsidR="00E60842" w:rsidRDefault="00E60842" w:rsidP="007E5022">
            <w:pPr>
              <w:pStyle w:val="BodyText"/>
            </w:pPr>
            <w:r>
              <w:t>About right?</w:t>
            </w:r>
          </w:p>
        </w:tc>
        <w:tc>
          <w:tcPr>
            <w:tcW w:w="1269" w:type="dxa"/>
          </w:tcPr>
          <w:p w14:paraId="7AA6FC2B" w14:textId="77777777" w:rsidR="00E60842" w:rsidRDefault="00E60842" w:rsidP="007E5022">
            <w:pPr>
              <w:pStyle w:val="BodyText"/>
            </w:pPr>
            <w:r>
              <w:t>Too much?</w:t>
            </w:r>
          </w:p>
        </w:tc>
      </w:tr>
    </w:tbl>
    <w:p w14:paraId="6BFC870D" w14:textId="77777777" w:rsidR="00E60842" w:rsidRDefault="00E60842" w:rsidP="00E60842">
      <w:pPr>
        <w:pStyle w:val="BodyText"/>
      </w:pPr>
    </w:p>
    <w:p w14:paraId="51D5EFD6" w14:textId="77777777" w:rsidR="00E60842" w:rsidRPr="000608F8" w:rsidRDefault="00E60842" w:rsidP="00E60842">
      <w:pPr>
        <w:pStyle w:val="BodyText"/>
      </w:pPr>
      <w:r w:rsidRPr="000608F8">
        <w:t>24. In your project, do the “change agents” you work with include government officials at either national or sub-national levels?</w:t>
      </w:r>
    </w:p>
    <w:p w14:paraId="175ED729" w14:textId="77777777" w:rsidR="00E60842" w:rsidRPr="000608F8" w:rsidRDefault="00E60842" w:rsidP="00E60842">
      <w:pPr>
        <w:pStyle w:val="BodyText"/>
        <w:numPr>
          <w:ilvl w:val="0"/>
          <w:numId w:val="47"/>
        </w:numPr>
      </w:pPr>
      <w:r w:rsidRPr="000608F8">
        <w:t>Yes (please go to question 28)</w:t>
      </w:r>
    </w:p>
    <w:p w14:paraId="2C710162" w14:textId="77777777" w:rsidR="00E60842" w:rsidRPr="000608F8" w:rsidRDefault="00E60842" w:rsidP="00E60842">
      <w:pPr>
        <w:pStyle w:val="BodyText"/>
        <w:numPr>
          <w:ilvl w:val="0"/>
          <w:numId w:val="47"/>
        </w:numPr>
      </w:pPr>
      <w:r w:rsidRPr="000608F8">
        <w:t>No</w:t>
      </w:r>
    </w:p>
    <w:p w14:paraId="064EDD01" w14:textId="77777777" w:rsidR="00E60842" w:rsidRDefault="00E60842" w:rsidP="00E60842">
      <w:pPr>
        <w:pStyle w:val="BodyText"/>
      </w:pPr>
      <w:r w:rsidRPr="000608F8">
        <w:t>26.</w:t>
      </w:r>
      <w:r>
        <w:t xml:space="preserve"> If no, how frequently do you engage with the host government (at either national or sub-national level) in the country where your project is implemented?  </w:t>
      </w:r>
    </w:p>
    <w:tbl>
      <w:tblPr>
        <w:tblStyle w:val="TableGrid"/>
        <w:tblW w:w="0" w:type="auto"/>
        <w:tblLook w:val="04A0" w:firstRow="1" w:lastRow="0" w:firstColumn="1" w:lastColumn="0" w:noHBand="0" w:noVBand="1"/>
        <w:tblCaption w:val="Engagement between CSOs and host government"/>
        <w:tblDescription w:val="The table asks how frequently CSOs engagement with host governments: never, rarely, occasionally, frequently, or very frequently."/>
      </w:tblPr>
      <w:tblGrid>
        <w:gridCol w:w="1134"/>
        <w:gridCol w:w="992"/>
        <w:gridCol w:w="1319"/>
        <w:gridCol w:w="1283"/>
        <w:gridCol w:w="1107"/>
      </w:tblGrid>
      <w:tr w:rsidR="00E60842" w14:paraId="46A8EEF7" w14:textId="77777777" w:rsidTr="007E5022">
        <w:tc>
          <w:tcPr>
            <w:tcW w:w="1134" w:type="dxa"/>
          </w:tcPr>
          <w:p w14:paraId="1A811F05" w14:textId="77777777" w:rsidR="00E60842" w:rsidRDefault="00E60842" w:rsidP="007E5022">
            <w:pPr>
              <w:pStyle w:val="BodyText"/>
            </w:pPr>
            <w:r>
              <w:t>Never</w:t>
            </w:r>
          </w:p>
        </w:tc>
        <w:tc>
          <w:tcPr>
            <w:tcW w:w="992" w:type="dxa"/>
          </w:tcPr>
          <w:p w14:paraId="668FCA5F" w14:textId="77777777" w:rsidR="00E60842" w:rsidRDefault="00E60842" w:rsidP="007E5022">
            <w:pPr>
              <w:pStyle w:val="BodyText"/>
            </w:pPr>
            <w:r>
              <w:t>Rarely (1-2 times per year)</w:t>
            </w:r>
          </w:p>
        </w:tc>
        <w:tc>
          <w:tcPr>
            <w:tcW w:w="1269" w:type="dxa"/>
          </w:tcPr>
          <w:p w14:paraId="35538A42" w14:textId="77777777" w:rsidR="00E60842" w:rsidRDefault="00E60842" w:rsidP="007E5022">
            <w:pPr>
              <w:pStyle w:val="BodyText"/>
            </w:pPr>
            <w:r>
              <w:t xml:space="preserve">Occasionally </w:t>
            </w:r>
          </w:p>
          <w:p w14:paraId="60EBE775" w14:textId="77777777" w:rsidR="00E60842" w:rsidRDefault="00E60842" w:rsidP="007E5022">
            <w:pPr>
              <w:pStyle w:val="BodyText"/>
            </w:pPr>
            <w:r>
              <w:t>(5-6 times per year)</w:t>
            </w:r>
          </w:p>
        </w:tc>
        <w:tc>
          <w:tcPr>
            <w:tcW w:w="1283" w:type="dxa"/>
          </w:tcPr>
          <w:p w14:paraId="551B5968" w14:textId="77777777" w:rsidR="00E60842" w:rsidRDefault="00E60842" w:rsidP="007E5022">
            <w:pPr>
              <w:pStyle w:val="BodyText"/>
            </w:pPr>
            <w:r>
              <w:t>Frequently (monthly)</w:t>
            </w:r>
          </w:p>
        </w:tc>
        <w:tc>
          <w:tcPr>
            <w:tcW w:w="1104" w:type="dxa"/>
          </w:tcPr>
          <w:p w14:paraId="1541C5D2" w14:textId="77777777" w:rsidR="00E60842" w:rsidRDefault="00E60842" w:rsidP="007E5022">
            <w:pPr>
              <w:pStyle w:val="BodyText"/>
            </w:pPr>
            <w:r>
              <w:t>Very frequently</w:t>
            </w:r>
          </w:p>
          <w:p w14:paraId="174ED75E" w14:textId="77777777" w:rsidR="00E60842" w:rsidRDefault="00E60842" w:rsidP="007E5022">
            <w:pPr>
              <w:pStyle w:val="BodyText"/>
            </w:pPr>
            <w:r>
              <w:t>(weekly)</w:t>
            </w:r>
          </w:p>
        </w:tc>
      </w:tr>
    </w:tbl>
    <w:p w14:paraId="59E44DF3" w14:textId="77777777" w:rsidR="00E60842" w:rsidRDefault="00E60842" w:rsidP="00E60842">
      <w:pPr>
        <w:pStyle w:val="BodyText"/>
      </w:pPr>
    </w:p>
    <w:p w14:paraId="268F436A" w14:textId="77777777" w:rsidR="00E60842" w:rsidRDefault="00E60842" w:rsidP="00E60842">
      <w:pPr>
        <w:pStyle w:val="BodyText"/>
      </w:pPr>
      <w:r>
        <w:t xml:space="preserve">27. Is this level of </w:t>
      </w:r>
      <w:proofErr w:type="gramStart"/>
      <w:r>
        <w:t>engagement:</w:t>
      </w:r>
      <w:proofErr w:type="gramEnd"/>
      <w:r>
        <w:t xml:space="preserve"> </w:t>
      </w:r>
    </w:p>
    <w:tbl>
      <w:tblPr>
        <w:tblStyle w:val="TableGrid"/>
        <w:tblW w:w="0" w:type="auto"/>
        <w:tblLook w:val="04A0" w:firstRow="1" w:lastRow="0" w:firstColumn="1" w:lastColumn="0" w:noHBand="0" w:noVBand="1"/>
        <w:tblCaption w:val="Adequacy of engagement"/>
        <w:tblDescription w:val="The table asks whether this level of engagement is not enough, about right or too much. "/>
      </w:tblPr>
      <w:tblGrid>
        <w:gridCol w:w="1134"/>
        <w:gridCol w:w="992"/>
        <w:gridCol w:w="1269"/>
      </w:tblGrid>
      <w:tr w:rsidR="00E60842" w14:paraId="6C62F12F" w14:textId="77777777" w:rsidTr="007E5022">
        <w:tc>
          <w:tcPr>
            <w:tcW w:w="1134" w:type="dxa"/>
          </w:tcPr>
          <w:p w14:paraId="6119EEB5" w14:textId="77777777" w:rsidR="00E60842" w:rsidRDefault="00E60842" w:rsidP="007E5022">
            <w:pPr>
              <w:pStyle w:val="BodyText"/>
            </w:pPr>
            <w:r>
              <w:t>Not enough?</w:t>
            </w:r>
          </w:p>
        </w:tc>
        <w:tc>
          <w:tcPr>
            <w:tcW w:w="992" w:type="dxa"/>
          </w:tcPr>
          <w:p w14:paraId="3AE76E3F" w14:textId="77777777" w:rsidR="00E60842" w:rsidRDefault="00E60842" w:rsidP="007E5022">
            <w:pPr>
              <w:pStyle w:val="BodyText"/>
            </w:pPr>
            <w:r>
              <w:t>About right?</w:t>
            </w:r>
          </w:p>
        </w:tc>
        <w:tc>
          <w:tcPr>
            <w:tcW w:w="1269" w:type="dxa"/>
          </w:tcPr>
          <w:p w14:paraId="5B7D2E38" w14:textId="77777777" w:rsidR="00E60842" w:rsidRDefault="00E60842" w:rsidP="007E5022">
            <w:pPr>
              <w:pStyle w:val="BodyText"/>
            </w:pPr>
            <w:r>
              <w:t>Too much?</w:t>
            </w:r>
          </w:p>
        </w:tc>
      </w:tr>
    </w:tbl>
    <w:p w14:paraId="2ACB85EC" w14:textId="77777777" w:rsidR="00E60842" w:rsidRDefault="00E60842" w:rsidP="00E60842">
      <w:pPr>
        <w:pStyle w:val="BodyText"/>
      </w:pPr>
    </w:p>
    <w:p w14:paraId="5CDD6D4C" w14:textId="77777777" w:rsidR="00E60842" w:rsidRDefault="00E60842" w:rsidP="00E60842">
      <w:pPr>
        <w:pStyle w:val="BodyText"/>
      </w:pPr>
      <w:r>
        <w:t>28. Is M&amp;E data from your project (eg number of activities implemented; number of beneficiaries reached) shared with the host government at either national or sub-national level in the country where your project is implemented? Yes/No/Unsure</w:t>
      </w:r>
    </w:p>
    <w:p w14:paraId="35B6F026" w14:textId="77777777" w:rsidR="00E60842" w:rsidRDefault="00E60842" w:rsidP="00E60842">
      <w:pPr>
        <w:pStyle w:val="BodyText"/>
      </w:pPr>
      <w:r>
        <w:t>29. If yes, how does this take place? [</w:t>
      </w:r>
      <w:proofErr w:type="gramStart"/>
      <w:r>
        <w:t>free</w:t>
      </w:r>
      <w:proofErr w:type="gramEnd"/>
      <w:r>
        <w:t xml:space="preserve"> text]</w:t>
      </w:r>
    </w:p>
    <w:p w14:paraId="72C3239D" w14:textId="08F8B9E8" w:rsidR="00E60842" w:rsidRDefault="00E60842" w:rsidP="00E60842">
      <w:pPr>
        <w:pStyle w:val="BodyText"/>
        <w:sectPr w:rsidR="00E60842" w:rsidSect="007E5022">
          <w:footnotePr>
            <w:numFmt w:val="chicago"/>
            <w:numRestart w:val="eachPage"/>
          </w:footnotePr>
          <w:endnotePr>
            <w:numFmt w:val="decimal"/>
          </w:endnotePr>
          <w:pgSz w:w="11907" w:h="16840" w:code="9"/>
          <w:pgMar w:top="1072" w:right="1701" w:bottom="907" w:left="1701" w:header="851" w:footer="567" w:gutter="0"/>
          <w:cols w:space="720"/>
          <w:docGrid w:linePitch="326"/>
        </w:sectPr>
      </w:pPr>
      <w:r>
        <w:t>30. If no, why is this data not shared? [</w:t>
      </w:r>
      <w:proofErr w:type="gramStart"/>
      <w:r>
        <w:t>free</w:t>
      </w:r>
      <w:proofErr w:type="gramEnd"/>
      <w:r>
        <w:t xml:space="preserve"> text</w:t>
      </w:r>
    </w:p>
    <w:p w14:paraId="4627BF17" w14:textId="5C1BA463" w:rsidR="00E60842" w:rsidRPr="004D1F72" w:rsidRDefault="00E60842" w:rsidP="00E60842">
      <w:pPr>
        <w:pStyle w:val="BodyText"/>
      </w:pPr>
    </w:p>
    <w:p w14:paraId="4A51B965" w14:textId="49496F09" w:rsidR="00E60842" w:rsidRDefault="00423BE0" w:rsidP="00E60842">
      <w:pPr>
        <w:pStyle w:val="Heading2"/>
      </w:pPr>
      <w:bookmarkStart w:id="62" w:name="_Toc457471951"/>
      <w:bookmarkStart w:id="63" w:name="_Toc464825732"/>
      <w:bookmarkStart w:id="64" w:name="_Toc468450020"/>
      <w:r>
        <w:t>Appendix C: I</w:t>
      </w:r>
      <w:r w:rsidR="00E60842">
        <w:t>nterview guides</w:t>
      </w:r>
      <w:bookmarkEnd w:id="62"/>
      <w:bookmarkEnd w:id="63"/>
      <w:bookmarkEnd w:id="64"/>
    </w:p>
    <w:p w14:paraId="3C42373A" w14:textId="607202F8" w:rsidR="00E60842" w:rsidRPr="00454E82" w:rsidRDefault="00423BE0" w:rsidP="00E60842">
      <w:pPr>
        <w:pStyle w:val="BodyText"/>
      </w:pPr>
      <w:r>
        <w:t xml:space="preserve">The </w:t>
      </w:r>
      <w:r w:rsidR="00E60842" w:rsidRPr="00454E82">
        <w:t xml:space="preserve">interview guides below are designed for use as semi-structured guidance tools for interviews with respondents.  These draft guides will be tailored further for interviews with specific respondents to understand and synthesise perceptions about roles, interactions and Fund processes.  Not all questions will be asked, or will be asked verbatim.  </w:t>
      </w:r>
      <w:r w:rsidR="00E60842">
        <w:t>Final q</w:t>
      </w:r>
      <w:r w:rsidR="00E60842" w:rsidRPr="00454E82">
        <w:t xml:space="preserve">uestions posed to </w:t>
      </w:r>
      <w:r w:rsidR="00E60842">
        <w:t>specific</w:t>
      </w:r>
      <w:r w:rsidR="00E60842" w:rsidRPr="00454E82">
        <w:t xml:space="preserve"> respondents will </w:t>
      </w:r>
      <w:r w:rsidR="00E60842">
        <w:t xml:space="preserve">also </w:t>
      </w:r>
      <w:r w:rsidR="00E60842" w:rsidRPr="00454E82">
        <w:t xml:space="preserve">build on </w:t>
      </w:r>
      <w:r w:rsidR="00E60842">
        <w:t xml:space="preserve">analysis derived from </w:t>
      </w:r>
      <w:r w:rsidR="00E60842" w:rsidRPr="00454E82">
        <w:t xml:space="preserve">the document review and other respondent interviews.  Questions will cover the most salient topics in the timeframe allowed.  </w:t>
      </w:r>
      <w:r w:rsidR="00E60842">
        <w:t>A</w:t>
      </w:r>
      <w:r w:rsidR="00E60842" w:rsidRPr="00454E82">
        <w:t xml:space="preserve">fter the </w:t>
      </w:r>
      <w:r w:rsidR="00E60842">
        <w:t xml:space="preserve">completion of the </w:t>
      </w:r>
      <w:r w:rsidR="00E60842" w:rsidRPr="00454E82">
        <w:t>document review</w:t>
      </w:r>
      <w:r w:rsidR="00E60842">
        <w:t>, a</w:t>
      </w:r>
      <w:r w:rsidR="00E60842" w:rsidRPr="00454E82">
        <w:t xml:space="preserve"> </w:t>
      </w:r>
      <w:r w:rsidR="00E60842">
        <w:t xml:space="preserve">further </w:t>
      </w:r>
      <w:r w:rsidR="00E60842" w:rsidRPr="00454E82">
        <w:t xml:space="preserve">interview guide </w:t>
      </w:r>
      <w:r w:rsidR="00E60842">
        <w:t xml:space="preserve">will be developed to inform the interviews of </w:t>
      </w:r>
      <w:r w:rsidR="00E60842" w:rsidRPr="00454E82">
        <w:t>authors of recent evaluations of other DFAT-funded CSO programs (for example, the ANCP and A</w:t>
      </w:r>
      <w:r w:rsidR="00E60842">
        <w:t>ACES programs).</w:t>
      </w:r>
    </w:p>
    <w:p w14:paraId="534D7640" w14:textId="77777777" w:rsidR="00E60842" w:rsidRDefault="00E60842" w:rsidP="00E60842">
      <w:pPr>
        <w:pStyle w:val="Heading3"/>
      </w:pPr>
      <w:r>
        <w:t xml:space="preserve">For Respondents responsible for Fund Management: </w:t>
      </w:r>
      <w:r>
        <w:br/>
        <w:t>DFAT WSH Section, MERP, and the Fund Management Facility’s Fund Manager and KALM</w:t>
      </w:r>
    </w:p>
    <w:tbl>
      <w:tblPr>
        <w:tblStyle w:val="TableGrid"/>
        <w:tblW w:w="12994" w:type="dxa"/>
        <w:tblLook w:val="04A0" w:firstRow="1" w:lastRow="0" w:firstColumn="1" w:lastColumn="0" w:noHBand="0" w:noVBand="1"/>
        <w:tblCaption w:val="Fund management interviews"/>
        <w:tblDescription w:val="The table provides interview questions for members of the Fund management team."/>
      </w:tblPr>
      <w:tblGrid>
        <w:gridCol w:w="1147"/>
        <w:gridCol w:w="11847"/>
      </w:tblGrid>
      <w:tr w:rsidR="00E60842" w14:paraId="210C66C6" w14:textId="77777777" w:rsidTr="007E5022">
        <w:tc>
          <w:tcPr>
            <w:tcW w:w="1147" w:type="dxa"/>
            <w:tcBorders>
              <w:top w:val="single" w:sz="4" w:space="0" w:color="auto"/>
              <w:left w:val="single" w:sz="4" w:space="0" w:color="auto"/>
              <w:bottom w:val="single" w:sz="4" w:space="0" w:color="auto"/>
              <w:right w:val="single" w:sz="4" w:space="0" w:color="auto"/>
            </w:tcBorders>
            <w:hideMark/>
          </w:tcPr>
          <w:p w14:paraId="5DBE4858" w14:textId="77777777" w:rsidR="00E60842" w:rsidRPr="00454E82" w:rsidRDefault="00E60842" w:rsidP="007E5022">
            <w:pPr>
              <w:pStyle w:val="TableText"/>
              <w:rPr>
                <w:b/>
              </w:rPr>
            </w:pPr>
            <w:r w:rsidRPr="00454E82">
              <w:rPr>
                <w:b/>
              </w:rPr>
              <w:t>Code:</w:t>
            </w:r>
            <w:r w:rsidRPr="00454E82">
              <w:rPr>
                <w:b/>
              </w:rPr>
              <w:br/>
              <w:t>Key Evaluation</w:t>
            </w:r>
            <w:r w:rsidRPr="00454E82">
              <w:rPr>
                <w:b/>
              </w:rPr>
              <w:br/>
              <w:t>Question</w:t>
            </w:r>
          </w:p>
        </w:tc>
        <w:tc>
          <w:tcPr>
            <w:tcW w:w="11847" w:type="dxa"/>
            <w:tcBorders>
              <w:top w:val="single" w:sz="4" w:space="0" w:color="auto"/>
              <w:left w:val="single" w:sz="4" w:space="0" w:color="auto"/>
              <w:bottom w:val="single" w:sz="4" w:space="0" w:color="auto"/>
              <w:right w:val="single" w:sz="4" w:space="0" w:color="auto"/>
            </w:tcBorders>
            <w:hideMark/>
          </w:tcPr>
          <w:p w14:paraId="67EA42AA" w14:textId="77777777" w:rsidR="00E60842" w:rsidRPr="00454E82" w:rsidRDefault="00E60842" w:rsidP="007E5022">
            <w:pPr>
              <w:pStyle w:val="TableText"/>
              <w:rPr>
                <w:b/>
              </w:rPr>
            </w:pPr>
            <w:r w:rsidRPr="00454E82">
              <w:rPr>
                <w:b/>
              </w:rPr>
              <w:t>Question</w:t>
            </w:r>
          </w:p>
        </w:tc>
      </w:tr>
      <w:tr w:rsidR="00E60842" w14:paraId="0D4E8BCC" w14:textId="77777777" w:rsidTr="007E5022">
        <w:tc>
          <w:tcPr>
            <w:tcW w:w="1147" w:type="dxa"/>
            <w:tcBorders>
              <w:top w:val="single" w:sz="4" w:space="0" w:color="auto"/>
              <w:left w:val="single" w:sz="4" w:space="0" w:color="auto"/>
              <w:bottom w:val="single" w:sz="4" w:space="0" w:color="auto"/>
              <w:right w:val="single" w:sz="4" w:space="0" w:color="auto"/>
            </w:tcBorders>
            <w:hideMark/>
          </w:tcPr>
          <w:p w14:paraId="73CF8CCC" w14:textId="77777777" w:rsidR="00E60842" w:rsidRPr="00454E82" w:rsidRDefault="00E60842" w:rsidP="007E5022">
            <w:pPr>
              <w:pStyle w:val="TableText"/>
            </w:pPr>
            <w:r w:rsidRPr="00454E82">
              <w:t>M(i)</w:t>
            </w:r>
          </w:p>
        </w:tc>
        <w:tc>
          <w:tcPr>
            <w:tcW w:w="11847" w:type="dxa"/>
            <w:tcBorders>
              <w:top w:val="single" w:sz="4" w:space="0" w:color="auto"/>
              <w:left w:val="single" w:sz="4" w:space="0" w:color="auto"/>
              <w:bottom w:val="single" w:sz="4" w:space="0" w:color="auto"/>
              <w:right w:val="single" w:sz="4" w:space="0" w:color="auto"/>
            </w:tcBorders>
            <w:hideMark/>
          </w:tcPr>
          <w:p w14:paraId="7C596A43" w14:textId="77777777" w:rsidR="00E60842" w:rsidRPr="00454E82" w:rsidRDefault="00E60842" w:rsidP="007E5022">
            <w:pPr>
              <w:pStyle w:val="TableText"/>
            </w:pPr>
            <w:r w:rsidRPr="00454E82">
              <w:t>How would you describe your role in the Fund?</w:t>
            </w:r>
            <w:r w:rsidRPr="00454E82">
              <w:br/>
            </w:r>
          </w:p>
        </w:tc>
      </w:tr>
      <w:tr w:rsidR="00E60842" w14:paraId="1E5EDA2E" w14:textId="77777777" w:rsidTr="007E5022">
        <w:tc>
          <w:tcPr>
            <w:tcW w:w="1147" w:type="dxa"/>
            <w:tcBorders>
              <w:top w:val="single" w:sz="4" w:space="0" w:color="auto"/>
              <w:left w:val="single" w:sz="4" w:space="0" w:color="auto"/>
              <w:bottom w:val="single" w:sz="4" w:space="0" w:color="auto"/>
              <w:right w:val="single" w:sz="4" w:space="0" w:color="auto"/>
            </w:tcBorders>
            <w:hideMark/>
          </w:tcPr>
          <w:p w14:paraId="1955C38A" w14:textId="77777777" w:rsidR="00E60842" w:rsidRPr="00454E82" w:rsidRDefault="00E60842" w:rsidP="007E5022">
            <w:pPr>
              <w:pStyle w:val="TableText"/>
            </w:pPr>
            <w:r w:rsidRPr="00454E82">
              <w:t>M(i)</w:t>
            </w:r>
          </w:p>
        </w:tc>
        <w:tc>
          <w:tcPr>
            <w:tcW w:w="11847" w:type="dxa"/>
            <w:tcBorders>
              <w:top w:val="single" w:sz="4" w:space="0" w:color="auto"/>
              <w:left w:val="single" w:sz="4" w:space="0" w:color="auto"/>
              <w:bottom w:val="single" w:sz="4" w:space="0" w:color="auto"/>
              <w:right w:val="single" w:sz="4" w:space="0" w:color="auto"/>
            </w:tcBorders>
            <w:hideMark/>
          </w:tcPr>
          <w:p w14:paraId="0A3B41FA" w14:textId="77777777" w:rsidR="00E60842" w:rsidRPr="00454E82" w:rsidRDefault="00E60842" w:rsidP="007E5022">
            <w:pPr>
              <w:pStyle w:val="TableText"/>
            </w:pPr>
            <w:r w:rsidRPr="00454E82">
              <w:t>Describe your interactions with the following</w:t>
            </w:r>
            <w:proofErr w:type="gramStart"/>
            <w:r w:rsidRPr="00454E82">
              <w:t>:</w:t>
            </w:r>
            <w:proofErr w:type="gramEnd"/>
            <w:r w:rsidRPr="00454E82">
              <w:br/>
              <w:t>[Note: not all the roles listed below will apply.  Questions will be tailored to the specific respondent.]:</w:t>
            </w:r>
            <w:r w:rsidRPr="00454E82">
              <w:br/>
            </w:r>
            <w:r w:rsidRPr="00454E82">
              <w:br/>
              <w:t>- DFAT WSH Section</w:t>
            </w:r>
            <w:r w:rsidRPr="00454E82">
              <w:br/>
              <w:t>- MERP</w:t>
            </w:r>
            <w:r w:rsidRPr="00454E82">
              <w:br/>
              <w:t>- Fund Management Facility’s Fund Manager</w:t>
            </w:r>
            <w:r w:rsidRPr="00454E82">
              <w:br/>
              <w:t>- KALM</w:t>
            </w:r>
            <w:r w:rsidRPr="00454E82">
              <w:br/>
              <w:t>- CSOs (Program Managers and/ or Project Managers</w:t>
            </w:r>
            <w:proofErr w:type="gramStart"/>
            <w:r w:rsidRPr="00454E82">
              <w:t>)</w:t>
            </w:r>
            <w:proofErr w:type="gramEnd"/>
            <w:r w:rsidRPr="00454E82">
              <w:br/>
              <w:t>- DFAT Posts</w:t>
            </w:r>
            <w:r w:rsidRPr="00454E82">
              <w:br/>
              <w:t>- external stakeholders (eg. partner government and host country actors, WASH Reference Group, WASH research institutes).</w:t>
            </w:r>
          </w:p>
        </w:tc>
      </w:tr>
      <w:tr w:rsidR="00E60842" w14:paraId="43B898BB" w14:textId="77777777" w:rsidTr="007E5022">
        <w:tc>
          <w:tcPr>
            <w:tcW w:w="1147" w:type="dxa"/>
            <w:tcBorders>
              <w:top w:val="single" w:sz="4" w:space="0" w:color="auto"/>
              <w:left w:val="single" w:sz="4" w:space="0" w:color="auto"/>
              <w:bottom w:val="single" w:sz="4" w:space="0" w:color="auto"/>
              <w:right w:val="single" w:sz="4" w:space="0" w:color="auto"/>
            </w:tcBorders>
            <w:hideMark/>
          </w:tcPr>
          <w:p w14:paraId="37E4DFB1" w14:textId="77777777" w:rsidR="00E60842" w:rsidRPr="00454E82" w:rsidRDefault="00E60842" w:rsidP="007E5022">
            <w:pPr>
              <w:pStyle w:val="TableText"/>
            </w:pPr>
            <w:r w:rsidRPr="00454E82">
              <w:t>M</w:t>
            </w:r>
          </w:p>
        </w:tc>
        <w:tc>
          <w:tcPr>
            <w:tcW w:w="11847" w:type="dxa"/>
            <w:tcBorders>
              <w:top w:val="single" w:sz="4" w:space="0" w:color="auto"/>
              <w:left w:val="single" w:sz="4" w:space="0" w:color="auto"/>
              <w:bottom w:val="single" w:sz="4" w:space="0" w:color="auto"/>
              <w:right w:val="single" w:sz="4" w:space="0" w:color="auto"/>
            </w:tcBorders>
            <w:hideMark/>
          </w:tcPr>
          <w:p w14:paraId="62665FFE" w14:textId="77777777" w:rsidR="00E60842" w:rsidRPr="00454E82" w:rsidRDefault="00E60842" w:rsidP="007E5022">
            <w:pPr>
              <w:pStyle w:val="TableText"/>
            </w:pPr>
            <w:r w:rsidRPr="00454E82">
              <w:t>Describe the strengths of the Fund’s management arrangements.</w:t>
            </w:r>
          </w:p>
          <w:p w14:paraId="0C7D732F" w14:textId="77777777" w:rsidR="00E60842" w:rsidRPr="00454E82" w:rsidRDefault="00E60842" w:rsidP="007E5022">
            <w:pPr>
              <w:pStyle w:val="TableText"/>
            </w:pPr>
            <w:r w:rsidRPr="00454E82">
              <w:t>Describe the weaknesses of the Fund’s management arrangements.</w:t>
            </w:r>
          </w:p>
        </w:tc>
      </w:tr>
      <w:tr w:rsidR="00E60842" w14:paraId="4CA53343" w14:textId="77777777" w:rsidTr="007E5022">
        <w:tc>
          <w:tcPr>
            <w:tcW w:w="1147" w:type="dxa"/>
            <w:tcBorders>
              <w:top w:val="single" w:sz="4" w:space="0" w:color="auto"/>
              <w:left w:val="single" w:sz="4" w:space="0" w:color="auto"/>
              <w:bottom w:val="single" w:sz="4" w:space="0" w:color="auto"/>
              <w:right w:val="single" w:sz="4" w:space="0" w:color="auto"/>
            </w:tcBorders>
            <w:hideMark/>
          </w:tcPr>
          <w:p w14:paraId="1BC822CA" w14:textId="77777777" w:rsidR="00E60842" w:rsidRPr="00454E82" w:rsidRDefault="00E60842" w:rsidP="007E5022">
            <w:pPr>
              <w:pStyle w:val="TableText"/>
            </w:pPr>
            <w:r w:rsidRPr="00454E82">
              <w:t>M(ii)</w:t>
            </w:r>
          </w:p>
        </w:tc>
        <w:tc>
          <w:tcPr>
            <w:tcW w:w="11847" w:type="dxa"/>
            <w:tcBorders>
              <w:top w:val="single" w:sz="4" w:space="0" w:color="auto"/>
              <w:left w:val="single" w:sz="4" w:space="0" w:color="auto"/>
              <w:bottom w:val="single" w:sz="4" w:space="0" w:color="auto"/>
              <w:right w:val="single" w:sz="4" w:space="0" w:color="auto"/>
            </w:tcBorders>
            <w:hideMark/>
          </w:tcPr>
          <w:p w14:paraId="67EB6597" w14:textId="77777777" w:rsidR="00E60842" w:rsidRPr="00454E82" w:rsidRDefault="00E60842" w:rsidP="007E5022">
            <w:pPr>
              <w:pStyle w:val="TableText"/>
            </w:pPr>
            <w:r w:rsidRPr="00454E82">
              <w:t>Describe the advantages and disadvantages of current contracting arrangements.</w:t>
            </w:r>
          </w:p>
        </w:tc>
      </w:tr>
      <w:tr w:rsidR="00E60842" w14:paraId="2AE4631F" w14:textId="77777777" w:rsidTr="007E5022">
        <w:tc>
          <w:tcPr>
            <w:tcW w:w="1147" w:type="dxa"/>
            <w:tcBorders>
              <w:top w:val="single" w:sz="4" w:space="0" w:color="auto"/>
              <w:left w:val="single" w:sz="4" w:space="0" w:color="auto"/>
              <w:bottom w:val="single" w:sz="4" w:space="0" w:color="auto"/>
              <w:right w:val="single" w:sz="4" w:space="0" w:color="auto"/>
            </w:tcBorders>
          </w:tcPr>
          <w:p w14:paraId="78AC7045" w14:textId="77777777" w:rsidR="00E60842" w:rsidRPr="00454E82" w:rsidRDefault="00E60842" w:rsidP="007E5022">
            <w:pPr>
              <w:pStyle w:val="TableText"/>
            </w:pPr>
          </w:p>
          <w:p w14:paraId="0A5C0C98" w14:textId="77777777" w:rsidR="00E60842" w:rsidRPr="00454E82" w:rsidRDefault="00E60842" w:rsidP="007E5022">
            <w:pPr>
              <w:pStyle w:val="TableText"/>
            </w:pPr>
            <w:r w:rsidRPr="00454E82">
              <w:t>M</w:t>
            </w:r>
          </w:p>
          <w:p w14:paraId="085BCAB6" w14:textId="77777777" w:rsidR="00E60842" w:rsidRPr="00454E82" w:rsidRDefault="00E60842" w:rsidP="007E5022">
            <w:pPr>
              <w:pStyle w:val="TableText"/>
            </w:pPr>
            <w:r w:rsidRPr="00454E82">
              <w:t>S(i)</w:t>
            </w:r>
          </w:p>
          <w:p w14:paraId="447C5107" w14:textId="77777777" w:rsidR="00E60842" w:rsidRPr="00454E82" w:rsidRDefault="00E60842" w:rsidP="007E5022">
            <w:pPr>
              <w:pStyle w:val="TableText"/>
            </w:pPr>
            <w:r w:rsidRPr="00454E82">
              <w:t>S(i)</w:t>
            </w:r>
          </w:p>
          <w:p w14:paraId="703D5A1F" w14:textId="77777777" w:rsidR="00E60842" w:rsidRPr="00454E82" w:rsidRDefault="00E60842" w:rsidP="007E5022">
            <w:pPr>
              <w:pStyle w:val="TableText"/>
            </w:pPr>
            <w:r w:rsidRPr="00454E82">
              <w:t>S(i)</w:t>
            </w:r>
          </w:p>
          <w:p w14:paraId="7CB75CA1" w14:textId="77777777" w:rsidR="00E60842" w:rsidRPr="00454E82" w:rsidRDefault="00E60842" w:rsidP="007E5022">
            <w:pPr>
              <w:pStyle w:val="TableText"/>
            </w:pPr>
            <w:r w:rsidRPr="00454E82">
              <w:t>S(i), (ii)</w:t>
            </w:r>
          </w:p>
          <w:p w14:paraId="216998FB" w14:textId="77777777" w:rsidR="00E60842" w:rsidRPr="00454E82" w:rsidRDefault="00E60842" w:rsidP="007E5022">
            <w:pPr>
              <w:pStyle w:val="TableText"/>
            </w:pPr>
            <w:r w:rsidRPr="00454E82">
              <w:t>S(ii)</w:t>
            </w:r>
          </w:p>
          <w:p w14:paraId="6B1E9ED6" w14:textId="77777777" w:rsidR="00E60842" w:rsidRPr="00454E82" w:rsidRDefault="00E60842" w:rsidP="007E5022">
            <w:pPr>
              <w:pStyle w:val="TableText"/>
            </w:pPr>
          </w:p>
        </w:tc>
        <w:tc>
          <w:tcPr>
            <w:tcW w:w="11847" w:type="dxa"/>
            <w:tcBorders>
              <w:top w:val="single" w:sz="4" w:space="0" w:color="auto"/>
              <w:left w:val="single" w:sz="4" w:space="0" w:color="auto"/>
              <w:bottom w:val="single" w:sz="4" w:space="0" w:color="auto"/>
              <w:right w:val="single" w:sz="4" w:space="0" w:color="auto"/>
            </w:tcBorders>
            <w:hideMark/>
          </w:tcPr>
          <w:p w14:paraId="10C066CA" w14:textId="77777777" w:rsidR="00E60842" w:rsidRPr="00454E82" w:rsidRDefault="00E60842" w:rsidP="007E5022">
            <w:pPr>
              <w:pStyle w:val="TableText"/>
              <w:rPr>
                <w:u w:val="single"/>
              </w:rPr>
            </w:pPr>
            <w:r w:rsidRPr="00454E82">
              <w:rPr>
                <w:u w:val="single"/>
              </w:rPr>
              <w:t>For respondents involved with the Fund at the time of CSO selection and/ or the inception phase:</w:t>
            </w:r>
          </w:p>
          <w:p w14:paraId="40340E5A" w14:textId="77777777" w:rsidR="00E60842" w:rsidRPr="00454E82" w:rsidRDefault="00E60842" w:rsidP="007E5022">
            <w:pPr>
              <w:pStyle w:val="TableText"/>
            </w:pPr>
            <w:r w:rsidRPr="00454E82">
              <w:t>Describe your role with the Fund during the time of CSO selection and/ or inception.</w:t>
            </w:r>
          </w:p>
          <w:p w14:paraId="28176AAA" w14:textId="77777777" w:rsidR="00E60842" w:rsidRPr="00454E82" w:rsidRDefault="00E60842" w:rsidP="007E5022">
            <w:pPr>
              <w:pStyle w:val="TableText"/>
            </w:pPr>
            <w:r w:rsidRPr="00454E82">
              <w:t>How would you describe the types of CSOs and projects that the Fund was intended to fund?</w:t>
            </w:r>
          </w:p>
          <w:p w14:paraId="2563B8AD" w14:textId="77777777" w:rsidR="00E60842" w:rsidRPr="00454E82" w:rsidRDefault="00E60842" w:rsidP="007E5022">
            <w:pPr>
              <w:pStyle w:val="TableText"/>
            </w:pPr>
            <w:r w:rsidRPr="00454E82">
              <w:t>Do you think the outcomes of the initial selection process matched the intent put forward in the design?</w:t>
            </w:r>
          </w:p>
          <w:p w14:paraId="7DB0922C" w14:textId="77777777" w:rsidR="00E60842" w:rsidRPr="00454E82" w:rsidRDefault="00E60842" w:rsidP="007E5022">
            <w:pPr>
              <w:pStyle w:val="TableText"/>
            </w:pPr>
            <w:r w:rsidRPr="00454E82">
              <w:t>What was the intended purpose of the inception phase?</w:t>
            </w:r>
          </w:p>
          <w:p w14:paraId="79E48D34" w14:textId="77777777" w:rsidR="00E60842" w:rsidRPr="00454E82" w:rsidRDefault="00E60842" w:rsidP="007E5022">
            <w:pPr>
              <w:pStyle w:val="TableText"/>
            </w:pPr>
            <w:r w:rsidRPr="00454E82">
              <w:t>What were the benefits and draw-backs of the Fund’s inception phase, as implemented?</w:t>
            </w:r>
          </w:p>
          <w:p w14:paraId="500A0165" w14:textId="77777777" w:rsidR="00E60842" w:rsidRPr="00454E82" w:rsidRDefault="00E60842" w:rsidP="007E5022">
            <w:pPr>
              <w:pStyle w:val="TableText"/>
            </w:pPr>
            <w:r w:rsidRPr="00454E82">
              <w:t>Describe to what extent the inception phase helped to improve CSO proposals’ treatment of gender and disability.</w:t>
            </w:r>
          </w:p>
        </w:tc>
      </w:tr>
      <w:tr w:rsidR="00E60842" w14:paraId="0A32CDF7" w14:textId="77777777" w:rsidTr="007E5022">
        <w:tc>
          <w:tcPr>
            <w:tcW w:w="1147" w:type="dxa"/>
            <w:tcBorders>
              <w:top w:val="single" w:sz="4" w:space="0" w:color="auto"/>
              <w:left w:val="single" w:sz="4" w:space="0" w:color="auto"/>
              <w:bottom w:val="single" w:sz="4" w:space="0" w:color="auto"/>
              <w:right w:val="single" w:sz="4" w:space="0" w:color="auto"/>
            </w:tcBorders>
          </w:tcPr>
          <w:p w14:paraId="16BB7787" w14:textId="77777777" w:rsidR="00E60842" w:rsidRPr="00454E82" w:rsidRDefault="00E60842" w:rsidP="007E5022">
            <w:pPr>
              <w:pStyle w:val="TableText"/>
            </w:pPr>
          </w:p>
          <w:p w14:paraId="30E532A9" w14:textId="77777777" w:rsidR="00E60842" w:rsidRPr="00454E82" w:rsidRDefault="00E60842" w:rsidP="007E5022">
            <w:pPr>
              <w:pStyle w:val="TableText"/>
            </w:pPr>
            <w:r w:rsidRPr="00454E82">
              <w:t>S(i)</w:t>
            </w:r>
          </w:p>
        </w:tc>
        <w:tc>
          <w:tcPr>
            <w:tcW w:w="11847" w:type="dxa"/>
            <w:tcBorders>
              <w:top w:val="single" w:sz="4" w:space="0" w:color="auto"/>
              <w:left w:val="single" w:sz="4" w:space="0" w:color="auto"/>
              <w:bottom w:val="single" w:sz="4" w:space="0" w:color="auto"/>
              <w:right w:val="single" w:sz="4" w:space="0" w:color="auto"/>
            </w:tcBorders>
            <w:hideMark/>
          </w:tcPr>
          <w:p w14:paraId="63D55535" w14:textId="77777777" w:rsidR="00E60842" w:rsidRPr="00454E82" w:rsidRDefault="00E60842" w:rsidP="007E5022">
            <w:pPr>
              <w:pStyle w:val="TableText"/>
            </w:pPr>
            <w:r w:rsidRPr="00454E82">
              <w:rPr>
                <w:u w:val="single"/>
              </w:rPr>
              <w:t xml:space="preserve">For respondents who became involved with the Fund following the inception phase: </w:t>
            </w:r>
            <w:r w:rsidRPr="00454E82">
              <w:br/>
            </w:r>
            <w:r w:rsidRPr="00454E82">
              <w:br/>
              <w:t>How would you describe the types of CSOs and projects that the Fund supports?  What do they have in common?</w:t>
            </w:r>
          </w:p>
        </w:tc>
      </w:tr>
      <w:tr w:rsidR="00E60842" w14:paraId="698508EF" w14:textId="77777777" w:rsidTr="007E5022">
        <w:tc>
          <w:tcPr>
            <w:tcW w:w="1147" w:type="dxa"/>
            <w:tcBorders>
              <w:top w:val="single" w:sz="4" w:space="0" w:color="auto"/>
              <w:left w:val="single" w:sz="4" w:space="0" w:color="auto"/>
              <w:bottom w:val="single" w:sz="4" w:space="0" w:color="auto"/>
              <w:right w:val="single" w:sz="4" w:space="0" w:color="auto"/>
            </w:tcBorders>
            <w:hideMark/>
          </w:tcPr>
          <w:p w14:paraId="5A142BEF" w14:textId="77777777" w:rsidR="00E60842" w:rsidRPr="00454E82" w:rsidRDefault="00E60842" w:rsidP="007E5022">
            <w:pPr>
              <w:pStyle w:val="TableText"/>
            </w:pPr>
            <w:r w:rsidRPr="00454E82">
              <w:t>S(ii)</w:t>
            </w:r>
          </w:p>
          <w:p w14:paraId="52E65A4C" w14:textId="77777777" w:rsidR="00E60842" w:rsidRPr="00454E82" w:rsidRDefault="00E60842" w:rsidP="007E5022">
            <w:pPr>
              <w:pStyle w:val="TableText"/>
            </w:pPr>
            <w:r w:rsidRPr="00454E82">
              <w:t>S(ii)</w:t>
            </w:r>
          </w:p>
        </w:tc>
        <w:tc>
          <w:tcPr>
            <w:tcW w:w="11847" w:type="dxa"/>
            <w:tcBorders>
              <w:top w:val="single" w:sz="4" w:space="0" w:color="auto"/>
              <w:left w:val="single" w:sz="4" w:space="0" w:color="auto"/>
              <w:bottom w:val="single" w:sz="4" w:space="0" w:color="auto"/>
              <w:right w:val="single" w:sz="4" w:space="0" w:color="auto"/>
            </w:tcBorders>
            <w:hideMark/>
          </w:tcPr>
          <w:p w14:paraId="6A22F3B8" w14:textId="77777777" w:rsidR="00E60842" w:rsidRPr="00454E82" w:rsidRDefault="00E60842" w:rsidP="007E5022">
            <w:pPr>
              <w:pStyle w:val="TableText"/>
            </w:pPr>
            <w:r w:rsidRPr="00454E82">
              <w:t>Describe whether there is great variation between CSOs’ treatment of gender and disability now.</w:t>
            </w:r>
          </w:p>
          <w:p w14:paraId="59ECB914" w14:textId="77777777" w:rsidR="00E60842" w:rsidRPr="00454E82" w:rsidRDefault="00E60842" w:rsidP="007E5022">
            <w:pPr>
              <w:pStyle w:val="TableText"/>
            </w:pPr>
            <w:r w:rsidRPr="00454E82">
              <w:t>Describe the strongest CSO performers with respect to gender and/ or disability inclusion and what their example could indicate for future CSO selection.</w:t>
            </w:r>
          </w:p>
        </w:tc>
      </w:tr>
      <w:tr w:rsidR="00E60842" w14:paraId="597AFC23" w14:textId="77777777" w:rsidTr="007E5022">
        <w:tc>
          <w:tcPr>
            <w:tcW w:w="1147" w:type="dxa"/>
            <w:tcBorders>
              <w:top w:val="single" w:sz="4" w:space="0" w:color="auto"/>
              <w:left w:val="single" w:sz="4" w:space="0" w:color="auto"/>
              <w:bottom w:val="single" w:sz="4" w:space="0" w:color="auto"/>
              <w:right w:val="single" w:sz="4" w:space="0" w:color="auto"/>
            </w:tcBorders>
            <w:hideMark/>
          </w:tcPr>
          <w:p w14:paraId="2FB49C68" w14:textId="77777777" w:rsidR="00E60842" w:rsidRPr="00454E82" w:rsidRDefault="00E60842" w:rsidP="007E5022">
            <w:pPr>
              <w:pStyle w:val="TableText"/>
            </w:pPr>
            <w:r w:rsidRPr="00454E82">
              <w:t>M/S</w:t>
            </w:r>
          </w:p>
        </w:tc>
        <w:tc>
          <w:tcPr>
            <w:tcW w:w="11847" w:type="dxa"/>
            <w:tcBorders>
              <w:top w:val="single" w:sz="4" w:space="0" w:color="auto"/>
              <w:left w:val="single" w:sz="4" w:space="0" w:color="auto"/>
              <w:bottom w:val="single" w:sz="4" w:space="0" w:color="auto"/>
              <w:right w:val="single" w:sz="4" w:space="0" w:color="auto"/>
            </w:tcBorders>
            <w:hideMark/>
          </w:tcPr>
          <w:p w14:paraId="3EE1049E" w14:textId="77777777" w:rsidR="00E60842" w:rsidRPr="00454E82" w:rsidRDefault="00E60842" w:rsidP="007E5022">
            <w:pPr>
              <w:pStyle w:val="TableText"/>
            </w:pPr>
            <w:r w:rsidRPr="00454E82">
              <w:t>Anything we missed?  Would you like to make any further comments?</w:t>
            </w:r>
          </w:p>
        </w:tc>
      </w:tr>
    </w:tbl>
    <w:p w14:paraId="5E27A347" w14:textId="77777777" w:rsidR="00E60842" w:rsidRDefault="00E60842" w:rsidP="00E60842">
      <w:pPr>
        <w:pStyle w:val="BodyText"/>
      </w:pPr>
    </w:p>
    <w:p w14:paraId="31AFCF75" w14:textId="77777777" w:rsidR="00E60842" w:rsidRDefault="00E60842" w:rsidP="00E60842">
      <w:pPr>
        <w:pStyle w:val="Heading3"/>
      </w:pPr>
      <w:r>
        <w:t>For CSO Program Managers</w:t>
      </w:r>
    </w:p>
    <w:tbl>
      <w:tblPr>
        <w:tblStyle w:val="TableGrid"/>
        <w:tblW w:w="0" w:type="auto"/>
        <w:tblLook w:val="04A0" w:firstRow="1" w:lastRow="0" w:firstColumn="1" w:lastColumn="0" w:noHBand="0" w:noVBand="1"/>
        <w:tblCaption w:val="Interviews with CSO program managers"/>
        <w:tblDescription w:val="The table provides interview questions for CSO program managers."/>
      </w:tblPr>
      <w:tblGrid>
        <w:gridCol w:w="1098"/>
        <w:gridCol w:w="11910"/>
      </w:tblGrid>
      <w:tr w:rsidR="00E60842" w14:paraId="29F87B5B" w14:textId="77777777" w:rsidTr="007E5022">
        <w:tc>
          <w:tcPr>
            <w:tcW w:w="1098" w:type="dxa"/>
            <w:tcBorders>
              <w:top w:val="single" w:sz="4" w:space="0" w:color="auto"/>
              <w:left w:val="single" w:sz="4" w:space="0" w:color="auto"/>
              <w:bottom w:val="single" w:sz="4" w:space="0" w:color="auto"/>
              <w:right w:val="single" w:sz="4" w:space="0" w:color="auto"/>
            </w:tcBorders>
            <w:hideMark/>
          </w:tcPr>
          <w:p w14:paraId="40B68E3A" w14:textId="77777777" w:rsidR="00E60842" w:rsidRDefault="00E60842" w:rsidP="007E5022">
            <w:pPr>
              <w:pStyle w:val="TableText"/>
            </w:pPr>
            <w:r>
              <w:t>M(i)</w:t>
            </w:r>
          </w:p>
        </w:tc>
        <w:tc>
          <w:tcPr>
            <w:tcW w:w="11910" w:type="dxa"/>
            <w:tcBorders>
              <w:top w:val="single" w:sz="4" w:space="0" w:color="auto"/>
              <w:left w:val="single" w:sz="4" w:space="0" w:color="auto"/>
              <w:bottom w:val="single" w:sz="4" w:space="0" w:color="auto"/>
              <w:right w:val="single" w:sz="4" w:space="0" w:color="auto"/>
            </w:tcBorders>
            <w:hideMark/>
          </w:tcPr>
          <w:p w14:paraId="367B0EED" w14:textId="77777777" w:rsidR="00E60842" w:rsidRDefault="00E60842" w:rsidP="007E5022">
            <w:pPr>
              <w:pStyle w:val="TableText"/>
            </w:pPr>
            <w:r>
              <w:t>Describe your role and how long you have worked with the Fund.</w:t>
            </w:r>
          </w:p>
        </w:tc>
      </w:tr>
      <w:tr w:rsidR="00E60842" w14:paraId="57EE035C" w14:textId="77777777" w:rsidTr="007E5022">
        <w:tc>
          <w:tcPr>
            <w:tcW w:w="1098" w:type="dxa"/>
            <w:tcBorders>
              <w:top w:val="single" w:sz="4" w:space="0" w:color="auto"/>
              <w:left w:val="single" w:sz="4" w:space="0" w:color="auto"/>
              <w:bottom w:val="single" w:sz="4" w:space="0" w:color="auto"/>
              <w:right w:val="single" w:sz="4" w:space="0" w:color="auto"/>
            </w:tcBorders>
            <w:hideMark/>
          </w:tcPr>
          <w:p w14:paraId="3CA1230E" w14:textId="77777777" w:rsidR="00E60842" w:rsidRDefault="00E60842" w:rsidP="007E5022">
            <w:pPr>
              <w:pStyle w:val="TableText"/>
            </w:pPr>
            <w:r>
              <w:t>M(i)</w:t>
            </w:r>
          </w:p>
        </w:tc>
        <w:tc>
          <w:tcPr>
            <w:tcW w:w="11910" w:type="dxa"/>
            <w:tcBorders>
              <w:top w:val="single" w:sz="4" w:space="0" w:color="auto"/>
              <w:left w:val="single" w:sz="4" w:space="0" w:color="auto"/>
              <w:bottom w:val="single" w:sz="4" w:space="0" w:color="auto"/>
              <w:right w:val="single" w:sz="4" w:space="0" w:color="auto"/>
            </w:tcBorders>
            <w:hideMark/>
          </w:tcPr>
          <w:p w14:paraId="0CCAB77E" w14:textId="77777777" w:rsidR="00E60842" w:rsidRDefault="00E60842" w:rsidP="007E5022">
            <w:pPr>
              <w:pStyle w:val="TableText"/>
            </w:pPr>
            <w:r>
              <w:t>Describe your (and/or CSO Project Managers’) interactions with the following:</w:t>
            </w:r>
            <w:r>
              <w:br/>
            </w:r>
            <w:r>
              <w:rPr>
                <w:i/>
              </w:rPr>
              <w:t>[Questions will be tailored to the specific respondent.]:</w:t>
            </w:r>
            <w:r>
              <w:rPr>
                <w:i/>
              </w:rPr>
              <w:br/>
            </w:r>
            <w:r>
              <w:br/>
              <w:t>- MERP</w:t>
            </w:r>
            <w:r>
              <w:br/>
              <w:t>- Fund Management Facility’s Fund Manager</w:t>
            </w:r>
            <w:r>
              <w:br/>
              <w:t>- KALM</w:t>
            </w:r>
            <w:r>
              <w:br/>
              <w:t>- DFAT WSH Section</w:t>
            </w:r>
            <w:r>
              <w:br/>
              <w:t>- other CSOs supported by the Fund</w:t>
            </w:r>
            <w:r>
              <w:br/>
              <w:t>- DFAT Posts</w:t>
            </w:r>
            <w:r>
              <w:br/>
              <w:t>- external stakeholders (eg. partner government and host country actors, WASH research institutes).</w:t>
            </w:r>
            <w:r>
              <w:br/>
            </w:r>
          </w:p>
        </w:tc>
      </w:tr>
      <w:tr w:rsidR="00E60842" w14:paraId="66289F7B" w14:textId="77777777" w:rsidTr="007E5022">
        <w:tc>
          <w:tcPr>
            <w:tcW w:w="1098" w:type="dxa"/>
            <w:tcBorders>
              <w:top w:val="single" w:sz="4" w:space="0" w:color="auto"/>
              <w:left w:val="single" w:sz="4" w:space="0" w:color="auto"/>
              <w:bottom w:val="single" w:sz="4" w:space="0" w:color="auto"/>
              <w:right w:val="single" w:sz="4" w:space="0" w:color="auto"/>
            </w:tcBorders>
            <w:hideMark/>
          </w:tcPr>
          <w:p w14:paraId="6103CF2A" w14:textId="77777777" w:rsidR="00E60842" w:rsidRDefault="00E60842" w:rsidP="007E5022">
            <w:pPr>
              <w:pStyle w:val="TableText"/>
            </w:pPr>
            <w:r>
              <w:t>M</w:t>
            </w:r>
          </w:p>
        </w:tc>
        <w:tc>
          <w:tcPr>
            <w:tcW w:w="11910" w:type="dxa"/>
            <w:tcBorders>
              <w:top w:val="single" w:sz="4" w:space="0" w:color="auto"/>
              <w:left w:val="single" w:sz="4" w:space="0" w:color="auto"/>
              <w:bottom w:val="single" w:sz="4" w:space="0" w:color="auto"/>
              <w:right w:val="single" w:sz="4" w:space="0" w:color="auto"/>
            </w:tcBorders>
            <w:hideMark/>
          </w:tcPr>
          <w:p w14:paraId="6A2F69ED" w14:textId="77777777" w:rsidR="00E60842" w:rsidRDefault="00E60842" w:rsidP="007E5022">
            <w:pPr>
              <w:pStyle w:val="TableText"/>
            </w:pPr>
            <w:r>
              <w:t>Describe the strengths and weaknesses of the Fund’s management arrangements.</w:t>
            </w:r>
          </w:p>
          <w:p w14:paraId="37FFA9FA" w14:textId="77777777" w:rsidR="00E60842" w:rsidRDefault="00E60842" w:rsidP="007E5022">
            <w:pPr>
              <w:pStyle w:val="TableText"/>
            </w:pPr>
            <w:r>
              <w:t xml:space="preserve">How would you describe the quality of relationships between those involved in Fund Management </w:t>
            </w:r>
            <w:r>
              <w:rPr>
                <w:i/>
              </w:rPr>
              <w:t xml:space="preserve">[DFAT WSH/ MERP/ Fund Management Facility’s Fund Manager/ KALM] </w:t>
            </w:r>
            <w:r>
              <w:t>and funded CSOs?</w:t>
            </w:r>
          </w:p>
        </w:tc>
      </w:tr>
      <w:tr w:rsidR="00E60842" w14:paraId="78F313E1" w14:textId="77777777" w:rsidTr="007E5022">
        <w:tc>
          <w:tcPr>
            <w:tcW w:w="1098" w:type="dxa"/>
            <w:tcBorders>
              <w:top w:val="single" w:sz="4" w:space="0" w:color="auto"/>
              <w:left w:val="single" w:sz="4" w:space="0" w:color="auto"/>
              <w:bottom w:val="single" w:sz="4" w:space="0" w:color="auto"/>
              <w:right w:val="single" w:sz="4" w:space="0" w:color="auto"/>
            </w:tcBorders>
            <w:hideMark/>
          </w:tcPr>
          <w:p w14:paraId="3F7B0C59" w14:textId="77777777" w:rsidR="00E60842" w:rsidRDefault="00E60842" w:rsidP="007E5022">
            <w:pPr>
              <w:pStyle w:val="TableText"/>
            </w:pPr>
            <w:r>
              <w:t>M(ii)</w:t>
            </w:r>
          </w:p>
        </w:tc>
        <w:tc>
          <w:tcPr>
            <w:tcW w:w="11910" w:type="dxa"/>
            <w:tcBorders>
              <w:top w:val="single" w:sz="4" w:space="0" w:color="auto"/>
              <w:left w:val="single" w:sz="4" w:space="0" w:color="auto"/>
              <w:bottom w:val="single" w:sz="4" w:space="0" w:color="auto"/>
              <w:right w:val="single" w:sz="4" w:space="0" w:color="auto"/>
            </w:tcBorders>
          </w:tcPr>
          <w:p w14:paraId="6E9583ED" w14:textId="77777777" w:rsidR="00E60842" w:rsidRDefault="00E60842" w:rsidP="007E5022">
            <w:pPr>
              <w:pStyle w:val="TableText"/>
            </w:pPr>
            <w:r>
              <w:t>Describe the advantages and disadvantages of current contracting arrangements.</w:t>
            </w:r>
          </w:p>
        </w:tc>
      </w:tr>
      <w:tr w:rsidR="00E60842" w14:paraId="7DCD4323" w14:textId="77777777" w:rsidTr="007E5022">
        <w:tc>
          <w:tcPr>
            <w:tcW w:w="1098" w:type="dxa"/>
            <w:tcBorders>
              <w:top w:val="single" w:sz="4" w:space="0" w:color="auto"/>
              <w:left w:val="single" w:sz="4" w:space="0" w:color="auto"/>
              <w:bottom w:val="single" w:sz="4" w:space="0" w:color="auto"/>
              <w:right w:val="single" w:sz="4" w:space="0" w:color="auto"/>
            </w:tcBorders>
          </w:tcPr>
          <w:p w14:paraId="204E9773" w14:textId="77777777" w:rsidR="00E60842" w:rsidRDefault="00E60842" w:rsidP="007E5022">
            <w:pPr>
              <w:pStyle w:val="TableText"/>
            </w:pPr>
            <w:r>
              <w:t>S(i), (ii)</w:t>
            </w:r>
          </w:p>
          <w:p w14:paraId="0214E23C" w14:textId="77777777" w:rsidR="00E60842" w:rsidRDefault="00E60842" w:rsidP="007E5022">
            <w:pPr>
              <w:pStyle w:val="TableText"/>
            </w:pPr>
            <w:r>
              <w:t>S(ii)</w:t>
            </w:r>
          </w:p>
        </w:tc>
        <w:tc>
          <w:tcPr>
            <w:tcW w:w="11910" w:type="dxa"/>
            <w:tcBorders>
              <w:top w:val="single" w:sz="4" w:space="0" w:color="auto"/>
              <w:left w:val="single" w:sz="4" w:space="0" w:color="auto"/>
              <w:bottom w:val="single" w:sz="4" w:space="0" w:color="auto"/>
              <w:right w:val="single" w:sz="4" w:space="0" w:color="auto"/>
            </w:tcBorders>
            <w:hideMark/>
          </w:tcPr>
          <w:p w14:paraId="7637C7E6" w14:textId="77777777" w:rsidR="00E60842" w:rsidRDefault="00E60842" w:rsidP="007E5022">
            <w:pPr>
              <w:pStyle w:val="TableText"/>
            </w:pPr>
            <w:r>
              <w:rPr>
                <w:u w:val="single"/>
              </w:rPr>
              <w:t>For respondents involved with the Fund at the time of the inception phase:</w:t>
            </w:r>
          </w:p>
          <w:p w14:paraId="54FCB3EC" w14:textId="77777777" w:rsidR="00E60842" w:rsidRDefault="00E60842" w:rsidP="007E5022">
            <w:pPr>
              <w:pStyle w:val="TableText"/>
            </w:pPr>
            <w:r>
              <w:t>What were the benefits and draw-backs of the Fund’s inception phase, as implemented?</w:t>
            </w:r>
          </w:p>
          <w:p w14:paraId="7D8F4EC1" w14:textId="77777777" w:rsidR="00E60842" w:rsidRDefault="00E60842" w:rsidP="007E5022">
            <w:pPr>
              <w:pStyle w:val="TableText"/>
            </w:pPr>
            <w:r>
              <w:t>Describe whether and how the inception phase helped your project to advance gender and/ or disability inclusion.</w:t>
            </w:r>
          </w:p>
        </w:tc>
      </w:tr>
      <w:tr w:rsidR="00E60842" w14:paraId="1C98F511" w14:textId="77777777" w:rsidTr="007E5022">
        <w:tc>
          <w:tcPr>
            <w:tcW w:w="1098" w:type="dxa"/>
            <w:tcBorders>
              <w:top w:val="single" w:sz="4" w:space="0" w:color="auto"/>
              <w:left w:val="single" w:sz="4" w:space="0" w:color="auto"/>
              <w:bottom w:val="single" w:sz="4" w:space="0" w:color="auto"/>
              <w:right w:val="single" w:sz="4" w:space="0" w:color="auto"/>
            </w:tcBorders>
            <w:hideMark/>
          </w:tcPr>
          <w:p w14:paraId="46958DD3" w14:textId="77777777" w:rsidR="00E60842" w:rsidRDefault="00E60842" w:rsidP="007E5022">
            <w:pPr>
              <w:pStyle w:val="TableText"/>
            </w:pPr>
            <w:r>
              <w:t>M/S</w:t>
            </w:r>
          </w:p>
        </w:tc>
        <w:tc>
          <w:tcPr>
            <w:tcW w:w="11910" w:type="dxa"/>
            <w:tcBorders>
              <w:top w:val="single" w:sz="4" w:space="0" w:color="auto"/>
              <w:left w:val="single" w:sz="4" w:space="0" w:color="auto"/>
              <w:bottom w:val="single" w:sz="4" w:space="0" w:color="auto"/>
              <w:right w:val="single" w:sz="4" w:space="0" w:color="auto"/>
            </w:tcBorders>
            <w:hideMark/>
          </w:tcPr>
          <w:p w14:paraId="726EB815" w14:textId="77777777" w:rsidR="00E60842" w:rsidRDefault="00E60842" w:rsidP="007E5022">
            <w:pPr>
              <w:pStyle w:val="TableText"/>
            </w:pPr>
            <w:r>
              <w:t>Anything we missed?  Would you like to make any further comments?</w:t>
            </w:r>
          </w:p>
        </w:tc>
      </w:tr>
    </w:tbl>
    <w:p w14:paraId="32FE5555" w14:textId="77777777" w:rsidR="00E60842" w:rsidRDefault="00E60842" w:rsidP="00E60842">
      <w:pPr>
        <w:pStyle w:val="Heading3"/>
      </w:pPr>
      <w:r>
        <w:t>For DFAT Posts that have ‘opted-in’ to the Fund</w:t>
      </w:r>
    </w:p>
    <w:tbl>
      <w:tblPr>
        <w:tblStyle w:val="TableGrid"/>
        <w:tblW w:w="0" w:type="auto"/>
        <w:tblLook w:val="04A0" w:firstRow="1" w:lastRow="0" w:firstColumn="1" w:lastColumn="0" w:noHBand="0" w:noVBand="1"/>
        <w:tblCaption w:val="Interviews with DFAT Posts"/>
        <w:tblDescription w:val="The table provides questions for interviews with DFAT Posts."/>
      </w:tblPr>
      <w:tblGrid>
        <w:gridCol w:w="1149"/>
        <w:gridCol w:w="11859"/>
      </w:tblGrid>
      <w:tr w:rsidR="00E60842" w14:paraId="23926ED4" w14:textId="77777777" w:rsidTr="007E5022">
        <w:tc>
          <w:tcPr>
            <w:tcW w:w="1149" w:type="dxa"/>
            <w:tcBorders>
              <w:top w:val="single" w:sz="4" w:space="0" w:color="auto"/>
              <w:left w:val="single" w:sz="4" w:space="0" w:color="auto"/>
              <w:bottom w:val="single" w:sz="4" w:space="0" w:color="auto"/>
              <w:right w:val="single" w:sz="4" w:space="0" w:color="auto"/>
            </w:tcBorders>
            <w:hideMark/>
          </w:tcPr>
          <w:p w14:paraId="621C74A5" w14:textId="77777777" w:rsidR="00E60842" w:rsidRDefault="00E60842" w:rsidP="007E5022">
            <w:pPr>
              <w:pStyle w:val="TableText"/>
            </w:pPr>
            <w:r>
              <w:t>M(i)</w:t>
            </w:r>
          </w:p>
        </w:tc>
        <w:tc>
          <w:tcPr>
            <w:tcW w:w="11859" w:type="dxa"/>
            <w:tcBorders>
              <w:top w:val="single" w:sz="4" w:space="0" w:color="auto"/>
              <w:left w:val="single" w:sz="4" w:space="0" w:color="auto"/>
              <w:bottom w:val="single" w:sz="4" w:space="0" w:color="auto"/>
              <w:right w:val="single" w:sz="4" w:space="0" w:color="auto"/>
            </w:tcBorders>
            <w:hideMark/>
          </w:tcPr>
          <w:p w14:paraId="78B3C4D1" w14:textId="77777777" w:rsidR="00E60842" w:rsidRDefault="00E60842" w:rsidP="007E5022">
            <w:pPr>
              <w:pStyle w:val="TableText"/>
            </w:pPr>
            <w:r>
              <w:t>Describe your role.</w:t>
            </w:r>
          </w:p>
        </w:tc>
      </w:tr>
      <w:tr w:rsidR="00E60842" w14:paraId="18513330" w14:textId="77777777" w:rsidTr="007E5022">
        <w:tc>
          <w:tcPr>
            <w:tcW w:w="1149" w:type="dxa"/>
            <w:tcBorders>
              <w:top w:val="single" w:sz="4" w:space="0" w:color="auto"/>
              <w:left w:val="single" w:sz="4" w:space="0" w:color="auto"/>
              <w:bottom w:val="single" w:sz="4" w:space="0" w:color="auto"/>
              <w:right w:val="single" w:sz="4" w:space="0" w:color="auto"/>
            </w:tcBorders>
            <w:hideMark/>
          </w:tcPr>
          <w:p w14:paraId="43B279E1" w14:textId="77777777" w:rsidR="00E60842" w:rsidRDefault="00E60842" w:rsidP="007E5022">
            <w:pPr>
              <w:pStyle w:val="TableText"/>
            </w:pPr>
            <w:r>
              <w:t>M(i)</w:t>
            </w:r>
          </w:p>
        </w:tc>
        <w:tc>
          <w:tcPr>
            <w:tcW w:w="11859" w:type="dxa"/>
            <w:tcBorders>
              <w:top w:val="single" w:sz="4" w:space="0" w:color="auto"/>
              <w:left w:val="single" w:sz="4" w:space="0" w:color="auto"/>
              <w:bottom w:val="single" w:sz="4" w:space="0" w:color="auto"/>
              <w:right w:val="single" w:sz="4" w:space="0" w:color="auto"/>
            </w:tcBorders>
            <w:hideMark/>
          </w:tcPr>
          <w:p w14:paraId="30FA95CA" w14:textId="77777777" w:rsidR="00E60842" w:rsidRDefault="00E60842" w:rsidP="007E5022">
            <w:pPr>
              <w:pStyle w:val="TableText"/>
            </w:pPr>
            <w:r>
              <w:t>Describe your experience with the Fund.</w:t>
            </w:r>
          </w:p>
        </w:tc>
      </w:tr>
      <w:tr w:rsidR="00E60842" w14:paraId="2305BD08" w14:textId="77777777" w:rsidTr="007E5022">
        <w:tc>
          <w:tcPr>
            <w:tcW w:w="1149" w:type="dxa"/>
            <w:tcBorders>
              <w:top w:val="single" w:sz="4" w:space="0" w:color="auto"/>
              <w:left w:val="single" w:sz="4" w:space="0" w:color="auto"/>
              <w:bottom w:val="single" w:sz="4" w:space="0" w:color="auto"/>
              <w:right w:val="single" w:sz="4" w:space="0" w:color="auto"/>
            </w:tcBorders>
            <w:hideMark/>
          </w:tcPr>
          <w:p w14:paraId="7E2572E1" w14:textId="77777777" w:rsidR="00E60842" w:rsidRDefault="00E60842" w:rsidP="007E5022">
            <w:pPr>
              <w:pStyle w:val="TableText"/>
            </w:pPr>
            <w:r>
              <w:t>M(i),(iii),(v)</w:t>
            </w:r>
          </w:p>
        </w:tc>
        <w:tc>
          <w:tcPr>
            <w:tcW w:w="11859" w:type="dxa"/>
            <w:tcBorders>
              <w:top w:val="single" w:sz="4" w:space="0" w:color="auto"/>
              <w:left w:val="single" w:sz="4" w:space="0" w:color="auto"/>
              <w:bottom w:val="single" w:sz="4" w:space="0" w:color="auto"/>
              <w:right w:val="single" w:sz="4" w:space="0" w:color="auto"/>
            </w:tcBorders>
          </w:tcPr>
          <w:p w14:paraId="7DB515A6" w14:textId="77777777" w:rsidR="00E60842" w:rsidRDefault="00E60842" w:rsidP="007E5022">
            <w:pPr>
              <w:pStyle w:val="TableText"/>
              <w:rPr>
                <w:i/>
              </w:rPr>
            </w:pPr>
            <w:r>
              <w:rPr>
                <w:i/>
              </w:rPr>
              <w:t xml:space="preserve">Tailored questions based on responses from other respondents and DFAT posts </w:t>
            </w:r>
            <w:proofErr w:type="gramStart"/>
            <w:r>
              <w:rPr>
                <w:i/>
              </w:rPr>
              <w:t>themselves</w:t>
            </w:r>
            <w:proofErr w:type="gramEnd"/>
            <w:r>
              <w:rPr>
                <w:i/>
              </w:rPr>
              <w:t>.</w:t>
            </w:r>
          </w:p>
          <w:p w14:paraId="270C8182" w14:textId="77777777" w:rsidR="00E60842" w:rsidRDefault="00E60842" w:rsidP="007E5022">
            <w:pPr>
              <w:pStyle w:val="TableText"/>
            </w:pPr>
            <w:r>
              <w:t>Describe your interactions with:</w:t>
            </w:r>
          </w:p>
          <w:p w14:paraId="25D129FA" w14:textId="77777777" w:rsidR="00E60842" w:rsidRDefault="00E60842" w:rsidP="007E5022">
            <w:pPr>
              <w:pStyle w:val="TableText"/>
            </w:pPr>
            <w:r>
              <w:t>- WSH Section</w:t>
            </w:r>
            <w:r>
              <w:br/>
              <w:t>- Fund Management Facility’s Fund Manager</w:t>
            </w:r>
            <w:r>
              <w:br/>
              <w:t>- funded CSOs.</w:t>
            </w:r>
          </w:p>
          <w:p w14:paraId="644415D0" w14:textId="77777777" w:rsidR="00E60842" w:rsidRDefault="00E60842" w:rsidP="007E5022">
            <w:pPr>
              <w:pStyle w:val="TableText"/>
            </w:pPr>
            <w:r>
              <w:t>Describe whether you have used information generated from the Fund or funded CSO projects in your role, including related to gender and disability inclusion.</w:t>
            </w:r>
          </w:p>
        </w:tc>
      </w:tr>
    </w:tbl>
    <w:p w14:paraId="2E31A809" w14:textId="77777777" w:rsidR="00E60842" w:rsidRDefault="00E60842" w:rsidP="00E60842">
      <w:pPr>
        <w:pStyle w:val="Heading3"/>
        <w:rPr>
          <w:highlight w:val="yellow"/>
        </w:rPr>
      </w:pPr>
      <w:r>
        <w:t>For Respondents on the Selection Panel that selected the Fund’s CSOs</w:t>
      </w:r>
    </w:p>
    <w:tbl>
      <w:tblPr>
        <w:tblStyle w:val="TableGrid"/>
        <w:tblW w:w="13149" w:type="dxa"/>
        <w:tblLook w:val="04A0" w:firstRow="1" w:lastRow="0" w:firstColumn="1" w:lastColumn="0" w:noHBand="0" w:noVBand="1"/>
        <w:tblCaption w:val="Interviews with selection panel members"/>
        <w:tblDescription w:val="The table provides questions for interviews with members of the Fund selection panel."/>
      </w:tblPr>
      <w:tblGrid>
        <w:gridCol w:w="1242"/>
        <w:gridCol w:w="11907"/>
      </w:tblGrid>
      <w:tr w:rsidR="00E60842" w14:paraId="196F941C" w14:textId="77777777" w:rsidTr="007E5022">
        <w:tc>
          <w:tcPr>
            <w:tcW w:w="1242" w:type="dxa"/>
            <w:tcBorders>
              <w:top w:val="single" w:sz="4" w:space="0" w:color="auto"/>
              <w:left w:val="single" w:sz="4" w:space="0" w:color="auto"/>
              <w:bottom w:val="single" w:sz="4" w:space="0" w:color="auto"/>
              <w:right w:val="single" w:sz="4" w:space="0" w:color="auto"/>
            </w:tcBorders>
            <w:hideMark/>
          </w:tcPr>
          <w:p w14:paraId="420829BA" w14:textId="77777777" w:rsidR="00E60842" w:rsidRDefault="00E60842" w:rsidP="007E5022">
            <w:pPr>
              <w:pStyle w:val="TableText"/>
            </w:pPr>
            <w:r>
              <w:t>S(i)</w:t>
            </w:r>
          </w:p>
        </w:tc>
        <w:tc>
          <w:tcPr>
            <w:tcW w:w="11907" w:type="dxa"/>
            <w:tcBorders>
              <w:top w:val="single" w:sz="4" w:space="0" w:color="auto"/>
              <w:left w:val="single" w:sz="4" w:space="0" w:color="auto"/>
              <w:bottom w:val="single" w:sz="4" w:space="0" w:color="auto"/>
              <w:right w:val="single" w:sz="4" w:space="0" w:color="auto"/>
            </w:tcBorders>
          </w:tcPr>
          <w:p w14:paraId="4E3590D9" w14:textId="77777777" w:rsidR="00E60842" w:rsidRDefault="00E60842" w:rsidP="007E5022">
            <w:pPr>
              <w:pStyle w:val="TableText"/>
            </w:pPr>
            <w:r>
              <w:t>In what capacity were you selected to participate on the selection panel?</w:t>
            </w:r>
          </w:p>
          <w:p w14:paraId="7802AB39" w14:textId="77777777" w:rsidR="00E60842" w:rsidRDefault="00E60842" w:rsidP="007E5022">
            <w:pPr>
              <w:pStyle w:val="TableText"/>
            </w:pPr>
            <w:r>
              <w:t>Describe your role and experience on the selection panel.</w:t>
            </w:r>
          </w:p>
        </w:tc>
      </w:tr>
      <w:tr w:rsidR="00E60842" w14:paraId="6B3E830D" w14:textId="77777777" w:rsidTr="007E5022">
        <w:tc>
          <w:tcPr>
            <w:tcW w:w="1242" w:type="dxa"/>
            <w:tcBorders>
              <w:top w:val="single" w:sz="4" w:space="0" w:color="auto"/>
              <w:left w:val="single" w:sz="4" w:space="0" w:color="auto"/>
              <w:bottom w:val="single" w:sz="4" w:space="0" w:color="auto"/>
              <w:right w:val="single" w:sz="4" w:space="0" w:color="auto"/>
            </w:tcBorders>
          </w:tcPr>
          <w:p w14:paraId="6891A6F3" w14:textId="77777777" w:rsidR="00E60842" w:rsidRDefault="00E60842" w:rsidP="007E5022">
            <w:pPr>
              <w:pStyle w:val="TableText"/>
            </w:pPr>
            <w:r>
              <w:t>S(i)</w:t>
            </w:r>
          </w:p>
          <w:p w14:paraId="36BE9BA2" w14:textId="77777777" w:rsidR="00E60842" w:rsidRDefault="00E60842" w:rsidP="007E5022">
            <w:pPr>
              <w:pStyle w:val="TableText"/>
            </w:pPr>
          </w:p>
          <w:p w14:paraId="49656A25" w14:textId="77777777" w:rsidR="00E60842" w:rsidRDefault="00E60842" w:rsidP="007E5022">
            <w:pPr>
              <w:pStyle w:val="TableText"/>
            </w:pPr>
          </w:p>
        </w:tc>
        <w:tc>
          <w:tcPr>
            <w:tcW w:w="11907" w:type="dxa"/>
            <w:tcBorders>
              <w:top w:val="single" w:sz="4" w:space="0" w:color="auto"/>
              <w:left w:val="single" w:sz="4" w:space="0" w:color="auto"/>
              <w:bottom w:val="single" w:sz="4" w:space="0" w:color="auto"/>
              <w:right w:val="single" w:sz="4" w:space="0" w:color="auto"/>
            </w:tcBorders>
          </w:tcPr>
          <w:p w14:paraId="52A5F48B" w14:textId="77777777" w:rsidR="00E60842" w:rsidRDefault="00E60842" w:rsidP="007E5022">
            <w:pPr>
              <w:pStyle w:val="TableText"/>
            </w:pPr>
            <w:r>
              <w:t>Describe the elements of the Fund’s CSO selection process that worked well and the elements that required strengthening.</w:t>
            </w:r>
          </w:p>
          <w:p w14:paraId="43A34FF0" w14:textId="77777777" w:rsidR="00E60842" w:rsidRDefault="00E60842" w:rsidP="007E5022">
            <w:pPr>
              <w:pStyle w:val="TableText"/>
            </w:pPr>
            <w:r>
              <w:t>Describe to what extent you found the guidance for assessing CSO capacity and CSO projects useful and easy to use.</w:t>
            </w:r>
          </w:p>
        </w:tc>
      </w:tr>
      <w:tr w:rsidR="00E60842" w14:paraId="0BE9A5E4" w14:textId="77777777" w:rsidTr="007E5022">
        <w:tc>
          <w:tcPr>
            <w:tcW w:w="1242" w:type="dxa"/>
            <w:tcBorders>
              <w:top w:val="single" w:sz="4" w:space="0" w:color="auto"/>
              <w:left w:val="single" w:sz="4" w:space="0" w:color="auto"/>
              <w:bottom w:val="single" w:sz="4" w:space="0" w:color="auto"/>
              <w:right w:val="single" w:sz="4" w:space="0" w:color="auto"/>
            </w:tcBorders>
          </w:tcPr>
          <w:p w14:paraId="583673E5" w14:textId="77777777" w:rsidR="00E60842" w:rsidRDefault="00E60842" w:rsidP="007E5022">
            <w:pPr>
              <w:pStyle w:val="TableText"/>
            </w:pPr>
            <w:r>
              <w:t>S(ii)</w:t>
            </w:r>
          </w:p>
          <w:p w14:paraId="3C0900DE" w14:textId="77777777" w:rsidR="00E60842" w:rsidRDefault="00E60842" w:rsidP="007E5022">
            <w:pPr>
              <w:pStyle w:val="TableText"/>
            </w:pPr>
          </w:p>
          <w:p w14:paraId="407314F9" w14:textId="77777777" w:rsidR="00E60842" w:rsidRDefault="00E60842" w:rsidP="007E5022">
            <w:pPr>
              <w:pStyle w:val="TableText"/>
            </w:pPr>
            <w:r>
              <w:t>S(ii)</w:t>
            </w:r>
          </w:p>
        </w:tc>
        <w:tc>
          <w:tcPr>
            <w:tcW w:w="11907" w:type="dxa"/>
            <w:tcBorders>
              <w:top w:val="single" w:sz="4" w:space="0" w:color="auto"/>
              <w:left w:val="single" w:sz="4" w:space="0" w:color="auto"/>
              <w:bottom w:val="single" w:sz="4" w:space="0" w:color="auto"/>
              <w:right w:val="single" w:sz="4" w:space="0" w:color="auto"/>
            </w:tcBorders>
          </w:tcPr>
          <w:p w14:paraId="19F86382" w14:textId="77777777" w:rsidR="00E60842" w:rsidRDefault="00E60842" w:rsidP="007E5022">
            <w:pPr>
              <w:pStyle w:val="TableText"/>
              <w:rPr>
                <w:i/>
              </w:rPr>
            </w:pPr>
            <w:r>
              <w:rPr>
                <w:i/>
              </w:rPr>
              <w:t>To tailor questions following document review of CSO selection process:</w:t>
            </w:r>
          </w:p>
          <w:p w14:paraId="690E3DE7" w14:textId="77777777" w:rsidR="00E60842" w:rsidRDefault="00E60842" w:rsidP="007E5022">
            <w:pPr>
              <w:pStyle w:val="TableText"/>
            </w:pPr>
            <w:r>
              <w:t>Describe how the panel assessed gender inclusiveness.</w:t>
            </w:r>
          </w:p>
          <w:p w14:paraId="6269B24A" w14:textId="77777777" w:rsidR="00E60842" w:rsidRDefault="00E60842" w:rsidP="007E5022">
            <w:pPr>
              <w:pStyle w:val="TableText"/>
            </w:pPr>
            <w:r>
              <w:t>Describe how the panel assessed disability inclusiveness.</w:t>
            </w:r>
          </w:p>
        </w:tc>
      </w:tr>
    </w:tbl>
    <w:p w14:paraId="5B904ECF" w14:textId="7AB419C7" w:rsidR="005D5113" w:rsidRPr="005D5113" w:rsidRDefault="005D5113" w:rsidP="0014733A">
      <w:pPr>
        <w:pStyle w:val="BodyText"/>
      </w:pPr>
    </w:p>
    <w:sectPr w:rsidR="005D5113" w:rsidRPr="005D5113" w:rsidSect="00D554A6">
      <w:footnotePr>
        <w:numFmt w:val="chicago"/>
        <w:numRestart w:val="eachPage"/>
      </w:footnotePr>
      <w:endnotePr>
        <w:numFmt w:val="decimal"/>
      </w:endnotePr>
      <w:pgSz w:w="16840" w:h="11907" w:orient="landscape" w:code="9"/>
      <w:pgMar w:top="1701" w:right="1072" w:bottom="1701" w:left="907" w:header="851"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8A706" w14:textId="77777777" w:rsidR="007E5022" w:rsidRDefault="007E5022">
      <w:r>
        <w:separator/>
      </w:r>
    </w:p>
    <w:p w14:paraId="7DCC6ED6" w14:textId="77777777" w:rsidR="007E5022" w:rsidRDefault="007E5022"/>
  </w:endnote>
  <w:endnote w:type="continuationSeparator" w:id="0">
    <w:p w14:paraId="70195D4C" w14:textId="77777777" w:rsidR="007E5022" w:rsidRDefault="007E5022">
      <w:r>
        <w:continuationSeparator/>
      </w:r>
    </w:p>
    <w:p w14:paraId="181D14EA" w14:textId="77777777" w:rsidR="007E5022" w:rsidRDefault="007E5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286136"/>
      <w:docPartObj>
        <w:docPartGallery w:val="Page Numbers (Bottom of Page)"/>
        <w:docPartUnique/>
      </w:docPartObj>
    </w:sdtPr>
    <w:sdtEndPr>
      <w:rPr>
        <w:noProof/>
      </w:rPr>
    </w:sdtEndPr>
    <w:sdtContent>
      <w:p w14:paraId="30032AC2" w14:textId="77777777" w:rsidR="007E5022" w:rsidRDefault="007E5022" w:rsidP="00691B6A">
        <w:pPr>
          <w:pStyle w:val="Footer"/>
        </w:pPr>
        <w:r>
          <w:fldChar w:fldCharType="begin"/>
        </w:r>
        <w:r>
          <w:instrText xml:space="preserve"> PAGE   \* MERGEFORMAT </w:instrText>
        </w:r>
        <w:r>
          <w:fldChar w:fldCharType="separate"/>
        </w:r>
        <w:r>
          <w:rPr>
            <w:noProof/>
          </w:rPr>
          <w:t>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834638"/>
      <w:docPartObj>
        <w:docPartGallery w:val="Page Numbers (Bottom of Page)"/>
        <w:docPartUnique/>
      </w:docPartObj>
    </w:sdtPr>
    <w:sdtEndPr/>
    <w:sdtContent>
      <w:p w14:paraId="10E24AB6" w14:textId="199D4DE1" w:rsidR="007E5022" w:rsidRPr="00691B6A" w:rsidRDefault="007E5022" w:rsidP="00691B6A">
        <w:pPr>
          <w:pStyle w:val="Footer"/>
        </w:pPr>
        <w:r w:rsidRPr="00691B6A">
          <w:fldChar w:fldCharType="begin"/>
        </w:r>
        <w:r w:rsidRPr="00691B6A">
          <w:instrText xml:space="preserve"> PAGE   \* MERGEFORMAT </w:instrText>
        </w:r>
        <w:r w:rsidRPr="00691B6A">
          <w:fldChar w:fldCharType="separate"/>
        </w:r>
        <w:r w:rsidR="00A513E4">
          <w:rPr>
            <w:noProof/>
          </w:rPr>
          <w:t>31</w:t>
        </w:r>
        <w:r w:rsidRPr="00691B6A">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85E987" w14:textId="77777777" w:rsidR="00594CB7" w:rsidRDefault="00594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2CE3FA" w14:textId="77777777" w:rsidR="007E5022" w:rsidRDefault="007E5022" w:rsidP="00B90206">
      <w:pPr>
        <w:spacing w:before="60" w:after="40" w:line="180" w:lineRule="exact"/>
      </w:pPr>
      <w:r>
        <w:continuationSeparator/>
      </w:r>
    </w:p>
    <w:p w14:paraId="6D32EB8C" w14:textId="77777777" w:rsidR="007E5022" w:rsidRDefault="007E5022"/>
  </w:footnote>
  <w:footnote w:type="continuationSeparator" w:id="0">
    <w:p w14:paraId="29F23745" w14:textId="77777777" w:rsidR="007E5022" w:rsidRDefault="007E5022">
      <w:r>
        <w:continuationSeparator/>
      </w:r>
    </w:p>
    <w:p w14:paraId="4C3F1AE5" w14:textId="77777777" w:rsidR="007E5022" w:rsidRDefault="007E5022"/>
  </w:footnote>
  <w:footnote w:type="continuationNotice" w:id="1">
    <w:p w14:paraId="588068D9" w14:textId="77777777" w:rsidR="007E5022" w:rsidRDefault="007E5022"/>
    <w:p w14:paraId="5143391A" w14:textId="77777777" w:rsidR="007E5022" w:rsidRDefault="007E5022"/>
  </w:footnote>
  <w:footnote w:id="2">
    <w:p w14:paraId="107E5E5D" w14:textId="77777777" w:rsidR="007E5022" w:rsidRDefault="007E5022" w:rsidP="001A337D">
      <w:pPr>
        <w:pStyle w:val="FootnoteText"/>
      </w:pPr>
      <w:r>
        <w:rPr>
          <w:rStyle w:val="FootnoteReference"/>
        </w:rPr>
        <w:footnoteRef/>
      </w:r>
      <w:r>
        <w:t xml:space="preserve"> </w:t>
      </w:r>
      <w:r>
        <w:rPr>
          <w:rFonts w:eastAsia="Cambria"/>
        </w:rPr>
        <w:t>As of September</w:t>
      </w:r>
      <w:r w:rsidRPr="009E6BC2">
        <w:rPr>
          <w:rFonts w:eastAsia="Cambria"/>
        </w:rPr>
        <w:t xml:space="preserve"> 2016 the MERP had conducted monitoring visits to 27 of the Fund’s 29 projects</w:t>
      </w:r>
      <w:r>
        <w:rPr>
          <w:rFonts w:eastAsia="Cambria"/>
        </w:rPr>
        <w:t xml:space="preserve">. Two projects in Bangladesh had not been visited for security reasons. </w:t>
      </w:r>
    </w:p>
  </w:footnote>
  <w:footnote w:id="3">
    <w:p w14:paraId="55983C8E" w14:textId="112414B3" w:rsidR="007E5022" w:rsidRDefault="007E5022">
      <w:pPr>
        <w:pStyle w:val="FootnoteText"/>
      </w:pPr>
      <w:r>
        <w:rPr>
          <w:rStyle w:val="FootnoteReference"/>
        </w:rPr>
        <w:footnoteRef/>
      </w:r>
      <w:r>
        <w:t xml:space="preserve"> Note MERP contracts were amended in September 2016. As a result this table has been updated when compared to earlier evaluation products. </w:t>
      </w:r>
    </w:p>
  </w:footnote>
  <w:footnote w:id="4">
    <w:p w14:paraId="0D02AAF4" w14:textId="0241CA20" w:rsidR="007E5022" w:rsidRDefault="007E5022">
      <w:pPr>
        <w:pStyle w:val="FootnoteText"/>
      </w:pPr>
      <w:r>
        <w:rPr>
          <w:rStyle w:val="FootnoteReference"/>
        </w:rPr>
        <w:footnoteRef/>
      </w:r>
      <w:r>
        <w:t xml:space="preserve"> This includes all costs associated with the Knowledge and Learning Component, such as the costs of learning events and website set up and maintenance. </w:t>
      </w:r>
    </w:p>
  </w:footnote>
  <w:footnote w:id="5">
    <w:p w14:paraId="5AF6D39A" w14:textId="1D8EDC0C" w:rsidR="007E5022" w:rsidRDefault="007E5022" w:rsidP="00E22187">
      <w:pPr>
        <w:pStyle w:val="FootnoteText"/>
      </w:pPr>
      <w:r>
        <w:rPr>
          <w:rStyle w:val="FootnoteReference"/>
        </w:rPr>
        <w:footnoteRef/>
      </w:r>
      <w:r>
        <w:t xml:space="preserve"> This includes work such as the Fund design, selection and procurement processes and the inception phase workshop. </w:t>
      </w:r>
    </w:p>
  </w:footnote>
  <w:footnote w:id="6">
    <w:p w14:paraId="4D02C0AE" w14:textId="77777777" w:rsidR="007E5022" w:rsidRDefault="007E5022" w:rsidP="008E5561">
      <w:pPr>
        <w:pStyle w:val="FootnoteText"/>
      </w:pPr>
      <w:r>
        <w:rPr>
          <w:rStyle w:val="FootnoteReference"/>
        </w:rPr>
        <w:footnoteRef/>
      </w:r>
      <w:r>
        <w:t xml:space="preserve"> Note the evaluation focussed on gender equality and disability inclusiveness in the Fund as these are high priority issues for both DFAT and the Office of Development Effectiveness. Resource constraints meant other cross issues considered in the Fund, such as environment, climate change and disaster risk reduction, were not examined by the evaluation team. </w:t>
      </w:r>
    </w:p>
    <w:p w14:paraId="7DA6B763" w14:textId="77777777" w:rsidR="007E5022" w:rsidRDefault="007E5022" w:rsidP="008E5561">
      <w:pPr>
        <w:pStyle w:val="FootnoteText"/>
      </w:pPr>
    </w:p>
  </w:footnote>
  <w:footnote w:id="7">
    <w:p w14:paraId="7FD64B8B" w14:textId="77777777" w:rsidR="007E5022" w:rsidRDefault="007E5022" w:rsidP="008E5561">
      <w:pPr>
        <w:pStyle w:val="FootnoteText"/>
      </w:pPr>
      <w:r>
        <w:rPr>
          <w:rStyle w:val="FootnoteReference"/>
        </w:rPr>
        <w:footnoteRef/>
      </w:r>
      <w:r>
        <w:t xml:space="preserve"> See </w:t>
      </w:r>
      <w:r w:rsidRPr="001B4F38">
        <w:t>http://dfat.gov.au/about-us/publications/aid/Pages/the-australian-ngo-cooperation-program-fact-sheet.aspx</w:t>
      </w:r>
    </w:p>
  </w:footnote>
  <w:footnote w:id="8">
    <w:p w14:paraId="7533D94D" w14:textId="723B9BD0" w:rsidR="007E5022" w:rsidRDefault="007E5022">
      <w:pPr>
        <w:pStyle w:val="FootnoteText"/>
      </w:pPr>
      <w:r>
        <w:rPr>
          <w:rStyle w:val="FootnoteReference"/>
        </w:rPr>
        <w:footnoteRef/>
      </w:r>
      <w:r>
        <w:t xml:space="preserve"> Note it is not assumed a future Fund Management Facility would be managed by a for-profit managing contractor. A future FMF could be managed by a for-profit or not-for-profit entity. </w:t>
      </w:r>
    </w:p>
  </w:footnote>
  <w:footnote w:id="9">
    <w:p w14:paraId="4A208F2A" w14:textId="401301DF" w:rsidR="007E5022" w:rsidRDefault="007E5022" w:rsidP="00943BAD">
      <w:pPr>
        <w:pStyle w:val="FootnoteText"/>
      </w:pPr>
      <w:r>
        <w:rPr>
          <w:rStyle w:val="FootnoteReference"/>
        </w:rPr>
        <w:footnoteRef/>
      </w:r>
      <w:r>
        <w:t xml:space="preserve"> The WASH Reference Group is a community of practice for CSOs and research institutions involved in WASH aid programs. DFAT WSH actively engages with the Reference Group. </w:t>
      </w:r>
    </w:p>
  </w:footnote>
  <w:footnote w:id="10">
    <w:p w14:paraId="5E211E64" w14:textId="46CA6AC6" w:rsidR="007E5022" w:rsidRDefault="007E5022" w:rsidP="00411A56">
      <w:pPr>
        <w:pStyle w:val="FootnoteText"/>
      </w:pPr>
      <w:r>
        <w:rPr>
          <w:rStyle w:val="FootnoteReference"/>
        </w:rPr>
        <w:footnoteRef/>
      </w:r>
      <w:r>
        <w:t xml:space="preserve"> The information on ANCP relates to the when the ANCP evaluation was finalised in 2015. It is likely a number of issues have been addressed or improved since that time. </w:t>
      </w:r>
    </w:p>
  </w:footnote>
  <w:footnote w:id="11">
    <w:p w14:paraId="2F5FF4AD" w14:textId="5DA6A4F4" w:rsidR="007E5022" w:rsidRPr="0066757D" w:rsidRDefault="007E5022">
      <w:pPr>
        <w:pStyle w:val="FootnoteText"/>
        <w:rPr>
          <w:lang w:val="en-US"/>
        </w:rPr>
      </w:pPr>
      <w:r>
        <w:rPr>
          <w:rStyle w:val="FootnoteReference"/>
        </w:rPr>
        <w:footnoteRef/>
      </w:r>
      <w:r>
        <w:t xml:space="preserve"> </w:t>
      </w:r>
      <w:r>
        <w:rPr>
          <w:lang w:val="en-US"/>
        </w:rPr>
        <w:t xml:space="preserve">DFAT staff FTE has not been converted to a monetary value. The evaluation team did not have data on the seniority of staff involved in ANCP and AACES, and so could not compare the costs of DFAT staff across the programs. </w:t>
      </w:r>
    </w:p>
  </w:footnote>
  <w:footnote w:id="12">
    <w:p w14:paraId="3797BDE4" w14:textId="77777777" w:rsidR="007E5022" w:rsidRDefault="007E5022" w:rsidP="00F47E34">
      <w:pPr>
        <w:pStyle w:val="FootnoteText"/>
      </w:pPr>
      <w:r>
        <w:rPr>
          <w:rStyle w:val="FootnoteReference"/>
        </w:rPr>
        <w:footnoteRef/>
      </w:r>
      <w:r>
        <w:t xml:space="preserve"> Design document at p. 1.</w:t>
      </w:r>
    </w:p>
  </w:footnote>
  <w:footnote w:id="13">
    <w:p w14:paraId="38149486" w14:textId="77777777" w:rsidR="007E5022" w:rsidRDefault="007E5022" w:rsidP="006947E2">
      <w:pPr>
        <w:pStyle w:val="FootnoteText"/>
      </w:pPr>
      <w:r>
        <w:rPr>
          <w:rStyle w:val="FootnoteReference"/>
        </w:rPr>
        <w:footnoteRef/>
      </w:r>
      <w:r>
        <w:t xml:space="preserve"> For example, the Commonwealth Grants Rules and Guidelines, July 2014.</w:t>
      </w:r>
    </w:p>
  </w:footnote>
  <w:footnote w:id="14">
    <w:p w14:paraId="47739421" w14:textId="6EBFCB15" w:rsidR="007E5022" w:rsidRDefault="007E5022">
      <w:pPr>
        <w:pStyle w:val="FootnoteText"/>
      </w:pPr>
      <w:r>
        <w:rPr>
          <w:rStyle w:val="FootnoteReference"/>
        </w:rPr>
        <w:footnoteRef/>
      </w:r>
      <w:r>
        <w:t xml:space="preserve"> </w:t>
      </w:r>
      <w:proofErr w:type="gramStart"/>
      <w:r>
        <w:t>Independent progress report for Civil Society Water, Sanitation and Hygiene Fund, February 2011, p. 5.</w:t>
      </w:r>
      <w:proofErr w:type="gramEnd"/>
      <w:r>
        <w:t xml:space="preserve"> </w:t>
      </w:r>
    </w:p>
  </w:footnote>
  <w:footnote w:id="15">
    <w:p w14:paraId="5E71B51A" w14:textId="77777777" w:rsidR="007E5022" w:rsidRPr="007372DF" w:rsidRDefault="007E5022" w:rsidP="000D5CEA">
      <w:pPr>
        <w:pStyle w:val="FootnoteText"/>
        <w:rPr>
          <w:rStyle w:val="FootnoteReference"/>
        </w:rPr>
      </w:pPr>
      <w:r w:rsidRPr="007372DF">
        <w:rPr>
          <w:rStyle w:val="FootnoteReference"/>
        </w:rPr>
        <w:footnoteRef/>
      </w:r>
      <w:r w:rsidRPr="007372DF">
        <w:rPr>
          <w:rStyle w:val="FootnoteReference"/>
        </w:rPr>
        <w:t xml:space="preserve"> Seven out of 11 respondents agreed, with one agreeing strongly.</w:t>
      </w:r>
    </w:p>
  </w:footnote>
  <w:footnote w:id="16">
    <w:p w14:paraId="4B3D944A" w14:textId="77777777" w:rsidR="007E5022" w:rsidRPr="007372DF" w:rsidRDefault="007E5022" w:rsidP="000D5CEA">
      <w:pPr>
        <w:pStyle w:val="FootnoteText"/>
        <w:rPr>
          <w:rStyle w:val="FootnoteReference"/>
        </w:rPr>
      </w:pPr>
      <w:r w:rsidRPr="007372DF">
        <w:rPr>
          <w:rStyle w:val="FootnoteReference"/>
        </w:rPr>
        <w:footnoteRef/>
      </w:r>
      <w:r w:rsidRPr="007372DF">
        <w:rPr>
          <w:rStyle w:val="FootnoteReference"/>
        </w:rPr>
        <w:t xml:space="preserve"> Only three out of nine respondents who answered this question agreed that they could understand the basis for assessment.  Three out of nine also agreed that they could understand the basis for funding.</w:t>
      </w:r>
    </w:p>
  </w:footnote>
  <w:footnote w:id="17">
    <w:p w14:paraId="146EBFAA" w14:textId="77777777" w:rsidR="007E5022" w:rsidRPr="007372DF" w:rsidRDefault="007E5022" w:rsidP="000D5CEA">
      <w:pPr>
        <w:pStyle w:val="FootnoteText"/>
        <w:rPr>
          <w:rStyle w:val="FootnoteReference"/>
        </w:rPr>
      </w:pPr>
      <w:r w:rsidRPr="007372DF">
        <w:rPr>
          <w:rStyle w:val="FootnoteReference"/>
        </w:rPr>
        <w:footnoteRef/>
      </w:r>
      <w:r w:rsidRPr="007372DF">
        <w:rPr>
          <w:rStyle w:val="FootnoteReference"/>
        </w:rPr>
        <w:t xml:space="preserve"> Six out of seven respondents agreed, with three agreeing strongly.</w:t>
      </w:r>
    </w:p>
  </w:footnote>
  <w:footnote w:id="18">
    <w:p w14:paraId="77BB9BFF" w14:textId="77777777" w:rsidR="007E5022" w:rsidRPr="007372DF" w:rsidRDefault="007E5022" w:rsidP="000D5CEA">
      <w:pPr>
        <w:pStyle w:val="FootnoteText"/>
        <w:rPr>
          <w:rStyle w:val="FootnoteReference"/>
        </w:rPr>
      </w:pPr>
      <w:r w:rsidRPr="007372DF">
        <w:rPr>
          <w:rStyle w:val="FootnoteReference"/>
        </w:rPr>
        <w:footnoteRef/>
      </w:r>
      <w:r w:rsidRPr="007372DF">
        <w:rPr>
          <w:rStyle w:val="FootnoteReference"/>
        </w:rPr>
        <w:t xml:space="preserve"> Six out of seven agreeing, with two agreeing strongly.</w:t>
      </w:r>
    </w:p>
  </w:footnote>
  <w:footnote w:id="19">
    <w:p w14:paraId="735C6B29" w14:textId="77777777" w:rsidR="007E5022" w:rsidRDefault="007E5022" w:rsidP="000D5CEA">
      <w:pPr>
        <w:pStyle w:val="FootnoteText"/>
      </w:pPr>
      <w:r w:rsidRPr="007372DF">
        <w:rPr>
          <w:rStyle w:val="FootnoteReference"/>
        </w:rPr>
        <w:footnoteRef/>
      </w:r>
      <w:r w:rsidRPr="007372DF">
        <w:rPr>
          <w:rStyle w:val="FootnoteReference"/>
        </w:rPr>
        <w:t xml:space="preserve"> Three out of seven agreeing, with two agreeing strongly.</w:t>
      </w:r>
    </w:p>
  </w:footnote>
  <w:footnote w:id="20">
    <w:p w14:paraId="3B8808E5" w14:textId="77777777" w:rsidR="007E5022" w:rsidRDefault="007E5022" w:rsidP="00F47E34">
      <w:pPr>
        <w:pStyle w:val="FootnoteText"/>
      </w:pPr>
      <w:r>
        <w:rPr>
          <w:rStyle w:val="FootnoteReference"/>
        </w:rPr>
        <w:footnoteRef/>
      </w:r>
      <w:r>
        <w:t xml:space="preserve"> ‘Officials are encouraged to seek input from potential grant applicants when developing grant activities’: Department of Finance, Commonwealth Grants Rules and Guidelines (July 2014), at para 8.2.</w:t>
      </w:r>
    </w:p>
  </w:footnote>
  <w:footnote w:id="21">
    <w:p w14:paraId="0506A459" w14:textId="7CED4E8C" w:rsidR="007E5022" w:rsidRDefault="007E5022">
      <w:pPr>
        <w:pStyle w:val="FootnoteText"/>
      </w:pPr>
      <w:r>
        <w:rPr>
          <w:rStyle w:val="FootnoteReference"/>
        </w:rPr>
        <w:footnoteRef/>
      </w:r>
      <w:r>
        <w:t xml:space="preserve"> Note that six CSOs completed the inception phase and commenced implementation in August 2013, as original scheduled when the Fund was set up. The other CSOs did not complete the inception phase prior to the caretaker period and Australian Government election in August-September 2013. These CSOs did not commence implementation until May 2014. </w:t>
      </w:r>
    </w:p>
  </w:footnote>
  <w:footnote w:id="22">
    <w:p w14:paraId="6CC9FC8D" w14:textId="77777777" w:rsidR="007E5022" w:rsidRPr="009919D0" w:rsidRDefault="007E5022" w:rsidP="00F76826">
      <w:pPr>
        <w:pStyle w:val="FootnoteText"/>
        <w:rPr>
          <w:lang w:val="en-US"/>
        </w:rPr>
      </w:pPr>
      <w:r>
        <w:rPr>
          <w:rStyle w:val="FootnoteReference"/>
        </w:rPr>
        <w:footnoteRef/>
      </w:r>
      <w:r>
        <w:t xml:space="preserve"> </w:t>
      </w:r>
      <w:r>
        <w:rPr>
          <w:lang w:val="en-US"/>
        </w:rPr>
        <w:t xml:space="preserve">Note that CSOs received some additional funds for the inception phase. </w:t>
      </w:r>
    </w:p>
  </w:footnote>
  <w:footnote w:id="23">
    <w:p w14:paraId="1D8DC99D" w14:textId="77777777" w:rsidR="007E5022" w:rsidRDefault="007E5022" w:rsidP="00E60842">
      <w:pPr>
        <w:pStyle w:val="FootnoteText"/>
      </w:pPr>
      <w:r>
        <w:rPr>
          <w:rStyle w:val="FootnoteReference"/>
        </w:rPr>
        <w:footnoteRef/>
      </w:r>
      <w:r>
        <w:t xml:space="preserve"> See minute ‘Change in method for MERP’, 12 August 2012. </w:t>
      </w:r>
    </w:p>
  </w:footnote>
  <w:footnote w:id="24">
    <w:p w14:paraId="637C3ED6" w14:textId="77777777" w:rsidR="007E5022" w:rsidRDefault="007E5022" w:rsidP="00E60842">
      <w:pPr>
        <w:pStyle w:val="FootnoteText"/>
      </w:pPr>
      <w:r>
        <w:rPr>
          <w:rStyle w:val="FootnoteReference"/>
        </w:rPr>
        <w:footnoteRef/>
      </w:r>
      <w:r>
        <w:t xml:space="preserve"> If the Fund has low fund management costs and low fund management effectiveness, it could be considered cost-effective because costs and effectiveness are proportionate. However, low fund management effectiveness is not a desirable outcome and it is the evaluation team’s view that a program can’t be cost-effective if it is not effective to begin with. </w:t>
      </w:r>
    </w:p>
  </w:footnote>
  <w:footnote w:id="25">
    <w:p w14:paraId="3083776D" w14:textId="77777777" w:rsidR="007E5022" w:rsidRDefault="007E5022" w:rsidP="00E60842">
      <w:pPr>
        <w:pStyle w:val="FootnoteText"/>
      </w:pPr>
      <w:r>
        <w:rPr>
          <w:rStyle w:val="FootnoteReference"/>
        </w:rPr>
        <w:footnoteRef/>
      </w:r>
      <w:r>
        <w:t xml:space="preserve"> Note: QAIs/AQCs don’t mention any concerns for DFAT on the contract management load. Note that DFAT has to do partner performance assessments for all the CSOs plus Palladium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92E0E" w14:textId="77777777" w:rsidR="00594CB7" w:rsidRDefault="00594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1FB5F" w14:textId="77777777" w:rsidR="00594CB7" w:rsidRDefault="00594C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4062B" w14:textId="77777777" w:rsidR="00594CB7" w:rsidRDefault="00594C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15BCA" w14:textId="77777777" w:rsidR="007E5022" w:rsidRDefault="007E5022" w:rsidP="00B90206">
    <w:pPr>
      <w:pStyle w:val="Heade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968B7" w14:textId="77777777" w:rsidR="007E5022" w:rsidRDefault="007E5022" w:rsidP="00B90206">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F61CB8"/>
    <w:lvl w:ilvl="0">
      <w:start w:val="1"/>
      <w:numFmt w:val="decimal"/>
      <w:lvlText w:val="%1."/>
      <w:lvlJc w:val="left"/>
      <w:pPr>
        <w:tabs>
          <w:tab w:val="num" w:pos="1492"/>
        </w:tabs>
        <w:ind w:left="1492" w:hanging="360"/>
      </w:pPr>
    </w:lvl>
  </w:abstractNum>
  <w:abstractNum w:abstractNumId="1">
    <w:nsid w:val="FFFFFF7D"/>
    <w:multiLevelType w:val="singleLevel"/>
    <w:tmpl w:val="0B08883A"/>
    <w:lvl w:ilvl="0">
      <w:start w:val="1"/>
      <w:numFmt w:val="decimal"/>
      <w:lvlText w:val="%1."/>
      <w:lvlJc w:val="left"/>
      <w:pPr>
        <w:tabs>
          <w:tab w:val="num" w:pos="1209"/>
        </w:tabs>
        <w:ind w:left="1209" w:hanging="360"/>
      </w:pPr>
    </w:lvl>
  </w:abstractNum>
  <w:abstractNum w:abstractNumId="2">
    <w:nsid w:val="FFFFFF7E"/>
    <w:multiLevelType w:val="singleLevel"/>
    <w:tmpl w:val="2EE6744A"/>
    <w:lvl w:ilvl="0">
      <w:start w:val="1"/>
      <w:numFmt w:val="lowerRoman"/>
      <w:pStyle w:val="ListNumber3"/>
      <w:lvlText w:val="%1."/>
      <w:lvlJc w:val="left"/>
      <w:pPr>
        <w:ind w:left="926" w:hanging="360"/>
      </w:pPr>
      <w:rPr>
        <w:rFonts w:hint="default"/>
      </w:rPr>
    </w:lvl>
  </w:abstractNum>
  <w:abstractNum w:abstractNumId="3">
    <w:nsid w:val="FFFFFF80"/>
    <w:multiLevelType w:val="singleLevel"/>
    <w:tmpl w:val="C74EAD62"/>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F6803AC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BDB0AA1C"/>
    <w:lvl w:ilvl="0">
      <w:start w:val="1"/>
      <w:numFmt w:val="bullet"/>
      <w:pStyle w:val="ListBullet3"/>
      <w:lvlText w:val="o"/>
      <w:lvlJc w:val="left"/>
      <w:pPr>
        <w:ind w:left="927" w:hanging="360"/>
      </w:pPr>
      <w:rPr>
        <w:rFonts w:ascii="Courier New" w:hAnsi="Courier New" w:hint="default"/>
        <w:sz w:val="16"/>
      </w:rPr>
    </w:lvl>
  </w:abstractNum>
  <w:abstractNum w:abstractNumId="6">
    <w:nsid w:val="FFFFFF89"/>
    <w:multiLevelType w:val="singleLevel"/>
    <w:tmpl w:val="D2D84618"/>
    <w:lvl w:ilvl="0">
      <w:start w:val="1"/>
      <w:numFmt w:val="bullet"/>
      <w:lvlText w:val=""/>
      <w:lvlJc w:val="left"/>
      <w:pPr>
        <w:tabs>
          <w:tab w:val="num" w:pos="360"/>
        </w:tabs>
        <w:ind w:left="360" w:hanging="360"/>
      </w:pPr>
      <w:rPr>
        <w:rFonts w:ascii="Symbol" w:hAnsi="Symbol" w:hint="default"/>
      </w:rPr>
    </w:lvl>
  </w:abstractNum>
  <w:abstractNum w:abstractNumId="7">
    <w:nsid w:val="00DA6470"/>
    <w:multiLevelType w:val="hybridMultilevel"/>
    <w:tmpl w:val="9DF2EA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63D7532"/>
    <w:multiLevelType w:val="hybridMultilevel"/>
    <w:tmpl w:val="7AC07B9C"/>
    <w:lvl w:ilvl="0" w:tplc="0442966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7B67778"/>
    <w:multiLevelType w:val="hybridMultilevel"/>
    <w:tmpl w:val="2E445AB6"/>
    <w:lvl w:ilvl="0" w:tplc="EEB2B4C2">
      <w:start w:val="1"/>
      <w:numFmt w:val="bullet"/>
      <w:lvlText w:val="»"/>
      <w:lvlJc w:val="left"/>
      <w:pPr>
        <w:ind w:left="1572" w:hanging="360"/>
      </w:pPr>
      <w:rPr>
        <w:rFonts w:ascii="Times New Roman" w:hAnsi="Times New Roman" w:cs="Times New Roman"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10">
    <w:nsid w:val="13973291"/>
    <w:multiLevelType w:val="hybridMultilevel"/>
    <w:tmpl w:val="A9B0558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621CE7"/>
    <w:multiLevelType w:val="hybridMultilevel"/>
    <w:tmpl w:val="2760E9F8"/>
    <w:lvl w:ilvl="0" w:tplc="8ECE1B78">
      <w:start w:val="1"/>
      <w:numFmt w:val="bullet"/>
      <w:pStyle w:val="TableListBullet2"/>
      <w:lvlText w:val="»"/>
      <w:lvlJc w:val="left"/>
      <w:pPr>
        <w:ind w:left="587" w:hanging="360"/>
      </w:pPr>
      <w:rPr>
        <w:rFonts w:ascii="Times New Roman" w:hAnsi="Times New Roman" w:cs="Times New Roman" w:hint="default"/>
      </w:rPr>
    </w:lvl>
    <w:lvl w:ilvl="1" w:tplc="947E372C" w:tentative="1">
      <w:start w:val="1"/>
      <w:numFmt w:val="bullet"/>
      <w:lvlText w:val="o"/>
      <w:lvlJc w:val="left"/>
      <w:pPr>
        <w:tabs>
          <w:tab w:val="num" w:pos="1440"/>
        </w:tabs>
        <w:ind w:left="1440" w:hanging="360"/>
      </w:pPr>
      <w:rPr>
        <w:rFonts w:ascii="Courier New" w:hAnsi="Courier New" w:cs="Wingdings" w:hint="default"/>
      </w:rPr>
    </w:lvl>
    <w:lvl w:ilvl="2" w:tplc="EB360BC2" w:tentative="1">
      <w:start w:val="1"/>
      <w:numFmt w:val="bullet"/>
      <w:lvlText w:val=""/>
      <w:lvlJc w:val="left"/>
      <w:pPr>
        <w:tabs>
          <w:tab w:val="num" w:pos="2160"/>
        </w:tabs>
        <w:ind w:left="2160" w:hanging="360"/>
      </w:pPr>
      <w:rPr>
        <w:rFonts w:ascii="Wingdings" w:hAnsi="Wingdings" w:hint="default"/>
      </w:rPr>
    </w:lvl>
    <w:lvl w:ilvl="3" w:tplc="870C39C6" w:tentative="1">
      <w:start w:val="1"/>
      <w:numFmt w:val="bullet"/>
      <w:lvlText w:val=""/>
      <w:lvlJc w:val="left"/>
      <w:pPr>
        <w:tabs>
          <w:tab w:val="num" w:pos="2880"/>
        </w:tabs>
        <w:ind w:left="2880" w:hanging="360"/>
      </w:pPr>
      <w:rPr>
        <w:rFonts w:ascii="Symbol" w:hAnsi="Symbol" w:hint="default"/>
      </w:rPr>
    </w:lvl>
    <w:lvl w:ilvl="4" w:tplc="C75CAEA6" w:tentative="1">
      <w:start w:val="1"/>
      <w:numFmt w:val="bullet"/>
      <w:lvlText w:val="o"/>
      <w:lvlJc w:val="left"/>
      <w:pPr>
        <w:tabs>
          <w:tab w:val="num" w:pos="3600"/>
        </w:tabs>
        <w:ind w:left="3600" w:hanging="360"/>
      </w:pPr>
      <w:rPr>
        <w:rFonts w:ascii="Courier New" w:hAnsi="Courier New" w:cs="Wingdings" w:hint="default"/>
      </w:rPr>
    </w:lvl>
    <w:lvl w:ilvl="5" w:tplc="A10E0402" w:tentative="1">
      <w:start w:val="1"/>
      <w:numFmt w:val="bullet"/>
      <w:lvlText w:val=""/>
      <w:lvlJc w:val="left"/>
      <w:pPr>
        <w:tabs>
          <w:tab w:val="num" w:pos="4320"/>
        </w:tabs>
        <w:ind w:left="4320" w:hanging="360"/>
      </w:pPr>
      <w:rPr>
        <w:rFonts w:ascii="Wingdings" w:hAnsi="Wingdings" w:hint="default"/>
      </w:rPr>
    </w:lvl>
    <w:lvl w:ilvl="6" w:tplc="2C5E5F06" w:tentative="1">
      <w:start w:val="1"/>
      <w:numFmt w:val="bullet"/>
      <w:lvlText w:val=""/>
      <w:lvlJc w:val="left"/>
      <w:pPr>
        <w:tabs>
          <w:tab w:val="num" w:pos="5040"/>
        </w:tabs>
        <w:ind w:left="5040" w:hanging="360"/>
      </w:pPr>
      <w:rPr>
        <w:rFonts w:ascii="Symbol" w:hAnsi="Symbol" w:hint="default"/>
      </w:rPr>
    </w:lvl>
    <w:lvl w:ilvl="7" w:tplc="F404DE94" w:tentative="1">
      <w:start w:val="1"/>
      <w:numFmt w:val="bullet"/>
      <w:lvlText w:val="o"/>
      <w:lvlJc w:val="left"/>
      <w:pPr>
        <w:tabs>
          <w:tab w:val="num" w:pos="5760"/>
        </w:tabs>
        <w:ind w:left="5760" w:hanging="360"/>
      </w:pPr>
      <w:rPr>
        <w:rFonts w:ascii="Courier New" w:hAnsi="Courier New" w:cs="Wingdings" w:hint="default"/>
      </w:rPr>
    </w:lvl>
    <w:lvl w:ilvl="8" w:tplc="8B221DA6" w:tentative="1">
      <w:start w:val="1"/>
      <w:numFmt w:val="bullet"/>
      <w:lvlText w:val=""/>
      <w:lvlJc w:val="left"/>
      <w:pPr>
        <w:tabs>
          <w:tab w:val="num" w:pos="6480"/>
        </w:tabs>
        <w:ind w:left="6480" w:hanging="360"/>
      </w:pPr>
      <w:rPr>
        <w:rFonts w:ascii="Wingdings" w:hAnsi="Wingdings" w:hint="default"/>
      </w:rPr>
    </w:lvl>
  </w:abstractNum>
  <w:abstractNum w:abstractNumId="12">
    <w:nsid w:val="149C5685"/>
    <w:multiLevelType w:val="hybridMultilevel"/>
    <w:tmpl w:val="E1C6E8C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7B7DD8"/>
    <w:multiLevelType w:val="hybridMultilevel"/>
    <w:tmpl w:val="AB264564"/>
    <w:lvl w:ilvl="0" w:tplc="731A1E60">
      <w:start w:val="1"/>
      <w:numFmt w:val="lowerLetter"/>
      <w:pStyle w:val="TableListNumber2"/>
      <w:lvlText w:val="%1."/>
      <w:lvlJc w:val="left"/>
      <w:pPr>
        <w:ind w:left="587" w:hanging="360"/>
      </w:pPr>
      <w:rPr>
        <w:rFonts w:hint="default"/>
      </w:rPr>
    </w:lvl>
    <w:lvl w:ilvl="1" w:tplc="EB583B20" w:tentative="1">
      <w:start w:val="1"/>
      <w:numFmt w:val="lowerLetter"/>
      <w:lvlText w:val="%2."/>
      <w:lvlJc w:val="left"/>
      <w:pPr>
        <w:tabs>
          <w:tab w:val="num" w:pos="1440"/>
        </w:tabs>
        <w:ind w:left="1440" w:hanging="360"/>
      </w:pPr>
    </w:lvl>
    <w:lvl w:ilvl="2" w:tplc="B5E21B8A" w:tentative="1">
      <w:start w:val="1"/>
      <w:numFmt w:val="lowerRoman"/>
      <w:lvlText w:val="%3."/>
      <w:lvlJc w:val="right"/>
      <w:pPr>
        <w:tabs>
          <w:tab w:val="num" w:pos="2160"/>
        </w:tabs>
        <w:ind w:left="2160" w:hanging="180"/>
      </w:pPr>
    </w:lvl>
    <w:lvl w:ilvl="3" w:tplc="017C68B8" w:tentative="1">
      <w:start w:val="1"/>
      <w:numFmt w:val="decimal"/>
      <w:lvlText w:val="%4."/>
      <w:lvlJc w:val="left"/>
      <w:pPr>
        <w:tabs>
          <w:tab w:val="num" w:pos="2880"/>
        </w:tabs>
        <w:ind w:left="2880" w:hanging="360"/>
      </w:pPr>
    </w:lvl>
    <w:lvl w:ilvl="4" w:tplc="D1789FF6" w:tentative="1">
      <w:start w:val="1"/>
      <w:numFmt w:val="lowerLetter"/>
      <w:lvlText w:val="%5."/>
      <w:lvlJc w:val="left"/>
      <w:pPr>
        <w:tabs>
          <w:tab w:val="num" w:pos="3600"/>
        </w:tabs>
        <w:ind w:left="3600" w:hanging="360"/>
      </w:pPr>
    </w:lvl>
    <w:lvl w:ilvl="5" w:tplc="105ACA1A" w:tentative="1">
      <w:start w:val="1"/>
      <w:numFmt w:val="lowerRoman"/>
      <w:lvlText w:val="%6."/>
      <w:lvlJc w:val="right"/>
      <w:pPr>
        <w:tabs>
          <w:tab w:val="num" w:pos="4320"/>
        </w:tabs>
        <w:ind w:left="4320" w:hanging="180"/>
      </w:pPr>
    </w:lvl>
    <w:lvl w:ilvl="6" w:tplc="EF6CA31C" w:tentative="1">
      <w:start w:val="1"/>
      <w:numFmt w:val="decimal"/>
      <w:lvlText w:val="%7."/>
      <w:lvlJc w:val="left"/>
      <w:pPr>
        <w:tabs>
          <w:tab w:val="num" w:pos="5040"/>
        </w:tabs>
        <w:ind w:left="5040" w:hanging="360"/>
      </w:pPr>
    </w:lvl>
    <w:lvl w:ilvl="7" w:tplc="FD7C2C44" w:tentative="1">
      <w:start w:val="1"/>
      <w:numFmt w:val="lowerLetter"/>
      <w:lvlText w:val="%8."/>
      <w:lvlJc w:val="left"/>
      <w:pPr>
        <w:tabs>
          <w:tab w:val="num" w:pos="5760"/>
        </w:tabs>
        <w:ind w:left="5760" w:hanging="360"/>
      </w:pPr>
    </w:lvl>
    <w:lvl w:ilvl="8" w:tplc="A68E2E52" w:tentative="1">
      <w:start w:val="1"/>
      <w:numFmt w:val="lowerRoman"/>
      <w:lvlText w:val="%9."/>
      <w:lvlJc w:val="right"/>
      <w:pPr>
        <w:tabs>
          <w:tab w:val="num" w:pos="6480"/>
        </w:tabs>
        <w:ind w:left="6480" w:hanging="180"/>
      </w:pPr>
    </w:lvl>
  </w:abstractNum>
  <w:abstractNum w:abstractNumId="14">
    <w:nsid w:val="180665BC"/>
    <w:multiLevelType w:val="hybridMultilevel"/>
    <w:tmpl w:val="28E67FD2"/>
    <w:lvl w:ilvl="0" w:tplc="E95294B4">
      <w:start w:val="1"/>
      <w:numFmt w:val="decimal"/>
      <w:pStyle w:val="ListNumber"/>
      <w:lvlText w:val="%1."/>
      <w:lvlJc w:val="left"/>
      <w:pPr>
        <w:ind w:left="360" w:hanging="360"/>
      </w:pPr>
      <w:rPr>
        <w:rFonts w:hint="default"/>
      </w:rPr>
    </w:lvl>
    <w:lvl w:ilvl="1" w:tplc="1AC44F52" w:tentative="1">
      <w:start w:val="1"/>
      <w:numFmt w:val="lowerLetter"/>
      <w:lvlText w:val="%2."/>
      <w:lvlJc w:val="left"/>
      <w:pPr>
        <w:tabs>
          <w:tab w:val="num" w:pos="1440"/>
        </w:tabs>
        <w:ind w:left="1440" w:hanging="360"/>
      </w:pPr>
    </w:lvl>
    <w:lvl w:ilvl="2" w:tplc="80663A2E" w:tentative="1">
      <w:start w:val="1"/>
      <w:numFmt w:val="lowerRoman"/>
      <w:lvlText w:val="%3."/>
      <w:lvlJc w:val="right"/>
      <w:pPr>
        <w:tabs>
          <w:tab w:val="num" w:pos="2160"/>
        </w:tabs>
        <w:ind w:left="2160" w:hanging="180"/>
      </w:pPr>
    </w:lvl>
    <w:lvl w:ilvl="3" w:tplc="7494D2F4" w:tentative="1">
      <w:start w:val="1"/>
      <w:numFmt w:val="decimal"/>
      <w:lvlText w:val="%4."/>
      <w:lvlJc w:val="left"/>
      <w:pPr>
        <w:tabs>
          <w:tab w:val="num" w:pos="2880"/>
        </w:tabs>
        <w:ind w:left="2880" w:hanging="360"/>
      </w:pPr>
    </w:lvl>
    <w:lvl w:ilvl="4" w:tplc="5824E6D8" w:tentative="1">
      <w:start w:val="1"/>
      <w:numFmt w:val="lowerLetter"/>
      <w:lvlText w:val="%5."/>
      <w:lvlJc w:val="left"/>
      <w:pPr>
        <w:tabs>
          <w:tab w:val="num" w:pos="3600"/>
        </w:tabs>
        <w:ind w:left="3600" w:hanging="360"/>
      </w:pPr>
    </w:lvl>
    <w:lvl w:ilvl="5" w:tplc="9E0A90D6" w:tentative="1">
      <w:start w:val="1"/>
      <w:numFmt w:val="lowerRoman"/>
      <w:lvlText w:val="%6."/>
      <w:lvlJc w:val="right"/>
      <w:pPr>
        <w:tabs>
          <w:tab w:val="num" w:pos="4320"/>
        </w:tabs>
        <w:ind w:left="4320" w:hanging="180"/>
      </w:pPr>
    </w:lvl>
    <w:lvl w:ilvl="6" w:tplc="D8F6E7D8" w:tentative="1">
      <w:start w:val="1"/>
      <w:numFmt w:val="decimal"/>
      <w:lvlText w:val="%7."/>
      <w:lvlJc w:val="left"/>
      <w:pPr>
        <w:tabs>
          <w:tab w:val="num" w:pos="5040"/>
        </w:tabs>
        <w:ind w:left="5040" w:hanging="360"/>
      </w:pPr>
    </w:lvl>
    <w:lvl w:ilvl="7" w:tplc="CB6C9680" w:tentative="1">
      <w:start w:val="1"/>
      <w:numFmt w:val="lowerLetter"/>
      <w:lvlText w:val="%8."/>
      <w:lvlJc w:val="left"/>
      <w:pPr>
        <w:tabs>
          <w:tab w:val="num" w:pos="5760"/>
        </w:tabs>
        <w:ind w:left="5760" w:hanging="360"/>
      </w:pPr>
    </w:lvl>
    <w:lvl w:ilvl="8" w:tplc="11204952" w:tentative="1">
      <w:start w:val="1"/>
      <w:numFmt w:val="lowerRoman"/>
      <w:lvlText w:val="%9."/>
      <w:lvlJc w:val="right"/>
      <w:pPr>
        <w:tabs>
          <w:tab w:val="num" w:pos="6480"/>
        </w:tabs>
        <w:ind w:left="6480" w:hanging="180"/>
      </w:pPr>
    </w:lvl>
  </w:abstractNum>
  <w:abstractNum w:abstractNumId="15">
    <w:nsid w:val="1B013C8C"/>
    <w:multiLevelType w:val="multilevel"/>
    <w:tmpl w:val="36362CA8"/>
    <w:lvl w:ilvl="0">
      <w:start w:val="1"/>
      <w:numFmt w:val="bullet"/>
      <w:lvlText w:val=""/>
      <w:lvlJc w:val="left"/>
      <w:pPr>
        <w:ind w:left="36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D0B6933"/>
    <w:multiLevelType w:val="hybridMultilevel"/>
    <w:tmpl w:val="50122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DDF27C7"/>
    <w:multiLevelType w:val="hybridMultilevel"/>
    <w:tmpl w:val="A998B7AA"/>
    <w:lvl w:ilvl="0" w:tplc="24DC63D0">
      <w:start w:val="1"/>
      <w:numFmt w:val="decimal"/>
      <w:lvlText w:val="%1"/>
      <w:lvlJc w:val="left"/>
      <w:pPr>
        <w:ind w:left="2848" w:hanging="360"/>
      </w:pPr>
      <w:rPr>
        <w:rFonts w:hint="default"/>
      </w:rPr>
    </w:lvl>
    <w:lvl w:ilvl="1" w:tplc="0C090019" w:tentative="1">
      <w:start w:val="1"/>
      <w:numFmt w:val="lowerLetter"/>
      <w:lvlText w:val="%2."/>
      <w:lvlJc w:val="left"/>
      <w:pPr>
        <w:ind w:left="3568" w:hanging="360"/>
      </w:pPr>
    </w:lvl>
    <w:lvl w:ilvl="2" w:tplc="0C09001B" w:tentative="1">
      <w:start w:val="1"/>
      <w:numFmt w:val="lowerRoman"/>
      <w:lvlText w:val="%3."/>
      <w:lvlJc w:val="right"/>
      <w:pPr>
        <w:ind w:left="4288" w:hanging="180"/>
      </w:pPr>
    </w:lvl>
    <w:lvl w:ilvl="3" w:tplc="0C09000F" w:tentative="1">
      <w:start w:val="1"/>
      <w:numFmt w:val="decimal"/>
      <w:lvlText w:val="%4."/>
      <w:lvlJc w:val="left"/>
      <w:pPr>
        <w:ind w:left="5008" w:hanging="360"/>
      </w:pPr>
    </w:lvl>
    <w:lvl w:ilvl="4" w:tplc="0C090019" w:tentative="1">
      <w:start w:val="1"/>
      <w:numFmt w:val="lowerLetter"/>
      <w:lvlText w:val="%5."/>
      <w:lvlJc w:val="left"/>
      <w:pPr>
        <w:ind w:left="5728" w:hanging="360"/>
      </w:pPr>
    </w:lvl>
    <w:lvl w:ilvl="5" w:tplc="0C09001B" w:tentative="1">
      <w:start w:val="1"/>
      <w:numFmt w:val="lowerRoman"/>
      <w:lvlText w:val="%6."/>
      <w:lvlJc w:val="right"/>
      <w:pPr>
        <w:ind w:left="6448" w:hanging="180"/>
      </w:pPr>
    </w:lvl>
    <w:lvl w:ilvl="6" w:tplc="0C09000F" w:tentative="1">
      <w:start w:val="1"/>
      <w:numFmt w:val="decimal"/>
      <w:lvlText w:val="%7."/>
      <w:lvlJc w:val="left"/>
      <w:pPr>
        <w:ind w:left="7168" w:hanging="360"/>
      </w:pPr>
    </w:lvl>
    <w:lvl w:ilvl="7" w:tplc="0C090019" w:tentative="1">
      <w:start w:val="1"/>
      <w:numFmt w:val="lowerLetter"/>
      <w:lvlText w:val="%8."/>
      <w:lvlJc w:val="left"/>
      <w:pPr>
        <w:ind w:left="7888" w:hanging="360"/>
      </w:pPr>
    </w:lvl>
    <w:lvl w:ilvl="8" w:tplc="0C09001B" w:tentative="1">
      <w:start w:val="1"/>
      <w:numFmt w:val="lowerRoman"/>
      <w:lvlText w:val="%9."/>
      <w:lvlJc w:val="right"/>
      <w:pPr>
        <w:ind w:left="8608" w:hanging="180"/>
      </w:pPr>
    </w:lvl>
  </w:abstractNum>
  <w:abstractNum w:abstractNumId="18">
    <w:nsid w:val="209B02A7"/>
    <w:multiLevelType w:val="singleLevel"/>
    <w:tmpl w:val="972C21E0"/>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9">
    <w:nsid w:val="21B14AE6"/>
    <w:multiLevelType w:val="hybridMultilevel"/>
    <w:tmpl w:val="5940595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4284AA8"/>
    <w:multiLevelType w:val="hybridMultilevel"/>
    <w:tmpl w:val="BF0E34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42A1036"/>
    <w:multiLevelType w:val="hybridMultilevel"/>
    <w:tmpl w:val="65780D8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551520"/>
    <w:multiLevelType w:val="hybridMultilevel"/>
    <w:tmpl w:val="873A4248"/>
    <w:lvl w:ilvl="0" w:tplc="544C637E">
      <w:start w:val="1"/>
      <w:numFmt w:val="decimal"/>
      <w:pStyle w:val="RecommendationBox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28F92009"/>
    <w:multiLevelType w:val="multilevel"/>
    <w:tmpl w:val="6E424D8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290A0EEF"/>
    <w:multiLevelType w:val="hybridMultilevel"/>
    <w:tmpl w:val="73D4F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CB600FD"/>
    <w:multiLevelType w:val="multilevel"/>
    <w:tmpl w:val="B216659A"/>
    <w:styleLink w:val="Style1"/>
    <w:lvl w:ilvl="0">
      <w:start w:val="2"/>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2E261D58"/>
    <w:multiLevelType w:val="hybridMultilevel"/>
    <w:tmpl w:val="FE2807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2E4411E9"/>
    <w:multiLevelType w:val="hybridMultilevel"/>
    <w:tmpl w:val="61EAB1A4"/>
    <w:lvl w:ilvl="0" w:tplc="9120059E">
      <w:start w:val="1"/>
      <w:numFmt w:val="bullet"/>
      <w:pStyle w:val="RecommendationBoxBullet"/>
      <w:lvlText w:val="›"/>
      <w:lvlJc w:val="left"/>
      <w:pPr>
        <w:ind w:left="360" w:hanging="360"/>
      </w:pPr>
      <w:rPr>
        <w:rFonts w:ascii="Times New Roman" w:hAnsi="Times New Roman" w:cs="Times New Roman" w:hint="default"/>
        <w:color w:val="FFFFFF" w:themeColor="background1"/>
        <w:position w:val="3"/>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F65013F"/>
    <w:multiLevelType w:val="hybridMultilevel"/>
    <w:tmpl w:val="9E9AE462"/>
    <w:lvl w:ilvl="0" w:tplc="0C09000B">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nsid w:val="35A545F1"/>
    <w:multiLevelType w:val="hybridMultilevel"/>
    <w:tmpl w:val="C72097B2"/>
    <w:lvl w:ilvl="0" w:tplc="CA92CEFE">
      <w:start w:val="1"/>
      <w:numFmt w:val="lowerRoman"/>
      <w:pStyle w:val="RecommendationBoxRomanNumeral"/>
      <w:lvlText w:val="%1."/>
      <w:lvlJc w:val="left"/>
      <w:pPr>
        <w:ind w:left="947" w:hanging="360"/>
      </w:pPr>
      <w:rPr>
        <w:rFonts w:hint="default"/>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0">
    <w:nsid w:val="361B7739"/>
    <w:multiLevelType w:val="multilevel"/>
    <w:tmpl w:val="261A3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37167CCC"/>
    <w:multiLevelType w:val="hybridMultilevel"/>
    <w:tmpl w:val="E594026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373D4B9A"/>
    <w:multiLevelType w:val="hybridMultilevel"/>
    <w:tmpl w:val="70FE34DA"/>
    <w:lvl w:ilvl="0" w:tplc="AECA02D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82D65A6"/>
    <w:multiLevelType w:val="hybridMultilevel"/>
    <w:tmpl w:val="1CCC2E9A"/>
    <w:lvl w:ilvl="0" w:tplc="4ED0F158">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90F299E"/>
    <w:multiLevelType w:val="hybridMultilevel"/>
    <w:tmpl w:val="B03212B0"/>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nsid w:val="39233F6B"/>
    <w:multiLevelType w:val="hybridMultilevel"/>
    <w:tmpl w:val="CBE0EEA8"/>
    <w:lvl w:ilvl="0" w:tplc="3146A58C">
      <w:start w:val="1"/>
      <w:numFmt w:val="lowerLetter"/>
      <w:lvlText w:val="%1."/>
      <w:lvlJc w:val="left"/>
      <w:pPr>
        <w:ind w:left="644" w:hanging="360"/>
      </w:pPr>
      <w:rPr>
        <w:rFonts w:hint="default"/>
        <w:color w:val="FFFFFF" w:themeColor="background1"/>
      </w:rPr>
    </w:lvl>
    <w:lvl w:ilvl="1" w:tplc="BE7AE256" w:tentative="1">
      <w:start w:val="1"/>
      <w:numFmt w:val="lowerLetter"/>
      <w:lvlText w:val="%2."/>
      <w:lvlJc w:val="left"/>
      <w:pPr>
        <w:tabs>
          <w:tab w:val="num" w:pos="1440"/>
        </w:tabs>
        <w:ind w:left="1440" w:hanging="360"/>
      </w:pPr>
    </w:lvl>
    <w:lvl w:ilvl="2" w:tplc="804668A8" w:tentative="1">
      <w:start w:val="1"/>
      <w:numFmt w:val="lowerRoman"/>
      <w:lvlText w:val="%3."/>
      <w:lvlJc w:val="right"/>
      <w:pPr>
        <w:tabs>
          <w:tab w:val="num" w:pos="2160"/>
        </w:tabs>
        <w:ind w:left="2160" w:hanging="180"/>
      </w:pPr>
    </w:lvl>
    <w:lvl w:ilvl="3" w:tplc="84B0F012" w:tentative="1">
      <w:start w:val="1"/>
      <w:numFmt w:val="decimal"/>
      <w:lvlText w:val="%4."/>
      <w:lvlJc w:val="left"/>
      <w:pPr>
        <w:tabs>
          <w:tab w:val="num" w:pos="2880"/>
        </w:tabs>
        <w:ind w:left="2880" w:hanging="360"/>
      </w:pPr>
    </w:lvl>
    <w:lvl w:ilvl="4" w:tplc="80D6161A" w:tentative="1">
      <w:start w:val="1"/>
      <w:numFmt w:val="lowerLetter"/>
      <w:lvlText w:val="%5."/>
      <w:lvlJc w:val="left"/>
      <w:pPr>
        <w:tabs>
          <w:tab w:val="num" w:pos="3600"/>
        </w:tabs>
        <w:ind w:left="3600" w:hanging="360"/>
      </w:pPr>
    </w:lvl>
    <w:lvl w:ilvl="5" w:tplc="235ABDF6" w:tentative="1">
      <w:start w:val="1"/>
      <w:numFmt w:val="lowerRoman"/>
      <w:lvlText w:val="%6."/>
      <w:lvlJc w:val="right"/>
      <w:pPr>
        <w:tabs>
          <w:tab w:val="num" w:pos="4320"/>
        </w:tabs>
        <w:ind w:left="4320" w:hanging="180"/>
      </w:pPr>
    </w:lvl>
    <w:lvl w:ilvl="6" w:tplc="1A184932" w:tentative="1">
      <w:start w:val="1"/>
      <w:numFmt w:val="decimal"/>
      <w:lvlText w:val="%7."/>
      <w:lvlJc w:val="left"/>
      <w:pPr>
        <w:tabs>
          <w:tab w:val="num" w:pos="5040"/>
        </w:tabs>
        <w:ind w:left="5040" w:hanging="360"/>
      </w:pPr>
    </w:lvl>
    <w:lvl w:ilvl="7" w:tplc="5D7016F8" w:tentative="1">
      <w:start w:val="1"/>
      <w:numFmt w:val="lowerLetter"/>
      <w:lvlText w:val="%8."/>
      <w:lvlJc w:val="left"/>
      <w:pPr>
        <w:tabs>
          <w:tab w:val="num" w:pos="5760"/>
        </w:tabs>
        <w:ind w:left="5760" w:hanging="360"/>
      </w:pPr>
    </w:lvl>
    <w:lvl w:ilvl="8" w:tplc="8C18ED62" w:tentative="1">
      <w:start w:val="1"/>
      <w:numFmt w:val="lowerRoman"/>
      <w:lvlText w:val="%9."/>
      <w:lvlJc w:val="right"/>
      <w:pPr>
        <w:tabs>
          <w:tab w:val="num" w:pos="6480"/>
        </w:tabs>
        <w:ind w:left="6480" w:hanging="180"/>
      </w:pPr>
    </w:lvl>
  </w:abstractNum>
  <w:abstractNum w:abstractNumId="36">
    <w:nsid w:val="4555175E"/>
    <w:multiLevelType w:val="hybridMultilevel"/>
    <w:tmpl w:val="68D08158"/>
    <w:lvl w:ilvl="0" w:tplc="B3A8E59E">
      <w:start w:val="1"/>
      <w:numFmt w:val="bullet"/>
      <w:pStyle w:val="BoxListBullet"/>
      <w:lvlText w:val="›"/>
      <w:lvlJc w:val="left"/>
      <w:pPr>
        <w:ind w:left="360" w:hanging="360"/>
      </w:pPr>
      <w:rPr>
        <w:rFonts w:ascii="Times New Roman" w:hAnsi="Times New Roman" w:cs="Times New Roman" w:hint="default"/>
        <w:color w:val="124486" w:themeColor="text2"/>
        <w:position w:val="3"/>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A352522"/>
    <w:multiLevelType w:val="hybridMultilevel"/>
    <w:tmpl w:val="B4C447CE"/>
    <w:lvl w:ilvl="0" w:tplc="44E46CBA">
      <w:numFmt w:val="bullet"/>
      <w:lvlText w:val="-"/>
      <w:lvlJc w:val="left"/>
      <w:pPr>
        <w:ind w:left="720" w:hanging="360"/>
      </w:pPr>
      <w:rPr>
        <w:rFonts w:ascii="Franklin Gothic Book" w:eastAsia="Calibri" w:hAnsi="Franklin Gothic Book"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4D7C5A7C"/>
    <w:multiLevelType w:val="hybridMultilevel"/>
    <w:tmpl w:val="21FC096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51437CB"/>
    <w:multiLevelType w:val="hybridMultilevel"/>
    <w:tmpl w:val="BF0E34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585050E8"/>
    <w:multiLevelType w:val="multilevel"/>
    <w:tmpl w:val="111233EA"/>
    <w:lvl w:ilvl="0">
      <w:start w:val="1"/>
      <w:numFmt w:val="decimal"/>
      <w:lvlText w:val="%1."/>
      <w:lvlJc w:val="left"/>
      <w:pPr>
        <w:tabs>
          <w:tab w:val="num" w:pos="5747"/>
        </w:tabs>
        <w:ind w:left="5747" w:hanging="360"/>
      </w:pPr>
    </w:lvl>
    <w:lvl w:ilvl="1" w:tentative="1">
      <w:start w:val="1"/>
      <w:numFmt w:val="decimal"/>
      <w:lvlText w:val="%2."/>
      <w:lvlJc w:val="left"/>
      <w:pPr>
        <w:tabs>
          <w:tab w:val="num" w:pos="6467"/>
        </w:tabs>
        <w:ind w:left="6467" w:hanging="360"/>
      </w:pPr>
    </w:lvl>
    <w:lvl w:ilvl="2" w:tentative="1">
      <w:start w:val="1"/>
      <w:numFmt w:val="decimal"/>
      <w:lvlText w:val="%3."/>
      <w:lvlJc w:val="left"/>
      <w:pPr>
        <w:tabs>
          <w:tab w:val="num" w:pos="7187"/>
        </w:tabs>
        <w:ind w:left="7187" w:hanging="360"/>
      </w:pPr>
    </w:lvl>
    <w:lvl w:ilvl="3" w:tentative="1">
      <w:start w:val="1"/>
      <w:numFmt w:val="decimal"/>
      <w:lvlText w:val="%4."/>
      <w:lvlJc w:val="left"/>
      <w:pPr>
        <w:tabs>
          <w:tab w:val="num" w:pos="7907"/>
        </w:tabs>
        <w:ind w:left="7907" w:hanging="360"/>
      </w:pPr>
    </w:lvl>
    <w:lvl w:ilvl="4" w:tentative="1">
      <w:start w:val="1"/>
      <w:numFmt w:val="decimal"/>
      <w:lvlText w:val="%5."/>
      <w:lvlJc w:val="left"/>
      <w:pPr>
        <w:tabs>
          <w:tab w:val="num" w:pos="8627"/>
        </w:tabs>
        <w:ind w:left="8627" w:hanging="360"/>
      </w:pPr>
    </w:lvl>
    <w:lvl w:ilvl="5" w:tentative="1">
      <w:start w:val="1"/>
      <w:numFmt w:val="decimal"/>
      <w:lvlText w:val="%6."/>
      <w:lvlJc w:val="left"/>
      <w:pPr>
        <w:tabs>
          <w:tab w:val="num" w:pos="9347"/>
        </w:tabs>
        <w:ind w:left="9347" w:hanging="360"/>
      </w:pPr>
    </w:lvl>
    <w:lvl w:ilvl="6" w:tentative="1">
      <w:start w:val="1"/>
      <w:numFmt w:val="decimal"/>
      <w:lvlText w:val="%7."/>
      <w:lvlJc w:val="left"/>
      <w:pPr>
        <w:tabs>
          <w:tab w:val="num" w:pos="10067"/>
        </w:tabs>
        <w:ind w:left="10067" w:hanging="360"/>
      </w:pPr>
    </w:lvl>
    <w:lvl w:ilvl="7" w:tentative="1">
      <w:start w:val="1"/>
      <w:numFmt w:val="decimal"/>
      <w:lvlText w:val="%8."/>
      <w:lvlJc w:val="left"/>
      <w:pPr>
        <w:tabs>
          <w:tab w:val="num" w:pos="10787"/>
        </w:tabs>
        <w:ind w:left="10787" w:hanging="360"/>
      </w:pPr>
    </w:lvl>
    <w:lvl w:ilvl="8" w:tentative="1">
      <w:start w:val="1"/>
      <w:numFmt w:val="decimal"/>
      <w:lvlText w:val="%9."/>
      <w:lvlJc w:val="left"/>
      <w:pPr>
        <w:tabs>
          <w:tab w:val="num" w:pos="11507"/>
        </w:tabs>
        <w:ind w:left="11507" w:hanging="360"/>
      </w:pPr>
    </w:lvl>
  </w:abstractNum>
  <w:abstractNum w:abstractNumId="41">
    <w:nsid w:val="598A5214"/>
    <w:multiLevelType w:val="hybridMultilevel"/>
    <w:tmpl w:val="7884C832"/>
    <w:lvl w:ilvl="0" w:tplc="07522316">
      <w:start w:val="1"/>
      <w:numFmt w:val="decimal"/>
      <w:pStyle w:val="TableListNumber"/>
      <w:lvlText w:val="%1."/>
      <w:lvlJc w:val="left"/>
      <w:pPr>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5C5619B9"/>
    <w:multiLevelType w:val="hybridMultilevel"/>
    <w:tmpl w:val="E82223B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5D815B33"/>
    <w:multiLevelType w:val="hybridMultilevel"/>
    <w:tmpl w:val="BF0E34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60B70F68"/>
    <w:multiLevelType w:val="hybridMultilevel"/>
    <w:tmpl w:val="5EC6422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1B22497"/>
    <w:multiLevelType w:val="hybridMultilevel"/>
    <w:tmpl w:val="D5A6ECC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6C55035"/>
    <w:multiLevelType w:val="hybridMultilevel"/>
    <w:tmpl w:val="70ACFA88"/>
    <w:lvl w:ilvl="0" w:tplc="E63E98D4">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DD1C3B26" w:tentative="1">
      <w:start w:val="1"/>
      <w:numFmt w:val="bullet"/>
      <w:lvlText w:val="o"/>
      <w:lvlJc w:val="left"/>
      <w:pPr>
        <w:tabs>
          <w:tab w:val="num" w:pos="1440"/>
        </w:tabs>
        <w:ind w:left="1440" w:hanging="360"/>
      </w:pPr>
      <w:rPr>
        <w:rFonts w:ascii="Courier New" w:hAnsi="Courier New" w:cs="Wingdings" w:hint="default"/>
      </w:rPr>
    </w:lvl>
    <w:lvl w:ilvl="2" w:tplc="99748D30" w:tentative="1">
      <w:start w:val="1"/>
      <w:numFmt w:val="bullet"/>
      <w:lvlText w:val=""/>
      <w:lvlJc w:val="left"/>
      <w:pPr>
        <w:tabs>
          <w:tab w:val="num" w:pos="2160"/>
        </w:tabs>
        <w:ind w:left="2160" w:hanging="360"/>
      </w:pPr>
      <w:rPr>
        <w:rFonts w:ascii="Wingdings" w:hAnsi="Wingdings" w:hint="default"/>
      </w:rPr>
    </w:lvl>
    <w:lvl w:ilvl="3" w:tplc="0DF60BFA" w:tentative="1">
      <w:start w:val="1"/>
      <w:numFmt w:val="bullet"/>
      <w:lvlText w:val=""/>
      <w:lvlJc w:val="left"/>
      <w:pPr>
        <w:tabs>
          <w:tab w:val="num" w:pos="2880"/>
        </w:tabs>
        <w:ind w:left="2880" w:hanging="360"/>
      </w:pPr>
      <w:rPr>
        <w:rFonts w:ascii="Symbol" w:hAnsi="Symbol" w:hint="default"/>
      </w:rPr>
    </w:lvl>
    <w:lvl w:ilvl="4" w:tplc="DD4E902C" w:tentative="1">
      <w:start w:val="1"/>
      <w:numFmt w:val="bullet"/>
      <w:lvlText w:val="o"/>
      <w:lvlJc w:val="left"/>
      <w:pPr>
        <w:tabs>
          <w:tab w:val="num" w:pos="3600"/>
        </w:tabs>
        <w:ind w:left="3600" w:hanging="360"/>
      </w:pPr>
      <w:rPr>
        <w:rFonts w:ascii="Courier New" w:hAnsi="Courier New" w:cs="Wingdings" w:hint="default"/>
      </w:rPr>
    </w:lvl>
    <w:lvl w:ilvl="5" w:tplc="64B02D42" w:tentative="1">
      <w:start w:val="1"/>
      <w:numFmt w:val="bullet"/>
      <w:lvlText w:val=""/>
      <w:lvlJc w:val="left"/>
      <w:pPr>
        <w:tabs>
          <w:tab w:val="num" w:pos="4320"/>
        </w:tabs>
        <w:ind w:left="4320" w:hanging="360"/>
      </w:pPr>
      <w:rPr>
        <w:rFonts w:ascii="Wingdings" w:hAnsi="Wingdings" w:hint="default"/>
      </w:rPr>
    </w:lvl>
    <w:lvl w:ilvl="6" w:tplc="88A247DA" w:tentative="1">
      <w:start w:val="1"/>
      <w:numFmt w:val="bullet"/>
      <w:lvlText w:val=""/>
      <w:lvlJc w:val="left"/>
      <w:pPr>
        <w:tabs>
          <w:tab w:val="num" w:pos="5040"/>
        </w:tabs>
        <w:ind w:left="5040" w:hanging="360"/>
      </w:pPr>
      <w:rPr>
        <w:rFonts w:ascii="Symbol" w:hAnsi="Symbol" w:hint="default"/>
      </w:rPr>
    </w:lvl>
    <w:lvl w:ilvl="7" w:tplc="01FC8B3C" w:tentative="1">
      <w:start w:val="1"/>
      <w:numFmt w:val="bullet"/>
      <w:lvlText w:val="o"/>
      <w:lvlJc w:val="left"/>
      <w:pPr>
        <w:tabs>
          <w:tab w:val="num" w:pos="5760"/>
        </w:tabs>
        <w:ind w:left="5760" w:hanging="360"/>
      </w:pPr>
      <w:rPr>
        <w:rFonts w:ascii="Courier New" w:hAnsi="Courier New" w:cs="Wingdings" w:hint="default"/>
      </w:rPr>
    </w:lvl>
    <w:lvl w:ilvl="8" w:tplc="0FF81D96" w:tentative="1">
      <w:start w:val="1"/>
      <w:numFmt w:val="bullet"/>
      <w:lvlText w:val=""/>
      <w:lvlJc w:val="left"/>
      <w:pPr>
        <w:tabs>
          <w:tab w:val="num" w:pos="6480"/>
        </w:tabs>
        <w:ind w:left="6480" w:hanging="360"/>
      </w:pPr>
      <w:rPr>
        <w:rFonts w:ascii="Wingdings" w:hAnsi="Wingdings" w:hint="default"/>
      </w:rPr>
    </w:lvl>
  </w:abstractNum>
  <w:abstractNum w:abstractNumId="47">
    <w:nsid w:val="6CBE155F"/>
    <w:multiLevelType w:val="hybridMultilevel"/>
    <w:tmpl w:val="C1D242CC"/>
    <w:lvl w:ilvl="0" w:tplc="ECFE4E42">
      <w:numFmt w:val="bullet"/>
      <w:lvlText w:val="-"/>
      <w:lvlJc w:val="left"/>
      <w:pPr>
        <w:ind w:left="408" w:hanging="360"/>
      </w:pPr>
      <w:rPr>
        <w:rFonts w:ascii="Franklin Gothic Book" w:eastAsia="Calibri" w:hAnsi="Franklin Gothic Book"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48">
    <w:nsid w:val="6F276D0B"/>
    <w:multiLevelType w:val="hybridMultilevel"/>
    <w:tmpl w:val="49A230AC"/>
    <w:lvl w:ilvl="0" w:tplc="91201F06">
      <w:start w:val="1"/>
      <w:numFmt w:val="lowerRoman"/>
      <w:pStyle w:val="BoxListRomanNumeral"/>
      <w:lvlText w:val="%1."/>
      <w:lvlJc w:val="left"/>
      <w:pPr>
        <w:ind w:left="947" w:hanging="360"/>
      </w:pPr>
      <w:rPr>
        <w:rFonts w:hint="default"/>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49">
    <w:nsid w:val="73F9584F"/>
    <w:multiLevelType w:val="multilevel"/>
    <w:tmpl w:val="09F2E474"/>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nsid w:val="76087498"/>
    <w:multiLevelType w:val="multilevel"/>
    <w:tmpl w:val="B216659A"/>
    <w:numStyleLink w:val="Style1"/>
  </w:abstractNum>
  <w:abstractNum w:abstractNumId="51">
    <w:nsid w:val="7C76108E"/>
    <w:multiLevelType w:val="hybridMultilevel"/>
    <w:tmpl w:val="99BEA55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7EC819DE"/>
    <w:multiLevelType w:val="hybridMultilevel"/>
    <w:tmpl w:val="032C2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F7A528B"/>
    <w:multiLevelType w:val="hybridMultilevel"/>
    <w:tmpl w:val="6242F642"/>
    <w:lvl w:ilvl="0" w:tplc="D69231A6">
      <w:start w:val="1"/>
      <w:numFmt w:val="bullet"/>
      <w:pStyle w:val="ListBullet"/>
      <w:lvlText w:val="›"/>
      <w:lvlJc w:val="left"/>
      <w:pPr>
        <w:ind w:left="4188"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46"/>
  </w:num>
  <w:num w:numId="3">
    <w:abstractNumId w:val="13"/>
  </w:num>
  <w:num w:numId="4">
    <w:abstractNumId w:val="18"/>
  </w:num>
  <w:num w:numId="5">
    <w:abstractNumId w:val="35"/>
  </w:num>
  <w:num w:numId="6">
    <w:abstractNumId w:val="11"/>
  </w:num>
  <w:num w:numId="7">
    <w:abstractNumId w:val="33"/>
  </w:num>
  <w:num w:numId="8">
    <w:abstractNumId w:val="14"/>
  </w:num>
  <w:num w:numId="9">
    <w:abstractNumId w:val="53"/>
  </w:num>
  <w:num w:numId="10">
    <w:abstractNumId w:val="5"/>
  </w:num>
  <w:num w:numId="11">
    <w:abstractNumId w:val="2"/>
  </w:num>
  <w:num w:numId="12">
    <w:abstractNumId w:val="8"/>
  </w:num>
  <w:num w:numId="13">
    <w:abstractNumId w:val="9"/>
  </w:num>
  <w:num w:numId="14">
    <w:abstractNumId w:val="36"/>
  </w:num>
  <w:num w:numId="15">
    <w:abstractNumId w:val="53"/>
  </w:num>
  <w:num w:numId="16">
    <w:abstractNumId w:val="27"/>
  </w:num>
  <w:num w:numId="17">
    <w:abstractNumId w:val="22"/>
  </w:num>
  <w:num w:numId="18">
    <w:abstractNumId w:val="4"/>
  </w:num>
  <w:num w:numId="19">
    <w:abstractNumId w:val="3"/>
  </w:num>
  <w:num w:numId="20">
    <w:abstractNumId w:val="1"/>
  </w:num>
  <w:num w:numId="21">
    <w:abstractNumId w:val="0"/>
  </w:num>
  <w:num w:numId="22">
    <w:abstractNumId w:val="15"/>
  </w:num>
  <w:num w:numId="23">
    <w:abstractNumId w:val="17"/>
  </w:num>
  <w:num w:numId="24">
    <w:abstractNumId w:val="53"/>
    <w:lvlOverride w:ilvl="0">
      <w:startOverride w:val="1"/>
    </w:lvlOverride>
  </w:num>
  <w:num w:numId="25">
    <w:abstractNumId w:val="36"/>
    <w:lvlOverride w:ilvl="0">
      <w:startOverride w:val="1"/>
    </w:lvlOverride>
  </w:num>
  <w:num w:numId="26">
    <w:abstractNumId w:val="48"/>
  </w:num>
  <w:num w:numId="27">
    <w:abstractNumId w:val="29"/>
  </w:num>
  <w:num w:numId="28">
    <w:abstractNumId w:val="50"/>
  </w:num>
  <w:num w:numId="29">
    <w:abstractNumId w:val="25"/>
  </w:num>
  <w:num w:numId="30">
    <w:abstractNumId w:val="28"/>
  </w:num>
  <w:num w:numId="31">
    <w:abstractNumId w:val="51"/>
  </w:num>
  <w:num w:numId="32">
    <w:abstractNumId w:val="19"/>
  </w:num>
  <w:num w:numId="33">
    <w:abstractNumId w:val="38"/>
  </w:num>
  <w:num w:numId="34">
    <w:abstractNumId w:val="23"/>
  </w:num>
  <w:num w:numId="35">
    <w:abstractNumId w:val="49"/>
  </w:num>
  <w:num w:numId="36">
    <w:abstractNumId w:val="31"/>
  </w:num>
  <w:num w:numId="37">
    <w:abstractNumId w:val="26"/>
  </w:num>
  <w:num w:numId="38">
    <w:abstractNumId w:val="32"/>
  </w:num>
  <w:num w:numId="39">
    <w:abstractNumId w:val="43"/>
  </w:num>
  <w:num w:numId="40">
    <w:abstractNumId w:val="39"/>
  </w:num>
  <w:num w:numId="41">
    <w:abstractNumId w:val="20"/>
  </w:num>
  <w:num w:numId="42">
    <w:abstractNumId w:val="6"/>
  </w:num>
  <w:num w:numId="43">
    <w:abstractNumId w:val="40"/>
  </w:num>
  <w:num w:numId="44">
    <w:abstractNumId w:val="30"/>
  </w:num>
  <w:num w:numId="45">
    <w:abstractNumId w:val="47"/>
  </w:num>
  <w:num w:numId="46">
    <w:abstractNumId w:val="37"/>
  </w:num>
  <w:num w:numId="47">
    <w:abstractNumId w:val="7"/>
  </w:num>
  <w:num w:numId="48">
    <w:abstractNumId w:val="16"/>
  </w:num>
  <w:num w:numId="49">
    <w:abstractNumId w:val="24"/>
  </w:num>
  <w:num w:numId="50">
    <w:abstractNumId w:val="52"/>
  </w:num>
  <w:num w:numId="51">
    <w:abstractNumId w:val="10"/>
  </w:num>
  <w:num w:numId="52">
    <w:abstractNumId w:val="21"/>
  </w:num>
  <w:num w:numId="53">
    <w:abstractNumId w:val="44"/>
  </w:num>
  <w:num w:numId="54">
    <w:abstractNumId w:val="45"/>
  </w:num>
  <w:num w:numId="55">
    <w:abstractNumId w:val="12"/>
  </w:num>
  <w:num w:numId="56">
    <w:abstractNumId w:val="34"/>
  </w:num>
  <w:num w:numId="57">
    <w:abstractNumId w:val="4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26625" fillcolor="white" stroke="f" strokecolor="blue">
      <v:fill color="white" type="frame"/>
      <v:stroke color="blue" weight="1.5pt" on="f"/>
      <v:shadow opacity="22938f" offset="0"/>
      <v:textbox inset=",7.2pt,,7.2pt"/>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10"/>
    <w:rsid w:val="00001AAD"/>
    <w:rsid w:val="000035B1"/>
    <w:rsid w:val="00003C3C"/>
    <w:rsid w:val="00005A8F"/>
    <w:rsid w:val="0000760E"/>
    <w:rsid w:val="000079FD"/>
    <w:rsid w:val="00011CF3"/>
    <w:rsid w:val="00012213"/>
    <w:rsid w:val="0001246E"/>
    <w:rsid w:val="00012F71"/>
    <w:rsid w:val="0002046A"/>
    <w:rsid w:val="0002189B"/>
    <w:rsid w:val="00022CC4"/>
    <w:rsid w:val="000258B5"/>
    <w:rsid w:val="00031E7B"/>
    <w:rsid w:val="000337CF"/>
    <w:rsid w:val="00033C14"/>
    <w:rsid w:val="0004229E"/>
    <w:rsid w:val="00042B25"/>
    <w:rsid w:val="00050C01"/>
    <w:rsid w:val="000515C3"/>
    <w:rsid w:val="00054A33"/>
    <w:rsid w:val="000550D9"/>
    <w:rsid w:val="000562A5"/>
    <w:rsid w:val="000562B8"/>
    <w:rsid w:val="00056C28"/>
    <w:rsid w:val="000600DA"/>
    <w:rsid w:val="00062C7E"/>
    <w:rsid w:val="000632DD"/>
    <w:rsid w:val="00067B4D"/>
    <w:rsid w:val="00070A43"/>
    <w:rsid w:val="000719A8"/>
    <w:rsid w:val="00073071"/>
    <w:rsid w:val="00075EB9"/>
    <w:rsid w:val="000778A6"/>
    <w:rsid w:val="000804CA"/>
    <w:rsid w:val="00081B01"/>
    <w:rsid w:val="00082891"/>
    <w:rsid w:val="00087E50"/>
    <w:rsid w:val="000900E2"/>
    <w:rsid w:val="000916E9"/>
    <w:rsid w:val="000957A1"/>
    <w:rsid w:val="000A0FA2"/>
    <w:rsid w:val="000A7DE8"/>
    <w:rsid w:val="000B62CB"/>
    <w:rsid w:val="000C06E5"/>
    <w:rsid w:val="000C0C35"/>
    <w:rsid w:val="000C24DE"/>
    <w:rsid w:val="000C2996"/>
    <w:rsid w:val="000C3227"/>
    <w:rsid w:val="000C58C7"/>
    <w:rsid w:val="000C6C22"/>
    <w:rsid w:val="000C79F9"/>
    <w:rsid w:val="000D054E"/>
    <w:rsid w:val="000D1E72"/>
    <w:rsid w:val="000D5CEA"/>
    <w:rsid w:val="000D731F"/>
    <w:rsid w:val="000E06A5"/>
    <w:rsid w:val="000E31CE"/>
    <w:rsid w:val="000E3621"/>
    <w:rsid w:val="000E59F9"/>
    <w:rsid w:val="000F2F1C"/>
    <w:rsid w:val="00100E98"/>
    <w:rsid w:val="00103914"/>
    <w:rsid w:val="00106308"/>
    <w:rsid w:val="001077FE"/>
    <w:rsid w:val="00110CD4"/>
    <w:rsid w:val="001146D8"/>
    <w:rsid w:val="00116D6B"/>
    <w:rsid w:val="00117270"/>
    <w:rsid w:val="00117CCB"/>
    <w:rsid w:val="0012090D"/>
    <w:rsid w:val="0012107E"/>
    <w:rsid w:val="00123F0E"/>
    <w:rsid w:val="00124E81"/>
    <w:rsid w:val="00126647"/>
    <w:rsid w:val="00133249"/>
    <w:rsid w:val="0013370C"/>
    <w:rsid w:val="0013470A"/>
    <w:rsid w:val="00140911"/>
    <w:rsid w:val="00141302"/>
    <w:rsid w:val="00143BE3"/>
    <w:rsid w:val="00145658"/>
    <w:rsid w:val="001456B2"/>
    <w:rsid w:val="001457E2"/>
    <w:rsid w:val="00146B4D"/>
    <w:rsid w:val="0014733A"/>
    <w:rsid w:val="00147DCD"/>
    <w:rsid w:val="00150869"/>
    <w:rsid w:val="00150E7C"/>
    <w:rsid w:val="00151C67"/>
    <w:rsid w:val="00152F0E"/>
    <w:rsid w:val="0015309E"/>
    <w:rsid w:val="001542F1"/>
    <w:rsid w:val="0015506F"/>
    <w:rsid w:val="00160F41"/>
    <w:rsid w:val="00163580"/>
    <w:rsid w:val="00166B39"/>
    <w:rsid w:val="00171AB0"/>
    <w:rsid w:val="001732AB"/>
    <w:rsid w:val="001767DA"/>
    <w:rsid w:val="001771DB"/>
    <w:rsid w:val="001818DF"/>
    <w:rsid w:val="00186B49"/>
    <w:rsid w:val="00191CC2"/>
    <w:rsid w:val="00192208"/>
    <w:rsid w:val="00196533"/>
    <w:rsid w:val="00197696"/>
    <w:rsid w:val="0019783E"/>
    <w:rsid w:val="00197FF4"/>
    <w:rsid w:val="001A0270"/>
    <w:rsid w:val="001A337D"/>
    <w:rsid w:val="001A5C25"/>
    <w:rsid w:val="001B0CF3"/>
    <w:rsid w:val="001B4F38"/>
    <w:rsid w:val="001B57B8"/>
    <w:rsid w:val="001B6F11"/>
    <w:rsid w:val="001C24E3"/>
    <w:rsid w:val="001C26F2"/>
    <w:rsid w:val="001C2CE5"/>
    <w:rsid w:val="001C3B46"/>
    <w:rsid w:val="001C5090"/>
    <w:rsid w:val="001C653D"/>
    <w:rsid w:val="001D21B5"/>
    <w:rsid w:val="001D3ACC"/>
    <w:rsid w:val="001D45BD"/>
    <w:rsid w:val="001D6DD2"/>
    <w:rsid w:val="001E19B1"/>
    <w:rsid w:val="001E2D33"/>
    <w:rsid w:val="001E439A"/>
    <w:rsid w:val="001E7A82"/>
    <w:rsid w:val="001F0E70"/>
    <w:rsid w:val="001F1206"/>
    <w:rsid w:val="001F3232"/>
    <w:rsid w:val="001F3742"/>
    <w:rsid w:val="001F38CC"/>
    <w:rsid w:val="001F3C4B"/>
    <w:rsid w:val="00200987"/>
    <w:rsid w:val="00201C97"/>
    <w:rsid w:val="002074F7"/>
    <w:rsid w:val="002113C9"/>
    <w:rsid w:val="00215CE3"/>
    <w:rsid w:val="00215FD7"/>
    <w:rsid w:val="00216986"/>
    <w:rsid w:val="002221EF"/>
    <w:rsid w:val="00224371"/>
    <w:rsid w:val="00234638"/>
    <w:rsid w:val="00235723"/>
    <w:rsid w:val="00237DA0"/>
    <w:rsid w:val="002412C0"/>
    <w:rsid w:val="00243A24"/>
    <w:rsid w:val="00243E12"/>
    <w:rsid w:val="0024413E"/>
    <w:rsid w:val="002468CA"/>
    <w:rsid w:val="00247F1C"/>
    <w:rsid w:val="00251728"/>
    <w:rsid w:val="00260C10"/>
    <w:rsid w:val="00261478"/>
    <w:rsid w:val="0026244A"/>
    <w:rsid w:val="002626DF"/>
    <w:rsid w:val="00263A65"/>
    <w:rsid w:val="00264270"/>
    <w:rsid w:val="00267059"/>
    <w:rsid w:val="0026706C"/>
    <w:rsid w:val="0027086E"/>
    <w:rsid w:val="00270A13"/>
    <w:rsid w:val="0027552C"/>
    <w:rsid w:val="00293EEE"/>
    <w:rsid w:val="00294747"/>
    <w:rsid w:val="00294F17"/>
    <w:rsid w:val="002A54EA"/>
    <w:rsid w:val="002A5D19"/>
    <w:rsid w:val="002B0740"/>
    <w:rsid w:val="002B3DBA"/>
    <w:rsid w:val="002B5939"/>
    <w:rsid w:val="002B698E"/>
    <w:rsid w:val="002B73B1"/>
    <w:rsid w:val="002C23D8"/>
    <w:rsid w:val="002C2514"/>
    <w:rsid w:val="002C2A2C"/>
    <w:rsid w:val="002C54B8"/>
    <w:rsid w:val="002D382F"/>
    <w:rsid w:val="002D3870"/>
    <w:rsid w:val="002D4B27"/>
    <w:rsid w:val="002E0C9C"/>
    <w:rsid w:val="002E3D25"/>
    <w:rsid w:val="002F0430"/>
    <w:rsid w:val="002F7BA4"/>
    <w:rsid w:val="00300258"/>
    <w:rsid w:val="0030074F"/>
    <w:rsid w:val="00305716"/>
    <w:rsid w:val="00305817"/>
    <w:rsid w:val="00305D9C"/>
    <w:rsid w:val="00305FCB"/>
    <w:rsid w:val="0031311B"/>
    <w:rsid w:val="00315080"/>
    <w:rsid w:val="00315C8D"/>
    <w:rsid w:val="00316A50"/>
    <w:rsid w:val="00316ABA"/>
    <w:rsid w:val="00317BCD"/>
    <w:rsid w:val="00320C61"/>
    <w:rsid w:val="00326ECB"/>
    <w:rsid w:val="003272F5"/>
    <w:rsid w:val="00331241"/>
    <w:rsid w:val="00333D82"/>
    <w:rsid w:val="00336A2C"/>
    <w:rsid w:val="0033745F"/>
    <w:rsid w:val="00341321"/>
    <w:rsid w:val="003422B1"/>
    <w:rsid w:val="00346E4D"/>
    <w:rsid w:val="00352CB9"/>
    <w:rsid w:val="00354FEF"/>
    <w:rsid w:val="0036126B"/>
    <w:rsid w:val="00361535"/>
    <w:rsid w:val="003619A5"/>
    <w:rsid w:val="0036429B"/>
    <w:rsid w:val="0036481A"/>
    <w:rsid w:val="003652B7"/>
    <w:rsid w:val="003669C3"/>
    <w:rsid w:val="0036754C"/>
    <w:rsid w:val="0037177C"/>
    <w:rsid w:val="003734C3"/>
    <w:rsid w:val="00374BD7"/>
    <w:rsid w:val="00377F4B"/>
    <w:rsid w:val="0038186C"/>
    <w:rsid w:val="003820D4"/>
    <w:rsid w:val="003868FE"/>
    <w:rsid w:val="0038712D"/>
    <w:rsid w:val="00387B82"/>
    <w:rsid w:val="00392D0B"/>
    <w:rsid w:val="00395F4E"/>
    <w:rsid w:val="00396D8D"/>
    <w:rsid w:val="003A1A9E"/>
    <w:rsid w:val="003A374D"/>
    <w:rsid w:val="003A3AC9"/>
    <w:rsid w:val="003A50C3"/>
    <w:rsid w:val="003A55A7"/>
    <w:rsid w:val="003B489A"/>
    <w:rsid w:val="003C458D"/>
    <w:rsid w:val="003C62B7"/>
    <w:rsid w:val="003D11B4"/>
    <w:rsid w:val="003D42DA"/>
    <w:rsid w:val="003E03A8"/>
    <w:rsid w:val="003E0E6C"/>
    <w:rsid w:val="003E5F4F"/>
    <w:rsid w:val="003E78F0"/>
    <w:rsid w:val="003F0D0E"/>
    <w:rsid w:val="003F6AFF"/>
    <w:rsid w:val="00402C36"/>
    <w:rsid w:val="00402EA5"/>
    <w:rsid w:val="0040333B"/>
    <w:rsid w:val="00404304"/>
    <w:rsid w:val="0040508C"/>
    <w:rsid w:val="004065A6"/>
    <w:rsid w:val="00411A56"/>
    <w:rsid w:val="00413E25"/>
    <w:rsid w:val="00423BE0"/>
    <w:rsid w:val="004268B5"/>
    <w:rsid w:val="00427DCD"/>
    <w:rsid w:val="00430381"/>
    <w:rsid w:val="004308FC"/>
    <w:rsid w:val="0043562B"/>
    <w:rsid w:val="00435EAB"/>
    <w:rsid w:val="004407D2"/>
    <w:rsid w:val="00442E3A"/>
    <w:rsid w:val="00446FFF"/>
    <w:rsid w:val="00447994"/>
    <w:rsid w:val="004520B5"/>
    <w:rsid w:val="00456D41"/>
    <w:rsid w:val="00461246"/>
    <w:rsid w:val="00472402"/>
    <w:rsid w:val="00476C56"/>
    <w:rsid w:val="00483C73"/>
    <w:rsid w:val="00484DC3"/>
    <w:rsid w:val="00485546"/>
    <w:rsid w:val="00485593"/>
    <w:rsid w:val="00485AB6"/>
    <w:rsid w:val="00485B2E"/>
    <w:rsid w:val="00486A83"/>
    <w:rsid w:val="004900C2"/>
    <w:rsid w:val="00492870"/>
    <w:rsid w:val="00492A28"/>
    <w:rsid w:val="00494326"/>
    <w:rsid w:val="00497CF4"/>
    <w:rsid w:val="004A16E9"/>
    <w:rsid w:val="004A7C45"/>
    <w:rsid w:val="004B5AC1"/>
    <w:rsid w:val="004B708F"/>
    <w:rsid w:val="004C12F0"/>
    <w:rsid w:val="004C7A38"/>
    <w:rsid w:val="004D12FC"/>
    <w:rsid w:val="004D2003"/>
    <w:rsid w:val="004D2466"/>
    <w:rsid w:val="004E0913"/>
    <w:rsid w:val="004E0A1B"/>
    <w:rsid w:val="004E4C1B"/>
    <w:rsid w:val="004F2E2A"/>
    <w:rsid w:val="00503856"/>
    <w:rsid w:val="0050396F"/>
    <w:rsid w:val="0050456D"/>
    <w:rsid w:val="0050678D"/>
    <w:rsid w:val="00506812"/>
    <w:rsid w:val="00514717"/>
    <w:rsid w:val="0051715B"/>
    <w:rsid w:val="005176E7"/>
    <w:rsid w:val="00521B81"/>
    <w:rsid w:val="00525976"/>
    <w:rsid w:val="005264E0"/>
    <w:rsid w:val="00530FE5"/>
    <w:rsid w:val="00534FFF"/>
    <w:rsid w:val="00537EBC"/>
    <w:rsid w:val="005414BD"/>
    <w:rsid w:val="00544846"/>
    <w:rsid w:val="00547A07"/>
    <w:rsid w:val="00555BBD"/>
    <w:rsid w:val="005579FD"/>
    <w:rsid w:val="00561705"/>
    <w:rsid w:val="00561D94"/>
    <w:rsid w:val="00562DA7"/>
    <w:rsid w:val="00565A37"/>
    <w:rsid w:val="00566C57"/>
    <w:rsid w:val="00573D43"/>
    <w:rsid w:val="00573D65"/>
    <w:rsid w:val="00583B08"/>
    <w:rsid w:val="005857E1"/>
    <w:rsid w:val="00585CCB"/>
    <w:rsid w:val="00586F06"/>
    <w:rsid w:val="005903C7"/>
    <w:rsid w:val="00590A02"/>
    <w:rsid w:val="005919E7"/>
    <w:rsid w:val="00593BB5"/>
    <w:rsid w:val="00594333"/>
    <w:rsid w:val="00594349"/>
    <w:rsid w:val="00594CB7"/>
    <w:rsid w:val="0059543D"/>
    <w:rsid w:val="00595D59"/>
    <w:rsid w:val="00597931"/>
    <w:rsid w:val="00597BC5"/>
    <w:rsid w:val="005A36A0"/>
    <w:rsid w:val="005A48CE"/>
    <w:rsid w:val="005A55B8"/>
    <w:rsid w:val="005A6B54"/>
    <w:rsid w:val="005A71C4"/>
    <w:rsid w:val="005B7FD3"/>
    <w:rsid w:val="005C0BE8"/>
    <w:rsid w:val="005C155F"/>
    <w:rsid w:val="005D004A"/>
    <w:rsid w:val="005D0536"/>
    <w:rsid w:val="005D0E58"/>
    <w:rsid w:val="005D146D"/>
    <w:rsid w:val="005D27D5"/>
    <w:rsid w:val="005D28EB"/>
    <w:rsid w:val="005D5113"/>
    <w:rsid w:val="005E0AEA"/>
    <w:rsid w:val="005E3AEE"/>
    <w:rsid w:val="005E4454"/>
    <w:rsid w:val="005E5323"/>
    <w:rsid w:val="005E5813"/>
    <w:rsid w:val="005F0358"/>
    <w:rsid w:val="005F1799"/>
    <w:rsid w:val="005F3994"/>
    <w:rsid w:val="005F71C3"/>
    <w:rsid w:val="00600A8E"/>
    <w:rsid w:val="00600D88"/>
    <w:rsid w:val="00603E16"/>
    <w:rsid w:val="0061095C"/>
    <w:rsid w:val="0061115C"/>
    <w:rsid w:val="00611F77"/>
    <w:rsid w:val="00615C63"/>
    <w:rsid w:val="006173C7"/>
    <w:rsid w:val="006179F6"/>
    <w:rsid w:val="00626072"/>
    <w:rsid w:val="00626906"/>
    <w:rsid w:val="006336A0"/>
    <w:rsid w:val="00635902"/>
    <w:rsid w:val="006359BF"/>
    <w:rsid w:val="00636603"/>
    <w:rsid w:val="00646BC6"/>
    <w:rsid w:val="00646F6E"/>
    <w:rsid w:val="00653108"/>
    <w:rsid w:val="006573B0"/>
    <w:rsid w:val="00660149"/>
    <w:rsid w:val="006621C0"/>
    <w:rsid w:val="00662268"/>
    <w:rsid w:val="0066450F"/>
    <w:rsid w:val="0066757D"/>
    <w:rsid w:val="0066777F"/>
    <w:rsid w:val="00667FA7"/>
    <w:rsid w:val="006720A7"/>
    <w:rsid w:val="00674AC9"/>
    <w:rsid w:val="00676215"/>
    <w:rsid w:val="006778C5"/>
    <w:rsid w:val="0068471A"/>
    <w:rsid w:val="00686925"/>
    <w:rsid w:val="0068754A"/>
    <w:rsid w:val="00690130"/>
    <w:rsid w:val="00690436"/>
    <w:rsid w:val="00690560"/>
    <w:rsid w:val="006909E1"/>
    <w:rsid w:val="00690A8F"/>
    <w:rsid w:val="00691B6A"/>
    <w:rsid w:val="00692728"/>
    <w:rsid w:val="00693433"/>
    <w:rsid w:val="006947E2"/>
    <w:rsid w:val="00694F17"/>
    <w:rsid w:val="006A0D46"/>
    <w:rsid w:val="006A60E2"/>
    <w:rsid w:val="006A7419"/>
    <w:rsid w:val="006B0471"/>
    <w:rsid w:val="006B0861"/>
    <w:rsid w:val="006B1A21"/>
    <w:rsid w:val="006B4E42"/>
    <w:rsid w:val="006B7CA3"/>
    <w:rsid w:val="006C1A86"/>
    <w:rsid w:val="006C1A8A"/>
    <w:rsid w:val="006C36C0"/>
    <w:rsid w:val="006D49D6"/>
    <w:rsid w:val="006D54C2"/>
    <w:rsid w:val="006D5662"/>
    <w:rsid w:val="006E558D"/>
    <w:rsid w:val="006E76A0"/>
    <w:rsid w:val="006E7D13"/>
    <w:rsid w:val="006F4CB3"/>
    <w:rsid w:val="006F7990"/>
    <w:rsid w:val="007034E1"/>
    <w:rsid w:val="007101BB"/>
    <w:rsid w:val="00710747"/>
    <w:rsid w:val="00710753"/>
    <w:rsid w:val="00710AC4"/>
    <w:rsid w:val="00710B14"/>
    <w:rsid w:val="00712AB4"/>
    <w:rsid w:val="00716EC9"/>
    <w:rsid w:val="007202A3"/>
    <w:rsid w:val="00721254"/>
    <w:rsid w:val="007356D4"/>
    <w:rsid w:val="00737792"/>
    <w:rsid w:val="007411FC"/>
    <w:rsid w:val="0074199B"/>
    <w:rsid w:val="0074207C"/>
    <w:rsid w:val="00742D7F"/>
    <w:rsid w:val="007511A0"/>
    <w:rsid w:val="0075382F"/>
    <w:rsid w:val="007559D0"/>
    <w:rsid w:val="007572C7"/>
    <w:rsid w:val="007602D5"/>
    <w:rsid w:val="00760FF4"/>
    <w:rsid w:val="0076306C"/>
    <w:rsid w:val="0076316E"/>
    <w:rsid w:val="00771CF9"/>
    <w:rsid w:val="00772E82"/>
    <w:rsid w:val="00777EBB"/>
    <w:rsid w:val="0078558F"/>
    <w:rsid w:val="00785E60"/>
    <w:rsid w:val="007877C3"/>
    <w:rsid w:val="00792C5F"/>
    <w:rsid w:val="00795110"/>
    <w:rsid w:val="00797333"/>
    <w:rsid w:val="00797D4B"/>
    <w:rsid w:val="007A1299"/>
    <w:rsid w:val="007A59EC"/>
    <w:rsid w:val="007B32D8"/>
    <w:rsid w:val="007B4341"/>
    <w:rsid w:val="007B5F96"/>
    <w:rsid w:val="007C2B57"/>
    <w:rsid w:val="007C3FF8"/>
    <w:rsid w:val="007D0C20"/>
    <w:rsid w:val="007D1CC7"/>
    <w:rsid w:val="007D3443"/>
    <w:rsid w:val="007E06F2"/>
    <w:rsid w:val="007E07B6"/>
    <w:rsid w:val="007E3DC8"/>
    <w:rsid w:val="007E5022"/>
    <w:rsid w:val="007E5954"/>
    <w:rsid w:val="007E64DA"/>
    <w:rsid w:val="007E6770"/>
    <w:rsid w:val="007E6D52"/>
    <w:rsid w:val="007E7BC9"/>
    <w:rsid w:val="00802E83"/>
    <w:rsid w:val="0080469E"/>
    <w:rsid w:val="00807700"/>
    <w:rsid w:val="00823F3E"/>
    <w:rsid w:val="00824408"/>
    <w:rsid w:val="00824D26"/>
    <w:rsid w:val="008279AD"/>
    <w:rsid w:val="0083164D"/>
    <w:rsid w:val="00832D0C"/>
    <w:rsid w:val="008353FB"/>
    <w:rsid w:val="00835BA2"/>
    <w:rsid w:val="00837A63"/>
    <w:rsid w:val="00841204"/>
    <w:rsid w:val="00841FDE"/>
    <w:rsid w:val="00842AE7"/>
    <w:rsid w:val="0084305D"/>
    <w:rsid w:val="00845B3A"/>
    <w:rsid w:val="0084630D"/>
    <w:rsid w:val="0085348F"/>
    <w:rsid w:val="0085402C"/>
    <w:rsid w:val="0085730C"/>
    <w:rsid w:val="008606DF"/>
    <w:rsid w:val="00861801"/>
    <w:rsid w:val="0087299D"/>
    <w:rsid w:val="00875D82"/>
    <w:rsid w:val="00877AB7"/>
    <w:rsid w:val="00881A92"/>
    <w:rsid w:val="008824EF"/>
    <w:rsid w:val="008874B3"/>
    <w:rsid w:val="00890EBD"/>
    <w:rsid w:val="00891AD2"/>
    <w:rsid w:val="00891AEF"/>
    <w:rsid w:val="00896727"/>
    <w:rsid w:val="008A5650"/>
    <w:rsid w:val="008B05CC"/>
    <w:rsid w:val="008B203B"/>
    <w:rsid w:val="008B31A2"/>
    <w:rsid w:val="008B58E7"/>
    <w:rsid w:val="008C00F6"/>
    <w:rsid w:val="008C09F7"/>
    <w:rsid w:val="008C2914"/>
    <w:rsid w:val="008D184E"/>
    <w:rsid w:val="008D7BCB"/>
    <w:rsid w:val="008E0ABF"/>
    <w:rsid w:val="008E2B34"/>
    <w:rsid w:val="008E5561"/>
    <w:rsid w:val="008E68C1"/>
    <w:rsid w:val="008F0684"/>
    <w:rsid w:val="008F3F79"/>
    <w:rsid w:val="0090117E"/>
    <w:rsid w:val="0091071F"/>
    <w:rsid w:val="00910AB9"/>
    <w:rsid w:val="009127A4"/>
    <w:rsid w:val="00913DA3"/>
    <w:rsid w:val="00914BF1"/>
    <w:rsid w:val="009216EF"/>
    <w:rsid w:val="009224B8"/>
    <w:rsid w:val="009227AC"/>
    <w:rsid w:val="00925146"/>
    <w:rsid w:val="0092761D"/>
    <w:rsid w:val="00931990"/>
    <w:rsid w:val="009352B8"/>
    <w:rsid w:val="009371D1"/>
    <w:rsid w:val="00941030"/>
    <w:rsid w:val="009415E1"/>
    <w:rsid w:val="00943BAD"/>
    <w:rsid w:val="009446C2"/>
    <w:rsid w:val="0094544D"/>
    <w:rsid w:val="00947DC8"/>
    <w:rsid w:val="009532BA"/>
    <w:rsid w:val="009573E7"/>
    <w:rsid w:val="00957EBB"/>
    <w:rsid w:val="00966AE6"/>
    <w:rsid w:val="00967A89"/>
    <w:rsid w:val="00971391"/>
    <w:rsid w:val="00971DC8"/>
    <w:rsid w:val="00977716"/>
    <w:rsid w:val="00985801"/>
    <w:rsid w:val="00991431"/>
    <w:rsid w:val="009915F8"/>
    <w:rsid w:val="00991DB5"/>
    <w:rsid w:val="0099593A"/>
    <w:rsid w:val="00996389"/>
    <w:rsid w:val="009A08C8"/>
    <w:rsid w:val="009A0A03"/>
    <w:rsid w:val="009A329E"/>
    <w:rsid w:val="009A610E"/>
    <w:rsid w:val="009B13CA"/>
    <w:rsid w:val="009B1F80"/>
    <w:rsid w:val="009B23FF"/>
    <w:rsid w:val="009B51A0"/>
    <w:rsid w:val="009C2062"/>
    <w:rsid w:val="009C3205"/>
    <w:rsid w:val="009C3A1D"/>
    <w:rsid w:val="009C4B84"/>
    <w:rsid w:val="009E0DF9"/>
    <w:rsid w:val="009E7FE6"/>
    <w:rsid w:val="009F2B5C"/>
    <w:rsid w:val="009F385D"/>
    <w:rsid w:val="00A0021E"/>
    <w:rsid w:val="00A026EC"/>
    <w:rsid w:val="00A05D38"/>
    <w:rsid w:val="00A15877"/>
    <w:rsid w:val="00A21000"/>
    <w:rsid w:val="00A21C09"/>
    <w:rsid w:val="00A26C22"/>
    <w:rsid w:val="00A359F2"/>
    <w:rsid w:val="00A429D3"/>
    <w:rsid w:val="00A44F75"/>
    <w:rsid w:val="00A513E4"/>
    <w:rsid w:val="00A51896"/>
    <w:rsid w:val="00A54797"/>
    <w:rsid w:val="00A54F60"/>
    <w:rsid w:val="00A614C9"/>
    <w:rsid w:val="00A629A0"/>
    <w:rsid w:val="00A62C3E"/>
    <w:rsid w:val="00A65800"/>
    <w:rsid w:val="00A6773A"/>
    <w:rsid w:val="00A71CB7"/>
    <w:rsid w:val="00A72C06"/>
    <w:rsid w:val="00A741B7"/>
    <w:rsid w:val="00A80CD4"/>
    <w:rsid w:val="00A811BE"/>
    <w:rsid w:val="00A84CC6"/>
    <w:rsid w:val="00A851BA"/>
    <w:rsid w:val="00A85EF9"/>
    <w:rsid w:val="00A86AD2"/>
    <w:rsid w:val="00A951ED"/>
    <w:rsid w:val="00A96122"/>
    <w:rsid w:val="00AA1024"/>
    <w:rsid w:val="00AA65C7"/>
    <w:rsid w:val="00AA6ED7"/>
    <w:rsid w:val="00AA7252"/>
    <w:rsid w:val="00AB21C8"/>
    <w:rsid w:val="00AB33F3"/>
    <w:rsid w:val="00AB6307"/>
    <w:rsid w:val="00AB686C"/>
    <w:rsid w:val="00AB7D34"/>
    <w:rsid w:val="00AC0C11"/>
    <w:rsid w:val="00AC1242"/>
    <w:rsid w:val="00AC1C73"/>
    <w:rsid w:val="00AC216D"/>
    <w:rsid w:val="00AC5D26"/>
    <w:rsid w:val="00AD0979"/>
    <w:rsid w:val="00AD1F68"/>
    <w:rsid w:val="00AD2ED4"/>
    <w:rsid w:val="00AD3C39"/>
    <w:rsid w:val="00AD4726"/>
    <w:rsid w:val="00AD7FC3"/>
    <w:rsid w:val="00AE09FB"/>
    <w:rsid w:val="00AE2787"/>
    <w:rsid w:val="00AE2AAC"/>
    <w:rsid w:val="00AE3480"/>
    <w:rsid w:val="00AE36AE"/>
    <w:rsid w:val="00AE36AF"/>
    <w:rsid w:val="00AF0897"/>
    <w:rsid w:val="00AF60B8"/>
    <w:rsid w:val="00AF6CF9"/>
    <w:rsid w:val="00B01D89"/>
    <w:rsid w:val="00B0252E"/>
    <w:rsid w:val="00B030C4"/>
    <w:rsid w:val="00B04BF2"/>
    <w:rsid w:val="00B103AE"/>
    <w:rsid w:val="00B15416"/>
    <w:rsid w:val="00B15485"/>
    <w:rsid w:val="00B2190B"/>
    <w:rsid w:val="00B22478"/>
    <w:rsid w:val="00B2331B"/>
    <w:rsid w:val="00B2608B"/>
    <w:rsid w:val="00B3070C"/>
    <w:rsid w:val="00B30F9F"/>
    <w:rsid w:val="00B3320E"/>
    <w:rsid w:val="00B3594A"/>
    <w:rsid w:val="00B41522"/>
    <w:rsid w:val="00B432AE"/>
    <w:rsid w:val="00B43CEE"/>
    <w:rsid w:val="00B47BF5"/>
    <w:rsid w:val="00B532F9"/>
    <w:rsid w:val="00B55AA8"/>
    <w:rsid w:val="00B55AD4"/>
    <w:rsid w:val="00B55F67"/>
    <w:rsid w:val="00B56CD6"/>
    <w:rsid w:val="00B60D92"/>
    <w:rsid w:val="00B652D0"/>
    <w:rsid w:val="00B658E9"/>
    <w:rsid w:val="00B7181B"/>
    <w:rsid w:val="00B770CD"/>
    <w:rsid w:val="00B8092B"/>
    <w:rsid w:val="00B82DE8"/>
    <w:rsid w:val="00B90206"/>
    <w:rsid w:val="00B92101"/>
    <w:rsid w:val="00B92A1F"/>
    <w:rsid w:val="00BA087C"/>
    <w:rsid w:val="00BA2EBC"/>
    <w:rsid w:val="00BA3BA6"/>
    <w:rsid w:val="00BA6768"/>
    <w:rsid w:val="00BB146D"/>
    <w:rsid w:val="00BB17C6"/>
    <w:rsid w:val="00BB3BF6"/>
    <w:rsid w:val="00BB5F31"/>
    <w:rsid w:val="00BC2F3E"/>
    <w:rsid w:val="00BC4D31"/>
    <w:rsid w:val="00BC651C"/>
    <w:rsid w:val="00BD09FC"/>
    <w:rsid w:val="00BD1063"/>
    <w:rsid w:val="00BD2451"/>
    <w:rsid w:val="00BD3249"/>
    <w:rsid w:val="00BD510F"/>
    <w:rsid w:val="00BD5DA9"/>
    <w:rsid w:val="00BE1CD3"/>
    <w:rsid w:val="00BF013C"/>
    <w:rsid w:val="00BF2894"/>
    <w:rsid w:val="00BF2964"/>
    <w:rsid w:val="00BF501E"/>
    <w:rsid w:val="00BF5201"/>
    <w:rsid w:val="00BF532E"/>
    <w:rsid w:val="00C01239"/>
    <w:rsid w:val="00C039AB"/>
    <w:rsid w:val="00C040A8"/>
    <w:rsid w:val="00C04BA3"/>
    <w:rsid w:val="00C05FDE"/>
    <w:rsid w:val="00C1320D"/>
    <w:rsid w:val="00C14125"/>
    <w:rsid w:val="00C15ACA"/>
    <w:rsid w:val="00C17860"/>
    <w:rsid w:val="00C206E9"/>
    <w:rsid w:val="00C225D7"/>
    <w:rsid w:val="00C35409"/>
    <w:rsid w:val="00C36563"/>
    <w:rsid w:val="00C4229B"/>
    <w:rsid w:val="00C42CDF"/>
    <w:rsid w:val="00C43093"/>
    <w:rsid w:val="00C459D0"/>
    <w:rsid w:val="00C469FD"/>
    <w:rsid w:val="00C54E43"/>
    <w:rsid w:val="00C65CA9"/>
    <w:rsid w:val="00C70284"/>
    <w:rsid w:val="00C71C16"/>
    <w:rsid w:val="00C81B90"/>
    <w:rsid w:val="00C82CDB"/>
    <w:rsid w:val="00C85476"/>
    <w:rsid w:val="00C8662F"/>
    <w:rsid w:val="00C86901"/>
    <w:rsid w:val="00C91E0D"/>
    <w:rsid w:val="00C9507B"/>
    <w:rsid w:val="00C963D5"/>
    <w:rsid w:val="00CA1BBE"/>
    <w:rsid w:val="00CA29CE"/>
    <w:rsid w:val="00CA2D67"/>
    <w:rsid w:val="00CA2EEE"/>
    <w:rsid w:val="00CA3101"/>
    <w:rsid w:val="00CA67B0"/>
    <w:rsid w:val="00CB179C"/>
    <w:rsid w:val="00CB216E"/>
    <w:rsid w:val="00CB4262"/>
    <w:rsid w:val="00CB6DE9"/>
    <w:rsid w:val="00CC143D"/>
    <w:rsid w:val="00CC1AD4"/>
    <w:rsid w:val="00CC5FAE"/>
    <w:rsid w:val="00CC6B6E"/>
    <w:rsid w:val="00CC70E7"/>
    <w:rsid w:val="00CD0A3D"/>
    <w:rsid w:val="00CD1616"/>
    <w:rsid w:val="00CD2017"/>
    <w:rsid w:val="00CD5522"/>
    <w:rsid w:val="00CD58FD"/>
    <w:rsid w:val="00CE3AD2"/>
    <w:rsid w:val="00CE42C1"/>
    <w:rsid w:val="00CE51EC"/>
    <w:rsid w:val="00CE5DC9"/>
    <w:rsid w:val="00CE7F9B"/>
    <w:rsid w:val="00CF48BC"/>
    <w:rsid w:val="00CF5332"/>
    <w:rsid w:val="00CF5E4C"/>
    <w:rsid w:val="00D03879"/>
    <w:rsid w:val="00D03C01"/>
    <w:rsid w:val="00D06565"/>
    <w:rsid w:val="00D10C34"/>
    <w:rsid w:val="00D12AD7"/>
    <w:rsid w:val="00D12B1D"/>
    <w:rsid w:val="00D12FC6"/>
    <w:rsid w:val="00D13A8B"/>
    <w:rsid w:val="00D2285B"/>
    <w:rsid w:val="00D23BA4"/>
    <w:rsid w:val="00D25B39"/>
    <w:rsid w:val="00D30FAD"/>
    <w:rsid w:val="00D32403"/>
    <w:rsid w:val="00D348DB"/>
    <w:rsid w:val="00D359F9"/>
    <w:rsid w:val="00D37629"/>
    <w:rsid w:val="00D4298A"/>
    <w:rsid w:val="00D43BFD"/>
    <w:rsid w:val="00D46E86"/>
    <w:rsid w:val="00D4729F"/>
    <w:rsid w:val="00D522B4"/>
    <w:rsid w:val="00D54D3F"/>
    <w:rsid w:val="00D554A6"/>
    <w:rsid w:val="00D578B8"/>
    <w:rsid w:val="00D663C7"/>
    <w:rsid w:val="00D677CA"/>
    <w:rsid w:val="00D67FE7"/>
    <w:rsid w:val="00D70034"/>
    <w:rsid w:val="00D71B29"/>
    <w:rsid w:val="00D736D7"/>
    <w:rsid w:val="00D7566F"/>
    <w:rsid w:val="00D80349"/>
    <w:rsid w:val="00D807C1"/>
    <w:rsid w:val="00D80FF4"/>
    <w:rsid w:val="00D81F5E"/>
    <w:rsid w:val="00D87A30"/>
    <w:rsid w:val="00D90E40"/>
    <w:rsid w:val="00D9131E"/>
    <w:rsid w:val="00D91A64"/>
    <w:rsid w:val="00D96023"/>
    <w:rsid w:val="00DA04EE"/>
    <w:rsid w:val="00DA524B"/>
    <w:rsid w:val="00DA5631"/>
    <w:rsid w:val="00DA6290"/>
    <w:rsid w:val="00DA7BBA"/>
    <w:rsid w:val="00DA7FDA"/>
    <w:rsid w:val="00DB7A8A"/>
    <w:rsid w:val="00DC0232"/>
    <w:rsid w:val="00DC0D75"/>
    <w:rsid w:val="00DC2117"/>
    <w:rsid w:val="00DD0969"/>
    <w:rsid w:val="00DD14F9"/>
    <w:rsid w:val="00DD16C0"/>
    <w:rsid w:val="00DE36BA"/>
    <w:rsid w:val="00DE7924"/>
    <w:rsid w:val="00DE7CA6"/>
    <w:rsid w:val="00DF04B0"/>
    <w:rsid w:val="00DF3F80"/>
    <w:rsid w:val="00DF51A6"/>
    <w:rsid w:val="00DF5B7E"/>
    <w:rsid w:val="00E05ED0"/>
    <w:rsid w:val="00E06BB1"/>
    <w:rsid w:val="00E13821"/>
    <w:rsid w:val="00E14075"/>
    <w:rsid w:val="00E168B9"/>
    <w:rsid w:val="00E16C40"/>
    <w:rsid w:val="00E17506"/>
    <w:rsid w:val="00E178C5"/>
    <w:rsid w:val="00E20D6A"/>
    <w:rsid w:val="00E22187"/>
    <w:rsid w:val="00E30B3C"/>
    <w:rsid w:val="00E3214A"/>
    <w:rsid w:val="00E35407"/>
    <w:rsid w:val="00E3605E"/>
    <w:rsid w:val="00E376A0"/>
    <w:rsid w:val="00E3789E"/>
    <w:rsid w:val="00E413E6"/>
    <w:rsid w:val="00E42445"/>
    <w:rsid w:val="00E427AB"/>
    <w:rsid w:val="00E442BB"/>
    <w:rsid w:val="00E46BFD"/>
    <w:rsid w:val="00E47A13"/>
    <w:rsid w:val="00E504AB"/>
    <w:rsid w:val="00E53B61"/>
    <w:rsid w:val="00E54396"/>
    <w:rsid w:val="00E54901"/>
    <w:rsid w:val="00E5782C"/>
    <w:rsid w:val="00E60842"/>
    <w:rsid w:val="00E626CF"/>
    <w:rsid w:val="00E62EE0"/>
    <w:rsid w:val="00E66E33"/>
    <w:rsid w:val="00E71300"/>
    <w:rsid w:val="00E73707"/>
    <w:rsid w:val="00E73CEE"/>
    <w:rsid w:val="00E77AC7"/>
    <w:rsid w:val="00E83EC0"/>
    <w:rsid w:val="00E85202"/>
    <w:rsid w:val="00E86256"/>
    <w:rsid w:val="00E86652"/>
    <w:rsid w:val="00E86CE5"/>
    <w:rsid w:val="00E86E8F"/>
    <w:rsid w:val="00E87E4C"/>
    <w:rsid w:val="00E94F85"/>
    <w:rsid w:val="00E95941"/>
    <w:rsid w:val="00EA2EDB"/>
    <w:rsid w:val="00EA4361"/>
    <w:rsid w:val="00EA5A39"/>
    <w:rsid w:val="00EA7232"/>
    <w:rsid w:val="00EA7F04"/>
    <w:rsid w:val="00EB185C"/>
    <w:rsid w:val="00EB2D49"/>
    <w:rsid w:val="00EB379D"/>
    <w:rsid w:val="00EB43E1"/>
    <w:rsid w:val="00EB4F55"/>
    <w:rsid w:val="00EB6564"/>
    <w:rsid w:val="00EB6B89"/>
    <w:rsid w:val="00EC0ECA"/>
    <w:rsid w:val="00EC2752"/>
    <w:rsid w:val="00EC3BE2"/>
    <w:rsid w:val="00EC4156"/>
    <w:rsid w:val="00EC4C5D"/>
    <w:rsid w:val="00ED2A52"/>
    <w:rsid w:val="00ED58D4"/>
    <w:rsid w:val="00ED7DE9"/>
    <w:rsid w:val="00EE1087"/>
    <w:rsid w:val="00EE1619"/>
    <w:rsid w:val="00EE41D5"/>
    <w:rsid w:val="00EE4A41"/>
    <w:rsid w:val="00EE4A77"/>
    <w:rsid w:val="00EF1A00"/>
    <w:rsid w:val="00EF2734"/>
    <w:rsid w:val="00EF2B0D"/>
    <w:rsid w:val="00EF66BA"/>
    <w:rsid w:val="00F02BE6"/>
    <w:rsid w:val="00F04F5D"/>
    <w:rsid w:val="00F0676F"/>
    <w:rsid w:val="00F06EC4"/>
    <w:rsid w:val="00F15A3B"/>
    <w:rsid w:val="00F17315"/>
    <w:rsid w:val="00F17D22"/>
    <w:rsid w:val="00F22677"/>
    <w:rsid w:val="00F2330A"/>
    <w:rsid w:val="00F23D98"/>
    <w:rsid w:val="00F26160"/>
    <w:rsid w:val="00F268DC"/>
    <w:rsid w:val="00F26D38"/>
    <w:rsid w:val="00F2727F"/>
    <w:rsid w:val="00F305A0"/>
    <w:rsid w:val="00F4087A"/>
    <w:rsid w:val="00F4249C"/>
    <w:rsid w:val="00F4368C"/>
    <w:rsid w:val="00F44C60"/>
    <w:rsid w:val="00F46211"/>
    <w:rsid w:val="00F463FB"/>
    <w:rsid w:val="00F47E34"/>
    <w:rsid w:val="00F501B1"/>
    <w:rsid w:val="00F50883"/>
    <w:rsid w:val="00F528A4"/>
    <w:rsid w:val="00F57D51"/>
    <w:rsid w:val="00F63DC3"/>
    <w:rsid w:val="00F64C16"/>
    <w:rsid w:val="00F64C2B"/>
    <w:rsid w:val="00F67619"/>
    <w:rsid w:val="00F709DD"/>
    <w:rsid w:val="00F71D57"/>
    <w:rsid w:val="00F72BCE"/>
    <w:rsid w:val="00F73396"/>
    <w:rsid w:val="00F76826"/>
    <w:rsid w:val="00F80F3C"/>
    <w:rsid w:val="00F81AC8"/>
    <w:rsid w:val="00F8617D"/>
    <w:rsid w:val="00F93565"/>
    <w:rsid w:val="00F938BE"/>
    <w:rsid w:val="00F93E05"/>
    <w:rsid w:val="00F97804"/>
    <w:rsid w:val="00FA2A23"/>
    <w:rsid w:val="00FA7B11"/>
    <w:rsid w:val="00FB030D"/>
    <w:rsid w:val="00FB509C"/>
    <w:rsid w:val="00FB6984"/>
    <w:rsid w:val="00FB706D"/>
    <w:rsid w:val="00FB74AA"/>
    <w:rsid w:val="00FC035A"/>
    <w:rsid w:val="00FC7E5E"/>
    <w:rsid w:val="00FD0A29"/>
    <w:rsid w:val="00FD481D"/>
    <w:rsid w:val="00FD5D0A"/>
    <w:rsid w:val="00FD7384"/>
    <w:rsid w:val="00FD7AF5"/>
    <w:rsid w:val="00FE4344"/>
    <w:rsid w:val="00FE5DAF"/>
    <w:rsid w:val="00FF232D"/>
    <w:rsid w:val="00FF327F"/>
    <w:rsid w:val="00FF34C6"/>
    <w:rsid w:val="00FF371D"/>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fillcolor="white" stroke="f" strokecolor="blue">
      <v:fill color="white" type="frame"/>
      <v:stroke color="blue" weight="1.5pt" on="f"/>
      <v:shadow opacity="22938f" offset="0"/>
      <v:textbox inset=",7.2pt,,7.2pt"/>
      <o:colormru v:ext="edit" colors="#5a9a98,#ddcf56,#ad495d,#ab9c8f,#b5d3d2,#7e6d5f,#f26631,#54534a"/>
    </o:shapedefaults>
    <o:shapelayout v:ext="edit">
      <o:idmap v:ext="edit" data="1"/>
    </o:shapelayout>
  </w:shapeDefaults>
  <w:decimalSymbol w:val="."/>
  <w:listSeparator w:val=","/>
  <w14:docId w14:val="0C02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Normal">
    <w:name w:val="Normal"/>
    <w:rsid w:val="00521B81"/>
    <w:pPr>
      <w:spacing w:after="160"/>
    </w:pPr>
    <w:rPr>
      <w:rFonts w:ascii="Franklin Gothic Book" w:hAnsi="Franklin Gothic Book"/>
      <w:sz w:val="21"/>
      <w:szCs w:val="24"/>
    </w:rPr>
  </w:style>
  <w:style w:type="paragraph" w:styleId="Heading1">
    <w:name w:val="heading 1"/>
    <w:basedOn w:val="Normal"/>
    <w:next w:val="BodyText"/>
    <w:link w:val="Heading1Char"/>
    <w:autoRedefine/>
    <w:qFormat/>
    <w:rsid w:val="00A0021E"/>
    <w:pPr>
      <w:keepNext/>
      <w:pageBreakBefore/>
      <w:suppressLineNumbers/>
      <w:tabs>
        <w:tab w:val="left" w:pos="851"/>
      </w:tabs>
      <w:suppressAutoHyphens/>
      <w:spacing w:before="480" w:after="480" w:line="540" w:lineRule="atLeast"/>
      <w:outlineLvl w:val="0"/>
    </w:pPr>
    <w:rPr>
      <w:rFonts w:asciiTheme="majorHAnsi" w:hAnsiTheme="majorHAnsi"/>
      <w:color w:val="124486" w:themeColor="text2"/>
      <w:spacing w:val="-10"/>
      <w:kern w:val="28"/>
      <w:sz w:val="50"/>
      <w:szCs w:val="50"/>
    </w:rPr>
  </w:style>
  <w:style w:type="paragraph" w:styleId="Heading2">
    <w:name w:val="heading 2"/>
    <w:basedOn w:val="Normal"/>
    <w:next w:val="BodyText"/>
    <w:link w:val="Heading2Char"/>
    <w:qFormat/>
    <w:rsid w:val="00A0021E"/>
    <w:pPr>
      <w:keepNext/>
      <w:suppressLineNumbers/>
      <w:tabs>
        <w:tab w:val="left" w:pos="851"/>
      </w:tabs>
      <w:suppressAutoHyphens/>
      <w:spacing w:before="480" w:after="120"/>
      <w:outlineLvl w:val="1"/>
    </w:pPr>
    <w:rPr>
      <w:rFonts w:asciiTheme="majorHAnsi" w:hAnsiTheme="majorHAnsi" w:cs="Arial"/>
      <w:color w:val="124486" w:themeColor="text2"/>
      <w:kern w:val="28"/>
      <w:sz w:val="28"/>
      <w:szCs w:val="28"/>
    </w:rPr>
  </w:style>
  <w:style w:type="paragraph" w:styleId="Heading3">
    <w:name w:val="heading 3"/>
    <w:basedOn w:val="Normal"/>
    <w:next w:val="BodyText"/>
    <w:link w:val="Heading3Char"/>
    <w:qFormat/>
    <w:rsid w:val="00A15877"/>
    <w:pPr>
      <w:keepNext/>
      <w:suppressLineNumbers/>
      <w:suppressAutoHyphens/>
      <w:spacing w:before="360" w:after="120"/>
      <w:outlineLvl w:val="2"/>
    </w:pPr>
    <w:rPr>
      <w:rFonts w:asciiTheme="majorHAnsi" w:hAnsiTheme="majorHAnsi" w:cs="Arial"/>
      <w:b/>
      <w:color w:val="007FAD" w:themeColor="accent1"/>
      <w:spacing w:val="4"/>
      <w:kern w:val="28"/>
      <w:szCs w:val="28"/>
    </w:rPr>
  </w:style>
  <w:style w:type="paragraph" w:styleId="Heading4">
    <w:name w:val="heading 4"/>
    <w:basedOn w:val="Normal"/>
    <w:next w:val="BodyText"/>
    <w:link w:val="Heading4Char"/>
    <w:qFormat/>
    <w:rsid w:val="00A15877"/>
    <w:pPr>
      <w:keepNext/>
      <w:numPr>
        <w:ilvl w:val="2"/>
      </w:numPr>
      <w:suppressLineNumbers/>
      <w:suppressAutoHyphens/>
      <w:spacing w:before="240" w:after="120"/>
      <w:outlineLvl w:val="3"/>
    </w:pPr>
    <w:rPr>
      <w:rFonts w:asciiTheme="majorHAnsi" w:hAnsiTheme="majorHAnsi" w:cs="Arial"/>
      <w:color w:val="124486" w:themeColor="text2"/>
      <w:kern w:val="28"/>
      <w:szCs w:val="22"/>
      <w:lang w:eastAsia="zh-CN"/>
    </w:rPr>
  </w:style>
  <w:style w:type="paragraph" w:styleId="Heading5">
    <w:name w:val="heading 5"/>
    <w:basedOn w:val="Normal"/>
    <w:next w:val="BodyTex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10AB9"/>
  </w:style>
  <w:style w:type="character" w:customStyle="1" w:styleId="BodyTextChar">
    <w:name w:val="Body Text Char"/>
    <w:link w:val="BodyText"/>
    <w:rsid w:val="00910AB9"/>
    <w:rPr>
      <w:rFonts w:ascii="Franklin Gothic Book" w:hAnsi="Franklin Gothic Book"/>
      <w:sz w:val="21"/>
      <w:szCs w:val="24"/>
    </w:rPr>
  </w:style>
  <w:style w:type="paragraph" w:styleId="CommentSubject">
    <w:name w:val="annotation subject"/>
    <w:basedOn w:val="Normal"/>
    <w:semiHidden/>
    <w:rsid w:val="00957EBB"/>
    <w:rPr>
      <w:b/>
      <w:bCs/>
      <w:sz w:val="20"/>
      <w:szCs w:val="20"/>
    </w:rPr>
  </w:style>
  <w:style w:type="paragraph" w:styleId="ListBullet">
    <w:name w:val="List Bullet"/>
    <w:basedOn w:val="BodyText"/>
    <w:qFormat/>
    <w:rsid w:val="00BD09FC"/>
    <w:pPr>
      <w:numPr>
        <w:numId w:val="9"/>
      </w:numPr>
      <w:spacing w:after="120"/>
      <w:ind w:left="284" w:hanging="284"/>
    </w:pPr>
  </w:style>
  <w:style w:type="paragraph" w:styleId="ListBullet2">
    <w:name w:val="List Bullet 2"/>
    <w:basedOn w:val="ListBullet"/>
    <w:qFormat/>
    <w:rsid w:val="00BB146D"/>
    <w:pPr>
      <w:numPr>
        <w:numId w:val="4"/>
      </w:numPr>
      <w:ind w:left="568" w:hanging="284"/>
    </w:pPr>
  </w:style>
  <w:style w:type="paragraph" w:styleId="ListNumber">
    <w:name w:val="List Number"/>
    <w:basedOn w:val="ListBullet"/>
    <w:qFormat/>
    <w:rsid w:val="00B0252E"/>
    <w:pPr>
      <w:numPr>
        <w:numId w:val="8"/>
      </w:numPr>
      <w:ind w:left="284" w:hanging="284"/>
    </w:pPr>
  </w:style>
  <w:style w:type="paragraph" w:styleId="ListNumber2">
    <w:name w:val="List Number 2"/>
    <w:basedOn w:val="ListNumber"/>
    <w:qFormat/>
    <w:rsid w:val="006573B0"/>
    <w:pPr>
      <w:numPr>
        <w:numId w:val="12"/>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rsid w:val="00DA6290"/>
    <w:pPr>
      <w:pageBreakBefore/>
      <w:spacing w:before="9840" w:after="300" w:line="640" w:lineRule="atLeast"/>
      <w:ind w:left="709" w:right="-624"/>
    </w:pPr>
    <w:rPr>
      <w:rFonts w:asciiTheme="majorHAnsi" w:hAnsiTheme="majorHAnsi"/>
      <w:noProof/>
      <w:color w:val="FFFFFF"/>
      <w:kern w:val="28"/>
      <w:sz w:val="50"/>
      <w:szCs w:val="50"/>
      <w:lang w:val="en-US" w:eastAsia="en-US"/>
    </w:rPr>
  </w:style>
  <w:style w:type="paragraph" w:styleId="Subtitle">
    <w:name w:val="Subtitle"/>
    <w:basedOn w:val="Title"/>
    <w:next w:val="Date"/>
    <w:link w:val="SubtitleChar"/>
    <w:qFormat/>
    <w:rsid w:val="00320C61"/>
    <w:pPr>
      <w:pageBreakBefore w:val="0"/>
      <w:spacing w:before="24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320C61"/>
    <w:rPr>
      <w:rFonts w:asciiTheme="majorHAnsi" w:hAnsiTheme="majorHAnsi"/>
      <w:noProof/>
      <w:color w:val="FFFFFF"/>
      <w:kern w:val="28"/>
      <w:sz w:val="32"/>
      <w:szCs w:val="32"/>
      <w:lang w:val="en-US" w:eastAsia="en-US"/>
    </w:rPr>
  </w:style>
  <w:style w:type="character" w:customStyle="1" w:styleId="TitleChar">
    <w:name w:val="Title Char"/>
    <w:link w:val="Title"/>
    <w:rsid w:val="00DA6290"/>
    <w:rPr>
      <w:rFonts w:asciiTheme="majorHAnsi" w:hAnsiTheme="majorHAnsi"/>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691B6A"/>
    <w:pPr>
      <w:tabs>
        <w:tab w:val="left" w:pos="0"/>
        <w:tab w:val="right" w:pos="7938"/>
        <w:tab w:val="right" w:pos="8505"/>
      </w:tabs>
      <w:spacing w:line="180" w:lineRule="exact"/>
      <w:ind w:left="-567" w:right="-567"/>
      <w:jc w:val="center"/>
    </w:pPr>
    <w:rPr>
      <w:b/>
      <w:color w:val="595959" w:themeColor="text1" w:themeTint="A6"/>
      <w:sz w:val="16"/>
      <w:szCs w:val="15"/>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E427AB"/>
    <w:pPr>
      <w:tabs>
        <w:tab w:val="right" w:pos="7938"/>
      </w:tabs>
      <w:spacing w:before="280" w:after="60"/>
      <w:ind w:left="567" w:right="567" w:hanging="567"/>
    </w:pPr>
    <w:rPr>
      <w:rFonts w:asciiTheme="majorHAnsi" w:hAnsiTheme="majorHAnsi"/>
      <w:color w:val="007FAD" w:themeColor="accent1"/>
      <w:sz w:val="26"/>
    </w:rPr>
  </w:style>
  <w:style w:type="paragraph" w:styleId="TOC2">
    <w:name w:val="toc 2"/>
    <w:basedOn w:val="TOC1"/>
    <w:next w:val="TOC1"/>
    <w:uiPriority w:val="39"/>
    <w:rsid w:val="00DA6290"/>
    <w:pPr>
      <w:spacing w:before="120" w:line="200" w:lineRule="atLeast"/>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Cs w:val="20"/>
    </w:rPr>
  </w:style>
  <w:style w:type="paragraph" w:styleId="Caption">
    <w:name w:val="caption"/>
    <w:next w:val="BodyText"/>
    <w:rsid w:val="007101BB"/>
    <w:pPr>
      <w:keepNext/>
      <w:spacing w:before="80" w:after="80" w:line="280" w:lineRule="atLeast"/>
    </w:pPr>
    <w:rPr>
      <w:rFonts w:ascii="Franklin Gothic Book" w:hAnsi="Franklin Gothic Book" w:cs="Arial"/>
      <w:color w:val="A8A5A8"/>
      <w:szCs w:val="19"/>
    </w:rPr>
  </w:style>
  <w:style w:type="paragraph" w:customStyle="1" w:styleId="BoxListBullet">
    <w:name w:val="Box List Bullet"/>
    <w:basedOn w:val="BoxText"/>
    <w:qFormat/>
    <w:rsid w:val="00BD09FC"/>
    <w:pPr>
      <w:numPr>
        <w:numId w:val="14"/>
      </w:numPr>
      <w:ind w:left="587"/>
    </w:pPr>
  </w:style>
  <w:style w:type="paragraph" w:customStyle="1" w:styleId="BoxText">
    <w:name w:val="Box Text"/>
    <w:link w:val="BoxTextChar"/>
    <w:qFormat/>
    <w:rsid w:val="00320C61"/>
    <w:pPr>
      <w:pBdr>
        <w:top w:val="single" w:sz="48" w:space="6" w:color="D0DAE7" w:themeColor="background2"/>
        <w:left w:val="single" w:sz="48" w:space="6" w:color="D0DAE7" w:themeColor="background2"/>
        <w:bottom w:val="single" w:sz="48" w:space="6" w:color="D0DAE7" w:themeColor="background2"/>
        <w:right w:val="single" w:sz="48" w:space="6" w:color="D0DAE7" w:themeColor="background2"/>
      </w:pBdr>
      <w:shd w:val="clear" w:color="auto" w:fill="D0DAE7" w:themeFill="background2"/>
      <w:spacing w:after="120" w:line="280" w:lineRule="exact"/>
      <w:ind w:left="227" w:right="227"/>
    </w:pPr>
    <w:rPr>
      <w:rFonts w:ascii="Franklin Gothic Book" w:eastAsia="Calibri" w:hAnsi="Franklin Gothic Book"/>
      <w:iCs/>
      <w:color w:val="124486" w:themeColor="text2"/>
      <w:szCs w:val="22"/>
    </w:rPr>
  </w:style>
  <w:style w:type="character" w:customStyle="1" w:styleId="BoxTextChar">
    <w:name w:val="Box Text Char"/>
    <w:link w:val="BoxText"/>
    <w:rsid w:val="00320C61"/>
    <w:rPr>
      <w:rFonts w:ascii="Franklin Gothic Book" w:eastAsia="Calibri" w:hAnsi="Franklin Gothic Book"/>
      <w:iCs/>
      <w:color w:val="124486" w:themeColor="text2"/>
      <w:szCs w:val="22"/>
      <w:shd w:val="clear" w:color="auto" w:fill="D0DAE7" w:themeFill="background2"/>
    </w:rPr>
  </w:style>
  <w:style w:type="paragraph" w:customStyle="1" w:styleId="TableFigureNote">
    <w:name w:val="Table Figure Note"/>
    <w:basedOn w:val="TableText"/>
    <w:next w:val="BodyText"/>
    <w:link w:val="TableFigureNoteChar"/>
    <w:qFormat/>
    <w:rsid w:val="00AC1C73"/>
    <w:pPr>
      <w:spacing w:before="60" w:after="240" w:line="180" w:lineRule="atLeast"/>
    </w:pPr>
    <w:rPr>
      <w:sz w:val="16"/>
      <w:szCs w:val="16"/>
    </w:rPr>
  </w:style>
  <w:style w:type="paragraph" w:customStyle="1" w:styleId="TableText">
    <w:name w:val="Table Text"/>
    <w:basedOn w:val="Normal"/>
    <w:qFormat/>
    <w:rsid w:val="00247F1C"/>
    <w:pPr>
      <w:spacing w:after="120" w:line="200" w:lineRule="atLeast"/>
    </w:pPr>
    <w:rPr>
      <w:rFonts w:eastAsia="Calibri"/>
      <w:sz w:val="17"/>
      <w:szCs w:val="17"/>
      <w:lang w:eastAsia="en-US"/>
    </w:rPr>
  </w:style>
  <w:style w:type="paragraph" w:customStyle="1" w:styleId="Source">
    <w:name w:val="Source"/>
    <w:basedOn w:val="TableFigureNote"/>
    <w:next w:val="BodyText"/>
    <w:rsid w:val="00C36563"/>
  </w:style>
  <w:style w:type="character" w:customStyle="1" w:styleId="TableFigureNoteChar">
    <w:name w:val="Table Figure Note Char"/>
    <w:link w:val="TableFigureNote"/>
    <w:rsid w:val="00AC1C73"/>
    <w:rPr>
      <w:rFonts w:ascii="Franklin Gothic Book" w:eastAsia="Calibri" w:hAnsi="Franklin Gothic Book"/>
      <w:sz w:val="16"/>
      <w:szCs w:val="16"/>
      <w:lang w:eastAsia="en-US"/>
    </w:rPr>
  </w:style>
  <w:style w:type="paragraph" w:customStyle="1" w:styleId="BoxHeading1">
    <w:name w:val="Box Heading 1"/>
    <w:basedOn w:val="Heading3"/>
    <w:next w:val="BoxText"/>
    <w:qFormat/>
    <w:rsid w:val="00A15877"/>
    <w:pPr>
      <w:pBdr>
        <w:top w:val="single" w:sz="48" w:space="6" w:color="D0DAE7" w:themeColor="background2"/>
        <w:left w:val="single" w:sz="48" w:space="6" w:color="D0DAE7" w:themeColor="background2"/>
        <w:bottom w:val="single" w:sz="48" w:space="6" w:color="D0DAE7" w:themeColor="background2"/>
        <w:right w:val="single" w:sz="48" w:space="6" w:color="D0DAE7" w:themeColor="background2"/>
      </w:pBdr>
      <w:shd w:val="clear" w:color="auto" w:fill="D0DAE7" w:themeFill="background2"/>
      <w:spacing w:before="240"/>
      <w:ind w:left="227" w:right="227"/>
    </w:pPr>
    <w:rPr>
      <w:iCs/>
      <w:color w:val="124486" w:themeColor="text2"/>
      <w:sz w:val="24"/>
      <w:szCs w:val="24"/>
    </w:rPr>
  </w:style>
  <w:style w:type="paragraph" w:customStyle="1" w:styleId="BoxHeading2">
    <w:name w:val="Box Heading 2"/>
    <w:basedOn w:val="BoxText"/>
    <w:next w:val="BoxText"/>
    <w:qFormat/>
    <w:rsid w:val="00EB379D"/>
    <w:pPr>
      <w:spacing w:before="120"/>
    </w:pPr>
    <w:rPr>
      <w:b/>
      <w:i/>
      <w:iCs w:val="0"/>
      <w:spacing w:val="4"/>
    </w:rPr>
  </w:style>
  <w:style w:type="paragraph" w:customStyle="1" w:styleId="TableListBullet">
    <w:name w:val="Table List Bullet"/>
    <w:basedOn w:val="TableText"/>
    <w:qFormat/>
    <w:rsid w:val="009B23F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spacing w:before="40" w:line="230" w:lineRule="atLeast"/>
    </w:pPr>
    <w:rPr>
      <w:sz w:val="22"/>
      <w:szCs w:val="19"/>
    </w:rPr>
  </w:style>
  <w:style w:type="paragraph" w:customStyle="1" w:styleId="RecommendationBoxText">
    <w:name w:val="Recommendation Box Text"/>
    <w:basedOn w:val="RecommendationBoxHeading"/>
    <w:next w:val="BodyText"/>
    <w:qFormat/>
    <w:rsid w:val="00F268DC"/>
    <w:pPr>
      <w:spacing w:before="0"/>
    </w:pPr>
    <w:rPr>
      <w:rFonts w:ascii="Franklin Gothic Book" w:hAnsi="Franklin Gothic Book"/>
      <w:b w:val="0"/>
      <w:sz w:val="22"/>
      <w:szCs w:val="22"/>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rsid w:val="003A1A9E"/>
    <w:rPr>
      <w:rFonts w:ascii="Franklin Gothic Book" w:hAnsi="Franklin Gothic Book"/>
      <w:w w:val="100"/>
      <w:position w:val="6"/>
      <w:sz w:val="16"/>
      <w:szCs w:val="12"/>
      <w:vertAlign w:val="baseline"/>
    </w:rPr>
  </w:style>
  <w:style w:type="paragraph" w:styleId="FootnoteText">
    <w:name w:val="footnote text"/>
    <w:basedOn w:val="BodyText"/>
    <w:link w:val="FootnoteTextChar"/>
    <w:rsid w:val="00081B01"/>
    <w:pPr>
      <w:tabs>
        <w:tab w:val="left" w:pos="357"/>
      </w:tabs>
      <w:spacing w:after="0" w:line="180" w:lineRule="atLeast"/>
      <w:ind w:left="113" w:hanging="113"/>
    </w:pPr>
    <w:rPr>
      <w:sz w:val="16"/>
      <w:szCs w:val="14"/>
    </w:rPr>
  </w:style>
  <w:style w:type="character" w:styleId="Hyperlink">
    <w:name w:val="Hyperlink"/>
    <w:uiPriority w:val="99"/>
    <w:rsid w:val="00A05D38"/>
    <w:rPr>
      <w:color w:val="124486" w:themeColor="text2"/>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
    <w:name w:val="Table Data"/>
    <w:basedOn w:val="TableText"/>
    <w:rsid w:val="004900C2"/>
    <w:pPr>
      <w:keepNext/>
      <w:ind w:right="284"/>
      <w:jc w:val="right"/>
    </w:pPr>
    <w:rPr>
      <w:rFonts w:asciiTheme="majorHAnsi" w:hAnsiTheme="majorHAnsi"/>
    </w:rPr>
  </w:style>
  <w:style w:type="paragraph" w:customStyle="1" w:styleId="TableHeading1Centred">
    <w:name w:val="Table Heading 1 Centred"/>
    <w:basedOn w:val="TableHeading1"/>
    <w:rsid w:val="009C4B84"/>
    <w:pPr>
      <w:jc w:val="center"/>
    </w:pPr>
  </w:style>
  <w:style w:type="paragraph" w:customStyle="1" w:styleId="TableHeading1">
    <w:name w:val="Table Heading 1"/>
    <w:basedOn w:val="Normal"/>
    <w:next w:val="TableText"/>
    <w:qFormat/>
    <w:rsid w:val="00FC7E5E"/>
    <w:pPr>
      <w:spacing w:after="40" w:line="200" w:lineRule="atLeast"/>
    </w:pPr>
    <w:rPr>
      <w:rFonts w:eastAsia="Calibri"/>
      <w:b/>
      <w:sz w:val="18"/>
      <w:szCs w:val="17"/>
      <w:lang w:eastAsia="en-US"/>
    </w:rPr>
  </w:style>
  <w:style w:type="paragraph" w:customStyle="1" w:styleId="TableHeading2">
    <w:name w:val="Table Heading 2"/>
    <w:basedOn w:val="Normal"/>
    <w:next w:val="TableText"/>
    <w:rsid w:val="009C4B84"/>
    <w:pPr>
      <w:spacing w:after="40" w:line="200" w:lineRule="atLeast"/>
    </w:pPr>
    <w:rPr>
      <w:rFonts w:eastAsia="Calibri"/>
      <w:b/>
      <w:i/>
      <w:sz w:val="17"/>
      <w:szCs w:val="17"/>
      <w:lang w:eastAsia="en-US"/>
    </w:rPr>
  </w:style>
  <w:style w:type="paragraph" w:customStyle="1" w:styleId="TableListBullet2">
    <w:name w:val="Table List Bullet 2"/>
    <w:basedOn w:val="TableListBullet"/>
    <w:link w:val="TableListBullet2Char"/>
    <w:qFormat/>
    <w:rsid w:val="009B23FF"/>
    <w:pPr>
      <w:numPr>
        <w:numId w:val="6"/>
      </w:numPr>
      <w:ind w:left="568" w:hanging="284"/>
    </w:pPr>
  </w:style>
  <w:style w:type="character" w:customStyle="1" w:styleId="TableListBullet2Char">
    <w:name w:val="Table List Bullet 2 Char"/>
    <w:link w:val="TableListBullet2"/>
    <w:rsid w:val="009B23FF"/>
    <w:rPr>
      <w:rFonts w:ascii="Franklin Gothic Book" w:eastAsia="Calibri" w:hAnsi="Franklin Gothic Book"/>
      <w:sz w:val="17"/>
      <w:szCs w:val="17"/>
      <w:lang w:eastAsia="en-US"/>
    </w:rPr>
  </w:style>
  <w:style w:type="paragraph" w:customStyle="1" w:styleId="TableListNumber">
    <w:name w:val="Table List Number"/>
    <w:basedOn w:val="TableText"/>
    <w:qFormat/>
    <w:rsid w:val="00005A8F"/>
    <w:pPr>
      <w:numPr>
        <w:numId w:val="1"/>
      </w:numPr>
      <w:spacing w:line="240" w:lineRule="auto"/>
      <w:ind w:left="284" w:hanging="284"/>
    </w:pPr>
  </w:style>
  <w:style w:type="paragraph" w:customStyle="1" w:styleId="TableListNumber2">
    <w:name w:val="Table List Number 2"/>
    <w:basedOn w:val="TableListNumber"/>
    <w:qFormat/>
    <w:rsid w:val="009B23FF"/>
    <w:pPr>
      <w:numPr>
        <w:numId w:val="3"/>
      </w:numPr>
      <w:ind w:left="568" w:hanging="284"/>
    </w:pPr>
  </w:style>
  <w:style w:type="paragraph" w:customStyle="1" w:styleId="TableUnit">
    <w:name w:val="Table Unit"/>
    <w:basedOn w:val="Normal"/>
    <w:next w:val="TableData"/>
    <w:rsid w:val="009B23FF"/>
    <w:pPr>
      <w:keepNext/>
      <w:spacing w:before="80" w:after="80" w:line="200" w:lineRule="atLeast"/>
      <w:jc w:val="right"/>
    </w:pPr>
    <w:rPr>
      <w:rFonts w:eastAsia="Calibri"/>
      <w:b/>
      <w:sz w:val="17"/>
      <w:szCs w:val="17"/>
      <w:lang w:eastAsia="en-US"/>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orNumber2">
    <w:name w:val="Box List Bullet or Number 2"/>
    <w:basedOn w:val="BoxText"/>
    <w:qFormat/>
    <w:rsid w:val="006D49D6"/>
    <w:pPr>
      <w:tabs>
        <w:tab w:val="left" w:pos="567"/>
      </w:tabs>
      <w:ind w:left="851" w:hanging="624"/>
      <w:contextualSpacing/>
    </w:pPr>
  </w:style>
  <w:style w:type="paragraph" w:customStyle="1" w:styleId="BoxListNumber">
    <w:name w:val="Box List Number"/>
    <w:basedOn w:val="Normal"/>
    <w:next w:val="BoxText"/>
    <w:qFormat/>
    <w:rsid w:val="00BD09FC"/>
    <w:pPr>
      <w:numPr>
        <w:numId w:val="7"/>
      </w:numPr>
      <w:pBdr>
        <w:top w:val="single" w:sz="48" w:space="6" w:color="D0DAE7" w:themeColor="background2"/>
        <w:left w:val="single" w:sz="48" w:space="6" w:color="D0DAE7" w:themeColor="background2"/>
        <w:bottom w:val="single" w:sz="48" w:space="6" w:color="D0DAE7" w:themeColor="background2"/>
        <w:right w:val="single" w:sz="48" w:space="6" w:color="D0DAE7" w:themeColor="background2"/>
      </w:pBdr>
      <w:shd w:val="clear" w:color="auto" w:fill="D0DAE7" w:themeFill="background2"/>
      <w:spacing w:after="120"/>
      <w:ind w:left="737" w:right="227" w:hanging="510"/>
    </w:pPr>
    <w:rPr>
      <w:rFonts w:eastAsia="Calibri"/>
      <w:iCs/>
      <w:color w:val="124486" w:themeColor="text2"/>
      <w:sz w:val="20"/>
      <w:szCs w:val="20"/>
    </w:rPr>
  </w:style>
  <w:style w:type="paragraph" w:customStyle="1" w:styleId="BoxNoteSource">
    <w:name w:val="Box Note/Source"/>
    <w:basedOn w:val="BoxText"/>
    <w:rsid w:val="00EB379D"/>
    <w:pPr>
      <w:spacing w:before="100" w:after="100" w:line="180" w:lineRule="atLeast"/>
    </w:pPr>
    <w:rPr>
      <w:sz w:val="14"/>
      <w:szCs w:val="14"/>
    </w:rPr>
  </w:style>
  <w:style w:type="paragraph" w:customStyle="1" w:styleId="BoxQuote">
    <w:name w:val="Box Quote"/>
    <w:basedOn w:val="BoxText"/>
    <w:next w:val="BoxText"/>
    <w:rsid w:val="00EB379D"/>
    <w:pPr>
      <w:spacing w:line="240" w:lineRule="atLeast"/>
    </w:pPr>
    <w:rPr>
      <w:i/>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qFormat/>
    <w:rsid w:val="00AC1C73"/>
    <w:pPr>
      <w:spacing w:before="140" w:after="240" w:line="180" w:lineRule="exact"/>
    </w:pPr>
    <w:rPr>
      <w:rFonts w:asciiTheme="minorHAnsi" w:hAnsiTheme="minorHAnsi"/>
      <w:color w:val="54534A"/>
      <w:sz w:val="16"/>
      <w:szCs w:val="14"/>
    </w:rPr>
  </w:style>
  <w:style w:type="paragraph" w:customStyle="1" w:styleId="CharChar1">
    <w:name w:val="Char Char1"/>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6778C5"/>
    <w:pPr>
      <w:numPr>
        <w:numId w:val="10"/>
      </w:numPr>
      <w:ind w:left="851" w:hanging="284"/>
      <w:contextualSpacing/>
    </w:pPr>
  </w:style>
  <w:style w:type="paragraph" w:styleId="ListNumber3">
    <w:name w:val="List Number 3"/>
    <w:basedOn w:val="ListNumber2"/>
    <w:rsid w:val="00A05D38"/>
    <w:pPr>
      <w:numPr>
        <w:numId w:val="11"/>
      </w:numPr>
      <w:ind w:left="851" w:hanging="284"/>
      <w:contextualSpacing/>
    </w:pPr>
  </w:style>
  <w:style w:type="character" w:styleId="CommentReference">
    <w:name w:val="annotation reference"/>
    <w:basedOn w:val="DefaultParagraphFont"/>
    <w:unhideWhenUsed/>
    <w:rsid w:val="00B770CD"/>
    <w:rPr>
      <w:sz w:val="16"/>
      <w:szCs w:val="16"/>
    </w:rPr>
  </w:style>
  <w:style w:type="character" w:customStyle="1" w:styleId="FooterChar">
    <w:name w:val="Footer Char"/>
    <w:basedOn w:val="DefaultParagraphFont"/>
    <w:link w:val="Footer"/>
    <w:uiPriority w:val="99"/>
    <w:rsid w:val="00691B6A"/>
    <w:rPr>
      <w:rFonts w:ascii="Franklin Gothic Book" w:hAnsi="Franklin Gothic Book"/>
      <w:b/>
      <w:color w:val="595959" w:themeColor="text1" w:themeTint="A6"/>
      <w:sz w:val="16"/>
      <w:szCs w:val="15"/>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paragraph" w:customStyle="1" w:styleId="RecommendationBoxHeading">
    <w:name w:val="Recommendation Box Heading"/>
    <w:basedOn w:val="Heading3"/>
    <w:link w:val="RecommendationBoxHeadingChar"/>
    <w:qFormat/>
    <w:rsid w:val="00A15877"/>
    <w:pPr>
      <w:pBdr>
        <w:top w:val="single" w:sz="48" w:space="6" w:color="007FAD" w:themeColor="accent1"/>
        <w:left w:val="single" w:sz="48" w:space="6" w:color="007FAD" w:themeColor="accent1"/>
        <w:bottom w:val="single" w:sz="48" w:space="6" w:color="007FAD" w:themeColor="accent1"/>
        <w:right w:val="single" w:sz="48" w:space="6" w:color="007FAD" w:themeColor="accent1"/>
      </w:pBdr>
      <w:shd w:val="clear" w:color="auto" w:fill="007FAD" w:themeFill="accent1"/>
      <w:spacing w:before="240"/>
      <w:ind w:left="227" w:right="227"/>
    </w:pPr>
    <w:rPr>
      <w:color w:val="FFFFFF" w:themeColor="background1"/>
      <w:sz w:val="24"/>
    </w:rPr>
  </w:style>
  <w:style w:type="character" w:customStyle="1" w:styleId="Heading2Char">
    <w:name w:val="Heading 2 Char"/>
    <w:basedOn w:val="DefaultParagraphFont"/>
    <w:link w:val="Heading2"/>
    <w:rsid w:val="00A0021E"/>
    <w:rPr>
      <w:rFonts w:asciiTheme="majorHAnsi" w:hAnsiTheme="majorHAnsi" w:cs="Arial"/>
      <w:color w:val="124486" w:themeColor="text2"/>
      <w:kern w:val="28"/>
      <w:sz w:val="28"/>
      <w:szCs w:val="28"/>
    </w:rPr>
  </w:style>
  <w:style w:type="character" w:customStyle="1" w:styleId="RecommendationBoxHeadingChar">
    <w:name w:val="Recommendation Box Heading Char"/>
    <w:basedOn w:val="Heading2Char"/>
    <w:link w:val="RecommendationBoxHeading"/>
    <w:rsid w:val="00A15877"/>
    <w:rPr>
      <w:rFonts w:asciiTheme="majorHAnsi" w:hAnsiTheme="majorHAnsi" w:cs="Arial"/>
      <w:b/>
      <w:color w:val="FFFFFF" w:themeColor="background1"/>
      <w:spacing w:val="4"/>
      <w:kern w:val="28"/>
      <w:sz w:val="24"/>
      <w:szCs w:val="28"/>
      <w:shd w:val="clear" w:color="auto" w:fill="007FAD" w:themeFill="accent1"/>
    </w:rPr>
  </w:style>
  <w:style w:type="paragraph" w:styleId="Quote">
    <w:name w:val="Quote"/>
    <w:basedOn w:val="Normal"/>
    <w:next w:val="Normal"/>
    <w:link w:val="QuoteChar"/>
    <w:qFormat/>
    <w:rsid w:val="00305817"/>
    <w:pPr>
      <w:spacing w:before="200"/>
      <w:ind w:left="862" w:right="862"/>
    </w:pPr>
    <w:rPr>
      <w:iCs/>
      <w:color w:val="000000" w:themeColor="text1"/>
      <w:sz w:val="20"/>
    </w:rPr>
  </w:style>
  <w:style w:type="character" w:customStyle="1" w:styleId="QuoteChar">
    <w:name w:val="Quote Char"/>
    <w:basedOn w:val="DefaultParagraphFont"/>
    <w:link w:val="Quote"/>
    <w:rsid w:val="00305817"/>
    <w:rPr>
      <w:rFonts w:ascii="Franklin Gothic Book" w:hAnsi="Franklin Gothic Book"/>
      <w:iCs/>
      <w:color w:val="000000" w:themeColor="text1"/>
      <w:szCs w:val="24"/>
    </w:rPr>
  </w:style>
  <w:style w:type="paragraph" w:customStyle="1" w:styleId="StyleBoxHeading1NotBold">
    <w:name w:val="Style Box Heading 1 + Not Bold"/>
    <w:basedOn w:val="BoxHeading1"/>
    <w:rsid w:val="001F38CC"/>
    <w:rPr>
      <w:b w:val="0"/>
    </w:rPr>
  </w:style>
  <w:style w:type="paragraph" w:styleId="EndnoteText">
    <w:name w:val="endnote text"/>
    <w:basedOn w:val="Normal"/>
    <w:link w:val="EndnoteTextChar"/>
    <w:unhideWhenUsed/>
    <w:rsid w:val="00593BB5"/>
    <w:rPr>
      <w:sz w:val="20"/>
      <w:szCs w:val="20"/>
    </w:rPr>
  </w:style>
  <w:style w:type="character" w:customStyle="1" w:styleId="EndnoteTextChar">
    <w:name w:val="Endnote Text Char"/>
    <w:basedOn w:val="DefaultParagraphFont"/>
    <w:link w:val="EndnoteText"/>
    <w:rsid w:val="00593BB5"/>
  </w:style>
  <w:style w:type="character" w:styleId="EndnoteReference">
    <w:name w:val="endnote reference"/>
    <w:basedOn w:val="DefaultParagraphFont"/>
    <w:unhideWhenUsed/>
    <w:rsid w:val="00593BB5"/>
    <w:rPr>
      <w:vertAlign w:val="superscript"/>
    </w:rPr>
  </w:style>
  <w:style w:type="paragraph" w:customStyle="1" w:styleId="Pull-out">
    <w:name w:val="Pull-out"/>
    <w:basedOn w:val="Heading2"/>
    <w:qFormat/>
    <w:rsid w:val="00BD09FC"/>
    <w:pPr>
      <w:pBdr>
        <w:top w:val="single" w:sz="12" w:space="4" w:color="F47621" w:themeColor="accent4"/>
        <w:bottom w:val="single" w:sz="12" w:space="4" w:color="F47621" w:themeColor="accent4"/>
      </w:pBdr>
      <w:spacing w:before="360" w:after="360"/>
    </w:pPr>
    <w:rPr>
      <w:color w:val="F47621" w:themeColor="accent4"/>
    </w:rPr>
  </w:style>
  <w:style w:type="paragraph" w:customStyle="1" w:styleId="TableName">
    <w:name w:val="Table Name"/>
    <w:basedOn w:val="BodyText"/>
    <w:rsid w:val="00B770CD"/>
    <w:pPr>
      <w:spacing w:before="80" w:after="120" w:line="240" w:lineRule="exact"/>
    </w:pPr>
    <w:rPr>
      <w:b/>
      <w:color w:val="007FAD"/>
      <w:sz w:val="22"/>
    </w:rPr>
  </w:style>
  <w:style w:type="paragraph" w:customStyle="1" w:styleId="TableandFigureName">
    <w:name w:val="Table and Figure Name"/>
    <w:basedOn w:val="Heading4"/>
    <w:link w:val="TableandFigureNameChar"/>
    <w:qFormat/>
    <w:rsid w:val="00BD09FC"/>
    <w:pPr>
      <w:tabs>
        <w:tab w:val="left" w:pos="993"/>
      </w:tabs>
      <w:ind w:left="993" w:hanging="993"/>
    </w:pPr>
    <w:rPr>
      <w:color w:val="auto"/>
      <w:sz w:val="20"/>
    </w:rPr>
  </w:style>
  <w:style w:type="paragraph" w:customStyle="1" w:styleId="TableandFigureCaption">
    <w:name w:val="Table and Figure Caption"/>
    <w:basedOn w:val="TableandFigureName"/>
    <w:link w:val="TableandFigureCaptionChar"/>
    <w:qFormat/>
    <w:rsid w:val="00653108"/>
    <w:pPr>
      <w:spacing w:before="0"/>
      <w:ind w:firstLine="0"/>
    </w:pPr>
    <w:rPr>
      <w:color w:val="595959" w:themeColor="text1" w:themeTint="A6"/>
      <w:sz w:val="19"/>
    </w:rPr>
  </w:style>
  <w:style w:type="table" w:customStyle="1" w:styleId="DFATtable">
    <w:name w:val="DFAT table"/>
    <w:basedOn w:val="TableNormal"/>
    <w:uiPriority w:val="99"/>
    <w:rsid w:val="00404304"/>
    <w:pPr>
      <w:keepNext/>
    </w:pPr>
    <w:tblPr>
      <w:tblBorders>
        <w:bottom w:val="single" w:sz="8" w:space="0" w:color="BFBFBF"/>
        <w:insideH w:val="single" w:sz="8" w:space="0" w:color="BFBFBF"/>
      </w:tblBorders>
      <w:tblCellMar>
        <w:top w:w="85" w:type="dxa"/>
        <w:left w:w="85" w:type="dxa"/>
        <w:right w:w="85" w:type="dxa"/>
      </w:tblCellMar>
    </w:tblPr>
    <w:tblStylePr w:type="firstRow">
      <w:pPr>
        <w:jc w:val="left"/>
      </w:pPr>
      <w:tblPr/>
      <w:tcPr>
        <w:shd w:val="clear" w:color="auto" w:fill="BFBFBF" w:themeFill="background1" w:themeFillShade="BF"/>
      </w:tcPr>
    </w:tblStylePr>
  </w:style>
  <w:style w:type="paragraph" w:styleId="CommentText">
    <w:name w:val="annotation text"/>
    <w:basedOn w:val="Normal"/>
    <w:link w:val="CommentTextChar"/>
    <w:unhideWhenUsed/>
    <w:rsid w:val="00B770CD"/>
    <w:rPr>
      <w:sz w:val="20"/>
      <w:szCs w:val="20"/>
    </w:rPr>
  </w:style>
  <w:style w:type="character" w:customStyle="1" w:styleId="CommentTextChar">
    <w:name w:val="Comment Text Char"/>
    <w:basedOn w:val="DefaultParagraphFont"/>
    <w:link w:val="CommentText"/>
    <w:rsid w:val="00B770CD"/>
  </w:style>
  <w:style w:type="character" w:customStyle="1" w:styleId="Highlightorange">
    <w:name w:val="Highlight orange"/>
    <w:basedOn w:val="DefaultParagraphFont"/>
    <w:uiPriority w:val="1"/>
    <w:rsid w:val="00BD09FC"/>
    <w:rPr>
      <w:b/>
      <w:color w:val="F47621" w:themeColor="accent4"/>
    </w:rPr>
  </w:style>
  <w:style w:type="character" w:customStyle="1" w:styleId="QuoteSource">
    <w:name w:val="QuoteSource"/>
    <w:basedOn w:val="DefaultParagraphFont"/>
    <w:uiPriority w:val="1"/>
    <w:rsid w:val="007E3DC8"/>
    <w:rPr>
      <w:rFonts w:asciiTheme="minorHAnsi" w:hAnsiTheme="minorHAnsi"/>
      <w:color w:val="404040" w:themeColor="text1" w:themeTint="BF"/>
      <w:sz w:val="20"/>
    </w:rPr>
  </w:style>
  <w:style w:type="character" w:customStyle="1" w:styleId="Heading4Char">
    <w:name w:val="Heading 4 Char"/>
    <w:basedOn w:val="DefaultParagraphFont"/>
    <w:link w:val="Heading4"/>
    <w:rsid w:val="00A15877"/>
    <w:rPr>
      <w:rFonts w:asciiTheme="majorHAnsi" w:hAnsiTheme="majorHAnsi" w:cs="Arial"/>
      <w:color w:val="124486" w:themeColor="text2"/>
      <w:kern w:val="28"/>
      <w:sz w:val="21"/>
      <w:szCs w:val="22"/>
      <w:lang w:eastAsia="zh-CN"/>
    </w:rPr>
  </w:style>
  <w:style w:type="character" w:customStyle="1" w:styleId="TableandFigureNameChar">
    <w:name w:val="Table and Figure Name Char"/>
    <w:basedOn w:val="Heading4Char"/>
    <w:link w:val="TableandFigureName"/>
    <w:rsid w:val="00BD09FC"/>
    <w:rPr>
      <w:rFonts w:asciiTheme="majorHAnsi" w:hAnsiTheme="majorHAnsi" w:cs="Arial"/>
      <w:b w:val="0"/>
      <w:color w:val="124486" w:themeColor="text2"/>
      <w:kern w:val="28"/>
      <w:sz w:val="21"/>
      <w:szCs w:val="22"/>
      <w:lang w:eastAsia="zh-CN"/>
    </w:rPr>
  </w:style>
  <w:style w:type="character" w:customStyle="1" w:styleId="Highlightblue">
    <w:name w:val="Highlight blue"/>
    <w:basedOn w:val="DefaultParagraphFont"/>
    <w:uiPriority w:val="1"/>
    <w:rsid w:val="00BD09FC"/>
    <w:rPr>
      <w:b/>
      <w:color w:val="1042A8" w:themeColor="accent2"/>
    </w:rPr>
  </w:style>
  <w:style w:type="character" w:customStyle="1" w:styleId="TableandFigureCaptionChar">
    <w:name w:val="Table and Figure Caption Char"/>
    <w:basedOn w:val="TableandFigureNameChar"/>
    <w:link w:val="TableandFigureCaption"/>
    <w:rsid w:val="00653108"/>
    <w:rPr>
      <w:rFonts w:asciiTheme="majorHAnsi" w:hAnsiTheme="majorHAnsi" w:cs="Arial"/>
      <w:b w:val="0"/>
      <w:color w:val="595959" w:themeColor="text1" w:themeTint="A6"/>
      <w:kern w:val="28"/>
      <w:sz w:val="19"/>
      <w:szCs w:val="22"/>
      <w:lang w:eastAsia="zh-CN"/>
    </w:rPr>
  </w:style>
  <w:style w:type="paragraph" w:customStyle="1" w:styleId="RecommendationBoxBullet">
    <w:name w:val="Recommendation Box Bullet"/>
    <w:basedOn w:val="RecommendationBoxText"/>
    <w:qFormat/>
    <w:rsid w:val="002C2514"/>
    <w:pPr>
      <w:numPr>
        <w:numId w:val="16"/>
      </w:numPr>
      <w:ind w:left="567" w:hanging="340"/>
    </w:pPr>
  </w:style>
  <w:style w:type="character" w:styleId="Strong">
    <w:name w:val="Strong"/>
    <w:basedOn w:val="DefaultParagraphFont"/>
    <w:uiPriority w:val="22"/>
    <w:qFormat/>
    <w:rsid w:val="00E30B3C"/>
    <w:rPr>
      <w:b/>
      <w:bCs/>
    </w:rPr>
  </w:style>
  <w:style w:type="paragraph" w:customStyle="1" w:styleId="StyleImprintTextBoxSinglesolidlineAuto05ptLinewid">
    <w:name w:val="Style ImprintText + Box: (Single solid line Auto  0.5 pt Line wid..."/>
    <w:basedOn w:val="ImprintText"/>
    <w:rsid w:val="00FA7B11"/>
    <w:pPr>
      <w:pBdr>
        <w:top w:val="single" w:sz="4" w:space="1" w:color="auto"/>
      </w:pBdr>
    </w:pPr>
  </w:style>
  <w:style w:type="paragraph" w:customStyle="1" w:styleId="ImprintText-Copyright">
    <w:name w:val="ImprintText-Copyright"/>
    <w:basedOn w:val="ImprintText"/>
    <w:rsid w:val="00033C14"/>
    <w:pPr>
      <w:pBdr>
        <w:top w:val="single" w:sz="4" w:space="4" w:color="auto"/>
      </w:pBdr>
    </w:pPr>
  </w:style>
  <w:style w:type="paragraph" w:customStyle="1" w:styleId="ImprintText">
    <w:name w:val="ImprintText"/>
    <w:basedOn w:val="Normal"/>
    <w:uiPriority w:val="99"/>
    <w:rsid w:val="00033C14"/>
    <w:pPr>
      <w:spacing w:before="40"/>
    </w:pPr>
    <w:rPr>
      <w:sz w:val="16"/>
      <w:szCs w:val="20"/>
    </w:rPr>
  </w:style>
  <w:style w:type="character" w:styleId="Emphasis">
    <w:name w:val="Emphasis"/>
    <w:basedOn w:val="DefaultParagraphFont"/>
    <w:uiPriority w:val="20"/>
    <w:qFormat/>
    <w:rsid w:val="00611F77"/>
    <w:rPr>
      <w:i/>
      <w:iCs/>
    </w:rPr>
  </w:style>
  <w:style w:type="paragraph" w:customStyle="1" w:styleId="Heading1b">
    <w:name w:val="Heading 1b"/>
    <w:basedOn w:val="Heading1"/>
    <w:qFormat/>
    <w:rsid w:val="00F22677"/>
    <w:pPr>
      <w:pBdr>
        <w:top w:val="single" w:sz="48" w:space="30" w:color="124486" w:themeColor="text2"/>
        <w:left w:val="single" w:sz="48" w:space="4" w:color="124486" w:themeColor="text2"/>
        <w:bottom w:val="single" w:sz="48" w:space="30" w:color="124486" w:themeColor="text2"/>
        <w:right w:val="single" w:sz="48" w:space="4" w:color="124486" w:themeColor="text2"/>
      </w:pBdr>
      <w:shd w:val="clear" w:color="auto" w:fill="124486" w:themeFill="text2"/>
      <w:spacing w:before="0" w:after="1200"/>
      <w:ind w:left="-1701" w:right="-1701" w:firstLine="1701"/>
      <w:contextualSpacing/>
    </w:pPr>
    <w:rPr>
      <w:color w:val="FFFFFF" w:themeColor="background1"/>
    </w:rPr>
  </w:style>
  <w:style w:type="paragraph" w:customStyle="1" w:styleId="RecommendationBoxNumber">
    <w:name w:val="Recommendation Box Number"/>
    <w:basedOn w:val="RecommendationBoxBullet"/>
    <w:qFormat/>
    <w:rsid w:val="002C2514"/>
    <w:pPr>
      <w:numPr>
        <w:numId w:val="17"/>
      </w:numPr>
      <w:ind w:left="567" w:hanging="340"/>
      <w:outlineLvl w:val="0"/>
    </w:pPr>
  </w:style>
  <w:style w:type="character" w:customStyle="1" w:styleId="Heading1Char">
    <w:name w:val="Heading 1 Char"/>
    <w:basedOn w:val="DefaultParagraphFont"/>
    <w:link w:val="Heading1"/>
    <w:rsid w:val="00A0021E"/>
    <w:rPr>
      <w:rFonts w:asciiTheme="majorHAnsi" w:hAnsiTheme="majorHAnsi"/>
      <w:color w:val="124486" w:themeColor="text2"/>
      <w:spacing w:val="-10"/>
      <w:kern w:val="28"/>
      <w:sz w:val="50"/>
      <w:szCs w:val="50"/>
    </w:rPr>
  </w:style>
  <w:style w:type="paragraph" w:styleId="PlainText">
    <w:name w:val="Plain Text"/>
    <w:basedOn w:val="Normal"/>
    <w:link w:val="PlainTextChar"/>
    <w:unhideWhenUsed/>
    <w:rsid w:val="00AC1C73"/>
    <w:pPr>
      <w:spacing w:after="0"/>
    </w:pPr>
    <w:rPr>
      <w:rFonts w:ascii="Consolas" w:hAnsi="Consolas" w:cs="Consolas"/>
      <w:szCs w:val="21"/>
    </w:rPr>
  </w:style>
  <w:style w:type="character" w:customStyle="1" w:styleId="PlainTextChar">
    <w:name w:val="Plain Text Char"/>
    <w:basedOn w:val="DefaultParagraphFont"/>
    <w:link w:val="PlainText"/>
    <w:rsid w:val="00AC1C73"/>
    <w:rPr>
      <w:rFonts w:ascii="Consolas" w:hAnsi="Consolas" w:cs="Consolas"/>
      <w:sz w:val="21"/>
      <w:szCs w:val="21"/>
    </w:rPr>
  </w:style>
  <w:style w:type="paragraph" w:customStyle="1" w:styleId="RecommendationBoxBulletorNumber2">
    <w:name w:val="Recommendation Box Bullet or Number 2"/>
    <w:basedOn w:val="RecommendationBoxBullet"/>
    <w:qFormat/>
    <w:rsid w:val="002468CA"/>
    <w:pPr>
      <w:numPr>
        <w:numId w:val="0"/>
      </w:numPr>
      <w:tabs>
        <w:tab w:val="left" w:pos="567"/>
      </w:tabs>
      <w:ind w:left="851" w:hanging="624"/>
    </w:pPr>
  </w:style>
  <w:style w:type="paragraph" w:customStyle="1" w:styleId="BoxListRomanNumeral">
    <w:name w:val="Box List Roman Numeral"/>
    <w:basedOn w:val="BoxListNumber"/>
    <w:qFormat/>
    <w:rsid w:val="00BD3249"/>
    <w:pPr>
      <w:numPr>
        <w:numId w:val="26"/>
      </w:numPr>
      <w:ind w:left="567" w:hanging="340"/>
    </w:pPr>
  </w:style>
  <w:style w:type="paragraph" w:customStyle="1" w:styleId="RecommendationBoxRomanNumeral">
    <w:name w:val="Recommendation Box Roman Numeral"/>
    <w:basedOn w:val="RecommendationBoxNumber"/>
    <w:qFormat/>
    <w:rsid w:val="00D2285B"/>
    <w:pPr>
      <w:numPr>
        <w:numId w:val="27"/>
      </w:numPr>
    </w:pPr>
  </w:style>
  <w:style w:type="character" w:customStyle="1" w:styleId="FootnoteTextChar">
    <w:name w:val="Footnote Text Char"/>
    <w:basedOn w:val="DefaultParagraphFont"/>
    <w:link w:val="FootnoteText"/>
    <w:rsid w:val="00411A56"/>
    <w:rPr>
      <w:rFonts w:ascii="Franklin Gothic Book" w:hAnsi="Franklin Gothic Book"/>
      <w:sz w:val="16"/>
      <w:szCs w:val="14"/>
    </w:rPr>
  </w:style>
  <w:style w:type="character" w:customStyle="1" w:styleId="Heading3Char">
    <w:name w:val="Heading 3 Char"/>
    <w:basedOn w:val="DefaultParagraphFont"/>
    <w:link w:val="Heading3"/>
    <w:rsid w:val="001A337D"/>
    <w:rPr>
      <w:rFonts w:asciiTheme="majorHAnsi" w:hAnsiTheme="majorHAnsi" w:cs="Arial"/>
      <w:b/>
      <w:color w:val="007FAD" w:themeColor="accent1"/>
      <w:spacing w:val="4"/>
      <w:kern w:val="28"/>
      <w:sz w:val="21"/>
      <w:szCs w:val="28"/>
    </w:rPr>
  </w:style>
  <w:style w:type="numbering" w:customStyle="1" w:styleId="Style1">
    <w:name w:val="Style1"/>
    <w:uiPriority w:val="99"/>
    <w:rsid w:val="009C3A1D"/>
    <w:pPr>
      <w:numPr>
        <w:numId w:val="29"/>
      </w:numPr>
    </w:pPr>
  </w:style>
  <w:style w:type="paragraph" w:styleId="Revision">
    <w:name w:val="Revision"/>
    <w:hidden/>
    <w:semiHidden/>
    <w:rsid w:val="009F2B5C"/>
    <w:rPr>
      <w:rFonts w:ascii="Franklin Gothic Book" w:hAnsi="Franklin Gothic Book"/>
      <w:sz w:val="21"/>
      <w:szCs w:val="24"/>
    </w:rPr>
  </w:style>
  <w:style w:type="table" w:customStyle="1" w:styleId="DFATtable1">
    <w:name w:val="DFAT table1"/>
    <w:basedOn w:val="TableNormal"/>
    <w:uiPriority w:val="99"/>
    <w:rsid w:val="00E60842"/>
    <w:pPr>
      <w:keepNext/>
    </w:pPr>
    <w:tblPr>
      <w:tblBorders>
        <w:bottom w:val="single" w:sz="4" w:space="0" w:color="808080"/>
      </w:tblBorders>
      <w:tblCellMar>
        <w:top w:w="85" w:type="dxa"/>
        <w:left w:w="85" w:type="dxa"/>
        <w:right w:w="85" w:type="dxa"/>
      </w:tblCellMar>
    </w:tblPr>
    <w:tblStylePr w:type="firstRow">
      <w:pPr>
        <w:jc w:val="left"/>
      </w:pPr>
      <w:tblPr/>
      <w:tcPr>
        <w:tcBorders>
          <w:bottom w:val="single" w:sz="4" w:space="0" w:color="808080"/>
          <w:insideH w:val="nil"/>
        </w:tcBorders>
      </w:tcPr>
    </w:tblStylePr>
  </w:style>
  <w:style w:type="table" w:styleId="LightList">
    <w:name w:val="Light List"/>
    <w:basedOn w:val="TableNormal"/>
    <w:rsid w:val="00E6084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link w:val="ListParagraphChar"/>
    <w:uiPriority w:val="34"/>
    <w:qFormat/>
    <w:rsid w:val="00E60842"/>
    <w:pPr>
      <w:ind w:left="720"/>
      <w:contextualSpacing/>
    </w:pPr>
  </w:style>
  <w:style w:type="table" w:customStyle="1" w:styleId="DFATTable0">
    <w:name w:val="DFAT Table"/>
    <w:basedOn w:val="TableNormal"/>
    <w:uiPriority w:val="99"/>
    <w:rsid w:val="00E60842"/>
    <w:rPr>
      <w:rFonts w:ascii="Helvetica" w:eastAsia="Calibri" w:hAnsi="Helvetica"/>
      <w:sz w:val="17"/>
      <w:szCs w:val="22"/>
    </w:rPr>
    <w:tblPr>
      <w:tblBorders>
        <w:top w:val="single" w:sz="12" w:space="0" w:color="auto"/>
        <w:bottom w:val="single" w:sz="12" w:space="0" w:color="auto"/>
      </w:tblBorders>
    </w:tblPr>
  </w:style>
  <w:style w:type="paragraph" w:customStyle="1" w:styleId="TableTextEntries">
    <w:name w:val="Table Text Entries"/>
    <w:basedOn w:val="Normal"/>
    <w:rsid w:val="00E60842"/>
    <w:pPr>
      <w:spacing w:before="40" w:after="40" w:line="200" w:lineRule="atLeast"/>
    </w:pPr>
    <w:rPr>
      <w:rFonts w:eastAsia="Calibri"/>
      <w:sz w:val="17"/>
      <w:szCs w:val="17"/>
      <w:lang w:eastAsia="en-US"/>
    </w:rPr>
  </w:style>
  <w:style w:type="paragraph" w:styleId="TOC4">
    <w:name w:val="toc 4"/>
    <w:basedOn w:val="Normal"/>
    <w:next w:val="Normal"/>
    <w:autoRedefine/>
    <w:unhideWhenUsed/>
    <w:rsid w:val="00E60842"/>
    <w:pPr>
      <w:ind w:left="630"/>
    </w:pPr>
  </w:style>
  <w:style w:type="paragraph" w:styleId="TOC5">
    <w:name w:val="toc 5"/>
    <w:basedOn w:val="Normal"/>
    <w:next w:val="Normal"/>
    <w:autoRedefine/>
    <w:unhideWhenUsed/>
    <w:rsid w:val="00E60842"/>
    <w:pPr>
      <w:ind w:left="840"/>
    </w:pPr>
  </w:style>
  <w:style w:type="paragraph" w:styleId="TOC8">
    <w:name w:val="toc 8"/>
    <w:basedOn w:val="Normal"/>
    <w:next w:val="Normal"/>
    <w:autoRedefine/>
    <w:unhideWhenUsed/>
    <w:rsid w:val="00E60842"/>
    <w:pPr>
      <w:ind w:left="1470"/>
    </w:pPr>
  </w:style>
  <w:style w:type="paragraph" w:styleId="TOC9">
    <w:name w:val="toc 9"/>
    <w:basedOn w:val="Normal"/>
    <w:next w:val="Normal"/>
    <w:autoRedefine/>
    <w:unhideWhenUsed/>
    <w:rsid w:val="00E60842"/>
    <w:pPr>
      <w:ind w:left="1680"/>
    </w:pPr>
  </w:style>
  <w:style w:type="character" w:customStyle="1" w:styleId="ListParagraphChar">
    <w:name w:val="List Paragraph Char"/>
    <w:basedOn w:val="DefaultParagraphFont"/>
    <w:link w:val="ListParagraph"/>
    <w:uiPriority w:val="34"/>
    <w:locked/>
    <w:rsid w:val="00E60842"/>
    <w:rPr>
      <w:rFonts w:ascii="Franklin Gothic Book" w:hAnsi="Franklin Gothic Book"/>
      <w:sz w:val="21"/>
      <w:szCs w:val="24"/>
    </w:rPr>
  </w:style>
  <w:style w:type="table" w:customStyle="1" w:styleId="ODETable">
    <w:name w:val="ODE Table"/>
    <w:basedOn w:val="TableNormal"/>
    <w:uiPriority w:val="99"/>
    <w:rsid w:val="007E5022"/>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47621" w:themeFill="accent4"/>
    </w:tcPr>
    <w:tblStylePr w:type="firstRow">
      <w:tblPr/>
      <w:tcPr>
        <w:shd w:val="clear" w:color="auto" w:fill="1042A8" w:themeFill="accent2"/>
      </w:tcPr>
    </w:tblStylePr>
  </w:style>
  <w:style w:type="table" w:customStyle="1" w:styleId="ODETable1">
    <w:name w:val="ODE Table1"/>
    <w:basedOn w:val="TableNormal"/>
    <w:uiPriority w:val="99"/>
    <w:rsid w:val="00EB6B89"/>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47621" w:themeFill="accent4"/>
    </w:tcPr>
    <w:tblStylePr w:type="firstRow">
      <w:tblPr/>
      <w:tcPr>
        <w:shd w:val="clear" w:color="auto" w:fill="1042A8" w:themeFill="accent2"/>
      </w:tcPr>
    </w:tblStylePr>
  </w:style>
  <w:style w:type="table" w:customStyle="1" w:styleId="ODETable2">
    <w:name w:val="ODE Table2"/>
    <w:basedOn w:val="TableNormal"/>
    <w:uiPriority w:val="99"/>
    <w:rsid w:val="00EB6B89"/>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47621" w:themeFill="accent4"/>
    </w:tcPr>
    <w:tblStylePr w:type="firstRow">
      <w:tblPr/>
      <w:tcPr>
        <w:shd w:val="clear" w:color="auto" w:fill="1042A8" w:themeFill="accent2"/>
      </w:tcPr>
    </w:tblStylePr>
  </w:style>
  <w:style w:type="table" w:customStyle="1" w:styleId="ODETable3">
    <w:name w:val="ODE Table3"/>
    <w:basedOn w:val="TableNormal"/>
    <w:uiPriority w:val="99"/>
    <w:rsid w:val="00EB6B89"/>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47621" w:themeFill="accent4"/>
    </w:tcPr>
    <w:tblStylePr w:type="firstRow">
      <w:tblPr/>
      <w:tcPr>
        <w:shd w:val="clear" w:color="auto" w:fill="1042A8" w:themeFill="accent2"/>
      </w:tcPr>
    </w:tblStylePr>
  </w:style>
  <w:style w:type="table" w:customStyle="1" w:styleId="ODETable4">
    <w:name w:val="ODE Table4"/>
    <w:basedOn w:val="TableNormal"/>
    <w:uiPriority w:val="99"/>
    <w:rsid w:val="00EB6B89"/>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47621" w:themeFill="accent4"/>
    </w:tcPr>
    <w:tblStylePr w:type="firstRow">
      <w:tblPr/>
      <w:tcPr>
        <w:shd w:val="clear" w:color="auto" w:fill="1042A8" w:themeFill="accent2"/>
      </w:tcPr>
    </w:tblStylePr>
  </w:style>
  <w:style w:type="table" w:customStyle="1" w:styleId="ODETable5">
    <w:name w:val="ODE Table5"/>
    <w:basedOn w:val="TableNormal"/>
    <w:uiPriority w:val="99"/>
    <w:rsid w:val="00EB6B89"/>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47621" w:themeFill="accent4"/>
    </w:tcPr>
    <w:tblStylePr w:type="firstRow">
      <w:tblPr/>
      <w:tcPr>
        <w:shd w:val="clear" w:color="auto" w:fill="1042A8" w:themeFill="accent2"/>
      </w:tcPr>
    </w:tblStylePr>
  </w:style>
  <w:style w:type="table" w:customStyle="1" w:styleId="ODETable6">
    <w:name w:val="ODE Table6"/>
    <w:basedOn w:val="TableNormal"/>
    <w:uiPriority w:val="99"/>
    <w:rsid w:val="00EB6B89"/>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47621" w:themeFill="accent4"/>
    </w:tcPr>
    <w:tblStylePr w:type="firstRow">
      <w:tblPr/>
      <w:tcPr>
        <w:shd w:val="clear" w:color="auto" w:fill="1042A8" w:themeFill="accent2"/>
      </w:tcPr>
    </w:tblStylePr>
  </w:style>
  <w:style w:type="paragraph" w:customStyle="1" w:styleId="AuthorName">
    <w:name w:val="Author Name"/>
    <w:uiPriority w:val="39"/>
    <w:semiHidden/>
    <w:rsid w:val="00EB6B89"/>
    <w:pPr>
      <w:spacing w:before="120" w:line="288" w:lineRule="auto"/>
    </w:pPr>
    <w:rPr>
      <w:rFonts w:asciiTheme="majorHAnsi" w:hAnsiTheme="majorHAnsi"/>
      <w:caps/>
      <w:color w:val="40803D" w:themeColor="accent6"/>
      <w:spacing w:val="-2"/>
      <w:kern w:val="28"/>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Normal">
    <w:name w:val="Normal"/>
    <w:rsid w:val="00521B81"/>
    <w:pPr>
      <w:spacing w:after="160"/>
    </w:pPr>
    <w:rPr>
      <w:rFonts w:ascii="Franklin Gothic Book" w:hAnsi="Franklin Gothic Book"/>
      <w:sz w:val="21"/>
      <w:szCs w:val="24"/>
    </w:rPr>
  </w:style>
  <w:style w:type="paragraph" w:styleId="Heading1">
    <w:name w:val="heading 1"/>
    <w:basedOn w:val="Normal"/>
    <w:next w:val="BodyText"/>
    <w:link w:val="Heading1Char"/>
    <w:autoRedefine/>
    <w:qFormat/>
    <w:rsid w:val="00A0021E"/>
    <w:pPr>
      <w:keepNext/>
      <w:pageBreakBefore/>
      <w:suppressLineNumbers/>
      <w:tabs>
        <w:tab w:val="left" w:pos="851"/>
      </w:tabs>
      <w:suppressAutoHyphens/>
      <w:spacing w:before="480" w:after="480" w:line="540" w:lineRule="atLeast"/>
      <w:outlineLvl w:val="0"/>
    </w:pPr>
    <w:rPr>
      <w:rFonts w:asciiTheme="majorHAnsi" w:hAnsiTheme="majorHAnsi"/>
      <w:color w:val="124486" w:themeColor="text2"/>
      <w:spacing w:val="-10"/>
      <w:kern w:val="28"/>
      <w:sz w:val="50"/>
      <w:szCs w:val="50"/>
    </w:rPr>
  </w:style>
  <w:style w:type="paragraph" w:styleId="Heading2">
    <w:name w:val="heading 2"/>
    <w:basedOn w:val="Normal"/>
    <w:next w:val="BodyText"/>
    <w:link w:val="Heading2Char"/>
    <w:qFormat/>
    <w:rsid w:val="00A0021E"/>
    <w:pPr>
      <w:keepNext/>
      <w:suppressLineNumbers/>
      <w:tabs>
        <w:tab w:val="left" w:pos="851"/>
      </w:tabs>
      <w:suppressAutoHyphens/>
      <w:spacing w:before="480" w:after="120"/>
      <w:outlineLvl w:val="1"/>
    </w:pPr>
    <w:rPr>
      <w:rFonts w:asciiTheme="majorHAnsi" w:hAnsiTheme="majorHAnsi" w:cs="Arial"/>
      <w:color w:val="124486" w:themeColor="text2"/>
      <w:kern w:val="28"/>
      <w:sz w:val="28"/>
      <w:szCs w:val="28"/>
    </w:rPr>
  </w:style>
  <w:style w:type="paragraph" w:styleId="Heading3">
    <w:name w:val="heading 3"/>
    <w:basedOn w:val="Normal"/>
    <w:next w:val="BodyText"/>
    <w:link w:val="Heading3Char"/>
    <w:qFormat/>
    <w:rsid w:val="00A15877"/>
    <w:pPr>
      <w:keepNext/>
      <w:suppressLineNumbers/>
      <w:suppressAutoHyphens/>
      <w:spacing w:before="360" w:after="120"/>
      <w:outlineLvl w:val="2"/>
    </w:pPr>
    <w:rPr>
      <w:rFonts w:asciiTheme="majorHAnsi" w:hAnsiTheme="majorHAnsi" w:cs="Arial"/>
      <w:b/>
      <w:color w:val="007FAD" w:themeColor="accent1"/>
      <w:spacing w:val="4"/>
      <w:kern w:val="28"/>
      <w:szCs w:val="28"/>
    </w:rPr>
  </w:style>
  <w:style w:type="paragraph" w:styleId="Heading4">
    <w:name w:val="heading 4"/>
    <w:basedOn w:val="Normal"/>
    <w:next w:val="BodyText"/>
    <w:link w:val="Heading4Char"/>
    <w:qFormat/>
    <w:rsid w:val="00A15877"/>
    <w:pPr>
      <w:keepNext/>
      <w:numPr>
        <w:ilvl w:val="2"/>
      </w:numPr>
      <w:suppressLineNumbers/>
      <w:suppressAutoHyphens/>
      <w:spacing w:before="240" w:after="120"/>
      <w:outlineLvl w:val="3"/>
    </w:pPr>
    <w:rPr>
      <w:rFonts w:asciiTheme="majorHAnsi" w:hAnsiTheme="majorHAnsi" w:cs="Arial"/>
      <w:color w:val="124486" w:themeColor="text2"/>
      <w:kern w:val="28"/>
      <w:szCs w:val="22"/>
      <w:lang w:eastAsia="zh-CN"/>
    </w:rPr>
  </w:style>
  <w:style w:type="paragraph" w:styleId="Heading5">
    <w:name w:val="heading 5"/>
    <w:basedOn w:val="Normal"/>
    <w:next w:val="BodyText"/>
    <w:rsid w:val="00BB146D"/>
    <w:pPr>
      <w:numPr>
        <w:ilvl w:val="3"/>
      </w:numPr>
      <w:spacing w:before="320"/>
      <w:outlineLvl w:val="4"/>
    </w:pPr>
    <w:rPr>
      <w:rFonts w:ascii="Arial" w:hAnsi="Arial" w:cs="Arial"/>
      <w:color w:val="124486"/>
      <w:kern w:val="28"/>
      <w:sz w:val="22"/>
      <w:szCs w:val="22"/>
      <w:lang w:eastAsia="zh-CN"/>
    </w:rPr>
  </w:style>
  <w:style w:type="paragraph" w:styleId="Heading6">
    <w:name w:val="heading 6"/>
    <w:basedOn w:val="BodyText"/>
    <w:next w:val="BodyText"/>
    <w:rsid w:val="00957EBB"/>
    <w:pPr>
      <w:keepNext/>
      <w:suppressLineNumbers/>
      <w:suppressAutoHyphens/>
      <w:outlineLvl w:val="5"/>
    </w:pPr>
    <w:rPr>
      <w:b/>
    </w:rPr>
  </w:style>
  <w:style w:type="paragraph" w:styleId="Heading7">
    <w:name w:val="heading 7"/>
    <w:basedOn w:val="Heading6"/>
    <w:next w:val="BodyText"/>
    <w:rsid w:val="00957EBB"/>
    <w:pPr>
      <w:outlineLvl w:val="6"/>
    </w:pPr>
  </w:style>
  <w:style w:type="paragraph" w:styleId="Heading8">
    <w:name w:val="heading 8"/>
    <w:basedOn w:val="Heading7"/>
    <w:next w:val="BodyText"/>
    <w:rsid w:val="002221EF"/>
    <w:pPr>
      <w:outlineLvl w:val="7"/>
    </w:pPr>
  </w:style>
  <w:style w:type="paragraph" w:styleId="Heading9">
    <w:name w:val="heading 9"/>
    <w:basedOn w:val="Heading8"/>
    <w:next w:val="BodyText"/>
    <w:rsid w:val="002221E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10AB9"/>
  </w:style>
  <w:style w:type="character" w:customStyle="1" w:styleId="BodyTextChar">
    <w:name w:val="Body Text Char"/>
    <w:link w:val="BodyText"/>
    <w:rsid w:val="00910AB9"/>
    <w:rPr>
      <w:rFonts w:ascii="Franklin Gothic Book" w:hAnsi="Franklin Gothic Book"/>
      <w:sz w:val="21"/>
      <w:szCs w:val="24"/>
    </w:rPr>
  </w:style>
  <w:style w:type="paragraph" w:styleId="CommentSubject">
    <w:name w:val="annotation subject"/>
    <w:basedOn w:val="Normal"/>
    <w:semiHidden/>
    <w:rsid w:val="00957EBB"/>
    <w:rPr>
      <w:b/>
      <w:bCs/>
      <w:sz w:val="20"/>
      <w:szCs w:val="20"/>
    </w:rPr>
  </w:style>
  <w:style w:type="paragraph" w:styleId="ListBullet">
    <w:name w:val="List Bullet"/>
    <w:basedOn w:val="BodyText"/>
    <w:qFormat/>
    <w:rsid w:val="00BD09FC"/>
    <w:pPr>
      <w:numPr>
        <w:numId w:val="9"/>
      </w:numPr>
      <w:spacing w:after="120"/>
      <w:ind w:left="284" w:hanging="284"/>
    </w:pPr>
  </w:style>
  <w:style w:type="paragraph" w:styleId="ListBullet2">
    <w:name w:val="List Bullet 2"/>
    <w:basedOn w:val="ListBullet"/>
    <w:qFormat/>
    <w:rsid w:val="00BB146D"/>
    <w:pPr>
      <w:numPr>
        <w:numId w:val="4"/>
      </w:numPr>
      <w:ind w:left="568" w:hanging="284"/>
    </w:pPr>
  </w:style>
  <w:style w:type="paragraph" w:styleId="ListNumber">
    <w:name w:val="List Number"/>
    <w:basedOn w:val="ListBullet"/>
    <w:qFormat/>
    <w:rsid w:val="00B0252E"/>
    <w:pPr>
      <w:numPr>
        <w:numId w:val="8"/>
      </w:numPr>
      <w:ind w:left="284" w:hanging="284"/>
    </w:pPr>
  </w:style>
  <w:style w:type="paragraph" w:styleId="ListNumber2">
    <w:name w:val="List Number 2"/>
    <w:basedOn w:val="ListNumber"/>
    <w:qFormat/>
    <w:rsid w:val="006573B0"/>
    <w:pPr>
      <w:numPr>
        <w:numId w:val="12"/>
      </w:numPr>
      <w:ind w:left="568" w:hanging="284"/>
    </w:pPr>
  </w:style>
  <w:style w:type="paragraph" w:styleId="BalloonText">
    <w:name w:val="Balloon Text"/>
    <w:basedOn w:val="Normal"/>
    <w:semiHidden/>
    <w:rsid w:val="00F2632F"/>
    <w:rPr>
      <w:rFonts w:ascii="Tahoma" w:hAnsi="Tahoma" w:cs="Tahoma"/>
      <w:sz w:val="16"/>
      <w:szCs w:val="16"/>
    </w:rPr>
  </w:style>
  <w:style w:type="paragraph" w:customStyle="1" w:styleId="Reference">
    <w:name w:val="Reference"/>
    <w:basedOn w:val="BodyText"/>
    <w:rsid w:val="00F0026A"/>
    <w:pPr>
      <w:keepLines/>
      <w:spacing w:before="60" w:after="60" w:line="260" w:lineRule="atLeast"/>
      <w:ind w:left="284" w:hanging="284"/>
    </w:pPr>
    <w:rPr>
      <w:sz w:val="17"/>
      <w:szCs w:val="17"/>
    </w:rPr>
  </w:style>
  <w:style w:type="paragraph" w:styleId="Title">
    <w:name w:val="Title"/>
    <w:basedOn w:val="Normal"/>
    <w:next w:val="Subtitle"/>
    <w:link w:val="TitleChar"/>
    <w:rsid w:val="00DA6290"/>
    <w:pPr>
      <w:pageBreakBefore/>
      <w:spacing w:before="9840" w:after="300" w:line="640" w:lineRule="atLeast"/>
      <w:ind w:left="709" w:right="-624"/>
    </w:pPr>
    <w:rPr>
      <w:rFonts w:asciiTheme="majorHAnsi" w:hAnsiTheme="majorHAnsi"/>
      <w:noProof/>
      <w:color w:val="FFFFFF"/>
      <w:kern w:val="28"/>
      <w:sz w:val="50"/>
      <w:szCs w:val="50"/>
      <w:lang w:val="en-US" w:eastAsia="en-US"/>
    </w:rPr>
  </w:style>
  <w:style w:type="paragraph" w:styleId="Subtitle">
    <w:name w:val="Subtitle"/>
    <w:basedOn w:val="Title"/>
    <w:next w:val="Date"/>
    <w:link w:val="SubtitleChar"/>
    <w:qFormat/>
    <w:rsid w:val="00320C61"/>
    <w:pPr>
      <w:pageBreakBefore w:val="0"/>
      <w:spacing w:before="240" w:line="380" w:lineRule="atLeast"/>
    </w:pPr>
    <w:rPr>
      <w:sz w:val="32"/>
      <w:szCs w:val="32"/>
    </w:rPr>
  </w:style>
  <w:style w:type="paragraph" w:styleId="Date">
    <w:name w:val="Date"/>
    <w:basedOn w:val="Subtitle"/>
    <w:next w:val="Normal"/>
    <w:link w:val="DateChar"/>
    <w:rsid w:val="00031E7B"/>
    <w:pPr>
      <w:spacing w:after="600"/>
    </w:pPr>
    <w:rPr>
      <w:sz w:val="24"/>
      <w:szCs w:val="24"/>
    </w:rPr>
  </w:style>
  <w:style w:type="character" w:customStyle="1" w:styleId="DateChar">
    <w:name w:val="Date Char"/>
    <w:link w:val="Date"/>
    <w:rsid w:val="00031E7B"/>
    <w:rPr>
      <w:rFonts w:ascii="Helvetica" w:hAnsi="Helvetica"/>
      <w:noProof/>
      <w:color w:val="FFFFFF"/>
      <w:kern w:val="28"/>
      <w:sz w:val="24"/>
      <w:szCs w:val="24"/>
      <w:lang w:val="en-US" w:eastAsia="en-US"/>
    </w:rPr>
  </w:style>
  <w:style w:type="character" w:customStyle="1" w:styleId="SubtitleChar">
    <w:name w:val="Subtitle Char"/>
    <w:link w:val="Subtitle"/>
    <w:rsid w:val="00320C61"/>
    <w:rPr>
      <w:rFonts w:asciiTheme="majorHAnsi" w:hAnsiTheme="majorHAnsi"/>
      <w:noProof/>
      <w:color w:val="FFFFFF"/>
      <w:kern w:val="28"/>
      <w:sz w:val="32"/>
      <w:szCs w:val="32"/>
      <w:lang w:val="en-US" w:eastAsia="en-US"/>
    </w:rPr>
  </w:style>
  <w:style w:type="character" w:customStyle="1" w:styleId="TitleChar">
    <w:name w:val="Title Char"/>
    <w:link w:val="Title"/>
    <w:rsid w:val="00DA6290"/>
    <w:rPr>
      <w:rFonts w:asciiTheme="majorHAnsi" w:hAnsiTheme="majorHAnsi"/>
      <w:noProof/>
      <w:color w:val="FFFFFF"/>
      <w:kern w:val="28"/>
      <w:sz w:val="50"/>
      <w:szCs w:val="50"/>
      <w:lang w:val="en-US" w:eastAsia="en-US"/>
    </w:rPr>
  </w:style>
  <w:style w:type="paragraph" w:customStyle="1" w:styleId="Contents">
    <w:name w:val="Contents"/>
    <w:basedOn w:val="Normal"/>
    <w:next w:val="BodyText"/>
    <w:semiHidden/>
    <w:rsid w:val="006F08F9"/>
    <w:pPr>
      <w:pageBreakBefore/>
      <w:spacing w:after="1860" w:line="540" w:lineRule="exact"/>
    </w:pPr>
    <w:rPr>
      <w:rFonts w:ascii="Arial" w:hAnsi="Arial"/>
      <w:color w:val="AD495D"/>
      <w:kern w:val="28"/>
      <w:sz w:val="50"/>
      <w:szCs w:val="50"/>
    </w:rPr>
  </w:style>
  <w:style w:type="paragraph" w:styleId="Footer">
    <w:name w:val="footer"/>
    <w:basedOn w:val="Normal"/>
    <w:link w:val="FooterChar"/>
    <w:uiPriority w:val="99"/>
    <w:rsid w:val="00691B6A"/>
    <w:pPr>
      <w:tabs>
        <w:tab w:val="left" w:pos="0"/>
        <w:tab w:val="right" w:pos="7938"/>
        <w:tab w:val="right" w:pos="8505"/>
      </w:tabs>
      <w:spacing w:line="180" w:lineRule="exact"/>
      <w:ind w:left="-567" w:right="-567"/>
      <w:jc w:val="center"/>
    </w:pPr>
    <w:rPr>
      <w:b/>
      <w:color w:val="595959" w:themeColor="text1" w:themeTint="A6"/>
      <w:sz w:val="16"/>
      <w:szCs w:val="15"/>
    </w:rPr>
  </w:style>
  <w:style w:type="paragraph" w:styleId="Header">
    <w:name w:val="header"/>
    <w:basedOn w:val="Normal"/>
    <w:link w:val="HeaderChar"/>
    <w:uiPriority w:val="99"/>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uiPriority w:val="39"/>
    <w:rsid w:val="00E427AB"/>
    <w:pPr>
      <w:tabs>
        <w:tab w:val="right" w:pos="7938"/>
      </w:tabs>
      <w:spacing w:before="280" w:after="60"/>
      <w:ind w:left="567" w:right="567" w:hanging="567"/>
    </w:pPr>
    <w:rPr>
      <w:rFonts w:asciiTheme="majorHAnsi" w:hAnsiTheme="majorHAnsi"/>
      <w:color w:val="007FAD" w:themeColor="accent1"/>
      <w:sz w:val="26"/>
    </w:rPr>
  </w:style>
  <w:style w:type="paragraph" w:styleId="TOC2">
    <w:name w:val="toc 2"/>
    <w:basedOn w:val="TOC1"/>
    <w:next w:val="TOC1"/>
    <w:uiPriority w:val="39"/>
    <w:rsid w:val="00DA6290"/>
    <w:pPr>
      <w:spacing w:before="120" w:line="200" w:lineRule="atLeast"/>
    </w:pPr>
    <w:rPr>
      <w:color w:val="auto"/>
      <w:sz w:val="24"/>
      <w:szCs w:val="21"/>
    </w:rPr>
  </w:style>
  <w:style w:type="paragraph" w:customStyle="1" w:styleId="Reporttype">
    <w:name w:val="Report type"/>
    <w:basedOn w:val="BodyText"/>
    <w:semiHidden/>
    <w:rsid w:val="00F15D8B"/>
    <w:pPr>
      <w:spacing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Cs w:val="20"/>
    </w:rPr>
  </w:style>
  <w:style w:type="paragraph" w:styleId="Caption">
    <w:name w:val="caption"/>
    <w:next w:val="BodyText"/>
    <w:rsid w:val="007101BB"/>
    <w:pPr>
      <w:keepNext/>
      <w:spacing w:before="80" w:after="80" w:line="280" w:lineRule="atLeast"/>
    </w:pPr>
    <w:rPr>
      <w:rFonts w:ascii="Franklin Gothic Book" w:hAnsi="Franklin Gothic Book" w:cs="Arial"/>
      <w:color w:val="A8A5A8"/>
      <w:szCs w:val="19"/>
    </w:rPr>
  </w:style>
  <w:style w:type="paragraph" w:customStyle="1" w:styleId="BoxListBullet">
    <w:name w:val="Box List Bullet"/>
    <w:basedOn w:val="BoxText"/>
    <w:qFormat/>
    <w:rsid w:val="00BD09FC"/>
    <w:pPr>
      <w:numPr>
        <w:numId w:val="14"/>
      </w:numPr>
      <w:ind w:left="587"/>
    </w:pPr>
  </w:style>
  <w:style w:type="paragraph" w:customStyle="1" w:styleId="BoxText">
    <w:name w:val="Box Text"/>
    <w:link w:val="BoxTextChar"/>
    <w:qFormat/>
    <w:rsid w:val="00320C61"/>
    <w:pPr>
      <w:pBdr>
        <w:top w:val="single" w:sz="48" w:space="6" w:color="D0DAE7" w:themeColor="background2"/>
        <w:left w:val="single" w:sz="48" w:space="6" w:color="D0DAE7" w:themeColor="background2"/>
        <w:bottom w:val="single" w:sz="48" w:space="6" w:color="D0DAE7" w:themeColor="background2"/>
        <w:right w:val="single" w:sz="48" w:space="6" w:color="D0DAE7" w:themeColor="background2"/>
      </w:pBdr>
      <w:shd w:val="clear" w:color="auto" w:fill="D0DAE7" w:themeFill="background2"/>
      <w:spacing w:after="120" w:line="280" w:lineRule="exact"/>
      <w:ind w:left="227" w:right="227"/>
    </w:pPr>
    <w:rPr>
      <w:rFonts w:ascii="Franklin Gothic Book" w:eastAsia="Calibri" w:hAnsi="Franklin Gothic Book"/>
      <w:iCs/>
      <w:color w:val="124486" w:themeColor="text2"/>
      <w:szCs w:val="22"/>
    </w:rPr>
  </w:style>
  <w:style w:type="character" w:customStyle="1" w:styleId="BoxTextChar">
    <w:name w:val="Box Text Char"/>
    <w:link w:val="BoxText"/>
    <w:rsid w:val="00320C61"/>
    <w:rPr>
      <w:rFonts w:ascii="Franklin Gothic Book" w:eastAsia="Calibri" w:hAnsi="Franklin Gothic Book"/>
      <w:iCs/>
      <w:color w:val="124486" w:themeColor="text2"/>
      <w:szCs w:val="22"/>
      <w:shd w:val="clear" w:color="auto" w:fill="D0DAE7" w:themeFill="background2"/>
    </w:rPr>
  </w:style>
  <w:style w:type="paragraph" w:customStyle="1" w:styleId="TableFigureNote">
    <w:name w:val="Table Figure Note"/>
    <w:basedOn w:val="TableText"/>
    <w:next w:val="BodyText"/>
    <w:link w:val="TableFigureNoteChar"/>
    <w:qFormat/>
    <w:rsid w:val="00AC1C73"/>
    <w:pPr>
      <w:spacing w:before="60" w:after="240" w:line="180" w:lineRule="atLeast"/>
    </w:pPr>
    <w:rPr>
      <w:sz w:val="16"/>
      <w:szCs w:val="16"/>
    </w:rPr>
  </w:style>
  <w:style w:type="paragraph" w:customStyle="1" w:styleId="TableText">
    <w:name w:val="Table Text"/>
    <w:basedOn w:val="Normal"/>
    <w:qFormat/>
    <w:rsid w:val="00247F1C"/>
    <w:pPr>
      <w:spacing w:after="120" w:line="200" w:lineRule="atLeast"/>
    </w:pPr>
    <w:rPr>
      <w:rFonts w:eastAsia="Calibri"/>
      <w:sz w:val="17"/>
      <w:szCs w:val="17"/>
      <w:lang w:eastAsia="en-US"/>
    </w:rPr>
  </w:style>
  <w:style w:type="paragraph" w:customStyle="1" w:styleId="Source">
    <w:name w:val="Source"/>
    <w:basedOn w:val="TableFigureNote"/>
    <w:next w:val="BodyText"/>
    <w:rsid w:val="00C36563"/>
  </w:style>
  <w:style w:type="character" w:customStyle="1" w:styleId="TableFigureNoteChar">
    <w:name w:val="Table Figure Note Char"/>
    <w:link w:val="TableFigureNote"/>
    <w:rsid w:val="00AC1C73"/>
    <w:rPr>
      <w:rFonts w:ascii="Franklin Gothic Book" w:eastAsia="Calibri" w:hAnsi="Franklin Gothic Book"/>
      <w:sz w:val="16"/>
      <w:szCs w:val="16"/>
      <w:lang w:eastAsia="en-US"/>
    </w:rPr>
  </w:style>
  <w:style w:type="paragraph" w:customStyle="1" w:styleId="BoxHeading1">
    <w:name w:val="Box Heading 1"/>
    <w:basedOn w:val="Heading3"/>
    <w:next w:val="BoxText"/>
    <w:qFormat/>
    <w:rsid w:val="00A15877"/>
    <w:pPr>
      <w:pBdr>
        <w:top w:val="single" w:sz="48" w:space="6" w:color="D0DAE7" w:themeColor="background2"/>
        <w:left w:val="single" w:sz="48" w:space="6" w:color="D0DAE7" w:themeColor="background2"/>
        <w:bottom w:val="single" w:sz="48" w:space="6" w:color="D0DAE7" w:themeColor="background2"/>
        <w:right w:val="single" w:sz="48" w:space="6" w:color="D0DAE7" w:themeColor="background2"/>
      </w:pBdr>
      <w:shd w:val="clear" w:color="auto" w:fill="D0DAE7" w:themeFill="background2"/>
      <w:spacing w:before="240"/>
      <w:ind w:left="227" w:right="227"/>
    </w:pPr>
    <w:rPr>
      <w:iCs/>
      <w:color w:val="124486" w:themeColor="text2"/>
      <w:sz w:val="24"/>
      <w:szCs w:val="24"/>
    </w:rPr>
  </w:style>
  <w:style w:type="paragraph" w:customStyle="1" w:styleId="BoxHeading2">
    <w:name w:val="Box Heading 2"/>
    <w:basedOn w:val="BoxText"/>
    <w:next w:val="BoxText"/>
    <w:qFormat/>
    <w:rsid w:val="00EB379D"/>
    <w:pPr>
      <w:spacing w:before="120"/>
    </w:pPr>
    <w:rPr>
      <w:b/>
      <w:i/>
      <w:iCs w:val="0"/>
      <w:spacing w:val="4"/>
    </w:rPr>
  </w:style>
  <w:style w:type="paragraph" w:customStyle="1" w:styleId="TableListBullet">
    <w:name w:val="Table List Bullet"/>
    <w:basedOn w:val="TableText"/>
    <w:qFormat/>
    <w:rsid w:val="009B23FF"/>
    <w:pPr>
      <w:numPr>
        <w:numId w:val="2"/>
      </w:numPr>
      <w:spacing w:line="240" w:lineRule="auto"/>
      <w:ind w:left="284" w:hanging="284"/>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39"/>
    <w:rsid w:val="001E7A82"/>
    <w:pPr>
      <w:spacing w:before="40" w:line="230" w:lineRule="atLeast"/>
    </w:pPr>
    <w:rPr>
      <w:sz w:val="22"/>
      <w:szCs w:val="19"/>
    </w:rPr>
  </w:style>
  <w:style w:type="paragraph" w:customStyle="1" w:styleId="RecommendationBoxText">
    <w:name w:val="Recommendation Box Text"/>
    <w:basedOn w:val="RecommendationBoxHeading"/>
    <w:next w:val="BodyText"/>
    <w:qFormat/>
    <w:rsid w:val="00F268DC"/>
    <w:pPr>
      <w:spacing w:before="0"/>
    </w:pPr>
    <w:rPr>
      <w:rFonts w:ascii="Franklin Gothic Book" w:hAnsi="Franklin Gothic Book"/>
      <w:b w:val="0"/>
      <w:sz w:val="22"/>
      <w:szCs w:val="22"/>
    </w:rPr>
  </w:style>
  <w:style w:type="paragraph" w:styleId="TOC6">
    <w:name w:val="toc 6"/>
    <w:basedOn w:val="BodyText"/>
    <w:next w:val="BodyText"/>
    <w:semiHidden/>
    <w:rsid w:val="00055E4C"/>
    <w:pPr>
      <w:tabs>
        <w:tab w:val="left" w:pos="284"/>
        <w:tab w:val="right" w:pos="8222"/>
      </w:tabs>
      <w:ind w:left="284" w:right="567" w:hanging="284"/>
    </w:pPr>
  </w:style>
  <w:style w:type="character" w:styleId="FootnoteReference">
    <w:name w:val="footnote reference"/>
    <w:rsid w:val="003A1A9E"/>
    <w:rPr>
      <w:rFonts w:ascii="Franklin Gothic Book" w:hAnsi="Franklin Gothic Book"/>
      <w:w w:val="100"/>
      <w:position w:val="6"/>
      <w:sz w:val="16"/>
      <w:szCs w:val="12"/>
      <w:vertAlign w:val="baseline"/>
    </w:rPr>
  </w:style>
  <w:style w:type="paragraph" w:styleId="FootnoteText">
    <w:name w:val="footnote text"/>
    <w:basedOn w:val="BodyText"/>
    <w:link w:val="FootnoteTextChar"/>
    <w:rsid w:val="00081B01"/>
    <w:pPr>
      <w:tabs>
        <w:tab w:val="left" w:pos="357"/>
      </w:tabs>
      <w:spacing w:after="0" w:line="180" w:lineRule="atLeast"/>
      <w:ind w:left="113" w:hanging="113"/>
    </w:pPr>
    <w:rPr>
      <w:sz w:val="16"/>
      <w:szCs w:val="14"/>
    </w:rPr>
  </w:style>
  <w:style w:type="character" w:styleId="Hyperlink">
    <w:name w:val="Hyperlink"/>
    <w:uiPriority w:val="99"/>
    <w:rsid w:val="00A05D38"/>
    <w:rPr>
      <w:color w:val="124486" w:themeColor="text2"/>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055E4C"/>
    <w:pPr>
      <w:tabs>
        <w:tab w:val="left" w:pos="1418"/>
      </w:tabs>
      <w:ind w:left="1418" w:hanging="1418"/>
    </w:pPr>
  </w:style>
  <w:style w:type="paragraph" w:customStyle="1" w:styleId="CharChar">
    <w:name w:val="Char Char"/>
    <w:basedOn w:val="BoxText"/>
    <w:semiHidden/>
    <w:rsid w:val="001E5458"/>
  </w:style>
  <w:style w:type="paragraph" w:customStyle="1" w:styleId="Client">
    <w:name w:val="Client"/>
    <w:basedOn w:val="Normal"/>
    <w:semiHidden/>
    <w:rsid w:val="00957EBB"/>
    <w:pPr>
      <w:spacing w:before="180" w:line="260" w:lineRule="atLeast"/>
      <w:ind w:left="2410" w:right="-199"/>
    </w:pPr>
    <w:rPr>
      <w:rFonts w:ascii="Helvetica" w:hAnsi="Helvetica"/>
      <w:noProof/>
      <w:spacing w:val="-2"/>
      <w:kern w:val="28"/>
      <w:sz w:val="20"/>
      <w:szCs w:val="20"/>
      <w:lang w:val="en-US" w:eastAsia="en-US"/>
    </w:rPr>
  </w:style>
  <w:style w:type="paragraph" w:customStyle="1" w:styleId="TableData">
    <w:name w:val="Table Data"/>
    <w:basedOn w:val="TableText"/>
    <w:rsid w:val="004900C2"/>
    <w:pPr>
      <w:keepNext/>
      <w:ind w:right="284"/>
      <w:jc w:val="right"/>
    </w:pPr>
    <w:rPr>
      <w:rFonts w:asciiTheme="majorHAnsi" w:hAnsiTheme="majorHAnsi"/>
    </w:rPr>
  </w:style>
  <w:style w:type="paragraph" w:customStyle="1" w:styleId="TableHeading1Centred">
    <w:name w:val="Table Heading 1 Centred"/>
    <w:basedOn w:val="TableHeading1"/>
    <w:rsid w:val="009C4B84"/>
    <w:pPr>
      <w:jc w:val="center"/>
    </w:pPr>
  </w:style>
  <w:style w:type="paragraph" w:customStyle="1" w:styleId="TableHeading1">
    <w:name w:val="Table Heading 1"/>
    <w:basedOn w:val="Normal"/>
    <w:next w:val="TableText"/>
    <w:qFormat/>
    <w:rsid w:val="00FC7E5E"/>
    <w:pPr>
      <w:spacing w:after="40" w:line="200" w:lineRule="atLeast"/>
    </w:pPr>
    <w:rPr>
      <w:rFonts w:eastAsia="Calibri"/>
      <w:b/>
      <w:sz w:val="18"/>
      <w:szCs w:val="17"/>
      <w:lang w:eastAsia="en-US"/>
    </w:rPr>
  </w:style>
  <w:style w:type="paragraph" w:customStyle="1" w:styleId="TableHeading2">
    <w:name w:val="Table Heading 2"/>
    <w:basedOn w:val="Normal"/>
    <w:next w:val="TableText"/>
    <w:rsid w:val="009C4B84"/>
    <w:pPr>
      <w:spacing w:after="40" w:line="200" w:lineRule="atLeast"/>
    </w:pPr>
    <w:rPr>
      <w:rFonts w:eastAsia="Calibri"/>
      <w:b/>
      <w:i/>
      <w:sz w:val="17"/>
      <w:szCs w:val="17"/>
      <w:lang w:eastAsia="en-US"/>
    </w:rPr>
  </w:style>
  <w:style w:type="paragraph" w:customStyle="1" w:styleId="TableListBullet2">
    <w:name w:val="Table List Bullet 2"/>
    <w:basedOn w:val="TableListBullet"/>
    <w:link w:val="TableListBullet2Char"/>
    <w:qFormat/>
    <w:rsid w:val="009B23FF"/>
    <w:pPr>
      <w:numPr>
        <w:numId w:val="6"/>
      </w:numPr>
      <w:ind w:left="568" w:hanging="284"/>
    </w:pPr>
  </w:style>
  <w:style w:type="character" w:customStyle="1" w:styleId="TableListBullet2Char">
    <w:name w:val="Table List Bullet 2 Char"/>
    <w:link w:val="TableListBullet2"/>
    <w:rsid w:val="009B23FF"/>
    <w:rPr>
      <w:rFonts w:ascii="Franklin Gothic Book" w:eastAsia="Calibri" w:hAnsi="Franklin Gothic Book"/>
      <w:sz w:val="17"/>
      <w:szCs w:val="17"/>
      <w:lang w:eastAsia="en-US"/>
    </w:rPr>
  </w:style>
  <w:style w:type="paragraph" w:customStyle="1" w:styleId="TableListNumber">
    <w:name w:val="Table List Number"/>
    <w:basedOn w:val="TableText"/>
    <w:qFormat/>
    <w:rsid w:val="00005A8F"/>
    <w:pPr>
      <w:numPr>
        <w:numId w:val="1"/>
      </w:numPr>
      <w:spacing w:line="240" w:lineRule="auto"/>
      <w:ind w:left="284" w:hanging="284"/>
    </w:pPr>
  </w:style>
  <w:style w:type="paragraph" w:customStyle="1" w:styleId="TableListNumber2">
    <w:name w:val="Table List Number 2"/>
    <w:basedOn w:val="TableListNumber"/>
    <w:qFormat/>
    <w:rsid w:val="009B23FF"/>
    <w:pPr>
      <w:numPr>
        <w:numId w:val="3"/>
      </w:numPr>
      <w:ind w:left="568" w:hanging="284"/>
    </w:pPr>
  </w:style>
  <w:style w:type="paragraph" w:customStyle="1" w:styleId="TableUnit">
    <w:name w:val="Table Unit"/>
    <w:basedOn w:val="Normal"/>
    <w:next w:val="TableData"/>
    <w:rsid w:val="009B23FF"/>
    <w:pPr>
      <w:keepNext/>
      <w:spacing w:before="80" w:after="80" w:line="200" w:lineRule="atLeast"/>
      <w:jc w:val="right"/>
    </w:pPr>
    <w:rPr>
      <w:rFonts w:eastAsia="Calibri"/>
      <w:b/>
      <w:sz w:val="17"/>
      <w:szCs w:val="17"/>
      <w:lang w:eastAsia="en-US"/>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pPr>
    <w:rPr>
      <w:color w:val="FFFFFF"/>
    </w:rPr>
  </w:style>
  <w:style w:type="paragraph" w:customStyle="1" w:styleId="Figure">
    <w:name w:val="Figure"/>
    <w:basedOn w:val="BodyText"/>
    <w:next w:val="BodyText"/>
    <w:semiHidden/>
    <w:rsid w:val="00EA0F2C"/>
    <w:pPr>
      <w:spacing w:line="200" w:lineRule="atLeast"/>
    </w:pPr>
    <w:rPr>
      <w:sz w:val="18"/>
      <w:szCs w:val="18"/>
    </w:rPr>
  </w:style>
  <w:style w:type="paragraph" w:customStyle="1" w:styleId="BoxListBulletorNumber2">
    <w:name w:val="Box List Bullet or Number 2"/>
    <w:basedOn w:val="BoxText"/>
    <w:qFormat/>
    <w:rsid w:val="006D49D6"/>
    <w:pPr>
      <w:tabs>
        <w:tab w:val="left" w:pos="567"/>
      </w:tabs>
      <w:ind w:left="851" w:hanging="624"/>
      <w:contextualSpacing/>
    </w:pPr>
  </w:style>
  <w:style w:type="paragraph" w:customStyle="1" w:styleId="BoxListNumber">
    <w:name w:val="Box List Number"/>
    <w:basedOn w:val="Normal"/>
    <w:next w:val="BoxText"/>
    <w:qFormat/>
    <w:rsid w:val="00BD09FC"/>
    <w:pPr>
      <w:numPr>
        <w:numId w:val="7"/>
      </w:numPr>
      <w:pBdr>
        <w:top w:val="single" w:sz="48" w:space="6" w:color="D0DAE7" w:themeColor="background2"/>
        <w:left w:val="single" w:sz="48" w:space="6" w:color="D0DAE7" w:themeColor="background2"/>
        <w:bottom w:val="single" w:sz="48" w:space="6" w:color="D0DAE7" w:themeColor="background2"/>
        <w:right w:val="single" w:sz="48" w:space="6" w:color="D0DAE7" w:themeColor="background2"/>
      </w:pBdr>
      <w:shd w:val="clear" w:color="auto" w:fill="D0DAE7" w:themeFill="background2"/>
      <w:spacing w:after="120"/>
      <w:ind w:left="737" w:right="227" w:hanging="510"/>
    </w:pPr>
    <w:rPr>
      <w:rFonts w:eastAsia="Calibri"/>
      <w:iCs/>
      <w:color w:val="124486" w:themeColor="text2"/>
      <w:sz w:val="20"/>
      <w:szCs w:val="20"/>
    </w:rPr>
  </w:style>
  <w:style w:type="paragraph" w:customStyle="1" w:styleId="BoxNoteSource">
    <w:name w:val="Box Note/Source"/>
    <w:basedOn w:val="BoxText"/>
    <w:rsid w:val="00EB379D"/>
    <w:pPr>
      <w:spacing w:before="100" w:after="100" w:line="180" w:lineRule="atLeast"/>
    </w:pPr>
    <w:rPr>
      <w:sz w:val="14"/>
      <w:szCs w:val="14"/>
    </w:rPr>
  </w:style>
  <w:style w:type="paragraph" w:customStyle="1" w:styleId="BoxQuote">
    <w:name w:val="Box Quote"/>
    <w:basedOn w:val="BoxText"/>
    <w:next w:val="BoxText"/>
    <w:rsid w:val="00EB379D"/>
    <w:pPr>
      <w:spacing w:line="240" w:lineRule="atLeast"/>
    </w:pPr>
    <w:rPr>
      <w:i/>
      <w:szCs w:val="16"/>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qFormat/>
    <w:rsid w:val="00AC1C73"/>
    <w:pPr>
      <w:spacing w:before="140" w:after="240" w:line="180" w:lineRule="exact"/>
    </w:pPr>
    <w:rPr>
      <w:rFonts w:asciiTheme="minorHAnsi" w:hAnsiTheme="minorHAnsi"/>
      <w:color w:val="54534A"/>
      <w:sz w:val="16"/>
      <w:szCs w:val="14"/>
    </w:rPr>
  </w:style>
  <w:style w:type="paragraph" w:customStyle="1" w:styleId="CharChar1">
    <w:name w:val="Char Char1"/>
    <w:basedOn w:val="Normal"/>
    <w:semiHidden/>
    <w:rsid w:val="00953A8D"/>
    <w:pPr>
      <w:spacing w:before="180" w:line="280" w:lineRule="atLeast"/>
    </w:pPr>
    <w:rPr>
      <w:rFonts w:ascii="Arial" w:hAnsi="Arial"/>
      <w:sz w:val="22"/>
      <w:szCs w:val="20"/>
      <w:lang w:eastAsia="en-US"/>
    </w:rPr>
  </w:style>
  <w:style w:type="table" w:styleId="TableGrid">
    <w:name w:val="Table Grid"/>
    <w:basedOn w:val="TableNormal"/>
    <w:rsid w:val="005C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7unnumbered">
    <w:name w:val="Heading 7 unnumbered"/>
    <w:basedOn w:val="Heading7"/>
    <w:next w:val="BodyText"/>
    <w:semiHidden/>
    <w:rsid w:val="005E5FB4"/>
  </w:style>
  <w:style w:type="paragraph" w:customStyle="1" w:styleId="Abbreviation">
    <w:name w:val="Abbreviation"/>
    <w:basedOn w:val="BodyText"/>
    <w:rsid w:val="005456E8"/>
    <w:pPr>
      <w:tabs>
        <w:tab w:val="left" w:pos="1418"/>
      </w:tabs>
      <w:ind w:left="1418" w:hanging="1418"/>
    </w:pPr>
  </w:style>
  <w:style w:type="paragraph" w:styleId="ListBullet3">
    <w:name w:val="List Bullet 3"/>
    <w:basedOn w:val="ListBullet2"/>
    <w:rsid w:val="006778C5"/>
    <w:pPr>
      <w:numPr>
        <w:numId w:val="10"/>
      </w:numPr>
      <w:ind w:left="851" w:hanging="284"/>
      <w:contextualSpacing/>
    </w:pPr>
  </w:style>
  <w:style w:type="paragraph" w:styleId="ListNumber3">
    <w:name w:val="List Number 3"/>
    <w:basedOn w:val="ListNumber2"/>
    <w:rsid w:val="00A05D38"/>
    <w:pPr>
      <w:numPr>
        <w:numId w:val="11"/>
      </w:numPr>
      <w:ind w:left="851" w:hanging="284"/>
      <w:contextualSpacing/>
    </w:pPr>
  </w:style>
  <w:style w:type="character" w:styleId="CommentReference">
    <w:name w:val="annotation reference"/>
    <w:basedOn w:val="DefaultParagraphFont"/>
    <w:unhideWhenUsed/>
    <w:rsid w:val="00B770CD"/>
    <w:rPr>
      <w:sz w:val="16"/>
      <w:szCs w:val="16"/>
    </w:rPr>
  </w:style>
  <w:style w:type="character" w:customStyle="1" w:styleId="FooterChar">
    <w:name w:val="Footer Char"/>
    <w:basedOn w:val="DefaultParagraphFont"/>
    <w:link w:val="Footer"/>
    <w:uiPriority w:val="99"/>
    <w:rsid w:val="00691B6A"/>
    <w:rPr>
      <w:rFonts w:ascii="Franklin Gothic Book" w:hAnsi="Franklin Gothic Book"/>
      <w:b/>
      <w:color w:val="595959" w:themeColor="text1" w:themeTint="A6"/>
      <w:sz w:val="16"/>
      <w:szCs w:val="15"/>
    </w:rPr>
  </w:style>
  <w:style w:type="character" w:customStyle="1" w:styleId="HeaderChar">
    <w:name w:val="Header Char"/>
    <w:basedOn w:val="DefaultParagraphFont"/>
    <w:link w:val="Header"/>
    <w:uiPriority w:val="99"/>
    <w:rsid w:val="00772E82"/>
    <w:rPr>
      <w:rFonts w:ascii="Franklin Gothic Medium" w:hAnsi="Franklin Gothic Medium"/>
      <w:sz w:val="14"/>
      <w:szCs w:val="14"/>
    </w:rPr>
  </w:style>
  <w:style w:type="paragraph" w:styleId="TOCHeading">
    <w:name w:val="TOC Heading"/>
    <w:basedOn w:val="Heading1"/>
    <w:next w:val="Normal"/>
    <w:uiPriority w:val="39"/>
    <w:unhideWhenUsed/>
    <w:rsid w:val="00005A8F"/>
    <w:pPr>
      <w:keepLines/>
      <w:pageBreakBefore w:val="0"/>
      <w:suppressLineNumbers w:val="0"/>
      <w:suppressAutoHyphens w:val="0"/>
      <w:spacing w:after="0" w:line="276" w:lineRule="auto"/>
      <w:outlineLvl w:val="9"/>
    </w:pPr>
    <w:rPr>
      <w:rFonts w:ascii="Helvetica" w:eastAsiaTheme="majorEastAsia" w:hAnsi="Helvetica" w:cstheme="majorBidi"/>
      <w:b/>
      <w:bCs/>
      <w:spacing w:val="0"/>
      <w:kern w:val="0"/>
      <w:sz w:val="28"/>
      <w:szCs w:val="28"/>
      <w:lang w:val="en-US" w:eastAsia="ja-JP"/>
    </w:rPr>
  </w:style>
  <w:style w:type="paragraph" w:customStyle="1" w:styleId="RecommendationBoxHeading">
    <w:name w:val="Recommendation Box Heading"/>
    <w:basedOn w:val="Heading3"/>
    <w:link w:val="RecommendationBoxHeadingChar"/>
    <w:qFormat/>
    <w:rsid w:val="00A15877"/>
    <w:pPr>
      <w:pBdr>
        <w:top w:val="single" w:sz="48" w:space="6" w:color="007FAD" w:themeColor="accent1"/>
        <w:left w:val="single" w:sz="48" w:space="6" w:color="007FAD" w:themeColor="accent1"/>
        <w:bottom w:val="single" w:sz="48" w:space="6" w:color="007FAD" w:themeColor="accent1"/>
        <w:right w:val="single" w:sz="48" w:space="6" w:color="007FAD" w:themeColor="accent1"/>
      </w:pBdr>
      <w:shd w:val="clear" w:color="auto" w:fill="007FAD" w:themeFill="accent1"/>
      <w:spacing w:before="240"/>
      <w:ind w:left="227" w:right="227"/>
    </w:pPr>
    <w:rPr>
      <w:color w:val="FFFFFF" w:themeColor="background1"/>
      <w:sz w:val="24"/>
    </w:rPr>
  </w:style>
  <w:style w:type="character" w:customStyle="1" w:styleId="Heading2Char">
    <w:name w:val="Heading 2 Char"/>
    <w:basedOn w:val="DefaultParagraphFont"/>
    <w:link w:val="Heading2"/>
    <w:rsid w:val="00A0021E"/>
    <w:rPr>
      <w:rFonts w:asciiTheme="majorHAnsi" w:hAnsiTheme="majorHAnsi" w:cs="Arial"/>
      <w:color w:val="124486" w:themeColor="text2"/>
      <w:kern w:val="28"/>
      <w:sz w:val="28"/>
      <w:szCs w:val="28"/>
    </w:rPr>
  </w:style>
  <w:style w:type="character" w:customStyle="1" w:styleId="RecommendationBoxHeadingChar">
    <w:name w:val="Recommendation Box Heading Char"/>
    <w:basedOn w:val="Heading2Char"/>
    <w:link w:val="RecommendationBoxHeading"/>
    <w:rsid w:val="00A15877"/>
    <w:rPr>
      <w:rFonts w:asciiTheme="majorHAnsi" w:hAnsiTheme="majorHAnsi" w:cs="Arial"/>
      <w:b/>
      <w:color w:val="FFFFFF" w:themeColor="background1"/>
      <w:spacing w:val="4"/>
      <w:kern w:val="28"/>
      <w:sz w:val="24"/>
      <w:szCs w:val="28"/>
      <w:shd w:val="clear" w:color="auto" w:fill="007FAD" w:themeFill="accent1"/>
    </w:rPr>
  </w:style>
  <w:style w:type="paragraph" w:styleId="Quote">
    <w:name w:val="Quote"/>
    <w:basedOn w:val="Normal"/>
    <w:next w:val="Normal"/>
    <w:link w:val="QuoteChar"/>
    <w:qFormat/>
    <w:rsid w:val="00305817"/>
    <w:pPr>
      <w:spacing w:before="200"/>
      <w:ind w:left="862" w:right="862"/>
    </w:pPr>
    <w:rPr>
      <w:iCs/>
      <w:color w:val="000000" w:themeColor="text1"/>
      <w:sz w:val="20"/>
    </w:rPr>
  </w:style>
  <w:style w:type="character" w:customStyle="1" w:styleId="QuoteChar">
    <w:name w:val="Quote Char"/>
    <w:basedOn w:val="DefaultParagraphFont"/>
    <w:link w:val="Quote"/>
    <w:rsid w:val="00305817"/>
    <w:rPr>
      <w:rFonts w:ascii="Franklin Gothic Book" w:hAnsi="Franklin Gothic Book"/>
      <w:iCs/>
      <w:color w:val="000000" w:themeColor="text1"/>
      <w:szCs w:val="24"/>
    </w:rPr>
  </w:style>
  <w:style w:type="paragraph" w:customStyle="1" w:styleId="StyleBoxHeading1NotBold">
    <w:name w:val="Style Box Heading 1 + Not Bold"/>
    <w:basedOn w:val="BoxHeading1"/>
    <w:rsid w:val="001F38CC"/>
    <w:rPr>
      <w:b w:val="0"/>
    </w:rPr>
  </w:style>
  <w:style w:type="paragraph" w:styleId="EndnoteText">
    <w:name w:val="endnote text"/>
    <w:basedOn w:val="Normal"/>
    <w:link w:val="EndnoteTextChar"/>
    <w:unhideWhenUsed/>
    <w:rsid w:val="00593BB5"/>
    <w:rPr>
      <w:sz w:val="20"/>
      <w:szCs w:val="20"/>
    </w:rPr>
  </w:style>
  <w:style w:type="character" w:customStyle="1" w:styleId="EndnoteTextChar">
    <w:name w:val="Endnote Text Char"/>
    <w:basedOn w:val="DefaultParagraphFont"/>
    <w:link w:val="EndnoteText"/>
    <w:rsid w:val="00593BB5"/>
  </w:style>
  <w:style w:type="character" w:styleId="EndnoteReference">
    <w:name w:val="endnote reference"/>
    <w:basedOn w:val="DefaultParagraphFont"/>
    <w:unhideWhenUsed/>
    <w:rsid w:val="00593BB5"/>
    <w:rPr>
      <w:vertAlign w:val="superscript"/>
    </w:rPr>
  </w:style>
  <w:style w:type="paragraph" w:customStyle="1" w:styleId="Pull-out">
    <w:name w:val="Pull-out"/>
    <w:basedOn w:val="Heading2"/>
    <w:qFormat/>
    <w:rsid w:val="00BD09FC"/>
    <w:pPr>
      <w:pBdr>
        <w:top w:val="single" w:sz="12" w:space="4" w:color="F47621" w:themeColor="accent4"/>
        <w:bottom w:val="single" w:sz="12" w:space="4" w:color="F47621" w:themeColor="accent4"/>
      </w:pBdr>
      <w:spacing w:before="360" w:after="360"/>
    </w:pPr>
    <w:rPr>
      <w:color w:val="F47621" w:themeColor="accent4"/>
    </w:rPr>
  </w:style>
  <w:style w:type="paragraph" w:customStyle="1" w:styleId="TableName">
    <w:name w:val="Table Name"/>
    <w:basedOn w:val="BodyText"/>
    <w:rsid w:val="00B770CD"/>
    <w:pPr>
      <w:spacing w:before="80" w:after="120" w:line="240" w:lineRule="exact"/>
    </w:pPr>
    <w:rPr>
      <w:b/>
      <w:color w:val="007FAD"/>
      <w:sz w:val="22"/>
    </w:rPr>
  </w:style>
  <w:style w:type="paragraph" w:customStyle="1" w:styleId="TableandFigureName">
    <w:name w:val="Table and Figure Name"/>
    <w:basedOn w:val="Heading4"/>
    <w:link w:val="TableandFigureNameChar"/>
    <w:qFormat/>
    <w:rsid w:val="00BD09FC"/>
    <w:pPr>
      <w:tabs>
        <w:tab w:val="left" w:pos="993"/>
      </w:tabs>
      <w:ind w:left="993" w:hanging="993"/>
    </w:pPr>
    <w:rPr>
      <w:color w:val="auto"/>
      <w:sz w:val="20"/>
    </w:rPr>
  </w:style>
  <w:style w:type="paragraph" w:customStyle="1" w:styleId="TableandFigureCaption">
    <w:name w:val="Table and Figure Caption"/>
    <w:basedOn w:val="TableandFigureName"/>
    <w:link w:val="TableandFigureCaptionChar"/>
    <w:qFormat/>
    <w:rsid w:val="00653108"/>
    <w:pPr>
      <w:spacing w:before="0"/>
      <w:ind w:firstLine="0"/>
    </w:pPr>
    <w:rPr>
      <w:color w:val="595959" w:themeColor="text1" w:themeTint="A6"/>
      <w:sz w:val="19"/>
    </w:rPr>
  </w:style>
  <w:style w:type="table" w:customStyle="1" w:styleId="DFATtable">
    <w:name w:val="DFAT table"/>
    <w:basedOn w:val="TableNormal"/>
    <w:uiPriority w:val="99"/>
    <w:rsid w:val="00404304"/>
    <w:pPr>
      <w:keepNext/>
    </w:pPr>
    <w:tblPr>
      <w:tblBorders>
        <w:bottom w:val="single" w:sz="8" w:space="0" w:color="BFBFBF"/>
        <w:insideH w:val="single" w:sz="8" w:space="0" w:color="BFBFBF"/>
      </w:tblBorders>
      <w:tblCellMar>
        <w:top w:w="85" w:type="dxa"/>
        <w:left w:w="85" w:type="dxa"/>
        <w:right w:w="85" w:type="dxa"/>
      </w:tblCellMar>
    </w:tblPr>
    <w:tblStylePr w:type="firstRow">
      <w:pPr>
        <w:jc w:val="left"/>
      </w:pPr>
      <w:tblPr/>
      <w:tcPr>
        <w:shd w:val="clear" w:color="auto" w:fill="BFBFBF" w:themeFill="background1" w:themeFillShade="BF"/>
      </w:tcPr>
    </w:tblStylePr>
  </w:style>
  <w:style w:type="paragraph" w:styleId="CommentText">
    <w:name w:val="annotation text"/>
    <w:basedOn w:val="Normal"/>
    <w:link w:val="CommentTextChar"/>
    <w:unhideWhenUsed/>
    <w:rsid w:val="00B770CD"/>
    <w:rPr>
      <w:sz w:val="20"/>
      <w:szCs w:val="20"/>
    </w:rPr>
  </w:style>
  <w:style w:type="character" w:customStyle="1" w:styleId="CommentTextChar">
    <w:name w:val="Comment Text Char"/>
    <w:basedOn w:val="DefaultParagraphFont"/>
    <w:link w:val="CommentText"/>
    <w:rsid w:val="00B770CD"/>
  </w:style>
  <w:style w:type="character" w:customStyle="1" w:styleId="Highlightorange">
    <w:name w:val="Highlight orange"/>
    <w:basedOn w:val="DefaultParagraphFont"/>
    <w:uiPriority w:val="1"/>
    <w:rsid w:val="00BD09FC"/>
    <w:rPr>
      <w:b/>
      <w:color w:val="F47621" w:themeColor="accent4"/>
    </w:rPr>
  </w:style>
  <w:style w:type="character" w:customStyle="1" w:styleId="QuoteSource">
    <w:name w:val="QuoteSource"/>
    <w:basedOn w:val="DefaultParagraphFont"/>
    <w:uiPriority w:val="1"/>
    <w:rsid w:val="007E3DC8"/>
    <w:rPr>
      <w:rFonts w:asciiTheme="minorHAnsi" w:hAnsiTheme="minorHAnsi"/>
      <w:color w:val="404040" w:themeColor="text1" w:themeTint="BF"/>
      <w:sz w:val="20"/>
    </w:rPr>
  </w:style>
  <w:style w:type="character" w:customStyle="1" w:styleId="Heading4Char">
    <w:name w:val="Heading 4 Char"/>
    <w:basedOn w:val="DefaultParagraphFont"/>
    <w:link w:val="Heading4"/>
    <w:rsid w:val="00A15877"/>
    <w:rPr>
      <w:rFonts w:asciiTheme="majorHAnsi" w:hAnsiTheme="majorHAnsi" w:cs="Arial"/>
      <w:color w:val="124486" w:themeColor="text2"/>
      <w:kern w:val="28"/>
      <w:sz w:val="21"/>
      <w:szCs w:val="22"/>
      <w:lang w:eastAsia="zh-CN"/>
    </w:rPr>
  </w:style>
  <w:style w:type="character" w:customStyle="1" w:styleId="TableandFigureNameChar">
    <w:name w:val="Table and Figure Name Char"/>
    <w:basedOn w:val="Heading4Char"/>
    <w:link w:val="TableandFigureName"/>
    <w:rsid w:val="00BD09FC"/>
    <w:rPr>
      <w:rFonts w:asciiTheme="majorHAnsi" w:hAnsiTheme="majorHAnsi" w:cs="Arial"/>
      <w:b w:val="0"/>
      <w:color w:val="124486" w:themeColor="text2"/>
      <w:kern w:val="28"/>
      <w:sz w:val="21"/>
      <w:szCs w:val="22"/>
      <w:lang w:eastAsia="zh-CN"/>
    </w:rPr>
  </w:style>
  <w:style w:type="character" w:customStyle="1" w:styleId="Highlightblue">
    <w:name w:val="Highlight blue"/>
    <w:basedOn w:val="DefaultParagraphFont"/>
    <w:uiPriority w:val="1"/>
    <w:rsid w:val="00BD09FC"/>
    <w:rPr>
      <w:b/>
      <w:color w:val="1042A8" w:themeColor="accent2"/>
    </w:rPr>
  </w:style>
  <w:style w:type="character" w:customStyle="1" w:styleId="TableandFigureCaptionChar">
    <w:name w:val="Table and Figure Caption Char"/>
    <w:basedOn w:val="TableandFigureNameChar"/>
    <w:link w:val="TableandFigureCaption"/>
    <w:rsid w:val="00653108"/>
    <w:rPr>
      <w:rFonts w:asciiTheme="majorHAnsi" w:hAnsiTheme="majorHAnsi" w:cs="Arial"/>
      <w:b w:val="0"/>
      <w:color w:val="595959" w:themeColor="text1" w:themeTint="A6"/>
      <w:kern w:val="28"/>
      <w:sz w:val="19"/>
      <w:szCs w:val="22"/>
      <w:lang w:eastAsia="zh-CN"/>
    </w:rPr>
  </w:style>
  <w:style w:type="paragraph" w:customStyle="1" w:styleId="RecommendationBoxBullet">
    <w:name w:val="Recommendation Box Bullet"/>
    <w:basedOn w:val="RecommendationBoxText"/>
    <w:qFormat/>
    <w:rsid w:val="002C2514"/>
    <w:pPr>
      <w:numPr>
        <w:numId w:val="16"/>
      </w:numPr>
      <w:ind w:left="567" w:hanging="340"/>
    </w:pPr>
  </w:style>
  <w:style w:type="character" w:styleId="Strong">
    <w:name w:val="Strong"/>
    <w:basedOn w:val="DefaultParagraphFont"/>
    <w:uiPriority w:val="22"/>
    <w:qFormat/>
    <w:rsid w:val="00E30B3C"/>
    <w:rPr>
      <w:b/>
      <w:bCs/>
    </w:rPr>
  </w:style>
  <w:style w:type="paragraph" w:customStyle="1" w:styleId="StyleImprintTextBoxSinglesolidlineAuto05ptLinewid">
    <w:name w:val="Style ImprintText + Box: (Single solid line Auto  0.5 pt Line wid..."/>
    <w:basedOn w:val="ImprintText"/>
    <w:rsid w:val="00FA7B11"/>
    <w:pPr>
      <w:pBdr>
        <w:top w:val="single" w:sz="4" w:space="1" w:color="auto"/>
      </w:pBdr>
    </w:pPr>
  </w:style>
  <w:style w:type="paragraph" w:customStyle="1" w:styleId="ImprintText-Copyright">
    <w:name w:val="ImprintText-Copyright"/>
    <w:basedOn w:val="ImprintText"/>
    <w:rsid w:val="00033C14"/>
    <w:pPr>
      <w:pBdr>
        <w:top w:val="single" w:sz="4" w:space="4" w:color="auto"/>
      </w:pBdr>
    </w:pPr>
  </w:style>
  <w:style w:type="paragraph" w:customStyle="1" w:styleId="ImprintText">
    <w:name w:val="ImprintText"/>
    <w:basedOn w:val="Normal"/>
    <w:uiPriority w:val="99"/>
    <w:rsid w:val="00033C14"/>
    <w:pPr>
      <w:spacing w:before="40"/>
    </w:pPr>
    <w:rPr>
      <w:sz w:val="16"/>
      <w:szCs w:val="20"/>
    </w:rPr>
  </w:style>
  <w:style w:type="character" w:styleId="Emphasis">
    <w:name w:val="Emphasis"/>
    <w:basedOn w:val="DefaultParagraphFont"/>
    <w:uiPriority w:val="20"/>
    <w:qFormat/>
    <w:rsid w:val="00611F77"/>
    <w:rPr>
      <w:i/>
      <w:iCs/>
    </w:rPr>
  </w:style>
  <w:style w:type="paragraph" w:customStyle="1" w:styleId="Heading1b">
    <w:name w:val="Heading 1b"/>
    <w:basedOn w:val="Heading1"/>
    <w:qFormat/>
    <w:rsid w:val="00F22677"/>
    <w:pPr>
      <w:pBdr>
        <w:top w:val="single" w:sz="48" w:space="30" w:color="124486" w:themeColor="text2"/>
        <w:left w:val="single" w:sz="48" w:space="4" w:color="124486" w:themeColor="text2"/>
        <w:bottom w:val="single" w:sz="48" w:space="30" w:color="124486" w:themeColor="text2"/>
        <w:right w:val="single" w:sz="48" w:space="4" w:color="124486" w:themeColor="text2"/>
      </w:pBdr>
      <w:shd w:val="clear" w:color="auto" w:fill="124486" w:themeFill="text2"/>
      <w:spacing w:before="0" w:after="1200"/>
      <w:ind w:left="-1701" w:right="-1701" w:firstLine="1701"/>
      <w:contextualSpacing/>
    </w:pPr>
    <w:rPr>
      <w:color w:val="FFFFFF" w:themeColor="background1"/>
    </w:rPr>
  </w:style>
  <w:style w:type="paragraph" w:customStyle="1" w:styleId="RecommendationBoxNumber">
    <w:name w:val="Recommendation Box Number"/>
    <w:basedOn w:val="RecommendationBoxBullet"/>
    <w:qFormat/>
    <w:rsid w:val="002C2514"/>
    <w:pPr>
      <w:numPr>
        <w:numId w:val="17"/>
      </w:numPr>
      <w:ind w:left="567" w:hanging="340"/>
      <w:outlineLvl w:val="0"/>
    </w:pPr>
  </w:style>
  <w:style w:type="character" w:customStyle="1" w:styleId="Heading1Char">
    <w:name w:val="Heading 1 Char"/>
    <w:basedOn w:val="DefaultParagraphFont"/>
    <w:link w:val="Heading1"/>
    <w:rsid w:val="00A0021E"/>
    <w:rPr>
      <w:rFonts w:asciiTheme="majorHAnsi" w:hAnsiTheme="majorHAnsi"/>
      <w:color w:val="124486" w:themeColor="text2"/>
      <w:spacing w:val="-10"/>
      <w:kern w:val="28"/>
      <w:sz w:val="50"/>
      <w:szCs w:val="50"/>
    </w:rPr>
  </w:style>
  <w:style w:type="paragraph" w:styleId="PlainText">
    <w:name w:val="Plain Text"/>
    <w:basedOn w:val="Normal"/>
    <w:link w:val="PlainTextChar"/>
    <w:unhideWhenUsed/>
    <w:rsid w:val="00AC1C73"/>
    <w:pPr>
      <w:spacing w:after="0"/>
    </w:pPr>
    <w:rPr>
      <w:rFonts w:ascii="Consolas" w:hAnsi="Consolas" w:cs="Consolas"/>
      <w:szCs w:val="21"/>
    </w:rPr>
  </w:style>
  <w:style w:type="character" w:customStyle="1" w:styleId="PlainTextChar">
    <w:name w:val="Plain Text Char"/>
    <w:basedOn w:val="DefaultParagraphFont"/>
    <w:link w:val="PlainText"/>
    <w:rsid w:val="00AC1C73"/>
    <w:rPr>
      <w:rFonts w:ascii="Consolas" w:hAnsi="Consolas" w:cs="Consolas"/>
      <w:sz w:val="21"/>
      <w:szCs w:val="21"/>
    </w:rPr>
  </w:style>
  <w:style w:type="paragraph" w:customStyle="1" w:styleId="RecommendationBoxBulletorNumber2">
    <w:name w:val="Recommendation Box Bullet or Number 2"/>
    <w:basedOn w:val="RecommendationBoxBullet"/>
    <w:qFormat/>
    <w:rsid w:val="002468CA"/>
    <w:pPr>
      <w:numPr>
        <w:numId w:val="0"/>
      </w:numPr>
      <w:tabs>
        <w:tab w:val="left" w:pos="567"/>
      </w:tabs>
      <w:ind w:left="851" w:hanging="624"/>
    </w:pPr>
  </w:style>
  <w:style w:type="paragraph" w:customStyle="1" w:styleId="BoxListRomanNumeral">
    <w:name w:val="Box List Roman Numeral"/>
    <w:basedOn w:val="BoxListNumber"/>
    <w:qFormat/>
    <w:rsid w:val="00BD3249"/>
    <w:pPr>
      <w:numPr>
        <w:numId w:val="26"/>
      </w:numPr>
      <w:ind w:left="567" w:hanging="340"/>
    </w:pPr>
  </w:style>
  <w:style w:type="paragraph" w:customStyle="1" w:styleId="RecommendationBoxRomanNumeral">
    <w:name w:val="Recommendation Box Roman Numeral"/>
    <w:basedOn w:val="RecommendationBoxNumber"/>
    <w:qFormat/>
    <w:rsid w:val="00D2285B"/>
    <w:pPr>
      <w:numPr>
        <w:numId w:val="27"/>
      </w:numPr>
    </w:pPr>
  </w:style>
  <w:style w:type="character" w:customStyle="1" w:styleId="FootnoteTextChar">
    <w:name w:val="Footnote Text Char"/>
    <w:basedOn w:val="DefaultParagraphFont"/>
    <w:link w:val="FootnoteText"/>
    <w:rsid w:val="00411A56"/>
    <w:rPr>
      <w:rFonts w:ascii="Franklin Gothic Book" w:hAnsi="Franklin Gothic Book"/>
      <w:sz w:val="16"/>
      <w:szCs w:val="14"/>
    </w:rPr>
  </w:style>
  <w:style w:type="character" w:customStyle="1" w:styleId="Heading3Char">
    <w:name w:val="Heading 3 Char"/>
    <w:basedOn w:val="DefaultParagraphFont"/>
    <w:link w:val="Heading3"/>
    <w:rsid w:val="001A337D"/>
    <w:rPr>
      <w:rFonts w:asciiTheme="majorHAnsi" w:hAnsiTheme="majorHAnsi" w:cs="Arial"/>
      <w:b/>
      <w:color w:val="007FAD" w:themeColor="accent1"/>
      <w:spacing w:val="4"/>
      <w:kern w:val="28"/>
      <w:sz w:val="21"/>
      <w:szCs w:val="28"/>
    </w:rPr>
  </w:style>
  <w:style w:type="numbering" w:customStyle="1" w:styleId="Style1">
    <w:name w:val="Style1"/>
    <w:uiPriority w:val="99"/>
    <w:rsid w:val="009C3A1D"/>
    <w:pPr>
      <w:numPr>
        <w:numId w:val="29"/>
      </w:numPr>
    </w:pPr>
  </w:style>
  <w:style w:type="paragraph" w:styleId="Revision">
    <w:name w:val="Revision"/>
    <w:hidden/>
    <w:semiHidden/>
    <w:rsid w:val="009F2B5C"/>
    <w:rPr>
      <w:rFonts w:ascii="Franklin Gothic Book" w:hAnsi="Franklin Gothic Book"/>
      <w:sz w:val="21"/>
      <w:szCs w:val="24"/>
    </w:rPr>
  </w:style>
  <w:style w:type="table" w:customStyle="1" w:styleId="DFATtable1">
    <w:name w:val="DFAT table1"/>
    <w:basedOn w:val="TableNormal"/>
    <w:uiPriority w:val="99"/>
    <w:rsid w:val="00E60842"/>
    <w:pPr>
      <w:keepNext/>
    </w:pPr>
    <w:tblPr>
      <w:tblBorders>
        <w:bottom w:val="single" w:sz="4" w:space="0" w:color="808080"/>
      </w:tblBorders>
      <w:tblCellMar>
        <w:top w:w="85" w:type="dxa"/>
        <w:left w:w="85" w:type="dxa"/>
        <w:right w:w="85" w:type="dxa"/>
      </w:tblCellMar>
    </w:tblPr>
    <w:tblStylePr w:type="firstRow">
      <w:pPr>
        <w:jc w:val="left"/>
      </w:pPr>
      <w:tblPr/>
      <w:tcPr>
        <w:tcBorders>
          <w:bottom w:val="single" w:sz="4" w:space="0" w:color="808080"/>
          <w:insideH w:val="nil"/>
        </w:tcBorders>
      </w:tcPr>
    </w:tblStylePr>
  </w:style>
  <w:style w:type="table" w:styleId="LightList">
    <w:name w:val="Light List"/>
    <w:basedOn w:val="TableNormal"/>
    <w:rsid w:val="00E6084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link w:val="ListParagraphChar"/>
    <w:uiPriority w:val="34"/>
    <w:qFormat/>
    <w:rsid w:val="00E60842"/>
    <w:pPr>
      <w:ind w:left="720"/>
      <w:contextualSpacing/>
    </w:pPr>
  </w:style>
  <w:style w:type="table" w:customStyle="1" w:styleId="DFATTable0">
    <w:name w:val="DFAT Table"/>
    <w:basedOn w:val="TableNormal"/>
    <w:uiPriority w:val="99"/>
    <w:rsid w:val="00E60842"/>
    <w:rPr>
      <w:rFonts w:ascii="Helvetica" w:eastAsia="Calibri" w:hAnsi="Helvetica"/>
      <w:sz w:val="17"/>
      <w:szCs w:val="22"/>
    </w:rPr>
    <w:tblPr>
      <w:tblBorders>
        <w:top w:val="single" w:sz="12" w:space="0" w:color="auto"/>
        <w:bottom w:val="single" w:sz="12" w:space="0" w:color="auto"/>
      </w:tblBorders>
    </w:tblPr>
  </w:style>
  <w:style w:type="paragraph" w:customStyle="1" w:styleId="TableTextEntries">
    <w:name w:val="Table Text Entries"/>
    <w:basedOn w:val="Normal"/>
    <w:rsid w:val="00E60842"/>
    <w:pPr>
      <w:spacing w:before="40" w:after="40" w:line="200" w:lineRule="atLeast"/>
    </w:pPr>
    <w:rPr>
      <w:rFonts w:eastAsia="Calibri"/>
      <w:sz w:val="17"/>
      <w:szCs w:val="17"/>
      <w:lang w:eastAsia="en-US"/>
    </w:rPr>
  </w:style>
  <w:style w:type="paragraph" w:styleId="TOC4">
    <w:name w:val="toc 4"/>
    <w:basedOn w:val="Normal"/>
    <w:next w:val="Normal"/>
    <w:autoRedefine/>
    <w:unhideWhenUsed/>
    <w:rsid w:val="00E60842"/>
    <w:pPr>
      <w:ind w:left="630"/>
    </w:pPr>
  </w:style>
  <w:style w:type="paragraph" w:styleId="TOC5">
    <w:name w:val="toc 5"/>
    <w:basedOn w:val="Normal"/>
    <w:next w:val="Normal"/>
    <w:autoRedefine/>
    <w:unhideWhenUsed/>
    <w:rsid w:val="00E60842"/>
    <w:pPr>
      <w:ind w:left="840"/>
    </w:pPr>
  </w:style>
  <w:style w:type="paragraph" w:styleId="TOC8">
    <w:name w:val="toc 8"/>
    <w:basedOn w:val="Normal"/>
    <w:next w:val="Normal"/>
    <w:autoRedefine/>
    <w:unhideWhenUsed/>
    <w:rsid w:val="00E60842"/>
    <w:pPr>
      <w:ind w:left="1470"/>
    </w:pPr>
  </w:style>
  <w:style w:type="paragraph" w:styleId="TOC9">
    <w:name w:val="toc 9"/>
    <w:basedOn w:val="Normal"/>
    <w:next w:val="Normal"/>
    <w:autoRedefine/>
    <w:unhideWhenUsed/>
    <w:rsid w:val="00E60842"/>
    <w:pPr>
      <w:ind w:left="1680"/>
    </w:pPr>
  </w:style>
  <w:style w:type="character" w:customStyle="1" w:styleId="ListParagraphChar">
    <w:name w:val="List Paragraph Char"/>
    <w:basedOn w:val="DefaultParagraphFont"/>
    <w:link w:val="ListParagraph"/>
    <w:uiPriority w:val="34"/>
    <w:locked/>
    <w:rsid w:val="00E60842"/>
    <w:rPr>
      <w:rFonts w:ascii="Franklin Gothic Book" w:hAnsi="Franklin Gothic Book"/>
      <w:sz w:val="21"/>
      <w:szCs w:val="24"/>
    </w:rPr>
  </w:style>
  <w:style w:type="table" w:customStyle="1" w:styleId="ODETable">
    <w:name w:val="ODE Table"/>
    <w:basedOn w:val="TableNormal"/>
    <w:uiPriority w:val="99"/>
    <w:rsid w:val="007E5022"/>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47621" w:themeFill="accent4"/>
    </w:tcPr>
    <w:tblStylePr w:type="firstRow">
      <w:tblPr/>
      <w:tcPr>
        <w:shd w:val="clear" w:color="auto" w:fill="1042A8" w:themeFill="accent2"/>
      </w:tcPr>
    </w:tblStylePr>
  </w:style>
  <w:style w:type="table" w:customStyle="1" w:styleId="ODETable1">
    <w:name w:val="ODE Table1"/>
    <w:basedOn w:val="TableNormal"/>
    <w:uiPriority w:val="99"/>
    <w:rsid w:val="00EB6B89"/>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47621" w:themeFill="accent4"/>
    </w:tcPr>
    <w:tblStylePr w:type="firstRow">
      <w:tblPr/>
      <w:tcPr>
        <w:shd w:val="clear" w:color="auto" w:fill="1042A8" w:themeFill="accent2"/>
      </w:tcPr>
    </w:tblStylePr>
  </w:style>
  <w:style w:type="table" w:customStyle="1" w:styleId="ODETable2">
    <w:name w:val="ODE Table2"/>
    <w:basedOn w:val="TableNormal"/>
    <w:uiPriority w:val="99"/>
    <w:rsid w:val="00EB6B89"/>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47621" w:themeFill="accent4"/>
    </w:tcPr>
    <w:tblStylePr w:type="firstRow">
      <w:tblPr/>
      <w:tcPr>
        <w:shd w:val="clear" w:color="auto" w:fill="1042A8" w:themeFill="accent2"/>
      </w:tcPr>
    </w:tblStylePr>
  </w:style>
  <w:style w:type="table" w:customStyle="1" w:styleId="ODETable3">
    <w:name w:val="ODE Table3"/>
    <w:basedOn w:val="TableNormal"/>
    <w:uiPriority w:val="99"/>
    <w:rsid w:val="00EB6B89"/>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47621" w:themeFill="accent4"/>
    </w:tcPr>
    <w:tblStylePr w:type="firstRow">
      <w:tblPr/>
      <w:tcPr>
        <w:shd w:val="clear" w:color="auto" w:fill="1042A8" w:themeFill="accent2"/>
      </w:tcPr>
    </w:tblStylePr>
  </w:style>
  <w:style w:type="table" w:customStyle="1" w:styleId="ODETable4">
    <w:name w:val="ODE Table4"/>
    <w:basedOn w:val="TableNormal"/>
    <w:uiPriority w:val="99"/>
    <w:rsid w:val="00EB6B89"/>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47621" w:themeFill="accent4"/>
    </w:tcPr>
    <w:tblStylePr w:type="firstRow">
      <w:tblPr/>
      <w:tcPr>
        <w:shd w:val="clear" w:color="auto" w:fill="1042A8" w:themeFill="accent2"/>
      </w:tcPr>
    </w:tblStylePr>
  </w:style>
  <w:style w:type="table" w:customStyle="1" w:styleId="ODETable5">
    <w:name w:val="ODE Table5"/>
    <w:basedOn w:val="TableNormal"/>
    <w:uiPriority w:val="99"/>
    <w:rsid w:val="00EB6B89"/>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47621" w:themeFill="accent4"/>
    </w:tcPr>
    <w:tblStylePr w:type="firstRow">
      <w:tblPr/>
      <w:tcPr>
        <w:shd w:val="clear" w:color="auto" w:fill="1042A8" w:themeFill="accent2"/>
      </w:tcPr>
    </w:tblStylePr>
  </w:style>
  <w:style w:type="table" w:customStyle="1" w:styleId="ODETable6">
    <w:name w:val="ODE Table6"/>
    <w:basedOn w:val="TableNormal"/>
    <w:uiPriority w:val="99"/>
    <w:rsid w:val="00EB6B89"/>
    <w:rPr>
      <w:rFonts w:ascii="Courier" w:hAnsi="Courie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left w:w="57" w:type="dxa"/>
        <w:bottom w:w="113" w:type="dxa"/>
        <w:right w:w="57" w:type="dxa"/>
      </w:tblCellMar>
    </w:tblPr>
    <w:tcPr>
      <w:shd w:val="clear" w:color="auto" w:fill="F47621" w:themeFill="accent4"/>
    </w:tcPr>
    <w:tblStylePr w:type="firstRow">
      <w:tblPr/>
      <w:tcPr>
        <w:shd w:val="clear" w:color="auto" w:fill="1042A8" w:themeFill="accent2"/>
      </w:tcPr>
    </w:tblStylePr>
  </w:style>
  <w:style w:type="paragraph" w:customStyle="1" w:styleId="AuthorName">
    <w:name w:val="Author Name"/>
    <w:uiPriority w:val="39"/>
    <w:semiHidden/>
    <w:rsid w:val="00EB6B89"/>
    <w:pPr>
      <w:spacing w:before="120" w:line="288" w:lineRule="auto"/>
    </w:pPr>
    <w:rPr>
      <w:rFonts w:asciiTheme="majorHAnsi" w:hAnsiTheme="majorHAnsi"/>
      <w:caps/>
      <w:color w:val="40803D" w:themeColor="accent6"/>
      <w:spacing w:val="-2"/>
      <w:kern w:val="28"/>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3874">
      <w:bodyDiv w:val="1"/>
      <w:marLeft w:val="0"/>
      <w:marRight w:val="0"/>
      <w:marTop w:val="0"/>
      <w:marBottom w:val="0"/>
      <w:divBdr>
        <w:top w:val="none" w:sz="0" w:space="0" w:color="auto"/>
        <w:left w:val="none" w:sz="0" w:space="0" w:color="auto"/>
        <w:bottom w:val="none" w:sz="0" w:space="0" w:color="auto"/>
        <w:right w:val="none" w:sz="0" w:space="0" w:color="auto"/>
      </w:divBdr>
      <w:divsChild>
        <w:div w:id="1781952303">
          <w:marLeft w:val="0"/>
          <w:marRight w:val="0"/>
          <w:marTop w:val="0"/>
          <w:marBottom w:val="0"/>
          <w:divBdr>
            <w:top w:val="none" w:sz="0" w:space="0" w:color="auto"/>
            <w:left w:val="none" w:sz="0" w:space="0" w:color="auto"/>
            <w:bottom w:val="none" w:sz="0" w:space="0" w:color="auto"/>
            <w:right w:val="none" w:sz="0" w:space="0" w:color="auto"/>
          </w:divBdr>
          <w:divsChild>
            <w:div w:id="587230752">
              <w:marLeft w:val="0"/>
              <w:marRight w:val="0"/>
              <w:marTop w:val="0"/>
              <w:marBottom w:val="0"/>
              <w:divBdr>
                <w:top w:val="none" w:sz="0" w:space="0" w:color="auto"/>
                <w:left w:val="none" w:sz="0" w:space="0" w:color="auto"/>
                <w:bottom w:val="none" w:sz="0" w:space="0" w:color="auto"/>
                <w:right w:val="none" w:sz="0" w:space="0" w:color="auto"/>
              </w:divBdr>
              <w:divsChild>
                <w:div w:id="58751903">
                  <w:marLeft w:val="0"/>
                  <w:marRight w:val="0"/>
                  <w:marTop w:val="0"/>
                  <w:marBottom w:val="0"/>
                  <w:divBdr>
                    <w:top w:val="none" w:sz="0" w:space="0" w:color="auto"/>
                    <w:left w:val="none" w:sz="0" w:space="0" w:color="auto"/>
                    <w:bottom w:val="none" w:sz="0" w:space="0" w:color="auto"/>
                    <w:right w:val="none" w:sz="0" w:space="0" w:color="auto"/>
                  </w:divBdr>
                  <w:divsChild>
                    <w:div w:id="1997568826">
                      <w:marLeft w:val="0"/>
                      <w:marRight w:val="0"/>
                      <w:marTop w:val="45"/>
                      <w:marBottom w:val="0"/>
                      <w:divBdr>
                        <w:top w:val="none" w:sz="0" w:space="0" w:color="auto"/>
                        <w:left w:val="none" w:sz="0" w:space="0" w:color="auto"/>
                        <w:bottom w:val="none" w:sz="0" w:space="0" w:color="auto"/>
                        <w:right w:val="none" w:sz="0" w:space="0" w:color="auto"/>
                      </w:divBdr>
                      <w:divsChild>
                        <w:div w:id="310641137">
                          <w:marLeft w:val="0"/>
                          <w:marRight w:val="0"/>
                          <w:marTop w:val="0"/>
                          <w:marBottom w:val="0"/>
                          <w:divBdr>
                            <w:top w:val="none" w:sz="0" w:space="0" w:color="auto"/>
                            <w:left w:val="none" w:sz="0" w:space="0" w:color="auto"/>
                            <w:bottom w:val="none" w:sz="0" w:space="0" w:color="auto"/>
                            <w:right w:val="none" w:sz="0" w:space="0" w:color="auto"/>
                          </w:divBdr>
                          <w:divsChild>
                            <w:div w:id="1146825641">
                              <w:marLeft w:val="2070"/>
                              <w:marRight w:val="3810"/>
                              <w:marTop w:val="0"/>
                              <w:marBottom w:val="0"/>
                              <w:divBdr>
                                <w:top w:val="none" w:sz="0" w:space="0" w:color="auto"/>
                                <w:left w:val="none" w:sz="0" w:space="0" w:color="auto"/>
                                <w:bottom w:val="none" w:sz="0" w:space="0" w:color="auto"/>
                                <w:right w:val="none" w:sz="0" w:space="0" w:color="auto"/>
                              </w:divBdr>
                              <w:divsChild>
                                <w:div w:id="2064674172">
                                  <w:marLeft w:val="0"/>
                                  <w:marRight w:val="0"/>
                                  <w:marTop w:val="0"/>
                                  <w:marBottom w:val="0"/>
                                  <w:divBdr>
                                    <w:top w:val="none" w:sz="0" w:space="0" w:color="auto"/>
                                    <w:left w:val="none" w:sz="0" w:space="0" w:color="auto"/>
                                    <w:bottom w:val="none" w:sz="0" w:space="0" w:color="auto"/>
                                    <w:right w:val="none" w:sz="0" w:space="0" w:color="auto"/>
                                  </w:divBdr>
                                  <w:divsChild>
                                    <w:div w:id="924221092">
                                      <w:marLeft w:val="0"/>
                                      <w:marRight w:val="0"/>
                                      <w:marTop w:val="0"/>
                                      <w:marBottom w:val="0"/>
                                      <w:divBdr>
                                        <w:top w:val="none" w:sz="0" w:space="0" w:color="auto"/>
                                        <w:left w:val="none" w:sz="0" w:space="0" w:color="auto"/>
                                        <w:bottom w:val="none" w:sz="0" w:space="0" w:color="auto"/>
                                        <w:right w:val="none" w:sz="0" w:space="0" w:color="auto"/>
                                      </w:divBdr>
                                      <w:divsChild>
                                        <w:div w:id="159121826">
                                          <w:marLeft w:val="0"/>
                                          <w:marRight w:val="0"/>
                                          <w:marTop w:val="0"/>
                                          <w:marBottom w:val="0"/>
                                          <w:divBdr>
                                            <w:top w:val="none" w:sz="0" w:space="0" w:color="auto"/>
                                            <w:left w:val="none" w:sz="0" w:space="0" w:color="auto"/>
                                            <w:bottom w:val="none" w:sz="0" w:space="0" w:color="auto"/>
                                            <w:right w:val="none" w:sz="0" w:space="0" w:color="auto"/>
                                          </w:divBdr>
                                          <w:divsChild>
                                            <w:div w:id="1702629147">
                                              <w:marLeft w:val="0"/>
                                              <w:marRight w:val="0"/>
                                              <w:marTop w:val="0"/>
                                              <w:marBottom w:val="0"/>
                                              <w:divBdr>
                                                <w:top w:val="none" w:sz="0" w:space="0" w:color="auto"/>
                                                <w:left w:val="none" w:sz="0" w:space="0" w:color="auto"/>
                                                <w:bottom w:val="none" w:sz="0" w:space="0" w:color="auto"/>
                                                <w:right w:val="none" w:sz="0" w:space="0" w:color="auto"/>
                                              </w:divBdr>
                                              <w:divsChild>
                                                <w:div w:id="1449154175">
                                                  <w:marLeft w:val="0"/>
                                                  <w:marRight w:val="0"/>
                                                  <w:marTop w:val="0"/>
                                                  <w:marBottom w:val="0"/>
                                                  <w:divBdr>
                                                    <w:top w:val="none" w:sz="0" w:space="0" w:color="auto"/>
                                                    <w:left w:val="none" w:sz="0" w:space="0" w:color="auto"/>
                                                    <w:bottom w:val="none" w:sz="0" w:space="0" w:color="auto"/>
                                                    <w:right w:val="none" w:sz="0" w:space="0" w:color="auto"/>
                                                  </w:divBdr>
                                                  <w:divsChild>
                                                    <w:div w:id="1445268923">
                                                      <w:marLeft w:val="0"/>
                                                      <w:marRight w:val="0"/>
                                                      <w:marTop w:val="0"/>
                                                      <w:marBottom w:val="345"/>
                                                      <w:divBdr>
                                                        <w:top w:val="none" w:sz="0" w:space="0" w:color="auto"/>
                                                        <w:left w:val="none" w:sz="0" w:space="0" w:color="auto"/>
                                                        <w:bottom w:val="none" w:sz="0" w:space="0" w:color="auto"/>
                                                        <w:right w:val="none" w:sz="0" w:space="0" w:color="auto"/>
                                                      </w:divBdr>
                                                      <w:divsChild>
                                                        <w:div w:id="682785012">
                                                          <w:marLeft w:val="0"/>
                                                          <w:marRight w:val="0"/>
                                                          <w:marTop w:val="0"/>
                                                          <w:marBottom w:val="0"/>
                                                          <w:divBdr>
                                                            <w:top w:val="none" w:sz="0" w:space="0" w:color="auto"/>
                                                            <w:left w:val="none" w:sz="0" w:space="0" w:color="auto"/>
                                                            <w:bottom w:val="none" w:sz="0" w:space="0" w:color="auto"/>
                                                            <w:right w:val="none" w:sz="0" w:space="0" w:color="auto"/>
                                                          </w:divBdr>
                                                          <w:divsChild>
                                                            <w:div w:id="1977564926">
                                                              <w:marLeft w:val="0"/>
                                                              <w:marRight w:val="0"/>
                                                              <w:marTop w:val="0"/>
                                                              <w:marBottom w:val="0"/>
                                                              <w:divBdr>
                                                                <w:top w:val="none" w:sz="0" w:space="0" w:color="auto"/>
                                                                <w:left w:val="none" w:sz="0" w:space="0" w:color="auto"/>
                                                                <w:bottom w:val="none" w:sz="0" w:space="0" w:color="auto"/>
                                                                <w:right w:val="none" w:sz="0" w:space="0" w:color="auto"/>
                                                              </w:divBdr>
                                                              <w:divsChild>
                                                                <w:div w:id="2140563623">
                                                                  <w:marLeft w:val="0"/>
                                                                  <w:marRight w:val="0"/>
                                                                  <w:marTop w:val="0"/>
                                                                  <w:marBottom w:val="0"/>
                                                                  <w:divBdr>
                                                                    <w:top w:val="none" w:sz="0" w:space="0" w:color="auto"/>
                                                                    <w:left w:val="none" w:sz="0" w:space="0" w:color="auto"/>
                                                                    <w:bottom w:val="none" w:sz="0" w:space="0" w:color="auto"/>
                                                                    <w:right w:val="none" w:sz="0" w:space="0" w:color="auto"/>
                                                                  </w:divBdr>
                                                                  <w:divsChild>
                                                                    <w:div w:id="2091153997">
                                                                      <w:marLeft w:val="0"/>
                                                                      <w:marRight w:val="0"/>
                                                                      <w:marTop w:val="0"/>
                                                                      <w:marBottom w:val="0"/>
                                                                      <w:divBdr>
                                                                        <w:top w:val="none" w:sz="0" w:space="0" w:color="auto"/>
                                                                        <w:left w:val="none" w:sz="0" w:space="0" w:color="auto"/>
                                                                        <w:bottom w:val="none" w:sz="0" w:space="0" w:color="auto"/>
                                                                        <w:right w:val="none" w:sz="0" w:space="0" w:color="auto"/>
                                                                      </w:divBdr>
                                                                      <w:divsChild>
                                                                        <w:div w:id="1441951852">
                                                                          <w:marLeft w:val="0"/>
                                                                          <w:marRight w:val="0"/>
                                                                          <w:marTop w:val="0"/>
                                                                          <w:marBottom w:val="0"/>
                                                                          <w:divBdr>
                                                                            <w:top w:val="none" w:sz="0" w:space="0" w:color="auto"/>
                                                                            <w:left w:val="none" w:sz="0" w:space="0" w:color="auto"/>
                                                                            <w:bottom w:val="none" w:sz="0" w:space="0" w:color="auto"/>
                                                                            <w:right w:val="none" w:sz="0" w:space="0" w:color="auto"/>
                                                                          </w:divBdr>
                                                                          <w:divsChild>
                                                                            <w:div w:id="1731725665">
                                                                              <w:marLeft w:val="0"/>
                                                                              <w:marRight w:val="0"/>
                                                                              <w:marTop w:val="0"/>
                                                                              <w:marBottom w:val="0"/>
                                                                              <w:divBdr>
                                                                                <w:top w:val="none" w:sz="0" w:space="0" w:color="auto"/>
                                                                                <w:left w:val="none" w:sz="0" w:space="0" w:color="auto"/>
                                                                                <w:bottom w:val="none" w:sz="0" w:space="0" w:color="auto"/>
                                                                                <w:right w:val="none" w:sz="0" w:space="0" w:color="auto"/>
                                                                              </w:divBdr>
                                                                              <w:divsChild>
                                                                                <w:div w:id="2140489886">
                                                                                  <w:marLeft w:val="0"/>
                                                                                  <w:marRight w:val="0"/>
                                                                                  <w:marTop w:val="0"/>
                                                                                  <w:marBottom w:val="0"/>
                                                                                  <w:divBdr>
                                                                                    <w:top w:val="none" w:sz="0" w:space="0" w:color="auto"/>
                                                                                    <w:left w:val="none" w:sz="0" w:space="0" w:color="auto"/>
                                                                                    <w:bottom w:val="none" w:sz="0" w:space="0" w:color="auto"/>
                                                                                    <w:right w:val="none" w:sz="0" w:space="0" w:color="auto"/>
                                                                                  </w:divBdr>
                                                                                  <w:divsChild>
                                                                                    <w:div w:id="1360357206">
                                                                                      <w:marLeft w:val="0"/>
                                                                                      <w:marRight w:val="0"/>
                                                                                      <w:marTop w:val="0"/>
                                                                                      <w:marBottom w:val="0"/>
                                                                                      <w:divBdr>
                                                                                        <w:top w:val="none" w:sz="0" w:space="0" w:color="auto"/>
                                                                                        <w:left w:val="none" w:sz="0" w:space="0" w:color="auto"/>
                                                                                        <w:bottom w:val="none" w:sz="0" w:space="0" w:color="auto"/>
                                                                                        <w:right w:val="none" w:sz="0" w:space="0" w:color="auto"/>
                                                                                      </w:divBdr>
                                                                                      <w:divsChild>
                                                                                        <w:div w:id="943265589">
                                                                                          <w:marLeft w:val="0"/>
                                                                                          <w:marRight w:val="0"/>
                                                                                          <w:marTop w:val="0"/>
                                                                                          <w:marBottom w:val="0"/>
                                                                                          <w:divBdr>
                                                                                            <w:top w:val="none" w:sz="0" w:space="0" w:color="auto"/>
                                                                                            <w:left w:val="none" w:sz="0" w:space="0" w:color="auto"/>
                                                                                            <w:bottom w:val="none" w:sz="0" w:space="0" w:color="auto"/>
                                                                                            <w:right w:val="none" w:sz="0" w:space="0" w:color="auto"/>
                                                                                          </w:divBdr>
                                                                                          <w:divsChild>
                                                                                            <w:div w:id="465202922">
                                                                                              <w:marLeft w:val="0"/>
                                                                                              <w:marRight w:val="0"/>
                                                                                              <w:marTop w:val="0"/>
                                                                                              <w:marBottom w:val="0"/>
                                                                                              <w:divBdr>
                                                                                                <w:top w:val="none" w:sz="0" w:space="0" w:color="auto"/>
                                                                                                <w:left w:val="none" w:sz="0" w:space="0" w:color="auto"/>
                                                                                                <w:bottom w:val="none" w:sz="0" w:space="0" w:color="auto"/>
                                                                                                <w:right w:val="none" w:sz="0" w:space="0" w:color="auto"/>
                                                                                              </w:divBdr>
                                                                                              <w:divsChild>
                                                                                                <w:div w:id="1886864316">
                                                                                                  <w:marLeft w:val="300"/>
                                                                                                  <w:marRight w:val="0"/>
                                                                                                  <w:marTop w:val="0"/>
                                                                                                  <w:marBottom w:val="0"/>
                                                                                                  <w:divBdr>
                                                                                                    <w:top w:val="none" w:sz="0" w:space="0" w:color="auto"/>
                                                                                                    <w:left w:val="none" w:sz="0" w:space="0" w:color="auto"/>
                                                                                                    <w:bottom w:val="none" w:sz="0" w:space="0" w:color="auto"/>
                                                                                                    <w:right w:val="none" w:sz="0" w:space="0" w:color="auto"/>
                                                                                                  </w:divBdr>
                                                                                                  <w:divsChild>
                                                                                                    <w:div w:id="852761471">
                                                                                                      <w:marLeft w:val="0"/>
                                                                                                      <w:marRight w:val="0"/>
                                                                                                      <w:marTop w:val="0"/>
                                                                                                      <w:marBottom w:val="0"/>
                                                                                                      <w:divBdr>
                                                                                                        <w:top w:val="none" w:sz="0" w:space="0" w:color="auto"/>
                                                                                                        <w:left w:val="none" w:sz="0" w:space="0" w:color="auto"/>
                                                                                                        <w:bottom w:val="none" w:sz="0" w:space="0" w:color="auto"/>
                                                                                                        <w:right w:val="none" w:sz="0" w:space="0" w:color="auto"/>
                                                                                                      </w:divBdr>
                                                                                                      <w:divsChild>
                                                                                                        <w:div w:id="20088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73093">
      <w:bodyDiv w:val="1"/>
      <w:marLeft w:val="0"/>
      <w:marRight w:val="0"/>
      <w:marTop w:val="0"/>
      <w:marBottom w:val="0"/>
      <w:divBdr>
        <w:top w:val="none" w:sz="0" w:space="0" w:color="auto"/>
        <w:left w:val="none" w:sz="0" w:space="0" w:color="auto"/>
        <w:bottom w:val="none" w:sz="0" w:space="0" w:color="auto"/>
        <w:right w:val="none" w:sz="0" w:space="0" w:color="auto"/>
      </w:divBdr>
    </w:div>
    <w:div w:id="1039403240">
      <w:bodyDiv w:val="1"/>
      <w:marLeft w:val="0"/>
      <w:marRight w:val="0"/>
      <w:marTop w:val="0"/>
      <w:marBottom w:val="0"/>
      <w:divBdr>
        <w:top w:val="none" w:sz="0" w:space="0" w:color="auto"/>
        <w:left w:val="none" w:sz="0" w:space="0" w:color="auto"/>
        <w:bottom w:val="none" w:sz="0" w:space="0" w:color="auto"/>
        <w:right w:val="none" w:sz="0" w:space="0" w:color="auto"/>
      </w:divBdr>
    </w:div>
    <w:div w:id="1111700598">
      <w:bodyDiv w:val="1"/>
      <w:marLeft w:val="0"/>
      <w:marRight w:val="0"/>
      <w:marTop w:val="0"/>
      <w:marBottom w:val="0"/>
      <w:divBdr>
        <w:top w:val="none" w:sz="0" w:space="0" w:color="auto"/>
        <w:left w:val="none" w:sz="0" w:space="0" w:color="auto"/>
        <w:bottom w:val="none" w:sz="0" w:space="0" w:color="auto"/>
        <w:right w:val="none" w:sz="0" w:space="0" w:color="auto"/>
      </w:divBdr>
    </w:div>
    <w:div w:id="1249075623">
      <w:bodyDiv w:val="1"/>
      <w:marLeft w:val="0"/>
      <w:marRight w:val="0"/>
      <w:marTop w:val="0"/>
      <w:marBottom w:val="0"/>
      <w:divBdr>
        <w:top w:val="none" w:sz="0" w:space="0" w:color="auto"/>
        <w:left w:val="none" w:sz="0" w:space="0" w:color="auto"/>
        <w:bottom w:val="none" w:sz="0" w:space="0" w:color="auto"/>
        <w:right w:val="none" w:sz="0" w:space="0" w:color="auto"/>
      </w:divBdr>
    </w:div>
    <w:div w:id="1338728788">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438717222">
      <w:bodyDiv w:val="1"/>
      <w:marLeft w:val="0"/>
      <w:marRight w:val="0"/>
      <w:marTop w:val="0"/>
      <w:marBottom w:val="0"/>
      <w:divBdr>
        <w:top w:val="none" w:sz="0" w:space="0" w:color="auto"/>
        <w:left w:val="none" w:sz="0" w:space="0" w:color="auto"/>
        <w:bottom w:val="none" w:sz="0" w:space="0" w:color="auto"/>
        <w:right w:val="none" w:sz="0" w:space="0" w:color="auto"/>
      </w:divBdr>
    </w:div>
    <w:div w:id="1775829713">
      <w:bodyDiv w:val="1"/>
      <w:marLeft w:val="0"/>
      <w:marRight w:val="0"/>
      <w:marTop w:val="0"/>
      <w:marBottom w:val="0"/>
      <w:divBdr>
        <w:top w:val="none" w:sz="0" w:space="0" w:color="auto"/>
        <w:left w:val="none" w:sz="0" w:space="0" w:color="auto"/>
        <w:bottom w:val="none" w:sz="0" w:space="0" w:color="auto"/>
        <w:right w:val="none" w:sz="0" w:space="0" w:color="auto"/>
      </w:divBdr>
      <w:divsChild>
        <w:div w:id="1545365607">
          <w:marLeft w:val="0"/>
          <w:marRight w:val="0"/>
          <w:marTop w:val="0"/>
          <w:marBottom w:val="0"/>
          <w:divBdr>
            <w:top w:val="none" w:sz="0" w:space="0" w:color="auto"/>
            <w:left w:val="none" w:sz="0" w:space="0" w:color="auto"/>
            <w:bottom w:val="none" w:sz="0" w:space="0" w:color="auto"/>
            <w:right w:val="none" w:sz="0" w:space="0" w:color="auto"/>
          </w:divBdr>
          <w:divsChild>
            <w:div w:id="2102022629">
              <w:marLeft w:val="0"/>
              <w:marRight w:val="0"/>
              <w:marTop w:val="0"/>
              <w:marBottom w:val="0"/>
              <w:divBdr>
                <w:top w:val="none" w:sz="0" w:space="0" w:color="auto"/>
                <w:left w:val="none" w:sz="0" w:space="0" w:color="auto"/>
                <w:bottom w:val="none" w:sz="0" w:space="0" w:color="auto"/>
                <w:right w:val="none" w:sz="0" w:space="0" w:color="auto"/>
              </w:divBdr>
              <w:divsChild>
                <w:div w:id="1077094316">
                  <w:marLeft w:val="0"/>
                  <w:marRight w:val="0"/>
                  <w:marTop w:val="0"/>
                  <w:marBottom w:val="0"/>
                  <w:divBdr>
                    <w:top w:val="none" w:sz="0" w:space="0" w:color="auto"/>
                    <w:left w:val="none" w:sz="0" w:space="0" w:color="auto"/>
                    <w:bottom w:val="none" w:sz="0" w:space="0" w:color="auto"/>
                    <w:right w:val="none" w:sz="0" w:space="0" w:color="auto"/>
                  </w:divBdr>
                  <w:divsChild>
                    <w:div w:id="734397662">
                      <w:marLeft w:val="0"/>
                      <w:marRight w:val="0"/>
                      <w:marTop w:val="0"/>
                      <w:marBottom w:val="0"/>
                      <w:divBdr>
                        <w:top w:val="none" w:sz="0" w:space="0" w:color="auto"/>
                        <w:left w:val="none" w:sz="0" w:space="0" w:color="auto"/>
                        <w:bottom w:val="none" w:sz="0" w:space="0" w:color="auto"/>
                        <w:right w:val="none" w:sz="0" w:space="0" w:color="auto"/>
                      </w:divBdr>
                      <w:divsChild>
                        <w:div w:id="471100491">
                          <w:marLeft w:val="0"/>
                          <w:marRight w:val="0"/>
                          <w:marTop w:val="0"/>
                          <w:marBottom w:val="0"/>
                          <w:divBdr>
                            <w:top w:val="none" w:sz="0" w:space="0" w:color="auto"/>
                            <w:left w:val="none" w:sz="0" w:space="0" w:color="auto"/>
                            <w:bottom w:val="none" w:sz="0" w:space="0" w:color="auto"/>
                            <w:right w:val="none" w:sz="0" w:space="0" w:color="auto"/>
                          </w:divBdr>
                          <w:divsChild>
                            <w:div w:id="1828935006">
                              <w:marLeft w:val="0"/>
                              <w:marRight w:val="0"/>
                              <w:marTop w:val="0"/>
                              <w:marBottom w:val="0"/>
                              <w:divBdr>
                                <w:top w:val="none" w:sz="0" w:space="0" w:color="auto"/>
                                <w:left w:val="none" w:sz="0" w:space="0" w:color="auto"/>
                                <w:bottom w:val="none" w:sz="0" w:space="0" w:color="auto"/>
                                <w:right w:val="none" w:sz="0" w:space="0" w:color="auto"/>
                              </w:divBdr>
                              <w:divsChild>
                                <w:div w:id="1782846164">
                                  <w:marLeft w:val="0"/>
                                  <w:marRight w:val="0"/>
                                  <w:marTop w:val="0"/>
                                  <w:marBottom w:val="0"/>
                                  <w:divBdr>
                                    <w:top w:val="none" w:sz="0" w:space="0" w:color="auto"/>
                                    <w:left w:val="none" w:sz="0" w:space="0" w:color="auto"/>
                                    <w:bottom w:val="none" w:sz="0" w:space="0" w:color="auto"/>
                                    <w:right w:val="none" w:sz="0" w:space="0" w:color="auto"/>
                                  </w:divBdr>
                                  <w:divsChild>
                                    <w:div w:id="1455519121">
                                      <w:marLeft w:val="0"/>
                                      <w:marRight w:val="0"/>
                                      <w:marTop w:val="0"/>
                                      <w:marBottom w:val="0"/>
                                      <w:divBdr>
                                        <w:top w:val="none" w:sz="0" w:space="0" w:color="auto"/>
                                        <w:left w:val="none" w:sz="0" w:space="0" w:color="auto"/>
                                        <w:bottom w:val="none" w:sz="0" w:space="0" w:color="auto"/>
                                        <w:right w:val="none" w:sz="0" w:space="0" w:color="auto"/>
                                      </w:divBdr>
                                      <w:divsChild>
                                        <w:div w:id="2000881333">
                                          <w:marLeft w:val="0"/>
                                          <w:marRight w:val="0"/>
                                          <w:marTop w:val="0"/>
                                          <w:marBottom w:val="0"/>
                                          <w:divBdr>
                                            <w:top w:val="none" w:sz="0" w:space="0" w:color="auto"/>
                                            <w:left w:val="none" w:sz="0" w:space="0" w:color="auto"/>
                                            <w:bottom w:val="none" w:sz="0" w:space="0" w:color="auto"/>
                                            <w:right w:val="none" w:sz="0" w:space="0" w:color="auto"/>
                                          </w:divBdr>
                                          <w:divsChild>
                                            <w:div w:id="145563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533674">
      <w:bodyDiv w:val="1"/>
      <w:marLeft w:val="0"/>
      <w:marRight w:val="0"/>
      <w:marTop w:val="0"/>
      <w:marBottom w:val="0"/>
      <w:divBdr>
        <w:top w:val="none" w:sz="0" w:space="0" w:color="auto"/>
        <w:left w:val="none" w:sz="0" w:space="0" w:color="auto"/>
        <w:bottom w:val="none" w:sz="0" w:space="0" w:color="auto"/>
        <w:right w:val="none" w:sz="0" w:space="0" w:color="auto"/>
      </w:divBdr>
    </w:div>
    <w:div w:id="1796945977">
      <w:bodyDiv w:val="1"/>
      <w:marLeft w:val="0"/>
      <w:marRight w:val="0"/>
      <w:marTop w:val="0"/>
      <w:marBottom w:val="0"/>
      <w:divBdr>
        <w:top w:val="none" w:sz="0" w:space="0" w:color="auto"/>
        <w:left w:val="none" w:sz="0" w:space="0" w:color="auto"/>
        <w:bottom w:val="none" w:sz="0" w:space="0" w:color="auto"/>
        <w:right w:val="none" w:sz="0" w:space="0" w:color="auto"/>
      </w:divBdr>
    </w:div>
    <w:div w:id="1885605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ode.dfat.gov.au"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creativecommons.org/licenses/by/3.0/au/legalcode" TargetMode="Externa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chart" Target="charts/chart2.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creativecommons.org/licenses/by/3.0/au/"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chart" Target="charts/chart1.xm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cswashfund.org/" TargetMode="External"/><Relationship Id="rId28" Type="http://schemas.openxmlformats.org/officeDocument/2006/relationships/chart" Target="charts/chart3.xml"/><Relationship Id="rId10" Type="http://schemas.openxmlformats.org/officeDocument/2006/relationships/image" Target="media/image2.wmf"/><Relationship Id="rId19" Type="http://schemas.openxmlformats.org/officeDocument/2006/relationships/header" Target="head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cid:image001.png@01D20AA0.1B6CB580" TargetMode="External"/><Relationship Id="rId30" Type="http://schemas.openxmlformats.org/officeDocument/2006/relationships/fontTable" Target="fontTab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TITAN\CHCH\Clients\pdavis\Docs\Offline%20Records%20(CH)\Survey%20-%20results\Survey%20data%20-%20final%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TimOgden:Desktop:Penny%20-%20Uni:CS%20WASH:Survey%20data%20-%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'K&amp;L knowledge and practices'!$A$104</c:f>
              <c:strCache>
                <c:ptCount val="1"/>
                <c:pt idx="0">
                  <c:v>Not at all</c:v>
                </c:pt>
              </c:strCache>
            </c:strRef>
          </c:tx>
          <c:invertIfNegative val="0"/>
          <c:dLbls>
            <c:dLbl>
              <c:idx val="0"/>
              <c:tx>
                <c:rich>
                  <a:bodyPr/>
                  <a:lstStyle/>
                  <a:p>
                    <a:r>
                      <a:rPr lang="en-US"/>
                      <a:t>Not </a:t>
                    </a:r>
                  </a:p>
                  <a:p>
                    <a:r>
                      <a:rPr lang="en-US"/>
                      <a:t>at </a:t>
                    </a:r>
                  </a:p>
                  <a:p>
                    <a:r>
                      <a:rPr lang="en-US"/>
                      <a:t>all</a:t>
                    </a:r>
                  </a:p>
                </c:rich>
              </c:tx>
              <c:dLblPos val="ctr"/>
              <c:showLegendKey val="0"/>
              <c:showVal val="0"/>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0CF-4364-A22A-B29D5CD46119}"/>
                </c:ext>
              </c:extLst>
            </c:dLbl>
            <c:dLbl>
              <c:idx val="1"/>
              <c:tx>
                <c:rich>
                  <a:bodyPr/>
                  <a:lstStyle/>
                  <a:p>
                    <a:r>
                      <a:rPr lang="en-US"/>
                      <a:t>Not </a:t>
                    </a:r>
                  </a:p>
                  <a:p>
                    <a:r>
                      <a:rPr lang="en-US"/>
                      <a:t>at </a:t>
                    </a:r>
                  </a:p>
                  <a:p>
                    <a:r>
                      <a:rPr lang="en-US"/>
                      <a:t>all</a:t>
                    </a:r>
                  </a:p>
                </c:rich>
              </c:tx>
              <c:dLblPos val="ctr"/>
              <c:showLegendKey val="0"/>
              <c:showVal val="0"/>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0CF-4364-A22A-B29D5CD46119}"/>
                </c:ext>
              </c:extLst>
            </c:dLbl>
            <c:spPr>
              <a:noFill/>
              <a:ln>
                <a:noFill/>
              </a:ln>
              <a:effectLst/>
            </c:sp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'K&amp;L knowledge and practices'!$B$103:$C$103</c:f>
              <c:strCache>
                <c:ptCount val="2"/>
                <c:pt idx="0">
                  <c:v>Global/Regional Learning Events have helped my project team improve WASH practices…..</c:v>
                </c:pt>
                <c:pt idx="1">
                  <c:v>Global/Regional Learning Events have helped my project team improve its WASH knowledge….</c:v>
                </c:pt>
              </c:strCache>
            </c:strRef>
          </c:cat>
          <c:val>
            <c:numRef>
              <c:f>'K&amp;L knowledge and practices'!$B$104:$C$104</c:f>
              <c:numCache>
                <c:formatCode>General</c:formatCode>
                <c:ptCount val="2"/>
                <c:pt idx="0">
                  <c:v>1</c:v>
                </c:pt>
                <c:pt idx="1">
                  <c:v>1</c:v>
                </c:pt>
              </c:numCache>
            </c:numRef>
          </c:val>
          <c:extLst xmlns:c16r2="http://schemas.microsoft.com/office/drawing/2015/06/chart">
            <c:ext xmlns:c16="http://schemas.microsoft.com/office/drawing/2014/chart" uri="{C3380CC4-5D6E-409C-BE32-E72D297353CC}">
              <c16:uniqueId val="{00000002-20CF-4364-A22A-B29D5CD46119}"/>
            </c:ext>
          </c:extLst>
        </c:ser>
        <c:ser>
          <c:idx val="1"/>
          <c:order val="1"/>
          <c:tx>
            <c:strRef>
              <c:f>'K&amp;L knowledge and practices'!$A$105</c:f>
              <c:strCache>
                <c:ptCount val="1"/>
                <c:pt idx="0">
                  <c:v>Slightly</c:v>
                </c:pt>
              </c:strCache>
            </c:strRef>
          </c:tx>
          <c:invertIfNegative val="0"/>
          <c:cat>
            <c:strRef>
              <c:f>'K&amp;L knowledge and practices'!$B$103:$C$103</c:f>
              <c:strCache>
                <c:ptCount val="2"/>
                <c:pt idx="0">
                  <c:v>Global/Regional Learning Events have helped my project team improve WASH practices…..</c:v>
                </c:pt>
                <c:pt idx="1">
                  <c:v>Global/Regional Learning Events have helped my project team improve its WASH knowledge….</c:v>
                </c:pt>
              </c:strCache>
            </c:strRef>
          </c:cat>
          <c:val>
            <c:numRef>
              <c:f>'K&amp;L knowledge and practices'!$B$105:$C$105</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3-20CF-4364-A22A-B29D5CD46119}"/>
            </c:ext>
          </c:extLst>
        </c:ser>
        <c:ser>
          <c:idx val="2"/>
          <c:order val="2"/>
          <c:tx>
            <c:strRef>
              <c:f>'K&amp;L knowledge and practices'!$A$106</c:f>
              <c:strCache>
                <c:ptCount val="1"/>
                <c:pt idx="0">
                  <c:v>Moderately</c:v>
                </c:pt>
              </c:strCache>
            </c:strRef>
          </c:tx>
          <c:invertIfNegative val="0"/>
          <c:cat>
            <c:strRef>
              <c:f>'K&amp;L knowledge and practices'!$B$103:$C$103</c:f>
              <c:strCache>
                <c:ptCount val="2"/>
                <c:pt idx="0">
                  <c:v>Global/Regional Learning Events have helped my project team improve WASH practices…..</c:v>
                </c:pt>
                <c:pt idx="1">
                  <c:v>Global/Regional Learning Events have helped my project team improve its WASH knowledge….</c:v>
                </c:pt>
              </c:strCache>
            </c:strRef>
          </c:cat>
          <c:val>
            <c:numRef>
              <c:f>'K&amp;L knowledge and practices'!$B$106:$C$106</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4-20CF-4364-A22A-B29D5CD46119}"/>
            </c:ext>
          </c:extLst>
        </c:ser>
        <c:ser>
          <c:idx val="3"/>
          <c:order val="3"/>
          <c:tx>
            <c:strRef>
              <c:f>'K&amp;L knowledge and practices'!$A$107</c:f>
              <c:strCache>
                <c:ptCount val="1"/>
                <c:pt idx="0">
                  <c:v>Significantly</c:v>
                </c:pt>
              </c:strCache>
            </c:strRef>
          </c:tx>
          <c:spPr>
            <a:solidFill>
              <a:schemeClr val="accent5">
                <a:lumMod val="75000"/>
              </a:schemeClr>
            </a:solidFill>
          </c:spPr>
          <c:invertIfNegative val="0"/>
          <c:dLbls>
            <c:spPr>
              <a:noFill/>
              <a:ln>
                <a:noFill/>
              </a:ln>
              <a:effectLst/>
            </c:sp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'K&amp;L knowledge and practices'!$B$103:$C$103</c:f>
              <c:strCache>
                <c:ptCount val="2"/>
                <c:pt idx="0">
                  <c:v>Global/Regional Learning Events have helped my project team improve WASH practices…..</c:v>
                </c:pt>
                <c:pt idx="1">
                  <c:v>Global/Regional Learning Events have helped my project team improve its WASH knowledge….</c:v>
                </c:pt>
              </c:strCache>
            </c:strRef>
          </c:cat>
          <c:val>
            <c:numRef>
              <c:f>'K&amp;L knowledge and practices'!$B$107:$C$107</c:f>
              <c:numCache>
                <c:formatCode>General</c:formatCode>
                <c:ptCount val="2"/>
                <c:pt idx="0">
                  <c:v>8</c:v>
                </c:pt>
                <c:pt idx="1">
                  <c:v>5</c:v>
                </c:pt>
              </c:numCache>
            </c:numRef>
          </c:val>
          <c:extLst xmlns:c16r2="http://schemas.microsoft.com/office/drawing/2015/06/chart">
            <c:ext xmlns:c16="http://schemas.microsoft.com/office/drawing/2014/chart" uri="{C3380CC4-5D6E-409C-BE32-E72D297353CC}">
              <c16:uniqueId val="{00000005-20CF-4364-A22A-B29D5CD46119}"/>
            </c:ext>
          </c:extLst>
        </c:ser>
        <c:ser>
          <c:idx val="4"/>
          <c:order val="4"/>
          <c:tx>
            <c:strRef>
              <c:f>'K&amp;L knowledge and practices'!$A$108</c:f>
              <c:strCache>
                <c:ptCount val="1"/>
                <c:pt idx="0">
                  <c:v>Extremely</c:v>
                </c:pt>
              </c:strCache>
            </c:strRef>
          </c:tx>
          <c:spPr>
            <a:solidFill>
              <a:schemeClr val="accent4">
                <a:lumMod val="60000"/>
                <a:lumOff val="40000"/>
              </a:schemeClr>
            </a:solidFill>
          </c:spPr>
          <c:invertIfNegative val="0"/>
          <c:dLbls>
            <c:spPr>
              <a:noFill/>
              <a:ln>
                <a:noFill/>
              </a:ln>
              <a:effectLst/>
            </c:sp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'K&amp;L knowledge and practices'!$B$103:$C$103</c:f>
              <c:strCache>
                <c:ptCount val="2"/>
                <c:pt idx="0">
                  <c:v>Global/Regional Learning Events have helped my project team improve WASH practices…..</c:v>
                </c:pt>
                <c:pt idx="1">
                  <c:v>Global/Regional Learning Events have helped my project team improve its WASH knowledge….</c:v>
                </c:pt>
              </c:strCache>
            </c:strRef>
          </c:cat>
          <c:val>
            <c:numRef>
              <c:f>'K&amp;L knowledge and practices'!$B$108:$C$108</c:f>
              <c:numCache>
                <c:formatCode>General</c:formatCode>
                <c:ptCount val="2"/>
                <c:pt idx="0">
                  <c:v>7</c:v>
                </c:pt>
                <c:pt idx="1">
                  <c:v>10</c:v>
                </c:pt>
              </c:numCache>
            </c:numRef>
          </c:val>
          <c:extLst xmlns:c16r2="http://schemas.microsoft.com/office/drawing/2015/06/chart">
            <c:ext xmlns:c16="http://schemas.microsoft.com/office/drawing/2014/chart" uri="{C3380CC4-5D6E-409C-BE32-E72D297353CC}">
              <c16:uniqueId val="{00000006-20CF-4364-A22A-B29D5CD46119}"/>
            </c:ext>
          </c:extLst>
        </c:ser>
        <c:dLbls>
          <c:showLegendKey val="0"/>
          <c:showVal val="0"/>
          <c:showCatName val="0"/>
          <c:showSerName val="0"/>
          <c:showPercent val="0"/>
          <c:showBubbleSize val="0"/>
        </c:dLbls>
        <c:gapWidth val="150"/>
        <c:overlap val="100"/>
        <c:axId val="36127104"/>
        <c:axId val="36128640"/>
      </c:barChart>
      <c:catAx>
        <c:axId val="36127104"/>
        <c:scaling>
          <c:orientation val="minMax"/>
        </c:scaling>
        <c:delete val="0"/>
        <c:axPos val="l"/>
        <c:numFmt formatCode="General" sourceLinked="0"/>
        <c:majorTickMark val="none"/>
        <c:minorTickMark val="none"/>
        <c:tickLblPos val="nextTo"/>
        <c:crossAx val="36128640"/>
        <c:crosses val="autoZero"/>
        <c:auto val="1"/>
        <c:lblAlgn val="ctr"/>
        <c:lblOffset val="100"/>
        <c:noMultiLvlLbl val="0"/>
      </c:catAx>
      <c:valAx>
        <c:axId val="36128640"/>
        <c:scaling>
          <c:orientation val="minMax"/>
          <c:max val="16"/>
        </c:scaling>
        <c:delete val="0"/>
        <c:axPos val="b"/>
        <c:majorGridlines>
          <c:spPr>
            <a:ln>
              <a:noFill/>
            </a:ln>
          </c:spPr>
        </c:majorGridlines>
        <c:title>
          <c:tx>
            <c:rich>
              <a:bodyPr/>
              <a:lstStyle/>
              <a:p>
                <a:pPr>
                  <a:defRPr b="0"/>
                </a:pPr>
                <a:r>
                  <a:rPr lang="en-AU" b="0"/>
                  <a:t>Number</a:t>
                </a:r>
                <a:r>
                  <a:rPr lang="en-AU" b="0" baseline="0"/>
                  <a:t> of survey respondents</a:t>
                </a:r>
                <a:endParaRPr lang="en-AU" b="0"/>
              </a:p>
            </c:rich>
          </c:tx>
          <c:overlay val="0"/>
        </c:title>
        <c:numFmt formatCode="General" sourceLinked="1"/>
        <c:majorTickMark val="none"/>
        <c:minorTickMark val="none"/>
        <c:tickLblPos val="nextTo"/>
        <c:crossAx val="36127104"/>
        <c:crosses val="autoZero"/>
        <c:crossBetween val="between"/>
        <c:majorUnit val="4"/>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bar"/>
        <c:grouping val="stacked"/>
        <c:varyColors val="0"/>
        <c:ser>
          <c:idx val="0"/>
          <c:order val="0"/>
          <c:tx>
            <c:strRef>
              <c:f>'M&amp;E'!$A$39</c:f>
              <c:strCache>
                <c:ptCount val="1"/>
                <c:pt idx="0">
                  <c:v>Strongly disagree</c:v>
                </c:pt>
              </c:strCache>
            </c:strRef>
          </c:tx>
          <c:invertIfNegative val="0"/>
          <c:dLbls>
            <c:delete val="1"/>
          </c:dLbls>
          <c:cat>
            <c:strRef>
              <c:f>'M&amp;E'!$B$38:$C$38</c:f>
              <c:strCache>
                <c:ptCount val="2"/>
                <c:pt idx="0">
                  <c:v>The Fund's performance assessment arrangements have strengthened my project's approach to gender equality</c:v>
                </c:pt>
                <c:pt idx="1">
                  <c:v>The Fund's performance assessment arrangements have strengthened my project's approach to disability inclusiveness</c:v>
                </c:pt>
              </c:strCache>
            </c:strRef>
          </c:cat>
          <c:val>
            <c:numRef>
              <c:f>'M&amp;E'!$B$39:$C$39</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0-CC73-482E-9965-CB4FFE680E2E}"/>
            </c:ext>
          </c:extLst>
        </c:ser>
        <c:ser>
          <c:idx val="1"/>
          <c:order val="1"/>
          <c:tx>
            <c:strRef>
              <c:f>'M&amp;E'!$A$40</c:f>
              <c:strCache>
                <c:ptCount val="1"/>
                <c:pt idx="0">
                  <c:v>Disagree</c:v>
                </c:pt>
              </c:strCache>
            </c:strRef>
          </c:tx>
          <c:spPr>
            <a:solidFill>
              <a:schemeClr val="accent2"/>
            </a:solidFill>
          </c:spPr>
          <c:invertIfNegative val="0"/>
          <c:dLbls>
            <c:dLbl>
              <c:idx val="0"/>
              <c:layout>
                <c:manualLayout>
                  <c:x val="-1.16578195525431E-2"/>
                  <c:y val="-0.100675498464246"/>
                </c:manualLayout>
              </c:layout>
              <c:dLblPos val="ctr"/>
              <c:showLegendKey val="0"/>
              <c:showVal val="0"/>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C73-482E-9965-CB4FFE680E2E}"/>
                </c:ext>
              </c:extLst>
            </c:dLbl>
            <c:dLbl>
              <c:idx val="1"/>
              <c:layout>
                <c:manualLayout>
                  <c:x val="0"/>
                  <c:y val="-0.10362694300518099"/>
                </c:manualLayout>
              </c:layout>
              <c:dLblPos val="ctr"/>
              <c:showLegendKey val="0"/>
              <c:showVal val="0"/>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C73-482E-9965-CB4FFE680E2E}"/>
                </c:ext>
              </c:extLst>
            </c:dLbl>
            <c:spPr>
              <a:noFill/>
              <a:ln>
                <a:noFill/>
              </a:ln>
              <a:effectLst/>
            </c:sp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'M&amp;E'!$B$38:$C$38</c:f>
              <c:strCache>
                <c:ptCount val="2"/>
                <c:pt idx="0">
                  <c:v>The Fund's performance assessment arrangements have strengthened my project's approach to gender equality</c:v>
                </c:pt>
                <c:pt idx="1">
                  <c:v>The Fund's performance assessment arrangements have strengthened my project's approach to disability inclusiveness</c:v>
                </c:pt>
              </c:strCache>
            </c:strRef>
          </c:cat>
          <c:val>
            <c:numRef>
              <c:f>'M&amp;E'!$B$40:$C$40</c:f>
              <c:numCache>
                <c:formatCode>General</c:formatCode>
                <c:ptCount val="2"/>
                <c:pt idx="0">
                  <c:v>2</c:v>
                </c:pt>
                <c:pt idx="1">
                  <c:v>1</c:v>
                </c:pt>
              </c:numCache>
            </c:numRef>
          </c:val>
          <c:extLst xmlns:c16r2="http://schemas.microsoft.com/office/drawing/2015/06/chart">
            <c:ext xmlns:c16="http://schemas.microsoft.com/office/drawing/2014/chart" uri="{C3380CC4-5D6E-409C-BE32-E72D297353CC}">
              <c16:uniqueId val="{00000003-CC73-482E-9965-CB4FFE680E2E}"/>
            </c:ext>
          </c:extLst>
        </c:ser>
        <c:ser>
          <c:idx val="2"/>
          <c:order val="2"/>
          <c:tx>
            <c:strRef>
              <c:f>'M&amp;E'!$A$41</c:f>
              <c:strCache>
                <c:ptCount val="1"/>
                <c:pt idx="0">
                  <c:v>Neither agree or disagree</c:v>
                </c:pt>
              </c:strCache>
            </c:strRef>
          </c:tx>
          <c:invertIfNegative val="0"/>
          <c:dLbls>
            <c:dLbl>
              <c:idx val="0"/>
              <c:tx>
                <c:rich>
                  <a:bodyPr/>
                  <a:lstStyle/>
                  <a:p>
                    <a:r>
                      <a:rPr lang="en-US"/>
                      <a:t>Neither </a:t>
                    </a:r>
                  </a:p>
                  <a:p>
                    <a:r>
                      <a:rPr lang="en-US"/>
                      <a:t>agree or </a:t>
                    </a:r>
                  </a:p>
                  <a:p>
                    <a:r>
                      <a:rPr lang="en-US"/>
                      <a:t>disagree</a:t>
                    </a:r>
                  </a:p>
                </c:rich>
              </c:tx>
              <c:dLblPos val="ctr"/>
              <c:showLegendKey val="0"/>
              <c:showVal val="0"/>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C73-482E-9965-CB4FFE680E2E}"/>
                </c:ext>
              </c:extLst>
            </c:dLbl>
            <c:dLbl>
              <c:idx val="1"/>
              <c:tx>
                <c:rich>
                  <a:bodyPr/>
                  <a:lstStyle/>
                  <a:p>
                    <a:r>
                      <a:rPr lang="en-US"/>
                      <a:t>Neither </a:t>
                    </a:r>
                  </a:p>
                  <a:p>
                    <a:r>
                      <a:rPr lang="en-US"/>
                      <a:t>agree or </a:t>
                    </a:r>
                  </a:p>
                  <a:p>
                    <a:r>
                      <a:rPr lang="en-US"/>
                      <a:t>disagree</a:t>
                    </a:r>
                  </a:p>
                </c:rich>
              </c:tx>
              <c:dLblPos val="ctr"/>
              <c:showLegendKey val="0"/>
              <c:showVal val="0"/>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C73-482E-9965-CB4FFE680E2E}"/>
                </c:ext>
              </c:extLst>
            </c:dLbl>
            <c:spPr>
              <a:noFill/>
              <a:ln>
                <a:noFill/>
              </a:ln>
              <a:effectLst/>
            </c:sp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'M&amp;E'!$B$38:$C$38</c:f>
              <c:strCache>
                <c:ptCount val="2"/>
                <c:pt idx="0">
                  <c:v>The Fund's performance assessment arrangements have strengthened my project's approach to gender equality</c:v>
                </c:pt>
                <c:pt idx="1">
                  <c:v>The Fund's performance assessment arrangements have strengthened my project's approach to disability inclusiveness</c:v>
                </c:pt>
              </c:strCache>
            </c:strRef>
          </c:cat>
          <c:val>
            <c:numRef>
              <c:f>'M&amp;E'!$B$41:$C$41</c:f>
              <c:numCache>
                <c:formatCode>General</c:formatCode>
                <c:ptCount val="2"/>
                <c:pt idx="0">
                  <c:v>2</c:v>
                </c:pt>
                <c:pt idx="1">
                  <c:v>2</c:v>
                </c:pt>
              </c:numCache>
            </c:numRef>
          </c:val>
          <c:extLst xmlns:c16r2="http://schemas.microsoft.com/office/drawing/2015/06/chart">
            <c:ext xmlns:c16="http://schemas.microsoft.com/office/drawing/2014/chart" uri="{C3380CC4-5D6E-409C-BE32-E72D297353CC}">
              <c16:uniqueId val="{00000006-CC73-482E-9965-CB4FFE680E2E}"/>
            </c:ext>
          </c:extLst>
        </c:ser>
        <c:ser>
          <c:idx val="3"/>
          <c:order val="3"/>
          <c:tx>
            <c:strRef>
              <c:f>'M&amp;E'!$A$42</c:f>
              <c:strCache>
                <c:ptCount val="1"/>
                <c:pt idx="0">
                  <c:v>Agree</c:v>
                </c:pt>
              </c:strCache>
            </c:strRef>
          </c:tx>
          <c:spPr>
            <a:solidFill>
              <a:schemeClr val="accent5">
                <a:lumMod val="75000"/>
              </a:schemeClr>
            </a:solidFill>
          </c:spPr>
          <c:invertIfNegative val="0"/>
          <c:dLbls>
            <c:spPr>
              <a:noFill/>
              <a:ln>
                <a:noFill/>
              </a:ln>
              <a:effectLst/>
            </c:sp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'M&amp;E'!$B$38:$C$38</c:f>
              <c:strCache>
                <c:ptCount val="2"/>
                <c:pt idx="0">
                  <c:v>The Fund's performance assessment arrangements have strengthened my project's approach to gender equality</c:v>
                </c:pt>
                <c:pt idx="1">
                  <c:v>The Fund's performance assessment arrangements have strengthened my project's approach to disability inclusiveness</c:v>
                </c:pt>
              </c:strCache>
            </c:strRef>
          </c:cat>
          <c:val>
            <c:numRef>
              <c:f>'M&amp;E'!$B$42:$C$42</c:f>
              <c:numCache>
                <c:formatCode>General</c:formatCode>
                <c:ptCount val="2"/>
                <c:pt idx="0">
                  <c:v>7</c:v>
                </c:pt>
                <c:pt idx="1">
                  <c:v>9</c:v>
                </c:pt>
              </c:numCache>
            </c:numRef>
          </c:val>
          <c:extLst xmlns:c16r2="http://schemas.microsoft.com/office/drawing/2015/06/chart">
            <c:ext xmlns:c16="http://schemas.microsoft.com/office/drawing/2014/chart" uri="{C3380CC4-5D6E-409C-BE32-E72D297353CC}">
              <c16:uniqueId val="{00000007-CC73-482E-9965-CB4FFE680E2E}"/>
            </c:ext>
          </c:extLst>
        </c:ser>
        <c:ser>
          <c:idx val="4"/>
          <c:order val="4"/>
          <c:tx>
            <c:strRef>
              <c:f>'M&amp;E'!$A$43</c:f>
              <c:strCache>
                <c:ptCount val="1"/>
                <c:pt idx="0">
                  <c:v>Strongly agree</c:v>
                </c:pt>
              </c:strCache>
            </c:strRef>
          </c:tx>
          <c:spPr>
            <a:solidFill>
              <a:schemeClr val="accent4">
                <a:lumMod val="60000"/>
                <a:lumOff val="40000"/>
              </a:schemeClr>
            </a:solidFill>
          </c:spPr>
          <c:invertIfNegative val="0"/>
          <c:dLbls>
            <c:spPr>
              <a:noFill/>
              <a:ln>
                <a:noFill/>
              </a:ln>
              <a:effectLst/>
            </c:sp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'M&amp;E'!$B$38:$C$38</c:f>
              <c:strCache>
                <c:ptCount val="2"/>
                <c:pt idx="0">
                  <c:v>The Fund's performance assessment arrangements have strengthened my project's approach to gender equality</c:v>
                </c:pt>
                <c:pt idx="1">
                  <c:v>The Fund's performance assessment arrangements have strengthened my project's approach to disability inclusiveness</c:v>
                </c:pt>
              </c:strCache>
            </c:strRef>
          </c:cat>
          <c:val>
            <c:numRef>
              <c:f>'M&amp;E'!$B$43:$C$43</c:f>
              <c:numCache>
                <c:formatCode>General</c:formatCode>
                <c:ptCount val="2"/>
                <c:pt idx="0">
                  <c:v>9</c:v>
                </c:pt>
                <c:pt idx="1">
                  <c:v>8</c:v>
                </c:pt>
              </c:numCache>
            </c:numRef>
          </c:val>
          <c:extLst xmlns:c16r2="http://schemas.microsoft.com/office/drawing/2015/06/chart">
            <c:ext xmlns:c16="http://schemas.microsoft.com/office/drawing/2014/chart" uri="{C3380CC4-5D6E-409C-BE32-E72D297353CC}">
              <c16:uniqueId val="{00000008-CC73-482E-9965-CB4FFE680E2E}"/>
            </c:ext>
          </c:extLst>
        </c:ser>
        <c:dLbls>
          <c:dLblPos val="ctr"/>
          <c:showLegendKey val="0"/>
          <c:showVal val="1"/>
          <c:showCatName val="0"/>
          <c:showSerName val="0"/>
          <c:showPercent val="0"/>
          <c:showBubbleSize val="0"/>
        </c:dLbls>
        <c:gapWidth val="150"/>
        <c:overlap val="100"/>
        <c:axId val="33772672"/>
        <c:axId val="33774208"/>
      </c:barChart>
      <c:catAx>
        <c:axId val="33772672"/>
        <c:scaling>
          <c:orientation val="minMax"/>
        </c:scaling>
        <c:delete val="0"/>
        <c:axPos val="l"/>
        <c:numFmt formatCode="General" sourceLinked="0"/>
        <c:majorTickMark val="none"/>
        <c:minorTickMark val="none"/>
        <c:tickLblPos val="nextTo"/>
        <c:crossAx val="33774208"/>
        <c:crosses val="autoZero"/>
        <c:auto val="1"/>
        <c:lblAlgn val="ctr"/>
        <c:lblOffset val="100"/>
        <c:noMultiLvlLbl val="0"/>
      </c:catAx>
      <c:valAx>
        <c:axId val="33774208"/>
        <c:scaling>
          <c:orientation val="minMax"/>
          <c:max val="20"/>
        </c:scaling>
        <c:delete val="0"/>
        <c:axPos val="b"/>
        <c:majorGridlines>
          <c:spPr>
            <a:ln>
              <a:noFill/>
            </a:ln>
          </c:spPr>
        </c:majorGridlines>
        <c:title>
          <c:tx>
            <c:rich>
              <a:bodyPr/>
              <a:lstStyle/>
              <a:p>
                <a:pPr>
                  <a:defRPr b="0"/>
                </a:pPr>
                <a:r>
                  <a:rPr lang="en-US" b="0"/>
                  <a:t>Number</a:t>
                </a:r>
                <a:r>
                  <a:rPr lang="en-US" b="0" baseline="0"/>
                  <a:t> of survey respondents</a:t>
                </a:r>
                <a:endParaRPr lang="en-US" b="0"/>
              </a:p>
            </c:rich>
          </c:tx>
          <c:overlay val="0"/>
        </c:title>
        <c:numFmt formatCode="General" sourceLinked="1"/>
        <c:majorTickMark val="none"/>
        <c:minorTickMark val="none"/>
        <c:tickLblPos val="nextTo"/>
        <c:crossAx val="33772672"/>
        <c:crosses val="autoZero"/>
        <c:crossBetween val="between"/>
        <c:majorUnit val="4"/>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No. of eligible CSOs submitting project proposals</c:v>
                </c:pt>
              </c:strCache>
            </c:strRef>
          </c:tx>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008-428C-A2EF-2D644DFD2A3E}"/>
                </c:ext>
              </c:extLst>
            </c:dLbl>
            <c:dLbl>
              <c:idx val="1"/>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008-428C-A2EF-2D644DFD2A3E}"/>
                </c:ext>
              </c:extLst>
            </c:dLbl>
            <c:dLbl>
              <c:idx val="2"/>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008-428C-A2EF-2D644DFD2A3E}"/>
                </c:ext>
              </c:extLst>
            </c:dLbl>
            <c:dLbl>
              <c:idx val="3"/>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008-428C-A2EF-2D644DFD2A3E}"/>
                </c:ext>
              </c:extLst>
            </c:dLbl>
            <c:dLbl>
              <c:idx val="4"/>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008-428C-A2EF-2D644DFD2A3E}"/>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Sheet1!$A$2:$A$6</c:f>
              <c:strCache>
                <c:ptCount val="5"/>
                <c:pt idx="0">
                  <c:v>South East Asia</c:v>
                </c:pt>
                <c:pt idx="1">
                  <c:v>Southern Africa</c:v>
                </c:pt>
                <c:pt idx="2">
                  <c:v>South Asia </c:v>
                </c:pt>
                <c:pt idx="3">
                  <c:v>Pacific </c:v>
                </c:pt>
                <c:pt idx="4">
                  <c:v>East Africa</c:v>
                </c:pt>
              </c:strCache>
            </c:strRef>
          </c:cat>
          <c:val>
            <c:numRef>
              <c:f>Sheet1!$B$2:$B$6</c:f>
              <c:numCache>
                <c:formatCode>General</c:formatCode>
                <c:ptCount val="5"/>
                <c:pt idx="0">
                  <c:v>24</c:v>
                </c:pt>
                <c:pt idx="1">
                  <c:v>23</c:v>
                </c:pt>
                <c:pt idx="2">
                  <c:v>17</c:v>
                </c:pt>
                <c:pt idx="3">
                  <c:v>8</c:v>
                </c:pt>
                <c:pt idx="4">
                  <c:v>5</c:v>
                </c:pt>
              </c:numCache>
            </c:numRef>
          </c:val>
          <c:extLst xmlns:c16r2="http://schemas.microsoft.com/office/drawing/2015/06/chart">
            <c:ext xmlns:c16="http://schemas.microsoft.com/office/drawing/2014/chart" uri="{C3380CC4-5D6E-409C-BE32-E72D297353CC}">
              <c16:uniqueId val="{00000005-7008-428C-A2EF-2D644DFD2A3E}"/>
            </c:ext>
          </c:extLst>
        </c:ser>
        <c:dLbls>
          <c:showLegendKey val="0"/>
          <c:showVal val="0"/>
          <c:showCatName val="0"/>
          <c:showSerName val="0"/>
          <c:showPercent val="0"/>
          <c:showBubbleSize val="0"/>
        </c:dLbls>
        <c:gapWidth val="150"/>
        <c:axId val="36111872"/>
        <c:axId val="36113408"/>
      </c:barChart>
      <c:catAx>
        <c:axId val="36111872"/>
        <c:scaling>
          <c:orientation val="minMax"/>
        </c:scaling>
        <c:delete val="0"/>
        <c:axPos val="l"/>
        <c:numFmt formatCode="General" sourceLinked="0"/>
        <c:majorTickMark val="none"/>
        <c:minorTickMark val="none"/>
        <c:tickLblPos val="nextTo"/>
        <c:crossAx val="36113408"/>
        <c:crosses val="autoZero"/>
        <c:auto val="1"/>
        <c:lblAlgn val="ctr"/>
        <c:lblOffset val="100"/>
        <c:noMultiLvlLbl val="0"/>
      </c:catAx>
      <c:valAx>
        <c:axId val="36113408"/>
        <c:scaling>
          <c:orientation val="minMax"/>
        </c:scaling>
        <c:delete val="1"/>
        <c:axPos val="b"/>
        <c:majorGridlines>
          <c:spPr>
            <a:ln>
              <a:noFill/>
            </a:ln>
          </c:spPr>
        </c:majorGridlines>
        <c:title>
          <c:tx>
            <c:rich>
              <a:bodyPr/>
              <a:lstStyle/>
              <a:p>
                <a:pPr>
                  <a:defRPr/>
                </a:pPr>
                <a:r>
                  <a:rPr lang="en-AU" b="0"/>
                  <a:t>Number </a:t>
                </a:r>
                <a:r>
                  <a:rPr lang="en-AU" b="0" baseline="0"/>
                  <a:t> of CSO applicants</a:t>
                </a:r>
                <a:endParaRPr lang="en-AU" b="0"/>
              </a:p>
            </c:rich>
          </c:tx>
          <c:overlay val="0"/>
        </c:title>
        <c:numFmt formatCode="General" sourceLinked="1"/>
        <c:majorTickMark val="out"/>
        <c:minorTickMark val="none"/>
        <c:tickLblPos val="nextTo"/>
        <c:crossAx val="3611187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DFAT ODE">
      <a:dk1>
        <a:sysClr val="windowText" lastClr="000000"/>
      </a:dk1>
      <a:lt1>
        <a:sysClr val="window" lastClr="FFFFFF"/>
      </a:lt1>
      <a:dk2>
        <a:srgbClr val="124486"/>
      </a:dk2>
      <a:lt2>
        <a:srgbClr val="D0DAE7"/>
      </a:lt2>
      <a:accent1>
        <a:srgbClr val="007FAD"/>
      </a:accent1>
      <a:accent2>
        <a:srgbClr val="1042A8"/>
      </a:accent2>
      <a:accent3>
        <a:srgbClr val="599ABC"/>
      </a:accent3>
      <a:accent4>
        <a:srgbClr val="F47621"/>
      </a:accent4>
      <a:accent5>
        <a:srgbClr val="F79552"/>
      </a:accent5>
      <a:accent6>
        <a:srgbClr val="40803D"/>
      </a:accent6>
      <a:hlink>
        <a:srgbClr val="124486"/>
      </a:hlink>
      <a:folHlink>
        <a:srgbClr val="124486"/>
      </a:folHlink>
    </a:clrScheme>
    <a:fontScheme name="DFAT ODE">
      <a:majorFont>
        <a:latin typeface="Franklin Gothic Book"/>
        <a:ea typeface=""/>
        <a:cs typeface=""/>
      </a:majorFont>
      <a:minorFont>
        <a:latin typeface="Franklin Gothic Book"/>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97E0CA36F93F49A064E94984C37C74" ma:contentTypeVersion="1" ma:contentTypeDescription="Create a new document." ma:contentTypeScope="" ma:versionID="a1ec0aab63804d740f38be68fd3aa03d">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D969A9-236A-4F08-8E07-3469E13D9D25}"/>
</file>

<file path=customXml/itemProps2.xml><?xml version="1.0" encoding="utf-8"?>
<ds:datastoreItem xmlns:ds="http://schemas.openxmlformats.org/officeDocument/2006/customXml" ds:itemID="{7F81B63E-A263-496A-B245-7F4E9CA78936}"/>
</file>

<file path=customXml/itemProps3.xml><?xml version="1.0" encoding="utf-8"?>
<ds:datastoreItem xmlns:ds="http://schemas.openxmlformats.org/officeDocument/2006/customXml" ds:itemID="{8DEC9C2C-B97C-407F-AB2E-498309372257}"/>
</file>

<file path=customXml/itemProps4.xml><?xml version="1.0" encoding="utf-8"?>
<ds:datastoreItem xmlns:ds="http://schemas.openxmlformats.org/officeDocument/2006/customXml" ds:itemID="{61616898-18FD-49A8-AF79-0CC6B04BA48F}"/>
</file>

<file path=docProps/app.xml><?xml version="1.0" encoding="utf-8"?>
<Properties xmlns="http://schemas.openxmlformats.org/officeDocument/2006/extended-properties" xmlns:vt="http://schemas.openxmlformats.org/officeDocument/2006/docPropsVTypes">
  <Template>CEC7F28B</Template>
  <TotalTime>0</TotalTime>
  <Pages>32</Pages>
  <Words>26822</Words>
  <Characters>154497</Characters>
  <Application>Microsoft Office Word</Application>
  <DocSecurity>0</DocSecurity>
  <Lines>3358</Lines>
  <Paragraphs>1813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management arrangements for the Civil Society Water, Sanitation and Hygiene Fund</dc:title>
  <dc:subject/>
  <dc:creator/>
  <cp:keywords/>
  <cp:lastModifiedBy/>
  <cp:revision>1</cp:revision>
  <dcterms:created xsi:type="dcterms:W3CDTF">2016-12-21T02:00:00Z</dcterms:created>
  <dcterms:modified xsi:type="dcterms:W3CDTF">2016-12-21T02:04:00Z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962e4803-28fd-4ae9-95bb-ada29c355237</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0x0101003B97E0CA36F93F49A064E94984C37C74</vt:lpwstr>
  </property>
  <property fmtid="{D5CDD505-2E9C-101B-9397-08002B2CF9AE}" pid="6" name="Order">
    <vt:r8>76400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