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0F3F2" w14:textId="77777777" w:rsidR="00CA217D" w:rsidRPr="00D23361" w:rsidRDefault="00CA217D" w:rsidP="00D37B04">
      <w:pPr>
        <w:pStyle w:val="Title"/>
        <w:rPr>
          <w:rFonts w:asciiTheme="minorHAnsi" w:hAnsiTheme="minorHAnsi" w:cstheme="minorHAnsi"/>
          <w:lang w:val="en-AU"/>
        </w:rPr>
      </w:pPr>
      <w:bookmarkStart w:id="0" w:name="_GoBack"/>
      <w:bookmarkEnd w:id="0"/>
    </w:p>
    <w:p w14:paraId="250B6B20" w14:textId="4FE5CE01" w:rsidR="00CA217D" w:rsidRDefault="00CA217D" w:rsidP="00D37B04">
      <w:pPr>
        <w:pStyle w:val="Title"/>
        <w:rPr>
          <w:rFonts w:asciiTheme="minorHAnsi" w:hAnsiTheme="minorHAnsi" w:cstheme="minorHAnsi"/>
          <w:lang w:val="en-AU"/>
        </w:rPr>
      </w:pPr>
    </w:p>
    <w:p w14:paraId="3E1CD17B" w14:textId="77777777" w:rsidR="009A62C7" w:rsidRPr="009A62C7" w:rsidRDefault="009A62C7" w:rsidP="009A62C7">
      <w:pPr>
        <w:rPr>
          <w:lang w:val="en-AU"/>
        </w:rPr>
      </w:pPr>
    </w:p>
    <w:p w14:paraId="421966CB" w14:textId="671E0F67" w:rsidR="00992C76" w:rsidRPr="00F64CE6" w:rsidRDefault="00F64CE6" w:rsidP="00D37B04">
      <w:pPr>
        <w:pStyle w:val="Title"/>
        <w:rPr>
          <w:rFonts w:asciiTheme="minorHAnsi" w:hAnsiTheme="minorHAnsi" w:cstheme="minorHAnsi"/>
          <w:lang w:val="en-AU"/>
        </w:rPr>
      </w:pPr>
      <w:r w:rsidRPr="00F64CE6">
        <w:rPr>
          <w:rFonts w:asciiTheme="minorHAnsi" w:hAnsiTheme="minorHAnsi" w:cstheme="minorHAnsi"/>
          <w:lang w:val="en-AU"/>
        </w:rPr>
        <w:t>E</w:t>
      </w:r>
      <w:r w:rsidR="00FD3E2F" w:rsidRPr="00F64CE6">
        <w:rPr>
          <w:rFonts w:asciiTheme="minorHAnsi" w:hAnsiTheme="minorHAnsi" w:cstheme="minorHAnsi"/>
          <w:lang w:val="en-AU"/>
        </w:rPr>
        <w:t xml:space="preserve">valuation </w:t>
      </w:r>
      <w:r w:rsidRPr="00F64CE6">
        <w:rPr>
          <w:rFonts w:asciiTheme="minorHAnsi" w:hAnsiTheme="minorHAnsi" w:cstheme="minorHAnsi"/>
          <w:lang w:val="en-AU"/>
        </w:rPr>
        <w:t>of P</w:t>
      </w:r>
      <w:r w:rsidR="00FD3E2F" w:rsidRPr="00F64CE6">
        <w:rPr>
          <w:rFonts w:asciiTheme="minorHAnsi" w:hAnsiTheme="minorHAnsi" w:cstheme="minorHAnsi"/>
          <w:lang w:val="en-AU"/>
        </w:rPr>
        <w:t xml:space="preserve">rotection in </w:t>
      </w:r>
      <w:r w:rsidRPr="00F64CE6">
        <w:rPr>
          <w:rFonts w:asciiTheme="minorHAnsi" w:hAnsiTheme="minorHAnsi" w:cstheme="minorHAnsi"/>
          <w:lang w:val="en-AU"/>
        </w:rPr>
        <w:t>A</w:t>
      </w:r>
      <w:r w:rsidR="0055088D" w:rsidRPr="00F64CE6">
        <w:rPr>
          <w:rFonts w:asciiTheme="minorHAnsi" w:hAnsiTheme="minorHAnsi" w:cstheme="minorHAnsi"/>
          <w:lang w:val="en-AU"/>
        </w:rPr>
        <w:t xml:space="preserve">ustralia’s </w:t>
      </w:r>
      <w:r w:rsidRPr="00F64CE6">
        <w:rPr>
          <w:rFonts w:asciiTheme="minorHAnsi" w:hAnsiTheme="minorHAnsi" w:cstheme="minorHAnsi"/>
          <w:lang w:val="en-AU"/>
        </w:rPr>
        <w:t>D</w:t>
      </w:r>
      <w:r w:rsidR="00FD3E2F" w:rsidRPr="00F64CE6">
        <w:rPr>
          <w:rFonts w:asciiTheme="minorHAnsi" w:hAnsiTheme="minorHAnsi" w:cstheme="minorHAnsi"/>
          <w:lang w:val="en-AU"/>
        </w:rPr>
        <w:t xml:space="preserve">isaster </w:t>
      </w:r>
      <w:r w:rsidRPr="00F64CE6">
        <w:rPr>
          <w:rFonts w:asciiTheme="minorHAnsi" w:hAnsiTheme="minorHAnsi" w:cstheme="minorHAnsi"/>
          <w:lang w:val="en-AU"/>
        </w:rPr>
        <w:t>R</w:t>
      </w:r>
      <w:r w:rsidR="00FD3E2F" w:rsidRPr="00F64CE6">
        <w:rPr>
          <w:rFonts w:asciiTheme="minorHAnsi" w:hAnsiTheme="minorHAnsi" w:cstheme="minorHAnsi"/>
          <w:lang w:val="en-AU"/>
        </w:rPr>
        <w:t xml:space="preserve">esponses in the </w:t>
      </w:r>
      <w:r w:rsidRPr="00F64CE6">
        <w:rPr>
          <w:rFonts w:asciiTheme="minorHAnsi" w:hAnsiTheme="minorHAnsi" w:cstheme="minorHAnsi"/>
          <w:lang w:val="en-AU"/>
        </w:rPr>
        <w:t>P</w:t>
      </w:r>
      <w:r w:rsidR="00FD3E2F" w:rsidRPr="00F64CE6">
        <w:rPr>
          <w:rFonts w:asciiTheme="minorHAnsi" w:hAnsiTheme="minorHAnsi" w:cstheme="minorHAnsi"/>
          <w:lang w:val="en-AU"/>
        </w:rPr>
        <w:t>acific</w:t>
      </w:r>
    </w:p>
    <w:p w14:paraId="63894E1D" w14:textId="18CB2A0D" w:rsidR="00CD0E4B" w:rsidRPr="00F64CE6" w:rsidRDefault="00F64CE6" w:rsidP="00D23361">
      <w:pPr>
        <w:pStyle w:val="Subtitle"/>
        <w:spacing w:after="0"/>
        <w:rPr>
          <w:rFonts w:cstheme="minorHAnsi"/>
          <w:sz w:val="36"/>
          <w:szCs w:val="36"/>
          <w:lang w:val="en-AU"/>
        </w:rPr>
      </w:pPr>
      <w:r w:rsidRPr="00F64CE6">
        <w:rPr>
          <w:rFonts w:cstheme="minorHAnsi"/>
          <w:caps w:val="0"/>
          <w:sz w:val="36"/>
          <w:szCs w:val="36"/>
          <w:lang w:val="en-AU"/>
        </w:rPr>
        <w:t>DFAT</w:t>
      </w:r>
      <w:r w:rsidR="00FD3E2F" w:rsidRPr="00F64CE6">
        <w:rPr>
          <w:rFonts w:cstheme="minorHAnsi"/>
          <w:sz w:val="36"/>
          <w:szCs w:val="36"/>
          <w:lang w:val="en-AU"/>
        </w:rPr>
        <w:t xml:space="preserve"> </w:t>
      </w:r>
      <w:r w:rsidRPr="00F64CE6">
        <w:rPr>
          <w:rFonts w:cstheme="minorHAnsi"/>
          <w:sz w:val="36"/>
          <w:szCs w:val="36"/>
          <w:lang w:val="en-AU"/>
        </w:rPr>
        <w:t>Management R</w:t>
      </w:r>
      <w:r w:rsidR="00FD3E2F" w:rsidRPr="00F64CE6">
        <w:rPr>
          <w:rFonts w:cstheme="minorHAnsi"/>
          <w:sz w:val="36"/>
          <w:szCs w:val="36"/>
          <w:lang w:val="en-AU"/>
        </w:rPr>
        <w:t>esponse</w:t>
      </w:r>
    </w:p>
    <w:p w14:paraId="25869C9B" w14:textId="77777777" w:rsidR="00C85FEC" w:rsidRPr="00F64CE6" w:rsidRDefault="00C85FEC" w:rsidP="004022A0">
      <w:pPr>
        <w:pStyle w:val="Heading4"/>
        <w:spacing w:before="120" w:after="0" w:line="240" w:lineRule="auto"/>
        <w:contextualSpacing w:val="0"/>
        <w:rPr>
          <w:rStyle w:val="Strong"/>
          <w:rFonts w:asciiTheme="minorHAnsi" w:hAnsiTheme="minorHAnsi" w:cstheme="minorHAnsi"/>
          <w:lang w:val="en-AU"/>
        </w:rPr>
      </w:pPr>
      <w:r w:rsidRPr="00F64CE6">
        <w:rPr>
          <w:rStyle w:val="Strong"/>
          <w:rFonts w:asciiTheme="minorHAnsi" w:hAnsiTheme="minorHAnsi" w:cstheme="minorHAnsi"/>
          <w:lang w:val="en-AU"/>
        </w:rPr>
        <w:t>Evaluation purpose</w:t>
      </w:r>
    </w:p>
    <w:p w14:paraId="3832B9A1" w14:textId="77777777" w:rsidR="00C85FEC" w:rsidRPr="00F64CE6" w:rsidRDefault="00C85FEC" w:rsidP="004022A0">
      <w:pPr>
        <w:pStyle w:val="BodyText"/>
        <w:spacing w:before="80" w:line="240" w:lineRule="auto"/>
        <w:ind w:right="-82"/>
        <w:rPr>
          <w:rFonts w:cstheme="minorHAnsi"/>
          <w:lang w:val="en-AU"/>
        </w:rPr>
      </w:pPr>
      <w:r w:rsidRPr="00F64CE6">
        <w:rPr>
          <w:rFonts w:cstheme="minorHAnsi"/>
          <w:lang w:val="en-AU"/>
        </w:rPr>
        <w:t xml:space="preserve">This </w:t>
      </w:r>
      <w:r w:rsidRPr="00F64CE6">
        <w:rPr>
          <w:rFonts w:cstheme="minorHAnsi"/>
          <w:b/>
          <w:lang w:val="en-AU"/>
        </w:rPr>
        <w:t>independently led evaluation</w:t>
      </w:r>
      <w:r w:rsidRPr="00F64CE6">
        <w:rPr>
          <w:rFonts w:cstheme="minorHAnsi"/>
          <w:lang w:val="en-AU"/>
        </w:rPr>
        <w:t xml:space="preserve"> was undertaken by Bernard Broughton and Amra Lee who were contracted by DFAT through IOD PARC.  Through the evaluation, </w:t>
      </w:r>
      <w:r w:rsidRPr="00F64CE6">
        <w:rPr>
          <w:rFonts w:cstheme="minorHAnsi"/>
          <w:b/>
          <w:lang w:val="en-AU"/>
        </w:rPr>
        <w:t>DFAT sought to</w:t>
      </w:r>
      <w:r w:rsidRPr="00F64CE6">
        <w:rPr>
          <w:rFonts w:cstheme="minorHAnsi"/>
          <w:lang w:val="en-AU"/>
        </w:rPr>
        <w:t>:</w:t>
      </w:r>
    </w:p>
    <w:p w14:paraId="0D082EBB" w14:textId="77777777" w:rsidR="00C85FEC" w:rsidRPr="00F64CE6" w:rsidRDefault="00C85FEC" w:rsidP="004022A0">
      <w:pPr>
        <w:pStyle w:val="Bullet1"/>
        <w:numPr>
          <w:ilvl w:val="0"/>
          <w:numId w:val="36"/>
        </w:numPr>
        <w:tabs>
          <w:tab w:val="left" w:pos="567"/>
        </w:tabs>
        <w:spacing w:before="80" w:line="240" w:lineRule="auto"/>
        <w:rPr>
          <w:rFonts w:cstheme="minorHAnsi"/>
          <w:lang w:val="en-AU"/>
        </w:rPr>
      </w:pPr>
      <w:r w:rsidRPr="00F64CE6">
        <w:rPr>
          <w:rFonts w:cstheme="minorHAnsi"/>
          <w:lang w:val="en-AU"/>
        </w:rPr>
        <w:t>Assess to what extent Australia's investments in protection in humanitarian action in the Pacific – through dedicated programming and mainstreamed approaches – have been timely, effective and appropriate;</w:t>
      </w:r>
    </w:p>
    <w:p w14:paraId="0DF57C3A" w14:textId="77777777" w:rsidR="00C85FEC" w:rsidRPr="00F64CE6" w:rsidRDefault="00C85FEC" w:rsidP="004022A0">
      <w:pPr>
        <w:pStyle w:val="Bullet1"/>
        <w:numPr>
          <w:ilvl w:val="0"/>
          <w:numId w:val="36"/>
        </w:numPr>
        <w:tabs>
          <w:tab w:val="left" w:pos="567"/>
        </w:tabs>
        <w:spacing w:before="80" w:line="240" w:lineRule="auto"/>
        <w:rPr>
          <w:rFonts w:cstheme="minorHAnsi"/>
          <w:lang w:val="en-AU"/>
        </w:rPr>
      </w:pPr>
      <w:r w:rsidRPr="00F64CE6">
        <w:rPr>
          <w:rFonts w:cstheme="minorHAnsi"/>
          <w:lang w:val="en-AU"/>
        </w:rPr>
        <w:t>Compile lessons and recommendations that can inform DFAT's future investments in – and management of – disaster preparedness and response; and</w:t>
      </w:r>
    </w:p>
    <w:p w14:paraId="1DAB6AB4" w14:textId="77777777" w:rsidR="00C85FEC" w:rsidRPr="00F64CE6" w:rsidRDefault="00C85FEC" w:rsidP="004022A0">
      <w:pPr>
        <w:pStyle w:val="Bullet1"/>
        <w:numPr>
          <w:ilvl w:val="0"/>
          <w:numId w:val="36"/>
        </w:numPr>
        <w:tabs>
          <w:tab w:val="left" w:pos="567"/>
        </w:tabs>
        <w:spacing w:before="80" w:line="240" w:lineRule="auto"/>
        <w:rPr>
          <w:rFonts w:cstheme="minorHAnsi"/>
          <w:lang w:val="en-AU"/>
        </w:rPr>
      </w:pPr>
      <w:r w:rsidRPr="00F64CE6">
        <w:rPr>
          <w:rFonts w:cstheme="minorHAnsi"/>
          <w:lang w:val="en-AU"/>
        </w:rPr>
        <w:t>Compile lessons and recommendations to inform DFAT's future policy advocacy for protection in humanitarian action in the Pacific.</w:t>
      </w:r>
    </w:p>
    <w:p w14:paraId="5429469E" w14:textId="77777777" w:rsidR="00C85FEC" w:rsidRPr="00F64CE6" w:rsidRDefault="00C85FEC" w:rsidP="004022A0">
      <w:pPr>
        <w:pStyle w:val="BodyText"/>
        <w:spacing w:before="80" w:line="240" w:lineRule="auto"/>
        <w:ind w:right="-82"/>
        <w:rPr>
          <w:rFonts w:cstheme="minorHAnsi"/>
        </w:rPr>
      </w:pPr>
      <w:r w:rsidRPr="00F64CE6">
        <w:rPr>
          <w:rFonts w:cstheme="minorHAnsi"/>
        </w:rPr>
        <w:t xml:space="preserve">IOD PARC was engaged by DFAT in </w:t>
      </w:r>
      <w:r w:rsidRPr="00F64CE6">
        <w:rPr>
          <w:rFonts w:cstheme="minorHAnsi"/>
          <w:b/>
        </w:rPr>
        <w:t>July 2018</w:t>
      </w:r>
      <w:r w:rsidRPr="00F64CE6">
        <w:rPr>
          <w:rFonts w:cstheme="minorHAnsi"/>
        </w:rPr>
        <w:t xml:space="preserve"> and submitted the final evaluation report in </w:t>
      </w:r>
      <w:r w:rsidRPr="00F64CE6">
        <w:rPr>
          <w:rFonts w:cstheme="minorHAnsi"/>
          <w:b/>
        </w:rPr>
        <w:t>January 2019</w:t>
      </w:r>
      <w:r w:rsidRPr="00F64CE6">
        <w:rPr>
          <w:rFonts w:cstheme="minorHAnsi"/>
        </w:rPr>
        <w:t>.</w:t>
      </w:r>
    </w:p>
    <w:p w14:paraId="4E870353" w14:textId="77777777" w:rsidR="00C85FEC" w:rsidRPr="00F64CE6" w:rsidRDefault="00C85FEC" w:rsidP="004022A0">
      <w:pPr>
        <w:pStyle w:val="Heading4"/>
        <w:spacing w:before="120" w:after="0" w:line="240" w:lineRule="auto"/>
        <w:contextualSpacing w:val="0"/>
        <w:rPr>
          <w:rFonts w:asciiTheme="minorHAnsi" w:hAnsiTheme="minorHAnsi" w:cstheme="minorHAnsi"/>
          <w:b/>
          <w:bCs w:val="0"/>
          <w:lang w:val="en-AU"/>
        </w:rPr>
      </w:pPr>
      <w:r w:rsidRPr="00F64CE6">
        <w:rPr>
          <w:rStyle w:val="Strong"/>
          <w:rFonts w:asciiTheme="minorHAnsi" w:hAnsiTheme="minorHAnsi" w:cstheme="minorHAnsi"/>
          <w:lang w:val="en-AU"/>
        </w:rPr>
        <w:t>Reflections on the evaluation report</w:t>
      </w:r>
    </w:p>
    <w:p w14:paraId="2C975E85" w14:textId="77777777" w:rsidR="00C85FEC" w:rsidRPr="00F64CE6" w:rsidRDefault="00C85FEC" w:rsidP="004022A0">
      <w:pPr>
        <w:pStyle w:val="BodyText"/>
        <w:spacing w:before="80" w:line="240" w:lineRule="auto"/>
        <w:ind w:right="-262"/>
        <w:rPr>
          <w:rFonts w:cstheme="minorHAnsi"/>
          <w:lang w:val="en-AU"/>
        </w:rPr>
      </w:pPr>
      <w:r w:rsidRPr="00F64CE6">
        <w:rPr>
          <w:rFonts w:cstheme="minorHAnsi"/>
          <w:lang w:val="en-AU"/>
        </w:rPr>
        <w:t xml:space="preserve">DFAT thanks the evaluators for the expertise they brought to the evaluation. We recognise the combined </w:t>
      </w:r>
      <w:r w:rsidRPr="00F64CE6">
        <w:rPr>
          <w:rFonts w:cstheme="minorHAnsi"/>
          <w:b/>
          <w:lang w:val="en-AU"/>
        </w:rPr>
        <w:t>challenges of defining, monitoring and evaluating protection activities</w:t>
      </w:r>
      <w:r w:rsidRPr="00F64CE6">
        <w:rPr>
          <w:rFonts w:cstheme="minorHAnsi"/>
          <w:lang w:val="en-AU"/>
        </w:rPr>
        <w:t xml:space="preserve">, and appreciate that the report acknowledges many of these challenges. </w:t>
      </w:r>
    </w:p>
    <w:p w14:paraId="4611E637" w14:textId="77777777" w:rsidR="00C85FEC" w:rsidRPr="00F64CE6" w:rsidRDefault="00C85FEC" w:rsidP="004022A0">
      <w:pPr>
        <w:pStyle w:val="BodyText"/>
        <w:spacing w:before="80" w:line="240" w:lineRule="auto"/>
        <w:ind w:right="-262"/>
        <w:rPr>
          <w:rFonts w:cstheme="minorHAnsi"/>
          <w:lang w:val="en-AU"/>
        </w:rPr>
      </w:pPr>
      <w:r w:rsidRPr="00F64CE6">
        <w:rPr>
          <w:rFonts w:cstheme="minorHAnsi"/>
          <w:lang w:val="en-AU"/>
        </w:rPr>
        <w:t xml:space="preserve">In developing the action plan, DFAT has adopted a </w:t>
      </w:r>
      <w:r w:rsidRPr="00F64CE6">
        <w:rPr>
          <w:rFonts w:cstheme="minorHAnsi"/>
          <w:b/>
          <w:lang w:val="en-AU"/>
        </w:rPr>
        <w:t>broad understanding of protection</w:t>
      </w:r>
      <w:r w:rsidRPr="00F64CE6">
        <w:rPr>
          <w:rFonts w:cstheme="minorHAnsi"/>
          <w:lang w:val="en-AU"/>
        </w:rPr>
        <w:t xml:space="preserve"> that considers inclusion issues relating to gender, disability, child protection, minorities and other vulnerable groups. We seek to place affected people at the centre of our humanitarian assistance and apply ‘do no harm’ approaches in all our engagements. We recognise the importance of </w:t>
      </w:r>
      <w:r w:rsidRPr="00F64CE6">
        <w:rPr>
          <w:rFonts w:cstheme="minorHAnsi"/>
          <w:b/>
          <w:lang w:val="en-AU"/>
        </w:rPr>
        <w:t>data disaggregated by sex, age and ability</w:t>
      </w:r>
      <w:r w:rsidRPr="00F64CE6">
        <w:rPr>
          <w:rFonts w:cstheme="minorHAnsi"/>
          <w:lang w:val="en-AU"/>
        </w:rPr>
        <w:t xml:space="preserve"> to better understand protection needs within communities and track progress over time, and will continue to advocate for quality monitoring and reporting by our implementing partners.</w:t>
      </w:r>
      <w:r w:rsidRPr="00F64CE6">
        <w:rPr>
          <w:rFonts w:cstheme="minorHAnsi"/>
        </w:rPr>
        <w:t xml:space="preserve"> </w:t>
      </w:r>
      <w:r w:rsidRPr="00F64CE6">
        <w:rPr>
          <w:rFonts w:cstheme="minorHAnsi"/>
          <w:lang w:val="en-AU"/>
        </w:rPr>
        <w:t xml:space="preserve">Our commitments are outlined in DFAT’s </w:t>
      </w:r>
      <w:r w:rsidRPr="00F64CE6">
        <w:rPr>
          <w:rFonts w:cstheme="minorHAnsi"/>
          <w:i/>
          <w:lang w:val="en-AU"/>
        </w:rPr>
        <w:t>Protection in Humanitarian Action Framework</w:t>
      </w:r>
      <w:r w:rsidRPr="00F64CE6">
        <w:rPr>
          <w:rFonts w:cstheme="minorHAnsi"/>
          <w:lang w:val="en-AU"/>
        </w:rPr>
        <w:t xml:space="preserve"> (2013), </w:t>
      </w:r>
      <w:r w:rsidRPr="00F64CE6">
        <w:rPr>
          <w:rFonts w:cstheme="minorHAnsi"/>
          <w:i/>
          <w:lang w:val="en-AU"/>
        </w:rPr>
        <w:t>Humanitarian Strategy</w:t>
      </w:r>
      <w:r w:rsidRPr="00F64CE6">
        <w:rPr>
          <w:rFonts w:cstheme="minorHAnsi"/>
          <w:lang w:val="en-AU"/>
        </w:rPr>
        <w:t xml:space="preserve"> (2016) and relevant guidance notes (2017).</w:t>
      </w:r>
    </w:p>
    <w:p w14:paraId="37B993EA" w14:textId="09BEA9FD" w:rsidR="00C85FEC" w:rsidRPr="00F64CE6" w:rsidRDefault="00C85FEC" w:rsidP="004022A0">
      <w:pPr>
        <w:pStyle w:val="BodyText"/>
        <w:spacing w:before="80" w:line="240" w:lineRule="auto"/>
        <w:ind w:right="-262"/>
        <w:rPr>
          <w:rFonts w:cstheme="minorHAnsi"/>
          <w:lang w:val="en-AU"/>
        </w:rPr>
      </w:pPr>
      <w:r w:rsidRPr="00F64CE6">
        <w:rPr>
          <w:rFonts w:cstheme="minorHAnsi"/>
          <w:b/>
          <w:lang w:val="en-AU"/>
        </w:rPr>
        <w:t xml:space="preserve">DFAT agrees with much, but not all, of the analysis and findings </w:t>
      </w:r>
      <w:r w:rsidRPr="00F64CE6">
        <w:rPr>
          <w:rFonts w:cstheme="minorHAnsi"/>
          <w:lang w:val="en-AU"/>
        </w:rPr>
        <w:t xml:space="preserve">in the final report. </w:t>
      </w:r>
      <w:r w:rsidR="000804CE" w:rsidRPr="00F64CE6">
        <w:rPr>
          <w:rFonts w:cstheme="minorHAnsi"/>
          <w:lang w:val="en-AU"/>
        </w:rPr>
        <w:t xml:space="preserve">DFAT also acknowledges the limitations of the evaluation due to restrictions on time and access. </w:t>
      </w:r>
      <w:r w:rsidR="00495E29" w:rsidRPr="00F64CE6">
        <w:rPr>
          <w:rFonts w:cstheme="minorHAnsi"/>
          <w:lang w:val="en-AU"/>
        </w:rPr>
        <w:t>Overall, the report</w:t>
      </w:r>
      <w:r w:rsidRPr="00F64CE6">
        <w:rPr>
          <w:rFonts w:cstheme="minorHAnsi"/>
          <w:lang w:val="en-AU"/>
        </w:rPr>
        <w:t xml:space="preserve"> provides a </w:t>
      </w:r>
      <w:r w:rsidRPr="00F64CE6">
        <w:rPr>
          <w:rFonts w:cstheme="minorHAnsi"/>
          <w:b/>
          <w:lang w:val="en-AU"/>
        </w:rPr>
        <w:t>useful overview of Australia’s protection policy and programming efforts</w:t>
      </w:r>
      <w:r w:rsidRPr="00F64CE6">
        <w:rPr>
          <w:rFonts w:cstheme="minorHAnsi"/>
          <w:lang w:val="en-AU"/>
        </w:rPr>
        <w:t xml:space="preserve"> in the Pacific to date, and helpful suggestions for further strengthening our approach to this important thematic priority of the </w:t>
      </w:r>
      <w:r w:rsidRPr="00F64CE6">
        <w:rPr>
          <w:rFonts w:cstheme="minorHAnsi"/>
          <w:i/>
          <w:lang w:val="en-AU"/>
        </w:rPr>
        <w:t>Humanitarian Strategy</w:t>
      </w:r>
      <w:r w:rsidRPr="00F64CE6">
        <w:rPr>
          <w:rFonts w:cstheme="minorHAnsi"/>
          <w:lang w:val="en-AU"/>
        </w:rPr>
        <w:t xml:space="preserve">. </w:t>
      </w:r>
    </w:p>
    <w:p w14:paraId="656C39DE" w14:textId="77777777" w:rsidR="00C85FEC" w:rsidRPr="00F64CE6" w:rsidRDefault="00C85FEC" w:rsidP="004022A0">
      <w:pPr>
        <w:pStyle w:val="BodyText"/>
        <w:spacing w:before="80" w:line="240" w:lineRule="auto"/>
        <w:ind w:right="-262"/>
        <w:rPr>
          <w:rFonts w:cstheme="minorHAnsi"/>
          <w:lang w:val="en-AU"/>
        </w:rPr>
      </w:pPr>
      <w:r w:rsidRPr="00F64CE6">
        <w:rPr>
          <w:rFonts w:cstheme="minorHAnsi"/>
          <w:lang w:val="en-AU"/>
        </w:rPr>
        <w:t xml:space="preserve">DFAT’s Humanitarian, NGOs and Partnerships Division (HPD) intends to undertake </w:t>
      </w:r>
      <w:r w:rsidRPr="00F64CE6">
        <w:rPr>
          <w:rFonts w:cstheme="minorHAnsi"/>
          <w:b/>
          <w:lang w:val="en-AU"/>
        </w:rPr>
        <w:t>a follow-up evaluation</w:t>
      </w:r>
      <w:r w:rsidRPr="00F64CE6">
        <w:rPr>
          <w:rFonts w:cstheme="minorHAnsi"/>
          <w:lang w:val="en-AU"/>
        </w:rPr>
        <w:t xml:space="preserve"> to review progress in meeting protection objectives beyond the Pacific region, namely in protracted and slow onset crises. The findings of both this protection evaluation and the planned review on protracted crises, as well as an ongoing review of progress against the </w:t>
      </w:r>
      <w:r w:rsidRPr="00F64CE6">
        <w:rPr>
          <w:rFonts w:cstheme="minorHAnsi"/>
          <w:i/>
          <w:lang w:val="en-AU"/>
        </w:rPr>
        <w:t>Humanitarian Strategy</w:t>
      </w:r>
      <w:r w:rsidRPr="00F64CE6">
        <w:rPr>
          <w:rFonts w:cstheme="minorHAnsi"/>
          <w:lang w:val="en-AU"/>
        </w:rPr>
        <w:t>, will put Australia in a good position to determine what, if any, updates are needed to relevant DFAT policy documents.</w:t>
      </w:r>
    </w:p>
    <w:p w14:paraId="03F4ECE4" w14:textId="77777777" w:rsidR="00C85FEC" w:rsidRPr="00F64CE6" w:rsidRDefault="00C85FEC" w:rsidP="004022A0">
      <w:pPr>
        <w:pStyle w:val="BodyText"/>
        <w:spacing w:before="80" w:line="240" w:lineRule="auto"/>
        <w:ind w:right="-262"/>
        <w:rPr>
          <w:rFonts w:cstheme="minorHAnsi"/>
          <w:lang w:val="en-AU"/>
        </w:rPr>
      </w:pPr>
      <w:r w:rsidRPr="00F64CE6">
        <w:rPr>
          <w:rFonts w:cstheme="minorHAnsi"/>
          <w:lang w:val="en-AU"/>
        </w:rPr>
        <w:t xml:space="preserve">The evaluation report makes highly relevant observations about the </w:t>
      </w:r>
      <w:r w:rsidRPr="00F64CE6">
        <w:rPr>
          <w:rFonts w:cstheme="minorHAnsi"/>
          <w:b/>
          <w:lang w:val="en-AU"/>
        </w:rPr>
        <w:t>global and regional contexts, and associated challenges</w:t>
      </w:r>
      <w:r w:rsidRPr="00F64CE6">
        <w:rPr>
          <w:rFonts w:cstheme="minorHAnsi"/>
          <w:lang w:val="en-AU"/>
        </w:rPr>
        <w:t xml:space="preserve"> for protection in humanitarian action. It highlights that </w:t>
      </w:r>
      <w:r w:rsidRPr="00F64CE6">
        <w:rPr>
          <w:rFonts w:cstheme="minorHAnsi"/>
          <w:b/>
          <w:lang w:val="en-AU"/>
        </w:rPr>
        <w:t>worldwide the prioritisation of protection in disasters has been a challenge</w:t>
      </w:r>
      <w:r w:rsidRPr="00F64CE6">
        <w:rPr>
          <w:rFonts w:cstheme="minorHAnsi"/>
          <w:lang w:val="en-AU"/>
        </w:rPr>
        <w:t xml:space="preserve"> and, accordingly, evidence of protection results remains uneven and elusive. It correctly notes that </w:t>
      </w:r>
      <w:r w:rsidRPr="00F64CE6">
        <w:rPr>
          <w:rFonts w:cstheme="minorHAnsi"/>
          <w:b/>
          <w:lang w:val="en-AU"/>
        </w:rPr>
        <w:t xml:space="preserve">national governments have primary responsibility for protecting populations </w:t>
      </w:r>
      <w:r w:rsidRPr="00F64CE6">
        <w:rPr>
          <w:rFonts w:cstheme="minorHAnsi"/>
          <w:lang w:val="en-AU"/>
        </w:rPr>
        <w:t xml:space="preserve">within their territory. This is a guiding principle of the </w:t>
      </w:r>
      <w:r w:rsidRPr="00F64CE6">
        <w:rPr>
          <w:rFonts w:cstheme="minorHAnsi"/>
          <w:i/>
          <w:lang w:val="en-AU"/>
        </w:rPr>
        <w:t>Humanitarian Strategy</w:t>
      </w:r>
      <w:r w:rsidRPr="00F64CE6">
        <w:rPr>
          <w:rFonts w:cstheme="minorHAnsi"/>
          <w:lang w:val="en-AU"/>
        </w:rPr>
        <w:t xml:space="preserve">. We appreciate the report’s mention of </w:t>
      </w:r>
      <w:r w:rsidRPr="00F64CE6">
        <w:rPr>
          <w:rFonts w:cstheme="minorHAnsi"/>
          <w:b/>
          <w:lang w:val="en-AU"/>
        </w:rPr>
        <w:t>lessons from other donor countries</w:t>
      </w:r>
      <w:r w:rsidRPr="00F64CE6">
        <w:rPr>
          <w:rFonts w:cstheme="minorHAnsi"/>
          <w:lang w:val="en-AU"/>
        </w:rPr>
        <w:t xml:space="preserve"> and intend to further pursue approaches of likeminded donors in implementing our management response to this evaluation.</w:t>
      </w:r>
    </w:p>
    <w:p w14:paraId="6630A83D" w14:textId="70639A1F" w:rsidR="00C85FEC" w:rsidRPr="00F64CE6" w:rsidRDefault="00C85FEC" w:rsidP="004022A0">
      <w:pPr>
        <w:spacing w:before="80" w:line="240" w:lineRule="auto"/>
        <w:rPr>
          <w:rFonts w:cstheme="minorHAnsi"/>
        </w:rPr>
      </w:pPr>
      <w:r w:rsidRPr="00F64CE6">
        <w:rPr>
          <w:rFonts w:cstheme="minorHAnsi"/>
          <w:lang w:val="en-AU"/>
        </w:rPr>
        <w:t xml:space="preserve">The report’s authors emphasise the </w:t>
      </w:r>
      <w:r w:rsidRPr="00F64CE6">
        <w:rPr>
          <w:rFonts w:cstheme="minorHAnsi"/>
          <w:b/>
          <w:lang w:val="en-AU"/>
        </w:rPr>
        <w:t>Pacific context is unique</w:t>
      </w:r>
      <w:r w:rsidRPr="00F64CE6">
        <w:rPr>
          <w:rFonts w:cstheme="minorHAnsi"/>
          <w:lang w:val="en-AU"/>
        </w:rPr>
        <w:t xml:space="preserve"> – characterised, in particular, by high cyclical disaster risks, as well as high levels of intercommunal and interpersonal violence in some countries. We would argue that the remoteness of many of the small island communities also poses particular challenges. </w:t>
      </w:r>
      <w:r w:rsidRPr="00F64CE6">
        <w:rPr>
          <w:rFonts w:cstheme="minorHAnsi"/>
          <w:lang w:val="en-AU"/>
        </w:rPr>
        <w:lastRenderedPageBreak/>
        <w:t xml:space="preserve">As the report notes, </w:t>
      </w:r>
      <w:r w:rsidRPr="00F64CE6">
        <w:rPr>
          <w:rFonts w:cstheme="minorHAnsi"/>
        </w:rPr>
        <w:t xml:space="preserve">protection in the Pacific is further constrained by the unique </w:t>
      </w:r>
      <w:r w:rsidRPr="00F64CE6">
        <w:rPr>
          <w:rFonts w:cstheme="minorHAnsi"/>
          <w:b/>
        </w:rPr>
        <w:t>humanitarian architecture</w:t>
      </w:r>
      <w:r w:rsidRPr="00F64CE6">
        <w:rPr>
          <w:rFonts w:cstheme="minorHAnsi"/>
        </w:rPr>
        <w:t xml:space="preserve">. National governments typically lead responses to what are predominantly rapid onset crises, often with low capability to deliver without international assistance, while mandated protection partners that operate globally have a limited presence. Recognising the report correctly identifies the need for a nuanced approach to localisation, Australia will continue to reinforce </w:t>
      </w:r>
      <w:r w:rsidRPr="00F64CE6">
        <w:rPr>
          <w:rFonts w:cstheme="minorHAnsi"/>
          <w:b/>
        </w:rPr>
        <w:t>local and national leadership</w:t>
      </w:r>
      <w:r w:rsidRPr="00F64CE6">
        <w:rPr>
          <w:rFonts w:cstheme="minorHAnsi"/>
        </w:rPr>
        <w:t xml:space="preserve"> of response efforts in the Pacific and elsewhere. We find parts of the report’s narrative assume a ‘command and control’ relationship from DFAT over preparedness and response activities in the region. This neither exists in practice nor is desirable in reality, given the international community’s commitment to humanitarian localisation. </w:t>
      </w:r>
    </w:p>
    <w:p w14:paraId="73B31BF3" w14:textId="0E862255" w:rsidR="00C85FEC" w:rsidRPr="00F64CE6" w:rsidRDefault="00C85FEC" w:rsidP="004022A0">
      <w:pPr>
        <w:pStyle w:val="BodyText"/>
        <w:spacing w:before="80" w:line="240" w:lineRule="auto"/>
        <w:rPr>
          <w:rFonts w:cstheme="minorHAnsi"/>
        </w:rPr>
      </w:pPr>
      <w:r w:rsidRPr="00F64CE6">
        <w:rPr>
          <w:rFonts w:cstheme="minorHAnsi"/>
        </w:rPr>
        <w:t xml:space="preserve">The management response will leverage DFAT’s positive engagement with disaster response in the Pacific.  For example, DFAT has a positive reputation for </w:t>
      </w:r>
      <w:r w:rsidRPr="00F64CE6">
        <w:rPr>
          <w:rFonts w:cstheme="minorHAnsi"/>
          <w:b/>
        </w:rPr>
        <w:t>advocating</w:t>
      </w:r>
      <w:r w:rsidRPr="00F64CE6">
        <w:rPr>
          <w:rFonts w:cstheme="minorHAnsi"/>
        </w:rPr>
        <w:t xml:space="preserve"> on particular protection priorities; </w:t>
      </w:r>
      <w:r w:rsidRPr="00F64CE6">
        <w:rPr>
          <w:rFonts w:cstheme="minorHAnsi"/>
          <w:lang w:val="en-US"/>
        </w:rPr>
        <w:t xml:space="preserve">recently increased its attention to </w:t>
      </w:r>
      <w:r w:rsidRPr="00F64CE6">
        <w:rPr>
          <w:rFonts w:cstheme="minorHAnsi"/>
          <w:b/>
          <w:lang w:val="en-US"/>
        </w:rPr>
        <w:t>LGBTI inclusion</w:t>
      </w:r>
      <w:r w:rsidRPr="00F64CE6">
        <w:rPr>
          <w:rFonts w:cstheme="minorHAnsi"/>
          <w:lang w:val="en-US"/>
        </w:rPr>
        <w:t xml:space="preserve">; </w:t>
      </w:r>
      <w:r w:rsidRPr="00F64CE6">
        <w:rPr>
          <w:rFonts w:cstheme="minorHAnsi"/>
        </w:rPr>
        <w:t xml:space="preserve">engages productively with national </w:t>
      </w:r>
      <w:r w:rsidRPr="00F64CE6">
        <w:rPr>
          <w:rFonts w:cstheme="minorHAnsi"/>
          <w:b/>
        </w:rPr>
        <w:t>protection clusters</w:t>
      </w:r>
      <w:r w:rsidRPr="00F64CE6">
        <w:rPr>
          <w:rFonts w:cstheme="minorHAnsi"/>
        </w:rPr>
        <w:t xml:space="preserve">; rolled-out the $50 million </w:t>
      </w:r>
      <w:r w:rsidRPr="00F64CE6">
        <w:rPr>
          <w:rFonts w:cstheme="minorHAnsi"/>
          <w:b/>
        </w:rPr>
        <w:t>Disaster Ready program</w:t>
      </w:r>
      <w:r w:rsidRPr="00F64CE6">
        <w:rPr>
          <w:rFonts w:cstheme="minorHAnsi"/>
        </w:rPr>
        <w:t xml:space="preserve"> that makes an important contribution to preparedness and inclusion; has standing </w:t>
      </w:r>
      <w:r w:rsidRPr="00F64CE6">
        <w:rPr>
          <w:rFonts w:cstheme="minorHAnsi"/>
          <w:b/>
        </w:rPr>
        <w:t>agreements with UNFPA and IPPF</w:t>
      </w:r>
      <w:r w:rsidRPr="00F64CE6">
        <w:rPr>
          <w:rFonts w:cstheme="minorHAnsi"/>
        </w:rPr>
        <w:t xml:space="preserve"> that mainstream protection of SRHR in preparedness; has made successful long-term multi-year investments in the </w:t>
      </w:r>
      <w:r w:rsidRPr="00F64CE6">
        <w:rPr>
          <w:rFonts w:cstheme="minorHAnsi"/>
          <w:b/>
        </w:rPr>
        <w:t>Fiji Women’s Crisis Centre</w:t>
      </w:r>
      <w:r w:rsidRPr="00F64CE6">
        <w:rPr>
          <w:rFonts w:cstheme="minorHAnsi"/>
        </w:rPr>
        <w:t xml:space="preserve">: imposes stringent </w:t>
      </w:r>
      <w:r w:rsidRPr="00F64CE6">
        <w:rPr>
          <w:rFonts w:cstheme="minorHAnsi"/>
          <w:b/>
        </w:rPr>
        <w:t>child protection</w:t>
      </w:r>
      <w:r w:rsidRPr="00F64CE6">
        <w:rPr>
          <w:rFonts w:cstheme="minorHAnsi"/>
        </w:rPr>
        <w:t xml:space="preserve"> reporting requirements; and has established a joint </w:t>
      </w:r>
      <w:r w:rsidRPr="00F64CE6">
        <w:rPr>
          <w:rFonts w:cstheme="minorHAnsi"/>
          <w:b/>
        </w:rPr>
        <w:t>MFAT-DFAT Humanitarian M&amp;E Framework</w:t>
      </w:r>
      <w:r w:rsidRPr="00F64CE6">
        <w:rPr>
          <w:rFonts w:cstheme="minorHAnsi"/>
        </w:rPr>
        <w:t xml:space="preserve"> for better real-time monitoring.</w:t>
      </w:r>
      <w:r w:rsidR="00495E29" w:rsidRPr="00F64CE6">
        <w:rPr>
          <w:rFonts w:cstheme="minorHAnsi"/>
        </w:rPr>
        <w:t xml:space="preserve"> The final initiative provides a structured methodology to support Australia and New Zealand to work together during and after humanitarian responses in the Pacific to address and implement a number of the issues identified in this evaluation.</w:t>
      </w:r>
    </w:p>
    <w:p w14:paraId="394439C8" w14:textId="77777777" w:rsidR="00C85FEC" w:rsidRPr="00F64CE6" w:rsidRDefault="00C85FEC" w:rsidP="004022A0">
      <w:pPr>
        <w:pStyle w:val="BodyText"/>
        <w:spacing w:before="80" w:line="240" w:lineRule="auto"/>
        <w:ind w:right="-172"/>
        <w:rPr>
          <w:rFonts w:cstheme="minorHAnsi"/>
          <w:lang w:val="en-AU"/>
        </w:rPr>
      </w:pPr>
      <w:r w:rsidRPr="00F64CE6">
        <w:rPr>
          <w:rFonts w:cstheme="minorHAnsi"/>
          <w:lang w:val="en-AU"/>
        </w:rPr>
        <w:t xml:space="preserve">The report rightly identifies the </w:t>
      </w:r>
      <w:r w:rsidRPr="00F64CE6">
        <w:rPr>
          <w:rFonts w:cstheme="minorHAnsi"/>
          <w:b/>
          <w:lang w:val="en-AU"/>
        </w:rPr>
        <w:t>prevention of sexual exploitation and abuse</w:t>
      </w:r>
      <w:r w:rsidRPr="00F64CE6">
        <w:rPr>
          <w:rFonts w:cstheme="minorHAnsi"/>
          <w:lang w:val="en-AU"/>
        </w:rPr>
        <w:t xml:space="preserve"> (PSEA) as a critical area of focus for the global humanitarian community. DFAT is in the process of drafting a new policy and approach to PSEA. We anticipate this will considerably strengthen our ability to prevent, monitor, report and address allegations against humanitarian workers and affected populations.</w:t>
      </w:r>
    </w:p>
    <w:p w14:paraId="096974EB" w14:textId="77777777" w:rsidR="00C85FEC" w:rsidRPr="00F64CE6" w:rsidRDefault="00C85FEC" w:rsidP="004022A0">
      <w:pPr>
        <w:spacing w:before="80" w:line="240" w:lineRule="auto"/>
        <w:rPr>
          <w:rFonts w:cstheme="minorHAnsi"/>
          <w:lang w:val="en-AU"/>
        </w:rPr>
      </w:pPr>
      <w:r w:rsidRPr="00F64CE6">
        <w:rPr>
          <w:rFonts w:cstheme="minorHAnsi"/>
        </w:rPr>
        <w:t>The report claims that</w:t>
      </w:r>
      <w:r w:rsidRPr="00F64CE6">
        <w:rPr>
          <w:rFonts w:cstheme="minorHAnsi"/>
          <w:lang w:val="en-AU"/>
        </w:rPr>
        <w:t xml:space="preserve"> DFAT has not taken a strategic approach to protection. We assert that DFAT does indeed </w:t>
      </w:r>
      <w:r w:rsidRPr="00F64CE6">
        <w:rPr>
          <w:rFonts w:cstheme="minorHAnsi"/>
          <w:b/>
          <w:lang w:val="en-AU"/>
        </w:rPr>
        <w:t>acknowledge that protection is central</w:t>
      </w:r>
      <w:r w:rsidRPr="00F64CE6">
        <w:rPr>
          <w:rFonts w:cstheme="minorHAnsi"/>
          <w:lang w:val="en-AU"/>
        </w:rPr>
        <w:t xml:space="preserve"> to the relevance and effectiveness of humanitarian action. Our strategic commitments and approach to the centrality of protection are articulated clearly in our 2016 </w:t>
      </w:r>
      <w:r w:rsidRPr="00F64CE6">
        <w:rPr>
          <w:rFonts w:cstheme="minorHAnsi"/>
          <w:i/>
          <w:lang w:val="en-AU"/>
        </w:rPr>
        <w:t xml:space="preserve">Humanitarian Strategy, </w:t>
      </w:r>
      <w:r w:rsidRPr="00F64CE6">
        <w:rPr>
          <w:rFonts w:cstheme="minorHAnsi"/>
          <w:lang w:val="en-AU"/>
        </w:rPr>
        <w:t xml:space="preserve">where protection cuts across all phases of the disaster cycle from risk reduction through preparedness and response to early recovery. It is also central to our advocacy for a strengthened international humanitarian system. To implement our strategic commitments, DFAT staff are able to draw on practical advice contained in our 2017 </w:t>
      </w:r>
      <w:r w:rsidRPr="00F64CE6">
        <w:rPr>
          <w:rFonts w:cstheme="minorHAnsi"/>
          <w:i/>
          <w:lang w:val="en-AU"/>
        </w:rPr>
        <w:t>Protection Guidance Note</w:t>
      </w:r>
      <w:r w:rsidRPr="00F64CE6">
        <w:rPr>
          <w:rFonts w:cstheme="minorHAnsi"/>
          <w:lang w:val="en-AU"/>
        </w:rPr>
        <w:t>, as well as thematic guidance developed to assess performance on protection through DFAT’s annual Humanitarian Aid Quality Checks (HAQCs).</w:t>
      </w:r>
    </w:p>
    <w:p w14:paraId="2DB704E2" w14:textId="77777777" w:rsidR="00C85FEC" w:rsidRPr="00F64CE6" w:rsidRDefault="00C85FEC" w:rsidP="004022A0">
      <w:pPr>
        <w:spacing w:before="80" w:line="240" w:lineRule="auto"/>
        <w:ind w:right="-143"/>
        <w:rPr>
          <w:rFonts w:cstheme="minorHAnsi"/>
          <w:lang w:val="en-AU"/>
        </w:rPr>
      </w:pPr>
      <w:r w:rsidRPr="00F64CE6">
        <w:rPr>
          <w:rFonts w:cstheme="minorHAnsi"/>
          <w:lang w:val="en-AU"/>
        </w:rPr>
        <w:t xml:space="preserve">Finally, DFAT acknowledges the complexity of humanitarian protection work and the need for three levels of action: strategic leadership and policy setting; dedicated programming; and mainstreaming.  Noting the rapidly changing humanitarian landscape in the Pacific, DFAT recognises the significant humanitarian systems developments since the release of Australia’s </w:t>
      </w:r>
      <w:r w:rsidRPr="00F64CE6">
        <w:rPr>
          <w:rFonts w:cstheme="minorHAnsi"/>
          <w:i/>
          <w:lang w:val="en-AU"/>
        </w:rPr>
        <w:t>Protection Framework</w:t>
      </w:r>
      <w:r w:rsidRPr="00F64CE6">
        <w:rPr>
          <w:rFonts w:cstheme="minorHAnsi"/>
          <w:lang w:val="en-AU"/>
        </w:rPr>
        <w:t xml:space="preserve"> in 2013 and the need for active engagement. DFAT is committed to </w:t>
      </w:r>
      <w:r w:rsidRPr="00F64CE6">
        <w:rPr>
          <w:rFonts w:cstheme="minorHAnsi"/>
          <w:b/>
          <w:lang w:val="en-AU"/>
        </w:rPr>
        <w:t>leaving no one behind</w:t>
      </w:r>
      <w:r w:rsidRPr="00F64CE6">
        <w:rPr>
          <w:rFonts w:cstheme="minorHAnsi"/>
          <w:lang w:val="en-AU"/>
        </w:rPr>
        <w:t xml:space="preserve"> in line with the 2030 Agenda for Sustainable Development and the Agenda for Humanity through improved capacity to deliver on protection commitments, prioritisation of protection in practice, and effective protection-related advocacy and engagement. </w:t>
      </w:r>
    </w:p>
    <w:p w14:paraId="61431DB4" w14:textId="77777777" w:rsidR="00C85FEC" w:rsidRPr="00F64CE6" w:rsidRDefault="00C85FEC" w:rsidP="004022A0">
      <w:pPr>
        <w:pStyle w:val="Heading4"/>
        <w:spacing w:before="120" w:after="0" w:line="240" w:lineRule="auto"/>
        <w:contextualSpacing w:val="0"/>
        <w:rPr>
          <w:rFonts w:asciiTheme="minorHAnsi" w:hAnsiTheme="minorHAnsi" w:cstheme="minorHAnsi"/>
          <w:b/>
          <w:lang w:val="en-AU"/>
        </w:rPr>
      </w:pPr>
      <w:r w:rsidRPr="00F64CE6">
        <w:rPr>
          <w:rFonts w:asciiTheme="minorHAnsi" w:hAnsiTheme="minorHAnsi" w:cstheme="minorHAnsi"/>
          <w:b/>
          <w:lang w:val="en-AU"/>
        </w:rPr>
        <w:t>DFAT’s action plan</w:t>
      </w:r>
    </w:p>
    <w:p w14:paraId="66D766CB" w14:textId="77777777" w:rsidR="00C85FEC" w:rsidRPr="00F64CE6" w:rsidRDefault="00C85FEC" w:rsidP="004022A0">
      <w:pPr>
        <w:pStyle w:val="BodyText"/>
        <w:spacing w:before="80" w:line="240" w:lineRule="auto"/>
        <w:ind w:right="-262"/>
        <w:rPr>
          <w:rFonts w:cstheme="minorHAnsi"/>
          <w:lang w:val="en-AU"/>
        </w:rPr>
      </w:pPr>
      <w:r w:rsidRPr="00F64CE6">
        <w:rPr>
          <w:rFonts w:cstheme="minorHAnsi"/>
          <w:lang w:val="en-AU"/>
        </w:rPr>
        <w:t xml:space="preserve">Notwithstanding the concerns outlined above, </w:t>
      </w:r>
      <w:r w:rsidRPr="00F64CE6">
        <w:rPr>
          <w:rFonts w:cstheme="minorHAnsi"/>
          <w:b/>
          <w:u w:val="single"/>
          <w:lang w:val="en-AU"/>
        </w:rPr>
        <w:t>DFAT agrees with all of the evaluation’s six key recommendations</w:t>
      </w:r>
      <w:r w:rsidRPr="00F64CE6">
        <w:rPr>
          <w:rFonts w:cstheme="minorHAnsi"/>
          <w:lang w:val="en-AU"/>
        </w:rPr>
        <w:t xml:space="preserve"> in full or in part. Justification for our responses are summarised in </w:t>
      </w:r>
      <w:r w:rsidRPr="00F64CE6">
        <w:rPr>
          <w:rFonts w:cstheme="minorHAnsi"/>
          <w:b/>
          <w:lang w:val="en-AU"/>
        </w:rPr>
        <w:t>the following table</w:t>
      </w:r>
      <w:r w:rsidRPr="00F64CE6">
        <w:rPr>
          <w:rFonts w:cstheme="minorHAnsi"/>
          <w:lang w:val="en-AU"/>
        </w:rPr>
        <w:t xml:space="preserve">. The suggested options for implementation identified in the evaluation report were considered in drafting DFAT’s action plan, but have not been formally endorsed. </w:t>
      </w:r>
    </w:p>
    <w:p w14:paraId="708F62DE" w14:textId="297F7554" w:rsidR="00C85FEC" w:rsidRPr="00F64CE6" w:rsidRDefault="00C85FEC" w:rsidP="004022A0">
      <w:pPr>
        <w:pStyle w:val="BodyText"/>
        <w:spacing w:before="80" w:line="240" w:lineRule="auto"/>
        <w:ind w:right="-262"/>
        <w:rPr>
          <w:rFonts w:cstheme="minorHAnsi"/>
          <w:lang w:val="en-AU"/>
        </w:rPr>
      </w:pPr>
      <w:r w:rsidRPr="00F64CE6">
        <w:rPr>
          <w:rFonts w:cstheme="minorHAnsi"/>
          <w:lang w:val="en-AU"/>
        </w:rPr>
        <w:t xml:space="preserve">In identifying feasible next steps, </w:t>
      </w:r>
      <w:r w:rsidR="004022A0" w:rsidRPr="00F64CE6">
        <w:rPr>
          <w:rFonts w:cstheme="minorHAnsi"/>
          <w:lang w:val="en-AU"/>
        </w:rPr>
        <w:t>HPD has</w:t>
      </w:r>
      <w:r w:rsidRPr="00F64CE6">
        <w:rPr>
          <w:rFonts w:cstheme="minorHAnsi"/>
          <w:lang w:val="en-AU"/>
        </w:rPr>
        <w:t xml:space="preserve"> into consideration existing </w:t>
      </w:r>
      <w:r w:rsidRPr="00F64CE6">
        <w:rPr>
          <w:rFonts w:cstheme="minorHAnsi"/>
          <w:b/>
          <w:lang w:val="en-AU"/>
        </w:rPr>
        <w:t>human and financial resourcing constraints</w:t>
      </w:r>
      <w:r w:rsidRPr="00F64CE6">
        <w:rPr>
          <w:rFonts w:cstheme="minorHAnsi"/>
          <w:lang w:val="en-AU"/>
        </w:rPr>
        <w:t xml:space="preserve"> and focussed on </w:t>
      </w:r>
      <w:r w:rsidRPr="00F64CE6">
        <w:rPr>
          <w:rFonts w:cstheme="minorHAnsi"/>
          <w:b/>
          <w:lang w:val="en-AU"/>
        </w:rPr>
        <w:t>four</w:t>
      </w:r>
      <w:r w:rsidR="00A374A5" w:rsidRPr="00F64CE6">
        <w:rPr>
          <w:rFonts w:cstheme="minorHAnsi"/>
          <w:b/>
          <w:lang w:val="en-AU"/>
        </w:rPr>
        <w:t xml:space="preserve"> key</w:t>
      </w:r>
      <w:r w:rsidRPr="00F64CE6">
        <w:rPr>
          <w:rFonts w:cstheme="minorHAnsi"/>
          <w:b/>
          <w:lang w:val="en-AU"/>
        </w:rPr>
        <w:t xml:space="preserve"> areas of improvement: (1) DFAT staff capability; (2) Australia’s leadership; (3) Investment in, and influence of partners); and (4) guidance, monitoring and evaluation</w:t>
      </w:r>
      <w:r w:rsidRPr="00F64CE6">
        <w:rPr>
          <w:rFonts w:cstheme="minorHAnsi"/>
          <w:lang w:val="en-AU"/>
        </w:rPr>
        <w:t>.</w:t>
      </w:r>
      <w:r w:rsidR="004022A0" w:rsidRPr="00F64CE6">
        <w:rPr>
          <w:rFonts w:cstheme="minorHAnsi"/>
          <w:lang w:val="en-AU"/>
        </w:rPr>
        <w:t xml:space="preserve"> </w:t>
      </w:r>
    </w:p>
    <w:p w14:paraId="47D0D8C8" w14:textId="77777777" w:rsidR="00C85FEC" w:rsidRPr="00F64CE6" w:rsidRDefault="00C85FEC" w:rsidP="004022A0">
      <w:pPr>
        <w:pStyle w:val="BodyText"/>
        <w:spacing w:before="80" w:line="240" w:lineRule="auto"/>
        <w:ind w:right="-262"/>
        <w:rPr>
          <w:rFonts w:cstheme="minorHAnsi"/>
          <w:b/>
          <w:lang w:val="en-AU"/>
        </w:rPr>
      </w:pPr>
      <w:r w:rsidRPr="00F64CE6">
        <w:rPr>
          <w:rFonts w:cstheme="minorHAnsi"/>
          <w:lang w:val="en-AU"/>
        </w:rPr>
        <w:t xml:space="preserve">DFAT will adopt this management response as an annex to the existing </w:t>
      </w:r>
      <w:r w:rsidRPr="00F64CE6">
        <w:rPr>
          <w:rFonts w:cstheme="minorHAnsi"/>
          <w:i/>
          <w:lang w:val="en-AU"/>
        </w:rPr>
        <w:t>Protection in Humanitarian Action Framework</w:t>
      </w:r>
      <w:r w:rsidRPr="00F64CE6">
        <w:rPr>
          <w:rFonts w:cstheme="minorHAnsi"/>
          <w:lang w:val="en-AU"/>
        </w:rPr>
        <w:t>. Where there are discrepancies in scope between the documents, this action plan will take precedence. The actions will inform progress updates on implementation of this management response.</w:t>
      </w:r>
    </w:p>
    <w:p w14:paraId="0FBEB6A4" w14:textId="46020BEE" w:rsidR="00BF29DE" w:rsidRPr="00F64CE6" w:rsidRDefault="00BF29DE" w:rsidP="00BF29DE">
      <w:pPr>
        <w:pStyle w:val="BodyText"/>
        <w:ind w:right="-262"/>
        <w:rPr>
          <w:rFonts w:cstheme="minorHAnsi"/>
          <w:lang w:val="en-AU"/>
        </w:rPr>
        <w:sectPr w:rsidR="00BF29DE" w:rsidRPr="00F64CE6" w:rsidSect="009A62C7">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1276" w:left="1134" w:header="425" w:footer="493" w:gutter="0"/>
          <w:cols w:space="397"/>
          <w:titlePg/>
          <w:docGrid w:linePitch="360"/>
        </w:sectPr>
      </w:pPr>
    </w:p>
    <w:p w14:paraId="440D606E" w14:textId="157AACB2" w:rsidR="00D600A6" w:rsidRPr="00D600A6" w:rsidRDefault="00D600A6" w:rsidP="00D600A6">
      <w:pPr>
        <w:pStyle w:val="Subtitle"/>
        <w:spacing w:after="0"/>
        <w:rPr>
          <w:rFonts w:cstheme="minorHAnsi"/>
          <w:b/>
          <w:bCs w:val="0"/>
          <w:caps w:val="0"/>
          <w:sz w:val="36"/>
          <w:szCs w:val="36"/>
          <w:lang w:val="en-AU"/>
        </w:rPr>
      </w:pPr>
      <w:r w:rsidRPr="00D600A6">
        <w:rPr>
          <w:rFonts w:cstheme="minorHAnsi"/>
          <w:b/>
          <w:bCs w:val="0"/>
          <w:caps w:val="0"/>
          <w:sz w:val="36"/>
          <w:szCs w:val="36"/>
          <w:lang w:val="en-AU"/>
        </w:rPr>
        <w:lastRenderedPageBreak/>
        <w:t>Action Plan</w:t>
      </w:r>
      <w:r>
        <w:rPr>
          <w:rFonts w:cstheme="minorHAnsi"/>
          <w:b/>
          <w:bCs w:val="0"/>
          <w:caps w:val="0"/>
          <w:sz w:val="36"/>
          <w:szCs w:val="36"/>
          <w:lang w:val="en-AU"/>
        </w:rPr>
        <w:br/>
      </w:r>
    </w:p>
    <w:tbl>
      <w:tblPr>
        <w:tblStyle w:val="ListTable4-Accent14"/>
        <w:tblpPr w:leftFromText="180" w:rightFromText="180" w:vertAnchor="text" w:tblpX="-289" w:tblpY="1"/>
        <w:tblOverlap w:val="never"/>
        <w:tblW w:w="5220" w:type="pct"/>
        <w:tblBorders>
          <w:top w:val="single" w:sz="4" w:space="0" w:color="65C5B4"/>
          <w:left w:val="single" w:sz="4" w:space="0" w:color="65C5B4"/>
          <w:bottom w:val="single" w:sz="4" w:space="0" w:color="65C5B4"/>
          <w:right w:val="single" w:sz="4" w:space="0" w:color="65C5B4"/>
          <w:insideH w:val="single" w:sz="4" w:space="0" w:color="65C5B4"/>
          <w:insideV w:val="single" w:sz="4" w:space="0" w:color="65C5B4"/>
        </w:tblBorders>
        <w:shd w:val="clear" w:color="auto" w:fill="65C5B4"/>
        <w:tblLook w:val="04A0" w:firstRow="1" w:lastRow="0" w:firstColumn="1" w:lastColumn="0" w:noHBand="0" w:noVBand="1"/>
      </w:tblPr>
      <w:tblGrid>
        <w:gridCol w:w="2545"/>
        <w:gridCol w:w="1780"/>
        <w:gridCol w:w="4954"/>
        <w:gridCol w:w="5459"/>
        <w:gridCol w:w="1327"/>
      </w:tblGrid>
      <w:tr w:rsidR="00D600A6" w:rsidRPr="00D600A6" w14:paraId="5C8F0AC2" w14:textId="77777777" w:rsidTr="006B0A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2" w:type="pct"/>
            <w:shd w:val="clear" w:color="auto" w:fill="1F5147"/>
            <w:vAlign w:val="center"/>
          </w:tcPr>
          <w:p w14:paraId="780BDDCA" w14:textId="77777777" w:rsidR="00D600A6" w:rsidRPr="00D600A6" w:rsidRDefault="00D600A6" w:rsidP="006B0A35">
            <w:pPr>
              <w:spacing w:before="0" w:after="0"/>
              <w:contextualSpacing/>
              <w:jc w:val="center"/>
              <w:rPr>
                <w:rFonts w:cstheme="minorHAnsi"/>
                <w:color w:val="FFFFFF" w:themeColor="background1"/>
                <w:lang w:val="en-AU"/>
              </w:rPr>
            </w:pPr>
            <w:r w:rsidRPr="00D600A6">
              <w:rPr>
                <w:rFonts w:cstheme="minorHAnsi"/>
                <w:color w:val="FFFFFF" w:themeColor="background1"/>
                <w:lang w:val="en-AU"/>
              </w:rPr>
              <w:t>Recommendation</w:t>
            </w:r>
          </w:p>
        </w:tc>
        <w:tc>
          <w:tcPr>
            <w:tcW w:w="554" w:type="pct"/>
            <w:shd w:val="clear" w:color="auto" w:fill="1F5147"/>
            <w:vAlign w:val="center"/>
          </w:tcPr>
          <w:p w14:paraId="7A48861D" w14:textId="77777777" w:rsidR="00D600A6" w:rsidRPr="00D600A6" w:rsidRDefault="00D600A6" w:rsidP="006B0A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lang w:val="en-AU"/>
              </w:rPr>
            </w:pPr>
            <w:r w:rsidRPr="00D600A6">
              <w:rPr>
                <w:rFonts w:cstheme="minorHAnsi"/>
                <w:color w:val="FFFFFF" w:themeColor="background1"/>
                <w:lang w:val="en-AU"/>
              </w:rPr>
              <w:t>Response</w:t>
            </w:r>
          </w:p>
        </w:tc>
        <w:tc>
          <w:tcPr>
            <w:tcW w:w="1542" w:type="pct"/>
            <w:shd w:val="clear" w:color="auto" w:fill="1F5147"/>
            <w:vAlign w:val="center"/>
          </w:tcPr>
          <w:p w14:paraId="4B4E10ED" w14:textId="77777777" w:rsidR="00D600A6" w:rsidRPr="00D600A6" w:rsidRDefault="00D600A6" w:rsidP="006B0A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lang w:val="en-AU"/>
              </w:rPr>
            </w:pPr>
            <w:r w:rsidRPr="00D600A6">
              <w:rPr>
                <w:rFonts w:cstheme="minorHAnsi"/>
                <w:color w:val="FFFFFF" w:themeColor="background1"/>
                <w:lang w:val="en-AU"/>
              </w:rPr>
              <w:t>Explanation</w:t>
            </w:r>
          </w:p>
        </w:tc>
        <w:tc>
          <w:tcPr>
            <w:tcW w:w="1699" w:type="pct"/>
            <w:shd w:val="clear" w:color="auto" w:fill="1F5147"/>
            <w:vAlign w:val="center"/>
          </w:tcPr>
          <w:p w14:paraId="0CEC40D2" w14:textId="77777777" w:rsidR="00D600A6" w:rsidRPr="00D600A6" w:rsidRDefault="00D600A6" w:rsidP="006B0A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lang w:val="en-AU"/>
              </w:rPr>
            </w:pPr>
            <w:r w:rsidRPr="00D600A6">
              <w:rPr>
                <w:rFonts w:cstheme="minorHAnsi"/>
                <w:color w:val="FFFFFF" w:themeColor="background1"/>
                <w:lang w:val="en-AU"/>
              </w:rPr>
              <w:t>Action Plan</w:t>
            </w:r>
          </w:p>
        </w:tc>
        <w:tc>
          <w:tcPr>
            <w:tcW w:w="413" w:type="pct"/>
            <w:shd w:val="clear" w:color="auto" w:fill="1F5147"/>
            <w:vAlign w:val="center"/>
          </w:tcPr>
          <w:p w14:paraId="5E7F8145" w14:textId="77777777" w:rsidR="00D600A6" w:rsidRPr="00D600A6" w:rsidRDefault="00D600A6" w:rsidP="006B0A35">
            <w:pPr>
              <w:spacing w:before="0" w:after="0"/>
              <w:contextualSpacing/>
              <w:jc w:val="center"/>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lang w:val="en-AU"/>
              </w:rPr>
            </w:pPr>
            <w:r w:rsidRPr="00D600A6">
              <w:rPr>
                <w:rFonts w:cstheme="minorHAnsi"/>
                <w:color w:val="FFFFFF" w:themeColor="background1"/>
                <w:lang w:val="en-AU"/>
              </w:rPr>
              <w:t>Timeframe</w:t>
            </w:r>
          </w:p>
        </w:tc>
      </w:tr>
      <w:tr w:rsidR="00D600A6" w:rsidRPr="00D600A6" w14:paraId="55B8553B" w14:textId="77777777" w:rsidTr="006B0A35">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792" w:type="pct"/>
            <w:vMerge w:val="restart"/>
            <w:shd w:val="clear" w:color="auto" w:fill="BFE7E0"/>
          </w:tcPr>
          <w:p w14:paraId="769C9462" w14:textId="77777777" w:rsidR="00D600A6" w:rsidRPr="00D600A6" w:rsidRDefault="00D600A6" w:rsidP="006B0A35">
            <w:pPr>
              <w:pStyle w:val="Normal1"/>
              <w:contextualSpacing/>
              <w:rPr>
                <w:rFonts w:asciiTheme="minorHAnsi" w:hAnsiTheme="minorHAnsi" w:cstheme="minorHAnsi"/>
                <w:b w:val="0"/>
                <w:color w:val="495965" w:themeColor="text2"/>
                <w:sz w:val="22"/>
                <w:szCs w:val="22"/>
              </w:rPr>
            </w:pPr>
            <w:r w:rsidRPr="00D600A6">
              <w:rPr>
                <w:rFonts w:asciiTheme="minorHAnsi" w:hAnsiTheme="minorHAnsi" w:cstheme="minorHAnsi"/>
                <w:color w:val="495965" w:themeColor="text2"/>
                <w:sz w:val="22"/>
                <w:szCs w:val="22"/>
              </w:rPr>
              <w:t xml:space="preserve">Recommendation 1:  </w:t>
            </w:r>
            <w:r w:rsidRPr="00D600A6">
              <w:rPr>
                <w:rFonts w:asciiTheme="minorHAnsi" w:hAnsiTheme="minorHAnsi" w:cstheme="minorHAnsi"/>
                <w:b w:val="0"/>
                <w:color w:val="495965" w:themeColor="text2"/>
                <w:sz w:val="22"/>
                <w:szCs w:val="22"/>
              </w:rPr>
              <w:t>Increase access to timely protection expertise and comprehensive protection risk analysis</w:t>
            </w:r>
          </w:p>
          <w:p w14:paraId="6FF5609F" w14:textId="77777777" w:rsidR="00D600A6" w:rsidRPr="00D600A6" w:rsidRDefault="00D600A6" w:rsidP="006B0A35">
            <w:pPr>
              <w:pStyle w:val="Normal1"/>
              <w:contextualSpacing/>
              <w:rPr>
                <w:rFonts w:asciiTheme="minorHAnsi" w:hAnsiTheme="minorHAnsi" w:cstheme="minorHAnsi"/>
                <w:color w:val="495965" w:themeColor="text2"/>
                <w:sz w:val="22"/>
                <w:szCs w:val="22"/>
              </w:rPr>
            </w:pPr>
          </w:p>
        </w:tc>
        <w:tc>
          <w:tcPr>
            <w:tcW w:w="554" w:type="pct"/>
            <w:vMerge w:val="restart"/>
            <w:shd w:val="clear" w:color="auto" w:fill="BFE7E0"/>
          </w:tcPr>
          <w:p w14:paraId="338898B1"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Agree in part</w:t>
            </w:r>
          </w:p>
          <w:p w14:paraId="1A568B8E"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p>
          <w:p w14:paraId="0534847B"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b/>
                <w:lang w:val="en-AU"/>
              </w:rPr>
            </w:pPr>
            <w:r w:rsidRPr="00D600A6">
              <w:rPr>
                <w:rFonts w:cstheme="minorHAnsi"/>
                <w:b/>
                <w:lang w:val="en-AU"/>
              </w:rPr>
              <w:t xml:space="preserve">Focus Area: </w:t>
            </w:r>
          </w:p>
          <w:p w14:paraId="4ACB1782" w14:textId="77777777" w:rsidR="00D600A6" w:rsidRPr="00D600A6" w:rsidRDefault="00D600A6" w:rsidP="006B0A35">
            <w:pPr>
              <w:pStyle w:val="Bullet1"/>
              <w:ind w:left="215" w:hanging="215"/>
              <w:cnfStyle w:val="000000100000" w:firstRow="0" w:lastRow="0" w:firstColumn="0" w:lastColumn="0" w:oddVBand="0" w:evenVBand="0" w:oddHBand="1" w:evenHBand="0" w:firstRowFirstColumn="0" w:firstRowLastColumn="0" w:lastRowFirstColumn="0" w:lastRowLastColumn="0"/>
              <w:rPr>
                <w:lang w:val="en-AU"/>
              </w:rPr>
            </w:pPr>
            <w:r w:rsidRPr="00D600A6">
              <w:rPr>
                <w:lang w:val="en-AU"/>
              </w:rPr>
              <w:t xml:space="preserve">Capability </w:t>
            </w:r>
          </w:p>
        </w:tc>
        <w:tc>
          <w:tcPr>
            <w:tcW w:w="1542" w:type="pct"/>
            <w:vMerge w:val="restart"/>
            <w:shd w:val="clear" w:color="auto" w:fill="BFE7E0"/>
          </w:tcPr>
          <w:p w14:paraId="6C51B23C" w14:textId="77777777" w:rsidR="00D600A6" w:rsidRPr="00D600A6" w:rsidRDefault="00D600A6" w:rsidP="006B0A35">
            <w:pPr>
              <w:pStyle w:val="BodyText"/>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b/>
                <w:lang w:val="en-AU"/>
              </w:rPr>
              <w:t xml:space="preserve">1a. </w:t>
            </w:r>
            <w:r w:rsidRPr="00D600A6">
              <w:rPr>
                <w:rFonts w:cstheme="minorHAnsi"/>
                <w:lang w:val="en-AU"/>
              </w:rPr>
              <w:t>DFAT agrees with the need to strengthen access to protection expertise through contracted technical expertise, where appropriate.</w:t>
            </w:r>
          </w:p>
          <w:p w14:paraId="152FAA1A" w14:textId="77777777" w:rsidR="00D600A6" w:rsidRPr="00D600A6" w:rsidRDefault="00D600A6" w:rsidP="006B0A35">
            <w:pPr>
              <w:pStyle w:val="BodyText"/>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 xml:space="preserve">DFAT recognises that </w:t>
            </w:r>
            <w:r w:rsidRPr="00D600A6">
              <w:rPr>
                <w:rFonts w:cstheme="minorHAnsi"/>
                <w:b/>
                <w:lang w:val="en-AU"/>
              </w:rPr>
              <w:t>staff capability</w:t>
            </w:r>
            <w:r w:rsidRPr="00D600A6">
              <w:rPr>
                <w:rFonts w:cstheme="minorHAnsi"/>
                <w:lang w:val="en-AU"/>
              </w:rPr>
              <w:t xml:space="preserve"> in humanitarian protection varies, and that training, coupled with strong application of processes and tools, will assist in developing staff ability to prioritise humanitarian protection issues in their work in Canberra, at posts or on deployment. </w:t>
            </w:r>
          </w:p>
        </w:tc>
        <w:tc>
          <w:tcPr>
            <w:tcW w:w="1699" w:type="pct"/>
            <w:shd w:val="clear" w:color="auto" w:fill="BFE7E0"/>
          </w:tcPr>
          <w:p w14:paraId="609D5620" w14:textId="77777777" w:rsidR="00D600A6" w:rsidRPr="00D600A6" w:rsidRDefault="00D600A6" w:rsidP="006B0A35">
            <w:pPr>
              <w:pStyle w:val="BodyText"/>
              <w:spacing w:before="0" w:after="0"/>
              <w:ind w:right="4"/>
              <w:contextualSpacing/>
              <w:cnfStyle w:val="000000100000" w:firstRow="0" w:lastRow="0" w:firstColumn="0" w:lastColumn="0" w:oddVBand="0" w:evenVBand="0" w:oddHBand="1" w:evenHBand="0" w:firstRowFirstColumn="0" w:firstRowLastColumn="0" w:lastRowFirstColumn="0" w:lastRowLastColumn="0"/>
              <w:rPr>
                <w:rFonts w:cstheme="minorHAnsi"/>
                <w:b/>
                <w:lang w:val="en-AU"/>
              </w:rPr>
            </w:pPr>
            <w:r w:rsidRPr="00D600A6">
              <w:rPr>
                <w:rFonts w:cstheme="minorHAnsi"/>
                <w:b/>
                <w:lang w:val="en-AU"/>
              </w:rPr>
              <w:t>1a (i).</w:t>
            </w:r>
            <w:r w:rsidRPr="00D600A6">
              <w:rPr>
                <w:rFonts w:cstheme="minorHAnsi"/>
                <w:lang w:val="en-AU"/>
              </w:rPr>
              <w:t xml:space="preserve"> DFAT will establish a </w:t>
            </w:r>
            <w:r w:rsidRPr="00D600A6">
              <w:rPr>
                <w:rFonts w:cstheme="minorHAnsi"/>
                <w:b/>
                <w:lang w:val="en-AU"/>
              </w:rPr>
              <w:t>register of external technical protection expertise</w:t>
            </w:r>
            <w:r w:rsidRPr="00D600A6">
              <w:rPr>
                <w:rFonts w:cstheme="minorHAnsi"/>
                <w:lang w:val="en-AU"/>
              </w:rPr>
              <w:t xml:space="preserve"> that can be called upon to advise and contribute to DFAT’s protection policy and programming efforts (including potential deployment to humanitarian crises). </w:t>
            </w:r>
          </w:p>
        </w:tc>
        <w:tc>
          <w:tcPr>
            <w:tcW w:w="413" w:type="pct"/>
            <w:shd w:val="clear" w:color="auto" w:fill="BFE7E0"/>
          </w:tcPr>
          <w:p w14:paraId="0EFDE9B0" w14:textId="77777777" w:rsidR="00D600A6" w:rsidRPr="00D600A6" w:rsidRDefault="00D600A6" w:rsidP="006B0A35">
            <w:pPr>
              <w:pStyle w:val="BodyText"/>
              <w:spacing w:before="0" w:after="0"/>
              <w:ind w:right="4"/>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From July 2019</w:t>
            </w:r>
          </w:p>
          <w:p w14:paraId="3DFAB32B" w14:textId="77777777" w:rsidR="00D600A6" w:rsidRPr="00D600A6" w:rsidRDefault="00D600A6" w:rsidP="006B0A35">
            <w:pPr>
              <w:pStyle w:val="BodyText"/>
              <w:spacing w:before="0" w:after="0"/>
              <w:ind w:right="4"/>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p>
        </w:tc>
      </w:tr>
      <w:tr w:rsidR="00D600A6" w:rsidRPr="00D600A6" w14:paraId="656A053E" w14:textId="77777777" w:rsidTr="006B0A35">
        <w:trPr>
          <w:trHeight w:val="1684"/>
        </w:trPr>
        <w:tc>
          <w:tcPr>
            <w:cnfStyle w:val="001000000000" w:firstRow="0" w:lastRow="0" w:firstColumn="1" w:lastColumn="0" w:oddVBand="0" w:evenVBand="0" w:oddHBand="0" w:evenHBand="0" w:firstRowFirstColumn="0" w:firstRowLastColumn="0" w:lastRowFirstColumn="0" w:lastRowLastColumn="0"/>
            <w:tcW w:w="792" w:type="pct"/>
            <w:vMerge/>
            <w:shd w:val="clear" w:color="auto" w:fill="BFE7E0"/>
          </w:tcPr>
          <w:p w14:paraId="1BAAA5C2" w14:textId="77777777" w:rsidR="00D600A6" w:rsidRPr="00D600A6" w:rsidRDefault="00D600A6" w:rsidP="006B0A35">
            <w:pPr>
              <w:pStyle w:val="Normal1"/>
              <w:contextualSpacing/>
              <w:rPr>
                <w:rFonts w:asciiTheme="minorHAnsi" w:hAnsiTheme="minorHAnsi" w:cstheme="minorHAnsi"/>
                <w:color w:val="495965" w:themeColor="text2"/>
                <w:sz w:val="22"/>
                <w:szCs w:val="22"/>
              </w:rPr>
            </w:pPr>
          </w:p>
        </w:tc>
        <w:tc>
          <w:tcPr>
            <w:tcW w:w="554" w:type="pct"/>
            <w:vMerge/>
            <w:shd w:val="clear" w:color="auto" w:fill="BFE7E0"/>
          </w:tcPr>
          <w:p w14:paraId="7CA5B779"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tc>
        <w:tc>
          <w:tcPr>
            <w:tcW w:w="1542" w:type="pct"/>
            <w:vMerge/>
            <w:shd w:val="clear" w:color="auto" w:fill="BFE7E0"/>
          </w:tcPr>
          <w:p w14:paraId="7C7C9F67" w14:textId="77777777" w:rsidR="00D600A6" w:rsidRPr="00D600A6" w:rsidRDefault="00D600A6" w:rsidP="006B0A35">
            <w:pPr>
              <w:pStyle w:val="BodyText"/>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tc>
        <w:tc>
          <w:tcPr>
            <w:tcW w:w="1699" w:type="pct"/>
            <w:shd w:val="clear" w:color="auto" w:fill="BFE7E0"/>
          </w:tcPr>
          <w:p w14:paraId="53FC3BC3" w14:textId="77777777" w:rsidR="00D600A6" w:rsidRPr="00D600A6" w:rsidRDefault="00D600A6" w:rsidP="006B0A35">
            <w:pPr>
              <w:pStyle w:val="BodyText"/>
              <w:spacing w:before="0" w:after="0"/>
              <w:ind w:right="4"/>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1a (ii).</w:t>
            </w:r>
            <w:r w:rsidRPr="00D600A6">
              <w:rPr>
                <w:rFonts w:cstheme="minorHAnsi"/>
                <w:lang w:val="en-AU"/>
              </w:rPr>
              <w:t xml:space="preserve"> DFAT will strengthen its internal humanitarian protection awareness and capabilities through a review and update of its humanitarian </w:t>
            </w:r>
            <w:r w:rsidRPr="00D600A6">
              <w:rPr>
                <w:rFonts w:cstheme="minorHAnsi"/>
                <w:b/>
                <w:lang w:val="en-AU"/>
              </w:rPr>
              <w:t>training and pre-deployment briefing materials</w:t>
            </w:r>
            <w:r w:rsidRPr="00D600A6">
              <w:rPr>
                <w:rFonts w:cstheme="minorHAnsi"/>
                <w:lang w:val="en-AU"/>
              </w:rPr>
              <w:t xml:space="preserve"> to ensure protection issues are integrated appropriately for all humanitarian staff, including Crisis Response Team officers. </w:t>
            </w:r>
          </w:p>
        </w:tc>
        <w:tc>
          <w:tcPr>
            <w:tcW w:w="413" w:type="pct"/>
            <w:shd w:val="clear" w:color="auto" w:fill="BFE7E0"/>
          </w:tcPr>
          <w:p w14:paraId="0E8D7FBC" w14:textId="77777777" w:rsidR="00D600A6" w:rsidRPr="00D600A6" w:rsidRDefault="00D600A6" w:rsidP="006B0A35">
            <w:pPr>
              <w:pStyle w:val="BodyText"/>
              <w:spacing w:before="0" w:after="0"/>
              <w:ind w:right="4"/>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By Dec 2019</w:t>
            </w:r>
          </w:p>
        </w:tc>
      </w:tr>
      <w:tr w:rsidR="00D600A6" w:rsidRPr="00D600A6" w14:paraId="4BF8F2AE" w14:textId="77777777" w:rsidTr="006B0A35">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792" w:type="pct"/>
            <w:vMerge/>
            <w:shd w:val="clear" w:color="auto" w:fill="BFE7E0"/>
          </w:tcPr>
          <w:p w14:paraId="2F581356" w14:textId="77777777" w:rsidR="00D600A6" w:rsidRPr="00D600A6" w:rsidRDefault="00D600A6" w:rsidP="006B0A35">
            <w:pPr>
              <w:pStyle w:val="Normal1"/>
              <w:contextualSpacing/>
              <w:rPr>
                <w:rFonts w:asciiTheme="minorHAnsi" w:hAnsiTheme="minorHAnsi" w:cstheme="minorHAnsi"/>
                <w:color w:val="495965" w:themeColor="text2"/>
                <w:sz w:val="22"/>
                <w:szCs w:val="22"/>
              </w:rPr>
            </w:pPr>
          </w:p>
        </w:tc>
        <w:tc>
          <w:tcPr>
            <w:tcW w:w="554" w:type="pct"/>
            <w:vMerge/>
            <w:shd w:val="clear" w:color="auto" w:fill="BFE7E0"/>
          </w:tcPr>
          <w:p w14:paraId="60EA8EBA"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p>
        </w:tc>
        <w:tc>
          <w:tcPr>
            <w:tcW w:w="1542" w:type="pct"/>
            <w:shd w:val="clear" w:color="auto" w:fill="BFE7E0"/>
          </w:tcPr>
          <w:p w14:paraId="21725029" w14:textId="77777777" w:rsidR="00D600A6" w:rsidRPr="00D600A6" w:rsidRDefault="00D600A6" w:rsidP="006B0A35">
            <w:pPr>
              <w:pStyle w:val="BodyText"/>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b/>
                <w:lang w:val="en-AU"/>
              </w:rPr>
              <w:t>1b.</w:t>
            </w:r>
            <w:r w:rsidRPr="00D600A6">
              <w:rPr>
                <w:rFonts w:cstheme="minorHAnsi"/>
                <w:lang w:val="en-AU"/>
              </w:rPr>
              <w:t xml:space="preserve"> DFAT recognises the importance of having an informed understanding of protection risks to support Australian Government decision</w:t>
            </w:r>
            <w:r w:rsidRPr="00D600A6">
              <w:rPr>
                <w:rFonts w:cstheme="minorHAnsi"/>
                <w:lang w:val="en-AU"/>
              </w:rPr>
              <w:noBreakHyphen/>
              <w:t>making in disaster responses. However, primary responsibility for investing in timely and broader protection risk analyses rests with affected states themselves. Thus, DFAT will support national governments, in coordination with UN agencies, other donors and NGO partners, to build their capacity.</w:t>
            </w:r>
          </w:p>
        </w:tc>
        <w:tc>
          <w:tcPr>
            <w:tcW w:w="1699" w:type="pct"/>
            <w:shd w:val="clear" w:color="auto" w:fill="BFE7E0"/>
          </w:tcPr>
          <w:p w14:paraId="3979FF86"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b/>
                <w:lang w:val="en-AU"/>
              </w:rPr>
              <w:t xml:space="preserve">1b. </w:t>
            </w:r>
            <w:r w:rsidRPr="00D600A6">
              <w:rPr>
                <w:rFonts w:cstheme="minorHAnsi"/>
                <w:lang w:val="en-AU"/>
              </w:rPr>
              <w:t xml:space="preserve">DFAT will ensure improved access and utilisation of </w:t>
            </w:r>
            <w:r w:rsidRPr="00D600A6">
              <w:rPr>
                <w:rFonts w:cstheme="minorHAnsi"/>
                <w:b/>
                <w:lang w:val="en-AU"/>
              </w:rPr>
              <w:t>protection risk analyses</w:t>
            </w:r>
            <w:r w:rsidRPr="00D600A6">
              <w:rPr>
                <w:rFonts w:cstheme="minorHAnsi"/>
                <w:lang w:val="en-AU"/>
              </w:rPr>
              <w:t xml:space="preserve"> to better inform decision-making during crises response. This will specifically include assessment of accessibility and reference to risk analyses conducted by key humanitarian partners, and availability of protection advice during </w:t>
            </w:r>
            <w:r w:rsidRPr="00D600A6">
              <w:rPr>
                <w:rFonts w:cstheme="minorHAnsi"/>
                <w:b/>
                <w:lang w:val="en-AU"/>
              </w:rPr>
              <w:t>After Action Reviews</w:t>
            </w:r>
            <w:r w:rsidRPr="00D600A6">
              <w:rPr>
                <w:rFonts w:cstheme="minorHAnsi"/>
                <w:lang w:val="en-AU"/>
              </w:rPr>
              <w:t xml:space="preserve">. </w:t>
            </w:r>
          </w:p>
        </w:tc>
        <w:tc>
          <w:tcPr>
            <w:tcW w:w="413" w:type="pct"/>
            <w:shd w:val="clear" w:color="auto" w:fill="BFE7E0"/>
          </w:tcPr>
          <w:p w14:paraId="184C8E3A"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By Dec 2019</w:t>
            </w:r>
          </w:p>
        </w:tc>
      </w:tr>
      <w:tr w:rsidR="00D600A6" w:rsidRPr="00D600A6" w14:paraId="4BDE1346" w14:textId="77777777" w:rsidTr="006B0A35">
        <w:trPr>
          <w:trHeight w:val="552"/>
        </w:trPr>
        <w:tc>
          <w:tcPr>
            <w:cnfStyle w:val="001000000000" w:firstRow="0" w:lastRow="0" w:firstColumn="1" w:lastColumn="0" w:oddVBand="0" w:evenVBand="0" w:oddHBand="0" w:evenHBand="0" w:firstRowFirstColumn="0" w:firstRowLastColumn="0" w:lastRowFirstColumn="0" w:lastRowLastColumn="0"/>
            <w:tcW w:w="792" w:type="pct"/>
            <w:shd w:val="clear" w:color="auto" w:fill="F0FAF8"/>
          </w:tcPr>
          <w:p w14:paraId="2882CC1D" w14:textId="77777777" w:rsidR="00D600A6" w:rsidRPr="00D600A6" w:rsidRDefault="00D600A6" w:rsidP="006B0A35">
            <w:pPr>
              <w:pStyle w:val="Normal1"/>
              <w:contextualSpacing/>
              <w:rPr>
                <w:rFonts w:asciiTheme="minorHAnsi" w:hAnsiTheme="minorHAnsi" w:cstheme="minorHAnsi"/>
                <w:color w:val="495965" w:themeColor="text2"/>
                <w:sz w:val="22"/>
                <w:szCs w:val="22"/>
              </w:rPr>
            </w:pPr>
            <w:r w:rsidRPr="00D600A6">
              <w:rPr>
                <w:rFonts w:asciiTheme="minorHAnsi" w:hAnsiTheme="minorHAnsi" w:cstheme="minorHAnsi"/>
                <w:color w:val="495965" w:themeColor="text2"/>
                <w:sz w:val="22"/>
                <w:szCs w:val="22"/>
              </w:rPr>
              <w:t xml:space="preserve">Recommendation 2: </w:t>
            </w:r>
            <w:r w:rsidRPr="00D600A6">
              <w:rPr>
                <w:rFonts w:asciiTheme="minorHAnsi" w:hAnsiTheme="minorHAnsi" w:cstheme="minorHAnsi"/>
                <w:b w:val="0"/>
                <w:color w:val="495965" w:themeColor="text2"/>
                <w:sz w:val="22"/>
                <w:szCs w:val="22"/>
              </w:rPr>
              <w:t>Recruit and support senior protection champions within DFAT and invest in staff capability</w:t>
            </w:r>
          </w:p>
        </w:tc>
        <w:tc>
          <w:tcPr>
            <w:tcW w:w="554" w:type="pct"/>
            <w:shd w:val="clear" w:color="auto" w:fill="F0FAF8"/>
          </w:tcPr>
          <w:p w14:paraId="3CDD3247"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Agree</w:t>
            </w:r>
          </w:p>
          <w:p w14:paraId="0CDE9B0C"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p w14:paraId="52EED940"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
                <w:lang w:val="en-AU"/>
              </w:rPr>
            </w:pPr>
            <w:r w:rsidRPr="00D600A6">
              <w:rPr>
                <w:rFonts w:cstheme="minorHAnsi"/>
                <w:b/>
                <w:lang w:val="en-AU"/>
              </w:rPr>
              <w:t xml:space="preserve">Focus Area: </w:t>
            </w:r>
          </w:p>
          <w:p w14:paraId="30114770" w14:textId="77777777" w:rsidR="00D600A6" w:rsidRPr="00D600A6" w:rsidRDefault="00D600A6" w:rsidP="006B0A35">
            <w:pPr>
              <w:pStyle w:val="Bullet1"/>
              <w:ind w:left="215" w:hanging="215"/>
              <w:cnfStyle w:val="000000000000" w:firstRow="0" w:lastRow="0" w:firstColumn="0" w:lastColumn="0" w:oddVBand="0" w:evenVBand="0" w:oddHBand="0" w:evenHBand="0" w:firstRowFirstColumn="0" w:firstRowLastColumn="0" w:lastRowFirstColumn="0" w:lastRowLastColumn="0"/>
              <w:rPr>
                <w:lang w:val="en-AU"/>
              </w:rPr>
            </w:pPr>
            <w:r w:rsidRPr="00D600A6">
              <w:rPr>
                <w:lang w:val="en-AU"/>
              </w:rPr>
              <w:t>Capability</w:t>
            </w:r>
          </w:p>
          <w:p w14:paraId="21EE6FB4" w14:textId="77777777" w:rsidR="00D600A6" w:rsidRPr="00D600A6" w:rsidRDefault="00D600A6" w:rsidP="006B0A35">
            <w:pPr>
              <w:pStyle w:val="Bullet1"/>
              <w:ind w:left="215" w:hanging="215"/>
              <w:cnfStyle w:val="000000000000" w:firstRow="0" w:lastRow="0" w:firstColumn="0" w:lastColumn="0" w:oddVBand="0" w:evenVBand="0" w:oddHBand="0" w:evenHBand="0" w:firstRowFirstColumn="0" w:firstRowLastColumn="0" w:lastRowFirstColumn="0" w:lastRowLastColumn="0"/>
              <w:rPr>
                <w:lang w:val="en-AU"/>
              </w:rPr>
            </w:pPr>
            <w:r w:rsidRPr="00D600A6">
              <w:rPr>
                <w:lang w:val="en-AU"/>
              </w:rPr>
              <w:t>Leadership</w:t>
            </w:r>
          </w:p>
        </w:tc>
        <w:tc>
          <w:tcPr>
            <w:tcW w:w="1542" w:type="pct"/>
            <w:shd w:val="clear" w:color="auto" w:fill="F0FAF8"/>
          </w:tcPr>
          <w:p w14:paraId="534001F7"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2.</w:t>
            </w:r>
            <w:r w:rsidRPr="00D600A6">
              <w:rPr>
                <w:rFonts w:cstheme="minorHAnsi"/>
                <w:lang w:val="en-AU"/>
              </w:rPr>
              <w:t xml:space="preserve"> DFAT agrees that a senior protection champion within DFAT would strengthen the focus on protection issues.</w:t>
            </w:r>
          </w:p>
          <w:p w14:paraId="599835B3"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tc>
        <w:tc>
          <w:tcPr>
            <w:tcW w:w="1699" w:type="pct"/>
            <w:shd w:val="clear" w:color="auto" w:fill="F0FAF8"/>
          </w:tcPr>
          <w:p w14:paraId="3F50ED1E" w14:textId="77777777" w:rsidR="00D600A6" w:rsidRPr="00D600A6" w:rsidRDefault="00D600A6" w:rsidP="006B0A35">
            <w:pPr>
              <w:pStyle w:val="BodyText"/>
              <w:spacing w:before="0" w:after="0"/>
              <w:ind w:right="54"/>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2.</w:t>
            </w:r>
            <w:r w:rsidRPr="00D600A6">
              <w:rPr>
                <w:rFonts w:cstheme="minorHAnsi"/>
                <w:lang w:val="en-AU"/>
              </w:rPr>
              <w:t xml:space="preserve"> Australia’s Humanitarian Coordinator (FAS HPD) will be appointed DFAT Humanitarian Protection Champion, providing overall </w:t>
            </w:r>
            <w:r w:rsidRPr="00D600A6">
              <w:rPr>
                <w:rFonts w:cstheme="minorHAnsi"/>
                <w:b/>
                <w:lang w:val="en-AU"/>
              </w:rPr>
              <w:t>strategic leadership</w:t>
            </w:r>
            <w:r w:rsidRPr="00D600A6">
              <w:rPr>
                <w:rFonts w:cstheme="minorHAnsi"/>
                <w:lang w:val="en-AU"/>
              </w:rPr>
              <w:t xml:space="preserve"> to DFAT’s protection portfolio in rapid and protracted contexts. They will have an annual workplan of action to support DFAT’s protection commitments.</w:t>
            </w:r>
          </w:p>
        </w:tc>
        <w:tc>
          <w:tcPr>
            <w:tcW w:w="413" w:type="pct"/>
            <w:shd w:val="clear" w:color="auto" w:fill="F0FAF8"/>
          </w:tcPr>
          <w:p w14:paraId="1EA5709E"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Workplan by July 2019</w:t>
            </w:r>
          </w:p>
        </w:tc>
      </w:tr>
      <w:tr w:rsidR="00D600A6" w:rsidRPr="00D600A6" w14:paraId="5027F6E8" w14:textId="77777777" w:rsidTr="006B0A35">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792" w:type="pct"/>
            <w:vMerge w:val="restart"/>
            <w:shd w:val="clear" w:color="auto" w:fill="C1E7E0" w:themeFill="accent1" w:themeFillTint="66"/>
          </w:tcPr>
          <w:p w14:paraId="21962EE9" w14:textId="77777777" w:rsidR="00D600A6" w:rsidRPr="00D600A6" w:rsidRDefault="00D600A6" w:rsidP="006B0A35">
            <w:pPr>
              <w:pStyle w:val="Normal1"/>
              <w:contextualSpacing/>
              <w:rPr>
                <w:rFonts w:asciiTheme="minorHAnsi" w:hAnsiTheme="minorHAnsi" w:cstheme="minorHAnsi"/>
                <w:color w:val="495965" w:themeColor="text2"/>
                <w:sz w:val="22"/>
                <w:szCs w:val="22"/>
              </w:rPr>
            </w:pPr>
            <w:r w:rsidRPr="00D600A6">
              <w:rPr>
                <w:rFonts w:asciiTheme="minorHAnsi" w:hAnsiTheme="minorHAnsi" w:cstheme="minorHAnsi"/>
                <w:color w:val="495965" w:themeColor="text2"/>
                <w:sz w:val="22"/>
                <w:szCs w:val="22"/>
              </w:rPr>
              <w:t xml:space="preserve">Recommendation 3: </w:t>
            </w:r>
            <w:r w:rsidRPr="00D600A6">
              <w:rPr>
                <w:rFonts w:asciiTheme="minorHAnsi" w:hAnsiTheme="minorHAnsi" w:cstheme="minorHAnsi"/>
                <w:b w:val="0"/>
                <w:color w:val="495965" w:themeColor="text2"/>
                <w:sz w:val="22"/>
                <w:szCs w:val="22"/>
              </w:rPr>
              <w:t xml:space="preserve">Engage more strategically with national stakeholders on operationalising protection in the Pacific, and identify the most appropriate mechanisms </w:t>
            </w:r>
            <w:r w:rsidRPr="00D600A6">
              <w:rPr>
                <w:rFonts w:asciiTheme="minorHAnsi" w:hAnsiTheme="minorHAnsi" w:cstheme="minorHAnsi"/>
                <w:b w:val="0"/>
                <w:color w:val="495965" w:themeColor="text2"/>
                <w:sz w:val="22"/>
                <w:szCs w:val="22"/>
              </w:rPr>
              <w:lastRenderedPageBreak/>
              <w:t>and partnerships to address protection gaps</w:t>
            </w:r>
          </w:p>
        </w:tc>
        <w:tc>
          <w:tcPr>
            <w:tcW w:w="554" w:type="pct"/>
            <w:vMerge w:val="restart"/>
            <w:shd w:val="clear" w:color="auto" w:fill="C1E7E0" w:themeFill="accent1" w:themeFillTint="66"/>
          </w:tcPr>
          <w:p w14:paraId="19926941"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lastRenderedPageBreak/>
              <w:t>Agree</w:t>
            </w:r>
          </w:p>
          <w:p w14:paraId="20DC9677"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p>
          <w:p w14:paraId="49852161"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b/>
                <w:lang w:val="en-AU"/>
              </w:rPr>
            </w:pPr>
            <w:r w:rsidRPr="00D600A6">
              <w:rPr>
                <w:rFonts w:cstheme="minorHAnsi"/>
                <w:b/>
                <w:lang w:val="en-AU"/>
              </w:rPr>
              <w:t xml:space="preserve">Focus Area: </w:t>
            </w:r>
          </w:p>
          <w:p w14:paraId="135E7164" w14:textId="77777777" w:rsidR="00D600A6" w:rsidRPr="00D600A6" w:rsidRDefault="00D600A6" w:rsidP="006B0A35">
            <w:pPr>
              <w:pStyle w:val="Bullet1"/>
              <w:ind w:left="226" w:hanging="226"/>
              <w:cnfStyle w:val="000000100000" w:firstRow="0" w:lastRow="0" w:firstColumn="0" w:lastColumn="0" w:oddVBand="0" w:evenVBand="0" w:oddHBand="1" w:evenHBand="0" w:firstRowFirstColumn="0" w:firstRowLastColumn="0" w:lastRowFirstColumn="0" w:lastRowLastColumn="0"/>
              <w:rPr>
                <w:lang w:val="en-AU"/>
              </w:rPr>
            </w:pPr>
            <w:r w:rsidRPr="00D600A6">
              <w:rPr>
                <w:lang w:val="en-AU"/>
              </w:rPr>
              <w:t xml:space="preserve">Leadership </w:t>
            </w:r>
          </w:p>
          <w:p w14:paraId="2930B311" w14:textId="77777777" w:rsidR="00D600A6" w:rsidRPr="00D600A6" w:rsidRDefault="00D600A6" w:rsidP="006B0A35">
            <w:pPr>
              <w:pStyle w:val="Bullet1"/>
              <w:ind w:left="226" w:hanging="226"/>
              <w:cnfStyle w:val="000000100000" w:firstRow="0" w:lastRow="0" w:firstColumn="0" w:lastColumn="0" w:oddVBand="0" w:evenVBand="0" w:oddHBand="1" w:evenHBand="0" w:firstRowFirstColumn="0" w:firstRowLastColumn="0" w:lastRowFirstColumn="0" w:lastRowLastColumn="0"/>
              <w:rPr>
                <w:b/>
                <w:lang w:val="en-AU"/>
              </w:rPr>
            </w:pPr>
            <w:r w:rsidRPr="00D600A6">
              <w:rPr>
                <w:lang w:val="en-AU"/>
              </w:rPr>
              <w:t>Investment in, and influence of partners</w:t>
            </w:r>
          </w:p>
        </w:tc>
        <w:tc>
          <w:tcPr>
            <w:tcW w:w="1542" w:type="pct"/>
            <w:shd w:val="clear" w:color="auto" w:fill="C1E7E0" w:themeFill="accent1" w:themeFillTint="66"/>
          </w:tcPr>
          <w:p w14:paraId="4C524D52"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b/>
                <w:lang w:val="en-AU"/>
              </w:rPr>
            </w:pPr>
            <w:r w:rsidRPr="00D600A6">
              <w:rPr>
                <w:rFonts w:cstheme="minorHAnsi"/>
                <w:b/>
                <w:lang w:val="en-AU"/>
              </w:rPr>
              <w:t xml:space="preserve">3a. </w:t>
            </w:r>
            <w:r w:rsidRPr="00D600A6">
              <w:rPr>
                <w:rFonts w:cstheme="minorHAnsi"/>
                <w:lang w:val="en-AU"/>
              </w:rPr>
              <w:t>DFAT recognises there is an ongoing need to review and refine multi-year humanitarian partnerships and policy engagement to ensure they address key protection issues in the Pacific.</w:t>
            </w:r>
          </w:p>
        </w:tc>
        <w:tc>
          <w:tcPr>
            <w:tcW w:w="1699" w:type="pct"/>
            <w:shd w:val="clear" w:color="auto" w:fill="C1E7E0" w:themeFill="accent1" w:themeFillTint="66"/>
          </w:tcPr>
          <w:p w14:paraId="0C6D1AD5"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b/>
                <w:lang w:val="en-AU"/>
              </w:rPr>
              <w:t xml:space="preserve">3a. </w:t>
            </w:r>
            <w:r w:rsidRPr="00D600A6">
              <w:rPr>
                <w:rFonts w:cstheme="minorHAnsi"/>
                <w:lang w:val="en-AU"/>
              </w:rPr>
              <w:t xml:space="preserve">DFAT will map Australia’s funding to humanitarian partners and policy engagement efforts in the Pacific on protection issues to </w:t>
            </w:r>
            <w:r w:rsidRPr="00D600A6">
              <w:rPr>
                <w:rFonts w:cstheme="minorHAnsi"/>
                <w:b/>
                <w:lang w:val="en-AU"/>
              </w:rPr>
              <w:t>identify most appropriate partners, networks and mechanisms</w:t>
            </w:r>
            <w:r w:rsidRPr="00D600A6">
              <w:rPr>
                <w:rFonts w:cstheme="minorHAnsi"/>
                <w:lang w:val="en-AU"/>
              </w:rPr>
              <w:t xml:space="preserve">. DFAT will use this to review future partnerships and response funding to ensure protection is integrated into relevant programming and policy. This will include protection advice during crises response program design processes. </w:t>
            </w:r>
          </w:p>
        </w:tc>
        <w:tc>
          <w:tcPr>
            <w:tcW w:w="413" w:type="pct"/>
            <w:shd w:val="clear" w:color="auto" w:fill="C1E7E0" w:themeFill="accent1" w:themeFillTint="66"/>
          </w:tcPr>
          <w:p w14:paraId="50AB2143"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By June 2020</w:t>
            </w:r>
          </w:p>
        </w:tc>
      </w:tr>
      <w:tr w:rsidR="00D600A6" w:rsidRPr="00D600A6" w14:paraId="3874BBE1" w14:textId="77777777" w:rsidTr="006B0A35">
        <w:trPr>
          <w:trHeight w:val="626"/>
        </w:trPr>
        <w:tc>
          <w:tcPr>
            <w:cnfStyle w:val="001000000000" w:firstRow="0" w:lastRow="0" w:firstColumn="1" w:lastColumn="0" w:oddVBand="0" w:evenVBand="0" w:oddHBand="0" w:evenHBand="0" w:firstRowFirstColumn="0" w:firstRowLastColumn="0" w:lastRowFirstColumn="0" w:lastRowLastColumn="0"/>
            <w:tcW w:w="792" w:type="pct"/>
            <w:vMerge/>
            <w:shd w:val="clear" w:color="auto" w:fill="C1E7E0" w:themeFill="accent1" w:themeFillTint="66"/>
          </w:tcPr>
          <w:p w14:paraId="28380DE1" w14:textId="77777777" w:rsidR="00D600A6" w:rsidRPr="00D600A6" w:rsidRDefault="00D600A6" w:rsidP="006B0A35">
            <w:pPr>
              <w:pStyle w:val="Normal1"/>
              <w:contextualSpacing/>
              <w:rPr>
                <w:rFonts w:asciiTheme="minorHAnsi" w:hAnsiTheme="minorHAnsi" w:cstheme="minorHAnsi"/>
                <w:color w:val="495965" w:themeColor="text2"/>
                <w:sz w:val="22"/>
                <w:szCs w:val="22"/>
              </w:rPr>
            </w:pPr>
          </w:p>
        </w:tc>
        <w:tc>
          <w:tcPr>
            <w:tcW w:w="554" w:type="pct"/>
            <w:vMerge/>
            <w:shd w:val="clear" w:color="auto" w:fill="C1E7E0" w:themeFill="accent1" w:themeFillTint="66"/>
          </w:tcPr>
          <w:p w14:paraId="09794449"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Cs/>
                <w:lang w:val="en-AU"/>
              </w:rPr>
            </w:pPr>
          </w:p>
        </w:tc>
        <w:tc>
          <w:tcPr>
            <w:tcW w:w="1542" w:type="pct"/>
            <w:shd w:val="clear" w:color="auto" w:fill="C1E7E0" w:themeFill="accent1" w:themeFillTint="66"/>
          </w:tcPr>
          <w:p w14:paraId="0C3D6C4E"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3b.</w:t>
            </w:r>
            <w:r w:rsidRPr="00D600A6">
              <w:rPr>
                <w:rFonts w:cstheme="minorHAnsi"/>
                <w:lang w:val="en-AU"/>
              </w:rPr>
              <w:t xml:space="preserve"> DFAT agrees more can be done to identify appropriate national protection partners and strengthen their capacity to deliver protection outcomes during crisis responses. DFAT notes a nuanced approach to localisation is necessary to enable an appropriate balance of international and national capabilities.</w:t>
            </w:r>
          </w:p>
        </w:tc>
        <w:tc>
          <w:tcPr>
            <w:tcW w:w="1699" w:type="pct"/>
            <w:shd w:val="clear" w:color="auto" w:fill="C1E7E0" w:themeFill="accent1" w:themeFillTint="66"/>
          </w:tcPr>
          <w:p w14:paraId="2B70A043"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 xml:space="preserve">3b. </w:t>
            </w:r>
            <w:r w:rsidRPr="00D600A6">
              <w:rPr>
                <w:rFonts w:cstheme="minorHAnsi"/>
                <w:lang w:val="en-AU"/>
              </w:rPr>
              <w:t xml:space="preserve">DFAT will explore options to provide dedicated support to </w:t>
            </w:r>
            <w:r w:rsidRPr="00D600A6">
              <w:rPr>
                <w:rFonts w:cstheme="minorHAnsi"/>
                <w:b/>
                <w:lang w:val="en-AU"/>
              </w:rPr>
              <w:t>build the capacity of local actors</w:t>
            </w:r>
            <w:r w:rsidRPr="00D600A6">
              <w:rPr>
                <w:rFonts w:cstheme="minorHAnsi"/>
                <w:lang w:val="en-AU"/>
              </w:rPr>
              <w:t xml:space="preserve"> to address protection issues in their respective countries,</w:t>
            </w:r>
            <w:r w:rsidRPr="00D600A6">
              <w:rPr>
                <w:rFonts w:cstheme="minorHAnsi"/>
                <w:b/>
                <w:lang w:val="en-AU"/>
              </w:rPr>
              <w:t xml:space="preserve"> </w:t>
            </w:r>
            <w:r w:rsidRPr="00D600A6">
              <w:rPr>
                <w:rFonts w:cstheme="minorHAnsi"/>
                <w:lang w:val="en-AU"/>
              </w:rPr>
              <w:t>and support all partners to be able to more effectively monitor, evaluate and report on their activities through sharing knowledge and good practices.</w:t>
            </w:r>
          </w:p>
        </w:tc>
        <w:tc>
          <w:tcPr>
            <w:tcW w:w="413" w:type="pct"/>
            <w:shd w:val="clear" w:color="auto" w:fill="C1E7E0" w:themeFill="accent1" w:themeFillTint="66"/>
          </w:tcPr>
          <w:p w14:paraId="1AC0FF76" w14:textId="77777777" w:rsidR="00D600A6" w:rsidRPr="00D600A6" w:rsidRDefault="00D600A6" w:rsidP="006B0A35">
            <w:pPr>
              <w:pStyle w:val="BodyText"/>
              <w:spacing w:before="0" w:after="0"/>
              <w:ind w:right="4"/>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Throughout 2019-2020</w:t>
            </w:r>
          </w:p>
          <w:p w14:paraId="79151287"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tc>
      </w:tr>
      <w:tr w:rsidR="00D600A6" w:rsidRPr="00D600A6" w14:paraId="3DDB7B5A" w14:textId="77777777" w:rsidTr="006B0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shd w:val="clear" w:color="auto" w:fill="F0FAF8"/>
          </w:tcPr>
          <w:p w14:paraId="715883DF" w14:textId="77777777" w:rsidR="00D600A6" w:rsidRPr="00D600A6" w:rsidRDefault="00D600A6" w:rsidP="006B0A35">
            <w:pPr>
              <w:pStyle w:val="Normal1"/>
              <w:contextualSpacing/>
              <w:rPr>
                <w:rFonts w:asciiTheme="minorHAnsi" w:hAnsiTheme="minorHAnsi" w:cstheme="minorHAnsi"/>
                <w:color w:val="495965" w:themeColor="text2"/>
                <w:sz w:val="22"/>
                <w:szCs w:val="22"/>
              </w:rPr>
            </w:pPr>
            <w:r w:rsidRPr="00D600A6">
              <w:rPr>
                <w:rFonts w:asciiTheme="minorHAnsi" w:hAnsiTheme="minorHAnsi" w:cstheme="minorHAnsi"/>
                <w:color w:val="495965" w:themeColor="text2"/>
                <w:sz w:val="22"/>
                <w:szCs w:val="22"/>
              </w:rPr>
              <w:t xml:space="preserve">Recommendation 4:  </w:t>
            </w:r>
            <w:r w:rsidRPr="00D600A6">
              <w:rPr>
                <w:rFonts w:asciiTheme="minorHAnsi" w:hAnsiTheme="minorHAnsi" w:cstheme="minorHAnsi"/>
                <w:b w:val="0"/>
                <w:color w:val="495965" w:themeColor="text2"/>
                <w:sz w:val="22"/>
                <w:szCs w:val="22"/>
              </w:rPr>
              <w:t>Review and update DFAT’s humanitarian commitments, processes and tools for clarity and coherence and more consistent prioritisation of protection in practice</w:t>
            </w:r>
          </w:p>
        </w:tc>
        <w:tc>
          <w:tcPr>
            <w:tcW w:w="554" w:type="pct"/>
            <w:shd w:val="clear" w:color="auto" w:fill="F0FAF8"/>
          </w:tcPr>
          <w:p w14:paraId="6BC7F9BF"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Agree in part</w:t>
            </w:r>
          </w:p>
          <w:p w14:paraId="71C4F86A"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p>
          <w:p w14:paraId="2C7AE73B"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b/>
                <w:lang w:val="en-AU"/>
              </w:rPr>
            </w:pPr>
            <w:r w:rsidRPr="00D600A6">
              <w:rPr>
                <w:rFonts w:cstheme="minorHAnsi"/>
                <w:b/>
                <w:lang w:val="en-AU"/>
              </w:rPr>
              <w:t xml:space="preserve">Focus Area: </w:t>
            </w:r>
          </w:p>
          <w:p w14:paraId="02058B7E" w14:textId="77777777" w:rsidR="00D600A6" w:rsidRPr="00D600A6" w:rsidRDefault="00D600A6" w:rsidP="006B0A35">
            <w:pPr>
              <w:pStyle w:val="Bullet1"/>
              <w:ind w:left="215" w:hanging="215"/>
              <w:cnfStyle w:val="000000100000" w:firstRow="0" w:lastRow="0" w:firstColumn="0" w:lastColumn="0" w:oddVBand="0" w:evenVBand="0" w:oddHBand="1" w:evenHBand="0" w:firstRowFirstColumn="0" w:firstRowLastColumn="0" w:lastRowFirstColumn="0" w:lastRowLastColumn="0"/>
              <w:rPr>
                <w:lang w:val="en-AU"/>
              </w:rPr>
            </w:pPr>
            <w:r w:rsidRPr="00D600A6">
              <w:rPr>
                <w:lang w:val="en-AU"/>
              </w:rPr>
              <w:t>Guidance, monitoring &amp; evaluation</w:t>
            </w:r>
          </w:p>
        </w:tc>
        <w:tc>
          <w:tcPr>
            <w:tcW w:w="1542" w:type="pct"/>
            <w:shd w:val="clear" w:color="auto" w:fill="F0FAF8"/>
          </w:tcPr>
          <w:p w14:paraId="29C51812"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b/>
                <w:lang w:val="en-AU"/>
              </w:rPr>
            </w:pPr>
            <w:r w:rsidRPr="00D600A6">
              <w:rPr>
                <w:rFonts w:cstheme="minorHAnsi"/>
                <w:b/>
                <w:lang w:val="en-AU"/>
              </w:rPr>
              <w:t>4.</w:t>
            </w:r>
            <w:r w:rsidRPr="00D600A6">
              <w:rPr>
                <w:rFonts w:cstheme="minorHAnsi"/>
                <w:lang w:val="en-AU"/>
              </w:rPr>
              <w:t xml:space="preserve"> DFAT agrees that Australia’s approach to protection should be regularly reviewed to ensure it aligns with current global standards and reflects DFAT’s global commitments. This includes regular review of internal guidance and tools.</w:t>
            </w:r>
          </w:p>
        </w:tc>
        <w:tc>
          <w:tcPr>
            <w:tcW w:w="1699" w:type="pct"/>
            <w:shd w:val="clear" w:color="auto" w:fill="F0FAF8"/>
          </w:tcPr>
          <w:p w14:paraId="09394655"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b/>
                <w:lang w:val="en-AU"/>
              </w:rPr>
              <w:t>4</w:t>
            </w:r>
            <w:r w:rsidRPr="00D600A6">
              <w:rPr>
                <w:rFonts w:cstheme="minorHAnsi"/>
                <w:lang w:val="en-AU"/>
              </w:rPr>
              <w:t xml:space="preserve">. DFAT will review its </w:t>
            </w:r>
            <w:r w:rsidRPr="00D600A6">
              <w:rPr>
                <w:rFonts w:cstheme="minorHAnsi"/>
                <w:b/>
                <w:lang w:val="en-AU"/>
              </w:rPr>
              <w:t>key messages and guidance</w:t>
            </w:r>
            <w:r w:rsidRPr="00D600A6">
              <w:rPr>
                <w:rFonts w:cstheme="minorHAnsi"/>
                <w:lang w:val="en-AU"/>
              </w:rPr>
              <w:t xml:space="preserve"> documents, including the Humanitarian Strategy guidance notes, IQR processes, Standard Operation procedures for humanitarian operations, crisis guidelines and planning, and the DFAT/MFAT </w:t>
            </w:r>
            <w:r w:rsidRPr="00D600A6">
              <w:rPr>
                <w:rFonts w:cstheme="minorHAnsi"/>
                <w:i/>
                <w:lang w:val="en-AU"/>
              </w:rPr>
              <w:t>Humanitarian Monitoring and Evaluation Framework</w:t>
            </w:r>
            <w:r w:rsidRPr="00D600A6">
              <w:rPr>
                <w:rFonts w:cstheme="minorHAnsi"/>
                <w:lang w:val="en-AU"/>
              </w:rPr>
              <w:t xml:space="preserve"> to ensure they appropriately prioritise the centrality of protection and ensure clarity on roles and responsibilities. </w:t>
            </w:r>
          </w:p>
        </w:tc>
        <w:tc>
          <w:tcPr>
            <w:tcW w:w="413" w:type="pct"/>
            <w:shd w:val="clear" w:color="auto" w:fill="F0FAF8"/>
          </w:tcPr>
          <w:p w14:paraId="754BE28C"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By June 2020 and ongoing (annual IQR process)</w:t>
            </w:r>
          </w:p>
          <w:p w14:paraId="7B3F137C"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p>
        </w:tc>
      </w:tr>
      <w:tr w:rsidR="00D600A6" w:rsidRPr="00D600A6" w14:paraId="33F911CD" w14:textId="77777777" w:rsidTr="006B0A35">
        <w:trPr>
          <w:trHeight w:val="990"/>
        </w:trPr>
        <w:tc>
          <w:tcPr>
            <w:cnfStyle w:val="001000000000" w:firstRow="0" w:lastRow="0" w:firstColumn="1" w:lastColumn="0" w:oddVBand="0" w:evenVBand="0" w:oddHBand="0" w:evenHBand="0" w:firstRowFirstColumn="0" w:firstRowLastColumn="0" w:lastRowFirstColumn="0" w:lastRowLastColumn="0"/>
            <w:tcW w:w="792" w:type="pct"/>
            <w:vMerge w:val="restart"/>
            <w:shd w:val="clear" w:color="auto" w:fill="BFE7E0"/>
          </w:tcPr>
          <w:p w14:paraId="2817F68D" w14:textId="77777777" w:rsidR="00D600A6" w:rsidRPr="00D600A6" w:rsidRDefault="00D600A6" w:rsidP="006B0A35">
            <w:pPr>
              <w:pStyle w:val="Normal1"/>
              <w:contextualSpacing/>
              <w:rPr>
                <w:rFonts w:asciiTheme="minorHAnsi" w:hAnsiTheme="minorHAnsi" w:cstheme="minorHAnsi"/>
                <w:color w:val="495965" w:themeColor="text2"/>
                <w:sz w:val="22"/>
                <w:szCs w:val="22"/>
              </w:rPr>
            </w:pPr>
            <w:r w:rsidRPr="00D600A6">
              <w:rPr>
                <w:rFonts w:asciiTheme="minorHAnsi" w:hAnsiTheme="minorHAnsi" w:cstheme="minorHAnsi"/>
                <w:color w:val="495965" w:themeColor="text2"/>
                <w:sz w:val="22"/>
                <w:szCs w:val="22"/>
              </w:rPr>
              <w:t xml:space="preserve">Recommendation 5:  </w:t>
            </w:r>
            <w:r w:rsidRPr="00D600A6">
              <w:rPr>
                <w:rFonts w:asciiTheme="minorHAnsi" w:hAnsiTheme="minorHAnsi" w:cstheme="minorHAnsi"/>
                <w:b w:val="0"/>
                <w:color w:val="495965" w:themeColor="text2"/>
                <w:sz w:val="22"/>
                <w:szCs w:val="22"/>
              </w:rPr>
              <w:t>Expand investments in protection activities to support greater preparedness and resilience, and consider opportunities for a more strategic approach through regional and bilateral assistance</w:t>
            </w:r>
          </w:p>
        </w:tc>
        <w:tc>
          <w:tcPr>
            <w:tcW w:w="554" w:type="pct"/>
            <w:vMerge w:val="restart"/>
            <w:shd w:val="clear" w:color="auto" w:fill="BFE7E0"/>
          </w:tcPr>
          <w:p w14:paraId="3A5A444F"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Cs/>
                <w:lang w:val="en-AU"/>
              </w:rPr>
            </w:pPr>
            <w:r w:rsidRPr="00D600A6">
              <w:rPr>
                <w:rFonts w:cstheme="minorHAnsi"/>
                <w:bCs/>
                <w:lang w:val="en-AU"/>
              </w:rPr>
              <w:t>Agree</w:t>
            </w:r>
          </w:p>
          <w:p w14:paraId="33FB504F"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Cs/>
                <w:lang w:val="en-AU"/>
              </w:rPr>
            </w:pPr>
          </w:p>
          <w:p w14:paraId="4B44B6B9"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
                <w:lang w:val="en-AU"/>
              </w:rPr>
            </w:pPr>
            <w:r w:rsidRPr="00D600A6">
              <w:rPr>
                <w:rFonts w:cstheme="minorHAnsi"/>
                <w:b/>
                <w:lang w:val="en-AU"/>
              </w:rPr>
              <w:t xml:space="preserve">Focus Area: </w:t>
            </w:r>
          </w:p>
          <w:p w14:paraId="2622B0C0" w14:textId="77777777" w:rsidR="00D600A6" w:rsidRPr="00D600A6" w:rsidRDefault="00D600A6" w:rsidP="006B0A35">
            <w:pPr>
              <w:pStyle w:val="Bullet1"/>
              <w:ind w:left="215" w:hanging="215"/>
              <w:cnfStyle w:val="000000000000" w:firstRow="0" w:lastRow="0" w:firstColumn="0" w:lastColumn="0" w:oddVBand="0" w:evenVBand="0" w:oddHBand="0" w:evenHBand="0" w:firstRowFirstColumn="0" w:firstRowLastColumn="0" w:lastRowFirstColumn="0" w:lastRowLastColumn="0"/>
              <w:rPr>
                <w:lang w:val="en-AU"/>
              </w:rPr>
            </w:pPr>
            <w:r w:rsidRPr="00D600A6">
              <w:rPr>
                <w:lang w:val="en-AU"/>
              </w:rPr>
              <w:t>Investment in, and influence of partners</w:t>
            </w:r>
          </w:p>
        </w:tc>
        <w:tc>
          <w:tcPr>
            <w:tcW w:w="1542" w:type="pct"/>
            <w:shd w:val="clear" w:color="auto" w:fill="BFE7E0"/>
          </w:tcPr>
          <w:p w14:paraId="1BE36B8D"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5a.</w:t>
            </w:r>
            <w:r w:rsidRPr="00D600A6">
              <w:rPr>
                <w:rFonts w:cstheme="minorHAnsi"/>
                <w:lang w:val="en-AU"/>
              </w:rPr>
              <w:t xml:space="preserve"> DFAT agrees that investments in preparedness and resilience are key for effective protection during humanitarian responses.</w:t>
            </w:r>
          </w:p>
        </w:tc>
        <w:tc>
          <w:tcPr>
            <w:tcW w:w="1699" w:type="pct"/>
            <w:shd w:val="clear" w:color="auto" w:fill="BFE7E0"/>
          </w:tcPr>
          <w:p w14:paraId="7EA1C3BB"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 xml:space="preserve">5a. </w:t>
            </w:r>
            <w:r w:rsidRPr="00D600A6">
              <w:rPr>
                <w:rFonts w:cstheme="minorHAnsi"/>
                <w:lang w:val="en-AU"/>
              </w:rPr>
              <w:t xml:space="preserve">DFAT will revise its disaster risk reduction and resilience (DRR) guidance for investment managers to highlight protection issues as a </w:t>
            </w:r>
            <w:r w:rsidRPr="00D600A6">
              <w:rPr>
                <w:rFonts w:cstheme="minorHAnsi"/>
                <w:b/>
                <w:lang w:val="en-AU"/>
              </w:rPr>
              <w:t>compulsory consideration in the design and implementation</w:t>
            </w:r>
            <w:r w:rsidRPr="00D600A6">
              <w:rPr>
                <w:rFonts w:cstheme="minorHAnsi"/>
                <w:lang w:val="en-AU"/>
              </w:rPr>
              <w:t xml:space="preserve"> of risk reduction measures.</w:t>
            </w:r>
          </w:p>
        </w:tc>
        <w:tc>
          <w:tcPr>
            <w:tcW w:w="413" w:type="pct"/>
            <w:shd w:val="clear" w:color="auto" w:fill="BFE7E0"/>
          </w:tcPr>
          <w:p w14:paraId="1EDED007"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Throughout 2019-2020</w:t>
            </w:r>
          </w:p>
          <w:p w14:paraId="64DF5004"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p w14:paraId="660DA17C"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tc>
      </w:tr>
      <w:tr w:rsidR="00D600A6" w:rsidRPr="00D600A6" w14:paraId="3A099FC6" w14:textId="77777777" w:rsidTr="006B0A35">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92" w:type="pct"/>
            <w:vMerge/>
            <w:shd w:val="clear" w:color="auto" w:fill="BFE7E0"/>
          </w:tcPr>
          <w:p w14:paraId="752CB3B2" w14:textId="77777777" w:rsidR="00D600A6" w:rsidRPr="00D600A6" w:rsidRDefault="00D600A6" w:rsidP="006B0A35">
            <w:pPr>
              <w:pStyle w:val="Normal1"/>
              <w:contextualSpacing/>
              <w:rPr>
                <w:rFonts w:asciiTheme="minorHAnsi" w:hAnsiTheme="minorHAnsi" w:cstheme="minorHAnsi"/>
                <w:i/>
                <w:color w:val="495965" w:themeColor="text2"/>
                <w:sz w:val="22"/>
                <w:szCs w:val="22"/>
              </w:rPr>
            </w:pPr>
          </w:p>
        </w:tc>
        <w:tc>
          <w:tcPr>
            <w:tcW w:w="554" w:type="pct"/>
            <w:vMerge/>
            <w:shd w:val="clear" w:color="auto" w:fill="BFE7E0"/>
          </w:tcPr>
          <w:p w14:paraId="4EF6A5C7"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bCs/>
                <w:i/>
                <w:lang w:val="en-AU"/>
              </w:rPr>
            </w:pPr>
          </w:p>
        </w:tc>
        <w:tc>
          <w:tcPr>
            <w:tcW w:w="1542" w:type="pct"/>
            <w:shd w:val="clear" w:color="auto" w:fill="BFE7E0"/>
          </w:tcPr>
          <w:p w14:paraId="6742B5B5"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b/>
                <w:lang w:val="en-AU"/>
              </w:rPr>
              <w:t>5b.</w:t>
            </w:r>
            <w:r w:rsidRPr="00D600A6">
              <w:rPr>
                <w:rFonts w:cstheme="minorHAnsi"/>
                <w:lang w:val="en-AU"/>
              </w:rPr>
              <w:t xml:space="preserve"> DFAT recognises the importance of strategic and long</w:t>
            </w:r>
            <w:r w:rsidRPr="00D600A6">
              <w:rPr>
                <w:rFonts w:cstheme="minorHAnsi"/>
                <w:lang w:val="en-AU"/>
              </w:rPr>
              <w:noBreakHyphen/>
              <w:t>term approaches to principled advocacy and engagement through Australia’s Step Up of its engagement in the Pacific.</w:t>
            </w:r>
          </w:p>
        </w:tc>
        <w:tc>
          <w:tcPr>
            <w:tcW w:w="1699" w:type="pct"/>
            <w:shd w:val="clear" w:color="auto" w:fill="BFE7E0"/>
          </w:tcPr>
          <w:p w14:paraId="0541C89C"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i/>
                <w:lang w:val="en-AU"/>
              </w:rPr>
            </w:pPr>
            <w:r w:rsidRPr="00D600A6">
              <w:rPr>
                <w:rFonts w:cstheme="minorHAnsi"/>
                <w:b/>
                <w:lang w:val="en-AU"/>
              </w:rPr>
              <w:t>5b.</w:t>
            </w:r>
            <w:r w:rsidRPr="00D600A6">
              <w:rPr>
                <w:rFonts w:cstheme="minorHAnsi"/>
                <w:lang w:val="en-AU"/>
              </w:rPr>
              <w:t xml:space="preserve"> DFAT will continue to </w:t>
            </w:r>
            <w:r w:rsidRPr="00D600A6">
              <w:rPr>
                <w:rFonts w:cstheme="minorHAnsi"/>
                <w:b/>
                <w:lang w:val="en-AU"/>
              </w:rPr>
              <w:t>strengthen and prioritise the protection focus of its humanitarian and DRR investments</w:t>
            </w:r>
            <w:r w:rsidRPr="00D600A6">
              <w:rPr>
                <w:rFonts w:cstheme="minorHAnsi"/>
                <w:lang w:val="en-AU"/>
              </w:rPr>
              <w:t xml:space="preserve"> in the Pacific, including AHP and Australia Assists, and explore existing development programs, such as the Australian NGO Cooperation Program or Australian Aid Friendship Grants, to respond to protection needs. </w:t>
            </w:r>
          </w:p>
        </w:tc>
        <w:tc>
          <w:tcPr>
            <w:tcW w:w="413" w:type="pct"/>
            <w:shd w:val="clear" w:color="auto" w:fill="BFE7E0"/>
          </w:tcPr>
          <w:p w14:paraId="47B9B2B5" w14:textId="77777777" w:rsidR="00D600A6" w:rsidRPr="00D600A6" w:rsidRDefault="00D600A6" w:rsidP="006B0A35">
            <w:pPr>
              <w:spacing w:before="0" w:after="0"/>
              <w:contextualSpacing/>
              <w:cnfStyle w:val="000000100000" w:firstRow="0" w:lastRow="0" w:firstColumn="0" w:lastColumn="0" w:oddVBand="0" w:evenVBand="0" w:oddHBand="1" w:evenHBand="0" w:firstRowFirstColumn="0" w:firstRowLastColumn="0" w:lastRowFirstColumn="0" w:lastRowLastColumn="0"/>
              <w:rPr>
                <w:rFonts w:cstheme="minorHAnsi"/>
                <w:lang w:val="en-AU"/>
              </w:rPr>
            </w:pPr>
            <w:r w:rsidRPr="00D600A6">
              <w:rPr>
                <w:rFonts w:cstheme="minorHAnsi"/>
                <w:lang w:val="en-AU"/>
              </w:rPr>
              <w:t>Throughout 2019-2020</w:t>
            </w:r>
          </w:p>
        </w:tc>
      </w:tr>
      <w:tr w:rsidR="00D600A6" w:rsidRPr="00D600A6" w14:paraId="2AB3B9A6" w14:textId="77777777" w:rsidTr="006B0A35">
        <w:trPr>
          <w:trHeight w:val="564"/>
        </w:trPr>
        <w:tc>
          <w:tcPr>
            <w:cnfStyle w:val="001000000000" w:firstRow="0" w:lastRow="0" w:firstColumn="1" w:lastColumn="0" w:oddVBand="0" w:evenVBand="0" w:oddHBand="0" w:evenHBand="0" w:firstRowFirstColumn="0" w:firstRowLastColumn="0" w:lastRowFirstColumn="0" w:lastRowLastColumn="0"/>
            <w:tcW w:w="792" w:type="pct"/>
            <w:shd w:val="clear" w:color="auto" w:fill="F0FAF8"/>
          </w:tcPr>
          <w:p w14:paraId="1E43367D" w14:textId="77777777" w:rsidR="00D600A6" w:rsidRPr="00D600A6" w:rsidRDefault="00D600A6" w:rsidP="006B0A35">
            <w:pPr>
              <w:pStyle w:val="Normal1"/>
              <w:contextualSpacing/>
              <w:rPr>
                <w:rFonts w:asciiTheme="minorHAnsi" w:hAnsiTheme="minorHAnsi" w:cstheme="minorHAnsi"/>
                <w:color w:val="495965" w:themeColor="text2"/>
                <w:sz w:val="22"/>
                <w:szCs w:val="22"/>
              </w:rPr>
            </w:pPr>
            <w:r w:rsidRPr="00D600A6">
              <w:rPr>
                <w:rFonts w:asciiTheme="minorHAnsi" w:hAnsiTheme="minorHAnsi" w:cstheme="minorHAnsi"/>
                <w:color w:val="495965" w:themeColor="text2"/>
                <w:sz w:val="22"/>
                <w:szCs w:val="22"/>
              </w:rPr>
              <w:t xml:space="preserve">Recommendation 6: </w:t>
            </w:r>
            <w:r w:rsidRPr="00D600A6">
              <w:rPr>
                <w:rFonts w:asciiTheme="minorHAnsi" w:hAnsiTheme="minorHAnsi" w:cstheme="minorHAnsi"/>
                <w:b w:val="0"/>
                <w:color w:val="495965" w:themeColor="text2"/>
                <w:sz w:val="22"/>
                <w:szCs w:val="22"/>
              </w:rPr>
              <w:t>Commit to taking a donor leadership role on advancing protection in humanitarian action in the Pacific</w:t>
            </w:r>
          </w:p>
        </w:tc>
        <w:tc>
          <w:tcPr>
            <w:tcW w:w="554" w:type="pct"/>
            <w:shd w:val="clear" w:color="auto" w:fill="F0FAF8"/>
          </w:tcPr>
          <w:p w14:paraId="138E1ECC"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Agree</w:t>
            </w:r>
          </w:p>
          <w:p w14:paraId="4E40333A"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p>
          <w:p w14:paraId="0FFA1DFA"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
                <w:lang w:val="en-AU"/>
              </w:rPr>
            </w:pPr>
            <w:r w:rsidRPr="00D600A6">
              <w:rPr>
                <w:rFonts w:cstheme="minorHAnsi"/>
                <w:b/>
                <w:lang w:val="en-AU"/>
              </w:rPr>
              <w:t xml:space="preserve">Focus Area: </w:t>
            </w:r>
          </w:p>
          <w:p w14:paraId="095CB480" w14:textId="77777777" w:rsidR="00D600A6" w:rsidRPr="00D600A6" w:rsidRDefault="00D600A6" w:rsidP="006B0A35">
            <w:pPr>
              <w:pStyle w:val="Bullet1"/>
              <w:ind w:left="176" w:hanging="176"/>
              <w:cnfStyle w:val="000000000000" w:firstRow="0" w:lastRow="0" w:firstColumn="0" w:lastColumn="0" w:oddVBand="0" w:evenVBand="0" w:oddHBand="0" w:evenHBand="0" w:firstRowFirstColumn="0" w:firstRowLastColumn="0" w:lastRowFirstColumn="0" w:lastRowLastColumn="0"/>
              <w:rPr>
                <w:bCs/>
                <w:lang w:val="en-AU"/>
              </w:rPr>
            </w:pPr>
            <w:r w:rsidRPr="00D600A6">
              <w:rPr>
                <w:lang w:val="en-AU"/>
              </w:rPr>
              <w:t>Leadership</w:t>
            </w:r>
          </w:p>
        </w:tc>
        <w:tc>
          <w:tcPr>
            <w:tcW w:w="1542" w:type="pct"/>
            <w:shd w:val="clear" w:color="auto" w:fill="F0FAF8"/>
          </w:tcPr>
          <w:p w14:paraId="44853A36"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b/>
                <w:lang w:val="en-AU"/>
              </w:rPr>
            </w:pPr>
            <w:r w:rsidRPr="00D600A6">
              <w:rPr>
                <w:rFonts w:cstheme="minorHAnsi"/>
                <w:b/>
                <w:lang w:val="en-AU"/>
              </w:rPr>
              <w:t>6.</w:t>
            </w:r>
            <w:r w:rsidRPr="00D600A6">
              <w:rPr>
                <w:rFonts w:cstheme="minorHAnsi"/>
                <w:lang w:val="en-AU"/>
              </w:rPr>
              <w:t xml:space="preserve"> DFAT agrees that its role as a key bilateral donor in the Pacific presents significant opportunities for advocacy and programming on protection issues, notwithstanding Australia’s global commitments to localisation.</w:t>
            </w:r>
          </w:p>
        </w:tc>
        <w:tc>
          <w:tcPr>
            <w:tcW w:w="1699" w:type="pct"/>
            <w:shd w:val="clear" w:color="auto" w:fill="F0FAF8"/>
          </w:tcPr>
          <w:p w14:paraId="46170DCC"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b/>
                <w:lang w:val="en-AU"/>
              </w:rPr>
              <w:t xml:space="preserve">6. </w:t>
            </w:r>
            <w:r w:rsidRPr="00D600A6">
              <w:rPr>
                <w:rFonts w:cstheme="minorHAnsi"/>
                <w:lang w:val="en-AU"/>
              </w:rPr>
              <w:t xml:space="preserve">DFAT will </w:t>
            </w:r>
            <w:r w:rsidRPr="00D600A6">
              <w:rPr>
                <w:rFonts w:cstheme="minorHAnsi"/>
                <w:b/>
                <w:lang w:val="en-AU"/>
              </w:rPr>
              <w:t>raise humanitarian protection issues during bilateral dialogues</w:t>
            </w:r>
            <w:r w:rsidRPr="00D600A6">
              <w:rPr>
                <w:rFonts w:cstheme="minorHAnsi"/>
                <w:lang w:val="en-AU"/>
              </w:rPr>
              <w:t xml:space="preserve"> with national actors, including government, civil society and communities, where appropriate. Australia will continue to liaise with New Zealand and France to </w:t>
            </w:r>
            <w:r w:rsidRPr="00D600A6">
              <w:rPr>
                <w:rFonts w:cstheme="minorHAnsi"/>
                <w:b/>
                <w:lang w:val="en-AU"/>
              </w:rPr>
              <w:t>encourage alignment of strategic approaches and advocacy</w:t>
            </w:r>
            <w:r w:rsidRPr="00D600A6">
              <w:rPr>
                <w:rFonts w:cstheme="minorHAnsi"/>
                <w:lang w:val="en-AU"/>
              </w:rPr>
              <w:t xml:space="preserve"> regarding protection issues.</w:t>
            </w:r>
          </w:p>
        </w:tc>
        <w:tc>
          <w:tcPr>
            <w:tcW w:w="413" w:type="pct"/>
            <w:shd w:val="clear" w:color="auto" w:fill="F0FAF8"/>
          </w:tcPr>
          <w:p w14:paraId="7D791F53" w14:textId="77777777" w:rsidR="00D600A6" w:rsidRPr="00D600A6" w:rsidRDefault="00D600A6" w:rsidP="006B0A35">
            <w:pPr>
              <w:spacing w:before="0" w:after="0"/>
              <w:contextualSpacing/>
              <w:cnfStyle w:val="000000000000" w:firstRow="0" w:lastRow="0" w:firstColumn="0" w:lastColumn="0" w:oddVBand="0" w:evenVBand="0" w:oddHBand="0" w:evenHBand="0" w:firstRowFirstColumn="0" w:firstRowLastColumn="0" w:lastRowFirstColumn="0" w:lastRowLastColumn="0"/>
              <w:rPr>
                <w:rFonts w:cstheme="minorHAnsi"/>
                <w:lang w:val="en-AU"/>
              </w:rPr>
            </w:pPr>
            <w:r w:rsidRPr="00D600A6">
              <w:rPr>
                <w:rFonts w:cstheme="minorHAnsi"/>
                <w:lang w:val="en-AU"/>
              </w:rPr>
              <w:t>Throughout 2019-2020</w:t>
            </w:r>
          </w:p>
        </w:tc>
      </w:tr>
    </w:tbl>
    <w:p w14:paraId="69DD44D0" w14:textId="77777777" w:rsidR="00D600A6" w:rsidRPr="00D23361" w:rsidRDefault="00D600A6" w:rsidP="00480A45">
      <w:pPr>
        <w:rPr>
          <w:rFonts w:cstheme="minorHAnsi"/>
          <w:lang w:val="en-AU"/>
        </w:rPr>
      </w:pPr>
    </w:p>
    <w:sectPr w:rsidR="00D600A6" w:rsidRPr="00D23361" w:rsidSect="00C85FEC">
      <w:headerReference w:type="first" r:id="rId14"/>
      <w:pgSz w:w="16838" w:h="11906" w:orient="landscape" w:code="9"/>
      <w:pgMar w:top="680" w:right="720" w:bottom="720" w:left="720" w:header="425" w:footer="493" w:gutter="0"/>
      <w:cols w:space="39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9CE4D" w16cid:durableId="2003CC9B"/>
  <w16cid:commentId w16cid:paraId="7294C010" w16cid:durableId="2003ECB2"/>
  <w16cid:commentId w16cid:paraId="4B177116" w16cid:durableId="2003EFBF"/>
  <w16cid:commentId w16cid:paraId="1C46ADE4" w16cid:durableId="2003CE6D"/>
  <w16cid:commentId w16cid:paraId="42730065" w16cid:durableId="2003D04D"/>
  <w16cid:commentId w16cid:paraId="255B0168" w16cid:durableId="2003D27E"/>
  <w16cid:commentId w16cid:paraId="15D2A3F0" w16cid:durableId="2003D331"/>
  <w16cid:commentId w16cid:paraId="51A92A06" w16cid:durableId="2003D581"/>
  <w16cid:commentId w16cid:paraId="717669DB" w16cid:durableId="2003DC8F"/>
  <w16cid:commentId w16cid:paraId="181A43D5" w16cid:durableId="2003DCA2"/>
  <w16cid:commentId w16cid:paraId="0ABD233F" w16cid:durableId="2003DCB2"/>
  <w16cid:commentId w16cid:paraId="0B92B5D2" w16cid:durableId="2003DFBA"/>
  <w16cid:commentId w16cid:paraId="0B195539" w16cid:durableId="2003E0A1"/>
  <w16cid:commentId w16cid:paraId="1AFD7E2A" w16cid:durableId="2003E6B6"/>
  <w16cid:commentId w16cid:paraId="5C7B0ACA" w16cid:durableId="2003E844"/>
  <w16cid:commentId w16cid:paraId="3F4E0B16" w16cid:durableId="2003BBAF"/>
  <w16cid:commentId w16cid:paraId="300C2CED" w16cid:durableId="2003BB99"/>
  <w16cid:commentId w16cid:paraId="2801E60E" w16cid:durableId="2003EBCD"/>
  <w16cid:commentId w16cid:paraId="5E244315" w16cid:durableId="2003BD3C"/>
  <w16cid:commentId w16cid:paraId="24E13905" w16cid:durableId="2003E898"/>
  <w16cid:commentId w16cid:paraId="302E654E" w16cid:durableId="2003BF7A"/>
  <w16cid:commentId w16cid:paraId="0BCA283A" w16cid:durableId="2003EE97"/>
  <w16cid:commentId w16cid:paraId="73BE7041" w16cid:durableId="2003C205"/>
  <w16cid:commentId w16cid:paraId="10319A09" w16cid:durableId="2003E9F3"/>
  <w16cid:commentId w16cid:paraId="164854FC" w16cid:durableId="2003C3B3"/>
  <w16cid:commentId w16cid:paraId="25A82F3E" w16cid:durableId="2003C560"/>
  <w16cid:commentId w16cid:paraId="29725B34" w16cid:durableId="2003C2BC"/>
  <w16cid:commentId w16cid:paraId="3291F9BA" w16cid:durableId="2003EAC3"/>
  <w16cid:commentId w16cid:paraId="1A67A448" w16cid:durableId="2003C82B"/>
  <w16cid:commentId w16cid:paraId="6E5470AE" w16cid:durableId="2003C744"/>
  <w16cid:commentId w16cid:paraId="44EC9845" w16cid:durableId="2003F2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9B6A7" w14:textId="77777777" w:rsidR="00B17490" w:rsidRDefault="00B17490" w:rsidP="00D37B04">
      <w:r>
        <w:separator/>
      </w:r>
    </w:p>
  </w:endnote>
  <w:endnote w:type="continuationSeparator" w:id="0">
    <w:p w14:paraId="055F5E15" w14:textId="77777777" w:rsidR="00B17490" w:rsidRDefault="00B17490" w:rsidP="00D37B04">
      <w:r>
        <w:continuationSeparator/>
      </w:r>
    </w:p>
  </w:endnote>
  <w:endnote w:type="continuationNotice" w:id="1">
    <w:p w14:paraId="0A8C34CA" w14:textId="77777777" w:rsidR="00B17490" w:rsidRDefault="00B174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DCFB" w14:textId="77777777" w:rsidR="00203C24" w:rsidRDefault="00203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548070296"/>
      <w:docPartObj>
        <w:docPartGallery w:val="Page Numbers (Bottom of Page)"/>
        <w:docPartUnique/>
      </w:docPartObj>
    </w:sdtPr>
    <w:sdtEndPr/>
    <w:sdtContent>
      <w:sdt>
        <w:sdtPr>
          <w:rPr>
            <w:color w:val="auto"/>
          </w:rPr>
          <w:id w:val="-30808293"/>
          <w:docPartObj>
            <w:docPartGallery w:val="Page Numbers (Top of Page)"/>
            <w:docPartUnique/>
          </w:docPartObj>
        </w:sdtPr>
        <w:sdtEndPr/>
        <w:sdtContent>
          <w:p w14:paraId="703B1F4A" w14:textId="0082559D" w:rsidR="00997850" w:rsidRPr="00997850" w:rsidRDefault="00997850">
            <w:pPr>
              <w:pStyle w:val="Footer"/>
              <w:jc w:val="center"/>
              <w:rPr>
                <w:color w:val="auto"/>
              </w:rPr>
            </w:pPr>
            <w:r w:rsidRPr="00997850">
              <w:rPr>
                <w:color w:val="auto"/>
              </w:rPr>
              <w:t xml:space="preserve">Page </w:t>
            </w:r>
            <w:r w:rsidRPr="00997850">
              <w:rPr>
                <w:b/>
                <w:bCs/>
                <w:color w:val="auto"/>
                <w:sz w:val="24"/>
                <w:szCs w:val="24"/>
              </w:rPr>
              <w:fldChar w:fldCharType="begin"/>
            </w:r>
            <w:r w:rsidRPr="00997850">
              <w:rPr>
                <w:b/>
                <w:bCs/>
                <w:color w:val="auto"/>
              </w:rPr>
              <w:instrText xml:space="preserve"> PAGE </w:instrText>
            </w:r>
            <w:r w:rsidRPr="00997850">
              <w:rPr>
                <w:b/>
                <w:bCs/>
                <w:color w:val="auto"/>
                <w:sz w:val="24"/>
                <w:szCs w:val="24"/>
              </w:rPr>
              <w:fldChar w:fldCharType="separate"/>
            </w:r>
            <w:r w:rsidR="00203C24">
              <w:rPr>
                <w:b/>
                <w:bCs/>
                <w:noProof/>
                <w:color w:val="auto"/>
              </w:rPr>
              <w:t>2</w:t>
            </w:r>
            <w:r w:rsidRPr="00997850">
              <w:rPr>
                <w:b/>
                <w:bCs/>
                <w:color w:val="auto"/>
                <w:sz w:val="24"/>
                <w:szCs w:val="24"/>
              </w:rPr>
              <w:fldChar w:fldCharType="end"/>
            </w:r>
            <w:r w:rsidRPr="00997850">
              <w:rPr>
                <w:color w:val="auto"/>
              </w:rPr>
              <w:t xml:space="preserve"> of </w:t>
            </w:r>
            <w:r w:rsidRPr="00997850">
              <w:rPr>
                <w:b/>
                <w:bCs/>
                <w:color w:val="auto"/>
                <w:sz w:val="24"/>
                <w:szCs w:val="24"/>
              </w:rPr>
              <w:fldChar w:fldCharType="begin"/>
            </w:r>
            <w:r w:rsidRPr="00997850">
              <w:rPr>
                <w:b/>
                <w:bCs/>
                <w:color w:val="auto"/>
              </w:rPr>
              <w:instrText xml:space="preserve"> NUMPAGES  </w:instrText>
            </w:r>
            <w:r w:rsidRPr="00997850">
              <w:rPr>
                <w:b/>
                <w:bCs/>
                <w:color w:val="auto"/>
                <w:sz w:val="24"/>
                <w:szCs w:val="24"/>
              </w:rPr>
              <w:fldChar w:fldCharType="separate"/>
            </w:r>
            <w:r w:rsidR="00203C24">
              <w:rPr>
                <w:b/>
                <w:bCs/>
                <w:noProof/>
                <w:color w:val="auto"/>
              </w:rPr>
              <w:t>4</w:t>
            </w:r>
            <w:r w:rsidRPr="00997850">
              <w:rPr>
                <w:b/>
                <w:bCs/>
                <w:color w:val="auto"/>
                <w:sz w:val="24"/>
                <w:szCs w:val="24"/>
              </w:rPr>
              <w:fldChar w:fldCharType="end"/>
            </w:r>
          </w:p>
        </w:sdtContent>
      </w:sdt>
    </w:sdtContent>
  </w:sdt>
  <w:p w14:paraId="272C5BCF" w14:textId="77777777" w:rsidR="00152A28" w:rsidRPr="00997850" w:rsidRDefault="00152A28" w:rsidP="00FC322F">
    <w:pPr>
      <w:pStyle w:val="Footer"/>
      <w:rPr>
        <w:rStyle w:val="Gree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0"/>
        <w:szCs w:val="20"/>
      </w:rPr>
      <w:id w:val="1974243898"/>
      <w:docPartObj>
        <w:docPartGallery w:val="Page Numbers (Bottom of Page)"/>
        <w:docPartUnique/>
      </w:docPartObj>
    </w:sdtPr>
    <w:sdtEndPr/>
    <w:sdtContent>
      <w:sdt>
        <w:sdtPr>
          <w:rPr>
            <w:color w:val="auto"/>
            <w:sz w:val="20"/>
            <w:szCs w:val="20"/>
          </w:rPr>
          <w:id w:val="512432108"/>
          <w:docPartObj>
            <w:docPartGallery w:val="Page Numbers (Top of Page)"/>
            <w:docPartUnique/>
          </w:docPartObj>
        </w:sdtPr>
        <w:sdtEndPr/>
        <w:sdtContent>
          <w:p w14:paraId="709A6E4A" w14:textId="40AA4074" w:rsidR="00152A28" w:rsidRPr="00EF7D07" w:rsidRDefault="00EF7D07" w:rsidP="00EF7D07">
            <w:pPr>
              <w:pStyle w:val="Footer"/>
              <w:jc w:val="center"/>
              <w:rPr>
                <w:color w:val="auto"/>
                <w:sz w:val="20"/>
                <w:szCs w:val="20"/>
              </w:rPr>
            </w:pPr>
            <w:r w:rsidRPr="00EF7D07">
              <w:rPr>
                <w:color w:val="auto"/>
                <w:sz w:val="20"/>
                <w:szCs w:val="20"/>
              </w:rPr>
              <w:t xml:space="preserve">Page </w:t>
            </w:r>
            <w:r w:rsidRPr="00EF7D07">
              <w:rPr>
                <w:b/>
                <w:bCs/>
                <w:color w:val="auto"/>
                <w:sz w:val="20"/>
                <w:szCs w:val="20"/>
              </w:rPr>
              <w:fldChar w:fldCharType="begin"/>
            </w:r>
            <w:r w:rsidRPr="00EF7D07">
              <w:rPr>
                <w:b/>
                <w:bCs/>
                <w:color w:val="auto"/>
                <w:sz w:val="20"/>
                <w:szCs w:val="20"/>
              </w:rPr>
              <w:instrText xml:space="preserve"> PAGE </w:instrText>
            </w:r>
            <w:r w:rsidRPr="00EF7D07">
              <w:rPr>
                <w:b/>
                <w:bCs/>
                <w:color w:val="auto"/>
                <w:sz w:val="20"/>
                <w:szCs w:val="20"/>
              </w:rPr>
              <w:fldChar w:fldCharType="separate"/>
            </w:r>
            <w:r w:rsidR="00203C24">
              <w:rPr>
                <w:b/>
                <w:bCs/>
                <w:noProof/>
                <w:color w:val="auto"/>
                <w:sz w:val="20"/>
                <w:szCs w:val="20"/>
              </w:rPr>
              <w:t>3</w:t>
            </w:r>
            <w:r w:rsidRPr="00EF7D07">
              <w:rPr>
                <w:b/>
                <w:bCs/>
                <w:color w:val="auto"/>
                <w:sz w:val="20"/>
                <w:szCs w:val="20"/>
              </w:rPr>
              <w:fldChar w:fldCharType="end"/>
            </w:r>
            <w:r w:rsidRPr="00EF7D07">
              <w:rPr>
                <w:color w:val="auto"/>
                <w:sz w:val="20"/>
                <w:szCs w:val="20"/>
              </w:rPr>
              <w:t xml:space="preserve"> of </w:t>
            </w:r>
            <w:r w:rsidRPr="00EF7D07">
              <w:rPr>
                <w:b/>
                <w:bCs/>
                <w:color w:val="auto"/>
                <w:sz w:val="20"/>
                <w:szCs w:val="20"/>
              </w:rPr>
              <w:fldChar w:fldCharType="begin"/>
            </w:r>
            <w:r w:rsidRPr="00EF7D07">
              <w:rPr>
                <w:b/>
                <w:bCs/>
                <w:color w:val="auto"/>
                <w:sz w:val="20"/>
                <w:szCs w:val="20"/>
              </w:rPr>
              <w:instrText xml:space="preserve"> NUMPAGES  </w:instrText>
            </w:r>
            <w:r w:rsidRPr="00EF7D07">
              <w:rPr>
                <w:b/>
                <w:bCs/>
                <w:color w:val="auto"/>
                <w:sz w:val="20"/>
                <w:szCs w:val="20"/>
              </w:rPr>
              <w:fldChar w:fldCharType="separate"/>
            </w:r>
            <w:r w:rsidR="00203C24">
              <w:rPr>
                <w:b/>
                <w:bCs/>
                <w:noProof/>
                <w:color w:val="auto"/>
                <w:sz w:val="20"/>
                <w:szCs w:val="20"/>
              </w:rPr>
              <w:t>4</w:t>
            </w:r>
            <w:r w:rsidRPr="00EF7D07">
              <w:rPr>
                <w:b/>
                <w:bCs/>
                <w:color w:val="auto"/>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944D0" w14:textId="77777777" w:rsidR="00B17490" w:rsidRPr="008C5A0E" w:rsidRDefault="00B17490" w:rsidP="00D37B04">
      <w:pPr>
        <w:pStyle w:val="Footer"/>
      </w:pPr>
    </w:p>
  </w:footnote>
  <w:footnote w:type="continuationSeparator" w:id="0">
    <w:p w14:paraId="7EEE66A2" w14:textId="77777777" w:rsidR="00B17490" w:rsidRDefault="00B17490" w:rsidP="00D37B04">
      <w:r>
        <w:continuationSeparator/>
      </w:r>
    </w:p>
  </w:footnote>
  <w:footnote w:type="continuationNotice" w:id="1">
    <w:p w14:paraId="442CD101" w14:textId="77777777" w:rsidR="00B17490" w:rsidRDefault="00B174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81E3" w14:textId="77777777" w:rsidR="00203C24" w:rsidRDefault="00203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5D6C" w14:textId="77777777" w:rsidR="00203C24" w:rsidRDefault="00203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C95F" w14:textId="2CBDADDB" w:rsidR="00152A28" w:rsidRPr="00943730" w:rsidRDefault="00152A28" w:rsidP="00943730">
    <w:pPr>
      <w:pStyle w:val="Header"/>
    </w:pPr>
    <w:r w:rsidRPr="00943730">
      <w:fldChar w:fldCharType="begin"/>
    </w:r>
    <w:r w:rsidRPr="00943730">
      <w:instrText xml:space="preserve"> DATE  \@ "MMMM yyyy"  \* MERGEFORMAT </w:instrText>
    </w:r>
    <w:r w:rsidRPr="00943730">
      <w:fldChar w:fldCharType="separate"/>
    </w:r>
    <w:r w:rsidR="00203C24">
      <w:rPr>
        <w:noProof/>
      </w:rPr>
      <w:t>February 2019</w:t>
    </w:r>
    <w:r w:rsidRPr="00943730">
      <w:fldChar w:fldCharType="end"/>
    </w:r>
    <w:r w:rsidRPr="00252C04">
      <w:rPr>
        <w:noProof/>
        <w:lang w:val="en-AU" w:eastAsia="en-AU"/>
      </w:rPr>
      <w:drawing>
        <wp:anchor distT="0" distB="0" distL="114300" distR="114300" simplePos="0" relativeHeight="251664384" behindDoc="1" locked="1" layoutInCell="1" allowOverlap="1" wp14:anchorId="4AEAC65A" wp14:editId="2BC8395F">
          <wp:simplePos x="0" y="0"/>
          <wp:positionH relativeFrom="page">
            <wp:posOffset>5724525</wp:posOffset>
          </wp:positionH>
          <wp:positionV relativeFrom="page">
            <wp:posOffset>918210</wp:posOffset>
          </wp:positionV>
          <wp:extent cx="1115640" cy="512640"/>
          <wp:effectExtent l="0" t="0" r="8890" b="1905"/>
          <wp:wrapNone/>
          <wp:docPr id="28" name="Picture 28"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3B4DC0B6" wp14:editId="30E6DFBC">
          <wp:simplePos x="0" y="0"/>
          <wp:positionH relativeFrom="page">
            <wp:posOffset>720090</wp:posOffset>
          </wp:positionH>
          <wp:positionV relativeFrom="page">
            <wp:posOffset>882015</wp:posOffset>
          </wp:positionV>
          <wp:extent cx="3166920" cy="554400"/>
          <wp:effectExtent l="0" t="0" r="0" b="0"/>
          <wp:wrapNone/>
          <wp:docPr id="29" name="Picture 29"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2421EC11" wp14:editId="3FE35EC4">
          <wp:simplePos x="0" y="0"/>
          <wp:positionH relativeFrom="page">
            <wp:posOffset>12700</wp:posOffset>
          </wp:positionH>
          <wp:positionV relativeFrom="page">
            <wp:posOffset>0</wp:posOffset>
          </wp:positionV>
          <wp:extent cx="7559040" cy="10692765"/>
          <wp:effectExtent l="0" t="0" r="3810" b="0"/>
          <wp:wrapNone/>
          <wp:docPr id="30" name="Picture 3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1E3E" w14:textId="3E4BC3AA" w:rsidR="00152A28" w:rsidRPr="00943730" w:rsidRDefault="00152A28" w:rsidP="00943730">
    <w:pPr>
      <w:pStyle w:val="Header"/>
    </w:pPr>
    <w:r w:rsidRPr="00943730">
      <w:fldChar w:fldCharType="begin"/>
    </w:r>
    <w:r w:rsidRPr="00943730">
      <w:instrText xml:space="preserve"> DATE  \@ "MMMM yyyy"  \* MERGEFORMAT </w:instrText>
    </w:r>
    <w:r w:rsidRPr="00943730">
      <w:fldChar w:fldCharType="separate"/>
    </w:r>
    <w:r w:rsidR="00203C24">
      <w:rPr>
        <w:noProof/>
      </w:rPr>
      <w:t>February 2019</w:t>
    </w:r>
    <w:r w:rsidRPr="009437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268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FCB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86F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1436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947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828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E0DE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BA4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887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507B3"/>
    <w:multiLevelType w:val="hybridMultilevel"/>
    <w:tmpl w:val="05247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D8420B7"/>
    <w:multiLevelType w:val="hybridMultilevel"/>
    <w:tmpl w:val="A596D72C"/>
    <w:lvl w:ilvl="0" w:tplc="0409001B">
      <w:start w:val="1"/>
      <w:numFmt w:val="lowerRoman"/>
      <w:lvlText w:val="%1."/>
      <w:lvlJc w:val="right"/>
      <w:pPr>
        <w:ind w:left="763" w:hanging="360"/>
      </w:pPr>
      <w:rPr>
        <w:rFonts w:hint="default"/>
      </w:rPr>
    </w:lvl>
    <w:lvl w:ilvl="1" w:tplc="04090001">
      <w:start w:val="1"/>
      <w:numFmt w:val="bullet"/>
      <w:lvlText w:val=""/>
      <w:lvlJc w:val="left"/>
      <w:pPr>
        <w:ind w:left="763" w:hanging="360"/>
      </w:pPr>
      <w:rPr>
        <w:rFonts w:ascii="Symbol" w:hAnsi="Symbol" w:hint="default"/>
      </w:rPr>
    </w:lvl>
    <w:lvl w:ilvl="2" w:tplc="0409001B">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E37593"/>
    <w:multiLevelType w:val="hybridMultilevel"/>
    <w:tmpl w:val="33BC129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8E0E29"/>
    <w:multiLevelType w:val="hybridMultilevel"/>
    <w:tmpl w:val="E3D2996E"/>
    <w:lvl w:ilvl="0" w:tplc="B33A62E2">
      <w:start w:val="1"/>
      <w:numFmt w:val="lowerRoman"/>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7" w15:restartNumberingAfterBreak="0">
    <w:nsid w:val="183902D5"/>
    <w:multiLevelType w:val="hybridMultilevel"/>
    <w:tmpl w:val="C4D017E8"/>
    <w:lvl w:ilvl="0" w:tplc="7898E23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317303"/>
    <w:multiLevelType w:val="hybridMultilevel"/>
    <w:tmpl w:val="F0F45DF4"/>
    <w:lvl w:ilvl="0" w:tplc="0C09001B">
      <w:start w:val="1"/>
      <w:numFmt w:val="low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CD525DB"/>
    <w:multiLevelType w:val="multilevel"/>
    <w:tmpl w:val="707A65EA"/>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1" w15:restartNumberingAfterBreak="0">
    <w:nsid w:val="2DC35FD6"/>
    <w:multiLevelType w:val="hybridMultilevel"/>
    <w:tmpl w:val="A16C21B2"/>
    <w:lvl w:ilvl="0" w:tplc="756070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A1F0E"/>
    <w:multiLevelType w:val="hybridMultilevel"/>
    <w:tmpl w:val="85F48948"/>
    <w:lvl w:ilvl="0" w:tplc="09FC89A2">
      <w:numFmt w:val="bullet"/>
      <w:lvlText w:val=""/>
      <w:lvlJc w:val="left"/>
      <w:pPr>
        <w:ind w:left="720" w:hanging="360"/>
      </w:pPr>
      <w:rPr>
        <w:rFonts w:ascii="Wingdings" w:eastAsiaTheme="minorHAnsi" w:hAnsi="Wingdings" w:cstheme="minorBidi"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8E7B15"/>
    <w:multiLevelType w:val="multilevel"/>
    <w:tmpl w:val="5586660C"/>
    <w:numStyleLink w:val="BulletsList"/>
  </w:abstractNum>
  <w:abstractNum w:abstractNumId="24" w15:restartNumberingAfterBreak="0">
    <w:nsid w:val="4BAB160B"/>
    <w:multiLevelType w:val="hybridMultilevel"/>
    <w:tmpl w:val="9B14F638"/>
    <w:lvl w:ilvl="0" w:tplc="608C46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A019F2"/>
    <w:multiLevelType w:val="hybridMultilevel"/>
    <w:tmpl w:val="A596D72C"/>
    <w:lvl w:ilvl="0" w:tplc="0409001B">
      <w:start w:val="1"/>
      <w:numFmt w:val="lowerRoman"/>
      <w:lvlText w:val="%1."/>
      <w:lvlJc w:val="right"/>
      <w:pPr>
        <w:ind w:left="763" w:hanging="360"/>
      </w:pPr>
      <w:rPr>
        <w:rFonts w:hint="default"/>
      </w:rPr>
    </w:lvl>
    <w:lvl w:ilvl="1" w:tplc="04090001">
      <w:start w:val="1"/>
      <w:numFmt w:val="bullet"/>
      <w:lvlText w:val=""/>
      <w:lvlJc w:val="left"/>
      <w:pPr>
        <w:ind w:left="763" w:hanging="360"/>
      </w:pPr>
      <w:rPr>
        <w:rFonts w:ascii="Symbol" w:hAnsi="Symbol" w:hint="default"/>
      </w:rPr>
    </w:lvl>
    <w:lvl w:ilvl="2" w:tplc="0409001B">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6" w15:restartNumberingAfterBreak="0">
    <w:nsid w:val="532757DA"/>
    <w:multiLevelType w:val="hybridMultilevel"/>
    <w:tmpl w:val="F070A64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5586660C"/>
    <w:numStyleLink w:val="BulletsList"/>
  </w:abstractNum>
  <w:abstractNum w:abstractNumId="29" w15:restartNumberingAfterBreak="0">
    <w:nsid w:val="5DCA5282"/>
    <w:multiLevelType w:val="hybridMultilevel"/>
    <w:tmpl w:val="268ABF60"/>
    <w:lvl w:ilvl="0" w:tplc="362ED02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BE469F8"/>
    <w:multiLevelType w:val="hybridMultilevel"/>
    <w:tmpl w:val="33BC129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107305"/>
    <w:multiLevelType w:val="multilevel"/>
    <w:tmpl w:val="5586660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A056081"/>
    <w:multiLevelType w:val="hybridMultilevel"/>
    <w:tmpl w:val="11AC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E0304"/>
    <w:multiLevelType w:val="hybridMultilevel"/>
    <w:tmpl w:val="CCC64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31FB4"/>
    <w:multiLevelType w:val="hybridMultilevel"/>
    <w:tmpl w:val="C82CF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7"/>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9"/>
  </w:num>
  <w:num w:numId="23">
    <w:abstractNumId w:val="19"/>
  </w:num>
  <w:num w:numId="24">
    <w:abstractNumId w:val="28"/>
  </w:num>
  <w:num w:numId="25">
    <w:abstractNumId w:val="28"/>
  </w:num>
  <w:num w:numId="26">
    <w:abstractNumId w:val="28"/>
  </w:num>
  <w:num w:numId="27">
    <w:abstractNumId w:val="27"/>
  </w:num>
  <w:num w:numId="28">
    <w:abstractNumId w:val="11"/>
  </w:num>
  <w:num w:numId="29">
    <w:abstractNumId w:val="11"/>
  </w:num>
  <w:num w:numId="30">
    <w:abstractNumId w:val="11"/>
  </w:num>
  <w:num w:numId="31">
    <w:abstractNumId w:val="16"/>
  </w:num>
  <w:num w:numId="32">
    <w:abstractNumId w:val="33"/>
  </w:num>
  <w:num w:numId="33">
    <w:abstractNumId w:val="23"/>
  </w:num>
  <w:num w:numId="34">
    <w:abstractNumId w:val="24"/>
  </w:num>
  <w:num w:numId="35">
    <w:abstractNumId w:val="29"/>
  </w:num>
  <w:num w:numId="36">
    <w:abstractNumId w:val="20"/>
  </w:num>
  <w:num w:numId="37">
    <w:abstractNumId w:val="25"/>
  </w:num>
  <w:num w:numId="38">
    <w:abstractNumId w:val="35"/>
  </w:num>
  <w:num w:numId="39">
    <w:abstractNumId w:val="15"/>
  </w:num>
  <w:num w:numId="40">
    <w:abstractNumId w:val="12"/>
  </w:num>
  <w:num w:numId="41">
    <w:abstractNumId w:val="26"/>
  </w:num>
  <w:num w:numId="42">
    <w:abstractNumId w:val="17"/>
  </w:num>
  <w:num w:numId="43">
    <w:abstractNumId w:val="21"/>
  </w:num>
  <w:num w:numId="44">
    <w:abstractNumId w:val="34"/>
  </w:num>
  <w:num w:numId="45">
    <w:abstractNumId w:val="36"/>
  </w:num>
  <w:num w:numId="46">
    <w:abstractNumId w:val="31"/>
  </w:num>
  <w:num w:numId="47">
    <w:abstractNumId w:val="14"/>
  </w:num>
  <w:num w:numId="48">
    <w:abstractNumId w:val="18"/>
  </w:num>
  <w:num w:numId="49">
    <w:abstractNumId w:val="1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338"/>
    <w:rsid w:val="00001DA8"/>
    <w:rsid w:val="000020C1"/>
    <w:rsid w:val="000050F5"/>
    <w:rsid w:val="000064F0"/>
    <w:rsid w:val="000075ED"/>
    <w:rsid w:val="00007E1D"/>
    <w:rsid w:val="000163C9"/>
    <w:rsid w:val="0001666B"/>
    <w:rsid w:val="0002080A"/>
    <w:rsid w:val="000224F1"/>
    <w:rsid w:val="00023BCC"/>
    <w:rsid w:val="00023C73"/>
    <w:rsid w:val="0002510B"/>
    <w:rsid w:val="0002629A"/>
    <w:rsid w:val="0002782F"/>
    <w:rsid w:val="00027E3F"/>
    <w:rsid w:val="00031944"/>
    <w:rsid w:val="00035BBF"/>
    <w:rsid w:val="00043071"/>
    <w:rsid w:val="00045CC1"/>
    <w:rsid w:val="00050806"/>
    <w:rsid w:val="000510D7"/>
    <w:rsid w:val="00051C02"/>
    <w:rsid w:val="000546D9"/>
    <w:rsid w:val="00054E4D"/>
    <w:rsid w:val="000578F3"/>
    <w:rsid w:val="00060073"/>
    <w:rsid w:val="000616C6"/>
    <w:rsid w:val="00063171"/>
    <w:rsid w:val="00064602"/>
    <w:rsid w:val="0007665A"/>
    <w:rsid w:val="00076C91"/>
    <w:rsid w:val="000804CE"/>
    <w:rsid w:val="000854FD"/>
    <w:rsid w:val="00093D7D"/>
    <w:rsid w:val="000A14AE"/>
    <w:rsid w:val="000A366B"/>
    <w:rsid w:val="000A3DA9"/>
    <w:rsid w:val="000A431C"/>
    <w:rsid w:val="000A54B7"/>
    <w:rsid w:val="000B37F5"/>
    <w:rsid w:val="000C0EAA"/>
    <w:rsid w:val="000C44CF"/>
    <w:rsid w:val="000C7A24"/>
    <w:rsid w:val="000D0467"/>
    <w:rsid w:val="000D275E"/>
    <w:rsid w:val="000D47EF"/>
    <w:rsid w:val="000D66D6"/>
    <w:rsid w:val="000E512C"/>
    <w:rsid w:val="000F21F9"/>
    <w:rsid w:val="001039FB"/>
    <w:rsid w:val="00104018"/>
    <w:rsid w:val="001057B6"/>
    <w:rsid w:val="001062EB"/>
    <w:rsid w:val="00113288"/>
    <w:rsid w:val="00117343"/>
    <w:rsid w:val="00117A79"/>
    <w:rsid w:val="001214BE"/>
    <w:rsid w:val="0013101C"/>
    <w:rsid w:val="00134142"/>
    <w:rsid w:val="00137804"/>
    <w:rsid w:val="00143AE8"/>
    <w:rsid w:val="001461D6"/>
    <w:rsid w:val="0015071C"/>
    <w:rsid w:val="00152A28"/>
    <w:rsid w:val="001541EA"/>
    <w:rsid w:val="00155679"/>
    <w:rsid w:val="00157311"/>
    <w:rsid w:val="00162392"/>
    <w:rsid w:val="0016514E"/>
    <w:rsid w:val="00165319"/>
    <w:rsid w:val="00167B32"/>
    <w:rsid w:val="00172A92"/>
    <w:rsid w:val="00173367"/>
    <w:rsid w:val="00176669"/>
    <w:rsid w:val="00180A31"/>
    <w:rsid w:val="001906BC"/>
    <w:rsid w:val="00196F95"/>
    <w:rsid w:val="001A0034"/>
    <w:rsid w:val="001A16B3"/>
    <w:rsid w:val="001A3BD2"/>
    <w:rsid w:val="001A4C27"/>
    <w:rsid w:val="001B5859"/>
    <w:rsid w:val="001C08AF"/>
    <w:rsid w:val="001D3722"/>
    <w:rsid w:val="001D663E"/>
    <w:rsid w:val="001D6855"/>
    <w:rsid w:val="001E1DC0"/>
    <w:rsid w:val="001E276E"/>
    <w:rsid w:val="001E5F83"/>
    <w:rsid w:val="001E7FED"/>
    <w:rsid w:val="001F46FF"/>
    <w:rsid w:val="001F702A"/>
    <w:rsid w:val="001F7D84"/>
    <w:rsid w:val="00200A83"/>
    <w:rsid w:val="00203277"/>
    <w:rsid w:val="00203C24"/>
    <w:rsid w:val="002054E9"/>
    <w:rsid w:val="002104FE"/>
    <w:rsid w:val="002200FF"/>
    <w:rsid w:val="00222950"/>
    <w:rsid w:val="00223413"/>
    <w:rsid w:val="0022377A"/>
    <w:rsid w:val="00225D7F"/>
    <w:rsid w:val="00231B9D"/>
    <w:rsid w:val="00234021"/>
    <w:rsid w:val="00236288"/>
    <w:rsid w:val="0023649F"/>
    <w:rsid w:val="002438DF"/>
    <w:rsid w:val="00243E2D"/>
    <w:rsid w:val="0024528C"/>
    <w:rsid w:val="00250A5E"/>
    <w:rsid w:val="002514D6"/>
    <w:rsid w:val="00252C04"/>
    <w:rsid w:val="00255936"/>
    <w:rsid w:val="002747E3"/>
    <w:rsid w:val="00280DDB"/>
    <w:rsid w:val="00282DB1"/>
    <w:rsid w:val="0028602A"/>
    <w:rsid w:val="00290B84"/>
    <w:rsid w:val="00294A64"/>
    <w:rsid w:val="00297384"/>
    <w:rsid w:val="002A0E41"/>
    <w:rsid w:val="002A1C5E"/>
    <w:rsid w:val="002B1EA6"/>
    <w:rsid w:val="002B4C31"/>
    <w:rsid w:val="002B5E10"/>
    <w:rsid w:val="002B6DBD"/>
    <w:rsid w:val="002C0DED"/>
    <w:rsid w:val="002C4B45"/>
    <w:rsid w:val="002C793D"/>
    <w:rsid w:val="002D10C3"/>
    <w:rsid w:val="002D341E"/>
    <w:rsid w:val="002D48B5"/>
    <w:rsid w:val="002D5B25"/>
    <w:rsid w:val="002D64A6"/>
    <w:rsid w:val="002E1160"/>
    <w:rsid w:val="002F12CB"/>
    <w:rsid w:val="002F4F2B"/>
    <w:rsid w:val="002F74B0"/>
    <w:rsid w:val="003002C0"/>
    <w:rsid w:val="00301144"/>
    <w:rsid w:val="00302A01"/>
    <w:rsid w:val="003031C6"/>
    <w:rsid w:val="00304984"/>
    <w:rsid w:val="003123A4"/>
    <w:rsid w:val="00312BF8"/>
    <w:rsid w:val="003148B7"/>
    <w:rsid w:val="003153A9"/>
    <w:rsid w:val="003158C3"/>
    <w:rsid w:val="00316C61"/>
    <w:rsid w:val="00321998"/>
    <w:rsid w:val="003244D5"/>
    <w:rsid w:val="003274CD"/>
    <w:rsid w:val="0033194A"/>
    <w:rsid w:val="00333501"/>
    <w:rsid w:val="003352FC"/>
    <w:rsid w:val="003439EA"/>
    <w:rsid w:val="003457C4"/>
    <w:rsid w:val="0034601C"/>
    <w:rsid w:val="0035119D"/>
    <w:rsid w:val="00352BF3"/>
    <w:rsid w:val="0037389A"/>
    <w:rsid w:val="003767E1"/>
    <w:rsid w:val="003845BB"/>
    <w:rsid w:val="00384E07"/>
    <w:rsid w:val="0039344A"/>
    <w:rsid w:val="00395163"/>
    <w:rsid w:val="00396F92"/>
    <w:rsid w:val="003A3D8F"/>
    <w:rsid w:val="003B04F8"/>
    <w:rsid w:val="003B11AA"/>
    <w:rsid w:val="003B137F"/>
    <w:rsid w:val="003B1558"/>
    <w:rsid w:val="003B4F12"/>
    <w:rsid w:val="003C12B2"/>
    <w:rsid w:val="003C342B"/>
    <w:rsid w:val="003D163F"/>
    <w:rsid w:val="003D69A5"/>
    <w:rsid w:val="003E30DD"/>
    <w:rsid w:val="003E4E35"/>
    <w:rsid w:val="003E6E7D"/>
    <w:rsid w:val="003E7243"/>
    <w:rsid w:val="003F051F"/>
    <w:rsid w:val="003F2041"/>
    <w:rsid w:val="003F2BB8"/>
    <w:rsid w:val="003F7F59"/>
    <w:rsid w:val="004022A0"/>
    <w:rsid w:val="00402ACC"/>
    <w:rsid w:val="0040592F"/>
    <w:rsid w:val="0040695E"/>
    <w:rsid w:val="00407501"/>
    <w:rsid w:val="004120EC"/>
    <w:rsid w:val="00412458"/>
    <w:rsid w:val="0041641D"/>
    <w:rsid w:val="00417FD2"/>
    <w:rsid w:val="004220CB"/>
    <w:rsid w:val="00423F31"/>
    <w:rsid w:val="004254A3"/>
    <w:rsid w:val="00431899"/>
    <w:rsid w:val="00433A4F"/>
    <w:rsid w:val="004345EE"/>
    <w:rsid w:val="00434B55"/>
    <w:rsid w:val="00442032"/>
    <w:rsid w:val="00442055"/>
    <w:rsid w:val="004429F1"/>
    <w:rsid w:val="00450DD4"/>
    <w:rsid w:val="00454224"/>
    <w:rsid w:val="0046048F"/>
    <w:rsid w:val="004604F5"/>
    <w:rsid w:val="004626F0"/>
    <w:rsid w:val="0046674A"/>
    <w:rsid w:val="0047741B"/>
    <w:rsid w:val="00480A45"/>
    <w:rsid w:val="00482AE8"/>
    <w:rsid w:val="00486804"/>
    <w:rsid w:val="004912B7"/>
    <w:rsid w:val="00495E29"/>
    <w:rsid w:val="00496D8D"/>
    <w:rsid w:val="004A3208"/>
    <w:rsid w:val="004B3775"/>
    <w:rsid w:val="004B76BA"/>
    <w:rsid w:val="004C25DF"/>
    <w:rsid w:val="004C77FA"/>
    <w:rsid w:val="004D0BA0"/>
    <w:rsid w:val="004D1991"/>
    <w:rsid w:val="004D2C23"/>
    <w:rsid w:val="004D64FA"/>
    <w:rsid w:val="004D6882"/>
    <w:rsid w:val="004E058F"/>
    <w:rsid w:val="004E3963"/>
    <w:rsid w:val="004E3B87"/>
    <w:rsid w:val="004E5AE7"/>
    <w:rsid w:val="004E79AE"/>
    <w:rsid w:val="004F1393"/>
    <w:rsid w:val="004F154B"/>
    <w:rsid w:val="004F2FA1"/>
    <w:rsid w:val="004F49D7"/>
    <w:rsid w:val="004F5243"/>
    <w:rsid w:val="004F53CE"/>
    <w:rsid w:val="005104E9"/>
    <w:rsid w:val="00510921"/>
    <w:rsid w:val="00510AD3"/>
    <w:rsid w:val="005130A4"/>
    <w:rsid w:val="00513348"/>
    <w:rsid w:val="00513AD8"/>
    <w:rsid w:val="00515D34"/>
    <w:rsid w:val="00516D3D"/>
    <w:rsid w:val="005204D2"/>
    <w:rsid w:val="00522396"/>
    <w:rsid w:val="0052368D"/>
    <w:rsid w:val="00527A5E"/>
    <w:rsid w:val="005316DC"/>
    <w:rsid w:val="00531729"/>
    <w:rsid w:val="005324D3"/>
    <w:rsid w:val="00533B5D"/>
    <w:rsid w:val="0054097C"/>
    <w:rsid w:val="0055088D"/>
    <w:rsid w:val="00554F5B"/>
    <w:rsid w:val="00557445"/>
    <w:rsid w:val="005641B8"/>
    <w:rsid w:val="005713C8"/>
    <w:rsid w:val="005731F4"/>
    <w:rsid w:val="0057797D"/>
    <w:rsid w:val="00580E6A"/>
    <w:rsid w:val="005861D7"/>
    <w:rsid w:val="00586E82"/>
    <w:rsid w:val="005966BC"/>
    <w:rsid w:val="005A20F6"/>
    <w:rsid w:val="005A33F1"/>
    <w:rsid w:val="005A5C01"/>
    <w:rsid w:val="005B595F"/>
    <w:rsid w:val="005B6CC8"/>
    <w:rsid w:val="005B7CA3"/>
    <w:rsid w:val="005C47A6"/>
    <w:rsid w:val="005D3655"/>
    <w:rsid w:val="005E000C"/>
    <w:rsid w:val="005E0045"/>
    <w:rsid w:val="005E28A2"/>
    <w:rsid w:val="005E4830"/>
    <w:rsid w:val="005E6590"/>
    <w:rsid w:val="005F0A0E"/>
    <w:rsid w:val="005F5099"/>
    <w:rsid w:val="005F7DDA"/>
    <w:rsid w:val="0061449A"/>
    <w:rsid w:val="00622B86"/>
    <w:rsid w:val="0062319C"/>
    <w:rsid w:val="00623BA1"/>
    <w:rsid w:val="0062793F"/>
    <w:rsid w:val="006346BC"/>
    <w:rsid w:val="00636BB1"/>
    <w:rsid w:val="00637C90"/>
    <w:rsid w:val="0064245E"/>
    <w:rsid w:val="006479BF"/>
    <w:rsid w:val="00647B56"/>
    <w:rsid w:val="00650861"/>
    <w:rsid w:val="00660342"/>
    <w:rsid w:val="00661884"/>
    <w:rsid w:val="006634D2"/>
    <w:rsid w:val="00664D79"/>
    <w:rsid w:val="0066652A"/>
    <w:rsid w:val="006679D3"/>
    <w:rsid w:val="006719C3"/>
    <w:rsid w:val="00672C2A"/>
    <w:rsid w:val="006802D4"/>
    <w:rsid w:val="00680522"/>
    <w:rsid w:val="00682167"/>
    <w:rsid w:val="00693F5C"/>
    <w:rsid w:val="00695EB0"/>
    <w:rsid w:val="006A5227"/>
    <w:rsid w:val="006A5CAC"/>
    <w:rsid w:val="006A6F5E"/>
    <w:rsid w:val="006B51F0"/>
    <w:rsid w:val="006C00D2"/>
    <w:rsid w:val="006C42AF"/>
    <w:rsid w:val="006C5A13"/>
    <w:rsid w:val="006C79E3"/>
    <w:rsid w:val="006D15DC"/>
    <w:rsid w:val="006D4BD6"/>
    <w:rsid w:val="006D7D50"/>
    <w:rsid w:val="006E06F6"/>
    <w:rsid w:val="006E0ABE"/>
    <w:rsid w:val="006F12B6"/>
    <w:rsid w:val="00710E8B"/>
    <w:rsid w:val="00711D8E"/>
    <w:rsid w:val="00712672"/>
    <w:rsid w:val="00722E0D"/>
    <w:rsid w:val="007234F6"/>
    <w:rsid w:val="007235E8"/>
    <w:rsid w:val="0073227E"/>
    <w:rsid w:val="00733611"/>
    <w:rsid w:val="00734E3F"/>
    <w:rsid w:val="00736985"/>
    <w:rsid w:val="007408C6"/>
    <w:rsid w:val="00740C35"/>
    <w:rsid w:val="0074481B"/>
    <w:rsid w:val="00745DF5"/>
    <w:rsid w:val="00753A28"/>
    <w:rsid w:val="00756D2A"/>
    <w:rsid w:val="0076250F"/>
    <w:rsid w:val="00766B99"/>
    <w:rsid w:val="007737B5"/>
    <w:rsid w:val="00774B8F"/>
    <w:rsid w:val="00777210"/>
    <w:rsid w:val="00780FA5"/>
    <w:rsid w:val="00784253"/>
    <w:rsid w:val="007909C5"/>
    <w:rsid w:val="007965B5"/>
    <w:rsid w:val="007A074E"/>
    <w:rsid w:val="007B51A7"/>
    <w:rsid w:val="007B6200"/>
    <w:rsid w:val="007C1FB7"/>
    <w:rsid w:val="007C653D"/>
    <w:rsid w:val="007C668D"/>
    <w:rsid w:val="007C7772"/>
    <w:rsid w:val="007C7D8E"/>
    <w:rsid w:val="007D136C"/>
    <w:rsid w:val="007D3D83"/>
    <w:rsid w:val="007D6DCB"/>
    <w:rsid w:val="007E2334"/>
    <w:rsid w:val="007E2B70"/>
    <w:rsid w:val="007F26B7"/>
    <w:rsid w:val="007F3395"/>
    <w:rsid w:val="007F4308"/>
    <w:rsid w:val="007F58E3"/>
    <w:rsid w:val="00801B9F"/>
    <w:rsid w:val="0080204D"/>
    <w:rsid w:val="00802516"/>
    <w:rsid w:val="00813948"/>
    <w:rsid w:val="0081591E"/>
    <w:rsid w:val="00816A28"/>
    <w:rsid w:val="00820F3C"/>
    <w:rsid w:val="008225A0"/>
    <w:rsid w:val="00823E32"/>
    <w:rsid w:val="008240B2"/>
    <w:rsid w:val="00825AF2"/>
    <w:rsid w:val="00832237"/>
    <w:rsid w:val="00833F84"/>
    <w:rsid w:val="008415B8"/>
    <w:rsid w:val="008475F0"/>
    <w:rsid w:val="008557A7"/>
    <w:rsid w:val="00856921"/>
    <w:rsid w:val="008649D3"/>
    <w:rsid w:val="00870928"/>
    <w:rsid w:val="0087137B"/>
    <w:rsid w:val="00871B5D"/>
    <w:rsid w:val="0087210C"/>
    <w:rsid w:val="00872A34"/>
    <w:rsid w:val="008750D7"/>
    <w:rsid w:val="008801E4"/>
    <w:rsid w:val="00886262"/>
    <w:rsid w:val="008867DE"/>
    <w:rsid w:val="00887C08"/>
    <w:rsid w:val="008915CD"/>
    <w:rsid w:val="0089405C"/>
    <w:rsid w:val="00897F51"/>
    <w:rsid w:val="00897FA2"/>
    <w:rsid w:val="008A297C"/>
    <w:rsid w:val="008A298E"/>
    <w:rsid w:val="008A5AFE"/>
    <w:rsid w:val="008A6760"/>
    <w:rsid w:val="008B4166"/>
    <w:rsid w:val="008B48C7"/>
    <w:rsid w:val="008B6894"/>
    <w:rsid w:val="008B79A5"/>
    <w:rsid w:val="008B7CCD"/>
    <w:rsid w:val="008C250D"/>
    <w:rsid w:val="008C5A0E"/>
    <w:rsid w:val="008C6E42"/>
    <w:rsid w:val="008D012F"/>
    <w:rsid w:val="008D354E"/>
    <w:rsid w:val="008D6761"/>
    <w:rsid w:val="008E1021"/>
    <w:rsid w:val="008E32BF"/>
    <w:rsid w:val="008E3C6E"/>
    <w:rsid w:val="008F559E"/>
    <w:rsid w:val="009108A5"/>
    <w:rsid w:val="00912FB4"/>
    <w:rsid w:val="00915991"/>
    <w:rsid w:val="009227DC"/>
    <w:rsid w:val="00924576"/>
    <w:rsid w:val="00943730"/>
    <w:rsid w:val="00945C65"/>
    <w:rsid w:val="00946F60"/>
    <w:rsid w:val="00946FD0"/>
    <w:rsid w:val="009503BC"/>
    <w:rsid w:val="00953E8B"/>
    <w:rsid w:val="0096278C"/>
    <w:rsid w:val="00962DB9"/>
    <w:rsid w:val="00964C78"/>
    <w:rsid w:val="00975CA5"/>
    <w:rsid w:val="009807DC"/>
    <w:rsid w:val="009841F9"/>
    <w:rsid w:val="00985632"/>
    <w:rsid w:val="00986590"/>
    <w:rsid w:val="00990B00"/>
    <w:rsid w:val="00992123"/>
    <w:rsid w:val="00992C76"/>
    <w:rsid w:val="009969D6"/>
    <w:rsid w:val="0099766E"/>
    <w:rsid w:val="00997850"/>
    <w:rsid w:val="009A0E39"/>
    <w:rsid w:val="009A62C7"/>
    <w:rsid w:val="009A664A"/>
    <w:rsid w:val="009B129C"/>
    <w:rsid w:val="009B4D3B"/>
    <w:rsid w:val="009C170F"/>
    <w:rsid w:val="009C2E07"/>
    <w:rsid w:val="009C7217"/>
    <w:rsid w:val="009C7656"/>
    <w:rsid w:val="009D56FB"/>
    <w:rsid w:val="009D6C7A"/>
    <w:rsid w:val="009D7407"/>
    <w:rsid w:val="009E0866"/>
    <w:rsid w:val="009E171C"/>
    <w:rsid w:val="009E273C"/>
    <w:rsid w:val="009E3089"/>
    <w:rsid w:val="009E77BC"/>
    <w:rsid w:val="009F1350"/>
    <w:rsid w:val="009F257C"/>
    <w:rsid w:val="009F4928"/>
    <w:rsid w:val="009F626A"/>
    <w:rsid w:val="009F6423"/>
    <w:rsid w:val="009F7A0B"/>
    <w:rsid w:val="00A03DB0"/>
    <w:rsid w:val="00A03FF9"/>
    <w:rsid w:val="00A12647"/>
    <w:rsid w:val="00A16F06"/>
    <w:rsid w:val="00A16FCE"/>
    <w:rsid w:val="00A22F4C"/>
    <w:rsid w:val="00A23E9C"/>
    <w:rsid w:val="00A24A62"/>
    <w:rsid w:val="00A24D64"/>
    <w:rsid w:val="00A27B83"/>
    <w:rsid w:val="00A3074E"/>
    <w:rsid w:val="00A30D1A"/>
    <w:rsid w:val="00A31C9F"/>
    <w:rsid w:val="00A334F1"/>
    <w:rsid w:val="00A365C8"/>
    <w:rsid w:val="00A374A5"/>
    <w:rsid w:val="00A4144F"/>
    <w:rsid w:val="00A45169"/>
    <w:rsid w:val="00A45F7C"/>
    <w:rsid w:val="00A47187"/>
    <w:rsid w:val="00A510E8"/>
    <w:rsid w:val="00A5235C"/>
    <w:rsid w:val="00A5292F"/>
    <w:rsid w:val="00A539E7"/>
    <w:rsid w:val="00A61B4D"/>
    <w:rsid w:val="00A62E56"/>
    <w:rsid w:val="00A659E0"/>
    <w:rsid w:val="00A65EFB"/>
    <w:rsid w:val="00A71694"/>
    <w:rsid w:val="00A72C79"/>
    <w:rsid w:val="00A80BA2"/>
    <w:rsid w:val="00A80F95"/>
    <w:rsid w:val="00A8235D"/>
    <w:rsid w:val="00A8582B"/>
    <w:rsid w:val="00A85F09"/>
    <w:rsid w:val="00A86042"/>
    <w:rsid w:val="00A929FC"/>
    <w:rsid w:val="00A96322"/>
    <w:rsid w:val="00A964C8"/>
    <w:rsid w:val="00A965AB"/>
    <w:rsid w:val="00A965F0"/>
    <w:rsid w:val="00A97BF1"/>
    <w:rsid w:val="00AA0735"/>
    <w:rsid w:val="00AA1EE2"/>
    <w:rsid w:val="00AA298A"/>
    <w:rsid w:val="00AA5AB4"/>
    <w:rsid w:val="00AB13D2"/>
    <w:rsid w:val="00AB6EDF"/>
    <w:rsid w:val="00AB7D10"/>
    <w:rsid w:val="00AC164A"/>
    <w:rsid w:val="00AC1D79"/>
    <w:rsid w:val="00AC28D2"/>
    <w:rsid w:val="00AC2B65"/>
    <w:rsid w:val="00AD066A"/>
    <w:rsid w:val="00AD06BE"/>
    <w:rsid w:val="00AE448A"/>
    <w:rsid w:val="00AF2050"/>
    <w:rsid w:val="00AF790F"/>
    <w:rsid w:val="00AF7D74"/>
    <w:rsid w:val="00B03CA8"/>
    <w:rsid w:val="00B04B17"/>
    <w:rsid w:val="00B10A59"/>
    <w:rsid w:val="00B16025"/>
    <w:rsid w:val="00B161BE"/>
    <w:rsid w:val="00B17490"/>
    <w:rsid w:val="00B21249"/>
    <w:rsid w:val="00B21E83"/>
    <w:rsid w:val="00B26034"/>
    <w:rsid w:val="00B27154"/>
    <w:rsid w:val="00B27AE5"/>
    <w:rsid w:val="00B33C0A"/>
    <w:rsid w:val="00B37272"/>
    <w:rsid w:val="00B469F8"/>
    <w:rsid w:val="00B54DAD"/>
    <w:rsid w:val="00B55E19"/>
    <w:rsid w:val="00B61408"/>
    <w:rsid w:val="00B65079"/>
    <w:rsid w:val="00B7142F"/>
    <w:rsid w:val="00B73938"/>
    <w:rsid w:val="00B75F0C"/>
    <w:rsid w:val="00B806FF"/>
    <w:rsid w:val="00B81734"/>
    <w:rsid w:val="00B870CD"/>
    <w:rsid w:val="00B92700"/>
    <w:rsid w:val="00B94758"/>
    <w:rsid w:val="00B96176"/>
    <w:rsid w:val="00B97251"/>
    <w:rsid w:val="00BA0B91"/>
    <w:rsid w:val="00BA27F6"/>
    <w:rsid w:val="00BA2B58"/>
    <w:rsid w:val="00BA4B6D"/>
    <w:rsid w:val="00BB26C5"/>
    <w:rsid w:val="00BC2C56"/>
    <w:rsid w:val="00BD4185"/>
    <w:rsid w:val="00BD5ED7"/>
    <w:rsid w:val="00BE498B"/>
    <w:rsid w:val="00BE524F"/>
    <w:rsid w:val="00BF29DE"/>
    <w:rsid w:val="00BF3018"/>
    <w:rsid w:val="00BF3353"/>
    <w:rsid w:val="00BF33A3"/>
    <w:rsid w:val="00BF3AC8"/>
    <w:rsid w:val="00BF4DE6"/>
    <w:rsid w:val="00BF6A93"/>
    <w:rsid w:val="00C033E5"/>
    <w:rsid w:val="00C06B13"/>
    <w:rsid w:val="00C07FE8"/>
    <w:rsid w:val="00C22D40"/>
    <w:rsid w:val="00C266BE"/>
    <w:rsid w:val="00C27D25"/>
    <w:rsid w:val="00C31757"/>
    <w:rsid w:val="00C336A7"/>
    <w:rsid w:val="00C375BE"/>
    <w:rsid w:val="00C37C18"/>
    <w:rsid w:val="00C40B14"/>
    <w:rsid w:val="00C42541"/>
    <w:rsid w:val="00C42CDE"/>
    <w:rsid w:val="00C42E6A"/>
    <w:rsid w:val="00C4332D"/>
    <w:rsid w:val="00C44ABB"/>
    <w:rsid w:val="00C511B7"/>
    <w:rsid w:val="00C5182A"/>
    <w:rsid w:val="00C56A5A"/>
    <w:rsid w:val="00C60EA6"/>
    <w:rsid w:val="00C63EE9"/>
    <w:rsid w:val="00C850CB"/>
    <w:rsid w:val="00C85FEC"/>
    <w:rsid w:val="00C86FB3"/>
    <w:rsid w:val="00C907D1"/>
    <w:rsid w:val="00C926DE"/>
    <w:rsid w:val="00C95F86"/>
    <w:rsid w:val="00CA0845"/>
    <w:rsid w:val="00CA16F3"/>
    <w:rsid w:val="00CA217D"/>
    <w:rsid w:val="00CA37B1"/>
    <w:rsid w:val="00CA7A97"/>
    <w:rsid w:val="00CB0452"/>
    <w:rsid w:val="00CB136E"/>
    <w:rsid w:val="00CB1959"/>
    <w:rsid w:val="00CC23AC"/>
    <w:rsid w:val="00CC34D1"/>
    <w:rsid w:val="00CC741B"/>
    <w:rsid w:val="00CD0ABF"/>
    <w:rsid w:val="00CD0E4B"/>
    <w:rsid w:val="00CD1E87"/>
    <w:rsid w:val="00CD5B9A"/>
    <w:rsid w:val="00CD68E9"/>
    <w:rsid w:val="00CE456E"/>
    <w:rsid w:val="00CE4C89"/>
    <w:rsid w:val="00CF07BA"/>
    <w:rsid w:val="00D02933"/>
    <w:rsid w:val="00D0296C"/>
    <w:rsid w:val="00D07425"/>
    <w:rsid w:val="00D110D5"/>
    <w:rsid w:val="00D11A32"/>
    <w:rsid w:val="00D23361"/>
    <w:rsid w:val="00D261ED"/>
    <w:rsid w:val="00D26582"/>
    <w:rsid w:val="00D27B73"/>
    <w:rsid w:val="00D3247C"/>
    <w:rsid w:val="00D32D6F"/>
    <w:rsid w:val="00D34CCB"/>
    <w:rsid w:val="00D37B04"/>
    <w:rsid w:val="00D40133"/>
    <w:rsid w:val="00D40AE7"/>
    <w:rsid w:val="00D45C9B"/>
    <w:rsid w:val="00D5187E"/>
    <w:rsid w:val="00D540C6"/>
    <w:rsid w:val="00D600A6"/>
    <w:rsid w:val="00D61F53"/>
    <w:rsid w:val="00D61F6D"/>
    <w:rsid w:val="00D64BD1"/>
    <w:rsid w:val="00D704BB"/>
    <w:rsid w:val="00D71063"/>
    <w:rsid w:val="00D73217"/>
    <w:rsid w:val="00D738F3"/>
    <w:rsid w:val="00D841B6"/>
    <w:rsid w:val="00D85589"/>
    <w:rsid w:val="00D92254"/>
    <w:rsid w:val="00D93E2A"/>
    <w:rsid w:val="00D942C7"/>
    <w:rsid w:val="00DA174B"/>
    <w:rsid w:val="00DA298B"/>
    <w:rsid w:val="00DA356F"/>
    <w:rsid w:val="00DA3F0E"/>
    <w:rsid w:val="00DC13EE"/>
    <w:rsid w:val="00DC42A3"/>
    <w:rsid w:val="00DC6E57"/>
    <w:rsid w:val="00DC6EFB"/>
    <w:rsid w:val="00DC77FD"/>
    <w:rsid w:val="00DD1037"/>
    <w:rsid w:val="00DE0663"/>
    <w:rsid w:val="00DE084C"/>
    <w:rsid w:val="00DE351A"/>
    <w:rsid w:val="00DE36C4"/>
    <w:rsid w:val="00DF38DE"/>
    <w:rsid w:val="00DF396D"/>
    <w:rsid w:val="00DF703E"/>
    <w:rsid w:val="00E02060"/>
    <w:rsid w:val="00E1462E"/>
    <w:rsid w:val="00E14F51"/>
    <w:rsid w:val="00E16AC7"/>
    <w:rsid w:val="00E25738"/>
    <w:rsid w:val="00E27F6F"/>
    <w:rsid w:val="00E30704"/>
    <w:rsid w:val="00E342F5"/>
    <w:rsid w:val="00E3454B"/>
    <w:rsid w:val="00E357B7"/>
    <w:rsid w:val="00E35D24"/>
    <w:rsid w:val="00E43FA1"/>
    <w:rsid w:val="00E510F7"/>
    <w:rsid w:val="00E53800"/>
    <w:rsid w:val="00E54599"/>
    <w:rsid w:val="00E55F41"/>
    <w:rsid w:val="00E562EE"/>
    <w:rsid w:val="00E5684F"/>
    <w:rsid w:val="00E57F20"/>
    <w:rsid w:val="00E6081F"/>
    <w:rsid w:val="00E6295C"/>
    <w:rsid w:val="00E62B06"/>
    <w:rsid w:val="00E65B6F"/>
    <w:rsid w:val="00E67B35"/>
    <w:rsid w:val="00E72F34"/>
    <w:rsid w:val="00E7349D"/>
    <w:rsid w:val="00E76CAA"/>
    <w:rsid w:val="00E76CAF"/>
    <w:rsid w:val="00E8296D"/>
    <w:rsid w:val="00E8457B"/>
    <w:rsid w:val="00E85368"/>
    <w:rsid w:val="00E929FA"/>
    <w:rsid w:val="00E94A8D"/>
    <w:rsid w:val="00EA04B2"/>
    <w:rsid w:val="00EA16A7"/>
    <w:rsid w:val="00EA1D90"/>
    <w:rsid w:val="00EA20F3"/>
    <w:rsid w:val="00EA5ADE"/>
    <w:rsid w:val="00EB0932"/>
    <w:rsid w:val="00EC04EA"/>
    <w:rsid w:val="00EC71EC"/>
    <w:rsid w:val="00ED0212"/>
    <w:rsid w:val="00ED2831"/>
    <w:rsid w:val="00ED3D1A"/>
    <w:rsid w:val="00ED43D1"/>
    <w:rsid w:val="00ED4430"/>
    <w:rsid w:val="00ED4A01"/>
    <w:rsid w:val="00ED580E"/>
    <w:rsid w:val="00EE3D7F"/>
    <w:rsid w:val="00EE439B"/>
    <w:rsid w:val="00EE4EE1"/>
    <w:rsid w:val="00EF02CD"/>
    <w:rsid w:val="00EF0982"/>
    <w:rsid w:val="00EF12E0"/>
    <w:rsid w:val="00EF2939"/>
    <w:rsid w:val="00EF41AA"/>
    <w:rsid w:val="00EF4574"/>
    <w:rsid w:val="00EF7D07"/>
    <w:rsid w:val="00F0050A"/>
    <w:rsid w:val="00F11180"/>
    <w:rsid w:val="00F13A90"/>
    <w:rsid w:val="00F14C2F"/>
    <w:rsid w:val="00F167E5"/>
    <w:rsid w:val="00F170C3"/>
    <w:rsid w:val="00F17387"/>
    <w:rsid w:val="00F25A93"/>
    <w:rsid w:val="00F2684E"/>
    <w:rsid w:val="00F26B5D"/>
    <w:rsid w:val="00F32784"/>
    <w:rsid w:val="00F33E14"/>
    <w:rsid w:val="00F35AA6"/>
    <w:rsid w:val="00F4182F"/>
    <w:rsid w:val="00F52696"/>
    <w:rsid w:val="00F5404C"/>
    <w:rsid w:val="00F54674"/>
    <w:rsid w:val="00F56117"/>
    <w:rsid w:val="00F64CE6"/>
    <w:rsid w:val="00F70A1B"/>
    <w:rsid w:val="00F729EF"/>
    <w:rsid w:val="00F77CAE"/>
    <w:rsid w:val="00F80821"/>
    <w:rsid w:val="00F82271"/>
    <w:rsid w:val="00F82CED"/>
    <w:rsid w:val="00F83428"/>
    <w:rsid w:val="00F83E21"/>
    <w:rsid w:val="00F87D08"/>
    <w:rsid w:val="00F91C13"/>
    <w:rsid w:val="00F96BB3"/>
    <w:rsid w:val="00F96BB9"/>
    <w:rsid w:val="00F96C62"/>
    <w:rsid w:val="00FA1C2D"/>
    <w:rsid w:val="00FA4EEC"/>
    <w:rsid w:val="00FB7892"/>
    <w:rsid w:val="00FC11EE"/>
    <w:rsid w:val="00FC322F"/>
    <w:rsid w:val="00FC3803"/>
    <w:rsid w:val="00FC7F74"/>
    <w:rsid w:val="00FD1A05"/>
    <w:rsid w:val="00FD3D90"/>
    <w:rsid w:val="00FD3E2F"/>
    <w:rsid w:val="00FD44AA"/>
    <w:rsid w:val="00FD71FB"/>
    <w:rsid w:val="00FE1AA7"/>
    <w:rsid w:val="00FE6D51"/>
    <w:rsid w:val="00FE6F2A"/>
    <w:rsid w:val="00FE7C03"/>
    <w:rsid w:val="00FF01A9"/>
    <w:rsid w:val="00FF3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C2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97"/>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0A3DA9"/>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1A4C27"/>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A3DA9"/>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DA9"/>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A4C2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0A3DA9"/>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0A3DA9"/>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A3DA9"/>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0A3DA9"/>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ASI Footer"/>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link w:val="ListParagraphChar"/>
    <w:uiPriority w:val="34"/>
    <w:qFormat/>
    <w:locked/>
    <w:rsid w:val="00E02060"/>
    <w:pPr>
      <w:ind w:left="720"/>
      <w:contextualSpacing/>
    </w:pPr>
  </w:style>
  <w:style w:type="paragraph" w:customStyle="1" w:styleId="Normal1">
    <w:name w:val="Normal1"/>
    <w:rsid w:val="00E02060"/>
    <w:pPr>
      <w:widowControl w:val="0"/>
      <w:spacing w:after="0" w:line="240" w:lineRule="auto"/>
    </w:pPr>
    <w:rPr>
      <w:rFonts w:ascii="Calibri" w:eastAsia="Calibri" w:hAnsi="Calibri" w:cs="Calibri"/>
      <w:color w:val="000000"/>
      <w:sz w:val="24"/>
      <w:szCs w:val="24"/>
    </w:rPr>
  </w:style>
  <w:style w:type="table" w:customStyle="1" w:styleId="ListTable4-Accent14">
    <w:name w:val="List Table 4 - Accent 14"/>
    <w:basedOn w:val="TableNormal"/>
    <w:next w:val="ListTable4-Accent1"/>
    <w:uiPriority w:val="49"/>
    <w:rsid w:val="00E020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customStyle="1" w:styleId="ListParagraphChar">
    <w:name w:val="List Paragraph Char"/>
    <w:link w:val="ListParagraph"/>
    <w:uiPriority w:val="34"/>
    <w:locked/>
    <w:rsid w:val="00E02060"/>
    <w:rPr>
      <w:color w:val="495965" w:themeColor="text2"/>
      <w:lang w:val="en-GB"/>
    </w:rPr>
  </w:style>
  <w:style w:type="table" w:styleId="ListTable4-Accent1">
    <w:name w:val="List Table 4 Accent 1"/>
    <w:basedOn w:val="TableNormal"/>
    <w:uiPriority w:val="49"/>
    <w:locked/>
    <w:rsid w:val="00E02060"/>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tcBorders>
        <w:shd w:val="clear" w:color="auto" w:fill="65C5B4" w:themeFill="accent1"/>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paragraph" w:customStyle="1" w:styleId="Tablebullet">
    <w:name w:val="Table bullet"/>
    <w:basedOn w:val="ListParagraph"/>
    <w:link w:val="TablebulletChar"/>
    <w:qFormat/>
    <w:rsid w:val="00740C35"/>
    <w:pPr>
      <w:numPr>
        <w:numId w:val="35"/>
      </w:numPr>
      <w:spacing w:before="60"/>
      <w:ind w:left="349"/>
    </w:pPr>
    <w:rPr>
      <w:rFonts w:asciiTheme="majorHAnsi" w:hAnsiTheme="majorHAnsi"/>
    </w:rPr>
  </w:style>
  <w:style w:type="character" w:styleId="EndnoteReference">
    <w:name w:val="endnote reference"/>
    <w:basedOn w:val="DefaultParagraphFont"/>
    <w:uiPriority w:val="99"/>
    <w:semiHidden/>
    <w:unhideWhenUsed/>
    <w:rsid w:val="006679D3"/>
    <w:rPr>
      <w:vertAlign w:val="superscript"/>
    </w:rPr>
  </w:style>
  <w:style w:type="character" w:customStyle="1" w:styleId="TablebulletChar">
    <w:name w:val="Table bullet Char"/>
    <w:basedOn w:val="ListParagraphChar"/>
    <w:link w:val="Tablebullet"/>
    <w:rsid w:val="00740C35"/>
    <w:rPr>
      <w:rFonts w:asciiTheme="majorHAnsi" w:hAnsiTheme="majorHAnsi"/>
      <w:color w:val="495965" w:themeColor="text2"/>
      <w:lang w:val="en-GB"/>
    </w:rPr>
  </w:style>
  <w:style w:type="character" w:styleId="PlaceholderText">
    <w:name w:val="Placeholder Text"/>
    <w:basedOn w:val="DefaultParagraphFont"/>
    <w:uiPriority w:val="99"/>
    <w:semiHidden/>
    <w:locked/>
    <w:rsid w:val="00AB6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507">
      <w:bodyDiv w:val="1"/>
      <w:marLeft w:val="0"/>
      <w:marRight w:val="0"/>
      <w:marTop w:val="0"/>
      <w:marBottom w:val="0"/>
      <w:divBdr>
        <w:top w:val="none" w:sz="0" w:space="0" w:color="auto"/>
        <w:left w:val="none" w:sz="0" w:space="0" w:color="auto"/>
        <w:bottom w:val="none" w:sz="0" w:space="0" w:color="auto"/>
        <w:right w:val="none" w:sz="0" w:space="0" w:color="auto"/>
      </w:divBdr>
    </w:div>
    <w:div w:id="469442788">
      <w:bodyDiv w:val="1"/>
      <w:marLeft w:val="0"/>
      <w:marRight w:val="0"/>
      <w:marTop w:val="0"/>
      <w:marBottom w:val="0"/>
      <w:divBdr>
        <w:top w:val="none" w:sz="0" w:space="0" w:color="auto"/>
        <w:left w:val="none" w:sz="0" w:space="0" w:color="auto"/>
        <w:bottom w:val="none" w:sz="0" w:space="0" w:color="auto"/>
        <w:right w:val="none" w:sz="0" w:space="0" w:color="auto"/>
      </w:divBdr>
    </w:div>
    <w:div w:id="501549786">
      <w:bodyDiv w:val="1"/>
      <w:marLeft w:val="0"/>
      <w:marRight w:val="0"/>
      <w:marTop w:val="0"/>
      <w:marBottom w:val="0"/>
      <w:divBdr>
        <w:top w:val="none" w:sz="0" w:space="0" w:color="auto"/>
        <w:left w:val="none" w:sz="0" w:space="0" w:color="auto"/>
        <w:bottom w:val="none" w:sz="0" w:space="0" w:color="auto"/>
        <w:right w:val="none" w:sz="0" w:space="0" w:color="auto"/>
      </w:divBdr>
    </w:div>
    <w:div w:id="679504393">
      <w:bodyDiv w:val="1"/>
      <w:marLeft w:val="0"/>
      <w:marRight w:val="0"/>
      <w:marTop w:val="0"/>
      <w:marBottom w:val="0"/>
      <w:divBdr>
        <w:top w:val="none" w:sz="0" w:space="0" w:color="auto"/>
        <w:left w:val="none" w:sz="0" w:space="0" w:color="auto"/>
        <w:bottom w:val="none" w:sz="0" w:space="0" w:color="auto"/>
        <w:right w:val="none" w:sz="0" w:space="0" w:color="auto"/>
      </w:divBdr>
      <w:divsChild>
        <w:div w:id="741147128">
          <w:marLeft w:val="0"/>
          <w:marRight w:val="0"/>
          <w:marTop w:val="0"/>
          <w:marBottom w:val="0"/>
          <w:divBdr>
            <w:top w:val="none" w:sz="0" w:space="0" w:color="auto"/>
            <w:left w:val="none" w:sz="0" w:space="0" w:color="auto"/>
            <w:bottom w:val="none" w:sz="0" w:space="0" w:color="auto"/>
            <w:right w:val="none" w:sz="0" w:space="0" w:color="auto"/>
          </w:divBdr>
        </w:div>
        <w:div w:id="366489598">
          <w:marLeft w:val="0"/>
          <w:marRight w:val="0"/>
          <w:marTop w:val="0"/>
          <w:marBottom w:val="0"/>
          <w:divBdr>
            <w:top w:val="none" w:sz="0" w:space="0" w:color="auto"/>
            <w:left w:val="none" w:sz="0" w:space="0" w:color="auto"/>
            <w:bottom w:val="none" w:sz="0" w:space="0" w:color="auto"/>
            <w:right w:val="none" w:sz="0" w:space="0" w:color="auto"/>
          </w:divBdr>
        </w:div>
      </w:divsChild>
    </w:div>
    <w:div w:id="1056472418">
      <w:bodyDiv w:val="1"/>
      <w:marLeft w:val="0"/>
      <w:marRight w:val="0"/>
      <w:marTop w:val="0"/>
      <w:marBottom w:val="0"/>
      <w:divBdr>
        <w:top w:val="none" w:sz="0" w:space="0" w:color="auto"/>
        <w:left w:val="none" w:sz="0" w:space="0" w:color="auto"/>
        <w:bottom w:val="none" w:sz="0" w:space="0" w:color="auto"/>
        <w:right w:val="none" w:sz="0" w:space="0" w:color="auto"/>
      </w:divBdr>
    </w:div>
    <w:div w:id="1225137853">
      <w:bodyDiv w:val="1"/>
      <w:marLeft w:val="0"/>
      <w:marRight w:val="0"/>
      <w:marTop w:val="0"/>
      <w:marBottom w:val="0"/>
      <w:divBdr>
        <w:top w:val="none" w:sz="0" w:space="0" w:color="auto"/>
        <w:left w:val="none" w:sz="0" w:space="0" w:color="auto"/>
        <w:bottom w:val="none" w:sz="0" w:space="0" w:color="auto"/>
        <w:right w:val="none" w:sz="0" w:space="0" w:color="auto"/>
      </w:divBdr>
    </w:div>
    <w:div w:id="21450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F30965-A1A3-442F-BE75-BE07C7EC9F09}"/>
</file>

<file path=customXml/itemProps2.xml><?xml version="1.0" encoding="utf-8"?>
<ds:datastoreItem xmlns:ds="http://schemas.openxmlformats.org/officeDocument/2006/customXml" ds:itemID="{DF098D2F-9EB2-4900-8E1A-6204AAE299E3}"/>
</file>

<file path=customXml/itemProps3.xml><?xml version="1.0" encoding="utf-8"?>
<ds:datastoreItem xmlns:ds="http://schemas.openxmlformats.org/officeDocument/2006/customXml" ds:itemID="{8F86D9DE-B6C9-4884-90F6-D5B44C906A2D}"/>
</file>

<file path=customXml/itemProps4.xml><?xml version="1.0" encoding="utf-8"?>
<ds:datastoreItem xmlns:ds="http://schemas.openxmlformats.org/officeDocument/2006/customXml" ds:itemID="{5D4EF2CC-434A-4A5D-AB8D-757D6014A3CB}"/>
</file>

<file path=docProps/app.xml><?xml version="1.0" encoding="utf-8"?>
<Properties xmlns="http://schemas.openxmlformats.org/officeDocument/2006/extended-properties" xmlns:vt="http://schemas.openxmlformats.org/officeDocument/2006/docPropsVTypes">
  <Template>Normal.dotm</Template>
  <TotalTime>0</TotalTime>
  <Pages>4</Pages>
  <Words>2338</Words>
  <Characters>13327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2019-02-28T02:59:00Z</dcterms:created>
  <dcterms:modified xsi:type="dcterms:W3CDTF">2019-02-28T02:59:00Z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167a3933-8f75-456d-b9f1-40e1f65b8a46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