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5.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285" w:tblpY="5104"/>
        <w:tblOverlap w:val="never"/>
        <w:tblW w:w="11340" w:type="dxa"/>
        <w:tblLayout w:type="fixed"/>
        <w:tblCellMar>
          <w:left w:w="0" w:type="dxa"/>
          <w:right w:w="0" w:type="dxa"/>
        </w:tblCellMar>
        <w:tblLook w:val="04A0" w:firstRow="1" w:lastRow="0" w:firstColumn="1" w:lastColumn="0" w:noHBand="0" w:noVBand="1"/>
      </w:tblPr>
      <w:tblGrid>
        <w:gridCol w:w="11340"/>
      </w:tblGrid>
      <w:tr w:rsidR="00E75E3B" w:rsidRPr="00E968E5" w14:paraId="16F17673" w14:textId="77777777" w:rsidTr="00E968E5">
        <w:trPr>
          <w:trHeight w:hRule="exact" w:val="6804"/>
        </w:trPr>
        <w:tc>
          <w:tcPr>
            <w:tcW w:w="10204" w:type="dxa"/>
            <w:shd w:val="clear" w:color="auto" w:fill="auto"/>
          </w:tcPr>
          <w:p w14:paraId="4CA51AD5" w14:textId="3B710772" w:rsidR="00E75E3B" w:rsidRPr="003E151C" w:rsidRDefault="00E948EB" w:rsidP="003E151C">
            <w:bookmarkStart w:id="0" w:name="_GoBack"/>
            <w:bookmarkEnd w:id="0"/>
            <w:r w:rsidRPr="00E948EB">
              <w:rPr>
                <w:noProof/>
                <w:lang w:eastAsia="en-AU"/>
              </w:rPr>
              <w:drawing>
                <wp:inline distT="0" distB="0" distL="0" distR="0" wp14:anchorId="511C9C1B" wp14:editId="0EB35FF8">
                  <wp:extent cx="7200900" cy="4438650"/>
                  <wp:effectExtent l="0" t="0" r="0" b="0"/>
                  <wp:docPr id="4" name="Picture 4" descr="H:\1. work documents\Working drafts\climate change\report\Tonga photo.jpg" title="People gathering seafood at low tide in Nuku'alofa, To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 work documents\Working drafts\climate change\report\Tonga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0" cy="4438650"/>
                          </a:xfrm>
                          <a:prstGeom prst="rect">
                            <a:avLst/>
                          </a:prstGeom>
                          <a:noFill/>
                          <a:ln>
                            <a:noFill/>
                          </a:ln>
                        </pic:spPr>
                      </pic:pic>
                    </a:graphicData>
                  </a:graphic>
                </wp:inline>
              </w:drawing>
            </w:r>
          </w:p>
          <w:p w14:paraId="75033411" w14:textId="77777777" w:rsidR="00E75E3B" w:rsidRPr="00E968E5" w:rsidRDefault="00E75E3B" w:rsidP="00E968E5">
            <w:pPr>
              <w:pStyle w:val="NoSpacing"/>
            </w:pPr>
          </w:p>
        </w:tc>
      </w:tr>
    </w:tbl>
    <w:p w14:paraId="4859E06F" w14:textId="281936BC" w:rsidR="00F508EE" w:rsidRDefault="00FD3A47" w:rsidP="00AF0ECF">
      <w:pPr>
        <w:pStyle w:val="Title"/>
        <w:framePr w:wrap="around"/>
      </w:pPr>
      <w:r>
        <w:t xml:space="preserve">investing in the future: </w:t>
      </w:r>
      <w:r w:rsidR="00E968E5">
        <w:t xml:space="preserve">Evaluation of </w:t>
      </w:r>
      <w:r w:rsidR="002B0D51">
        <w:t xml:space="preserve">Australia’s </w:t>
      </w:r>
      <w:r w:rsidR="00E968E5">
        <w:t>climate change assistance</w:t>
      </w:r>
    </w:p>
    <w:p w14:paraId="3B03E72E" w14:textId="3FC49559" w:rsidR="00F508EE" w:rsidRDefault="00FA63AE" w:rsidP="00AF0ECF">
      <w:pPr>
        <w:pStyle w:val="Date"/>
        <w:framePr w:wrap="around"/>
      </w:pPr>
      <w:r>
        <w:t>July</w:t>
      </w:r>
      <w:r w:rsidR="00721C20">
        <w:t xml:space="preserve"> 2018</w:t>
      </w:r>
    </w:p>
    <w:p w14:paraId="1FC895EC" w14:textId="77777777" w:rsidR="00E75E3B" w:rsidRDefault="00E75E3B">
      <w:pPr>
        <w:sectPr w:rsidR="00E75E3B" w:rsidSect="00CA055E">
          <w:headerReference w:type="default" r:id="rId10"/>
          <w:pgSz w:w="11906" w:h="16838"/>
          <w:pgMar w:top="1152" w:right="850" w:bottom="851" w:left="851" w:header="510" w:footer="510" w:gutter="0"/>
          <w:cols w:space="708"/>
          <w:docGrid w:linePitch="360"/>
        </w:sectPr>
      </w:pPr>
    </w:p>
    <w:p w14:paraId="6D2C39C7" w14:textId="77777777" w:rsidR="00E75E3B" w:rsidRPr="003E151C" w:rsidRDefault="00E75E3B" w:rsidP="003E151C">
      <w:r w:rsidRPr="00E968E5">
        <w:br w:type="page"/>
      </w:r>
    </w:p>
    <w:p w14:paraId="54B1663A" w14:textId="015B81EE" w:rsidR="005E614E" w:rsidRPr="00137AF0" w:rsidRDefault="005E614E" w:rsidP="005E614E">
      <w:r w:rsidRPr="00137AF0">
        <w:lastRenderedPageBreak/>
        <w:t xml:space="preserve">© Commonwealth of Australia </w:t>
      </w:r>
      <w:r w:rsidR="00DB5D57" w:rsidRPr="00137AF0">
        <w:t>201</w:t>
      </w:r>
      <w:r w:rsidR="00DB5D57">
        <w:t>8</w:t>
      </w:r>
      <w:r w:rsidR="00DB5D57" w:rsidRPr="00137AF0">
        <w:t xml:space="preserve"> </w:t>
      </w:r>
      <w:r w:rsidRPr="00137AF0">
        <w:t>ISBN 978 0 99</w:t>
      </w:r>
      <w:r w:rsidR="003D4989">
        <w:t>54465</w:t>
      </w:r>
      <w:r w:rsidRPr="00137AF0">
        <w:t xml:space="preserve"> </w:t>
      </w:r>
      <w:r w:rsidR="003D4989">
        <w:t>5</w:t>
      </w:r>
      <w:r w:rsidRPr="00137AF0">
        <w:t xml:space="preserve"> </w:t>
      </w:r>
      <w:r w:rsidR="003D4989">
        <w:t>7</w:t>
      </w:r>
    </w:p>
    <w:p w14:paraId="34AB9E4E" w14:textId="77777777" w:rsidR="00F508EE" w:rsidRPr="005B6247" w:rsidRDefault="005E614E" w:rsidP="005E614E">
      <w:pPr>
        <w:rPr>
          <w:rStyle w:val="Strong"/>
          <w:b w:val="0"/>
        </w:rPr>
      </w:pPr>
      <w:r w:rsidRPr="00137AF0">
        <w:rPr>
          <w:rStyle w:val="Strong"/>
        </w:rPr>
        <w:t>Authors:</w:t>
      </w:r>
      <w:r w:rsidR="00C7714A">
        <w:rPr>
          <w:rStyle w:val="Strong"/>
        </w:rPr>
        <w:t xml:space="preserve"> </w:t>
      </w:r>
      <w:r w:rsidR="005B6247" w:rsidRPr="005B6247">
        <w:rPr>
          <w:rStyle w:val="Strong"/>
          <w:b w:val="0"/>
        </w:rPr>
        <w:t>Julian Gayfer, Kari</w:t>
      </w:r>
      <w:r w:rsidR="005B6247">
        <w:rPr>
          <w:rStyle w:val="Strong"/>
          <w:b w:val="0"/>
        </w:rPr>
        <w:t xml:space="preserve"> Sann, Brian Dawson and</w:t>
      </w:r>
      <w:r w:rsidR="005B6247" w:rsidRPr="005B6247">
        <w:rPr>
          <w:rStyle w:val="Strong"/>
          <w:b w:val="0"/>
        </w:rPr>
        <w:t xml:space="preserve"> Tracey McMartin</w:t>
      </w:r>
    </w:p>
    <w:p w14:paraId="36E4EB01" w14:textId="12114204" w:rsidR="005E614E" w:rsidRPr="00137AF0" w:rsidRDefault="005E614E" w:rsidP="005E614E">
      <w:r w:rsidRPr="00137AF0">
        <w:t>Published by the Department of Foreign Affairs and Trade, Canberra, 201</w:t>
      </w:r>
      <w:r w:rsidR="004F1A12">
        <w:t>8</w:t>
      </w:r>
      <w:r w:rsidRPr="00137AF0">
        <w:t>.</w:t>
      </w:r>
    </w:p>
    <w:p w14:paraId="071868F2" w14:textId="77777777" w:rsidR="005E614E" w:rsidRPr="00137AF0" w:rsidRDefault="005E614E" w:rsidP="005E614E">
      <w:r w:rsidRPr="00137AF0">
        <w:rPr>
          <w:rStyle w:val="Strong"/>
        </w:rPr>
        <w:t>Disclaimer:</w:t>
      </w:r>
      <w:r w:rsidRPr="00137AF0">
        <w:t xml:space="preserve"> The views contained in this report do not necessarily represent those of the Australian Government.</w:t>
      </w:r>
    </w:p>
    <w:p w14:paraId="4E7ECEC0" w14:textId="1DAB0EF2" w:rsidR="005E614E" w:rsidRPr="00137AF0" w:rsidRDefault="005E614E" w:rsidP="005E614E">
      <w:r w:rsidRPr="00137AF0">
        <w:t>With the exception of the Commonwealth Coat of Arms and where otherwise noted all material presented in this document is provided under a Creative Co</w:t>
      </w:r>
      <w:r>
        <w:t xml:space="preserve">mmons Attribution 3.0 Australia </w:t>
      </w:r>
      <w:r w:rsidR="00C7714A" w:rsidRPr="00137AF0">
        <w:t xml:space="preserve">licence </w:t>
      </w:r>
      <w:r w:rsidRPr="00137AF0">
        <w:t>(</w:t>
      </w:r>
      <w:hyperlink r:id="rId11" w:history="1">
        <w:r w:rsidRPr="00303FFF">
          <w:rPr>
            <w:rStyle w:val="Hyperlink"/>
          </w:rPr>
          <w:t>http://creativecommons.org/licenses/by/3.0/au/</w:t>
        </w:r>
      </w:hyperlink>
      <w:r w:rsidRPr="00137AF0">
        <w:t xml:space="preserve">). The details of the relevant licence conditions are available on the Creative Commons website (accessible using the links provided) as is the full legal code for the CC BY 3.0 AU licence (http://creativecommons.org/licenses/by/3.0/au/legalcode). The document must be attributed as Office of Development Effectiveness, </w:t>
      </w:r>
      <w:r w:rsidR="00F508EE" w:rsidRPr="00327B41">
        <w:rPr>
          <w:rStyle w:val="Bodyitalics"/>
        </w:rPr>
        <w:t xml:space="preserve">Evaluation of </w:t>
      </w:r>
      <w:r w:rsidR="00C7714A">
        <w:rPr>
          <w:rStyle w:val="Bodyitalics"/>
        </w:rPr>
        <w:t>Australia’s climate change assistance</w:t>
      </w:r>
      <w:r w:rsidR="00F508EE" w:rsidRPr="00327B41">
        <w:rPr>
          <w:rStyle w:val="Bodyitalics"/>
        </w:rPr>
        <w:t xml:space="preserve">: </w:t>
      </w:r>
      <w:r w:rsidR="00C7714A">
        <w:rPr>
          <w:rStyle w:val="Bodyitalics"/>
        </w:rPr>
        <w:t>f</w:t>
      </w:r>
      <w:r w:rsidR="00F508EE" w:rsidRPr="00327B41">
        <w:rPr>
          <w:rStyle w:val="Bodyitalics"/>
        </w:rPr>
        <w:t xml:space="preserve">inal </w:t>
      </w:r>
      <w:r w:rsidR="00C7714A">
        <w:rPr>
          <w:rStyle w:val="Bodyitalics"/>
        </w:rPr>
        <w:t>r</w:t>
      </w:r>
      <w:r w:rsidR="00F508EE" w:rsidRPr="00327B41">
        <w:rPr>
          <w:rStyle w:val="Bodyitalics"/>
        </w:rPr>
        <w:t>eport</w:t>
      </w:r>
      <w:r w:rsidR="00F508EE" w:rsidRPr="00F508EE">
        <w:rPr>
          <w:i/>
        </w:rPr>
        <w:t>,</w:t>
      </w:r>
      <w:r w:rsidRPr="00137AF0">
        <w:t xml:space="preserve"> </w:t>
      </w:r>
      <w:r w:rsidR="00995CBD">
        <w:t xml:space="preserve">Department of Foreign Affairs and Trade, </w:t>
      </w:r>
      <w:r w:rsidRPr="00137AF0">
        <w:t>Canberra, 201</w:t>
      </w:r>
      <w:r w:rsidR="004F1A12">
        <w:t>8</w:t>
      </w:r>
      <w:r w:rsidRPr="00137AF0">
        <w:t>.</w:t>
      </w:r>
    </w:p>
    <w:p w14:paraId="71CE767C" w14:textId="77777777" w:rsidR="005E614E" w:rsidRPr="00137AF0" w:rsidRDefault="005E614E" w:rsidP="005E614E">
      <w:r w:rsidRPr="00137AF0">
        <w:t>This document is online at dfat.gov.au/ode</w:t>
      </w:r>
    </w:p>
    <w:p w14:paraId="18A471FA" w14:textId="77777777" w:rsidR="00F508EE" w:rsidRDefault="005E614E" w:rsidP="005E614E">
      <w:r w:rsidRPr="00137AF0">
        <w:rPr>
          <w:rStyle w:val="Strong"/>
        </w:rPr>
        <w:t>Disclaimer:</w:t>
      </w:r>
      <w:r w:rsidRPr="00137AF0">
        <w:t xml:space="preserve"> The views contained in this report do not necessarily represent those of the Australian Government.</w:t>
      </w:r>
    </w:p>
    <w:p w14:paraId="77B55244" w14:textId="77777777" w:rsidR="005E614E" w:rsidRPr="00137AF0" w:rsidRDefault="005E614E" w:rsidP="005E614E">
      <w:r w:rsidRPr="00137AF0">
        <w:t>For further information, contact:</w:t>
      </w:r>
    </w:p>
    <w:p w14:paraId="022201BA" w14:textId="77777777" w:rsidR="005E614E" w:rsidRPr="00137AF0" w:rsidRDefault="005E614E" w:rsidP="005E614E">
      <w:pPr>
        <w:pStyle w:val="NoSpacing"/>
      </w:pPr>
      <w:r w:rsidRPr="00137AF0">
        <w:t>Office of Development Effectiveness</w:t>
      </w:r>
    </w:p>
    <w:p w14:paraId="6DA8FC55" w14:textId="77777777" w:rsidR="00F508EE" w:rsidRDefault="005E614E" w:rsidP="005E614E">
      <w:pPr>
        <w:pStyle w:val="NoSpacing"/>
      </w:pPr>
      <w:r w:rsidRPr="00137AF0">
        <w:t>Department of Foreign Affairs and Trade</w:t>
      </w:r>
    </w:p>
    <w:p w14:paraId="06E538D4" w14:textId="77777777" w:rsidR="005E614E" w:rsidRPr="00137AF0" w:rsidRDefault="005E614E" w:rsidP="005E614E">
      <w:pPr>
        <w:pStyle w:val="NoSpacing"/>
      </w:pPr>
      <w:r w:rsidRPr="00137AF0">
        <w:t>GPO Box 887</w:t>
      </w:r>
    </w:p>
    <w:p w14:paraId="22C1CF72" w14:textId="77777777" w:rsidR="005E614E" w:rsidRPr="00137AF0" w:rsidRDefault="005E614E" w:rsidP="005E614E">
      <w:pPr>
        <w:pStyle w:val="NoSpacing"/>
      </w:pPr>
      <w:r w:rsidRPr="00137AF0">
        <w:t>Canberra ACT 2601</w:t>
      </w:r>
    </w:p>
    <w:p w14:paraId="00400543" w14:textId="77777777" w:rsidR="005E614E" w:rsidRPr="00137AF0" w:rsidRDefault="005E614E" w:rsidP="005E614E">
      <w:pPr>
        <w:pStyle w:val="NoSpacing"/>
      </w:pPr>
      <w:r w:rsidRPr="00137AF0">
        <w:t xml:space="preserve">Phone </w:t>
      </w:r>
      <w:r w:rsidRPr="00137AF0">
        <w:tab/>
        <w:t>(02) 6178 4000</w:t>
      </w:r>
    </w:p>
    <w:p w14:paraId="33167B56" w14:textId="77777777" w:rsidR="005E614E" w:rsidRPr="00137AF0" w:rsidRDefault="005E614E" w:rsidP="005E614E">
      <w:r w:rsidRPr="00137AF0">
        <w:t>Internet</w:t>
      </w:r>
      <w:r w:rsidRPr="00137AF0">
        <w:tab/>
        <w:t>dfat.gov.au/ode</w:t>
      </w:r>
    </w:p>
    <w:p w14:paraId="00865B3A" w14:textId="5AF2559A" w:rsidR="004938C7" w:rsidRPr="004938C7" w:rsidRDefault="005E614E" w:rsidP="005E614E">
      <w:pPr>
        <w:rPr>
          <w:rFonts w:eastAsia="Times New Roman"/>
        </w:rPr>
      </w:pPr>
      <w:r w:rsidRPr="00EF3AF6">
        <w:rPr>
          <w:rStyle w:val="Strong"/>
        </w:rPr>
        <w:t>Cover photo:</w:t>
      </w:r>
      <w:r>
        <w:rPr>
          <w:rStyle w:val="Strong"/>
        </w:rPr>
        <w:t xml:space="preserve"> </w:t>
      </w:r>
      <w:r w:rsidR="00AA26AA" w:rsidRPr="00D57C05">
        <w:rPr>
          <w:rStyle w:val="Strong"/>
          <w:b w:val="0"/>
        </w:rPr>
        <w:t xml:space="preserve">A man, woman and two </w:t>
      </w:r>
      <w:r w:rsidR="00C44324" w:rsidRPr="00C44324">
        <w:rPr>
          <w:rStyle w:val="Strong"/>
          <w:b w:val="0"/>
        </w:rPr>
        <w:t>children</w:t>
      </w:r>
      <w:r w:rsidR="00AA26AA" w:rsidRPr="00D57C05">
        <w:rPr>
          <w:rStyle w:val="Strong"/>
          <w:b w:val="0"/>
        </w:rPr>
        <w:t xml:space="preserve"> wade in water to gather</w:t>
      </w:r>
      <w:r w:rsidR="005B6247">
        <w:rPr>
          <w:rFonts w:eastAsia="Times New Roman"/>
        </w:rPr>
        <w:t xml:space="preserve"> seafood at low tide in Nuku'alofa, Tonga. Photo credit </w:t>
      </w:r>
      <w:r w:rsidR="004938C7">
        <w:rPr>
          <w:rFonts w:eastAsia="Times New Roman"/>
        </w:rPr>
        <w:t>Pacific-Australia Climate Change Science and Adaptation Planning Program.</w:t>
      </w:r>
    </w:p>
    <w:tbl>
      <w:tblPr>
        <w:tblW w:w="0" w:type="auto"/>
        <w:tblCellMar>
          <w:top w:w="284" w:type="dxa"/>
          <w:left w:w="284" w:type="dxa"/>
          <w:bottom w:w="57" w:type="dxa"/>
          <w:right w:w="284" w:type="dxa"/>
        </w:tblCellMar>
        <w:tblLook w:val="04A0" w:firstRow="1" w:lastRow="0" w:firstColumn="1" w:lastColumn="0" w:noHBand="0" w:noVBand="1"/>
      </w:tblPr>
      <w:tblGrid>
        <w:gridCol w:w="10204"/>
      </w:tblGrid>
      <w:tr w:rsidR="005E614E" w:rsidRPr="00E968E5" w14:paraId="3D49B8DC" w14:textId="77777777" w:rsidTr="00E968E5">
        <w:tc>
          <w:tcPr>
            <w:tcW w:w="10204" w:type="dxa"/>
            <w:shd w:val="clear" w:color="auto" w:fill="D0EBE5"/>
          </w:tcPr>
          <w:p w14:paraId="3D667EC9" w14:textId="1DCADBD3" w:rsidR="00F508EE" w:rsidRPr="00196D53" w:rsidRDefault="005E614E" w:rsidP="00D37184">
            <w:pPr>
              <w:pStyle w:val="BoxHeading"/>
              <w:rPr>
                <w:sz w:val="22"/>
              </w:rPr>
            </w:pPr>
            <w:r w:rsidRPr="00196D53">
              <w:rPr>
                <w:sz w:val="22"/>
              </w:rPr>
              <w:t xml:space="preserve">The Office of Development Effectiveness </w:t>
            </w:r>
          </w:p>
          <w:p w14:paraId="201AC023" w14:textId="69D11D67" w:rsidR="005E614E" w:rsidRPr="00196D53" w:rsidRDefault="00971879" w:rsidP="00A93F1F">
            <w:pPr>
              <w:pStyle w:val="BoxText"/>
              <w:spacing w:after="240"/>
              <w:rPr>
                <w:sz w:val="22"/>
              </w:rPr>
            </w:pPr>
            <w:r w:rsidRPr="00971879">
              <w:rPr>
                <w:sz w:val="22"/>
              </w:rPr>
              <w:t xml:space="preserve">The </w:t>
            </w:r>
            <w:bookmarkStart w:id="1" w:name="_Hlk518557445"/>
            <w:r w:rsidRPr="00971879">
              <w:rPr>
                <w:sz w:val="22"/>
              </w:rPr>
              <w:t>Office of Development Effectiveness (ODE)</w:t>
            </w:r>
            <w:bookmarkEnd w:id="1"/>
            <w:r w:rsidRPr="00971879">
              <w:rPr>
                <w:sz w:val="22"/>
              </w:rPr>
              <w:t xml:space="preserve"> is a unit within the </w:t>
            </w:r>
            <w:bookmarkStart w:id="2" w:name="_Hlk518557475"/>
            <w:r w:rsidRPr="00971879">
              <w:rPr>
                <w:sz w:val="22"/>
              </w:rPr>
              <w:t xml:space="preserve">Department of Foreign Affairs and Trade </w:t>
            </w:r>
            <w:r w:rsidR="00AA26AA">
              <w:rPr>
                <w:sz w:val="22"/>
              </w:rPr>
              <w:t xml:space="preserve">(DFAT) </w:t>
            </w:r>
            <w:bookmarkEnd w:id="2"/>
            <w:r w:rsidRPr="00971879">
              <w:rPr>
                <w:sz w:val="22"/>
              </w:rPr>
              <w:t xml:space="preserve">which monitors the quality and assesses the impact of the Australian aid program. ODE conducts independent evaluations of Australian aid and quality assures DFAT’s aid monitoring and performance systems. ODE also supports DFAT program areas to conduct evaluations. The </w:t>
            </w:r>
            <w:bookmarkStart w:id="3" w:name="_Hlk518557489"/>
            <w:r w:rsidRPr="00971879">
              <w:rPr>
                <w:sz w:val="22"/>
              </w:rPr>
              <w:t xml:space="preserve">Independent Evaluation Committee </w:t>
            </w:r>
            <w:bookmarkEnd w:id="3"/>
            <w:r w:rsidRPr="00971879">
              <w:rPr>
                <w:sz w:val="22"/>
              </w:rPr>
              <w:t>oversees ODE’s work, providing independent expert advice on DFAT’s Aid Evaluation Policy, the annual Aid Evaluation Plan, ODE’s strategic evaluations, and ODE’s annual work plan and activities</w:t>
            </w:r>
            <w:r w:rsidR="004938C7" w:rsidRPr="00196D53">
              <w:rPr>
                <w:sz w:val="22"/>
              </w:rPr>
              <w:t>.</w:t>
            </w:r>
            <w:r w:rsidR="00A93F1F">
              <w:rPr>
                <w:sz w:val="22"/>
              </w:rPr>
              <w:t xml:space="preserve">                                                                                                                                                 </w:t>
            </w:r>
            <w:r w:rsidR="00A93F1F" w:rsidRPr="00A93F1F">
              <w:rPr>
                <w:b/>
                <w:sz w:val="22"/>
              </w:rPr>
              <w:t>dfat.gov.au/ode</w:t>
            </w:r>
          </w:p>
        </w:tc>
      </w:tr>
    </w:tbl>
    <w:p w14:paraId="5045A7F6" w14:textId="77777777" w:rsidR="001E6798" w:rsidRDefault="001E6798" w:rsidP="001E6798">
      <w:pPr>
        <w:pStyle w:val="NoSpacing"/>
        <w:sectPr w:rsidR="001E6798" w:rsidSect="00CA055E">
          <w:headerReference w:type="default" r:id="rId12"/>
          <w:footerReference w:type="default" r:id="rId13"/>
          <w:type w:val="continuous"/>
          <w:pgSz w:w="11906" w:h="16838"/>
          <w:pgMar w:top="1440" w:right="850" w:bottom="850" w:left="850" w:header="504" w:footer="504" w:gutter="0"/>
          <w:pgNumType w:fmt="lowerRoman"/>
          <w:cols w:space="708"/>
          <w:docGrid w:linePitch="360"/>
        </w:sectPr>
      </w:pPr>
    </w:p>
    <w:p w14:paraId="1B49729E" w14:textId="77777777" w:rsidR="005D5D93" w:rsidRDefault="005D5D93">
      <w:pPr>
        <w:tabs>
          <w:tab w:val="clear" w:pos="992"/>
        </w:tabs>
        <w:spacing w:after="160" w:line="259" w:lineRule="auto"/>
      </w:pPr>
      <w:r>
        <w:br w:type="page"/>
      </w:r>
    </w:p>
    <w:p w14:paraId="6BBEE09A" w14:textId="77777777" w:rsidR="005D5D93" w:rsidRDefault="00E968E5" w:rsidP="009D3678">
      <w:pPr>
        <w:pStyle w:val="ChapterHead"/>
        <w:framePr w:wrap="around"/>
      </w:pPr>
      <w:bookmarkStart w:id="4" w:name="_Toc510771905"/>
      <w:r>
        <w:lastRenderedPageBreak/>
        <w:t>ForewOrd</w:t>
      </w:r>
      <w:bookmarkEnd w:id="4"/>
    </w:p>
    <w:p w14:paraId="14BB5F8C" w14:textId="77777777" w:rsidR="005D5D93" w:rsidRDefault="005D5D93" w:rsidP="00BD1BE2">
      <w:pPr>
        <w:sectPr w:rsidR="005D5D93" w:rsidSect="00CA055E">
          <w:headerReference w:type="default" r:id="rId14"/>
          <w:type w:val="continuous"/>
          <w:pgSz w:w="11906" w:h="16838"/>
          <w:pgMar w:top="1152" w:right="850" w:bottom="851" w:left="851" w:header="510" w:footer="510" w:gutter="0"/>
          <w:pgNumType w:fmt="lowerRoman"/>
          <w:cols w:space="708"/>
          <w:docGrid w:linePitch="360"/>
        </w:sectPr>
      </w:pPr>
    </w:p>
    <w:p w14:paraId="05ADAF64" w14:textId="77777777" w:rsidR="0016689B" w:rsidRDefault="0016689B" w:rsidP="0016689B"/>
    <w:p w14:paraId="143C6061" w14:textId="0A379DAF" w:rsidR="0016689B" w:rsidRDefault="0016689B" w:rsidP="0016689B">
      <w:r>
        <w:t xml:space="preserve">Climate change and actions to address it are issues of increasing prominence internationally. While the attention and resources given to climate change in Australia’s aid program have varied in recent years, climate change is now squarely on the agenda and its importance is reflected in the Foreign Policy White Paper. The momentum created by the </w:t>
      </w:r>
      <w:bookmarkStart w:id="5" w:name="_Hlk518557554"/>
      <w:r>
        <w:t xml:space="preserve">UNFCCC </w:t>
      </w:r>
      <w:bookmarkEnd w:id="5"/>
      <w:r>
        <w:t xml:space="preserve">process and the </w:t>
      </w:r>
      <w:bookmarkStart w:id="6" w:name="_Hlk518557429"/>
      <w:r>
        <w:t xml:space="preserve">Sustainable Development Goals </w:t>
      </w:r>
      <w:r w:rsidR="00AA26AA">
        <w:t xml:space="preserve">(SDGs) </w:t>
      </w:r>
      <w:bookmarkEnd w:id="6"/>
      <w:r>
        <w:t>will only increase expectations that Australia, along with other donors, assist less advanced countries to pursue adaptation and mitigation actions.</w:t>
      </w:r>
    </w:p>
    <w:p w14:paraId="6B4A336A" w14:textId="09BCDA68" w:rsidR="0016689B" w:rsidRDefault="0016689B" w:rsidP="0016689B">
      <w:r>
        <w:t>This evaluation comes at a point when Australia is seeking to increase the profile of climate change in the aid program, by demonstrating real climate change outcomes and not just tracking the level of spending against commitments. The analysis of past and existing investments in this report identifies what factors support tangible aid outcomes in reducing emissions or increasing resilience to climate change. This provides important lessons for future programming.</w:t>
      </w:r>
    </w:p>
    <w:p w14:paraId="18A362F8" w14:textId="44EFCB65" w:rsidR="0016689B" w:rsidRDefault="0016689B" w:rsidP="0016689B">
      <w:r>
        <w:t xml:space="preserve">The evaluation also looks at how far DFAT has travelled on its journey to integrate climate change into aid management policy, systems and processes, and maps out where the </w:t>
      </w:r>
      <w:r w:rsidR="00695DE5">
        <w:t>d</w:t>
      </w:r>
      <w:r>
        <w:t>epartment could put its efforts to most effect and place it among peers who have a head start on this path.</w:t>
      </w:r>
    </w:p>
    <w:p w14:paraId="4F188881" w14:textId="12A8FB39" w:rsidR="0016689B" w:rsidRDefault="0016689B" w:rsidP="0016689B">
      <w:r>
        <w:t xml:space="preserve">The report acknowledges the important role other </w:t>
      </w:r>
      <w:bookmarkStart w:id="7" w:name="_Hlk518557790"/>
      <w:r>
        <w:t xml:space="preserve">Australian government </w:t>
      </w:r>
      <w:bookmarkEnd w:id="7"/>
      <w:r>
        <w:t>scientific and technical organisations play in the delivery of international climate change assistance. Their expertise, capacity and long-standing relationships, particularly in the Pacific region, have been and continue to be valuable assets for the aid program.</w:t>
      </w:r>
    </w:p>
    <w:p w14:paraId="225B70AC" w14:textId="3E5AAE32" w:rsidR="0016689B" w:rsidRDefault="0016689B" w:rsidP="0016689B">
      <w:r>
        <w:t xml:space="preserve">I am confident the lessons and insights from this evaluation will be a useful resource for both investment managers and those across the </w:t>
      </w:r>
      <w:r w:rsidR="00695DE5">
        <w:t>d</w:t>
      </w:r>
      <w:r>
        <w:t>epartment who have a part to play in integrating climate change into DFAT’s aid systems.</w:t>
      </w:r>
    </w:p>
    <w:p w14:paraId="72790CC6" w14:textId="7106864F" w:rsidR="005E614E" w:rsidRPr="005D5D93" w:rsidRDefault="0045413B" w:rsidP="0016689B">
      <w:r>
        <w:rPr>
          <w:noProof/>
          <w:lang w:eastAsia="en-AU"/>
        </w:rPr>
        <w:drawing>
          <wp:inline distT="0" distB="0" distL="0" distR="0" wp14:anchorId="25DDB3FC" wp14:editId="454E9EEB">
            <wp:extent cx="1133475" cy="962025"/>
            <wp:effectExtent l="0" t="0" r="952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15">
                      <a:extLst>
                        <a:ext uri="{28A0092B-C50C-407E-A947-70E740481C1C}">
                          <a14:useLocalDpi xmlns:a14="http://schemas.microsoft.com/office/drawing/2010/main"/>
                        </a:ext>
                      </a:extLst>
                    </a:blip>
                    <a:stretch>
                      <a:fillRect/>
                    </a:stretch>
                  </pic:blipFill>
                  <pic:spPr>
                    <a:xfrm>
                      <a:off x="0" y="0"/>
                      <a:ext cx="1133475" cy="962025"/>
                    </a:xfrm>
                    <a:prstGeom prst="rect">
                      <a:avLst/>
                    </a:prstGeom>
                  </pic:spPr>
                </pic:pic>
              </a:graphicData>
            </a:graphic>
          </wp:inline>
        </w:drawing>
      </w:r>
    </w:p>
    <w:p w14:paraId="28EC08BC" w14:textId="77777777" w:rsidR="005D5D93" w:rsidRPr="005D5D93" w:rsidRDefault="005D5D93" w:rsidP="005D5D93">
      <w:pPr>
        <w:pStyle w:val="NoSpacing"/>
        <w:rPr>
          <w:rStyle w:val="Strong"/>
        </w:rPr>
      </w:pPr>
      <w:r w:rsidRPr="005D5D93">
        <w:rPr>
          <w:rStyle w:val="Strong"/>
        </w:rPr>
        <w:t>Jim Adams</w:t>
      </w:r>
    </w:p>
    <w:p w14:paraId="0217D111" w14:textId="77777777" w:rsidR="00F508EE" w:rsidRDefault="005D5D93" w:rsidP="005D5D93">
      <w:r w:rsidRPr="005D5D93">
        <w:t>Chair, Independent Evaluation Committee</w:t>
      </w:r>
    </w:p>
    <w:p w14:paraId="66BC3890" w14:textId="77777777" w:rsidR="009452A2" w:rsidRDefault="009452A2" w:rsidP="0022229A">
      <w:pPr>
        <w:pStyle w:val="NoSpacing"/>
        <w:sectPr w:rsidR="009452A2" w:rsidSect="00CA055E">
          <w:headerReference w:type="default" r:id="rId16"/>
          <w:footerReference w:type="default" r:id="rId17"/>
          <w:type w:val="continuous"/>
          <w:pgSz w:w="11906" w:h="16838"/>
          <w:pgMar w:top="1152" w:right="850" w:bottom="851" w:left="851" w:header="510" w:footer="510" w:gutter="0"/>
          <w:pgNumType w:fmt="lowerRoman"/>
          <w:cols w:space="708"/>
          <w:docGrid w:linePitch="360"/>
        </w:sectPr>
      </w:pPr>
    </w:p>
    <w:p w14:paraId="5DD2DFC7" w14:textId="7EA327BC" w:rsidR="009452A2" w:rsidRDefault="009452A2">
      <w:pPr>
        <w:tabs>
          <w:tab w:val="clear" w:pos="992"/>
        </w:tabs>
        <w:spacing w:after="160" w:line="259" w:lineRule="auto"/>
      </w:pPr>
    </w:p>
    <w:p w14:paraId="7DDFC29C" w14:textId="77777777" w:rsidR="00F508EE" w:rsidRDefault="00E968E5" w:rsidP="009D3678">
      <w:pPr>
        <w:pStyle w:val="ChapterHead"/>
        <w:framePr w:wrap="around"/>
      </w:pPr>
      <w:bookmarkStart w:id="8" w:name="_Toc510771906"/>
      <w:r>
        <w:t>Acknowledgements</w:t>
      </w:r>
      <w:bookmarkEnd w:id="8"/>
    </w:p>
    <w:p w14:paraId="0C39DB67" w14:textId="77777777" w:rsidR="009452A2" w:rsidRDefault="009452A2" w:rsidP="00BD1BE2">
      <w:pPr>
        <w:sectPr w:rsidR="009452A2" w:rsidSect="00CA055E">
          <w:headerReference w:type="default" r:id="rId18"/>
          <w:type w:val="continuous"/>
          <w:pgSz w:w="11906" w:h="16838"/>
          <w:pgMar w:top="1152" w:right="850" w:bottom="851" w:left="851" w:header="510" w:footer="510" w:gutter="0"/>
          <w:pgNumType w:fmt="lowerRoman"/>
          <w:cols w:space="708"/>
          <w:docGrid w:linePitch="360"/>
        </w:sectPr>
      </w:pPr>
    </w:p>
    <w:p w14:paraId="22A2B44B" w14:textId="77777777" w:rsidR="009452A2" w:rsidRDefault="009452A2" w:rsidP="0022229A">
      <w:pPr>
        <w:pStyle w:val="NoSpacing"/>
      </w:pPr>
    </w:p>
    <w:p w14:paraId="56EB6BB9" w14:textId="687D2148" w:rsidR="005D6C60" w:rsidRDefault="004E35E3">
      <w:pPr>
        <w:tabs>
          <w:tab w:val="clear" w:pos="992"/>
        </w:tabs>
        <w:spacing w:after="160" w:line="259" w:lineRule="auto"/>
      </w:pPr>
      <w:r w:rsidRPr="00984595">
        <w:t xml:space="preserve">The evaluation team comprised </w:t>
      </w:r>
      <w:r>
        <w:t>three independent consultants</w:t>
      </w:r>
      <w:r w:rsidR="00BF067C">
        <w:t xml:space="preserve">, Julian Gayfer (team leader), Kari Sann </w:t>
      </w:r>
      <w:r w:rsidR="0045413B">
        <w:t xml:space="preserve">(aid management specialist) </w:t>
      </w:r>
      <w:r w:rsidR="00BF067C">
        <w:t>and Brian Dawson</w:t>
      </w:r>
      <w:r w:rsidR="0045413B">
        <w:t xml:space="preserve"> (climate change expert)</w:t>
      </w:r>
      <w:r w:rsidR="00BF067C">
        <w:t xml:space="preserve">. </w:t>
      </w:r>
      <w:r w:rsidR="003B55C0" w:rsidRPr="00984595">
        <w:t>O</w:t>
      </w:r>
      <w:r w:rsidR="00AA26AA">
        <w:t>DE</w:t>
      </w:r>
      <w:r w:rsidR="003B55C0">
        <w:t xml:space="preserve"> </w:t>
      </w:r>
      <w:r w:rsidR="00C95DEC">
        <w:t xml:space="preserve">officers </w:t>
      </w:r>
      <w:r w:rsidR="00BF067C">
        <w:t>Tracey McMartin (evaluation manager) and Sharon Lim (team member) were an integrated part of the team</w:t>
      </w:r>
      <w:r>
        <w:t xml:space="preserve">. </w:t>
      </w:r>
    </w:p>
    <w:p w14:paraId="2090872E" w14:textId="37326BCE" w:rsidR="00475729" w:rsidRDefault="005D6C60">
      <w:pPr>
        <w:tabs>
          <w:tab w:val="clear" w:pos="992"/>
        </w:tabs>
        <w:spacing w:after="160" w:line="259" w:lineRule="auto"/>
      </w:pPr>
      <w:r w:rsidRPr="00984595">
        <w:t xml:space="preserve">The evaluation team would like to </w:t>
      </w:r>
      <w:r>
        <w:t>thank</w:t>
      </w:r>
      <w:r w:rsidR="00AA26AA">
        <w:t xml:space="preserve"> the</w:t>
      </w:r>
      <w:r>
        <w:t xml:space="preserve"> </w:t>
      </w:r>
      <w:r w:rsidR="00E60B1D">
        <w:t xml:space="preserve">staff and management of DFAT’s Sustainability and Climate Change Branch for their strong engagement during the evaluation. ODE is grateful to </w:t>
      </w:r>
      <w:r w:rsidRPr="00984595">
        <w:t xml:space="preserve">DFAT staff </w:t>
      </w:r>
      <w:r>
        <w:t xml:space="preserve">at the Australian Government’s </w:t>
      </w:r>
      <w:r w:rsidR="00E60B1D">
        <w:t>Suva</w:t>
      </w:r>
      <w:r w:rsidR="00475729">
        <w:t xml:space="preserve"> </w:t>
      </w:r>
      <w:r w:rsidR="00FE4860">
        <w:t xml:space="preserve">Post </w:t>
      </w:r>
      <w:r w:rsidR="00475729">
        <w:t>and</w:t>
      </w:r>
      <w:r>
        <w:t xml:space="preserve"> </w:t>
      </w:r>
      <w:r w:rsidR="00475729">
        <w:t>Honiara</w:t>
      </w:r>
      <w:r>
        <w:t xml:space="preserve"> </w:t>
      </w:r>
      <w:r w:rsidR="00FE4860">
        <w:t>P</w:t>
      </w:r>
      <w:r>
        <w:t xml:space="preserve">ost </w:t>
      </w:r>
      <w:r w:rsidRPr="00984595">
        <w:t>for facilitat</w:t>
      </w:r>
      <w:r>
        <w:t>ing</w:t>
      </w:r>
      <w:r w:rsidRPr="00984595">
        <w:t xml:space="preserve"> the team</w:t>
      </w:r>
      <w:r>
        <w:t>’</w:t>
      </w:r>
      <w:r w:rsidRPr="00984595">
        <w:t>s</w:t>
      </w:r>
      <w:r>
        <w:t xml:space="preserve"> fieldwork. </w:t>
      </w:r>
      <w:r w:rsidR="00BF067C">
        <w:t>Special thanks go</w:t>
      </w:r>
      <w:r w:rsidR="00475729">
        <w:t xml:space="preserve"> to Hanoi </w:t>
      </w:r>
      <w:r w:rsidR="00FE4860">
        <w:t>P</w:t>
      </w:r>
      <w:r w:rsidR="00475729">
        <w:t>ost for assisting with remote interview arrangements at an extremely busy time</w:t>
      </w:r>
      <w:r>
        <w:t xml:space="preserve">. </w:t>
      </w:r>
    </w:p>
    <w:p w14:paraId="639EA38F" w14:textId="245E7F66" w:rsidR="00A32C61" w:rsidRDefault="005D6C60">
      <w:pPr>
        <w:tabs>
          <w:tab w:val="clear" w:pos="992"/>
        </w:tabs>
        <w:spacing w:after="160" w:line="259" w:lineRule="auto"/>
      </w:pPr>
      <w:r>
        <w:t xml:space="preserve">Sincere thanks also </w:t>
      </w:r>
      <w:r w:rsidR="00E60B1D">
        <w:t xml:space="preserve">go </w:t>
      </w:r>
      <w:r>
        <w:t xml:space="preserve">to the partner government officials, </w:t>
      </w:r>
      <w:r w:rsidR="00E60B1D">
        <w:t xml:space="preserve">Australian </w:t>
      </w:r>
      <w:r w:rsidR="00551B2A">
        <w:t>g</w:t>
      </w:r>
      <w:r w:rsidR="00E60B1D">
        <w:t xml:space="preserve">overnment partners, </w:t>
      </w:r>
      <w:r w:rsidR="000C6239">
        <w:t xml:space="preserve">implementing partners, </w:t>
      </w:r>
      <w:r>
        <w:t>past and present DFAT staff</w:t>
      </w:r>
      <w:r w:rsidR="00E60B1D">
        <w:t>,</w:t>
      </w:r>
      <w:r>
        <w:t xml:space="preserve"> and members of the evaluation reference group who were interviewed by the evaluation team</w:t>
      </w:r>
      <w:r w:rsidR="00E60B1D">
        <w:t>,</w:t>
      </w:r>
      <w:r>
        <w:t xml:space="preserve"> or provided </w:t>
      </w:r>
      <w:r w:rsidR="00475729">
        <w:t>feedback</w:t>
      </w:r>
      <w:r>
        <w:t xml:space="preserve"> </w:t>
      </w:r>
      <w:r w:rsidR="00E60B1D">
        <w:t>on the evaluation plan and draft report</w:t>
      </w:r>
      <w:r>
        <w:t xml:space="preserve">. </w:t>
      </w:r>
    </w:p>
    <w:p w14:paraId="57F59976" w14:textId="77777777" w:rsidR="00A32C61" w:rsidRDefault="00A32C61" w:rsidP="00A32C61">
      <w:pPr>
        <w:sectPr w:rsidR="00A32C61" w:rsidSect="00CA055E">
          <w:headerReference w:type="default" r:id="rId19"/>
          <w:type w:val="continuous"/>
          <w:pgSz w:w="11906" w:h="16838"/>
          <w:pgMar w:top="1152" w:right="850" w:bottom="851" w:left="851" w:header="510" w:footer="510" w:gutter="0"/>
          <w:pgNumType w:fmt="lowerRoman"/>
          <w:cols w:space="708"/>
          <w:docGrid w:linePitch="360"/>
        </w:sectPr>
      </w:pPr>
    </w:p>
    <w:p w14:paraId="040D2F05" w14:textId="77777777" w:rsidR="00A32C61" w:rsidRDefault="00A32C61" w:rsidP="00A32C61">
      <w:pPr>
        <w:sectPr w:rsidR="00A32C61" w:rsidSect="00CA055E">
          <w:headerReference w:type="default" r:id="rId20"/>
          <w:type w:val="continuous"/>
          <w:pgSz w:w="11906" w:h="16838"/>
          <w:pgMar w:top="1152" w:right="850" w:bottom="851" w:left="851" w:header="510" w:footer="510" w:gutter="0"/>
          <w:pgNumType w:fmt="lowerRoman"/>
          <w:cols w:space="708"/>
          <w:docGrid w:linePitch="360"/>
        </w:sectPr>
      </w:pPr>
    </w:p>
    <w:p w14:paraId="08D17C8E" w14:textId="77777777" w:rsidR="00C323D8" w:rsidRDefault="009452A2" w:rsidP="00C323D8">
      <w:pPr>
        <w:tabs>
          <w:tab w:val="clear" w:pos="992"/>
        </w:tabs>
        <w:spacing w:after="160" w:line="259" w:lineRule="auto"/>
      </w:pPr>
      <w:r>
        <w:br w:type="page"/>
      </w:r>
    </w:p>
    <w:bookmarkStart w:id="9" w:name="_Toc489438337"/>
    <w:bookmarkStart w:id="10" w:name="_Toc510771907"/>
    <w:p w14:paraId="67A40DBA" w14:textId="77777777" w:rsidR="00C323D8" w:rsidRDefault="00825350" w:rsidP="00C323D8">
      <w:pPr>
        <w:pStyle w:val="TOCHeading"/>
        <w:framePr w:wrap="around"/>
      </w:pPr>
      <w:sdt>
        <w:sdtPr>
          <w:id w:val="-2078733036"/>
          <w:text/>
        </w:sdtPr>
        <w:sdtContent>
          <w:r w:rsidR="00C323D8" w:rsidRPr="009452A2" w:rsidDel="00DF2498">
            <w:t>Acronyms and abbreviations</w:t>
          </w:r>
        </w:sdtContent>
      </w:sdt>
      <w:bookmarkEnd w:id="9"/>
      <w:bookmarkEnd w:id="10"/>
    </w:p>
    <w:p w14:paraId="1BAF96FA" w14:textId="77777777" w:rsidR="00C323D8" w:rsidRDefault="00C323D8" w:rsidP="00C323D8"/>
    <w:p w14:paraId="3A3FB8B5" w14:textId="77777777" w:rsidR="000C6239" w:rsidRDefault="000C6239" w:rsidP="000C6239">
      <w:pPr>
        <w:sectPr w:rsidR="000C6239" w:rsidSect="00A32C61">
          <w:headerReference w:type="default" r:id="rId21"/>
          <w:footnotePr>
            <w:numFmt w:val="chicago"/>
            <w:numRestart w:val="eachPage"/>
          </w:footnotePr>
          <w:endnotePr>
            <w:numFmt w:val="decimal"/>
          </w:endnotePr>
          <w:type w:val="continuous"/>
          <w:pgSz w:w="11906" w:h="16838"/>
          <w:pgMar w:top="851" w:right="851" w:bottom="851" w:left="851" w:header="510" w:footer="510" w:gutter="0"/>
          <w:pgNumType w:fmt="lowerRoman"/>
          <w:cols w:space="708"/>
          <w:noEndnote/>
          <w:docGrid w:linePitch="360"/>
        </w:sectPr>
      </w:pPr>
    </w:p>
    <w:p w14:paraId="1871A1CD" w14:textId="76E57E53" w:rsidR="00E57F77" w:rsidRDefault="00E57F77" w:rsidP="000C6239">
      <w:pPr>
        <w:tabs>
          <w:tab w:val="clear" w:pos="992"/>
          <w:tab w:val="clear" w:pos="1418"/>
          <w:tab w:val="left" w:pos="2258"/>
        </w:tabs>
      </w:pPr>
      <w:r>
        <w:t>ACD</w:t>
      </w:r>
      <w:r w:rsidR="00F65C5F">
        <w:tab/>
      </w:r>
      <w:r w:rsidR="00F65C5F" w:rsidRPr="00F65C5F">
        <w:t>Contracting and Aid Management Division</w:t>
      </w:r>
    </w:p>
    <w:p w14:paraId="399DC0F6" w14:textId="7903039F" w:rsidR="00A4465E" w:rsidRPr="00C95DEC" w:rsidRDefault="00A4465E" w:rsidP="000C6239">
      <w:pPr>
        <w:tabs>
          <w:tab w:val="clear" w:pos="992"/>
          <w:tab w:val="clear" w:pos="1418"/>
          <w:tab w:val="left" w:pos="2258"/>
        </w:tabs>
      </w:pPr>
      <w:r>
        <w:t>ACIAR</w:t>
      </w:r>
      <w:r>
        <w:tab/>
      </w:r>
      <w:r w:rsidRPr="00850245">
        <w:t>Australian Centre for International Agricultural Research</w:t>
      </w:r>
    </w:p>
    <w:p w14:paraId="03AEF05D" w14:textId="42D88915" w:rsidR="00AA1555" w:rsidRPr="00850245" w:rsidRDefault="00AA1555" w:rsidP="000C6239">
      <w:pPr>
        <w:tabs>
          <w:tab w:val="clear" w:pos="992"/>
          <w:tab w:val="clear" w:pos="1418"/>
          <w:tab w:val="left" w:pos="2258"/>
        </w:tabs>
      </w:pPr>
      <w:r w:rsidRPr="00C95DEC">
        <w:t>AQC</w:t>
      </w:r>
      <w:r w:rsidRPr="00C95DEC">
        <w:tab/>
        <w:t>aid quality check</w:t>
      </w:r>
    </w:p>
    <w:p w14:paraId="74006299" w14:textId="370B3127" w:rsidR="00A4465E" w:rsidRDefault="00A4465E" w:rsidP="00A4465E">
      <w:pPr>
        <w:tabs>
          <w:tab w:val="clear" w:pos="992"/>
          <w:tab w:val="clear" w:pos="1418"/>
          <w:tab w:val="left" w:pos="2258"/>
        </w:tabs>
      </w:pPr>
      <w:r w:rsidRPr="009D78F3">
        <w:t>AIP</w:t>
      </w:r>
      <w:r w:rsidRPr="009D78F3">
        <w:tab/>
      </w:r>
      <w:r w:rsidR="009D78F3">
        <w:t>a</w:t>
      </w:r>
      <w:r w:rsidRPr="009D78F3">
        <w:t xml:space="preserve">id </w:t>
      </w:r>
      <w:r w:rsidR="009D78F3">
        <w:t>i</w:t>
      </w:r>
      <w:r w:rsidRPr="009D78F3">
        <w:t xml:space="preserve">nvestment </w:t>
      </w:r>
      <w:r w:rsidR="009D78F3">
        <w:t>p</w:t>
      </w:r>
      <w:r w:rsidRPr="009D78F3">
        <w:t>lan</w:t>
      </w:r>
    </w:p>
    <w:p w14:paraId="4DD3817D" w14:textId="77777777" w:rsidR="00F508EE" w:rsidRDefault="00A4465E" w:rsidP="00A4465E">
      <w:pPr>
        <w:tabs>
          <w:tab w:val="clear" w:pos="992"/>
          <w:tab w:val="clear" w:pos="1418"/>
          <w:tab w:val="left" w:pos="2258"/>
        </w:tabs>
      </w:pPr>
      <w:r>
        <w:t>APG</w:t>
      </w:r>
      <w:r>
        <w:tab/>
        <w:t>Aid Programming Guide</w:t>
      </w:r>
    </w:p>
    <w:p w14:paraId="2908AFBF" w14:textId="2F38526F" w:rsidR="00A4465E" w:rsidRDefault="00A4465E" w:rsidP="00A4465E">
      <w:pPr>
        <w:tabs>
          <w:tab w:val="clear" w:pos="992"/>
          <w:tab w:val="clear" w:pos="1418"/>
          <w:tab w:val="left" w:pos="2258"/>
        </w:tabs>
      </w:pPr>
      <w:r w:rsidRPr="00C619D7">
        <w:t>AQC</w:t>
      </w:r>
      <w:r w:rsidRPr="00C619D7">
        <w:tab/>
      </w:r>
      <w:r w:rsidR="00AA1555">
        <w:t>a</w:t>
      </w:r>
      <w:r w:rsidRPr="00C619D7">
        <w:t xml:space="preserve">id </w:t>
      </w:r>
      <w:r w:rsidR="00AA1555">
        <w:t>q</w:t>
      </w:r>
      <w:r w:rsidRPr="00C619D7">
        <w:t xml:space="preserve">uality </w:t>
      </w:r>
      <w:r w:rsidR="00AA1555">
        <w:t>c</w:t>
      </w:r>
      <w:r w:rsidRPr="00C619D7">
        <w:t>heck</w:t>
      </w:r>
    </w:p>
    <w:p w14:paraId="51CDAE00" w14:textId="77777777" w:rsidR="00A4465E" w:rsidRDefault="00A4465E" w:rsidP="00A4465E">
      <w:pPr>
        <w:tabs>
          <w:tab w:val="clear" w:pos="992"/>
          <w:tab w:val="clear" w:pos="1418"/>
          <w:tab w:val="left" w:pos="2258"/>
        </w:tabs>
      </w:pPr>
      <w:r>
        <w:t>BOM</w:t>
      </w:r>
      <w:r>
        <w:tab/>
        <w:t>Bureau of Meteorology</w:t>
      </w:r>
    </w:p>
    <w:p w14:paraId="5A992950" w14:textId="3FEF2341" w:rsidR="00A4465E" w:rsidRDefault="00A4465E" w:rsidP="00A4465E">
      <w:pPr>
        <w:tabs>
          <w:tab w:val="clear" w:pos="992"/>
          <w:tab w:val="clear" w:pos="1418"/>
          <w:tab w:val="left" w:pos="2258"/>
        </w:tabs>
      </w:pPr>
      <w:r>
        <w:t>CBDRM</w:t>
      </w:r>
      <w:r>
        <w:tab/>
      </w:r>
      <w:r w:rsidR="00695DE5" w:rsidRPr="00AA1555">
        <w:t>c</w:t>
      </w:r>
      <w:r w:rsidRPr="00AA1555">
        <w:t xml:space="preserve">ommunity-based </w:t>
      </w:r>
      <w:r w:rsidR="00695DE5" w:rsidRPr="00AA1555">
        <w:t>d</w:t>
      </w:r>
      <w:r w:rsidRPr="00AA1555">
        <w:t xml:space="preserve">isaster </w:t>
      </w:r>
      <w:r w:rsidR="00695DE5" w:rsidRPr="00AA1555">
        <w:t>r</w:t>
      </w:r>
      <w:r w:rsidRPr="00AA1555">
        <w:t xml:space="preserve">isk </w:t>
      </w:r>
      <w:r w:rsidR="00695DE5" w:rsidRPr="00AA1555">
        <w:t>m</w:t>
      </w:r>
      <w:r w:rsidRPr="00AA1555">
        <w:t>anagement</w:t>
      </w:r>
    </w:p>
    <w:p w14:paraId="1E3B9CC2" w14:textId="34A3D660" w:rsidR="00E57F77" w:rsidRDefault="00E57F77" w:rsidP="00A4465E">
      <w:pPr>
        <w:tabs>
          <w:tab w:val="clear" w:pos="992"/>
          <w:tab w:val="clear" w:pos="1418"/>
          <w:tab w:val="left" w:pos="2258"/>
        </w:tabs>
      </w:pPr>
      <w:r>
        <w:t xml:space="preserve">CCB </w:t>
      </w:r>
      <w:r w:rsidR="00F65C5F">
        <w:tab/>
        <w:t>Climate Change Branch</w:t>
      </w:r>
    </w:p>
    <w:p w14:paraId="72A15A81" w14:textId="77777777" w:rsidR="00F508EE" w:rsidRDefault="00A4465E" w:rsidP="00A4465E">
      <w:pPr>
        <w:tabs>
          <w:tab w:val="clear" w:pos="992"/>
          <w:tab w:val="clear" w:pos="1418"/>
          <w:tab w:val="left" w:pos="2258"/>
        </w:tabs>
      </w:pPr>
      <w:r>
        <w:t>CePaCT</w:t>
      </w:r>
      <w:r>
        <w:tab/>
        <w:t>Centre for Pacific Crops and Trees</w:t>
      </w:r>
    </w:p>
    <w:p w14:paraId="331A07BE" w14:textId="77777777" w:rsidR="00F508EE" w:rsidRDefault="00A4465E" w:rsidP="00A4465E">
      <w:pPr>
        <w:tabs>
          <w:tab w:val="clear" w:pos="992"/>
          <w:tab w:val="clear" w:pos="1418"/>
          <w:tab w:val="left" w:pos="2258"/>
        </w:tabs>
      </w:pPr>
      <w:r>
        <w:t>COSPPac</w:t>
      </w:r>
      <w:r>
        <w:tab/>
        <w:t>Climate and Oceans Support Program in the Pacific</w:t>
      </w:r>
    </w:p>
    <w:p w14:paraId="08A7C7B0" w14:textId="77777777" w:rsidR="00A4465E" w:rsidRDefault="00A4465E" w:rsidP="00A4465E">
      <w:pPr>
        <w:tabs>
          <w:tab w:val="clear" w:pos="992"/>
          <w:tab w:val="clear" w:pos="1418"/>
          <w:tab w:val="left" w:pos="2258"/>
        </w:tabs>
      </w:pPr>
      <w:r>
        <w:t>CSIRO</w:t>
      </w:r>
      <w:r>
        <w:tab/>
        <w:t>Commonwealth Scientific and Industrial Research Organisation</w:t>
      </w:r>
    </w:p>
    <w:p w14:paraId="27A45F3D" w14:textId="77777777" w:rsidR="00A4465E" w:rsidRDefault="00A4465E" w:rsidP="00A4465E">
      <w:pPr>
        <w:tabs>
          <w:tab w:val="clear" w:pos="992"/>
          <w:tab w:val="clear" w:pos="1418"/>
          <w:tab w:val="left" w:pos="2258"/>
        </w:tabs>
      </w:pPr>
      <w:r>
        <w:t>DFAT</w:t>
      </w:r>
      <w:r>
        <w:tab/>
        <w:t>Department of Foreign Affairs and Trade</w:t>
      </w:r>
    </w:p>
    <w:p w14:paraId="67E678C1" w14:textId="77777777" w:rsidR="00A4465E" w:rsidRDefault="00C619D7" w:rsidP="00A4465E">
      <w:pPr>
        <w:tabs>
          <w:tab w:val="clear" w:pos="992"/>
          <w:tab w:val="clear" w:pos="1418"/>
          <w:tab w:val="left" w:pos="2258"/>
        </w:tabs>
      </w:pPr>
      <w:r w:rsidRPr="00C619D7">
        <w:t>DoEE</w:t>
      </w:r>
      <w:r w:rsidRPr="00C619D7">
        <w:tab/>
        <w:t>Department of Environment and Energy</w:t>
      </w:r>
    </w:p>
    <w:p w14:paraId="0FB37CE7" w14:textId="0A5D638E" w:rsidR="00A4465E" w:rsidRDefault="00A4465E" w:rsidP="00A4465E">
      <w:pPr>
        <w:tabs>
          <w:tab w:val="clear" w:pos="992"/>
          <w:tab w:val="clear" w:pos="1418"/>
          <w:tab w:val="left" w:pos="2258"/>
        </w:tabs>
      </w:pPr>
      <w:r>
        <w:t>DRR</w:t>
      </w:r>
      <w:r>
        <w:tab/>
      </w:r>
      <w:r w:rsidR="00695DE5">
        <w:t>d</w:t>
      </w:r>
      <w:r>
        <w:t xml:space="preserve">isaster </w:t>
      </w:r>
      <w:r w:rsidR="00695DE5">
        <w:t>r</w:t>
      </w:r>
      <w:r>
        <w:t xml:space="preserve">isk </w:t>
      </w:r>
      <w:r w:rsidR="00695DE5">
        <w:t>r</w:t>
      </w:r>
      <w:r>
        <w:t>eduction</w:t>
      </w:r>
    </w:p>
    <w:p w14:paraId="73CB55E6" w14:textId="305AAB66" w:rsidR="00A4465E" w:rsidRDefault="00A4465E" w:rsidP="00A4465E">
      <w:pPr>
        <w:tabs>
          <w:tab w:val="clear" w:pos="992"/>
          <w:tab w:val="clear" w:pos="1418"/>
          <w:tab w:val="left" w:pos="2258"/>
        </w:tabs>
      </w:pPr>
      <w:r>
        <w:t>FTE</w:t>
      </w:r>
      <w:r>
        <w:tab/>
      </w:r>
      <w:r w:rsidR="00695DE5">
        <w:t>f</w:t>
      </w:r>
      <w:r>
        <w:t xml:space="preserve">ull </w:t>
      </w:r>
      <w:r w:rsidR="00695DE5">
        <w:t>t</w:t>
      </w:r>
      <w:r>
        <w:t xml:space="preserve">ime </w:t>
      </w:r>
      <w:r w:rsidR="00695DE5">
        <w:t>e</w:t>
      </w:r>
      <w:r>
        <w:t>quivalent</w:t>
      </w:r>
    </w:p>
    <w:p w14:paraId="488A3001" w14:textId="65FC73B4" w:rsidR="00FE4860" w:rsidRDefault="00FE4860" w:rsidP="00A4465E">
      <w:pPr>
        <w:tabs>
          <w:tab w:val="clear" w:pos="992"/>
          <w:tab w:val="clear" w:pos="1418"/>
          <w:tab w:val="left" w:pos="2258"/>
        </w:tabs>
      </w:pPr>
      <w:r>
        <w:t>FRDP</w:t>
      </w:r>
      <w:r>
        <w:tab/>
        <w:t>Framework for Resilient Development in the Pacific</w:t>
      </w:r>
    </w:p>
    <w:p w14:paraId="66926209" w14:textId="77777777" w:rsidR="00A4465E" w:rsidRDefault="00A4465E" w:rsidP="00A4465E">
      <w:pPr>
        <w:tabs>
          <w:tab w:val="clear" w:pos="992"/>
          <w:tab w:val="clear" w:pos="1418"/>
          <w:tab w:val="left" w:pos="2258"/>
        </w:tabs>
      </w:pPr>
      <w:r>
        <w:t>GNSS</w:t>
      </w:r>
      <w:r>
        <w:tab/>
        <w:t>Global Navigation Satellite System</w:t>
      </w:r>
    </w:p>
    <w:p w14:paraId="78068548" w14:textId="7F0E2E57" w:rsidR="00176118" w:rsidRDefault="00176118" w:rsidP="00A4465E">
      <w:pPr>
        <w:tabs>
          <w:tab w:val="clear" w:pos="992"/>
          <w:tab w:val="clear" w:pos="1418"/>
          <w:tab w:val="left" w:pos="2258"/>
        </w:tabs>
      </w:pPr>
      <w:r>
        <w:t>HPD</w:t>
      </w:r>
      <w:r w:rsidR="00C131CA">
        <w:tab/>
        <w:t>Humanitarian NGOs and Partnerships Division of DFAT</w:t>
      </w:r>
    </w:p>
    <w:p w14:paraId="0DBDAA30" w14:textId="67725DA6" w:rsidR="00A4465E" w:rsidRDefault="00A4465E" w:rsidP="00A4465E">
      <w:pPr>
        <w:tabs>
          <w:tab w:val="clear" w:pos="992"/>
          <w:tab w:val="clear" w:pos="1418"/>
          <w:tab w:val="left" w:pos="2258"/>
        </w:tabs>
      </w:pPr>
      <w:r>
        <w:t>ICIMOD</w:t>
      </w:r>
      <w:r>
        <w:tab/>
        <w:t>International Centre for Integrated Mountain Development</w:t>
      </w:r>
    </w:p>
    <w:p w14:paraId="2905E71D" w14:textId="77777777" w:rsidR="00A86F2D" w:rsidRDefault="00A86F2D" w:rsidP="00A86F2D">
      <w:pPr>
        <w:tabs>
          <w:tab w:val="clear" w:pos="992"/>
          <w:tab w:val="clear" w:pos="1418"/>
          <w:tab w:val="left" w:pos="2258"/>
        </w:tabs>
      </w:pPr>
      <w:r>
        <w:t>INDC</w:t>
      </w:r>
      <w:r>
        <w:tab/>
      </w:r>
      <w:r w:rsidRPr="00A86F2D">
        <w:t>Intended Nationally Determined Contributions</w:t>
      </w:r>
    </w:p>
    <w:p w14:paraId="646CC515" w14:textId="77777777" w:rsidR="00C146ED" w:rsidRDefault="00C146ED" w:rsidP="00A4465E">
      <w:pPr>
        <w:tabs>
          <w:tab w:val="clear" w:pos="992"/>
          <w:tab w:val="clear" w:pos="1418"/>
          <w:tab w:val="left" w:pos="2258"/>
        </w:tabs>
      </w:pPr>
    </w:p>
    <w:p w14:paraId="7C0582A9" w14:textId="77777777" w:rsidR="00C146ED" w:rsidRDefault="00C146ED" w:rsidP="00A4465E">
      <w:pPr>
        <w:tabs>
          <w:tab w:val="clear" w:pos="992"/>
          <w:tab w:val="clear" w:pos="1418"/>
          <w:tab w:val="left" w:pos="2258"/>
        </w:tabs>
      </w:pPr>
    </w:p>
    <w:p w14:paraId="7C9A3DB0" w14:textId="77777777" w:rsidR="00C146ED" w:rsidRDefault="00C146ED" w:rsidP="00A4465E">
      <w:pPr>
        <w:tabs>
          <w:tab w:val="clear" w:pos="992"/>
          <w:tab w:val="clear" w:pos="1418"/>
          <w:tab w:val="left" w:pos="2258"/>
        </w:tabs>
      </w:pPr>
    </w:p>
    <w:p w14:paraId="2D2FDC57" w14:textId="77777777" w:rsidR="00C146ED" w:rsidRDefault="00C146ED" w:rsidP="00A4465E">
      <w:pPr>
        <w:tabs>
          <w:tab w:val="clear" w:pos="992"/>
          <w:tab w:val="clear" w:pos="1418"/>
          <w:tab w:val="left" w:pos="2258"/>
        </w:tabs>
      </w:pPr>
    </w:p>
    <w:p w14:paraId="1269D287" w14:textId="77777777" w:rsidR="00C146ED" w:rsidRDefault="00C146ED" w:rsidP="00A4465E">
      <w:pPr>
        <w:tabs>
          <w:tab w:val="clear" w:pos="992"/>
          <w:tab w:val="clear" w:pos="1418"/>
          <w:tab w:val="left" w:pos="2258"/>
        </w:tabs>
      </w:pPr>
    </w:p>
    <w:p w14:paraId="2001F0A3" w14:textId="77777777" w:rsidR="00C146ED" w:rsidRDefault="00C146ED" w:rsidP="00A4465E">
      <w:pPr>
        <w:tabs>
          <w:tab w:val="clear" w:pos="992"/>
          <w:tab w:val="clear" w:pos="1418"/>
          <w:tab w:val="left" w:pos="2258"/>
        </w:tabs>
      </w:pPr>
    </w:p>
    <w:p w14:paraId="627FFF8D" w14:textId="22408383" w:rsidR="00A4465E" w:rsidRDefault="00A4465E" w:rsidP="00A4465E">
      <w:pPr>
        <w:tabs>
          <w:tab w:val="clear" w:pos="992"/>
          <w:tab w:val="clear" w:pos="1418"/>
          <w:tab w:val="left" w:pos="2258"/>
        </w:tabs>
      </w:pPr>
      <w:r>
        <w:t>M&amp;E</w:t>
      </w:r>
      <w:r>
        <w:tab/>
      </w:r>
      <w:r w:rsidR="00695DE5">
        <w:t>m</w:t>
      </w:r>
      <w:r>
        <w:t xml:space="preserve">onitoring and </w:t>
      </w:r>
      <w:r w:rsidR="00695DE5">
        <w:t>e</w:t>
      </w:r>
      <w:r>
        <w:t>valuation</w:t>
      </w:r>
    </w:p>
    <w:p w14:paraId="70657853" w14:textId="20BDCEF6" w:rsidR="00C748CA" w:rsidRDefault="00C748CA" w:rsidP="00A4465E">
      <w:pPr>
        <w:tabs>
          <w:tab w:val="clear" w:pos="992"/>
          <w:tab w:val="clear" w:pos="1418"/>
          <w:tab w:val="left" w:pos="2258"/>
        </w:tabs>
      </w:pPr>
      <w:r>
        <w:t>NDC</w:t>
      </w:r>
      <w:r>
        <w:tab/>
      </w:r>
      <w:r w:rsidRPr="00334D42">
        <w:t>Nationally Determined Contribution</w:t>
      </w:r>
    </w:p>
    <w:p w14:paraId="1B42DCC4" w14:textId="5A9FCA36" w:rsidR="00F508EE" w:rsidRDefault="00A4465E" w:rsidP="00A4465E">
      <w:pPr>
        <w:tabs>
          <w:tab w:val="clear" w:pos="992"/>
          <w:tab w:val="clear" w:pos="1418"/>
          <w:tab w:val="left" w:pos="2258"/>
        </w:tabs>
      </w:pPr>
      <w:r>
        <w:t>NAP</w:t>
      </w:r>
      <w:r>
        <w:tab/>
      </w:r>
      <w:r w:rsidR="00334D42">
        <w:t>n</w:t>
      </w:r>
      <w:r>
        <w:t xml:space="preserve">ational </w:t>
      </w:r>
      <w:r w:rsidR="00334D42">
        <w:t>a</w:t>
      </w:r>
      <w:r>
        <w:t xml:space="preserve">ction </w:t>
      </w:r>
      <w:r w:rsidR="00334D42">
        <w:t>p</w:t>
      </w:r>
      <w:r>
        <w:t>lan</w:t>
      </w:r>
    </w:p>
    <w:p w14:paraId="6F1C1DC6" w14:textId="109F00E8" w:rsidR="00A4465E" w:rsidRDefault="00A4465E" w:rsidP="00A4465E">
      <w:pPr>
        <w:tabs>
          <w:tab w:val="clear" w:pos="992"/>
          <w:tab w:val="clear" w:pos="1418"/>
          <w:tab w:val="left" w:pos="2258"/>
        </w:tabs>
      </w:pPr>
      <w:r>
        <w:t>NGO</w:t>
      </w:r>
      <w:r>
        <w:tab/>
      </w:r>
      <w:r w:rsidR="00695DE5">
        <w:t>n</w:t>
      </w:r>
      <w:r>
        <w:t>on-</w:t>
      </w:r>
      <w:r w:rsidR="00695DE5">
        <w:t>g</w:t>
      </w:r>
      <w:r>
        <w:t xml:space="preserve">overnment </w:t>
      </w:r>
      <w:r w:rsidR="00695DE5">
        <w:t>o</w:t>
      </w:r>
      <w:r>
        <w:t>rganisation</w:t>
      </w:r>
    </w:p>
    <w:p w14:paraId="24AF1537" w14:textId="11466C65" w:rsidR="00A4465E" w:rsidRDefault="00A4465E" w:rsidP="00A4465E">
      <w:pPr>
        <w:tabs>
          <w:tab w:val="clear" w:pos="992"/>
          <w:tab w:val="clear" w:pos="1418"/>
          <w:tab w:val="left" w:pos="2258"/>
        </w:tabs>
      </w:pPr>
      <w:r>
        <w:t>ODA</w:t>
      </w:r>
      <w:r>
        <w:tab/>
      </w:r>
      <w:r w:rsidR="00AE7BA5">
        <w:t>o</w:t>
      </w:r>
      <w:r>
        <w:t xml:space="preserve">fficial </w:t>
      </w:r>
      <w:r w:rsidR="00AE7BA5">
        <w:t>d</w:t>
      </w:r>
      <w:r>
        <w:t xml:space="preserve">evelopment </w:t>
      </w:r>
      <w:r w:rsidR="00AE7BA5">
        <w:t>a</w:t>
      </w:r>
      <w:r>
        <w:t>ssistance</w:t>
      </w:r>
    </w:p>
    <w:p w14:paraId="6BCDA230" w14:textId="77777777" w:rsidR="00A4465E" w:rsidRDefault="00A4465E" w:rsidP="00A4465E">
      <w:pPr>
        <w:tabs>
          <w:tab w:val="clear" w:pos="992"/>
          <w:tab w:val="clear" w:pos="1418"/>
          <w:tab w:val="left" w:pos="2258"/>
        </w:tabs>
      </w:pPr>
      <w:r>
        <w:t xml:space="preserve">ODE </w:t>
      </w:r>
      <w:r>
        <w:tab/>
        <w:t>Office of Development Effectiveness</w:t>
      </w:r>
      <w:r>
        <w:tab/>
      </w:r>
    </w:p>
    <w:p w14:paraId="436AC8C7" w14:textId="77777777" w:rsidR="00A4465E" w:rsidRDefault="00A4465E" w:rsidP="00A4465E">
      <w:pPr>
        <w:tabs>
          <w:tab w:val="clear" w:pos="992"/>
          <w:tab w:val="clear" w:pos="1418"/>
          <w:tab w:val="left" w:pos="2258"/>
        </w:tabs>
      </w:pPr>
      <w:r>
        <w:t>OECD</w:t>
      </w:r>
      <w:r>
        <w:tab/>
        <w:t>Organisation for Economic Co-operation and Development</w:t>
      </w:r>
    </w:p>
    <w:p w14:paraId="72A54A77" w14:textId="77777777" w:rsidR="00A4465E" w:rsidRDefault="00A4465E" w:rsidP="00A4465E">
      <w:pPr>
        <w:tabs>
          <w:tab w:val="clear" w:pos="992"/>
          <w:tab w:val="clear" w:pos="1418"/>
          <w:tab w:val="left" w:pos="2258"/>
        </w:tabs>
        <w:ind w:left="2258" w:hanging="2258"/>
      </w:pPr>
      <w:r>
        <w:t>OECD DAC</w:t>
      </w:r>
      <w:r>
        <w:tab/>
        <w:t xml:space="preserve">Organisation for Economic Co-operation and Development </w:t>
      </w:r>
      <w:r w:rsidR="00A93F1F">
        <w:t xml:space="preserve">- </w:t>
      </w:r>
      <w:r w:rsidR="00265DA6">
        <w:t xml:space="preserve">Development </w:t>
      </w:r>
      <w:r>
        <w:t>Assistance Committee</w:t>
      </w:r>
    </w:p>
    <w:p w14:paraId="4A269EB5" w14:textId="38008D09" w:rsidR="00A4465E" w:rsidRDefault="00A4465E" w:rsidP="00A4465E">
      <w:pPr>
        <w:tabs>
          <w:tab w:val="clear" w:pos="992"/>
          <w:tab w:val="clear" w:pos="1418"/>
          <w:tab w:val="left" w:pos="2258"/>
        </w:tabs>
      </w:pPr>
      <w:r>
        <w:t>PACCSAP</w:t>
      </w:r>
      <w:r>
        <w:tab/>
        <w:t>Pacific Australia Climate Change Science and Adaptation Planning Program</w:t>
      </w:r>
    </w:p>
    <w:p w14:paraId="46A359C0" w14:textId="02DD1F8C" w:rsidR="00A4465E" w:rsidRDefault="00A4465E" w:rsidP="00A4465E">
      <w:pPr>
        <w:tabs>
          <w:tab w:val="clear" w:pos="992"/>
          <w:tab w:val="clear" w:pos="1418"/>
          <w:tab w:val="left" w:pos="2258"/>
        </w:tabs>
      </w:pPr>
      <w:r>
        <w:t>PAF</w:t>
      </w:r>
      <w:r>
        <w:tab/>
      </w:r>
      <w:r w:rsidR="00AE7BA5">
        <w:t>p</w:t>
      </w:r>
      <w:r>
        <w:t xml:space="preserve">erformance </w:t>
      </w:r>
      <w:r w:rsidR="00AE7BA5">
        <w:t>a</w:t>
      </w:r>
      <w:r>
        <w:t xml:space="preserve">ssessment </w:t>
      </w:r>
      <w:r w:rsidR="00AE7BA5">
        <w:t>f</w:t>
      </w:r>
      <w:r>
        <w:t>ramework</w:t>
      </w:r>
    </w:p>
    <w:p w14:paraId="03B6E5FB" w14:textId="77777777" w:rsidR="00A4465E" w:rsidRDefault="00A4465E" w:rsidP="00A4465E">
      <w:pPr>
        <w:tabs>
          <w:tab w:val="clear" w:pos="992"/>
          <w:tab w:val="clear" w:pos="1418"/>
          <w:tab w:val="left" w:pos="2258"/>
        </w:tabs>
      </w:pPr>
      <w:r>
        <w:t>PNG</w:t>
      </w:r>
      <w:r>
        <w:tab/>
        <w:t>Papua New Guinea</w:t>
      </w:r>
    </w:p>
    <w:p w14:paraId="1AA18FC0" w14:textId="77777777" w:rsidR="00F508EE" w:rsidRDefault="00A4465E" w:rsidP="00A4465E">
      <w:pPr>
        <w:tabs>
          <w:tab w:val="clear" w:pos="992"/>
          <w:tab w:val="clear" w:pos="1418"/>
          <w:tab w:val="left" w:pos="2258"/>
        </w:tabs>
      </w:pPr>
      <w:r>
        <w:t>PRRP</w:t>
      </w:r>
      <w:r>
        <w:tab/>
        <w:t>Pacific Risk Resilience Program</w:t>
      </w:r>
    </w:p>
    <w:p w14:paraId="0129E304" w14:textId="77777777" w:rsidR="00A4465E" w:rsidRDefault="00A4465E" w:rsidP="00A4465E">
      <w:pPr>
        <w:tabs>
          <w:tab w:val="clear" w:pos="992"/>
          <w:tab w:val="clear" w:pos="1418"/>
          <w:tab w:val="left" w:pos="2258"/>
        </w:tabs>
      </w:pPr>
      <w:r>
        <w:t>SDIP</w:t>
      </w:r>
      <w:r>
        <w:tab/>
        <w:t>Sustainable Development Investment Portfolio</w:t>
      </w:r>
    </w:p>
    <w:p w14:paraId="3EF6B205" w14:textId="14293EC2" w:rsidR="00A4465E" w:rsidRDefault="00A4465E" w:rsidP="00A4465E">
      <w:pPr>
        <w:tabs>
          <w:tab w:val="clear" w:pos="992"/>
          <w:tab w:val="clear" w:pos="1418"/>
          <w:tab w:val="left" w:pos="2258"/>
        </w:tabs>
      </w:pPr>
      <w:r>
        <w:t>SPC</w:t>
      </w:r>
      <w:r>
        <w:tab/>
      </w:r>
      <w:r w:rsidR="00AE7BA5">
        <w:t xml:space="preserve">Secretariat of the </w:t>
      </w:r>
      <w:r>
        <w:t>Pacific Community</w:t>
      </w:r>
    </w:p>
    <w:p w14:paraId="1918520C" w14:textId="0D5960C9" w:rsidR="00A4465E" w:rsidRDefault="00A4465E" w:rsidP="00A4465E">
      <w:pPr>
        <w:tabs>
          <w:tab w:val="clear" w:pos="992"/>
          <w:tab w:val="clear" w:pos="1418"/>
          <w:tab w:val="left" w:pos="2258"/>
        </w:tabs>
      </w:pPr>
      <w:r>
        <w:t>SPREP</w:t>
      </w:r>
      <w:r>
        <w:tab/>
        <w:t>Secretariat of the Pacific Regional Environment Program</w:t>
      </w:r>
    </w:p>
    <w:p w14:paraId="5A9998CC" w14:textId="77777777" w:rsidR="00A4465E" w:rsidRDefault="00A4465E" w:rsidP="00A4465E">
      <w:pPr>
        <w:tabs>
          <w:tab w:val="clear" w:pos="992"/>
          <w:tab w:val="clear" w:pos="1418"/>
          <w:tab w:val="left" w:pos="2258"/>
        </w:tabs>
      </w:pPr>
      <w:r>
        <w:t>UNFCC</w:t>
      </w:r>
      <w:r w:rsidR="00BA4264">
        <w:t>C</w:t>
      </w:r>
      <w:r>
        <w:tab/>
        <w:t>United Nations Framework Convention on Climate Change</w:t>
      </w:r>
    </w:p>
    <w:p w14:paraId="5F66A7E2" w14:textId="77777777" w:rsidR="005E410B" w:rsidRDefault="005E410B" w:rsidP="00FC4040">
      <w:pPr>
        <w:tabs>
          <w:tab w:val="clear" w:pos="992"/>
        </w:tabs>
        <w:spacing w:after="160" w:line="259" w:lineRule="auto"/>
      </w:pPr>
      <w:r>
        <w:br w:type="page"/>
      </w:r>
    </w:p>
    <w:p w14:paraId="00436B43" w14:textId="77777777" w:rsidR="00C323D8" w:rsidRPr="004C2E18" w:rsidRDefault="00C323D8" w:rsidP="00C323D8">
      <w:pPr>
        <w:pStyle w:val="TOCHeading"/>
        <w:framePr w:w="0" w:vSpace="0" w:wrap="auto" w:vAnchor="margin" w:yAlign="inline"/>
      </w:pPr>
      <w:bookmarkStart w:id="11" w:name="_Toc489438338"/>
      <w:bookmarkStart w:id="12" w:name="_Toc510771908"/>
      <w:r>
        <w:lastRenderedPageBreak/>
        <w:t>Contents</w:t>
      </w:r>
      <w:bookmarkEnd w:id="11"/>
      <w:bookmarkEnd w:id="12"/>
    </w:p>
    <w:p w14:paraId="35769ADE" w14:textId="77777777" w:rsidR="00A32C61" w:rsidRDefault="00A32C61" w:rsidP="00A32C61"/>
    <w:p w14:paraId="222012F7" w14:textId="77777777" w:rsidR="00A32C61" w:rsidRDefault="00A32C61" w:rsidP="00A32C61"/>
    <w:p w14:paraId="43844733" w14:textId="77777777" w:rsidR="00A32C61" w:rsidRDefault="00A32C61" w:rsidP="00A32C61"/>
    <w:p w14:paraId="44AC5594" w14:textId="77777777" w:rsidR="00A32C61" w:rsidRDefault="00A32C61" w:rsidP="00A32C61"/>
    <w:p w14:paraId="225BF7BE" w14:textId="77777777" w:rsidR="00A32C61" w:rsidRDefault="00A32C61" w:rsidP="00A32C61">
      <w:pPr>
        <w:sectPr w:rsidR="00A32C61" w:rsidSect="00A32C61">
          <w:headerReference w:type="default" r:id="rId22"/>
          <w:footnotePr>
            <w:numFmt w:val="chicago"/>
            <w:numRestart w:val="eachPage"/>
          </w:footnotePr>
          <w:endnotePr>
            <w:numFmt w:val="decimal"/>
          </w:endnotePr>
          <w:type w:val="continuous"/>
          <w:pgSz w:w="11906" w:h="16838"/>
          <w:pgMar w:top="851" w:right="851" w:bottom="851" w:left="851" w:header="510" w:footer="510" w:gutter="0"/>
          <w:pgNumType w:fmt="lowerRoman"/>
          <w:cols w:space="708"/>
          <w:noEndnote/>
          <w:docGrid w:linePitch="360"/>
        </w:sectPr>
      </w:pPr>
    </w:p>
    <w:p w14:paraId="3D3BF9DB" w14:textId="77777777" w:rsidR="00A32C61" w:rsidRPr="00A32C61" w:rsidRDefault="00A32C61" w:rsidP="00A32C61"/>
    <w:p w14:paraId="720B3FEB" w14:textId="1CDD799B" w:rsidR="004F1A12" w:rsidRDefault="00EC094E">
      <w:pPr>
        <w:pStyle w:val="TOC1"/>
        <w:rPr>
          <w:rFonts w:asciiTheme="minorHAnsi" w:eastAsiaTheme="minorEastAsia" w:hAnsiTheme="minorHAnsi" w:cstheme="minorBidi"/>
          <w:b w:val="0"/>
          <w:caps w:val="0"/>
          <w:noProof/>
          <w:color w:val="auto"/>
          <w:spacing w:val="0"/>
          <w:sz w:val="22"/>
          <w:lang w:eastAsia="en-AU"/>
        </w:rPr>
      </w:pPr>
      <w:r w:rsidRPr="00E968E5">
        <w:fldChar w:fldCharType="begin"/>
      </w:r>
      <w:r>
        <w:instrText xml:space="preserve"> TOC \h \z \u \t "Heading 1,2,Heading 2,3,Chapter Head,1,TOC Heading,1" </w:instrText>
      </w:r>
      <w:r w:rsidRPr="00E968E5">
        <w:fldChar w:fldCharType="separate"/>
      </w:r>
      <w:hyperlink w:anchor="_Toc510771905" w:history="1">
        <w:r w:rsidR="004F1A12" w:rsidRPr="006611D3">
          <w:rPr>
            <w:rStyle w:val="Hyperlink"/>
            <w:noProof/>
          </w:rPr>
          <w:t>ForewOrd</w:t>
        </w:r>
        <w:r w:rsidR="004F1A12">
          <w:rPr>
            <w:noProof/>
            <w:webHidden/>
          </w:rPr>
          <w:tab/>
        </w:r>
        <w:r w:rsidR="004F1A12">
          <w:rPr>
            <w:noProof/>
            <w:webHidden/>
          </w:rPr>
          <w:fldChar w:fldCharType="begin"/>
        </w:r>
        <w:r w:rsidR="004F1A12">
          <w:rPr>
            <w:noProof/>
            <w:webHidden/>
          </w:rPr>
          <w:instrText xml:space="preserve"> PAGEREF _Toc510771905 \h </w:instrText>
        </w:r>
        <w:r w:rsidR="004F1A12">
          <w:rPr>
            <w:noProof/>
            <w:webHidden/>
          </w:rPr>
        </w:r>
        <w:r w:rsidR="004F1A12">
          <w:rPr>
            <w:noProof/>
            <w:webHidden/>
          </w:rPr>
          <w:fldChar w:fldCharType="separate"/>
        </w:r>
        <w:r w:rsidR="00825350">
          <w:rPr>
            <w:noProof/>
            <w:webHidden/>
          </w:rPr>
          <w:t>iii</w:t>
        </w:r>
        <w:r w:rsidR="004F1A12">
          <w:rPr>
            <w:noProof/>
            <w:webHidden/>
          </w:rPr>
          <w:fldChar w:fldCharType="end"/>
        </w:r>
      </w:hyperlink>
    </w:p>
    <w:p w14:paraId="34A01255" w14:textId="35CA53FF"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06" w:history="1">
        <w:r w:rsidR="004F1A12" w:rsidRPr="006611D3">
          <w:rPr>
            <w:rStyle w:val="Hyperlink"/>
            <w:noProof/>
          </w:rPr>
          <w:t>Acknowledgements</w:t>
        </w:r>
        <w:r w:rsidR="004F1A12">
          <w:rPr>
            <w:noProof/>
            <w:webHidden/>
          </w:rPr>
          <w:tab/>
        </w:r>
        <w:r w:rsidR="004F1A12">
          <w:rPr>
            <w:noProof/>
            <w:webHidden/>
          </w:rPr>
          <w:fldChar w:fldCharType="begin"/>
        </w:r>
        <w:r w:rsidR="004F1A12">
          <w:rPr>
            <w:noProof/>
            <w:webHidden/>
          </w:rPr>
          <w:instrText xml:space="preserve"> PAGEREF _Toc510771906 \h </w:instrText>
        </w:r>
        <w:r w:rsidR="004F1A12">
          <w:rPr>
            <w:noProof/>
            <w:webHidden/>
          </w:rPr>
        </w:r>
        <w:r w:rsidR="004F1A12">
          <w:rPr>
            <w:noProof/>
            <w:webHidden/>
          </w:rPr>
          <w:fldChar w:fldCharType="separate"/>
        </w:r>
        <w:r>
          <w:rPr>
            <w:noProof/>
            <w:webHidden/>
          </w:rPr>
          <w:t>iv</w:t>
        </w:r>
        <w:r w:rsidR="004F1A12">
          <w:rPr>
            <w:noProof/>
            <w:webHidden/>
          </w:rPr>
          <w:fldChar w:fldCharType="end"/>
        </w:r>
      </w:hyperlink>
    </w:p>
    <w:p w14:paraId="7BEC195F" w14:textId="17EC237B"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07" w:history="1">
        <w:r w:rsidR="004F1A12" w:rsidRPr="006611D3">
          <w:rPr>
            <w:rStyle w:val="Hyperlink"/>
            <w:noProof/>
          </w:rPr>
          <w:t>Acronyms and abbreviations</w:t>
        </w:r>
        <w:r w:rsidR="004F1A12">
          <w:rPr>
            <w:noProof/>
            <w:webHidden/>
          </w:rPr>
          <w:tab/>
        </w:r>
        <w:r w:rsidR="004F1A12">
          <w:rPr>
            <w:noProof/>
            <w:webHidden/>
          </w:rPr>
          <w:fldChar w:fldCharType="begin"/>
        </w:r>
        <w:r w:rsidR="004F1A12">
          <w:rPr>
            <w:noProof/>
            <w:webHidden/>
          </w:rPr>
          <w:instrText xml:space="preserve"> PAGEREF _Toc510771907 \h </w:instrText>
        </w:r>
        <w:r w:rsidR="004F1A12">
          <w:rPr>
            <w:noProof/>
            <w:webHidden/>
          </w:rPr>
        </w:r>
        <w:r w:rsidR="004F1A12">
          <w:rPr>
            <w:noProof/>
            <w:webHidden/>
          </w:rPr>
          <w:fldChar w:fldCharType="separate"/>
        </w:r>
        <w:r>
          <w:rPr>
            <w:noProof/>
            <w:webHidden/>
          </w:rPr>
          <w:t>v</w:t>
        </w:r>
        <w:r w:rsidR="004F1A12">
          <w:rPr>
            <w:noProof/>
            <w:webHidden/>
          </w:rPr>
          <w:fldChar w:fldCharType="end"/>
        </w:r>
      </w:hyperlink>
    </w:p>
    <w:p w14:paraId="2B965131" w14:textId="4FC98A46"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08" w:history="1">
        <w:r w:rsidR="004F1A12" w:rsidRPr="006611D3">
          <w:rPr>
            <w:rStyle w:val="Hyperlink"/>
            <w:noProof/>
          </w:rPr>
          <w:t>Contents</w:t>
        </w:r>
        <w:r w:rsidR="004F1A12">
          <w:rPr>
            <w:noProof/>
            <w:webHidden/>
          </w:rPr>
          <w:tab/>
        </w:r>
        <w:r w:rsidR="004F1A12">
          <w:rPr>
            <w:noProof/>
            <w:webHidden/>
          </w:rPr>
          <w:fldChar w:fldCharType="begin"/>
        </w:r>
        <w:r w:rsidR="004F1A12">
          <w:rPr>
            <w:noProof/>
            <w:webHidden/>
          </w:rPr>
          <w:instrText xml:space="preserve"> PAGEREF _Toc510771908 \h </w:instrText>
        </w:r>
        <w:r w:rsidR="004F1A12">
          <w:rPr>
            <w:noProof/>
            <w:webHidden/>
          </w:rPr>
        </w:r>
        <w:r w:rsidR="004F1A12">
          <w:rPr>
            <w:noProof/>
            <w:webHidden/>
          </w:rPr>
          <w:fldChar w:fldCharType="separate"/>
        </w:r>
        <w:r>
          <w:rPr>
            <w:noProof/>
            <w:webHidden/>
          </w:rPr>
          <w:t>vii</w:t>
        </w:r>
        <w:r w:rsidR="004F1A12">
          <w:rPr>
            <w:noProof/>
            <w:webHidden/>
          </w:rPr>
          <w:fldChar w:fldCharType="end"/>
        </w:r>
      </w:hyperlink>
    </w:p>
    <w:p w14:paraId="40B58C0F" w14:textId="4F1CA36E"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09" w:history="1">
        <w:r w:rsidR="004F1A12" w:rsidRPr="006611D3">
          <w:rPr>
            <w:rStyle w:val="Hyperlink"/>
            <w:noProof/>
          </w:rPr>
          <w:t>Table of figures</w:t>
        </w:r>
        <w:r w:rsidR="004F1A12">
          <w:rPr>
            <w:noProof/>
            <w:webHidden/>
          </w:rPr>
          <w:tab/>
        </w:r>
        <w:r w:rsidR="004F1A12">
          <w:rPr>
            <w:noProof/>
            <w:webHidden/>
          </w:rPr>
          <w:fldChar w:fldCharType="begin"/>
        </w:r>
        <w:r w:rsidR="004F1A12">
          <w:rPr>
            <w:noProof/>
            <w:webHidden/>
          </w:rPr>
          <w:instrText xml:space="preserve"> PAGEREF _Toc510771909 \h </w:instrText>
        </w:r>
        <w:r w:rsidR="004F1A12">
          <w:rPr>
            <w:noProof/>
            <w:webHidden/>
          </w:rPr>
        </w:r>
        <w:r w:rsidR="004F1A12">
          <w:rPr>
            <w:noProof/>
            <w:webHidden/>
          </w:rPr>
          <w:fldChar w:fldCharType="separate"/>
        </w:r>
        <w:r>
          <w:rPr>
            <w:noProof/>
            <w:webHidden/>
          </w:rPr>
          <w:t>9</w:t>
        </w:r>
        <w:r w:rsidR="004F1A12">
          <w:rPr>
            <w:noProof/>
            <w:webHidden/>
          </w:rPr>
          <w:fldChar w:fldCharType="end"/>
        </w:r>
      </w:hyperlink>
    </w:p>
    <w:p w14:paraId="0FCAEB53" w14:textId="2CA0D008"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10" w:history="1">
        <w:r w:rsidR="004F1A12" w:rsidRPr="006611D3">
          <w:rPr>
            <w:rStyle w:val="Hyperlink"/>
            <w:noProof/>
          </w:rPr>
          <w:t>Executive summary</w:t>
        </w:r>
        <w:r w:rsidR="004F1A12">
          <w:rPr>
            <w:noProof/>
            <w:webHidden/>
          </w:rPr>
          <w:tab/>
        </w:r>
        <w:r w:rsidR="004F1A12">
          <w:rPr>
            <w:noProof/>
            <w:webHidden/>
          </w:rPr>
          <w:fldChar w:fldCharType="begin"/>
        </w:r>
        <w:r w:rsidR="004F1A12">
          <w:rPr>
            <w:noProof/>
            <w:webHidden/>
          </w:rPr>
          <w:instrText xml:space="preserve"> PAGEREF _Toc510771910 \h </w:instrText>
        </w:r>
        <w:r w:rsidR="004F1A12">
          <w:rPr>
            <w:noProof/>
            <w:webHidden/>
          </w:rPr>
        </w:r>
        <w:r w:rsidR="004F1A12">
          <w:rPr>
            <w:noProof/>
            <w:webHidden/>
          </w:rPr>
          <w:fldChar w:fldCharType="separate"/>
        </w:r>
        <w:r>
          <w:rPr>
            <w:noProof/>
            <w:webHidden/>
          </w:rPr>
          <w:t>1</w:t>
        </w:r>
        <w:r w:rsidR="004F1A12">
          <w:rPr>
            <w:noProof/>
            <w:webHidden/>
          </w:rPr>
          <w:fldChar w:fldCharType="end"/>
        </w:r>
      </w:hyperlink>
    </w:p>
    <w:p w14:paraId="76B29AC1" w14:textId="75A0626E"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11" w:history="1">
        <w:r w:rsidR="004F1A12" w:rsidRPr="006611D3">
          <w:rPr>
            <w:rStyle w:val="Hyperlink"/>
            <w:noProof/>
          </w:rPr>
          <w:t>Management Response</w:t>
        </w:r>
        <w:r w:rsidR="004F1A12">
          <w:rPr>
            <w:noProof/>
            <w:webHidden/>
          </w:rPr>
          <w:tab/>
        </w:r>
        <w:r w:rsidR="004F1A12">
          <w:rPr>
            <w:noProof/>
            <w:webHidden/>
          </w:rPr>
          <w:fldChar w:fldCharType="begin"/>
        </w:r>
        <w:r w:rsidR="004F1A12">
          <w:rPr>
            <w:noProof/>
            <w:webHidden/>
          </w:rPr>
          <w:instrText xml:space="preserve"> PAGEREF _Toc510771911 \h </w:instrText>
        </w:r>
        <w:r w:rsidR="004F1A12">
          <w:rPr>
            <w:noProof/>
            <w:webHidden/>
          </w:rPr>
        </w:r>
        <w:r w:rsidR="004F1A12">
          <w:rPr>
            <w:noProof/>
            <w:webHidden/>
          </w:rPr>
          <w:fldChar w:fldCharType="separate"/>
        </w:r>
        <w:r>
          <w:rPr>
            <w:noProof/>
            <w:webHidden/>
          </w:rPr>
          <w:t>7</w:t>
        </w:r>
        <w:r w:rsidR="004F1A12">
          <w:rPr>
            <w:noProof/>
            <w:webHidden/>
          </w:rPr>
          <w:fldChar w:fldCharType="end"/>
        </w:r>
      </w:hyperlink>
    </w:p>
    <w:p w14:paraId="3CE7C285" w14:textId="36A8F8BB" w:rsidR="004F1A12" w:rsidRDefault="00825350">
      <w:pPr>
        <w:pStyle w:val="TOC1"/>
        <w:rPr>
          <w:rFonts w:asciiTheme="minorHAnsi" w:eastAsiaTheme="minorEastAsia" w:hAnsiTheme="minorHAnsi" w:cstheme="minorBidi"/>
          <w:b w:val="0"/>
          <w:caps w:val="0"/>
          <w:noProof/>
          <w:color w:val="auto"/>
          <w:spacing w:val="0"/>
          <w:sz w:val="22"/>
          <w:lang w:eastAsia="en-AU"/>
        </w:rPr>
      </w:pPr>
      <w:hyperlink w:anchor="_Toc510771912" w:history="1">
        <w:r w:rsidR="004F1A12" w:rsidRPr="006611D3">
          <w:rPr>
            <w:rStyle w:val="Hyperlink"/>
            <w:noProof/>
          </w:rPr>
          <w:t>Climate change in the aid program</w:t>
        </w:r>
        <w:r w:rsidR="004F1A12">
          <w:rPr>
            <w:noProof/>
            <w:webHidden/>
          </w:rPr>
          <w:tab/>
        </w:r>
        <w:r w:rsidR="004F1A12">
          <w:rPr>
            <w:noProof/>
            <w:webHidden/>
          </w:rPr>
          <w:fldChar w:fldCharType="begin"/>
        </w:r>
        <w:r w:rsidR="004F1A12">
          <w:rPr>
            <w:noProof/>
            <w:webHidden/>
          </w:rPr>
          <w:instrText xml:space="preserve"> PAGEREF _Toc510771912 \h </w:instrText>
        </w:r>
        <w:r w:rsidR="004F1A12">
          <w:rPr>
            <w:noProof/>
            <w:webHidden/>
          </w:rPr>
        </w:r>
        <w:r w:rsidR="004F1A12">
          <w:rPr>
            <w:noProof/>
            <w:webHidden/>
          </w:rPr>
          <w:fldChar w:fldCharType="separate"/>
        </w:r>
        <w:r>
          <w:rPr>
            <w:noProof/>
            <w:webHidden/>
          </w:rPr>
          <w:t>20</w:t>
        </w:r>
        <w:r w:rsidR="004F1A12">
          <w:rPr>
            <w:noProof/>
            <w:webHidden/>
          </w:rPr>
          <w:fldChar w:fldCharType="end"/>
        </w:r>
      </w:hyperlink>
    </w:p>
    <w:p w14:paraId="221E2B14" w14:textId="3CCECDDE" w:rsidR="004F1A12" w:rsidRDefault="00825350">
      <w:pPr>
        <w:pStyle w:val="TOC2"/>
        <w:tabs>
          <w:tab w:val="left" w:pos="630"/>
        </w:tabs>
        <w:rPr>
          <w:rFonts w:asciiTheme="minorHAnsi" w:eastAsiaTheme="minorEastAsia" w:hAnsiTheme="minorHAnsi" w:cstheme="minorBidi"/>
          <w:noProof/>
          <w:color w:val="auto"/>
          <w:sz w:val="22"/>
          <w:lang w:eastAsia="en-AU"/>
        </w:rPr>
      </w:pPr>
      <w:hyperlink w:anchor="_Toc510771913" w:history="1">
        <w:r w:rsidR="004F1A12" w:rsidRPr="006611D3">
          <w:rPr>
            <w:rStyle w:val="Hyperlink"/>
            <w:noProof/>
          </w:rPr>
          <w:t>1.0</w:t>
        </w:r>
        <w:r w:rsidR="004F1A12">
          <w:rPr>
            <w:rFonts w:asciiTheme="minorHAnsi" w:eastAsiaTheme="minorEastAsia" w:hAnsiTheme="minorHAnsi" w:cstheme="minorBidi"/>
            <w:noProof/>
            <w:color w:val="auto"/>
            <w:sz w:val="22"/>
            <w:lang w:eastAsia="en-AU"/>
          </w:rPr>
          <w:tab/>
        </w:r>
        <w:r w:rsidR="004F1A12" w:rsidRPr="006611D3">
          <w:rPr>
            <w:rStyle w:val="Hyperlink"/>
            <w:noProof/>
          </w:rPr>
          <w:t>CLIMATE CHANGE AND DEVELOPMENT EFFECTIVENESS</w:t>
        </w:r>
        <w:r w:rsidR="004F1A12">
          <w:rPr>
            <w:noProof/>
            <w:webHidden/>
          </w:rPr>
          <w:tab/>
        </w:r>
        <w:r w:rsidR="004F1A12">
          <w:rPr>
            <w:noProof/>
            <w:webHidden/>
          </w:rPr>
          <w:fldChar w:fldCharType="begin"/>
        </w:r>
        <w:r w:rsidR="004F1A12">
          <w:rPr>
            <w:noProof/>
            <w:webHidden/>
          </w:rPr>
          <w:instrText xml:space="preserve"> PAGEREF _Toc510771913 \h </w:instrText>
        </w:r>
        <w:r w:rsidR="004F1A12">
          <w:rPr>
            <w:noProof/>
            <w:webHidden/>
          </w:rPr>
        </w:r>
        <w:r w:rsidR="004F1A12">
          <w:rPr>
            <w:noProof/>
            <w:webHidden/>
          </w:rPr>
          <w:fldChar w:fldCharType="separate"/>
        </w:r>
        <w:r>
          <w:rPr>
            <w:noProof/>
            <w:webHidden/>
          </w:rPr>
          <w:t>20</w:t>
        </w:r>
        <w:r w:rsidR="004F1A12">
          <w:rPr>
            <w:noProof/>
            <w:webHidden/>
          </w:rPr>
          <w:fldChar w:fldCharType="end"/>
        </w:r>
      </w:hyperlink>
    </w:p>
    <w:p w14:paraId="7A677208" w14:textId="3276C34C" w:rsidR="004F1A12" w:rsidRDefault="00825350">
      <w:pPr>
        <w:pStyle w:val="TOC3"/>
        <w:rPr>
          <w:rFonts w:asciiTheme="minorHAnsi" w:eastAsiaTheme="minorEastAsia" w:hAnsiTheme="minorHAnsi" w:cstheme="minorBidi"/>
          <w:noProof/>
          <w:color w:val="auto"/>
          <w:sz w:val="22"/>
          <w:lang w:eastAsia="en-AU"/>
        </w:rPr>
      </w:pPr>
      <w:hyperlink w:anchor="_Toc510771914" w:history="1">
        <w:r w:rsidR="004F1A12" w:rsidRPr="006611D3">
          <w:rPr>
            <w:rStyle w:val="Hyperlink"/>
            <w:noProof/>
          </w:rPr>
          <w:t>1.1</w:t>
        </w:r>
        <w:r w:rsidR="004F1A12">
          <w:rPr>
            <w:rFonts w:asciiTheme="minorHAnsi" w:eastAsiaTheme="minorEastAsia" w:hAnsiTheme="minorHAnsi" w:cstheme="minorBidi"/>
            <w:noProof/>
            <w:color w:val="auto"/>
            <w:sz w:val="22"/>
            <w:lang w:eastAsia="en-AU"/>
          </w:rPr>
          <w:tab/>
        </w:r>
        <w:r w:rsidR="004F1A12" w:rsidRPr="006611D3">
          <w:rPr>
            <w:rStyle w:val="Hyperlink"/>
            <w:noProof/>
          </w:rPr>
          <w:t>Policy context</w:t>
        </w:r>
        <w:r w:rsidR="004F1A12">
          <w:rPr>
            <w:noProof/>
            <w:webHidden/>
          </w:rPr>
          <w:tab/>
        </w:r>
        <w:r w:rsidR="004F1A12">
          <w:rPr>
            <w:noProof/>
            <w:webHidden/>
          </w:rPr>
          <w:fldChar w:fldCharType="begin"/>
        </w:r>
        <w:r w:rsidR="004F1A12">
          <w:rPr>
            <w:noProof/>
            <w:webHidden/>
          </w:rPr>
          <w:instrText xml:space="preserve"> PAGEREF _Toc510771914 \h </w:instrText>
        </w:r>
        <w:r w:rsidR="004F1A12">
          <w:rPr>
            <w:noProof/>
            <w:webHidden/>
          </w:rPr>
        </w:r>
        <w:r w:rsidR="004F1A12">
          <w:rPr>
            <w:noProof/>
            <w:webHidden/>
          </w:rPr>
          <w:fldChar w:fldCharType="separate"/>
        </w:r>
        <w:r>
          <w:rPr>
            <w:noProof/>
            <w:webHidden/>
          </w:rPr>
          <w:t>20</w:t>
        </w:r>
        <w:r w:rsidR="004F1A12">
          <w:rPr>
            <w:noProof/>
            <w:webHidden/>
          </w:rPr>
          <w:fldChar w:fldCharType="end"/>
        </w:r>
      </w:hyperlink>
    </w:p>
    <w:p w14:paraId="6D8E9FF4" w14:textId="5644708B" w:rsidR="004F1A12" w:rsidRDefault="00825350">
      <w:pPr>
        <w:pStyle w:val="TOC3"/>
        <w:rPr>
          <w:rFonts w:asciiTheme="minorHAnsi" w:eastAsiaTheme="minorEastAsia" w:hAnsiTheme="minorHAnsi" w:cstheme="minorBidi"/>
          <w:noProof/>
          <w:color w:val="auto"/>
          <w:sz w:val="22"/>
          <w:lang w:eastAsia="en-AU"/>
        </w:rPr>
      </w:pPr>
      <w:hyperlink w:anchor="_Toc510771915" w:history="1">
        <w:r w:rsidR="004F1A12" w:rsidRPr="006611D3">
          <w:rPr>
            <w:rStyle w:val="Hyperlink"/>
            <w:noProof/>
          </w:rPr>
          <w:t>1.2</w:t>
        </w:r>
        <w:r w:rsidR="004F1A12">
          <w:rPr>
            <w:rFonts w:asciiTheme="minorHAnsi" w:eastAsiaTheme="minorEastAsia" w:hAnsiTheme="minorHAnsi" w:cstheme="minorBidi"/>
            <w:noProof/>
            <w:color w:val="auto"/>
            <w:sz w:val="22"/>
            <w:lang w:eastAsia="en-AU"/>
          </w:rPr>
          <w:tab/>
        </w:r>
        <w:r w:rsidR="004F1A12" w:rsidRPr="006611D3">
          <w:rPr>
            <w:rStyle w:val="Hyperlink"/>
            <w:noProof/>
          </w:rPr>
          <w:t>Climate change and the aid program</w:t>
        </w:r>
        <w:r w:rsidR="004F1A12">
          <w:rPr>
            <w:noProof/>
            <w:webHidden/>
          </w:rPr>
          <w:tab/>
        </w:r>
        <w:r w:rsidR="004F1A12">
          <w:rPr>
            <w:noProof/>
            <w:webHidden/>
          </w:rPr>
          <w:fldChar w:fldCharType="begin"/>
        </w:r>
        <w:r w:rsidR="004F1A12">
          <w:rPr>
            <w:noProof/>
            <w:webHidden/>
          </w:rPr>
          <w:instrText xml:space="preserve"> PAGEREF _Toc510771915 \h </w:instrText>
        </w:r>
        <w:r w:rsidR="004F1A12">
          <w:rPr>
            <w:noProof/>
            <w:webHidden/>
          </w:rPr>
        </w:r>
        <w:r w:rsidR="004F1A12">
          <w:rPr>
            <w:noProof/>
            <w:webHidden/>
          </w:rPr>
          <w:fldChar w:fldCharType="separate"/>
        </w:r>
        <w:r>
          <w:rPr>
            <w:noProof/>
            <w:webHidden/>
          </w:rPr>
          <w:t>21</w:t>
        </w:r>
        <w:r w:rsidR="004F1A12">
          <w:rPr>
            <w:noProof/>
            <w:webHidden/>
          </w:rPr>
          <w:fldChar w:fldCharType="end"/>
        </w:r>
      </w:hyperlink>
    </w:p>
    <w:p w14:paraId="139B4802" w14:textId="49F1AB44" w:rsidR="004F1A12" w:rsidRDefault="00825350">
      <w:pPr>
        <w:pStyle w:val="TOC2"/>
        <w:rPr>
          <w:rFonts w:asciiTheme="minorHAnsi" w:eastAsiaTheme="minorEastAsia" w:hAnsiTheme="minorHAnsi" w:cstheme="minorBidi"/>
          <w:noProof/>
          <w:color w:val="auto"/>
          <w:sz w:val="22"/>
          <w:lang w:eastAsia="en-AU"/>
        </w:rPr>
      </w:pPr>
      <w:hyperlink w:anchor="_Toc510771916" w:history="1">
        <w:r w:rsidR="004F1A12" w:rsidRPr="006611D3">
          <w:rPr>
            <w:rStyle w:val="Hyperlink"/>
            <w:noProof/>
          </w:rPr>
          <w:t xml:space="preserve">2.0 </w:t>
        </w:r>
        <w:r w:rsidR="004F1A12">
          <w:rPr>
            <w:rStyle w:val="Hyperlink"/>
            <w:noProof/>
          </w:rPr>
          <w:t xml:space="preserve">   </w:t>
        </w:r>
        <w:r w:rsidR="004F1A12" w:rsidRPr="006611D3">
          <w:rPr>
            <w:rStyle w:val="Hyperlink"/>
            <w:noProof/>
          </w:rPr>
          <w:t>THE EVALUATION</w:t>
        </w:r>
        <w:r w:rsidR="004F1A12">
          <w:rPr>
            <w:noProof/>
            <w:webHidden/>
          </w:rPr>
          <w:tab/>
        </w:r>
        <w:r w:rsidR="004F1A12">
          <w:rPr>
            <w:noProof/>
            <w:webHidden/>
          </w:rPr>
          <w:fldChar w:fldCharType="begin"/>
        </w:r>
        <w:r w:rsidR="004F1A12">
          <w:rPr>
            <w:noProof/>
            <w:webHidden/>
          </w:rPr>
          <w:instrText xml:space="preserve"> PAGEREF _Toc510771916 \h </w:instrText>
        </w:r>
        <w:r w:rsidR="004F1A12">
          <w:rPr>
            <w:noProof/>
            <w:webHidden/>
          </w:rPr>
        </w:r>
        <w:r w:rsidR="004F1A12">
          <w:rPr>
            <w:noProof/>
            <w:webHidden/>
          </w:rPr>
          <w:fldChar w:fldCharType="separate"/>
        </w:r>
        <w:r>
          <w:rPr>
            <w:noProof/>
            <w:webHidden/>
          </w:rPr>
          <w:t>23</w:t>
        </w:r>
        <w:r w:rsidR="004F1A12">
          <w:rPr>
            <w:noProof/>
            <w:webHidden/>
          </w:rPr>
          <w:fldChar w:fldCharType="end"/>
        </w:r>
      </w:hyperlink>
    </w:p>
    <w:p w14:paraId="47262BA6" w14:textId="6CEC2BD0" w:rsidR="004F1A12" w:rsidRDefault="00825350">
      <w:pPr>
        <w:pStyle w:val="TOC3"/>
        <w:rPr>
          <w:rFonts w:asciiTheme="minorHAnsi" w:eastAsiaTheme="minorEastAsia" w:hAnsiTheme="minorHAnsi" w:cstheme="minorBidi"/>
          <w:noProof/>
          <w:color w:val="auto"/>
          <w:sz w:val="22"/>
          <w:lang w:eastAsia="en-AU"/>
        </w:rPr>
      </w:pPr>
      <w:hyperlink w:anchor="_Toc510771917" w:history="1">
        <w:r w:rsidR="004F1A12" w:rsidRPr="006611D3">
          <w:rPr>
            <w:rStyle w:val="Hyperlink"/>
            <w:noProof/>
          </w:rPr>
          <w:t>2.1</w:t>
        </w:r>
        <w:r w:rsidR="004F1A12">
          <w:rPr>
            <w:rFonts w:asciiTheme="minorHAnsi" w:eastAsiaTheme="minorEastAsia" w:hAnsiTheme="minorHAnsi" w:cstheme="minorBidi"/>
            <w:noProof/>
            <w:color w:val="auto"/>
            <w:sz w:val="22"/>
            <w:lang w:eastAsia="en-AU"/>
          </w:rPr>
          <w:tab/>
          <w:t xml:space="preserve"> </w:t>
        </w:r>
        <w:r w:rsidR="004F1A12" w:rsidRPr="006611D3">
          <w:rPr>
            <w:rStyle w:val="Hyperlink"/>
            <w:noProof/>
          </w:rPr>
          <w:t>Evaluation purpose and objectives</w:t>
        </w:r>
        <w:r w:rsidR="004F1A12">
          <w:rPr>
            <w:noProof/>
            <w:webHidden/>
          </w:rPr>
          <w:tab/>
        </w:r>
        <w:r w:rsidR="004F1A12">
          <w:rPr>
            <w:noProof/>
            <w:webHidden/>
          </w:rPr>
          <w:fldChar w:fldCharType="begin"/>
        </w:r>
        <w:r w:rsidR="004F1A12">
          <w:rPr>
            <w:noProof/>
            <w:webHidden/>
          </w:rPr>
          <w:instrText xml:space="preserve"> PAGEREF _Toc510771917 \h </w:instrText>
        </w:r>
        <w:r w:rsidR="004F1A12">
          <w:rPr>
            <w:noProof/>
            <w:webHidden/>
          </w:rPr>
        </w:r>
        <w:r w:rsidR="004F1A12">
          <w:rPr>
            <w:noProof/>
            <w:webHidden/>
          </w:rPr>
          <w:fldChar w:fldCharType="separate"/>
        </w:r>
        <w:r>
          <w:rPr>
            <w:noProof/>
            <w:webHidden/>
          </w:rPr>
          <w:t>23</w:t>
        </w:r>
        <w:r w:rsidR="004F1A12">
          <w:rPr>
            <w:noProof/>
            <w:webHidden/>
          </w:rPr>
          <w:fldChar w:fldCharType="end"/>
        </w:r>
      </w:hyperlink>
    </w:p>
    <w:p w14:paraId="1E655E9E" w14:textId="7C0A124C" w:rsidR="004F1A12" w:rsidRDefault="00825350">
      <w:pPr>
        <w:pStyle w:val="TOC3"/>
        <w:rPr>
          <w:rFonts w:asciiTheme="minorHAnsi" w:eastAsiaTheme="minorEastAsia" w:hAnsiTheme="minorHAnsi" w:cstheme="minorBidi"/>
          <w:noProof/>
          <w:color w:val="auto"/>
          <w:sz w:val="22"/>
          <w:lang w:eastAsia="en-AU"/>
        </w:rPr>
      </w:pPr>
      <w:hyperlink w:anchor="_Toc510771918" w:history="1">
        <w:r w:rsidR="004F1A12" w:rsidRPr="006611D3">
          <w:rPr>
            <w:rStyle w:val="Hyperlink"/>
            <w:noProof/>
          </w:rPr>
          <w:t>2.2</w:t>
        </w:r>
        <w:r w:rsidR="004F1A12">
          <w:rPr>
            <w:rFonts w:asciiTheme="minorHAnsi" w:eastAsiaTheme="minorEastAsia" w:hAnsiTheme="minorHAnsi" w:cstheme="minorBidi"/>
            <w:noProof/>
            <w:color w:val="auto"/>
            <w:sz w:val="22"/>
            <w:lang w:eastAsia="en-AU"/>
          </w:rPr>
          <w:tab/>
          <w:t xml:space="preserve"> </w:t>
        </w:r>
        <w:r w:rsidR="004F1A12" w:rsidRPr="006611D3">
          <w:rPr>
            <w:rStyle w:val="Hyperlink"/>
            <w:noProof/>
          </w:rPr>
          <w:t>Key evaluation questions</w:t>
        </w:r>
        <w:r w:rsidR="004F1A12">
          <w:rPr>
            <w:noProof/>
            <w:webHidden/>
          </w:rPr>
          <w:tab/>
        </w:r>
        <w:r w:rsidR="004F1A12">
          <w:rPr>
            <w:noProof/>
            <w:webHidden/>
          </w:rPr>
          <w:fldChar w:fldCharType="begin"/>
        </w:r>
        <w:r w:rsidR="004F1A12">
          <w:rPr>
            <w:noProof/>
            <w:webHidden/>
          </w:rPr>
          <w:instrText xml:space="preserve"> PAGEREF _Toc510771918 \h </w:instrText>
        </w:r>
        <w:r w:rsidR="004F1A12">
          <w:rPr>
            <w:noProof/>
            <w:webHidden/>
          </w:rPr>
        </w:r>
        <w:r w:rsidR="004F1A12">
          <w:rPr>
            <w:noProof/>
            <w:webHidden/>
          </w:rPr>
          <w:fldChar w:fldCharType="separate"/>
        </w:r>
        <w:r>
          <w:rPr>
            <w:noProof/>
            <w:webHidden/>
          </w:rPr>
          <w:t>24</w:t>
        </w:r>
        <w:r w:rsidR="004F1A12">
          <w:rPr>
            <w:noProof/>
            <w:webHidden/>
          </w:rPr>
          <w:fldChar w:fldCharType="end"/>
        </w:r>
      </w:hyperlink>
    </w:p>
    <w:p w14:paraId="31EB88AC" w14:textId="5373304E" w:rsidR="004F1A12" w:rsidRDefault="00825350">
      <w:pPr>
        <w:pStyle w:val="TOC3"/>
        <w:rPr>
          <w:rFonts w:asciiTheme="minorHAnsi" w:eastAsiaTheme="minorEastAsia" w:hAnsiTheme="minorHAnsi" w:cstheme="minorBidi"/>
          <w:noProof/>
          <w:color w:val="auto"/>
          <w:sz w:val="22"/>
          <w:lang w:eastAsia="en-AU"/>
        </w:rPr>
      </w:pPr>
      <w:hyperlink w:anchor="_Toc510771919" w:history="1">
        <w:r w:rsidR="004F1A12" w:rsidRPr="006611D3">
          <w:rPr>
            <w:rStyle w:val="Hyperlink"/>
            <w:noProof/>
          </w:rPr>
          <w:t>2.3</w:t>
        </w:r>
        <w:r w:rsidR="004F1A12">
          <w:rPr>
            <w:rStyle w:val="Hyperlink"/>
            <w:noProof/>
          </w:rPr>
          <w:tab/>
        </w:r>
        <w:r w:rsidR="004F1A12" w:rsidRPr="006611D3">
          <w:rPr>
            <w:rStyle w:val="Hyperlink"/>
            <w:noProof/>
          </w:rPr>
          <w:t xml:space="preserve"> Approach and methodology</w:t>
        </w:r>
        <w:r w:rsidR="004F1A12">
          <w:rPr>
            <w:noProof/>
            <w:webHidden/>
          </w:rPr>
          <w:tab/>
        </w:r>
        <w:r w:rsidR="004F1A12">
          <w:rPr>
            <w:noProof/>
            <w:webHidden/>
          </w:rPr>
          <w:fldChar w:fldCharType="begin"/>
        </w:r>
        <w:r w:rsidR="004F1A12">
          <w:rPr>
            <w:noProof/>
            <w:webHidden/>
          </w:rPr>
          <w:instrText xml:space="preserve"> PAGEREF _Toc510771919 \h </w:instrText>
        </w:r>
        <w:r w:rsidR="004F1A12">
          <w:rPr>
            <w:noProof/>
            <w:webHidden/>
          </w:rPr>
        </w:r>
        <w:r w:rsidR="004F1A12">
          <w:rPr>
            <w:noProof/>
            <w:webHidden/>
          </w:rPr>
          <w:fldChar w:fldCharType="separate"/>
        </w:r>
        <w:r>
          <w:rPr>
            <w:noProof/>
            <w:webHidden/>
          </w:rPr>
          <w:t>24</w:t>
        </w:r>
        <w:r w:rsidR="004F1A12">
          <w:rPr>
            <w:noProof/>
            <w:webHidden/>
          </w:rPr>
          <w:fldChar w:fldCharType="end"/>
        </w:r>
      </w:hyperlink>
    </w:p>
    <w:p w14:paraId="33E70DF2" w14:textId="7917EDF9" w:rsidR="004F1A12" w:rsidRDefault="00825350">
      <w:pPr>
        <w:pStyle w:val="TOC3"/>
        <w:rPr>
          <w:rFonts w:asciiTheme="minorHAnsi" w:eastAsiaTheme="minorEastAsia" w:hAnsiTheme="minorHAnsi" w:cstheme="minorBidi"/>
          <w:noProof/>
          <w:color w:val="auto"/>
          <w:sz w:val="22"/>
          <w:lang w:eastAsia="en-AU"/>
        </w:rPr>
      </w:pPr>
      <w:hyperlink w:anchor="_Toc510771920" w:history="1">
        <w:r w:rsidR="004F1A12" w:rsidRPr="006611D3">
          <w:rPr>
            <w:rStyle w:val="Hyperlink"/>
            <w:noProof/>
          </w:rPr>
          <w:t xml:space="preserve">2.4 </w:t>
        </w:r>
        <w:r w:rsidR="004F1A12">
          <w:rPr>
            <w:rStyle w:val="Hyperlink"/>
            <w:noProof/>
          </w:rPr>
          <w:tab/>
        </w:r>
        <w:r w:rsidR="004F1A12" w:rsidRPr="006611D3">
          <w:rPr>
            <w:rStyle w:val="Hyperlink"/>
            <w:noProof/>
          </w:rPr>
          <w:t>Constraints and limitations</w:t>
        </w:r>
        <w:r w:rsidR="004F1A12">
          <w:rPr>
            <w:noProof/>
            <w:webHidden/>
          </w:rPr>
          <w:tab/>
        </w:r>
        <w:r w:rsidR="004F1A12">
          <w:rPr>
            <w:noProof/>
            <w:webHidden/>
          </w:rPr>
          <w:fldChar w:fldCharType="begin"/>
        </w:r>
        <w:r w:rsidR="004F1A12">
          <w:rPr>
            <w:noProof/>
            <w:webHidden/>
          </w:rPr>
          <w:instrText xml:space="preserve"> PAGEREF _Toc510771920 \h </w:instrText>
        </w:r>
        <w:r w:rsidR="004F1A12">
          <w:rPr>
            <w:noProof/>
            <w:webHidden/>
          </w:rPr>
        </w:r>
        <w:r w:rsidR="004F1A12">
          <w:rPr>
            <w:noProof/>
            <w:webHidden/>
          </w:rPr>
          <w:fldChar w:fldCharType="separate"/>
        </w:r>
        <w:r>
          <w:rPr>
            <w:noProof/>
            <w:webHidden/>
          </w:rPr>
          <w:t>28</w:t>
        </w:r>
        <w:r w:rsidR="004F1A12">
          <w:rPr>
            <w:noProof/>
            <w:webHidden/>
          </w:rPr>
          <w:fldChar w:fldCharType="end"/>
        </w:r>
      </w:hyperlink>
    </w:p>
    <w:p w14:paraId="420EC020" w14:textId="0140D5E9" w:rsidR="004F1A12" w:rsidRDefault="00825350">
      <w:pPr>
        <w:pStyle w:val="TOC3"/>
        <w:rPr>
          <w:rFonts w:asciiTheme="minorHAnsi" w:eastAsiaTheme="minorEastAsia" w:hAnsiTheme="minorHAnsi" w:cstheme="minorBidi"/>
          <w:noProof/>
          <w:color w:val="auto"/>
          <w:sz w:val="22"/>
          <w:lang w:eastAsia="en-AU"/>
        </w:rPr>
      </w:pPr>
      <w:hyperlink w:anchor="_Toc510771921" w:history="1">
        <w:r w:rsidR="004F1A12" w:rsidRPr="006611D3">
          <w:rPr>
            <w:rStyle w:val="Hyperlink"/>
            <w:noProof/>
          </w:rPr>
          <w:t xml:space="preserve">2.5 </w:t>
        </w:r>
        <w:r w:rsidR="004F1A12">
          <w:rPr>
            <w:rStyle w:val="Hyperlink"/>
            <w:noProof/>
          </w:rPr>
          <w:tab/>
        </w:r>
        <w:r w:rsidR="004F1A12" w:rsidRPr="006611D3">
          <w:rPr>
            <w:rStyle w:val="Hyperlink"/>
            <w:noProof/>
          </w:rPr>
          <w:t>Ethical considerations</w:t>
        </w:r>
        <w:r w:rsidR="004F1A12">
          <w:rPr>
            <w:noProof/>
            <w:webHidden/>
          </w:rPr>
          <w:tab/>
        </w:r>
        <w:r w:rsidR="004F1A12">
          <w:rPr>
            <w:noProof/>
            <w:webHidden/>
          </w:rPr>
          <w:fldChar w:fldCharType="begin"/>
        </w:r>
        <w:r w:rsidR="004F1A12">
          <w:rPr>
            <w:noProof/>
            <w:webHidden/>
          </w:rPr>
          <w:instrText xml:space="preserve"> PAGEREF _Toc510771921 \h </w:instrText>
        </w:r>
        <w:r w:rsidR="004F1A12">
          <w:rPr>
            <w:noProof/>
            <w:webHidden/>
          </w:rPr>
        </w:r>
        <w:r w:rsidR="004F1A12">
          <w:rPr>
            <w:noProof/>
            <w:webHidden/>
          </w:rPr>
          <w:fldChar w:fldCharType="separate"/>
        </w:r>
        <w:r>
          <w:rPr>
            <w:noProof/>
            <w:webHidden/>
          </w:rPr>
          <w:t>30</w:t>
        </w:r>
        <w:r w:rsidR="004F1A12">
          <w:rPr>
            <w:noProof/>
            <w:webHidden/>
          </w:rPr>
          <w:fldChar w:fldCharType="end"/>
        </w:r>
      </w:hyperlink>
    </w:p>
    <w:p w14:paraId="4AED62D7" w14:textId="534D1F2A" w:rsidR="004F1A12" w:rsidRDefault="00825350">
      <w:pPr>
        <w:pStyle w:val="TOC2"/>
        <w:rPr>
          <w:rFonts w:asciiTheme="minorHAnsi" w:eastAsiaTheme="minorEastAsia" w:hAnsiTheme="minorHAnsi" w:cstheme="minorBidi"/>
          <w:noProof/>
          <w:color w:val="auto"/>
          <w:sz w:val="22"/>
          <w:lang w:eastAsia="en-AU"/>
        </w:rPr>
      </w:pPr>
      <w:hyperlink w:anchor="_Toc510771922" w:history="1">
        <w:r w:rsidR="004F1A12" w:rsidRPr="006611D3">
          <w:rPr>
            <w:rStyle w:val="Hyperlink"/>
            <w:noProof/>
          </w:rPr>
          <w:t xml:space="preserve">3.0 </w:t>
        </w:r>
        <w:r w:rsidR="00874AB8">
          <w:rPr>
            <w:rStyle w:val="Hyperlink"/>
            <w:noProof/>
          </w:rPr>
          <w:t xml:space="preserve">   </w:t>
        </w:r>
        <w:r w:rsidR="004F1A12" w:rsidRPr="006611D3">
          <w:rPr>
            <w:rStyle w:val="Hyperlink"/>
            <w:noProof/>
          </w:rPr>
          <w:t>CLIMATE CHANGE INVESTMENTS</w:t>
        </w:r>
        <w:r w:rsidR="004F1A12">
          <w:rPr>
            <w:noProof/>
            <w:webHidden/>
          </w:rPr>
          <w:tab/>
        </w:r>
        <w:r w:rsidR="004F1A12">
          <w:rPr>
            <w:noProof/>
            <w:webHidden/>
          </w:rPr>
          <w:fldChar w:fldCharType="begin"/>
        </w:r>
        <w:r w:rsidR="004F1A12">
          <w:rPr>
            <w:noProof/>
            <w:webHidden/>
          </w:rPr>
          <w:instrText xml:space="preserve"> PAGEREF _Toc510771922 \h </w:instrText>
        </w:r>
        <w:r w:rsidR="004F1A12">
          <w:rPr>
            <w:noProof/>
            <w:webHidden/>
          </w:rPr>
        </w:r>
        <w:r w:rsidR="004F1A12">
          <w:rPr>
            <w:noProof/>
            <w:webHidden/>
          </w:rPr>
          <w:fldChar w:fldCharType="separate"/>
        </w:r>
        <w:r>
          <w:rPr>
            <w:noProof/>
            <w:webHidden/>
          </w:rPr>
          <w:t>31</w:t>
        </w:r>
        <w:r w:rsidR="004F1A12">
          <w:rPr>
            <w:noProof/>
            <w:webHidden/>
          </w:rPr>
          <w:fldChar w:fldCharType="end"/>
        </w:r>
      </w:hyperlink>
    </w:p>
    <w:p w14:paraId="0FF5BC6F" w14:textId="413F854A" w:rsidR="004F1A12" w:rsidRDefault="00825350">
      <w:pPr>
        <w:pStyle w:val="TOC3"/>
        <w:rPr>
          <w:rFonts w:asciiTheme="minorHAnsi" w:eastAsiaTheme="minorEastAsia" w:hAnsiTheme="minorHAnsi" w:cstheme="minorBidi"/>
          <w:noProof/>
          <w:color w:val="auto"/>
          <w:sz w:val="22"/>
          <w:lang w:eastAsia="en-AU"/>
        </w:rPr>
      </w:pPr>
      <w:hyperlink w:anchor="_Toc510771923" w:history="1">
        <w:r w:rsidR="004F1A12" w:rsidRPr="006611D3">
          <w:rPr>
            <w:rStyle w:val="Hyperlink"/>
            <w:noProof/>
          </w:rPr>
          <w:t xml:space="preserve">3.1 </w:t>
        </w:r>
        <w:r w:rsidR="004F1A12">
          <w:rPr>
            <w:rStyle w:val="Hyperlink"/>
            <w:noProof/>
          </w:rPr>
          <w:tab/>
        </w:r>
        <w:r w:rsidR="004F1A12" w:rsidRPr="006611D3">
          <w:rPr>
            <w:rStyle w:val="Hyperlink"/>
            <w:noProof/>
          </w:rPr>
          <w:t>Evidence of increased resilience and/or decreased emissions</w:t>
        </w:r>
        <w:r w:rsidR="004F1A12">
          <w:rPr>
            <w:noProof/>
            <w:webHidden/>
          </w:rPr>
          <w:tab/>
        </w:r>
        <w:r w:rsidR="004F1A12">
          <w:rPr>
            <w:noProof/>
            <w:webHidden/>
          </w:rPr>
          <w:fldChar w:fldCharType="begin"/>
        </w:r>
        <w:r w:rsidR="004F1A12">
          <w:rPr>
            <w:noProof/>
            <w:webHidden/>
          </w:rPr>
          <w:instrText xml:space="preserve"> PAGEREF _Toc510771923 \h </w:instrText>
        </w:r>
        <w:r w:rsidR="004F1A12">
          <w:rPr>
            <w:noProof/>
            <w:webHidden/>
          </w:rPr>
        </w:r>
        <w:r w:rsidR="004F1A12">
          <w:rPr>
            <w:noProof/>
            <w:webHidden/>
          </w:rPr>
          <w:fldChar w:fldCharType="separate"/>
        </w:r>
        <w:r>
          <w:rPr>
            <w:noProof/>
            <w:webHidden/>
          </w:rPr>
          <w:t>31</w:t>
        </w:r>
        <w:r w:rsidR="004F1A12">
          <w:rPr>
            <w:noProof/>
            <w:webHidden/>
          </w:rPr>
          <w:fldChar w:fldCharType="end"/>
        </w:r>
      </w:hyperlink>
    </w:p>
    <w:p w14:paraId="614A9822" w14:textId="5BD5E484" w:rsidR="004F1A12" w:rsidRDefault="00825350">
      <w:pPr>
        <w:pStyle w:val="TOC3"/>
        <w:rPr>
          <w:rFonts w:asciiTheme="minorHAnsi" w:eastAsiaTheme="minorEastAsia" w:hAnsiTheme="minorHAnsi" w:cstheme="minorBidi"/>
          <w:noProof/>
          <w:color w:val="auto"/>
          <w:sz w:val="22"/>
          <w:lang w:eastAsia="en-AU"/>
        </w:rPr>
      </w:pPr>
      <w:hyperlink w:anchor="_Toc510771924" w:history="1">
        <w:r w:rsidR="004F1A12" w:rsidRPr="006611D3">
          <w:rPr>
            <w:rStyle w:val="Hyperlink"/>
            <w:noProof/>
          </w:rPr>
          <w:t>3.2</w:t>
        </w:r>
        <w:r w:rsidR="004F1A12">
          <w:rPr>
            <w:rFonts w:asciiTheme="minorHAnsi" w:eastAsiaTheme="minorEastAsia" w:hAnsiTheme="minorHAnsi" w:cstheme="minorBidi"/>
            <w:noProof/>
            <w:color w:val="auto"/>
            <w:sz w:val="22"/>
            <w:lang w:eastAsia="en-AU"/>
          </w:rPr>
          <w:tab/>
        </w:r>
        <w:r w:rsidR="004F1A12" w:rsidRPr="006611D3">
          <w:rPr>
            <w:rStyle w:val="Hyperlink"/>
            <w:noProof/>
          </w:rPr>
          <w:t>Features of investments demonstrating strong climate change results</w:t>
        </w:r>
        <w:r w:rsidR="004F1A12">
          <w:rPr>
            <w:noProof/>
            <w:webHidden/>
          </w:rPr>
          <w:tab/>
        </w:r>
        <w:r w:rsidR="004F1A12">
          <w:rPr>
            <w:noProof/>
            <w:webHidden/>
          </w:rPr>
          <w:fldChar w:fldCharType="begin"/>
        </w:r>
        <w:r w:rsidR="004F1A12">
          <w:rPr>
            <w:noProof/>
            <w:webHidden/>
          </w:rPr>
          <w:instrText xml:space="preserve"> PAGEREF _Toc510771924 \h </w:instrText>
        </w:r>
        <w:r w:rsidR="004F1A12">
          <w:rPr>
            <w:noProof/>
            <w:webHidden/>
          </w:rPr>
        </w:r>
        <w:r w:rsidR="004F1A12">
          <w:rPr>
            <w:noProof/>
            <w:webHidden/>
          </w:rPr>
          <w:fldChar w:fldCharType="separate"/>
        </w:r>
        <w:r>
          <w:rPr>
            <w:noProof/>
            <w:webHidden/>
          </w:rPr>
          <w:t>34</w:t>
        </w:r>
        <w:r w:rsidR="004F1A12">
          <w:rPr>
            <w:noProof/>
            <w:webHidden/>
          </w:rPr>
          <w:fldChar w:fldCharType="end"/>
        </w:r>
      </w:hyperlink>
    </w:p>
    <w:p w14:paraId="05BB37D5" w14:textId="6F4F317C" w:rsidR="004F1A12" w:rsidRDefault="00825350">
      <w:pPr>
        <w:pStyle w:val="TOC3"/>
        <w:rPr>
          <w:rFonts w:asciiTheme="minorHAnsi" w:eastAsiaTheme="minorEastAsia" w:hAnsiTheme="minorHAnsi" w:cstheme="minorBidi"/>
          <w:noProof/>
          <w:color w:val="auto"/>
          <w:sz w:val="22"/>
          <w:lang w:eastAsia="en-AU"/>
        </w:rPr>
      </w:pPr>
      <w:hyperlink w:anchor="_Toc510771925" w:history="1">
        <w:r w:rsidR="004F1A12" w:rsidRPr="006611D3">
          <w:rPr>
            <w:rStyle w:val="Hyperlink"/>
            <w:noProof/>
          </w:rPr>
          <w:t>3.3</w:t>
        </w:r>
        <w:r w:rsidR="004F1A12">
          <w:rPr>
            <w:rFonts w:asciiTheme="minorHAnsi" w:eastAsiaTheme="minorEastAsia" w:hAnsiTheme="minorHAnsi" w:cstheme="minorBidi"/>
            <w:noProof/>
            <w:color w:val="auto"/>
            <w:sz w:val="22"/>
            <w:lang w:eastAsia="en-AU"/>
          </w:rPr>
          <w:tab/>
        </w:r>
        <w:r w:rsidR="004F1A12" w:rsidRPr="006611D3">
          <w:rPr>
            <w:rStyle w:val="Hyperlink"/>
            <w:noProof/>
          </w:rPr>
          <w:t>Engagement with strategic Australian government partners</w:t>
        </w:r>
        <w:r w:rsidR="004F1A12">
          <w:rPr>
            <w:noProof/>
            <w:webHidden/>
          </w:rPr>
          <w:tab/>
        </w:r>
        <w:r w:rsidR="004F1A12">
          <w:rPr>
            <w:noProof/>
            <w:webHidden/>
          </w:rPr>
          <w:fldChar w:fldCharType="begin"/>
        </w:r>
        <w:r w:rsidR="004F1A12">
          <w:rPr>
            <w:noProof/>
            <w:webHidden/>
          </w:rPr>
          <w:instrText xml:space="preserve"> PAGEREF _Toc510771925 \h </w:instrText>
        </w:r>
        <w:r w:rsidR="004F1A12">
          <w:rPr>
            <w:noProof/>
            <w:webHidden/>
          </w:rPr>
        </w:r>
        <w:r w:rsidR="004F1A12">
          <w:rPr>
            <w:noProof/>
            <w:webHidden/>
          </w:rPr>
          <w:fldChar w:fldCharType="separate"/>
        </w:r>
        <w:r>
          <w:rPr>
            <w:noProof/>
            <w:webHidden/>
          </w:rPr>
          <w:t>39</w:t>
        </w:r>
        <w:r w:rsidR="004F1A12">
          <w:rPr>
            <w:noProof/>
            <w:webHidden/>
          </w:rPr>
          <w:fldChar w:fldCharType="end"/>
        </w:r>
      </w:hyperlink>
    </w:p>
    <w:p w14:paraId="7A5993EF" w14:textId="0CB274EC" w:rsidR="004F1A12" w:rsidRDefault="00825350">
      <w:pPr>
        <w:pStyle w:val="TOC3"/>
        <w:rPr>
          <w:rFonts w:asciiTheme="minorHAnsi" w:eastAsiaTheme="minorEastAsia" w:hAnsiTheme="minorHAnsi" w:cstheme="minorBidi"/>
          <w:noProof/>
          <w:color w:val="auto"/>
          <w:sz w:val="22"/>
          <w:lang w:eastAsia="en-AU"/>
        </w:rPr>
      </w:pPr>
      <w:hyperlink w:anchor="_Toc510771926" w:history="1">
        <w:r w:rsidR="004F1A12" w:rsidRPr="006611D3">
          <w:rPr>
            <w:rStyle w:val="Hyperlink"/>
            <w:noProof/>
          </w:rPr>
          <w:t>3.4</w:t>
        </w:r>
        <w:r w:rsidR="004F1A12">
          <w:rPr>
            <w:rFonts w:asciiTheme="minorHAnsi" w:eastAsiaTheme="minorEastAsia" w:hAnsiTheme="minorHAnsi" w:cstheme="minorBidi"/>
            <w:noProof/>
            <w:color w:val="auto"/>
            <w:sz w:val="22"/>
            <w:lang w:eastAsia="en-AU"/>
          </w:rPr>
          <w:tab/>
        </w:r>
        <w:r w:rsidR="004F1A12" w:rsidRPr="006611D3">
          <w:rPr>
            <w:rStyle w:val="Hyperlink"/>
            <w:noProof/>
          </w:rPr>
          <w:t>Gender and disability inclusion</w:t>
        </w:r>
        <w:r w:rsidR="004F1A12">
          <w:rPr>
            <w:noProof/>
            <w:webHidden/>
          </w:rPr>
          <w:tab/>
        </w:r>
        <w:r w:rsidR="004F1A12">
          <w:rPr>
            <w:noProof/>
            <w:webHidden/>
          </w:rPr>
          <w:fldChar w:fldCharType="begin"/>
        </w:r>
        <w:r w:rsidR="004F1A12">
          <w:rPr>
            <w:noProof/>
            <w:webHidden/>
          </w:rPr>
          <w:instrText xml:space="preserve"> PAGEREF _Toc510771926 \h </w:instrText>
        </w:r>
        <w:r w:rsidR="004F1A12">
          <w:rPr>
            <w:noProof/>
            <w:webHidden/>
          </w:rPr>
        </w:r>
        <w:r w:rsidR="004F1A12">
          <w:rPr>
            <w:noProof/>
            <w:webHidden/>
          </w:rPr>
          <w:fldChar w:fldCharType="separate"/>
        </w:r>
        <w:r>
          <w:rPr>
            <w:noProof/>
            <w:webHidden/>
          </w:rPr>
          <w:t>40</w:t>
        </w:r>
        <w:r w:rsidR="004F1A12">
          <w:rPr>
            <w:noProof/>
            <w:webHidden/>
          </w:rPr>
          <w:fldChar w:fldCharType="end"/>
        </w:r>
      </w:hyperlink>
    </w:p>
    <w:p w14:paraId="598D2272" w14:textId="5FB8A279" w:rsidR="004F1A12" w:rsidRDefault="00825350">
      <w:pPr>
        <w:pStyle w:val="TOC3"/>
        <w:rPr>
          <w:rFonts w:asciiTheme="minorHAnsi" w:eastAsiaTheme="minorEastAsia" w:hAnsiTheme="minorHAnsi" w:cstheme="minorBidi"/>
          <w:noProof/>
          <w:color w:val="auto"/>
          <w:sz w:val="22"/>
          <w:lang w:eastAsia="en-AU"/>
        </w:rPr>
      </w:pPr>
      <w:hyperlink w:anchor="_Toc510771927" w:history="1">
        <w:r w:rsidR="004F1A12" w:rsidRPr="006611D3">
          <w:rPr>
            <w:rStyle w:val="Hyperlink"/>
            <w:noProof/>
          </w:rPr>
          <w:t>3.5</w:t>
        </w:r>
        <w:r w:rsidR="004F1A12">
          <w:rPr>
            <w:rFonts w:asciiTheme="minorHAnsi" w:eastAsiaTheme="minorEastAsia" w:hAnsiTheme="minorHAnsi" w:cstheme="minorBidi"/>
            <w:noProof/>
            <w:color w:val="auto"/>
            <w:sz w:val="22"/>
            <w:lang w:eastAsia="en-AU"/>
          </w:rPr>
          <w:tab/>
        </w:r>
        <w:r w:rsidR="004F1A12" w:rsidRPr="006611D3">
          <w:rPr>
            <w:rStyle w:val="Hyperlink"/>
            <w:noProof/>
          </w:rPr>
          <w:t>Relationship between climate change investments and security, trade, economic and diplomatic interests</w:t>
        </w:r>
        <w:r w:rsidR="004F1A12">
          <w:rPr>
            <w:noProof/>
            <w:webHidden/>
          </w:rPr>
          <w:tab/>
        </w:r>
        <w:r w:rsidR="004F1A12">
          <w:rPr>
            <w:noProof/>
            <w:webHidden/>
          </w:rPr>
          <w:fldChar w:fldCharType="begin"/>
        </w:r>
        <w:r w:rsidR="004F1A12">
          <w:rPr>
            <w:noProof/>
            <w:webHidden/>
          </w:rPr>
          <w:instrText xml:space="preserve"> PAGEREF _Toc510771927 \h </w:instrText>
        </w:r>
        <w:r w:rsidR="004F1A12">
          <w:rPr>
            <w:noProof/>
            <w:webHidden/>
          </w:rPr>
        </w:r>
        <w:r w:rsidR="004F1A12">
          <w:rPr>
            <w:noProof/>
            <w:webHidden/>
          </w:rPr>
          <w:fldChar w:fldCharType="separate"/>
        </w:r>
        <w:r>
          <w:rPr>
            <w:noProof/>
            <w:webHidden/>
          </w:rPr>
          <w:t>41</w:t>
        </w:r>
        <w:r w:rsidR="004F1A12">
          <w:rPr>
            <w:noProof/>
            <w:webHidden/>
          </w:rPr>
          <w:fldChar w:fldCharType="end"/>
        </w:r>
      </w:hyperlink>
    </w:p>
    <w:p w14:paraId="166F5B8A" w14:textId="64AFDFBC" w:rsidR="004F1A12" w:rsidRDefault="00825350">
      <w:pPr>
        <w:pStyle w:val="TOC3"/>
        <w:rPr>
          <w:rFonts w:asciiTheme="minorHAnsi" w:eastAsiaTheme="minorEastAsia" w:hAnsiTheme="minorHAnsi" w:cstheme="minorBidi"/>
          <w:noProof/>
          <w:color w:val="auto"/>
          <w:sz w:val="22"/>
          <w:lang w:eastAsia="en-AU"/>
        </w:rPr>
      </w:pPr>
      <w:hyperlink w:anchor="_Toc510771928" w:history="1">
        <w:r w:rsidR="004F1A12" w:rsidRPr="006611D3">
          <w:rPr>
            <w:rStyle w:val="Hyperlink"/>
            <w:noProof/>
          </w:rPr>
          <w:t>3.6</w:t>
        </w:r>
        <w:r w:rsidR="004F1A12">
          <w:rPr>
            <w:rFonts w:asciiTheme="minorHAnsi" w:eastAsiaTheme="minorEastAsia" w:hAnsiTheme="minorHAnsi" w:cstheme="minorBidi"/>
            <w:noProof/>
            <w:color w:val="auto"/>
            <w:sz w:val="22"/>
            <w:lang w:eastAsia="en-AU"/>
          </w:rPr>
          <w:tab/>
        </w:r>
        <w:r w:rsidR="004F1A12" w:rsidRPr="006611D3">
          <w:rPr>
            <w:rStyle w:val="Hyperlink"/>
            <w:noProof/>
          </w:rPr>
          <w:t>Enduring benefits</w:t>
        </w:r>
        <w:r w:rsidR="004F1A12">
          <w:rPr>
            <w:noProof/>
            <w:webHidden/>
          </w:rPr>
          <w:tab/>
        </w:r>
        <w:r w:rsidR="004F1A12">
          <w:rPr>
            <w:noProof/>
            <w:webHidden/>
          </w:rPr>
          <w:fldChar w:fldCharType="begin"/>
        </w:r>
        <w:r w:rsidR="004F1A12">
          <w:rPr>
            <w:noProof/>
            <w:webHidden/>
          </w:rPr>
          <w:instrText xml:space="preserve"> PAGEREF _Toc510771928 \h </w:instrText>
        </w:r>
        <w:r w:rsidR="004F1A12">
          <w:rPr>
            <w:noProof/>
            <w:webHidden/>
          </w:rPr>
        </w:r>
        <w:r w:rsidR="004F1A12">
          <w:rPr>
            <w:noProof/>
            <w:webHidden/>
          </w:rPr>
          <w:fldChar w:fldCharType="separate"/>
        </w:r>
        <w:r>
          <w:rPr>
            <w:noProof/>
            <w:webHidden/>
          </w:rPr>
          <w:t>43</w:t>
        </w:r>
        <w:r w:rsidR="004F1A12">
          <w:rPr>
            <w:noProof/>
            <w:webHidden/>
          </w:rPr>
          <w:fldChar w:fldCharType="end"/>
        </w:r>
      </w:hyperlink>
    </w:p>
    <w:p w14:paraId="491774BB" w14:textId="5B2E007E" w:rsidR="004F1A12" w:rsidRDefault="00825350">
      <w:pPr>
        <w:pStyle w:val="TOC3"/>
        <w:rPr>
          <w:rFonts w:asciiTheme="minorHAnsi" w:eastAsiaTheme="minorEastAsia" w:hAnsiTheme="minorHAnsi" w:cstheme="minorBidi"/>
          <w:noProof/>
          <w:color w:val="auto"/>
          <w:sz w:val="22"/>
          <w:lang w:eastAsia="en-AU"/>
        </w:rPr>
      </w:pPr>
      <w:hyperlink w:anchor="_Toc510771929" w:history="1">
        <w:r w:rsidR="004F1A12" w:rsidRPr="006611D3">
          <w:rPr>
            <w:rStyle w:val="Hyperlink"/>
            <w:noProof/>
          </w:rPr>
          <w:t>3.7</w:t>
        </w:r>
        <w:r w:rsidR="004F1A12">
          <w:rPr>
            <w:rFonts w:asciiTheme="minorHAnsi" w:eastAsiaTheme="minorEastAsia" w:hAnsiTheme="minorHAnsi" w:cstheme="minorBidi"/>
            <w:noProof/>
            <w:color w:val="auto"/>
            <w:sz w:val="22"/>
            <w:lang w:eastAsia="en-AU"/>
          </w:rPr>
          <w:tab/>
        </w:r>
        <w:r w:rsidR="004F1A12" w:rsidRPr="006611D3">
          <w:rPr>
            <w:rStyle w:val="Hyperlink"/>
            <w:noProof/>
          </w:rPr>
          <w:t>Value for money</w:t>
        </w:r>
        <w:r w:rsidR="004F1A12">
          <w:rPr>
            <w:noProof/>
            <w:webHidden/>
          </w:rPr>
          <w:tab/>
        </w:r>
        <w:r w:rsidR="004F1A12">
          <w:rPr>
            <w:noProof/>
            <w:webHidden/>
          </w:rPr>
          <w:fldChar w:fldCharType="begin"/>
        </w:r>
        <w:r w:rsidR="004F1A12">
          <w:rPr>
            <w:noProof/>
            <w:webHidden/>
          </w:rPr>
          <w:instrText xml:space="preserve"> PAGEREF _Toc510771929 \h </w:instrText>
        </w:r>
        <w:r w:rsidR="004F1A12">
          <w:rPr>
            <w:noProof/>
            <w:webHidden/>
          </w:rPr>
        </w:r>
        <w:r w:rsidR="004F1A12">
          <w:rPr>
            <w:noProof/>
            <w:webHidden/>
          </w:rPr>
          <w:fldChar w:fldCharType="separate"/>
        </w:r>
        <w:r>
          <w:rPr>
            <w:noProof/>
            <w:webHidden/>
          </w:rPr>
          <w:t>46</w:t>
        </w:r>
        <w:r w:rsidR="004F1A12">
          <w:rPr>
            <w:noProof/>
            <w:webHidden/>
          </w:rPr>
          <w:fldChar w:fldCharType="end"/>
        </w:r>
      </w:hyperlink>
    </w:p>
    <w:p w14:paraId="23E5FB3C" w14:textId="38D8E437" w:rsidR="004F1A12" w:rsidRDefault="00825350">
      <w:pPr>
        <w:pStyle w:val="TOC3"/>
        <w:rPr>
          <w:rFonts w:asciiTheme="minorHAnsi" w:eastAsiaTheme="minorEastAsia" w:hAnsiTheme="minorHAnsi" w:cstheme="minorBidi"/>
          <w:noProof/>
          <w:color w:val="auto"/>
          <w:sz w:val="22"/>
          <w:lang w:eastAsia="en-AU"/>
        </w:rPr>
      </w:pPr>
      <w:hyperlink w:anchor="_Toc510771930" w:history="1">
        <w:r w:rsidR="004F1A12" w:rsidRPr="006611D3">
          <w:rPr>
            <w:rStyle w:val="Hyperlink"/>
            <w:noProof/>
          </w:rPr>
          <w:t>3.8</w:t>
        </w:r>
        <w:r w:rsidR="004F1A12">
          <w:rPr>
            <w:rFonts w:asciiTheme="minorHAnsi" w:eastAsiaTheme="minorEastAsia" w:hAnsiTheme="minorHAnsi" w:cstheme="minorBidi"/>
            <w:noProof/>
            <w:color w:val="auto"/>
            <w:sz w:val="22"/>
            <w:lang w:eastAsia="en-AU"/>
          </w:rPr>
          <w:tab/>
        </w:r>
        <w:r w:rsidR="004F1A12" w:rsidRPr="006611D3">
          <w:rPr>
            <w:rStyle w:val="Hyperlink"/>
            <w:noProof/>
          </w:rPr>
          <w:t>Establishing effective portfolio/country approaches</w:t>
        </w:r>
        <w:r w:rsidR="004F1A12">
          <w:rPr>
            <w:noProof/>
            <w:webHidden/>
          </w:rPr>
          <w:tab/>
        </w:r>
        <w:r w:rsidR="004F1A12">
          <w:rPr>
            <w:noProof/>
            <w:webHidden/>
          </w:rPr>
          <w:fldChar w:fldCharType="begin"/>
        </w:r>
        <w:r w:rsidR="004F1A12">
          <w:rPr>
            <w:noProof/>
            <w:webHidden/>
          </w:rPr>
          <w:instrText xml:space="preserve"> PAGEREF _Toc510771930 \h </w:instrText>
        </w:r>
        <w:r w:rsidR="004F1A12">
          <w:rPr>
            <w:noProof/>
            <w:webHidden/>
          </w:rPr>
        </w:r>
        <w:r w:rsidR="004F1A12">
          <w:rPr>
            <w:noProof/>
            <w:webHidden/>
          </w:rPr>
          <w:fldChar w:fldCharType="separate"/>
        </w:r>
        <w:r>
          <w:rPr>
            <w:noProof/>
            <w:webHidden/>
          </w:rPr>
          <w:t>47</w:t>
        </w:r>
        <w:r w:rsidR="004F1A12">
          <w:rPr>
            <w:noProof/>
            <w:webHidden/>
          </w:rPr>
          <w:fldChar w:fldCharType="end"/>
        </w:r>
      </w:hyperlink>
    </w:p>
    <w:p w14:paraId="48E3E358" w14:textId="72600323" w:rsidR="004F1A12" w:rsidRDefault="00825350">
      <w:pPr>
        <w:pStyle w:val="TOC3"/>
        <w:rPr>
          <w:rFonts w:asciiTheme="minorHAnsi" w:eastAsiaTheme="minorEastAsia" w:hAnsiTheme="minorHAnsi" w:cstheme="minorBidi"/>
          <w:noProof/>
          <w:color w:val="auto"/>
          <w:sz w:val="22"/>
          <w:lang w:eastAsia="en-AU"/>
        </w:rPr>
      </w:pPr>
      <w:hyperlink w:anchor="_Toc510771931" w:history="1">
        <w:r w:rsidR="004F1A12" w:rsidRPr="006611D3">
          <w:rPr>
            <w:rStyle w:val="Hyperlink"/>
            <w:noProof/>
          </w:rPr>
          <w:t xml:space="preserve">3.9 </w:t>
        </w:r>
        <w:r w:rsidR="004F1A12">
          <w:rPr>
            <w:rFonts w:asciiTheme="minorHAnsi" w:eastAsiaTheme="minorEastAsia" w:hAnsiTheme="minorHAnsi" w:cstheme="minorBidi"/>
            <w:noProof/>
            <w:color w:val="auto"/>
            <w:sz w:val="22"/>
            <w:lang w:eastAsia="en-AU"/>
          </w:rPr>
          <w:tab/>
        </w:r>
        <w:r w:rsidR="004F1A12" w:rsidRPr="006611D3">
          <w:rPr>
            <w:rStyle w:val="Hyperlink"/>
            <w:noProof/>
          </w:rPr>
          <w:t>Conclusions and recommendations for improving investment quality and impact</w:t>
        </w:r>
        <w:r w:rsidR="004F1A12">
          <w:rPr>
            <w:noProof/>
            <w:webHidden/>
          </w:rPr>
          <w:tab/>
        </w:r>
        <w:r w:rsidR="004F1A12">
          <w:rPr>
            <w:noProof/>
            <w:webHidden/>
          </w:rPr>
          <w:fldChar w:fldCharType="begin"/>
        </w:r>
        <w:r w:rsidR="004F1A12">
          <w:rPr>
            <w:noProof/>
            <w:webHidden/>
          </w:rPr>
          <w:instrText xml:space="preserve"> PAGEREF _Toc510771931 \h </w:instrText>
        </w:r>
        <w:r w:rsidR="004F1A12">
          <w:rPr>
            <w:noProof/>
            <w:webHidden/>
          </w:rPr>
        </w:r>
        <w:r w:rsidR="004F1A12">
          <w:rPr>
            <w:noProof/>
            <w:webHidden/>
          </w:rPr>
          <w:fldChar w:fldCharType="separate"/>
        </w:r>
        <w:r>
          <w:rPr>
            <w:noProof/>
            <w:webHidden/>
          </w:rPr>
          <w:t>53</w:t>
        </w:r>
        <w:r w:rsidR="004F1A12">
          <w:rPr>
            <w:noProof/>
            <w:webHidden/>
          </w:rPr>
          <w:fldChar w:fldCharType="end"/>
        </w:r>
      </w:hyperlink>
    </w:p>
    <w:p w14:paraId="699589CC" w14:textId="1383DFC6" w:rsidR="004F1A12" w:rsidRDefault="00825350">
      <w:pPr>
        <w:pStyle w:val="TOC2"/>
        <w:rPr>
          <w:rFonts w:asciiTheme="minorHAnsi" w:eastAsiaTheme="minorEastAsia" w:hAnsiTheme="minorHAnsi" w:cstheme="minorBidi"/>
          <w:noProof/>
          <w:color w:val="auto"/>
          <w:sz w:val="22"/>
          <w:lang w:eastAsia="en-AU"/>
        </w:rPr>
      </w:pPr>
      <w:hyperlink w:anchor="_Toc510771932" w:history="1">
        <w:r w:rsidR="004F1A12" w:rsidRPr="006611D3">
          <w:rPr>
            <w:rStyle w:val="Hyperlink"/>
            <w:noProof/>
          </w:rPr>
          <w:t xml:space="preserve">4.0 </w:t>
        </w:r>
        <w:r w:rsidR="004F1A12">
          <w:rPr>
            <w:rStyle w:val="Hyperlink"/>
            <w:noProof/>
          </w:rPr>
          <w:t xml:space="preserve">   </w:t>
        </w:r>
        <w:r w:rsidR="004F1A12" w:rsidRPr="006611D3">
          <w:rPr>
            <w:rStyle w:val="Hyperlink"/>
            <w:noProof/>
          </w:rPr>
          <w:t>CLIMATE CHANGE INTEGRATION</w:t>
        </w:r>
        <w:r w:rsidR="004F1A12">
          <w:rPr>
            <w:noProof/>
            <w:webHidden/>
          </w:rPr>
          <w:tab/>
        </w:r>
        <w:r w:rsidR="004F1A12">
          <w:rPr>
            <w:noProof/>
            <w:webHidden/>
          </w:rPr>
          <w:fldChar w:fldCharType="begin"/>
        </w:r>
        <w:r w:rsidR="004F1A12">
          <w:rPr>
            <w:noProof/>
            <w:webHidden/>
          </w:rPr>
          <w:instrText xml:space="preserve"> PAGEREF _Toc510771932 \h </w:instrText>
        </w:r>
        <w:r w:rsidR="004F1A12">
          <w:rPr>
            <w:noProof/>
            <w:webHidden/>
          </w:rPr>
        </w:r>
        <w:r w:rsidR="004F1A12">
          <w:rPr>
            <w:noProof/>
            <w:webHidden/>
          </w:rPr>
          <w:fldChar w:fldCharType="separate"/>
        </w:r>
        <w:r>
          <w:rPr>
            <w:noProof/>
            <w:webHidden/>
          </w:rPr>
          <w:t>56</w:t>
        </w:r>
        <w:r w:rsidR="004F1A12">
          <w:rPr>
            <w:noProof/>
            <w:webHidden/>
          </w:rPr>
          <w:fldChar w:fldCharType="end"/>
        </w:r>
      </w:hyperlink>
    </w:p>
    <w:p w14:paraId="28D4475B" w14:textId="5617FB4D" w:rsidR="004F1A12" w:rsidRDefault="00825350">
      <w:pPr>
        <w:pStyle w:val="TOC3"/>
        <w:rPr>
          <w:rFonts w:asciiTheme="minorHAnsi" w:eastAsiaTheme="minorEastAsia" w:hAnsiTheme="minorHAnsi" w:cstheme="minorBidi"/>
          <w:noProof/>
          <w:color w:val="auto"/>
          <w:sz w:val="22"/>
          <w:lang w:eastAsia="en-AU"/>
        </w:rPr>
      </w:pPr>
      <w:hyperlink w:anchor="_Toc510771933" w:history="1">
        <w:r w:rsidR="004F1A12" w:rsidRPr="006611D3">
          <w:rPr>
            <w:rStyle w:val="Hyperlink"/>
            <w:noProof/>
          </w:rPr>
          <w:t>4.1</w:t>
        </w:r>
        <w:r w:rsidR="004F1A12">
          <w:rPr>
            <w:rFonts w:asciiTheme="minorHAnsi" w:eastAsiaTheme="minorEastAsia" w:hAnsiTheme="minorHAnsi" w:cstheme="minorBidi"/>
            <w:noProof/>
            <w:color w:val="auto"/>
            <w:sz w:val="22"/>
            <w:lang w:eastAsia="en-AU"/>
          </w:rPr>
          <w:tab/>
        </w:r>
        <w:r w:rsidR="004F1A12" w:rsidRPr="006611D3">
          <w:rPr>
            <w:rStyle w:val="Hyperlink"/>
            <w:noProof/>
          </w:rPr>
          <w:t>Climate change and ODA strategic clarity</w:t>
        </w:r>
        <w:r w:rsidR="004F1A12">
          <w:rPr>
            <w:noProof/>
            <w:webHidden/>
          </w:rPr>
          <w:tab/>
        </w:r>
        <w:r w:rsidR="004F1A12">
          <w:rPr>
            <w:noProof/>
            <w:webHidden/>
          </w:rPr>
          <w:fldChar w:fldCharType="begin"/>
        </w:r>
        <w:r w:rsidR="004F1A12">
          <w:rPr>
            <w:noProof/>
            <w:webHidden/>
          </w:rPr>
          <w:instrText xml:space="preserve"> PAGEREF _Toc510771933 \h </w:instrText>
        </w:r>
        <w:r w:rsidR="004F1A12">
          <w:rPr>
            <w:noProof/>
            <w:webHidden/>
          </w:rPr>
        </w:r>
        <w:r w:rsidR="004F1A12">
          <w:rPr>
            <w:noProof/>
            <w:webHidden/>
          </w:rPr>
          <w:fldChar w:fldCharType="separate"/>
        </w:r>
        <w:r>
          <w:rPr>
            <w:noProof/>
            <w:webHidden/>
          </w:rPr>
          <w:t>57</w:t>
        </w:r>
        <w:r w:rsidR="004F1A12">
          <w:rPr>
            <w:noProof/>
            <w:webHidden/>
          </w:rPr>
          <w:fldChar w:fldCharType="end"/>
        </w:r>
      </w:hyperlink>
    </w:p>
    <w:p w14:paraId="72C22547" w14:textId="2594D373" w:rsidR="004F1A12" w:rsidRDefault="00825350">
      <w:pPr>
        <w:pStyle w:val="TOC3"/>
        <w:rPr>
          <w:rFonts w:asciiTheme="minorHAnsi" w:eastAsiaTheme="minorEastAsia" w:hAnsiTheme="minorHAnsi" w:cstheme="minorBidi"/>
          <w:noProof/>
          <w:color w:val="auto"/>
          <w:sz w:val="22"/>
          <w:lang w:eastAsia="en-AU"/>
        </w:rPr>
      </w:pPr>
      <w:hyperlink w:anchor="_Toc510771934" w:history="1">
        <w:r w:rsidR="004F1A12" w:rsidRPr="006611D3">
          <w:rPr>
            <w:rStyle w:val="Hyperlink"/>
            <w:noProof/>
          </w:rPr>
          <w:t>4.2</w:t>
        </w:r>
        <w:r w:rsidR="004F1A12">
          <w:rPr>
            <w:rFonts w:asciiTheme="minorHAnsi" w:eastAsiaTheme="minorEastAsia" w:hAnsiTheme="minorHAnsi" w:cstheme="minorBidi"/>
            <w:noProof/>
            <w:color w:val="auto"/>
            <w:sz w:val="22"/>
            <w:lang w:eastAsia="en-AU"/>
          </w:rPr>
          <w:tab/>
        </w:r>
        <w:r w:rsidR="004F1A12" w:rsidRPr="006611D3">
          <w:rPr>
            <w:rStyle w:val="Hyperlink"/>
            <w:noProof/>
          </w:rPr>
          <w:t>Internal design and approval processes and staff capacity</w:t>
        </w:r>
        <w:r w:rsidR="004F1A12">
          <w:rPr>
            <w:noProof/>
            <w:webHidden/>
          </w:rPr>
          <w:tab/>
        </w:r>
        <w:r w:rsidR="004F1A12">
          <w:rPr>
            <w:noProof/>
            <w:webHidden/>
          </w:rPr>
          <w:fldChar w:fldCharType="begin"/>
        </w:r>
        <w:r w:rsidR="004F1A12">
          <w:rPr>
            <w:noProof/>
            <w:webHidden/>
          </w:rPr>
          <w:instrText xml:space="preserve"> PAGEREF _Toc510771934 \h </w:instrText>
        </w:r>
        <w:r w:rsidR="004F1A12">
          <w:rPr>
            <w:noProof/>
            <w:webHidden/>
          </w:rPr>
        </w:r>
        <w:r w:rsidR="004F1A12">
          <w:rPr>
            <w:noProof/>
            <w:webHidden/>
          </w:rPr>
          <w:fldChar w:fldCharType="separate"/>
        </w:r>
        <w:r>
          <w:rPr>
            <w:noProof/>
            <w:webHidden/>
          </w:rPr>
          <w:t>59</w:t>
        </w:r>
        <w:r w:rsidR="004F1A12">
          <w:rPr>
            <w:noProof/>
            <w:webHidden/>
          </w:rPr>
          <w:fldChar w:fldCharType="end"/>
        </w:r>
      </w:hyperlink>
    </w:p>
    <w:p w14:paraId="1D1D0FFA" w14:textId="3841688F" w:rsidR="004F1A12" w:rsidRDefault="00825350">
      <w:pPr>
        <w:pStyle w:val="TOC3"/>
        <w:rPr>
          <w:rFonts w:asciiTheme="minorHAnsi" w:eastAsiaTheme="minorEastAsia" w:hAnsiTheme="minorHAnsi" w:cstheme="minorBidi"/>
          <w:noProof/>
          <w:color w:val="auto"/>
          <w:sz w:val="22"/>
          <w:lang w:eastAsia="en-AU"/>
        </w:rPr>
      </w:pPr>
      <w:hyperlink w:anchor="_Toc510771935" w:history="1">
        <w:r w:rsidR="004F1A12" w:rsidRPr="006611D3">
          <w:rPr>
            <w:rStyle w:val="Hyperlink"/>
            <w:noProof/>
          </w:rPr>
          <w:t>4.3</w:t>
        </w:r>
        <w:r w:rsidR="004F1A12">
          <w:rPr>
            <w:rFonts w:asciiTheme="minorHAnsi" w:eastAsiaTheme="minorEastAsia" w:hAnsiTheme="minorHAnsi" w:cstheme="minorBidi"/>
            <w:noProof/>
            <w:color w:val="auto"/>
            <w:sz w:val="22"/>
            <w:lang w:eastAsia="en-AU"/>
          </w:rPr>
          <w:tab/>
        </w:r>
        <w:r w:rsidR="004F1A12" w:rsidRPr="006611D3">
          <w:rPr>
            <w:rStyle w:val="Hyperlink"/>
            <w:noProof/>
          </w:rPr>
          <w:t>Monitoring, evaluation and reporting</w:t>
        </w:r>
        <w:r w:rsidR="004F1A12">
          <w:rPr>
            <w:noProof/>
            <w:webHidden/>
          </w:rPr>
          <w:tab/>
        </w:r>
        <w:r w:rsidR="004F1A12">
          <w:rPr>
            <w:noProof/>
            <w:webHidden/>
          </w:rPr>
          <w:fldChar w:fldCharType="begin"/>
        </w:r>
        <w:r w:rsidR="004F1A12">
          <w:rPr>
            <w:noProof/>
            <w:webHidden/>
          </w:rPr>
          <w:instrText xml:space="preserve"> PAGEREF _Toc510771935 \h </w:instrText>
        </w:r>
        <w:r w:rsidR="004F1A12">
          <w:rPr>
            <w:noProof/>
            <w:webHidden/>
          </w:rPr>
        </w:r>
        <w:r w:rsidR="004F1A12">
          <w:rPr>
            <w:noProof/>
            <w:webHidden/>
          </w:rPr>
          <w:fldChar w:fldCharType="separate"/>
        </w:r>
        <w:r>
          <w:rPr>
            <w:noProof/>
            <w:webHidden/>
          </w:rPr>
          <w:t>61</w:t>
        </w:r>
        <w:r w:rsidR="004F1A12">
          <w:rPr>
            <w:noProof/>
            <w:webHidden/>
          </w:rPr>
          <w:fldChar w:fldCharType="end"/>
        </w:r>
      </w:hyperlink>
    </w:p>
    <w:p w14:paraId="7EFAB4F8" w14:textId="174EEC75" w:rsidR="004F1A12" w:rsidRDefault="00825350">
      <w:pPr>
        <w:pStyle w:val="TOC3"/>
        <w:rPr>
          <w:rFonts w:asciiTheme="minorHAnsi" w:eastAsiaTheme="minorEastAsia" w:hAnsiTheme="minorHAnsi" w:cstheme="minorBidi"/>
          <w:noProof/>
          <w:color w:val="auto"/>
          <w:sz w:val="22"/>
          <w:lang w:eastAsia="en-AU"/>
        </w:rPr>
      </w:pPr>
      <w:hyperlink w:anchor="_Toc510771936" w:history="1">
        <w:r w:rsidR="004F1A12" w:rsidRPr="006611D3">
          <w:rPr>
            <w:rStyle w:val="Hyperlink"/>
            <w:noProof/>
          </w:rPr>
          <w:t>4.4</w:t>
        </w:r>
        <w:r w:rsidR="004F1A12">
          <w:rPr>
            <w:rFonts w:asciiTheme="minorHAnsi" w:eastAsiaTheme="minorEastAsia" w:hAnsiTheme="minorHAnsi" w:cstheme="minorBidi"/>
            <w:noProof/>
            <w:color w:val="auto"/>
            <w:sz w:val="22"/>
            <w:lang w:eastAsia="en-AU"/>
          </w:rPr>
          <w:tab/>
        </w:r>
        <w:r w:rsidR="004F1A12" w:rsidRPr="006611D3">
          <w:rPr>
            <w:rStyle w:val="Hyperlink"/>
            <w:noProof/>
          </w:rPr>
          <w:t>Climate financing</w:t>
        </w:r>
        <w:r w:rsidR="004F1A12">
          <w:rPr>
            <w:noProof/>
            <w:webHidden/>
          </w:rPr>
          <w:tab/>
        </w:r>
        <w:r w:rsidR="004F1A12">
          <w:rPr>
            <w:noProof/>
            <w:webHidden/>
          </w:rPr>
          <w:fldChar w:fldCharType="begin"/>
        </w:r>
        <w:r w:rsidR="004F1A12">
          <w:rPr>
            <w:noProof/>
            <w:webHidden/>
          </w:rPr>
          <w:instrText xml:space="preserve"> PAGEREF _Toc510771936 \h </w:instrText>
        </w:r>
        <w:r w:rsidR="004F1A12">
          <w:rPr>
            <w:noProof/>
            <w:webHidden/>
          </w:rPr>
        </w:r>
        <w:r w:rsidR="004F1A12">
          <w:rPr>
            <w:noProof/>
            <w:webHidden/>
          </w:rPr>
          <w:fldChar w:fldCharType="separate"/>
        </w:r>
        <w:r>
          <w:rPr>
            <w:noProof/>
            <w:webHidden/>
          </w:rPr>
          <w:t>63</w:t>
        </w:r>
        <w:r w:rsidR="004F1A12">
          <w:rPr>
            <w:noProof/>
            <w:webHidden/>
          </w:rPr>
          <w:fldChar w:fldCharType="end"/>
        </w:r>
      </w:hyperlink>
    </w:p>
    <w:p w14:paraId="72FD9569" w14:textId="1A5F049D" w:rsidR="004F1A12" w:rsidRDefault="00825350">
      <w:pPr>
        <w:pStyle w:val="TOC3"/>
        <w:rPr>
          <w:rFonts w:asciiTheme="minorHAnsi" w:eastAsiaTheme="minorEastAsia" w:hAnsiTheme="minorHAnsi" w:cstheme="minorBidi"/>
          <w:noProof/>
          <w:color w:val="auto"/>
          <w:sz w:val="22"/>
          <w:lang w:eastAsia="en-AU"/>
        </w:rPr>
      </w:pPr>
      <w:hyperlink w:anchor="_Toc510771937" w:history="1">
        <w:r w:rsidR="004F1A12" w:rsidRPr="006611D3">
          <w:rPr>
            <w:rStyle w:val="Hyperlink"/>
            <w:noProof/>
          </w:rPr>
          <w:t>4.5</w:t>
        </w:r>
        <w:r w:rsidR="004F1A12">
          <w:rPr>
            <w:rFonts w:asciiTheme="minorHAnsi" w:eastAsiaTheme="minorEastAsia" w:hAnsiTheme="minorHAnsi" w:cstheme="minorBidi"/>
            <w:noProof/>
            <w:color w:val="auto"/>
            <w:sz w:val="22"/>
            <w:lang w:eastAsia="en-AU"/>
          </w:rPr>
          <w:tab/>
        </w:r>
        <w:r w:rsidR="004F1A12" w:rsidRPr="006611D3">
          <w:rPr>
            <w:rStyle w:val="Hyperlink"/>
            <w:noProof/>
          </w:rPr>
          <w:t>Policy commitment and leadership</w:t>
        </w:r>
        <w:r w:rsidR="004F1A12">
          <w:rPr>
            <w:noProof/>
            <w:webHidden/>
          </w:rPr>
          <w:tab/>
        </w:r>
        <w:r w:rsidR="004F1A12">
          <w:rPr>
            <w:noProof/>
            <w:webHidden/>
          </w:rPr>
          <w:fldChar w:fldCharType="begin"/>
        </w:r>
        <w:r w:rsidR="004F1A12">
          <w:rPr>
            <w:noProof/>
            <w:webHidden/>
          </w:rPr>
          <w:instrText xml:space="preserve"> PAGEREF _Toc510771937 \h </w:instrText>
        </w:r>
        <w:r w:rsidR="004F1A12">
          <w:rPr>
            <w:noProof/>
            <w:webHidden/>
          </w:rPr>
        </w:r>
        <w:r w:rsidR="004F1A12">
          <w:rPr>
            <w:noProof/>
            <w:webHidden/>
          </w:rPr>
          <w:fldChar w:fldCharType="separate"/>
        </w:r>
        <w:r>
          <w:rPr>
            <w:noProof/>
            <w:webHidden/>
          </w:rPr>
          <w:t>64</w:t>
        </w:r>
        <w:r w:rsidR="004F1A12">
          <w:rPr>
            <w:noProof/>
            <w:webHidden/>
          </w:rPr>
          <w:fldChar w:fldCharType="end"/>
        </w:r>
      </w:hyperlink>
    </w:p>
    <w:p w14:paraId="0559DF26" w14:textId="2EBE65E7" w:rsidR="004F1A12" w:rsidRDefault="00825350">
      <w:pPr>
        <w:pStyle w:val="TOC3"/>
        <w:rPr>
          <w:rFonts w:asciiTheme="minorHAnsi" w:eastAsiaTheme="minorEastAsia" w:hAnsiTheme="minorHAnsi" w:cstheme="minorBidi"/>
          <w:noProof/>
          <w:color w:val="auto"/>
          <w:sz w:val="22"/>
          <w:lang w:eastAsia="en-AU"/>
        </w:rPr>
      </w:pPr>
      <w:hyperlink w:anchor="_Toc510771938" w:history="1">
        <w:r w:rsidR="004F1A12" w:rsidRPr="006611D3">
          <w:rPr>
            <w:rStyle w:val="Hyperlink"/>
            <w:noProof/>
          </w:rPr>
          <w:t>4.6</w:t>
        </w:r>
        <w:r w:rsidR="004F1A12">
          <w:rPr>
            <w:rFonts w:asciiTheme="minorHAnsi" w:eastAsiaTheme="minorEastAsia" w:hAnsiTheme="minorHAnsi" w:cstheme="minorBidi"/>
            <w:noProof/>
            <w:color w:val="auto"/>
            <w:sz w:val="22"/>
            <w:lang w:eastAsia="en-AU"/>
          </w:rPr>
          <w:tab/>
        </w:r>
        <w:r w:rsidR="004F1A12" w:rsidRPr="006611D3">
          <w:rPr>
            <w:rStyle w:val="Hyperlink"/>
            <w:noProof/>
          </w:rPr>
          <w:t>Conclusions and recommendations for strengthening organisational capacity on climate change integration</w:t>
        </w:r>
        <w:r w:rsidR="004F1A12">
          <w:rPr>
            <w:noProof/>
            <w:webHidden/>
          </w:rPr>
          <w:tab/>
        </w:r>
        <w:r w:rsidR="004F1A12">
          <w:rPr>
            <w:noProof/>
            <w:webHidden/>
          </w:rPr>
          <w:fldChar w:fldCharType="begin"/>
        </w:r>
        <w:r w:rsidR="004F1A12">
          <w:rPr>
            <w:noProof/>
            <w:webHidden/>
          </w:rPr>
          <w:instrText xml:space="preserve"> PAGEREF _Toc510771938 \h </w:instrText>
        </w:r>
        <w:r w:rsidR="004F1A12">
          <w:rPr>
            <w:noProof/>
            <w:webHidden/>
          </w:rPr>
        </w:r>
        <w:r w:rsidR="004F1A12">
          <w:rPr>
            <w:noProof/>
            <w:webHidden/>
          </w:rPr>
          <w:fldChar w:fldCharType="separate"/>
        </w:r>
        <w:r>
          <w:rPr>
            <w:noProof/>
            <w:webHidden/>
          </w:rPr>
          <w:t>65</w:t>
        </w:r>
        <w:r w:rsidR="004F1A12">
          <w:rPr>
            <w:noProof/>
            <w:webHidden/>
          </w:rPr>
          <w:fldChar w:fldCharType="end"/>
        </w:r>
      </w:hyperlink>
    </w:p>
    <w:p w14:paraId="63D26DF9" w14:textId="2180216F" w:rsidR="004F1A12" w:rsidRDefault="00825350">
      <w:pPr>
        <w:pStyle w:val="TOC2"/>
        <w:rPr>
          <w:rFonts w:asciiTheme="minorHAnsi" w:eastAsiaTheme="minorEastAsia" w:hAnsiTheme="minorHAnsi" w:cstheme="minorBidi"/>
          <w:noProof/>
          <w:color w:val="auto"/>
          <w:sz w:val="22"/>
          <w:lang w:eastAsia="en-AU"/>
        </w:rPr>
      </w:pPr>
      <w:hyperlink w:anchor="_Toc510771939" w:history="1">
        <w:r w:rsidR="004F1A12" w:rsidRPr="006611D3">
          <w:rPr>
            <w:rStyle w:val="Hyperlink"/>
            <w:noProof/>
          </w:rPr>
          <w:t xml:space="preserve">5.0 </w:t>
        </w:r>
        <w:r w:rsidR="004F1A12">
          <w:rPr>
            <w:rStyle w:val="Hyperlink"/>
            <w:noProof/>
          </w:rPr>
          <w:t xml:space="preserve">   </w:t>
        </w:r>
        <w:r w:rsidR="004F1A12" w:rsidRPr="006611D3">
          <w:rPr>
            <w:rStyle w:val="Hyperlink"/>
            <w:noProof/>
          </w:rPr>
          <w:t>DESTINATION SETTING</w:t>
        </w:r>
        <w:r w:rsidR="004F1A12">
          <w:rPr>
            <w:noProof/>
            <w:webHidden/>
          </w:rPr>
          <w:tab/>
        </w:r>
        <w:r w:rsidR="004F1A12">
          <w:rPr>
            <w:noProof/>
            <w:webHidden/>
          </w:rPr>
          <w:fldChar w:fldCharType="begin"/>
        </w:r>
        <w:r w:rsidR="004F1A12">
          <w:rPr>
            <w:noProof/>
            <w:webHidden/>
          </w:rPr>
          <w:instrText xml:space="preserve"> PAGEREF _Toc510771939 \h </w:instrText>
        </w:r>
        <w:r w:rsidR="004F1A12">
          <w:rPr>
            <w:noProof/>
            <w:webHidden/>
          </w:rPr>
        </w:r>
        <w:r w:rsidR="004F1A12">
          <w:rPr>
            <w:noProof/>
            <w:webHidden/>
          </w:rPr>
          <w:fldChar w:fldCharType="separate"/>
        </w:r>
        <w:r>
          <w:rPr>
            <w:noProof/>
            <w:webHidden/>
          </w:rPr>
          <w:t>68</w:t>
        </w:r>
        <w:r w:rsidR="004F1A12">
          <w:rPr>
            <w:noProof/>
            <w:webHidden/>
          </w:rPr>
          <w:fldChar w:fldCharType="end"/>
        </w:r>
      </w:hyperlink>
    </w:p>
    <w:p w14:paraId="1AD1DA00" w14:textId="55D283D9" w:rsidR="004F1A12" w:rsidRDefault="00825350">
      <w:pPr>
        <w:pStyle w:val="TOC3"/>
        <w:rPr>
          <w:rFonts w:asciiTheme="minorHAnsi" w:eastAsiaTheme="minorEastAsia" w:hAnsiTheme="minorHAnsi" w:cstheme="minorBidi"/>
          <w:noProof/>
          <w:color w:val="auto"/>
          <w:sz w:val="22"/>
          <w:lang w:eastAsia="en-AU"/>
        </w:rPr>
      </w:pPr>
      <w:hyperlink w:anchor="_Toc510771940" w:history="1">
        <w:r w:rsidR="004F1A12" w:rsidRPr="006611D3">
          <w:rPr>
            <w:rStyle w:val="Hyperlink"/>
            <w:noProof/>
          </w:rPr>
          <w:t xml:space="preserve">5.1 </w:t>
        </w:r>
        <w:r w:rsidR="004F1A12">
          <w:rPr>
            <w:rStyle w:val="Hyperlink"/>
            <w:noProof/>
          </w:rPr>
          <w:t xml:space="preserve">     </w:t>
        </w:r>
        <w:r w:rsidR="004F1A12" w:rsidRPr="006611D3">
          <w:rPr>
            <w:rStyle w:val="Hyperlink"/>
            <w:noProof/>
          </w:rPr>
          <w:t>Evolving international context</w:t>
        </w:r>
        <w:r w:rsidR="004F1A12">
          <w:rPr>
            <w:noProof/>
            <w:webHidden/>
          </w:rPr>
          <w:tab/>
        </w:r>
        <w:r w:rsidR="004F1A12">
          <w:rPr>
            <w:noProof/>
            <w:webHidden/>
          </w:rPr>
          <w:fldChar w:fldCharType="begin"/>
        </w:r>
        <w:r w:rsidR="004F1A12">
          <w:rPr>
            <w:noProof/>
            <w:webHidden/>
          </w:rPr>
          <w:instrText xml:space="preserve"> PAGEREF _Toc510771940 \h </w:instrText>
        </w:r>
        <w:r w:rsidR="004F1A12">
          <w:rPr>
            <w:noProof/>
            <w:webHidden/>
          </w:rPr>
        </w:r>
        <w:r w:rsidR="004F1A12">
          <w:rPr>
            <w:noProof/>
            <w:webHidden/>
          </w:rPr>
          <w:fldChar w:fldCharType="separate"/>
        </w:r>
        <w:r>
          <w:rPr>
            <w:noProof/>
            <w:webHidden/>
          </w:rPr>
          <w:t>68</w:t>
        </w:r>
        <w:r w:rsidR="004F1A12">
          <w:rPr>
            <w:noProof/>
            <w:webHidden/>
          </w:rPr>
          <w:fldChar w:fldCharType="end"/>
        </w:r>
      </w:hyperlink>
    </w:p>
    <w:p w14:paraId="7FA50518" w14:textId="43307B27" w:rsidR="004F1A12" w:rsidRDefault="00825350">
      <w:pPr>
        <w:pStyle w:val="TOC3"/>
        <w:rPr>
          <w:rFonts w:asciiTheme="minorHAnsi" w:eastAsiaTheme="minorEastAsia" w:hAnsiTheme="minorHAnsi" w:cstheme="minorBidi"/>
          <w:noProof/>
          <w:color w:val="auto"/>
          <w:sz w:val="22"/>
          <w:lang w:eastAsia="en-AU"/>
        </w:rPr>
      </w:pPr>
      <w:hyperlink w:anchor="_Toc510771941" w:history="1">
        <w:r w:rsidR="004F1A12" w:rsidRPr="006611D3">
          <w:rPr>
            <w:rStyle w:val="Hyperlink"/>
            <w:noProof/>
          </w:rPr>
          <w:t xml:space="preserve">5.2 </w:t>
        </w:r>
        <w:r w:rsidR="004F1A12">
          <w:rPr>
            <w:rStyle w:val="Hyperlink"/>
            <w:noProof/>
          </w:rPr>
          <w:t xml:space="preserve">     </w:t>
        </w:r>
        <w:r w:rsidR="004F1A12" w:rsidRPr="006611D3">
          <w:rPr>
            <w:rStyle w:val="Hyperlink"/>
            <w:noProof/>
          </w:rPr>
          <w:t>Recommendations for setting and pursuing a long-term strategic direction</w:t>
        </w:r>
        <w:r w:rsidR="004F1A12">
          <w:rPr>
            <w:noProof/>
            <w:webHidden/>
          </w:rPr>
          <w:tab/>
        </w:r>
        <w:r w:rsidR="004F1A12">
          <w:rPr>
            <w:noProof/>
            <w:webHidden/>
          </w:rPr>
          <w:fldChar w:fldCharType="begin"/>
        </w:r>
        <w:r w:rsidR="004F1A12">
          <w:rPr>
            <w:noProof/>
            <w:webHidden/>
          </w:rPr>
          <w:instrText xml:space="preserve"> PAGEREF _Toc510771941 \h </w:instrText>
        </w:r>
        <w:r w:rsidR="004F1A12">
          <w:rPr>
            <w:noProof/>
            <w:webHidden/>
          </w:rPr>
        </w:r>
        <w:r w:rsidR="004F1A12">
          <w:rPr>
            <w:noProof/>
            <w:webHidden/>
          </w:rPr>
          <w:fldChar w:fldCharType="separate"/>
        </w:r>
        <w:r>
          <w:rPr>
            <w:noProof/>
            <w:webHidden/>
          </w:rPr>
          <w:t>69</w:t>
        </w:r>
        <w:r w:rsidR="004F1A12">
          <w:rPr>
            <w:noProof/>
            <w:webHidden/>
          </w:rPr>
          <w:fldChar w:fldCharType="end"/>
        </w:r>
      </w:hyperlink>
    </w:p>
    <w:p w14:paraId="78C1546A" w14:textId="08851701" w:rsidR="004F1A12" w:rsidRDefault="00825350">
      <w:pPr>
        <w:pStyle w:val="TOC2"/>
        <w:rPr>
          <w:rFonts w:asciiTheme="minorHAnsi" w:eastAsiaTheme="minorEastAsia" w:hAnsiTheme="minorHAnsi" w:cstheme="minorBidi"/>
          <w:noProof/>
          <w:color w:val="auto"/>
          <w:sz w:val="22"/>
          <w:lang w:eastAsia="en-AU"/>
        </w:rPr>
      </w:pPr>
      <w:hyperlink w:anchor="_Toc510771942" w:history="1">
        <w:r w:rsidR="004F1A12" w:rsidRPr="006611D3">
          <w:rPr>
            <w:rStyle w:val="Hyperlink"/>
            <w:noProof/>
          </w:rPr>
          <w:t>Annex 1 – Investments in scope</w:t>
        </w:r>
        <w:r w:rsidR="004F1A12">
          <w:rPr>
            <w:noProof/>
            <w:webHidden/>
          </w:rPr>
          <w:tab/>
        </w:r>
        <w:r w:rsidR="004F1A12">
          <w:rPr>
            <w:noProof/>
            <w:webHidden/>
          </w:rPr>
          <w:fldChar w:fldCharType="begin"/>
        </w:r>
        <w:r w:rsidR="004F1A12">
          <w:rPr>
            <w:noProof/>
            <w:webHidden/>
          </w:rPr>
          <w:instrText xml:space="preserve"> PAGEREF _Toc510771942 \h </w:instrText>
        </w:r>
        <w:r w:rsidR="004F1A12">
          <w:rPr>
            <w:noProof/>
            <w:webHidden/>
          </w:rPr>
        </w:r>
        <w:r w:rsidR="004F1A12">
          <w:rPr>
            <w:noProof/>
            <w:webHidden/>
          </w:rPr>
          <w:fldChar w:fldCharType="separate"/>
        </w:r>
        <w:r>
          <w:rPr>
            <w:noProof/>
            <w:webHidden/>
          </w:rPr>
          <w:t>70</w:t>
        </w:r>
        <w:r w:rsidR="004F1A12">
          <w:rPr>
            <w:noProof/>
            <w:webHidden/>
          </w:rPr>
          <w:fldChar w:fldCharType="end"/>
        </w:r>
      </w:hyperlink>
    </w:p>
    <w:p w14:paraId="2BD05986" w14:textId="74765788" w:rsidR="004F1A12" w:rsidRDefault="00825350">
      <w:pPr>
        <w:pStyle w:val="TOC3"/>
        <w:rPr>
          <w:rFonts w:asciiTheme="minorHAnsi" w:eastAsiaTheme="minorEastAsia" w:hAnsiTheme="minorHAnsi" w:cstheme="minorBidi"/>
          <w:noProof/>
          <w:color w:val="auto"/>
          <w:sz w:val="22"/>
          <w:lang w:eastAsia="en-AU"/>
        </w:rPr>
      </w:pPr>
      <w:hyperlink w:anchor="_Toc510771943" w:history="1">
        <w:r w:rsidR="004F1A12" w:rsidRPr="006611D3">
          <w:rPr>
            <w:rStyle w:val="Hyperlink"/>
            <w:noProof/>
          </w:rPr>
          <w:t>Vietnam case</w:t>
        </w:r>
        <w:r w:rsidR="004F1A12">
          <w:rPr>
            <w:noProof/>
            <w:webHidden/>
          </w:rPr>
          <w:tab/>
        </w:r>
        <w:r w:rsidR="004F1A12">
          <w:rPr>
            <w:noProof/>
            <w:webHidden/>
          </w:rPr>
          <w:fldChar w:fldCharType="begin"/>
        </w:r>
        <w:r w:rsidR="004F1A12">
          <w:rPr>
            <w:noProof/>
            <w:webHidden/>
          </w:rPr>
          <w:instrText xml:space="preserve"> PAGEREF _Toc510771943 \h </w:instrText>
        </w:r>
        <w:r w:rsidR="004F1A12">
          <w:rPr>
            <w:noProof/>
            <w:webHidden/>
          </w:rPr>
        </w:r>
        <w:r w:rsidR="004F1A12">
          <w:rPr>
            <w:noProof/>
            <w:webHidden/>
          </w:rPr>
          <w:fldChar w:fldCharType="separate"/>
        </w:r>
        <w:r>
          <w:rPr>
            <w:noProof/>
            <w:webHidden/>
          </w:rPr>
          <w:t>70</w:t>
        </w:r>
        <w:r w:rsidR="004F1A12">
          <w:rPr>
            <w:noProof/>
            <w:webHidden/>
          </w:rPr>
          <w:fldChar w:fldCharType="end"/>
        </w:r>
      </w:hyperlink>
    </w:p>
    <w:p w14:paraId="73073C9F" w14:textId="2006DE7E" w:rsidR="004F1A12" w:rsidRDefault="00825350">
      <w:pPr>
        <w:pStyle w:val="TOC3"/>
        <w:rPr>
          <w:rFonts w:asciiTheme="minorHAnsi" w:eastAsiaTheme="minorEastAsia" w:hAnsiTheme="minorHAnsi" w:cstheme="minorBidi"/>
          <w:noProof/>
          <w:color w:val="auto"/>
          <w:sz w:val="22"/>
          <w:lang w:eastAsia="en-AU"/>
        </w:rPr>
      </w:pPr>
      <w:hyperlink w:anchor="_Toc510771944" w:history="1">
        <w:r w:rsidR="004F1A12" w:rsidRPr="006611D3">
          <w:rPr>
            <w:rStyle w:val="Hyperlink"/>
            <w:noProof/>
          </w:rPr>
          <w:t>Pacific regional case</w:t>
        </w:r>
        <w:r w:rsidR="004F1A12">
          <w:rPr>
            <w:noProof/>
            <w:webHidden/>
          </w:rPr>
          <w:tab/>
        </w:r>
        <w:r w:rsidR="004F1A12">
          <w:rPr>
            <w:noProof/>
            <w:webHidden/>
          </w:rPr>
          <w:fldChar w:fldCharType="begin"/>
        </w:r>
        <w:r w:rsidR="004F1A12">
          <w:rPr>
            <w:noProof/>
            <w:webHidden/>
          </w:rPr>
          <w:instrText xml:space="preserve"> PAGEREF _Toc510771944 \h </w:instrText>
        </w:r>
        <w:r w:rsidR="004F1A12">
          <w:rPr>
            <w:noProof/>
            <w:webHidden/>
          </w:rPr>
        </w:r>
        <w:r w:rsidR="004F1A12">
          <w:rPr>
            <w:noProof/>
            <w:webHidden/>
          </w:rPr>
          <w:fldChar w:fldCharType="separate"/>
        </w:r>
        <w:r>
          <w:rPr>
            <w:noProof/>
            <w:webHidden/>
          </w:rPr>
          <w:t>70</w:t>
        </w:r>
        <w:r w:rsidR="004F1A12">
          <w:rPr>
            <w:noProof/>
            <w:webHidden/>
          </w:rPr>
          <w:fldChar w:fldCharType="end"/>
        </w:r>
      </w:hyperlink>
    </w:p>
    <w:p w14:paraId="77ADA2E2" w14:textId="03A3A220" w:rsidR="004F1A12" w:rsidRDefault="00825350">
      <w:pPr>
        <w:pStyle w:val="TOC3"/>
        <w:rPr>
          <w:rFonts w:asciiTheme="minorHAnsi" w:eastAsiaTheme="minorEastAsia" w:hAnsiTheme="minorHAnsi" w:cstheme="minorBidi"/>
          <w:noProof/>
          <w:color w:val="auto"/>
          <w:sz w:val="22"/>
          <w:lang w:eastAsia="en-AU"/>
        </w:rPr>
      </w:pPr>
      <w:hyperlink w:anchor="_Toc510771945" w:history="1">
        <w:r w:rsidR="004F1A12" w:rsidRPr="006611D3">
          <w:rPr>
            <w:rStyle w:val="Hyperlink"/>
            <w:noProof/>
          </w:rPr>
          <w:t>Solomon Islands case</w:t>
        </w:r>
        <w:r w:rsidR="004F1A12">
          <w:rPr>
            <w:noProof/>
            <w:webHidden/>
          </w:rPr>
          <w:tab/>
        </w:r>
        <w:r w:rsidR="004F1A12">
          <w:rPr>
            <w:noProof/>
            <w:webHidden/>
          </w:rPr>
          <w:fldChar w:fldCharType="begin"/>
        </w:r>
        <w:r w:rsidR="004F1A12">
          <w:rPr>
            <w:noProof/>
            <w:webHidden/>
          </w:rPr>
          <w:instrText xml:space="preserve"> PAGEREF _Toc510771945 \h </w:instrText>
        </w:r>
        <w:r w:rsidR="004F1A12">
          <w:rPr>
            <w:noProof/>
            <w:webHidden/>
          </w:rPr>
        </w:r>
        <w:r w:rsidR="004F1A12">
          <w:rPr>
            <w:noProof/>
            <w:webHidden/>
          </w:rPr>
          <w:fldChar w:fldCharType="separate"/>
        </w:r>
        <w:r>
          <w:rPr>
            <w:noProof/>
            <w:webHidden/>
          </w:rPr>
          <w:t>71</w:t>
        </w:r>
        <w:r w:rsidR="004F1A12">
          <w:rPr>
            <w:noProof/>
            <w:webHidden/>
          </w:rPr>
          <w:fldChar w:fldCharType="end"/>
        </w:r>
      </w:hyperlink>
    </w:p>
    <w:p w14:paraId="5B4EB382" w14:textId="1314B834" w:rsidR="004F1A12" w:rsidRDefault="00825350">
      <w:pPr>
        <w:pStyle w:val="TOC3"/>
        <w:rPr>
          <w:rFonts w:asciiTheme="minorHAnsi" w:eastAsiaTheme="minorEastAsia" w:hAnsiTheme="minorHAnsi" w:cstheme="minorBidi"/>
          <w:noProof/>
          <w:color w:val="auto"/>
          <w:sz w:val="22"/>
          <w:lang w:eastAsia="en-AU"/>
        </w:rPr>
      </w:pPr>
      <w:hyperlink w:anchor="_Toc510771946" w:history="1">
        <w:r w:rsidR="004F1A12" w:rsidRPr="006611D3">
          <w:rPr>
            <w:rStyle w:val="Hyperlink"/>
            <w:noProof/>
          </w:rPr>
          <w:t>Notable Investments (not within a selected country/regional case)</w:t>
        </w:r>
        <w:r w:rsidR="004F1A12">
          <w:rPr>
            <w:noProof/>
            <w:webHidden/>
          </w:rPr>
          <w:tab/>
        </w:r>
        <w:r w:rsidR="004F1A12">
          <w:rPr>
            <w:noProof/>
            <w:webHidden/>
          </w:rPr>
          <w:fldChar w:fldCharType="begin"/>
        </w:r>
        <w:r w:rsidR="004F1A12">
          <w:rPr>
            <w:noProof/>
            <w:webHidden/>
          </w:rPr>
          <w:instrText xml:space="preserve"> PAGEREF _Toc510771946 \h </w:instrText>
        </w:r>
        <w:r w:rsidR="004F1A12">
          <w:rPr>
            <w:noProof/>
            <w:webHidden/>
          </w:rPr>
        </w:r>
        <w:r w:rsidR="004F1A12">
          <w:rPr>
            <w:noProof/>
            <w:webHidden/>
          </w:rPr>
          <w:fldChar w:fldCharType="separate"/>
        </w:r>
        <w:r>
          <w:rPr>
            <w:noProof/>
            <w:webHidden/>
          </w:rPr>
          <w:t>72</w:t>
        </w:r>
        <w:r w:rsidR="004F1A12">
          <w:rPr>
            <w:noProof/>
            <w:webHidden/>
          </w:rPr>
          <w:fldChar w:fldCharType="end"/>
        </w:r>
      </w:hyperlink>
    </w:p>
    <w:p w14:paraId="7549625B" w14:textId="0DEC8856" w:rsidR="004F1A12" w:rsidRDefault="00825350">
      <w:pPr>
        <w:pStyle w:val="TOC2"/>
        <w:rPr>
          <w:rFonts w:asciiTheme="minorHAnsi" w:eastAsiaTheme="minorEastAsia" w:hAnsiTheme="minorHAnsi" w:cstheme="minorBidi"/>
          <w:noProof/>
          <w:color w:val="auto"/>
          <w:sz w:val="22"/>
          <w:lang w:eastAsia="en-AU"/>
        </w:rPr>
      </w:pPr>
      <w:hyperlink w:anchor="_Toc510771947" w:history="1">
        <w:r w:rsidR="004F1A12" w:rsidRPr="006611D3">
          <w:rPr>
            <w:rStyle w:val="Hyperlink"/>
            <w:noProof/>
          </w:rPr>
          <w:t>Annex 2A – Evaluation matrix (Evaluation Plan)</w:t>
        </w:r>
        <w:r w:rsidR="004F1A12">
          <w:rPr>
            <w:noProof/>
            <w:webHidden/>
          </w:rPr>
          <w:tab/>
        </w:r>
        <w:r w:rsidR="004F1A12">
          <w:rPr>
            <w:noProof/>
            <w:webHidden/>
          </w:rPr>
          <w:fldChar w:fldCharType="begin"/>
        </w:r>
        <w:r w:rsidR="004F1A12">
          <w:rPr>
            <w:noProof/>
            <w:webHidden/>
          </w:rPr>
          <w:instrText xml:space="preserve"> PAGEREF _Toc510771947 \h </w:instrText>
        </w:r>
        <w:r w:rsidR="004F1A12">
          <w:rPr>
            <w:noProof/>
            <w:webHidden/>
          </w:rPr>
        </w:r>
        <w:r w:rsidR="004F1A12">
          <w:rPr>
            <w:noProof/>
            <w:webHidden/>
          </w:rPr>
          <w:fldChar w:fldCharType="separate"/>
        </w:r>
        <w:r>
          <w:rPr>
            <w:noProof/>
            <w:webHidden/>
          </w:rPr>
          <w:t>73</w:t>
        </w:r>
        <w:r w:rsidR="004F1A12">
          <w:rPr>
            <w:noProof/>
            <w:webHidden/>
          </w:rPr>
          <w:fldChar w:fldCharType="end"/>
        </w:r>
      </w:hyperlink>
    </w:p>
    <w:p w14:paraId="1B4F3EFD" w14:textId="49B0C9AB" w:rsidR="004F1A12" w:rsidRDefault="00825350">
      <w:pPr>
        <w:pStyle w:val="TOC2"/>
        <w:rPr>
          <w:rFonts w:asciiTheme="minorHAnsi" w:eastAsiaTheme="minorEastAsia" w:hAnsiTheme="minorHAnsi" w:cstheme="minorBidi"/>
          <w:noProof/>
          <w:color w:val="auto"/>
          <w:sz w:val="22"/>
          <w:lang w:eastAsia="en-AU"/>
        </w:rPr>
      </w:pPr>
      <w:hyperlink w:anchor="_Toc510771948" w:history="1">
        <w:r w:rsidR="004F1A12" w:rsidRPr="006611D3">
          <w:rPr>
            <w:rStyle w:val="Hyperlink"/>
            <w:noProof/>
          </w:rPr>
          <w:t>Annex 2B – Investigating good practice integration (Evaluation Plan)</w:t>
        </w:r>
        <w:r w:rsidR="004F1A12">
          <w:rPr>
            <w:noProof/>
            <w:webHidden/>
          </w:rPr>
          <w:tab/>
        </w:r>
        <w:r w:rsidR="004F1A12">
          <w:rPr>
            <w:noProof/>
            <w:webHidden/>
          </w:rPr>
          <w:fldChar w:fldCharType="begin"/>
        </w:r>
        <w:r w:rsidR="004F1A12">
          <w:rPr>
            <w:noProof/>
            <w:webHidden/>
          </w:rPr>
          <w:instrText xml:space="preserve"> PAGEREF _Toc510771948 \h </w:instrText>
        </w:r>
        <w:r w:rsidR="004F1A12">
          <w:rPr>
            <w:noProof/>
            <w:webHidden/>
          </w:rPr>
        </w:r>
        <w:r w:rsidR="004F1A12">
          <w:rPr>
            <w:noProof/>
            <w:webHidden/>
          </w:rPr>
          <w:fldChar w:fldCharType="separate"/>
        </w:r>
        <w:r>
          <w:rPr>
            <w:noProof/>
            <w:webHidden/>
          </w:rPr>
          <w:t>76</w:t>
        </w:r>
        <w:r w:rsidR="004F1A12">
          <w:rPr>
            <w:noProof/>
            <w:webHidden/>
          </w:rPr>
          <w:fldChar w:fldCharType="end"/>
        </w:r>
      </w:hyperlink>
    </w:p>
    <w:p w14:paraId="5990F9ED" w14:textId="43E2E22A" w:rsidR="001E1BFF" w:rsidRDefault="00EC094E" w:rsidP="001E1BFF">
      <w:pPr>
        <w:tabs>
          <w:tab w:val="clear" w:pos="992"/>
          <w:tab w:val="clear" w:pos="1418"/>
          <w:tab w:val="left" w:pos="2258"/>
        </w:tabs>
        <w:sectPr w:rsidR="001E1BFF" w:rsidSect="00CA055E">
          <w:headerReference w:type="default" r:id="rId23"/>
          <w:type w:val="continuous"/>
          <w:pgSz w:w="11906" w:h="16838"/>
          <w:pgMar w:top="1152" w:right="850" w:bottom="851" w:left="851" w:header="510" w:footer="510" w:gutter="0"/>
          <w:pgNumType w:fmt="lowerRoman"/>
          <w:cols w:space="708"/>
          <w:docGrid w:linePitch="360"/>
        </w:sectPr>
      </w:pPr>
      <w:r w:rsidRPr="00E968E5">
        <w:rPr>
          <w:b/>
          <w:caps/>
          <w:color w:val="65C5B4"/>
          <w:sz w:val="28"/>
        </w:rPr>
        <w:fldChar w:fldCharType="end"/>
      </w:r>
    </w:p>
    <w:p w14:paraId="29D0D3FD" w14:textId="77777777" w:rsidR="001E1BFF" w:rsidRDefault="001E1BFF" w:rsidP="001E1BFF">
      <w:pPr>
        <w:tabs>
          <w:tab w:val="clear" w:pos="992"/>
        </w:tabs>
        <w:spacing w:after="160" w:line="259" w:lineRule="auto"/>
      </w:pPr>
      <w:r>
        <w:br w:type="page"/>
      </w:r>
    </w:p>
    <w:p w14:paraId="4B61510C" w14:textId="77777777" w:rsidR="00100600" w:rsidRDefault="00100600" w:rsidP="001E1BFF"/>
    <w:p w14:paraId="6F6F25C7" w14:textId="06E69C18" w:rsidR="00100600" w:rsidRDefault="00551B2A" w:rsidP="00D04A94">
      <w:pPr>
        <w:pStyle w:val="HEADING1before"/>
        <w:rPr>
          <w:b w:val="0"/>
          <w:caps w:val="0"/>
        </w:rPr>
        <w:sectPr w:rsidR="00100600" w:rsidSect="00100600">
          <w:headerReference w:type="default" r:id="rId24"/>
          <w:footnotePr>
            <w:numFmt w:val="chicago"/>
            <w:numRestart w:val="eachPage"/>
          </w:footnotePr>
          <w:endnotePr>
            <w:numFmt w:val="decimal"/>
          </w:endnotePr>
          <w:type w:val="continuous"/>
          <w:pgSz w:w="11906" w:h="16838"/>
          <w:pgMar w:top="851" w:right="851" w:bottom="851" w:left="851" w:header="510" w:footer="510" w:gutter="0"/>
          <w:pgNumType w:fmt="lowerRoman"/>
          <w:cols w:space="708"/>
          <w:noEndnote/>
          <w:docGrid w:linePitch="360"/>
        </w:sectPr>
      </w:pPr>
      <w:r>
        <w:t>TABLE OF FIGURES</w:t>
      </w:r>
    </w:p>
    <w:p w14:paraId="0D05CD4C" w14:textId="14793F2B" w:rsidR="00977EFA" w:rsidRDefault="00DF784D">
      <w:pPr>
        <w:pStyle w:val="TableofFigures"/>
        <w:tabs>
          <w:tab w:val="right" w:leader="dot" w:pos="10194"/>
        </w:tabs>
        <w:rPr>
          <w:rFonts w:eastAsiaTheme="minorEastAsia"/>
          <w:noProof/>
          <w:color w:val="auto"/>
          <w:lang w:val="en-AU" w:eastAsia="en-AU"/>
        </w:rPr>
      </w:pPr>
      <w:r>
        <w:fldChar w:fldCharType="begin"/>
      </w:r>
      <w:r>
        <w:instrText xml:space="preserve"> TOC \h \z \c "Figure" </w:instrText>
      </w:r>
      <w:r>
        <w:fldChar w:fldCharType="separate"/>
      </w:r>
      <w:hyperlink w:anchor="_Toc509499147" w:history="1">
        <w:r w:rsidR="00977EFA" w:rsidRPr="00643558">
          <w:rPr>
            <w:rStyle w:val="Hyperlink"/>
            <w:noProof/>
          </w:rPr>
          <w:t>Figure 1: The relative proportions of Australia’s international climate finance in financial year 2015-16</w:t>
        </w:r>
        <w:r w:rsidR="00977EFA">
          <w:rPr>
            <w:noProof/>
            <w:webHidden/>
          </w:rPr>
          <w:tab/>
        </w:r>
        <w:r w:rsidR="00977EFA">
          <w:rPr>
            <w:noProof/>
            <w:webHidden/>
          </w:rPr>
          <w:fldChar w:fldCharType="begin"/>
        </w:r>
        <w:r w:rsidR="00977EFA">
          <w:rPr>
            <w:noProof/>
            <w:webHidden/>
          </w:rPr>
          <w:instrText xml:space="preserve"> PAGEREF _Toc509499147 \h </w:instrText>
        </w:r>
        <w:r w:rsidR="00977EFA">
          <w:rPr>
            <w:noProof/>
            <w:webHidden/>
          </w:rPr>
        </w:r>
        <w:r w:rsidR="00977EFA">
          <w:rPr>
            <w:noProof/>
            <w:webHidden/>
          </w:rPr>
          <w:fldChar w:fldCharType="separate"/>
        </w:r>
        <w:r w:rsidR="00825350">
          <w:rPr>
            <w:noProof/>
            <w:webHidden/>
          </w:rPr>
          <w:t>22</w:t>
        </w:r>
        <w:r w:rsidR="00977EFA">
          <w:rPr>
            <w:noProof/>
            <w:webHidden/>
          </w:rPr>
          <w:fldChar w:fldCharType="end"/>
        </w:r>
      </w:hyperlink>
    </w:p>
    <w:p w14:paraId="32A1A345" w14:textId="60D3B1C5" w:rsidR="00977EFA" w:rsidRDefault="00825350">
      <w:pPr>
        <w:pStyle w:val="TableofFigures"/>
        <w:tabs>
          <w:tab w:val="right" w:leader="dot" w:pos="10194"/>
        </w:tabs>
        <w:rPr>
          <w:rFonts w:eastAsiaTheme="minorEastAsia"/>
          <w:noProof/>
          <w:color w:val="auto"/>
          <w:lang w:val="en-AU" w:eastAsia="en-AU"/>
        </w:rPr>
      </w:pPr>
      <w:hyperlink r:id="rId25" w:anchor="_Toc509499148" w:history="1">
        <w:r w:rsidR="00977EFA" w:rsidRPr="00643558">
          <w:rPr>
            <w:rStyle w:val="Hyperlink"/>
            <w:noProof/>
          </w:rPr>
          <w:t>Figure 2: Five domains of good practice climate change integration</w:t>
        </w:r>
        <w:r w:rsidR="00977EFA">
          <w:rPr>
            <w:noProof/>
            <w:webHidden/>
          </w:rPr>
          <w:tab/>
        </w:r>
        <w:r w:rsidR="00977EFA">
          <w:rPr>
            <w:noProof/>
            <w:webHidden/>
          </w:rPr>
          <w:fldChar w:fldCharType="begin"/>
        </w:r>
        <w:r w:rsidR="00977EFA">
          <w:rPr>
            <w:noProof/>
            <w:webHidden/>
          </w:rPr>
          <w:instrText xml:space="preserve"> PAGEREF _Toc509499148 \h </w:instrText>
        </w:r>
        <w:r w:rsidR="00977EFA">
          <w:rPr>
            <w:noProof/>
            <w:webHidden/>
          </w:rPr>
        </w:r>
        <w:r w:rsidR="00977EFA">
          <w:rPr>
            <w:noProof/>
            <w:webHidden/>
          </w:rPr>
          <w:fldChar w:fldCharType="separate"/>
        </w:r>
        <w:r>
          <w:rPr>
            <w:noProof/>
            <w:webHidden/>
          </w:rPr>
          <w:t>25</w:t>
        </w:r>
        <w:r w:rsidR="00977EFA">
          <w:rPr>
            <w:noProof/>
            <w:webHidden/>
          </w:rPr>
          <w:fldChar w:fldCharType="end"/>
        </w:r>
      </w:hyperlink>
    </w:p>
    <w:p w14:paraId="7E014C8E" w14:textId="2391D70A" w:rsidR="00977EFA" w:rsidRDefault="00825350">
      <w:pPr>
        <w:pStyle w:val="TableofFigures"/>
        <w:tabs>
          <w:tab w:val="right" w:leader="dot" w:pos="10194"/>
        </w:tabs>
        <w:rPr>
          <w:rFonts w:eastAsiaTheme="minorEastAsia"/>
          <w:noProof/>
          <w:color w:val="auto"/>
          <w:lang w:val="en-AU" w:eastAsia="en-AU"/>
        </w:rPr>
      </w:pPr>
      <w:hyperlink w:anchor="_Toc509499149" w:history="1">
        <w:r w:rsidR="00977EFA" w:rsidRPr="00643558">
          <w:rPr>
            <w:rStyle w:val="Hyperlink"/>
            <w:noProof/>
          </w:rPr>
          <w:t>Figure 3: The three levels of enquiry</w:t>
        </w:r>
        <w:r w:rsidR="00977EFA">
          <w:rPr>
            <w:noProof/>
            <w:webHidden/>
          </w:rPr>
          <w:tab/>
        </w:r>
        <w:r w:rsidR="00977EFA">
          <w:rPr>
            <w:noProof/>
            <w:webHidden/>
          </w:rPr>
          <w:fldChar w:fldCharType="begin"/>
        </w:r>
        <w:r w:rsidR="00977EFA">
          <w:rPr>
            <w:noProof/>
            <w:webHidden/>
          </w:rPr>
          <w:instrText xml:space="preserve"> PAGEREF _Toc509499149 \h </w:instrText>
        </w:r>
        <w:r w:rsidR="00977EFA">
          <w:rPr>
            <w:noProof/>
            <w:webHidden/>
          </w:rPr>
        </w:r>
        <w:r w:rsidR="00977EFA">
          <w:rPr>
            <w:noProof/>
            <w:webHidden/>
          </w:rPr>
          <w:fldChar w:fldCharType="separate"/>
        </w:r>
        <w:r>
          <w:rPr>
            <w:noProof/>
            <w:webHidden/>
          </w:rPr>
          <w:t>28</w:t>
        </w:r>
        <w:r w:rsidR="00977EFA">
          <w:rPr>
            <w:noProof/>
            <w:webHidden/>
          </w:rPr>
          <w:fldChar w:fldCharType="end"/>
        </w:r>
      </w:hyperlink>
    </w:p>
    <w:p w14:paraId="42A3602A" w14:textId="6ED8C4E1" w:rsidR="00DF784D" w:rsidRDefault="00DF784D" w:rsidP="00DF784D">
      <w:pPr>
        <w:pStyle w:val="TableofFigures"/>
        <w:tabs>
          <w:tab w:val="right" w:leader="dot" w:pos="9628"/>
        </w:tabs>
        <w:rPr>
          <w:rFonts w:eastAsiaTheme="minorEastAsia"/>
          <w:noProof/>
          <w:color w:val="auto"/>
          <w:lang w:val="en-AU" w:eastAsia="en-AU"/>
        </w:rPr>
      </w:pPr>
      <w:r>
        <w:fldChar w:fldCharType="end"/>
      </w:r>
    </w:p>
    <w:p w14:paraId="580E28BC" w14:textId="77777777" w:rsidR="00FC4040" w:rsidRPr="00FC4040" w:rsidRDefault="00FC4040" w:rsidP="0025594E">
      <w:pPr>
        <w:pStyle w:val="HEADING1before"/>
      </w:pPr>
      <w:r w:rsidRPr="00FC4040">
        <w:t>Table of Tables</w:t>
      </w:r>
    </w:p>
    <w:p w14:paraId="460B6A06" w14:textId="10EAED1A" w:rsidR="00F31C9C" w:rsidRDefault="00DF784D">
      <w:pPr>
        <w:pStyle w:val="TableofFigures"/>
        <w:tabs>
          <w:tab w:val="right" w:leader="dot" w:pos="10194"/>
        </w:tabs>
        <w:rPr>
          <w:rFonts w:eastAsiaTheme="minorEastAsia"/>
          <w:noProof/>
          <w:color w:val="auto"/>
          <w:lang w:eastAsia="en-GB"/>
        </w:rPr>
      </w:pPr>
      <w:r>
        <w:fldChar w:fldCharType="begin"/>
      </w:r>
      <w:r>
        <w:instrText xml:space="preserve"> TOC \h \z \c "Table" </w:instrText>
      </w:r>
      <w:r>
        <w:fldChar w:fldCharType="separate"/>
      </w:r>
      <w:hyperlink w:anchor="_Toc510591525" w:history="1">
        <w:r w:rsidR="00F31C9C" w:rsidRPr="00FD04D4">
          <w:rPr>
            <w:rStyle w:val="Hyperlink"/>
            <w:noProof/>
          </w:rPr>
          <w:t>Table 1: Evaluation questions and sub-questions</w:t>
        </w:r>
        <w:r w:rsidR="00F31C9C">
          <w:rPr>
            <w:noProof/>
            <w:webHidden/>
          </w:rPr>
          <w:tab/>
        </w:r>
        <w:r w:rsidR="00F31C9C">
          <w:rPr>
            <w:noProof/>
            <w:webHidden/>
          </w:rPr>
          <w:fldChar w:fldCharType="begin"/>
        </w:r>
        <w:r w:rsidR="00F31C9C">
          <w:rPr>
            <w:noProof/>
            <w:webHidden/>
          </w:rPr>
          <w:instrText xml:space="preserve"> PAGEREF _Toc510591525 \h </w:instrText>
        </w:r>
        <w:r w:rsidR="00F31C9C">
          <w:rPr>
            <w:noProof/>
            <w:webHidden/>
          </w:rPr>
        </w:r>
        <w:r w:rsidR="00F31C9C">
          <w:rPr>
            <w:noProof/>
            <w:webHidden/>
          </w:rPr>
          <w:fldChar w:fldCharType="separate"/>
        </w:r>
        <w:r w:rsidR="00825350">
          <w:rPr>
            <w:noProof/>
            <w:webHidden/>
          </w:rPr>
          <w:t>24</w:t>
        </w:r>
        <w:r w:rsidR="00F31C9C">
          <w:rPr>
            <w:noProof/>
            <w:webHidden/>
          </w:rPr>
          <w:fldChar w:fldCharType="end"/>
        </w:r>
      </w:hyperlink>
    </w:p>
    <w:p w14:paraId="3EEF494A" w14:textId="722C084D" w:rsidR="00F31C9C" w:rsidRDefault="00825350">
      <w:pPr>
        <w:pStyle w:val="TableofFigures"/>
        <w:tabs>
          <w:tab w:val="right" w:leader="dot" w:pos="10194"/>
        </w:tabs>
        <w:rPr>
          <w:rFonts w:eastAsiaTheme="minorEastAsia"/>
          <w:noProof/>
          <w:color w:val="auto"/>
          <w:lang w:eastAsia="en-GB"/>
        </w:rPr>
      </w:pPr>
      <w:hyperlink w:anchor="_Toc510591526" w:history="1">
        <w:r w:rsidR="00F31C9C" w:rsidRPr="00FD04D4">
          <w:rPr>
            <w:rStyle w:val="Hyperlink"/>
            <w:noProof/>
          </w:rPr>
          <w:t>Table 2: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_Toc510591526 \h </w:instrText>
        </w:r>
        <w:r w:rsidR="00F31C9C">
          <w:rPr>
            <w:noProof/>
            <w:webHidden/>
          </w:rPr>
        </w:r>
        <w:r w:rsidR="00F31C9C">
          <w:rPr>
            <w:noProof/>
            <w:webHidden/>
          </w:rPr>
          <w:fldChar w:fldCharType="separate"/>
        </w:r>
        <w:r>
          <w:rPr>
            <w:noProof/>
            <w:webHidden/>
          </w:rPr>
          <w:t>26</w:t>
        </w:r>
        <w:r w:rsidR="00F31C9C">
          <w:rPr>
            <w:noProof/>
            <w:webHidden/>
          </w:rPr>
          <w:fldChar w:fldCharType="end"/>
        </w:r>
      </w:hyperlink>
    </w:p>
    <w:p w14:paraId="7CDB5EF1" w14:textId="353642A2" w:rsidR="00F31C9C" w:rsidRDefault="00825350">
      <w:pPr>
        <w:pStyle w:val="TableofFigures"/>
        <w:tabs>
          <w:tab w:val="right" w:leader="dot" w:pos="10194"/>
        </w:tabs>
        <w:rPr>
          <w:rFonts w:eastAsiaTheme="minorEastAsia"/>
          <w:noProof/>
          <w:color w:val="auto"/>
          <w:lang w:eastAsia="en-GB"/>
        </w:rPr>
      </w:pPr>
      <w:hyperlink w:anchor="_Toc510591527" w:history="1">
        <w:r w:rsidR="00F31C9C" w:rsidRPr="00FD04D4">
          <w:rPr>
            <w:rStyle w:val="Hyperlink"/>
            <w:noProof/>
          </w:rPr>
          <w:t>Table 3: Duration of investments that have demonstrated</w:t>
        </w:r>
        <w:r w:rsidR="00874AB8">
          <w:rPr>
            <w:rStyle w:val="Hyperlink"/>
            <w:noProof/>
          </w:rPr>
          <w:t xml:space="preserve"> </w:t>
        </w:r>
        <w:r w:rsidR="00F31C9C" w:rsidRPr="00FD04D4">
          <w:rPr>
            <w:rStyle w:val="Hyperlink"/>
            <w:noProof/>
          </w:rPr>
          <w:t>significant climate-related benefits</w:t>
        </w:r>
        <w:r w:rsidR="00F31C9C">
          <w:rPr>
            <w:noProof/>
            <w:webHidden/>
          </w:rPr>
          <w:tab/>
        </w:r>
        <w:r w:rsidR="00F31C9C">
          <w:rPr>
            <w:noProof/>
            <w:webHidden/>
          </w:rPr>
          <w:fldChar w:fldCharType="begin"/>
        </w:r>
        <w:r w:rsidR="00F31C9C">
          <w:rPr>
            <w:noProof/>
            <w:webHidden/>
          </w:rPr>
          <w:instrText xml:space="preserve"> PAGEREF _Toc510591527 \h </w:instrText>
        </w:r>
        <w:r w:rsidR="00F31C9C">
          <w:rPr>
            <w:noProof/>
            <w:webHidden/>
          </w:rPr>
        </w:r>
        <w:r w:rsidR="00F31C9C">
          <w:rPr>
            <w:noProof/>
            <w:webHidden/>
          </w:rPr>
          <w:fldChar w:fldCharType="separate"/>
        </w:r>
        <w:r>
          <w:rPr>
            <w:noProof/>
            <w:webHidden/>
          </w:rPr>
          <w:t>34</w:t>
        </w:r>
        <w:r w:rsidR="00F31C9C">
          <w:rPr>
            <w:noProof/>
            <w:webHidden/>
          </w:rPr>
          <w:fldChar w:fldCharType="end"/>
        </w:r>
      </w:hyperlink>
    </w:p>
    <w:p w14:paraId="06D63333" w14:textId="0A765AFE" w:rsidR="00F31C9C" w:rsidRDefault="00825350">
      <w:pPr>
        <w:pStyle w:val="TableofFigures"/>
        <w:tabs>
          <w:tab w:val="right" w:leader="dot" w:pos="10194"/>
        </w:tabs>
        <w:rPr>
          <w:rFonts w:eastAsiaTheme="minorEastAsia"/>
          <w:noProof/>
          <w:color w:val="auto"/>
          <w:lang w:eastAsia="en-GB"/>
        </w:rPr>
      </w:pPr>
      <w:hyperlink w:anchor="_Toc510591528" w:history="1">
        <w:r w:rsidR="00F31C9C" w:rsidRPr="00FD04D4">
          <w:rPr>
            <w:rStyle w:val="Hyperlink"/>
            <w:noProof/>
          </w:rPr>
          <w:t>Table 4: Looking at Australia’s country/regional level engagement through a systems lens</w:t>
        </w:r>
        <w:r w:rsidR="00F31C9C">
          <w:rPr>
            <w:noProof/>
            <w:webHidden/>
          </w:rPr>
          <w:tab/>
        </w:r>
        <w:r w:rsidR="00F31C9C">
          <w:rPr>
            <w:noProof/>
            <w:webHidden/>
          </w:rPr>
          <w:fldChar w:fldCharType="begin"/>
        </w:r>
        <w:r w:rsidR="00F31C9C">
          <w:rPr>
            <w:noProof/>
            <w:webHidden/>
          </w:rPr>
          <w:instrText xml:space="preserve"> PAGEREF _Toc510591528 \h </w:instrText>
        </w:r>
        <w:r w:rsidR="00F31C9C">
          <w:rPr>
            <w:noProof/>
            <w:webHidden/>
          </w:rPr>
        </w:r>
        <w:r w:rsidR="00F31C9C">
          <w:rPr>
            <w:noProof/>
            <w:webHidden/>
          </w:rPr>
          <w:fldChar w:fldCharType="separate"/>
        </w:r>
        <w:r>
          <w:rPr>
            <w:noProof/>
            <w:webHidden/>
          </w:rPr>
          <w:t>49</w:t>
        </w:r>
        <w:r w:rsidR="00F31C9C">
          <w:rPr>
            <w:noProof/>
            <w:webHidden/>
          </w:rPr>
          <w:fldChar w:fldCharType="end"/>
        </w:r>
      </w:hyperlink>
    </w:p>
    <w:p w14:paraId="6276D184" w14:textId="41362C14" w:rsidR="00F31C9C" w:rsidRDefault="00825350">
      <w:pPr>
        <w:pStyle w:val="TableofFigures"/>
        <w:tabs>
          <w:tab w:val="right" w:leader="dot" w:pos="10194"/>
        </w:tabs>
        <w:rPr>
          <w:rFonts w:eastAsiaTheme="minorEastAsia"/>
          <w:noProof/>
          <w:color w:val="auto"/>
          <w:lang w:eastAsia="en-GB"/>
        </w:rPr>
      </w:pPr>
      <w:hyperlink w:anchor="_Toc510591529" w:history="1">
        <w:r w:rsidR="00F31C9C" w:rsidRPr="00FD04D4">
          <w:rPr>
            <w:rStyle w:val="Hyperlink"/>
            <w:noProof/>
          </w:rPr>
          <w:t>Table 5: Excerpt from Table 2 –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_Toc510591529 \h </w:instrText>
        </w:r>
        <w:r w:rsidR="00F31C9C">
          <w:rPr>
            <w:noProof/>
            <w:webHidden/>
          </w:rPr>
        </w:r>
        <w:r w:rsidR="00F31C9C">
          <w:rPr>
            <w:noProof/>
            <w:webHidden/>
          </w:rPr>
          <w:fldChar w:fldCharType="separate"/>
        </w:r>
        <w:r>
          <w:rPr>
            <w:noProof/>
            <w:webHidden/>
          </w:rPr>
          <w:t>57</w:t>
        </w:r>
        <w:r w:rsidR="00F31C9C">
          <w:rPr>
            <w:noProof/>
            <w:webHidden/>
          </w:rPr>
          <w:fldChar w:fldCharType="end"/>
        </w:r>
      </w:hyperlink>
    </w:p>
    <w:p w14:paraId="03509251" w14:textId="51E4A945" w:rsidR="00F31C9C" w:rsidRDefault="00825350">
      <w:pPr>
        <w:pStyle w:val="TableofFigures"/>
        <w:tabs>
          <w:tab w:val="right" w:leader="dot" w:pos="10194"/>
        </w:tabs>
        <w:rPr>
          <w:rFonts w:eastAsiaTheme="minorEastAsia"/>
          <w:noProof/>
          <w:color w:val="auto"/>
          <w:lang w:eastAsia="en-GB"/>
        </w:rPr>
      </w:pPr>
      <w:hyperlink w:anchor="_Toc510591530" w:history="1">
        <w:r w:rsidR="00F31C9C" w:rsidRPr="00FD04D4">
          <w:rPr>
            <w:rStyle w:val="Hyperlink"/>
            <w:noProof/>
          </w:rPr>
          <w:t>Table 6: Excerpt from Table 2 –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_Toc510591530 \h </w:instrText>
        </w:r>
        <w:r w:rsidR="00F31C9C">
          <w:rPr>
            <w:noProof/>
            <w:webHidden/>
          </w:rPr>
        </w:r>
        <w:r w:rsidR="00F31C9C">
          <w:rPr>
            <w:noProof/>
            <w:webHidden/>
          </w:rPr>
          <w:fldChar w:fldCharType="separate"/>
        </w:r>
        <w:r>
          <w:rPr>
            <w:noProof/>
            <w:webHidden/>
          </w:rPr>
          <w:t>59</w:t>
        </w:r>
        <w:r w:rsidR="00F31C9C">
          <w:rPr>
            <w:noProof/>
            <w:webHidden/>
          </w:rPr>
          <w:fldChar w:fldCharType="end"/>
        </w:r>
      </w:hyperlink>
    </w:p>
    <w:p w14:paraId="4509ED57" w14:textId="1A2BDE62" w:rsidR="00F31C9C" w:rsidRDefault="00825350">
      <w:pPr>
        <w:pStyle w:val="TableofFigures"/>
        <w:tabs>
          <w:tab w:val="right" w:leader="dot" w:pos="10194"/>
        </w:tabs>
        <w:rPr>
          <w:rFonts w:eastAsiaTheme="minorEastAsia"/>
          <w:noProof/>
          <w:color w:val="auto"/>
          <w:lang w:eastAsia="en-GB"/>
        </w:rPr>
      </w:pPr>
      <w:hyperlink w:anchor="_Toc510591531" w:history="1">
        <w:r w:rsidR="00F31C9C" w:rsidRPr="00FD04D4">
          <w:rPr>
            <w:rStyle w:val="Hyperlink"/>
            <w:noProof/>
          </w:rPr>
          <w:t>Table 7: Excerpt from Table 2 –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_Toc510591531 \h </w:instrText>
        </w:r>
        <w:r w:rsidR="00F31C9C">
          <w:rPr>
            <w:noProof/>
            <w:webHidden/>
          </w:rPr>
        </w:r>
        <w:r w:rsidR="00F31C9C">
          <w:rPr>
            <w:noProof/>
            <w:webHidden/>
          </w:rPr>
          <w:fldChar w:fldCharType="separate"/>
        </w:r>
        <w:r>
          <w:rPr>
            <w:noProof/>
            <w:webHidden/>
          </w:rPr>
          <w:t>61</w:t>
        </w:r>
        <w:r w:rsidR="00F31C9C">
          <w:rPr>
            <w:noProof/>
            <w:webHidden/>
          </w:rPr>
          <w:fldChar w:fldCharType="end"/>
        </w:r>
      </w:hyperlink>
    </w:p>
    <w:p w14:paraId="28E2FA20" w14:textId="195EEFA9" w:rsidR="00F31C9C" w:rsidRDefault="00825350">
      <w:pPr>
        <w:pStyle w:val="TableofFigures"/>
        <w:tabs>
          <w:tab w:val="right" w:leader="dot" w:pos="10194"/>
        </w:tabs>
        <w:rPr>
          <w:rFonts w:eastAsiaTheme="minorEastAsia"/>
          <w:noProof/>
          <w:color w:val="auto"/>
          <w:lang w:eastAsia="en-GB"/>
        </w:rPr>
      </w:pPr>
      <w:hyperlink w:anchor="_Toc510591532" w:history="1">
        <w:r w:rsidR="00F31C9C" w:rsidRPr="00FD04D4">
          <w:rPr>
            <w:rStyle w:val="Hyperlink"/>
            <w:noProof/>
          </w:rPr>
          <w:t>Table 8: Excerpt from Table 2 –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_Toc510591532 \h </w:instrText>
        </w:r>
        <w:r w:rsidR="00F31C9C">
          <w:rPr>
            <w:noProof/>
            <w:webHidden/>
          </w:rPr>
        </w:r>
        <w:r w:rsidR="00F31C9C">
          <w:rPr>
            <w:noProof/>
            <w:webHidden/>
          </w:rPr>
          <w:fldChar w:fldCharType="separate"/>
        </w:r>
        <w:r>
          <w:rPr>
            <w:noProof/>
            <w:webHidden/>
          </w:rPr>
          <w:t>63</w:t>
        </w:r>
        <w:r w:rsidR="00F31C9C">
          <w:rPr>
            <w:noProof/>
            <w:webHidden/>
          </w:rPr>
          <w:fldChar w:fldCharType="end"/>
        </w:r>
      </w:hyperlink>
    </w:p>
    <w:p w14:paraId="26A26E1A" w14:textId="70F8C502" w:rsidR="00F31C9C" w:rsidRDefault="00825350">
      <w:pPr>
        <w:pStyle w:val="TableofFigures"/>
        <w:tabs>
          <w:tab w:val="right" w:leader="dot" w:pos="10194"/>
        </w:tabs>
        <w:rPr>
          <w:rFonts w:eastAsiaTheme="minorEastAsia"/>
          <w:noProof/>
          <w:color w:val="auto"/>
          <w:lang w:eastAsia="en-GB"/>
        </w:rPr>
      </w:pPr>
      <w:hyperlink w:anchor="_Toc510591533" w:history="1">
        <w:r w:rsidR="00F31C9C" w:rsidRPr="00FD04D4">
          <w:rPr>
            <w:rStyle w:val="Hyperlink"/>
            <w:noProof/>
          </w:rPr>
          <w:t>Table 9: Excerpt from Table 2 – Domains of good practice climate change integration</w:t>
        </w:r>
        <w:r w:rsidR="00F31C9C">
          <w:rPr>
            <w:noProof/>
            <w:webHidden/>
          </w:rPr>
          <w:tab/>
        </w:r>
        <w:r w:rsidR="00F31C9C">
          <w:rPr>
            <w:noProof/>
            <w:webHidden/>
          </w:rPr>
          <w:fldChar w:fldCharType="begin"/>
        </w:r>
        <w:r w:rsidR="00F31C9C">
          <w:rPr>
            <w:noProof/>
            <w:webHidden/>
          </w:rPr>
          <w:instrText xml:space="preserve"> PAGEREF _Toc510591533 \h </w:instrText>
        </w:r>
        <w:r w:rsidR="00F31C9C">
          <w:rPr>
            <w:noProof/>
            <w:webHidden/>
          </w:rPr>
        </w:r>
        <w:r w:rsidR="00F31C9C">
          <w:rPr>
            <w:noProof/>
            <w:webHidden/>
          </w:rPr>
          <w:fldChar w:fldCharType="separate"/>
        </w:r>
        <w:r>
          <w:rPr>
            <w:noProof/>
            <w:webHidden/>
          </w:rPr>
          <w:t>64</w:t>
        </w:r>
        <w:r w:rsidR="00F31C9C">
          <w:rPr>
            <w:noProof/>
            <w:webHidden/>
          </w:rPr>
          <w:fldChar w:fldCharType="end"/>
        </w:r>
      </w:hyperlink>
    </w:p>
    <w:p w14:paraId="2EB2ADCA" w14:textId="77777777" w:rsidR="00100600" w:rsidRDefault="00DF784D" w:rsidP="00100600">
      <w:r>
        <w:fldChar w:fldCharType="end"/>
      </w:r>
    </w:p>
    <w:p w14:paraId="17C1FAD9" w14:textId="77777777" w:rsidR="00100600" w:rsidRDefault="00100600" w:rsidP="00100600">
      <w:pPr>
        <w:sectPr w:rsidR="00100600" w:rsidSect="00100600">
          <w:headerReference w:type="default" r:id="rId26"/>
          <w:footnotePr>
            <w:numFmt w:val="chicago"/>
            <w:numRestart w:val="eachPage"/>
          </w:footnotePr>
          <w:endnotePr>
            <w:numFmt w:val="decimal"/>
          </w:endnotePr>
          <w:type w:val="continuous"/>
          <w:pgSz w:w="11906" w:h="16838"/>
          <w:pgMar w:top="851" w:right="851" w:bottom="851" w:left="851" w:header="510" w:footer="510" w:gutter="0"/>
          <w:pgNumType w:fmt="lowerRoman"/>
          <w:cols w:space="708"/>
          <w:noEndnote/>
          <w:docGrid w:linePitch="360"/>
        </w:sectPr>
      </w:pPr>
    </w:p>
    <w:p w14:paraId="07C10FDB" w14:textId="77777777" w:rsidR="00DF784D" w:rsidRDefault="00DF784D" w:rsidP="00DF784D">
      <w:pPr>
        <w:pStyle w:val="TableofFigures"/>
        <w:tabs>
          <w:tab w:val="right" w:leader="dot" w:pos="9628"/>
        </w:tabs>
        <w:rPr>
          <w:rFonts w:eastAsiaTheme="minorEastAsia"/>
          <w:noProof/>
          <w:color w:val="auto"/>
          <w:lang w:val="en-AU" w:eastAsia="en-AU"/>
        </w:rPr>
      </w:pPr>
    </w:p>
    <w:p w14:paraId="148A00CE" w14:textId="4BD4477D" w:rsidR="00F508EE" w:rsidRDefault="00E968E5" w:rsidP="009D3678">
      <w:pPr>
        <w:pStyle w:val="ChapterHead"/>
        <w:framePr w:wrap="around"/>
      </w:pPr>
      <w:bookmarkStart w:id="13" w:name="_Toc510771909"/>
      <w:r>
        <w:t>Table</w:t>
      </w:r>
      <w:r w:rsidR="00551B2A">
        <w:t>s</w:t>
      </w:r>
      <w:bookmarkEnd w:id="13"/>
    </w:p>
    <w:p w14:paraId="0D4D93D0" w14:textId="77777777" w:rsidR="005E782D" w:rsidRDefault="005E782D">
      <w:pPr>
        <w:tabs>
          <w:tab w:val="clear" w:pos="992"/>
        </w:tabs>
        <w:spacing w:after="160" w:line="259" w:lineRule="auto"/>
      </w:pPr>
      <w:r>
        <w:br w:type="page"/>
      </w:r>
    </w:p>
    <w:p w14:paraId="742C5625" w14:textId="77777777" w:rsidR="005E782D" w:rsidRDefault="00E968E5" w:rsidP="009D3678">
      <w:pPr>
        <w:pStyle w:val="ChapterHead"/>
        <w:framePr w:wrap="around"/>
      </w:pPr>
      <w:bookmarkStart w:id="14" w:name="_Toc510771910"/>
      <w:r>
        <w:lastRenderedPageBreak/>
        <w:t>Executive summary</w:t>
      </w:r>
      <w:bookmarkEnd w:id="14"/>
    </w:p>
    <w:p w14:paraId="63F1C37F" w14:textId="77777777" w:rsidR="00100570" w:rsidRDefault="00100570" w:rsidP="00100570"/>
    <w:p w14:paraId="4CE5DB4B" w14:textId="77777777" w:rsidR="00100570" w:rsidRDefault="00100570" w:rsidP="00100570">
      <w:pPr>
        <w:sectPr w:rsidR="00100570" w:rsidSect="00263DD3">
          <w:headerReference w:type="default" r:id="rId27"/>
          <w:footerReference w:type="default" r:id="rId28"/>
          <w:type w:val="continuous"/>
          <w:pgSz w:w="11906" w:h="16838"/>
          <w:pgMar w:top="851" w:right="851" w:bottom="851" w:left="851" w:header="510" w:footer="510" w:gutter="0"/>
          <w:pgNumType w:start="0"/>
          <w:cols w:space="708"/>
          <w:docGrid w:linePitch="360"/>
        </w:sectPr>
      </w:pPr>
    </w:p>
    <w:p w14:paraId="291AA543" w14:textId="77777777" w:rsidR="00F508EE" w:rsidRDefault="006D4D98" w:rsidP="00B90A97">
      <w:pPr>
        <w:tabs>
          <w:tab w:val="clear" w:pos="992"/>
          <w:tab w:val="clear" w:pos="1418"/>
        </w:tabs>
        <w:spacing w:after="160" w:line="259" w:lineRule="auto"/>
        <w:rPr>
          <w:b/>
          <w:sz w:val="38"/>
          <w:szCs w:val="38"/>
        </w:rPr>
      </w:pPr>
      <w:r w:rsidRPr="00B90A97">
        <w:rPr>
          <w:b/>
          <w:sz w:val="38"/>
          <w:szCs w:val="38"/>
        </w:rPr>
        <w:t>Introduction</w:t>
      </w:r>
    </w:p>
    <w:p w14:paraId="7E42CD15" w14:textId="7431B2E6" w:rsidR="00124DA8" w:rsidRDefault="00124DA8" w:rsidP="00124DA8">
      <w:pPr>
        <w:rPr>
          <w:lang w:val="en-US"/>
        </w:rPr>
      </w:pPr>
      <w:r>
        <w:rPr>
          <w:lang w:val="en-US"/>
        </w:rPr>
        <w:t>Australia has international commitments to climate change assistance. In December 2015</w:t>
      </w:r>
      <w:r w:rsidR="00695DE5">
        <w:rPr>
          <w:lang w:val="en-US"/>
        </w:rPr>
        <w:t>,</w:t>
      </w:r>
      <w:r>
        <w:rPr>
          <w:lang w:val="en-US"/>
        </w:rPr>
        <w:t xml:space="preserve"> at the 21st </w:t>
      </w:r>
      <w:r w:rsidR="004C381F">
        <w:rPr>
          <w:lang w:val="en-US"/>
        </w:rPr>
        <w:t xml:space="preserve">session of the </w:t>
      </w:r>
      <w:r>
        <w:rPr>
          <w:lang w:val="en-US"/>
        </w:rPr>
        <w:t>Conference of the Parties in Paris, Prime</w:t>
      </w:r>
      <w:r w:rsidRPr="00C24192">
        <w:rPr>
          <w:lang w:val="en-US"/>
        </w:rPr>
        <w:t xml:space="preserve"> Minister Turnbull announced that Australia </w:t>
      </w:r>
      <w:r>
        <w:rPr>
          <w:lang w:val="en-US"/>
        </w:rPr>
        <w:t>would</w:t>
      </w:r>
      <w:r w:rsidRPr="00C24192">
        <w:rPr>
          <w:lang w:val="en-US"/>
        </w:rPr>
        <w:t xml:space="preserve"> provide at least </w:t>
      </w:r>
      <w:bookmarkStart w:id="15" w:name="_Hlk518558229"/>
      <w:r w:rsidR="00551B2A">
        <w:rPr>
          <w:lang w:val="en-US"/>
        </w:rPr>
        <w:t>$</w:t>
      </w:r>
      <w:r w:rsidRPr="00C24192">
        <w:rPr>
          <w:lang w:val="en-US"/>
        </w:rPr>
        <w:t xml:space="preserve">1 billion </w:t>
      </w:r>
      <w:bookmarkEnd w:id="15"/>
      <w:r w:rsidRPr="00C24192">
        <w:rPr>
          <w:lang w:val="en-US"/>
        </w:rPr>
        <w:t>to build climate change resilience and reduce emissions in developing countries over the next five years.</w:t>
      </w:r>
    </w:p>
    <w:p w14:paraId="63C2A559" w14:textId="3E56084A" w:rsidR="00124DA8" w:rsidRDefault="00124DA8" w:rsidP="00124DA8">
      <w:r>
        <w:rPr>
          <w:lang w:val="en-US"/>
        </w:rPr>
        <w:t>In July 2016, DFAT elevated climate change action as a priority area for the aid program. DFAT</w:t>
      </w:r>
      <w:r>
        <w:t xml:space="preserve"> is now preparing a climate change and development strategy</w:t>
      </w:r>
      <w:r w:rsidR="00EC25C7">
        <w:t>, integration</w:t>
      </w:r>
      <w:r>
        <w:t xml:space="preserve"> and implementation plan, which is scheduled for completion in 2018.</w:t>
      </w:r>
      <w:r w:rsidR="00EC25C7">
        <w:t xml:space="preserve"> This </w:t>
      </w:r>
      <w:r w:rsidR="00A038D9">
        <w:t xml:space="preserve">work builds on existing guidance and priorities established </w:t>
      </w:r>
      <w:r w:rsidR="0060550F">
        <w:t xml:space="preserve">in the department, including through aid programming in a number of divisions across </w:t>
      </w:r>
      <w:r w:rsidR="00566EF1">
        <w:t>DFAT</w:t>
      </w:r>
      <w:r w:rsidR="0060550F">
        <w:t>.</w:t>
      </w:r>
    </w:p>
    <w:p w14:paraId="6687DBA0" w14:textId="6486B020" w:rsidR="00F56790" w:rsidRDefault="00124DA8" w:rsidP="00124DA8">
      <w:r>
        <w:t>This evaluation</w:t>
      </w:r>
      <w:r w:rsidR="0060550F">
        <w:t xml:space="preserve"> </w:t>
      </w:r>
      <w:r w:rsidR="00816636">
        <w:t>examines 26</w:t>
      </w:r>
      <w:r w:rsidR="0060550F">
        <w:t xml:space="preserve"> investment</w:t>
      </w:r>
      <w:r w:rsidR="00816636">
        <w:t>s</w:t>
      </w:r>
      <w:r w:rsidR="0060550F">
        <w:t xml:space="preserve"> </w:t>
      </w:r>
      <w:r w:rsidR="00816636">
        <w:t xml:space="preserve">valued at </w:t>
      </w:r>
      <w:r w:rsidR="00551B2A">
        <w:t>$</w:t>
      </w:r>
      <w:r w:rsidR="00816636">
        <w:t>641.2 million</w:t>
      </w:r>
      <w:r w:rsidR="00F56790">
        <w:t xml:space="preserve">, with investments commencing between 2006 </w:t>
      </w:r>
      <w:r w:rsidR="00947B0F">
        <w:t xml:space="preserve">and </w:t>
      </w:r>
      <w:r w:rsidR="00F56790">
        <w:t>2014</w:t>
      </w:r>
      <w:r w:rsidR="0060550F">
        <w:t xml:space="preserve">. </w:t>
      </w:r>
      <w:r w:rsidR="00566EF1">
        <w:t>It</w:t>
      </w:r>
      <w:r w:rsidR="00F56790">
        <w:t xml:space="preserve"> also uses a review of international experience to provide a theory-based framework for good practice climate change integration against which the Australian experience is considered. Data collection and analysis was conducted from April to September 2017.</w:t>
      </w:r>
    </w:p>
    <w:p w14:paraId="3D4E37F3" w14:textId="05016F1B" w:rsidR="00124DA8" w:rsidRPr="00FB62D1" w:rsidRDefault="0060550F" w:rsidP="00124DA8">
      <w:pPr>
        <w:rPr>
          <w:color w:val="FF0000"/>
        </w:rPr>
      </w:pPr>
      <w:r>
        <w:t>The evaluation</w:t>
      </w:r>
      <w:r w:rsidR="00124DA8">
        <w:t xml:space="preserve"> is forward</w:t>
      </w:r>
      <w:r w:rsidR="00071B6F">
        <w:t>-</w:t>
      </w:r>
      <w:r w:rsidR="00124DA8">
        <w:t xml:space="preserve">looking and designed to help guide and strengthen </w:t>
      </w:r>
      <w:r w:rsidR="00071B6F">
        <w:t xml:space="preserve">DFAT’s </w:t>
      </w:r>
      <w:r w:rsidR="00124DA8">
        <w:t>efforts to shape an integration agenda on climate change action. It identifies key factors that led to the success of earlier investments within bilateral and regional aid programming. It also considers DFAT’s internal structures, systems and processes</w:t>
      </w:r>
      <w:r w:rsidR="00071B6F">
        <w:t>,</w:t>
      </w:r>
      <w:r w:rsidR="00124DA8">
        <w:t xml:space="preserve"> and whether these enabl</w:t>
      </w:r>
      <w:r w:rsidR="00071B6F">
        <w:t>e</w:t>
      </w:r>
      <w:r w:rsidR="00124DA8">
        <w:t xml:space="preserve"> effective climate change programming in existing development priorities (mainstreaming) and in specific programming (targeted investments).</w:t>
      </w:r>
      <w:r w:rsidR="00F508EE">
        <w:t xml:space="preserve"> </w:t>
      </w:r>
      <w:r w:rsidR="00124DA8">
        <w:t>Australia’s engagement in multilateral climate change for</w:t>
      </w:r>
      <w:r w:rsidR="00071B6F">
        <w:t>ums</w:t>
      </w:r>
      <w:r w:rsidR="00124DA8">
        <w:t>, such as the Green Climate Fund, is outside the scope of this evaluation.</w:t>
      </w:r>
    </w:p>
    <w:p w14:paraId="7CC53F56" w14:textId="416A31B7" w:rsidR="00124DA8" w:rsidRDefault="00124DA8" w:rsidP="00124DA8">
      <w:r>
        <w:t>Prior to the Paris Agreement, t</w:t>
      </w:r>
      <w:r w:rsidRPr="00921F8D">
        <w:t xml:space="preserve">he </w:t>
      </w:r>
      <w:r w:rsidRPr="00EB1F6B">
        <w:t xml:space="preserve">priority </w:t>
      </w:r>
      <w:r>
        <w:t xml:space="preserve">given to </w:t>
      </w:r>
      <w:r w:rsidRPr="00EB1F6B">
        <w:t xml:space="preserve">climate change in </w:t>
      </w:r>
      <w:r>
        <w:t>Australia’s</w:t>
      </w:r>
      <w:r w:rsidRPr="00EB1F6B">
        <w:t xml:space="preserve"> </w:t>
      </w:r>
      <w:r>
        <w:t xml:space="preserve">aid program varied. Between 2010 </w:t>
      </w:r>
      <w:r w:rsidR="00F508EE">
        <w:t>and</w:t>
      </w:r>
      <w:r>
        <w:t xml:space="preserve"> 2013, Australia was a contributor to the global initiative of Fast-start Finance, spending </w:t>
      </w:r>
      <w:r w:rsidR="00566EF1">
        <w:t>$</w:t>
      </w:r>
      <w:r>
        <w:t>599</w:t>
      </w:r>
      <w:r w:rsidR="00B050B4">
        <w:t xml:space="preserve"> </w:t>
      </w:r>
      <w:r>
        <w:t>m</w:t>
      </w:r>
      <w:r w:rsidR="00B050B4">
        <w:t>illion</w:t>
      </w:r>
      <w:r>
        <w:t xml:space="preserve"> on climate</w:t>
      </w:r>
      <w:r w:rsidR="00071B6F">
        <w:t>-</w:t>
      </w:r>
      <w:r>
        <w:t>related aid investments over this period.</w:t>
      </w:r>
      <w:r w:rsidR="00F508EE">
        <w:t xml:space="preserve"> </w:t>
      </w:r>
      <w:r>
        <w:t>From this time to the Paris Agreement at the end of 2015</w:t>
      </w:r>
      <w:r w:rsidR="00071B6F">
        <w:t>,</w:t>
      </w:r>
      <w:r>
        <w:t xml:space="preserve"> Australia did not provide dedicated </w:t>
      </w:r>
      <w:r w:rsidR="00F46A58">
        <w:t xml:space="preserve">additional </w:t>
      </w:r>
      <w:r>
        <w:t>climate financing</w:t>
      </w:r>
      <w:r w:rsidR="0003398E">
        <w:t>,</w:t>
      </w:r>
      <w:r>
        <w:t xml:space="preserve"> with climate action subsumed into general aid programming. Many of the innovative Fast-start partnerships and modes of implementation were not pursued</w:t>
      </w:r>
      <w:r w:rsidR="00071B6F">
        <w:t>,</w:t>
      </w:r>
      <w:r>
        <w:t xml:space="preserve"> as programming choices were decentralised to Posts </w:t>
      </w:r>
      <w:r w:rsidR="002C3A58">
        <w:t xml:space="preserve">which </w:t>
      </w:r>
      <w:r>
        <w:t>also had to manage reductions in the broader aid program at this time. There was also a loss of climate-specific expertise from the aid program as funding and priorities changed.</w:t>
      </w:r>
      <w:r w:rsidR="00F508EE">
        <w:t xml:space="preserve"> </w:t>
      </w:r>
      <w:r>
        <w:t>Following the Paris Agreement, there has been a renewed focus on climate change assistance.</w:t>
      </w:r>
    </w:p>
    <w:p w14:paraId="361BD32F" w14:textId="3F9E39F9" w:rsidR="00F508EE" w:rsidRDefault="00124DA8" w:rsidP="00124DA8">
      <w:r>
        <w:lastRenderedPageBreak/>
        <w:t xml:space="preserve">Globally, other donors are continuing to shift their thinking and practice on climate change assistance. A review of the experience of bilateral donor agencies highlighted five domains of good practice on climate change integration: </w:t>
      </w:r>
      <w:r w:rsidR="000D577D">
        <w:t>strategic clarity</w:t>
      </w:r>
      <w:r w:rsidR="002C3A58">
        <w:t>;</w:t>
      </w:r>
      <w:r>
        <w:t xml:space="preserve"> financing</w:t>
      </w:r>
      <w:r w:rsidR="002C3A58">
        <w:t>;</w:t>
      </w:r>
      <w:r>
        <w:t xml:space="preserve"> design and approval processes</w:t>
      </w:r>
      <w:r w:rsidR="002C3A58">
        <w:t>;</w:t>
      </w:r>
      <w:r>
        <w:t xml:space="preserve"> monitori</w:t>
      </w:r>
      <w:r w:rsidR="006C6FAF">
        <w:t>ng and evaluation</w:t>
      </w:r>
      <w:r w:rsidR="00DC4E78">
        <w:t xml:space="preserve"> (M&amp;E)</w:t>
      </w:r>
      <w:r w:rsidR="002C3A58">
        <w:t>;</w:t>
      </w:r>
      <w:r w:rsidR="006C6FAF">
        <w:t xml:space="preserve"> and policy</w:t>
      </w:r>
      <w:r>
        <w:t xml:space="preserve"> </w:t>
      </w:r>
      <w:r w:rsidR="005D0770">
        <w:t xml:space="preserve">commitment </w:t>
      </w:r>
      <w:r>
        <w:t xml:space="preserve">and leadership. The evaluation used the findings of this review to help </w:t>
      </w:r>
      <w:r w:rsidR="00104C9A">
        <w:t>form</w:t>
      </w:r>
      <w:r>
        <w:t xml:space="preserve"> recommendations to strengthen investment</w:t>
      </w:r>
      <w:r w:rsidR="0003398E">
        <w:t>-level</w:t>
      </w:r>
      <w:r>
        <w:t xml:space="preserve"> operations and organisation</w:t>
      </w:r>
      <w:r w:rsidR="00071B6F">
        <w:t>-</w:t>
      </w:r>
      <w:r>
        <w:t>wide capabilities for climate change integration. The evaluation also led to a limited number of strategic recommendations for DFAT to consider in relation to longer-term direction setting and ambition.</w:t>
      </w:r>
    </w:p>
    <w:p w14:paraId="64817F2C" w14:textId="77777777" w:rsidR="00F508EE" w:rsidRDefault="008C0F1B" w:rsidP="00B90A97">
      <w:pPr>
        <w:tabs>
          <w:tab w:val="clear" w:pos="992"/>
          <w:tab w:val="clear" w:pos="1418"/>
        </w:tabs>
        <w:spacing w:after="160" w:line="259" w:lineRule="auto"/>
        <w:rPr>
          <w:b/>
          <w:sz w:val="38"/>
          <w:szCs w:val="38"/>
        </w:rPr>
      </w:pPr>
      <w:r w:rsidRPr="00B90A97">
        <w:rPr>
          <w:b/>
          <w:sz w:val="38"/>
          <w:szCs w:val="38"/>
        </w:rPr>
        <w:t>I</w:t>
      </w:r>
      <w:r w:rsidR="00095277" w:rsidRPr="00B90A97">
        <w:rPr>
          <w:b/>
          <w:sz w:val="38"/>
          <w:szCs w:val="38"/>
        </w:rPr>
        <w:t>nvestment quality and impact</w:t>
      </w:r>
    </w:p>
    <w:p w14:paraId="56F8B7AA" w14:textId="456F498E" w:rsidR="00124DA8" w:rsidRDefault="00124DA8" w:rsidP="00124DA8">
      <w:r>
        <w:t>The evaluation reviewed 26 investments (targeted and mainstreamed climate change objectives)</w:t>
      </w:r>
      <w:r w:rsidR="00071B6F">
        <w:t>,</w:t>
      </w:r>
      <w:r>
        <w:t xml:space="preserve"> representing a total value of </w:t>
      </w:r>
      <w:r w:rsidR="00566EF1">
        <w:t>$</w:t>
      </w:r>
      <w:r>
        <w:t>641.2</w:t>
      </w:r>
      <w:r w:rsidR="00853C16">
        <w:t xml:space="preserve"> </w:t>
      </w:r>
      <w:r>
        <w:t>m</w:t>
      </w:r>
      <w:r w:rsidR="00853C16">
        <w:t>illion</w:t>
      </w:r>
      <w:r>
        <w:t xml:space="preserve">. </w:t>
      </w:r>
      <w:r w:rsidR="00AA0AC9">
        <w:t>The k</w:t>
      </w:r>
      <w:r>
        <w:t>ey findings from this analysis are:</w:t>
      </w:r>
    </w:p>
    <w:p w14:paraId="1EAAD831" w14:textId="2B2A3B38" w:rsidR="00071B6F" w:rsidRDefault="00124DA8" w:rsidP="00196D53">
      <w:pPr>
        <w:pStyle w:val="ListBullet"/>
      </w:pPr>
      <w:r>
        <w:rPr>
          <w:b/>
        </w:rPr>
        <w:t xml:space="preserve">Around </w:t>
      </w:r>
      <w:r w:rsidR="002C3A58">
        <w:rPr>
          <w:b/>
        </w:rPr>
        <w:t>one-</w:t>
      </w:r>
      <w:r>
        <w:rPr>
          <w:b/>
        </w:rPr>
        <w:t>third of investments demonstrated outcomes relating to</w:t>
      </w:r>
      <w:r w:rsidRPr="00B93A9D">
        <w:rPr>
          <w:b/>
        </w:rPr>
        <w:t xml:space="preserve"> reduced vulnerability </w:t>
      </w:r>
      <w:r>
        <w:rPr>
          <w:b/>
        </w:rPr>
        <w:t>or increased resilience</w:t>
      </w:r>
      <w:r w:rsidRPr="00B93A9D">
        <w:rPr>
          <w:b/>
        </w:rPr>
        <w:t>.</w:t>
      </w:r>
      <w:r w:rsidR="00F508EE">
        <w:rPr>
          <w:b/>
          <w:i/>
        </w:rPr>
        <w:t xml:space="preserve"> </w:t>
      </w:r>
      <w:r>
        <w:t>Nine investments (35</w:t>
      </w:r>
      <w:r w:rsidR="005951DE">
        <w:t xml:space="preserve"> per cent</w:t>
      </w:r>
      <w:r>
        <w:t>) have achieved</w:t>
      </w:r>
      <w:r w:rsidR="002C3A58">
        <w:t>,</w:t>
      </w:r>
      <w:r>
        <w:t xml:space="preserve"> or are likely to achieve</w:t>
      </w:r>
      <w:r w:rsidR="002C3A58">
        <w:t>,</w:t>
      </w:r>
      <w:r>
        <w:t xml:space="preserve"> significant, climate-relevant outcomes relative to their size and scope. A further nine investments have achieved</w:t>
      </w:r>
      <w:r w:rsidR="002C3A58">
        <w:t>,</w:t>
      </w:r>
      <w:r>
        <w:t xml:space="preserve"> or are likely to achieve</w:t>
      </w:r>
      <w:r w:rsidR="002C3A58">
        <w:t>,</w:t>
      </w:r>
      <w:r>
        <w:t xml:space="preserve"> some modest, climate-relevant outcomes. Benefits have been delivered in a range of adaptation areas: use of scientific data as a basis for better adaptation and risk planning; more integrated (cross-departmental) planning, legislative and policy changes that will have long-term, nation</w:t>
      </w:r>
      <w:r w:rsidR="006A6368">
        <w:t>wide</w:t>
      </w:r>
      <w:r>
        <w:t xml:space="preserve"> benefits; and tools and approaches to better manage the risks and plan for climate effects. Whil</w:t>
      </w:r>
      <w:r w:rsidR="00745448">
        <w:t>e</w:t>
      </w:r>
      <w:r>
        <w:t xml:space="preserve"> mitigation investments are less represented in the sample</w:t>
      </w:r>
      <w:r w:rsidR="00745448">
        <w:t>,</w:t>
      </w:r>
      <w:r>
        <w:t xml:space="preserve"> there are some mitigation benefits through encouraging the uptake of solar, hydropower and off-grid energy to reduce the consumption of fossil fuels.</w:t>
      </w:r>
    </w:p>
    <w:p w14:paraId="1B3484B4" w14:textId="0D8055B7" w:rsidR="00124DA8" w:rsidRDefault="00784D98" w:rsidP="00784D98">
      <w:pPr>
        <w:pStyle w:val="ListBullet"/>
        <w:numPr>
          <w:ilvl w:val="0"/>
          <w:numId w:val="0"/>
        </w:numPr>
        <w:tabs>
          <w:tab w:val="left" w:pos="284"/>
        </w:tabs>
        <w:ind w:left="284"/>
      </w:pPr>
      <w:r>
        <w:t>In general, t</w:t>
      </w:r>
      <w:r w:rsidR="00124DA8">
        <w:t xml:space="preserve">he majority of investments proved effective in delivering outputs but overall there was </w:t>
      </w:r>
      <w:r w:rsidR="00D436A4">
        <w:t>less evidence</w:t>
      </w:r>
      <w:r w:rsidR="00124DA8">
        <w:t xml:space="preserve"> of this translating to results at the outcome level</w:t>
      </w:r>
      <w:r w:rsidR="002C3A58">
        <w:t>—</w:t>
      </w:r>
      <w:r w:rsidR="00124DA8">
        <w:t xml:space="preserve">the focus of the evaluation. There were, however, some notable examples of targeted climate change investments delivering highly significant outcomes. The effective investments </w:t>
      </w:r>
      <w:r w:rsidR="00745448">
        <w:t xml:space="preserve">were developed using the </w:t>
      </w:r>
      <w:r w:rsidR="00124DA8">
        <w:t xml:space="preserve">internal design and technical support capabilities </w:t>
      </w:r>
      <w:r w:rsidR="00745448">
        <w:t xml:space="preserve">that were </w:t>
      </w:r>
      <w:r w:rsidR="00124DA8">
        <w:t>in place up until 2013.</w:t>
      </w:r>
    </w:p>
    <w:p w14:paraId="48D3AA02" w14:textId="5A7EE800" w:rsidR="00F508EE" w:rsidRDefault="00124DA8" w:rsidP="00196D53">
      <w:pPr>
        <w:pStyle w:val="ListBullet"/>
      </w:pPr>
      <w:r w:rsidRPr="00196D53">
        <w:rPr>
          <w:rStyle w:val="Strong"/>
        </w:rPr>
        <w:t>There are a number of success factors characterising those investments assessed to be more likely to produce significant climate benefits.</w:t>
      </w:r>
      <w:r>
        <w:t xml:space="preserve"> These relate to the longevity of the engagement and the strength of the partnerships that are engendered between organisations, taking a development-first approach</w:t>
      </w:r>
      <w:r w:rsidR="00785ABF">
        <w:rPr>
          <w:rStyle w:val="FootnoteReference"/>
        </w:rPr>
        <w:footnoteReference w:id="2"/>
      </w:r>
      <w:r>
        <w:t xml:space="preserve"> to climate and disaster risk management, and being linked to partner country priorities with explicit climate or disaster</w:t>
      </w:r>
      <w:r w:rsidR="00745448">
        <w:t>-</w:t>
      </w:r>
      <w:r>
        <w:t>related outcomes. An example of a strongly performing investment is the Sustainable Development Investment Portfolio</w:t>
      </w:r>
      <w:r w:rsidR="00AE7BA5">
        <w:t xml:space="preserve"> (SDIP)</w:t>
      </w:r>
      <w:r>
        <w:t xml:space="preserve"> which was designed with a </w:t>
      </w:r>
      <w:r w:rsidR="002C3A58">
        <w:t>12</w:t>
      </w:r>
      <w:r w:rsidR="00F508EE">
        <w:t>-</w:t>
      </w:r>
      <w:r>
        <w:t xml:space="preserve">year strategy. The Pacific Risk Resilience </w:t>
      </w:r>
      <w:r w:rsidR="00E15A24">
        <w:t>P</w:t>
      </w:r>
      <w:r>
        <w:t>rogram</w:t>
      </w:r>
      <w:r w:rsidR="00E15A24">
        <w:t xml:space="preserve"> (PRRP)</w:t>
      </w:r>
      <w:r>
        <w:t xml:space="preserve"> demonstrates the benefits of a development</w:t>
      </w:r>
      <w:r w:rsidR="00745448">
        <w:t>-</w:t>
      </w:r>
      <w:r>
        <w:t xml:space="preserve">first approach to climate change and </w:t>
      </w:r>
      <w:bookmarkStart w:id="16" w:name="_Hlk518559890"/>
      <w:r w:rsidR="00DC4E78">
        <w:t>DRR</w:t>
      </w:r>
      <w:r>
        <w:t>.</w:t>
      </w:r>
      <w:bookmarkEnd w:id="16"/>
    </w:p>
    <w:p w14:paraId="2AF237D7" w14:textId="3B32CDC0" w:rsidR="00F508EE" w:rsidRDefault="00124DA8" w:rsidP="00196D53">
      <w:pPr>
        <w:pStyle w:val="ListBullet"/>
      </w:pPr>
      <w:r w:rsidRPr="00196D53">
        <w:rPr>
          <w:rStyle w:val="Strong"/>
        </w:rPr>
        <w:t>Experience points to some important detracting factors.</w:t>
      </w:r>
      <w:r>
        <w:t xml:space="preserve"> These include climate change objectives being added to </w:t>
      </w:r>
      <w:r w:rsidR="001B27C5">
        <w:t xml:space="preserve">an </w:t>
      </w:r>
      <w:r>
        <w:t>already congested</w:t>
      </w:r>
      <w:r w:rsidR="001B27C5">
        <w:t xml:space="preserve"> list of</w:t>
      </w:r>
      <w:r>
        <w:t xml:space="preserve"> project</w:t>
      </w:r>
      <w:r w:rsidR="001B27C5">
        <w:t xml:space="preserve"> objectives</w:t>
      </w:r>
      <w:r>
        <w:t xml:space="preserve">, </w:t>
      </w:r>
      <w:r w:rsidR="00947B0F">
        <w:t xml:space="preserve">and </w:t>
      </w:r>
      <w:r>
        <w:t xml:space="preserve">projects with unclear </w:t>
      </w:r>
      <w:r w:rsidRPr="00B25F97">
        <w:t xml:space="preserve">objectives </w:t>
      </w:r>
      <w:r>
        <w:t>or</w:t>
      </w:r>
      <w:r w:rsidRPr="00B25F97">
        <w:t xml:space="preserve"> </w:t>
      </w:r>
      <w:r>
        <w:t xml:space="preserve">a </w:t>
      </w:r>
      <w:r w:rsidRPr="00B25F97">
        <w:t>lack of cl</w:t>
      </w:r>
      <w:r>
        <w:t xml:space="preserve">arity on what success looked like </w:t>
      </w:r>
      <w:r w:rsidRPr="00B25F97">
        <w:t>in t</w:t>
      </w:r>
      <w:r>
        <w:t>erms of climate change outcomes.</w:t>
      </w:r>
    </w:p>
    <w:p w14:paraId="295508C0" w14:textId="2D7F1BB4" w:rsidR="00124DA8" w:rsidRDefault="00124DA8" w:rsidP="00100570">
      <w:pPr>
        <w:pStyle w:val="ListBullet"/>
      </w:pPr>
      <w:r w:rsidRPr="00FF1544">
        <w:rPr>
          <w:rStyle w:val="Strong"/>
        </w:rPr>
        <w:lastRenderedPageBreak/>
        <w:t>Technical assistance that is strategically positioned and blends skills and knowledge in both development and science has an important role to play at country and regional level</w:t>
      </w:r>
      <w:r w:rsidR="00727DF1">
        <w:rPr>
          <w:rStyle w:val="Strong"/>
        </w:rPr>
        <w:t>s</w:t>
      </w:r>
      <w:r w:rsidRPr="00FF1544">
        <w:rPr>
          <w:rStyle w:val="Strong"/>
        </w:rPr>
        <w:t>.</w:t>
      </w:r>
      <w:r>
        <w:t xml:space="preserve"> Australian technical, research and policy bodies have highly regarded skills and strong regional relationships, </w:t>
      </w:r>
      <w:r w:rsidR="00AA0AC9">
        <w:t xml:space="preserve">two things that are </w:t>
      </w:r>
      <w:r>
        <w:t xml:space="preserve">essential for climate change action in the aid program. These skills and relationships could be </w:t>
      </w:r>
      <w:r w:rsidR="00AA0AC9">
        <w:t>better</w:t>
      </w:r>
      <w:r>
        <w:t xml:space="preserve"> capitalised on</w:t>
      </w:r>
      <w:r w:rsidR="0060550F">
        <w:t xml:space="preserve"> through </w:t>
      </w:r>
      <w:r w:rsidR="00874AB8">
        <w:t>increased coordination among departments</w:t>
      </w:r>
      <w:r w:rsidR="00947B0F">
        <w:t xml:space="preserve">. </w:t>
      </w:r>
    </w:p>
    <w:p w14:paraId="3E3D78D4" w14:textId="26A974FA" w:rsidR="00F508EE" w:rsidRDefault="00124DA8" w:rsidP="00100570">
      <w:pPr>
        <w:pStyle w:val="ListBullet"/>
      </w:pPr>
      <w:r w:rsidRPr="00100570">
        <w:rPr>
          <w:rStyle w:val="Strong"/>
        </w:rPr>
        <w:t xml:space="preserve">There is scope for a </w:t>
      </w:r>
      <w:r w:rsidR="00301224">
        <w:rPr>
          <w:rStyle w:val="Strong"/>
        </w:rPr>
        <w:t>stronger</w:t>
      </w:r>
      <w:r w:rsidRPr="00100570">
        <w:rPr>
          <w:rStyle w:val="Strong"/>
        </w:rPr>
        <w:t xml:space="preserve"> whole</w:t>
      </w:r>
      <w:r w:rsidR="00AA0AC9">
        <w:rPr>
          <w:rStyle w:val="Strong"/>
        </w:rPr>
        <w:t>-</w:t>
      </w:r>
      <w:r w:rsidRPr="00100570">
        <w:rPr>
          <w:rStyle w:val="Strong"/>
        </w:rPr>
        <w:t>of</w:t>
      </w:r>
      <w:r w:rsidR="00AA0AC9">
        <w:rPr>
          <w:rStyle w:val="Strong"/>
        </w:rPr>
        <w:t>-</w:t>
      </w:r>
      <w:r w:rsidRPr="00100570">
        <w:rPr>
          <w:rStyle w:val="Strong"/>
        </w:rPr>
        <w:t>government approach to climate change in international development.</w:t>
      </w:r>
      <w:r>
        <w:t xml:space="preserve"> </w:t>
      </w:r>
      <w:r w:rsidR="00104C9A" w:rsidRPr="00D91929">
        <w:t>Australian technical, research and policy bodies have highly regarded skills</w:t>
      </w:r>
      <w:r w:rsidR="00104C9A">
        <w:t>, institutional capacity</w:t>
      </w:r>
      <w:r w:rsidR="00104C9A" w:rsidRPr="00D91929">
        <w:t xml:space="preserve"> and strong regional relationships to offer, which </w:t>
      </w:r>
      <w:r w:rsidR="00104C9A">
        <w:t>are</w:t>
      </w:r>
      <w:r w:rsidR="00104C9A" w:rsidRPr="00D91929">
        <w:t xml:space="preserve"> essential for climate change action in the aid program. There is opportunity to strengthen a whole</w:t>
      </w:r>
      <w:r w:rsidR="00104C9A">
        <w:t>-</w:t>
      </w:r>
      <w:r w:rsidR="00104C9A" w:rsidRPr="00D91929">
        <w:t>of</w:t>
      </w:r>
      <w:r w:rsidR="00104C9A">
        <w:t>-</w:t>
      </w:r>
      <w:r w:rsidR="00104C9A" w:rsidRPr="00D91929">
        <w:t xml:space="preserve">government approach to climate change, underpinned </w:t>
      </w:r>
      <w:r w:rsidR="00104C9A">
        <w:t xml:space="preserve">by clear strategic goals </w:t>
      </w:r>
      <w:r w:rsidR="00104C9A" w:rsidRPr="00D91929">
        <w:t>and framed by a DFAT</w:t>
      </w:r>
      <w:r w:rsidR="00104C9A">
        <w:t>-</w:t>
      </w:r>
      <w:r w:rsidR="00104C9A" w:rsidRPr="00D91929">
        <w:t>led monitoring</w:t>
      </w:r>
      <w:r w:rsidR="00104C9A">
        <w:t xml:space="preserve"> framework</w:t>
      </w:r>
      <w:r w:rsidR="00104C9A" w:rsidRPr="00D91929">
        <w:t>, ensuring technical and development agencies work in partnership towards a common policy framework to deliver effective climate change programs</w:t>
      </w:r>
      <w:r>
        <w:t>.</w:t>
      </w:r>
    </w:p>
    <w:p w14:paraId="57513701" w14:textId="0056811E" w:rsidR="00F508EE" w:rsidRDefault="00124DA8" w:rsidP="00100570">
      <w:pPr>
        <w:pStyle w:val="ListBullet"/>
      </w:pPr>
      <w:r w:rsidRPr="00100570">
        <w:rPr>
          <w:rStyle w:val="Strong"/>
        </w:rPr>
        <w:t xml:space="preserve">Gender and broader social inclusion dimensions to climate change action could </w:t>
      </w:r>
      <w:r w:rsidR="00FB7C54">
        <w:rPr>
          <w:rStyle w:val="Strong"/>
        </w:rPr>
        <w:t xml:space="preserve">be </w:t>
      </w:r>
      <w:r w:rsidRPr="00100570">
        <w:rPr>
          <w:rStyle w:val="Strong"/>
        </w:rPr>
        <w:t>more effectively followed through.</w:t>
      </w:r>
      <w:r w:rsidR="00F508EE">
        <w:rPr>
          <w:b/>
          <w:i/>
        </w:rPr>
        <w:t xml:space="preserve"> </w:t>
      </w:r>
      <w:r>
        <w:t xml:space="preserve">Gender outcomes were evident in around </w:t>
      </w:r>
      <w:r w:rsidR="002C3A58">
        <w:t>one-</w:t>
      </w:r>
      <w:r>
        <w:t>third of investments that had climate-related objectives. Whil</w:t>
      </w:r>
      <w:r w:rsidR="00AA0AC9">
        <w:t>e</w:t>
      </w:r>
      <w:r>
        <w:t xml:space="preserve"> gender may have been in the design, in many cases it was neither implemented nor monitored appropriately to describe or demonstrate outcomes. Gender outcomes were stronger in investments where DFAT was actively involved. There is little evidence of disability-inclusive development outcomes in investments where climate is a primary objective.</w:t>
      </w:r>
    </w:p>
    <w:p w14:paraId="61B800F8" w14:textId="5B11A886" w:rsidR="00124DA8" w:rsidRPr="00EC59EF" w:rsidRDefault="00124DA8" w:rsidP="00100570">
      <w:pPr>
        <w:pStyle w:val="ListBullet"/>
      </w:pPr>
      <w:r w:rsidRPr="00100570">
        <w:rPr>
          <w:rStyle w:val="Strong"/>
        </w:rPr>
        <w:t>Past investments show a tentative relationship between climate change and Australian security, trade, economic and diplomatic interests</w:t>
      </w:r>
      <w:r w:rsidR="00F508EE" w:rsidRPr="00100570">
        <w:rPr>
          <w:rStyle w:val="Strong"/>
        </w:rPr>
        <w:t>.</w:t>
      </w:r>
      <w:r w:rsidR="00F508EE">
        <w:rPr>
          <w:i/>
        </w:rPr>
        <w:t xml:space="preserve"> </w:t>
      </w:r>
      <w:r>
        <w:t>The</w:t>
      </w:r>
      <w:r w:rsidRPr="00EC59EF">
        <w:t>re is evidence of intersections, compl</w:t>
      </w:r>
      <w:r w:rsidR="002C3A58">
        <w:t>e</w:t>
      </w:r>
      <w:r w:rsidRPr="00EC59EF">
        <w:t xml:space="preserve">mentary and </w:t>
      </w:r>
      <w:r>
        <w:t>conflicting</w:t>
      </w:r>
      <w:r w:rsidRPr="00EC59EF">
        <w:t xml:space="preserve">, between Australia’s </w:t>
      </w:r>
      <w:r>
        <w:t xml:space="preserve">climate change investments and other national policy interests, and of missed </w:t>
      </w:r>
      <w:r w:rsidRPr="00EC59EF">
        <w:t>opportunities</w:t>
      </w:r>
      <w:r>
        <w:t xml:space="preserve">. </w:t>
      </w:r>
      <w:r w:rsidR="00301224">
        <w:t>There are significant opportunities in the integrated department to explicitly consider how trade and foreign policy can be furthered through climate change investments, and vice-versa</w:t>
      </w:r>
      <w:r>
        <w:t>.</w:t>
      </w:r>
    </w:p>
    <w:p w14:paraId="6B0A219A" w14:textId="77777777" w:rsidR="006D4D98" w:rsidRPr="00B90A97" w:rsidRDefault="0070517F" w:rsidP="00B90A97">
      <w:pPr>
        <w:tabs>
          <w:tab w:val="clear" w:pos="992"/>
          <w:tab w:val="clear" w:pos="1418"/>
        </w:tabs>
        <w:spacing w:after="160" w:line="259" w:lineRule="auto"/>
        <w:rPr>
          <w:b/>
          <w:sz w:val="38"/>
          <w:szCs w:val="38"/>
        </w:rPr>
      </w:pPr>
      <w:r w:rsidRPr="00B90A97">
        <w:rPr>
          <w:b/>
          <w:sz w:val="38"/>
          <w:szCs w:val="38"/>
        </w:rPr>
        <w:t>Climate change integration</w:t>
      </w:r>
    </w:p>
    <w:p w14:paraId="7EB80648" w14:textId="4F7B137F" w:rsidR="00124DA8" w:rsidRDefault="00FB7C54" w:rsidP="00124DA8">
      <w:r>
        <w:t xml:space="preserve">A review of </w:t>
      </w:r>
      <w:r w:rsidR="00124DA8">
        <w:t>international</w:t>
      </w:r>
      <w:r w:rsidR="00124DA8" w:rsidRPr="00A37CB9">
        <w:t xml:space="preserve"> </w:t>
      </w:r>
      <w:r>
        <w:t>donors</w:t>
      </w:r>
      <w:r w:rsidR="00124DA8">
        <w:t xml:space="preserve"> </w:t>
      </w:r>
      <w:r w:rsidR="00E55C30">
        <w:t>identified good practice</w:t>
      </w:r>
      <w:r w:rsidR="00124DA8" w:rsidRPr="00A37CB9">
        <w:t xml:space="preserve"> </w:t>
      </w:r>
      <w:r>
        <w:t>on</w:t>
      </w:r>
      <w:r w:rsidR="00124DA8" w:rsidRPr="00A37CB9">
        <w:t xml:space="preserve"> climate change </w:t>
      </w:r>
      <w:r w:rsidR="00124DA8">
        <w:t xml:space="preserve">integration </w:t>
      </w:r>
      <w:r>
        <w:t xml:space="preserve">that could </w:t>
      </w:r>
      <w:r w:rsidR="00124DA8" w:rsidRPr="00A37CB9">
        <w:t>in</w:t>
      </w:r>
      <w:r>
        <w:t>form</w:t>
      </w:r>
      <w:r w:rsidR="00124DA8" w:rsidRPr="00A37CB9">
        <w:t xml:space="preserve"> Australia’s </w:t>
      </w:r>
      <w:r>
        <w:t>approach</w:t>
      </w:r>
      <w:r w:rsidR="00124DA8">
        <w:t>. In drawing conclusions, the evaluation team recognised that DFAT is only 18 months into an integration process and that there ha</w:t>
      </w:r>
      <w:r w:rsidR="00672D03">
        <w:t>ve</w:t>
      </w:r>
      <w:r w:rsidR="00124DA8">
        <w:t xml:space="preserve"> been early efforts led by DFAT’s</w:t>
      </w:r>
      <w:r w:rsidR="00A07F2D">
        <w:t xml:space="preserve"> Sustainability and </w:t>
      </w:r>
      <w:r w:rsidR="00124DA8">
        <w:t xml:space="preserve">Climate Change Branch to address gaps in the </w:t>
      </w:r>
      <w:r w:rsidR="00101E5E">
        <w:t>d</w:t>
      </w:r>
      <w:r w:rsidR="00124DA8">
        <w:t>epartment’s systems and capabilities. The</w:t>
      </w:r>
      <w:r w:rsidR="00124DA8" w:rsidRPr="00A37CB9">
        <w:t xml:space="preserve"> review also provided </w:t>
      </w:r>
      <w:r w:rsidR="00124DA8">
        <w:t>useful</w:t>
      </w:r>
      <w:r w:rsidR="00124DA8" w:rsidRPr="00A37CB9">
        <w:t xml:space="preserve"> insights into </w:t>
      </w:r>
      <w:r w:rsidR="00124DA8">
        <w:t>the</w:t>
      </w:r>
      <w:r w:rsidR="00124DA8" w:rsidRPr="00A37CB9">
        <w:t xml:space="preserve"> approaches adopted by other </w:t>
      </w:r>
      <w:r w:rsidR="00124DA8" w:rsidRPr="00044019">
        <w:t>OECD DAC</w:t>
      </w:r>
      <w:r w:rsidR="00124DA8" w:rsidRPr="00A37CB9">
        <w:t xml:space="preserve"> membe</w:t>
      </w:r>
      <w:r w:rsidR="00124DA8">
        <w:t>rs</w:t>
      </w:r>
      <w:r w:rsidR="00124DA8" w:rsidRPr="00A37CB9">
        <w:t xml:space="preserve"> in relation to climate change and their development assistance programs. </w:t>
      </w:r>
      <w:r w:rsidR="000709A1">
        <w:t>The k</w:t>
      </w:r>
      <w:r w:rsidR="00124DA8">
        <w:t>ey findings from the review are:</w:t>
      </w:r>
    </w:p>
    <w:p w14:paraId="74D5E360" w14:textId="3FA7D3FE" w:rsidR="00F508EE" w:rsidRDefault="00124DA8" w:rsidP="00FF1544">
      <w:pPr>
        <w:pStyle w:val="ListBullet"/>
      </w:pPr>
      <w:r>
        <w:rPr>
          <w:b/>
        </w:rPr>
        <w:t xml:space="preserve">Despite recent gains, </w:t>
      </w:r>
      <w:r w:rsidRPr="00E077FE">
        <w:rPr>
          <w:b/>
        </w:rPr>
        <w:t xml:space="preserve">Australia </w:t>
      </w:r>
      <w:r w:rsidR="005D74E8">
        <w:rPr>
          <w:b/>
        </w:rPr>
        <w:t xml:space="preserve">has an </w:t>
      </w:r>
      <w:r w:rsidR="002A752F">
        <w:rPr>
          <w:b/>
        </w:rPr>
        <w:t>opportunity to learn from its bilateral peers</w:t>
      </w:r>
      <w:r>
        <w:t>.</w:t>
      </w:r>
    </w:p>
    <w:p w14:paraId="4C80D761" w14:textId="247C7D7C" w:rsidR="00124DA8" w:rsidRPr="00A37CB9" w:rsidRDefault="000709A1" w:rsidP="00FF1544">
      <w:pPr>
        <w:pStyle w:val="ListBullet"/>
      </w:pPr>
      <w:r w:rsidRPr="00FF1544">
        <w:rPr>
          <w:rStyle w:val="Strong"/>
        </w:rPr>
        <w:t>A</w:t>
      </w:r>
      <w:r w:rsidR="00124DA8" w:rsidRPr="00FF1544">
        <w:rPr>
          <w:rStyle w:val="Strong"/>
        </w:rPr>
        <w:t>n overarching strategy and implementation plan that articulates climate change goals and objectives for the aid program</w:t>
      </w:r>
      <w:r w:rsidRPr="00FF1544">
        <w:rPr>
          <w:rStyle w:val="Strong"/>
        </w:rPr>
        <w:t xml:space="preserve"> would provide greater </w:t>
      </w:r>
      <w:r w:rsidR="000D577D">
        <w:rPr>
          <w:rStyle w:val="Strong"/>
        </w:rPr>
        <w:t>strategic clarity</w:t>
      </w:r>
      <w:r w:rsidRPr="00FF1544">
        <w:rPr>
          <w:rStyle w:val="Strong"/>
        </w:rPr>
        <w:t xml:space="preserve"> </w:t>
      </w:r>
      <w:r w:rsidR="00784D98">
        <w:rPr>
          <w:rStyle w:val="Strong"/>
        </w:rPr>
        <w:t xml:space="preserve">on </w:t>
      </w:r>
      <w:r w:rsidR="00784D98" w:rsidRPr="00FF1544">
        <w:rPr>
          <w:rStyle w:val="Strong"/>
        </w:rPr>
        <w:t xml:space="preserve">climate change action </w:t>
      </w:r>
      <w:r w:rsidRPr="00FF1544">
        <w:rPr>
          <w:rStyle w:val="Strong"/>
        </w:rPr>
        <w:t>within DFAT</w:t>
      </w:r>
      <w:r w:rsidR="00124DA8" w:rsidRPr="00FF1544">
        <w:rPr>
          <w:rStyle w:val="Strong"/>
        </w:rPr>
        <w:t>.</w:t>
      </w:r>
    </w:p>
    <w:p w14:paraId="05D387AC" w14:textId="56E6B917" w:rsidR="00F508EE" w:rsidRDefault="00124DA8" w:rsidP="00FF1544">
      <w:pPr>
        <w:pStyle w:val="ListBullet"/>
      </w:pPr>
      <w:r w:rsidRPr="00FF1544">
        <w:rPr>
          <w:rStyle w:val="Strong"/>
        </w:rPr>
        <w:t xml:space="preserve">The internal design and approval processes and staff capacity within DFAT for supporting climate change action require </w:t>
      </w:r>
      <w:r w:rsidR="00784D98">
        <w:rPr>
          <w:rStyle w:val="Strong"/>
        </w:rPr>
        <w:t>strengthening</w:t>
      </w:r>
      <w:r w:rsidRPr="00FF1544">
        <w:rPr>
          <w:rStyle w:val="Strong"/>
        </w:rPr>
        <w:t>.</w:t>
      </w:r>
    </w:p>
    <w:p w14:paraId="1F088663" w14:textId="6C57864A" w:rsidR="00F508EE" w:rsidRDefault="00124DA8" w:rsidP="00FF1544">
      <w:pPr>
        <w:pStyle w:val="ListBullet"/>
      </w:pPr>
      <w:r w:rsidRPr="00FF1544">
        <w:rPr>
          <w:rStyle w:val="Strong"/>
        </w:rPr>
        <w:t xml:space="preserve">DFAT </w:t>
      </w:r>
      <w:r w:rsidR="00DB7393">
        <w:rPr>
          <w:rStyle w:val="Strong"/>
        </w:rPr>
        <w:t>should routinely collect</w:t>
      </w:r>
      <w:r w:rsidRPr="00FF1544">
        <w:rPr>
          <w:rStyle w:val="Strong"/>
        </w:rPr>
        <w:t xml:space="preserve"> the information</w:t>
      </w:r>
      <w:r w:rsidR="0025296A">
        <w:rPr>
          <w:rStyle w:val="Strong"/>
        </w:rPr>
        <w:t xml:space="preserve"> required</w:t>
      </w:r>
      <w:r w:rsidRPr="00FF1544">
        <w:rPr>
          <w:rStyle w:val="Strong"/>
        </w:rPr>
        <w:t xml:space="preserve"> to track the effectiveness of climate change investments at a whole-of-aid level</w:t>
      </w:r>
      <w:r w:rsidR="00F508EE" w:rsidRPr="00FF1544">
        <w:rPr>
          <w:rStyle w:val="Strong"/>
        </w:rPr>
        <w:t>.</w:t>
      </w:r>
    </w:p>
    <w:p w14:paraId="25184095" w14:textId="74C7A40A" w:rsidR="006D4D98" w:rsidRPr="00B90A97" w:rsidRDefault="00944261" w:rsidP="00B90A97">
      <w:pPr>
        <w:tabs>
          <w:tab w:val="clear" w:pos="992"/>
          <w:tab w:val="clear" w:pos="1418"/>
        </w:tabs>
        <w:spacing w:after="160" w:line="259" w:lineRule="auto"/>
        <w:rPr>
          <w:b/>
          <w:sz w:val="38"/>
          <w:szCs w:val="38"/>
        </w:rPr>
      </w:pPr>
      <w:r w:rsidRPr="00B90A97">
        <w:rPr>
          <w:b/>
          <w:sz w:val="38"/>
          <w:szCs w:val="38"/>
        </w:rPr>
        <w:lastRenderedPageBreak/>
        <w:t>D</w:t>
      </w:r>
      <w:r w:rsidR="00911E11" w:rsidRPr="00B90A97">
        <w:rPr>
          <w:b/>
          <w:sz w:val="38"/>
          <w:szCs w:val="38"/>
        </w:rPr>
        <w:t>irection setting</w:t>
      </w:r>
      <w:r w:rsidR="00F508EE">
        <w:rPr>
          <w:b/>
          <w:sz w:val="38"/>
          <w:szCs w:val="38"/>
        </w:rPr>
        <w:t>—</w:t>
      </w:r>
      <w:r w:rsidR="00101E5E">
        <w:rPr>
          <w:b/>
          <w:sz w:val="38"/>
          <w:szCs w:val="38"/>
        </w:rPr>
        <w:t>r</w:t>
      </w:r>
      <w:r w:rsidR="00B92638">
        <w:rPr>
          <w:b/>
          <w:sz w:val="38"/>
          <w:szCs w:val="38"/>
        </w:rPr>
        <w:t>egional and</w:t>
      </w:r>
      <w:r w:rsidR="0025296A" w:rsidRPr="00B90A97">
        <w:rPr>
          <w:b/>
          <w:sz w:val="38"/>
          <w:szCs w:val="38"/>
        </w:rPr>
        <w:t xml:space="preserve"> </w:t>
      </w:r>
      <w:r w:rsidRPr="00B90A97">
        <w:rPr>
          <w:b/>
          <w:sz w:val="38"/>
          <w:szCs w:val="38"/>
        </w:rPr>
        <w:t xml:space="preserve">global </w:t>
      </w:r>
      <w:r w:rsidR="0025296A">
        <w:rPr>
          <w:b/>
          <w:sz w:val="38"/>
          <w:szCs w:val="38"/>
        </w:rPr>
        <w:t>context</w:t>
      </w:r>
      <w:r w:rsidR="00B92638">
        <w:rPr>
          <w:b/>
          <w:sz w:val="38"/>
          <w:szCs w:val="38"/>
        </w:rPr>
        <w:t>s</w:t>
      </w:r>
    </w:p>
    <w:p w14:paraId="2E726BF2" w14:textId="0552DF2F" w:rsidR="00F508EE" w:rsidRDefault="00124DA8" w:rsidP="00124DA8">
      <w:r>
        <w:t>The challenge</w:t>
      </w:r>
      <w:r w:rsidR="00F508EE">
        <w:t>—</w:t>
      </w:r>
      <w:r>
        <w:t>globally, regionally and nationally</w:t>
      </w:r>
      <w:r w:rsidR="00F508EE">
        <w:t>—</w:t>
      </w:r>
      <w:r>
        <w:t xml:space="preserve">is to move to a more </w:t>
      </w:r>
      <w:r w:rsidR="00DB7393">
        <w:t>climate-</w:t>
      </w:r>
      <w:r>
        <w:t xml:space="preserve">resilient </w:t>
      </w:r>
      <w:r w:rsidR="00DB7393">
        <w:t>condition</w:t>
      </w:r>
      <w:r>
        <w:t xml:space="preserve">, and to achieve a stabilisation and then reduction in global emissions. Australia has been contributing to this transition through ratification of the Paris Agreement, setting its own domestic targets and </w:t>
      </w:r>
      <w:r w:rsidR="00920522">
        <w:t>providing</w:t>
      </w:r>
      <w:r w:rsidRPr="00884687">
        <w:t xml:space="preserve"> development assistance.</w:t>
      </w:r>
    </w:p>
    <w:p w14:paraId="76A3F841" w14:textId="4DC6001F" w:rsidR="00F508EE" w:rsidRDefault="00124DA8" w:rsidP="00124DA8">
      <w:r w:rsidRPr="00884687">
        <w:t>Combat</w:t>
      </w:r>
      <w:r w:rsidR="00F0034F">
        <w:t>ing</w:t>
      </w:r>
      <w:r w:rsidRPr="00884687">
        <w:t xml:space="preserve"> climate change lies at the core of the S</w:t>
      </w:r>
      <w:r w:rsidR="00101E5E">
        <w:t>DGs</w:t>
      </w:r>
      <w:r w:rsidR="00F508EE">
        <w:t>—</w:t>
      </w:r>
      <w:r w:rsidRPr="00884687">
        <w:t xml:space="preserve">both as a single </w:t>
      </w:r>
      <w:r w:rsidR="00E141F8">
        <w:t>g</w:t>
      </w:r>
      <w:r w:rsidRPr="00884687">
        <w:t>oal (SDG 13</w:t>
      </w:r>
      <w:r w:rsidR="00E141F8">
        <w:t xml:space="preserve">: </w:t>
      </w:r>
      <w:r w:rsidRPr="00884687">
        <w:t>Tak</w:t>
      </w:r>
      <w:r w:rsidR="00E141F8">
        <w:t>e</w:t>
      </w:r>
      <w:r w:rsidRPr="00884687">
        <w:t xml:space="preserve"> urgent action to combat climate change</w:t>
      </w:r>
      <w:r w:rsidR="00E141F8">
        <w:t xml:space="preserve"> and its impacts</w:t>
      </w:r>
      <w:r w:rsidRPr="00884687">
        <w:t>)</w:t>
      </w:r>
      <w:r w:rsidR="00F508EE" w:rsidRPr="007C1C86">
        <w:t>—</w:t>
      </w:r>
      <w:r w:rsidRPr="00884687">
        <w:t xml:space="preserve">and as a critical </w:t>
      </w:r>
      <w:r>
        <w:t>factor in achieving seven</w:t>
      </w:r>
      <w:r w:rsidRPr="00884687">
        <w:t xml:space="preserve"> other SDGs. Australia </w:t>
      </w:r>
      <w:r w:rsidR="00F97FF7">
        <w:t>launched</w:t>
      </w:r>
      <w:r w:rsidRPr="00884687">
        <w:t xml:space="preserve"> its first Voluntary National Review of progress against the goals in </w:t>
      </w:r>
      <w:r w:rsidR="00F97FF7">
        <w:t xml:space="preserve">June </w:t>
      </w:r>
      <w:r w:rsidRPr="00884687">
        <w:t>2018</w:t>
      </w:r>
      <w:r w:rsidR="00E141F8">
        <w:t xml:space="preserve">, </w:t>
      </w:r>
      <w:r w:rsidRPr="00884687">
        <w:t>includ</w:t>
      </w:r>
      <w:r w:rsidR="00E141F8">
        <w:t>ing</w:t>
      </w:r>
      <w:r w:rsidRPr="00884687">
        <w:t xml:space="preserve"> assessing efforts within Australia and where Australia has contributed to the efforts of other countries.</w:t>
      </w:r>
    </w:p>
    <w:p w14:paraId="0B77D18C" w14:textId="3546DB48" w:rsidR="00F508EE" w:rsidRDefault="00124DA8" w:rsidP="00124DA8">
      <w:bookmarkStart w:id="17" w:name="_Hlk518559268"/>
      <w:r w:rsidRPr="00884687">
        <w:t xml:space="preserve">Australian government organisations </w:t>
      </w:r>
      <w:bookmarkEnd w:id="17"/>
      <w:r w:rsidRPr="00884687">
        <w:t xml:space="preserve">have continued to operate in the region, supporting developing partner countries to respond to pressing climate challenges, helping to build their capacity and providing </w:t>
      </w:r>
      <w:r w:rsidR="006C51BC">
        <w:t xml:space="preserve">access to </w:t>
      </w:r>
      <w:r w:rsidRPr="00884687">
        <w:t>climate change</w:t>
      </w:r>
      <w:r w:rsidR="006C51BC">
        <w:t>-related</w:t>
      </w:r>
      <w:r w:rsidRPr="00884687">
        <w:t xml:space="preserve"> science and technology. Partner country priorities are expressed through their </w:t>
      </w:r>
      <w:bookmarkStart w:id="18" w:name="_Hlk518559287"/>
      <w:r w:rsidRPr="00884687">
        <w:t xml:space="preserve">Intended Nationally Determined Contributions (INDCs) </w:t>
      </w:r>
      <w:bookmarkEnd w:id="18"/>
      <w:r w:rsidRPr="00884687">
        <w:t xml:space="preserve">and their </w:t>
      </w:r>
      <w:r w:rsidR="00101E5E">
        <w:t>n</w:t>
      </w:r>
      <w:r w:rsidRPr="00884687">
        <w:t xml:space="preserve">ational </w:t>
      </w:r>
      <w:r w:rsidR="00101E5E">
        <w:t>a</w:t>
      </w:r>
      <w:r w:rsidRPr="00884687">
        <w:t xml:space="preserve">ction </w:t>
      </w:r>
      <w:r w:rsidR="00101E5E">
        <w:t>p</w:t>
      </w:r>
      <w:r w:rsidRPr="00884687">
        <w:t>lans. Whil</w:t>
      </w:r>
      <w:r w:rsidR="006C51BC">
        <w:t>e</w:t>
      </w:r>
      <w:r w:rsidRPr="00884687">
        <w:t xml:space="preserve"> many countries have INDCs, countries vary in the extent </w:t>
      </w:r>
      <w:r w:rsidR="00E850B3">
        <w:t>to which</w:t>
      </w:r>
      <w:r w:rsidRPr="00884687">
        <w:t xml:space="preserve"> </w:t>
      </w:r>
      <w:r w:rsidR="00101E5E">
        <w:t>these</w:t>
      </w:r>
      <w:r w:rsidR="00101E5E" w:rsidRPr="00884687">
        <w:t xml:space="preserve"> </w:t>
      </w:r>
      <w:r w:rsidRPr="00884687">
        <w:t>have been integrated</w:t>
      </w:r>
      <w:r w:rsidR="0065748E">
        <w:t xml:space="preserve"> within</w:t>
      </w:r>
      <w:r w:rsidR="00E850B3">
        <w:t>,</w:t>
      </w:r>
      <w:r w:rsidR="0065748E">
        <w:t xml:space="preserve"> </w:t>
      </w:r>
      <w:r w:rsidR="001D71F1">
        <w:t xml:space="preserve">and </w:t>
      </w:r>
      <w:r w:rsidR="0065748E">
        <w:t xml:space="preserve">ultimately </w:t>
      </w:r>
      <w:r w:rsidR="001D71F1">
        <w:t xml:space="preserve">implemented </w:t>
      </w:r>
      <w:r w:rsidR="00E850B3">
        <w:t>as part of</w:t>
      </w:r>
      <w:r w:rsidR="00471984">
        <w:t>,</w:t>
      </w:r>
      <w:r w:rsidR="00E850B3">
        <w:t xml:space="preserve"> their</w:t>
      </w:r>
      <w:r w:rsidRPr="00884687">
        <w:t xml:space="preserve"> national development planning. </w:t>
      </w:r>
      <w:r w:rsidR="00B92638">
        <w:t>Countries’ own priorities</w:t>
      </w:r>
      <w:r w:rsidRPr="00884687">
        <w:t>, wherever they are in their journey on this process, provide a natural point of alignment for development partners.</w:t>
      </w:r>
    </w:p>
    <w:p w14:paraId="0EAEAC1F" w14:textId="78400871" w:rsidR="00F508EE" w:rsidRDefault="00124DA8" w:rsidP="00124DA8">
      <w:r>
        <w:t xml:space="preserve">Australia is </w:t>
      </w:r>
      <w:r w:rsidR="0060550F">
        <w:t>developing a strategic approach</w:t>
      </w:r>
      <w:r w:rsidR="00101E5E">
        <w:t>—</w:t>
      </w:r>
      <w:r>
        <w:t>post</w:t>
      </w:r>
      <w:r w:rsidR="00101E5E">
        <w:t xml:space="preserve"> </w:t>
      </w:r>
      <w:r>
        <w:t>Paris Agreement</w:t>
      </w:r>
      <w:r w:rsidR="00101E5E">
        <w:t>—</w:t>
      </w:r>
      <w:r w:rsidR="0060550F">
        <w:t xml:space="preserve">to how </w:t>
      </w:r>
      <w:r>
        <w:t xml:space="preserve">it </w:t>
      </w:r>
      <w:r w:rsidR="00E850B3">
        <w:t xml:space="preserve">will </w:t>
      </w:r>
      <w:r w:rsidRPr="00EB6CD3">
        <w:t>assist developing countries to</w:t>
      </w:r>
      <w:r w:rsidR="0060550F">
        <w:t xml:space="preserve"> build resilience </w:t>
      </w:r>
      <w:r w:rsidRPr="00EB6CD3">
        <w:t>to climate change and adopt less carbon</w:t>
      </w:r>
      <w:r w:rsidR="004840B3">
        <w:t>-</w:t>
      </w:r>
      <w:r w:rsidRPr="00EB6CD3">
        <w:t>intensive development pathways</w:t>
      </w:r>
      <w:r>
        <w:t xml:space="preserve">. The direction and ambition it sets in relation to this will in turn dictate the </w:t>
      </w:r>
      <w:r w:rsidRPr="00EB6CD3">
        <w:t xml:space="preserve">nature </w:t>
      </w:r>
      <w:r>
        <w:t xml:space="preserve">and scale </w:t>
      </w:r>
      <w:r w:rsidRPr="00EB6CD3">
        <w:t xml:space="preserve">of the </w:t>
      </w:r>
      <w:r w:rsidR="00DC4E78">
        <w:t>d</w:t>
      </w:r>
      <w:r>
        <w:t xml:space="preserve">epartment’s integration </w:t>
      </w:r>
      <w:r w:rsidRPr="00EB6CD3">
        <w:t>challenge</w:t>
      </w:r>
      <w:r w:rsidR="0060550F">
        <w:t xml:space="preserve">. This will be </w:t>
      </w:r>
      <w:r w:rsidR="004840B3">
        <w:t xml:space="preserve">outlined in </w:t>
      </w:r>
      <w:r>
        <w:t xml:space="preserve">the climate change </w:t>
      </w:r>
      <w:r w:rsidR="0060550F">
        <w:t xml:space="preserve">and development </w:t>
      </w:r>
      <w:r>
        <w:t>strategy</w:t>
      </w:r>
      <w:r w:rsidR="0060550F">
        <w:t>, integration</w:t>
      </w:r>
      <w:r>
        <w:t xml:space="preserve"> and implementation plan expected in</w:t>
      </w:r>
      <w:r w:rsidR="0060550F">
        <w:t xml:space="preserve"> </w:t>
      </w:r>
      <w:r>
        <w:t>2018.</w:t>
      </w:r>
    </w:p>
    <w:p w14:paraId="5E0DE6F2" w14:textId="4B90BF47" w:rsidR="00124DA8" w:rsidRDefault="00C60DAD" w:rsidP="0003398E">
      <w:r>
        <w:t>Australia stands to benefit from the lessons learn</w:t>
      </w:r>
      <w:r w:rsidR="00F0034F">
        <w:t>ed</w:t>
      </w:r>
      <w:r>
        <w:t xml:space="preserve"> by its </w:t>
      </w:r>
      <w:r w:rsidR="00124DA8">
        <w:t xml:space="preserve">peers </w:t>
      </w:r>
      <w:r>
        <w:t>in</w:t>
      </w:r>
      <w:r w:rsidR="00124DA8">
        <w:t xml:space="preserve"> wrestl</w:t>
      </w:r>
      <w:r>
        <w:t>ing</w:t>
      </w:r>
      <w:r w:rsidR="00124DA8">
        <w:t xml:space="preserve"> with the challenges of integrating climate change into their own practice. Strong and visible senior leadership on climate change across the </w:t>
      </w:r>
      <w:r w:rsidR="00DC4E78">
        <w:t>d</w:t>
      </w:r>
      <w:r w:rsidR="00124DA8">
        <w:t>epartment will support success.</w:t>
      </w:r>
    </w:p>
    <w:p w14:paraId="5661A8E8" w14:textId="77777777" w:rsidR="00CA6886" w:rsidRPr="00727DF1" w:rsidRDefault="00CA6886" w:rsidP="0003398E">
      <w:pPr>
        <w:rPr>
          <w:b/>
          <w:sz w:val="38"/>
          <w:szCs w:val="38"/>
        </w:rPr>
      </w:pPr>
      <w:bookmarkStart w:id="19" w:name="_Hlk519300285"/>
      <w:r w:rsidRPr="00727DF1">
        <w:rPr>
          <w:b/>
          <w:sz w:val="38"/>
          <w:szCs w:val="38"/>
        </w:rPr>
        <w:t>Recommendations</w:t>
      </w:r>
    </w:p>
    <w:p w14:paraId="78D0F1DD" w14:textId="0E12AD33" w:rsidR="004776E0" w:rsidRPr="00FF1544" w:rsidRDefault="004776E0" w:rsidP="004776E0">
      <w:pPr>
        <w:rPr>
          <w:i/>
        </w:rPr>
      </w:pPr>
      <w:bookmarkStart w:id="20" w:name="_Hlk519303009"/>
      <w:r w:rsidRPr="00C44324">
        <w:rPr>
          <w:i/>
        </w:rPr>
        <w:t>Setting and pursuing a</w:t>
      </w:r>
      <w:r w:rsidRPr="00FF1544">
        <w:rPr>
          <w:i/>
        </w:rPr>
        <w:t xml:space="preserve"> longer-term strategic direction</w:t>
      </w:r>
    </w:p>
    <w:p w14:paraId="02DBA0EE" w14:textId="27C61D45" w:rsidR="004776E0" w:rsidRPr="00F31C9C" w:rsidRDefault="004776E0" w:rsidP="00AF5EBB">
      <w:pPr>
        <w:pStyle w:val="ListParagraph"/>
        <w:numPr>
          <w:ilvl w:val="0"/>
          <w:numId w:val="11"/>
        </w:numPr>
        <w:spacing w:after="0" w:line="240" w:lineRule="auto"/>
      </w:pPr>
      <w:r w:rsidRPr="00F31C9C">
        <w:rPr>
          <w:b/>
        </w:rPr>
        <w:t xml:space="preserve">DFAT should </w:t>
      </w:r>
      <w:r w:rsidR="00FD7AC2">
        <w:rPr>
          <w:b/>
        </w:rPr>
        <w:t xml:space="preserve">further </w:t>
      </w:r>
      <w:r w:rsidRPr="00F31C9C">
        <w:rPr>
          <w:b/>
        </w:rPr>
        <w:t>increase the profile of climate change in its</w:t>
      </w:r>
      <w:r w:rsidR="00FD7AC2">
        <w:rPr>
          <w:b/>
        </w:rPr>
        <w:t xml:space="preserve"> overarching aid narrative and </w:t>
      </w:r>
      <w:r w:rsidRPr="00F31C9C">
        <w:rPr>
          <w:b/>
        </w:rPr>
        <w:t xml:space="preserve">develop a strategy that clearly articulates its vision, goals and </w:t>
      </w:r>
      <w:r w:rsidR="00784D98" w:rsidRPr="00F31C9C">
        <w:rPr>
          <w:b/>
        </w:rPr>
        <w:t>approach to implementation</w:t>
      </w:r>
      <w:r w:rsidRPr="00F31C9C">
        <w:rPr>
          <w:b/>
        </w:rPr>
        <w:t xml:space="preserve"> </w:t>
      </w:r>
      <w:r w:rsidRPr="00F31C9C">
        <w:rPr>
          <w:rFonts w:eastAsia="Times New Roman"/>
          <w:b/>
        </w:rPr>
        <w:t>for climate change action across the aid program</w:t>
      </w:r>
      <w:r w:rsidRPr="00F31C9C">
        <w:rPr>
          <w:rFonts w:eastAsia="Times New Roman"/>
        </w:rPr>
        <w:t xml:space="preserve">. </w:t>
      </w:r>
      <w:r w:rsidRPr="00F31C9C">
        <w:t xml:space="preserve">The </w:t>
      </w:r>
      <w:r w:rsidR="00784D98" w:rsidRPr="00F31C9C">
        <w:t>strategy</w:t>
      </w:r>
      <w:r w:rsidRPr="00F31C9C">
        <w:t xml:space="preserve"> should include:</w:t>
      </w:r>
    </w:p>
    <w:p w14:paraId="3EB97565" w14:textId="1D619514" w:rsidR="004776E0" w:rsidRPr="00F31C9C" w:rsidRDefault="004776E0" w:rsidP="00AF5EBB">
      <w:pPr>
        <w:numPr>
          <w:ilvl w:val="0"/>
          <w:numId w:val="8"/>
        </w:numPr>
        <w:tabs>
          <w:tab w:val="clear" w:pos="992"/>
          <w:tab w:val="clear" w:pos="1418"/>
        </w:tabs>
        <w:spacing w:line="276" w:lineRule="auto"/>
        <w:ind w:left="1418"/>
        <w:contextualSpacing/>
        <w:rPr>
          <w:color w:val="auto"/>
          <w:sz w:val="22"/>
          <w:lang w:val="en-GB"/>
        </w:rPr>
      </w:pPr>
      <w:r w:rsidRPr="00F31C9C">
        <w:rPr>
          <w:color w:val="auto"/>
          <w:sz w:val="22"/>
          <w:lang w:val="en-GB"/>
        </w:rPr>
        <w:t>a recognition of the importance of integrating climate change and DRR efforts</w:t>
      </w:r>
    </w:p>
    <w:p w14:paraId="6BD9809A" w14:textId="77777777" w:rsidR="004776E0" w:rsidRPr="00F31C9C" w:rsidRDefault="004776E0" w:rsidP="00AF5EBB">
      <w:pPr>
        <w:numPr>
          <w:ilvl w:val="0"/>
          <w:numId w:val="8"/>
        </w:numPr>
        <w:tabs>
          <w:tab w:val="clear" w:pos="992"/>
          <w:tab w:val="clear" w:pos="1418"/>
        </w:tabs>
        <w:spacing w:line="276" w:lineRule="auto"/>
        <w:ind w:left="1418"/>
        <w:contextualSpacing/>
        <w:rPr>
          <w:color w:val="auto"/>
          <w:sz w:val="22"/>
          <w:lang w:val="en-GB"/>
        </w:rPr>
      </w:pPr>
      <w:r w:rsidRPr="00F31C9C">
        <w:rPr>
          <w:color w:val="auto"/>
          <w:sz w:val="22"/>
          <w:lang w:val="en-GB"/>
        </w:rPr>
        <w:t>clear identification of sectors likely to benefit most from early mainstreaming efforts</w:t>
      </w:r>
    </w:p>
    <w:p w14:paraId="12278DC8" w14:textId="77777777" w:rsidR="004776E0" w:rsidRPr="00F31C9C" w:rsidRDefault="004776E0" w:rsidP="00AF5EBB">
      <w:pPr>
        <w:numPr>
          <w:ilvl w:val="0"/>
          <w:numId w:val="8"/>
        </w:numPr>
        <w:tabs>
          <w:tab w:val="clear" w:pos="992"/>
          <w:tab w:val="clear" w:pos="1418"/>
        </w:tabs>
        <w:spacing w:line="276" w:lineRule="auto"/>
        <w:ind w:left="1418"/>
        <w:contextualSpacing/>
        <w:rPr>
          <w:color w:val="auto"/>
          <w:sz w:val="22"/>
          <w:lang w:val="en-GB"/>
        </w:rPr>
      </w:pPr>
      <w:r w:rsidRPr="00F31C9C">
        <w:rPr>
          <w:color w:val="auto"/>
          <w:sz w:val="22"/>
          <w:lang w:val="en-GB"/>
        </w:rPr>
        <w:t>overarching corporate-level indicators against which performance towards achieving climate change goals and objectives can be assessed over time</w:t>
      </w:r>
    </w:p>
    <w:p w14:paraId="1276F29F" w14:textId="67CB5FB5" w:rsidR="004776E0" w:rsidRPr="00F31C9C" w:rsidRDefault="002E4049" w:rsidP="000460D0">
      <w:pPr>
        <w:numPr>
          <w:ilvl w:val="0"/>
          <w:numId w:val="8"/>
        </w:numPr>
        <w:tabs>
          <w:tab w:val="clear" w:pos="992"/>
          <w:tab w:val="clear" w:pos="1418"/>
        </w:tabs>
        <w:spacing w:line="276" w:lineRule="auto"/>
        <w:ind w:left="1418"/>
        <w:contextualSpacing/>
        <w:rPr>
          <w:color w:val="auto"/>
          <w:sz w:val="22"/>
          <w:lang w:val="en-GB"/>
        </w:rPr>
      </w:pPr>
      <w:r w:rsidRPr="00F31C9C">
        <w:rPr>
          <w:color w:val="auto"/>
          <w:sz w:val="22"/>
          <w:lang w:val="en-GB"/>
        </w:rPr>
        <w:t>consideration of</w:t>
      </w:r>
      <w:r w:rsidR="004776E0" w:rsidRPr="00F31C9C">
        <w:rPr>
          <w:color w:val="auto"/>
          <w:sz w:val="22"/>
          <w:lang w:val="en-GB"/>
        </w:rPr>
        <w:t xml:space="preserve"> an accompanying public</w:t>
      </w:r>
      <w:r w:rsidRPr="00F31C9C">
        <w:rPr>
          <w:color w:val="auto"/>
          <w:sz w:val="22"/>
          <w:lang w:val="en-GB"/>
        </w:rPr>
        <w:t>,</w:t>
      </w:r>
      <w:r w:rsidR="004776E0" w:rsidRPr="00F31C9C">
        <w:rPr>
          <w:color w:val="auto"/>
          <w:sz w:val="22"/>
          <w:lang w:val="en-GB"/>
        </w:rPr>
        <w:t xml:space="preserve"> annual climate change and DRR progress report that clearly identifies what Australia’s </w:t>
      </w:r>
      <w:bookmarkStart w:id="21" w:name="_Hlk518559819"/>
      <w:r w:rsidR="004776E0" w:rsidRPr="00F31C9C">
        <w:rPr>
          <w:color w:val="auto"/>
          <w:sz w:val="22"/>
          <w:lang w:val="en-GB"/>
        </w:rPr>
        <w:t xml:space="preserve">ODA </w:t>
      </w:r>
      <w:bookmarkEnd w:id="21"/>
      <w:r w:rsidR="004776E0" w:rsidRPr="00F31C9C">
        <w:rPr>
          <w:color w:val="auto"/>
          <w:sz w:val="22"/>
          <w:lang w:val="en-GB"/>
        </w:rPr>
        <w:t>investments have achieved in terms of building resilience to climate change (and natural disaster more broadly) and reducing greenhouse gas emissions in partner countries.</w:t>
      </w:r>
    </w:p>
    <w:p w14:paraId="784683BE" w14:textId="3DA160E0" w:rsidR="004776E0" w:rsidRPr="00F31C9C" w:rsidRDefault="004776E0" w:rsidP="00AF5EBB">
      <w:pPr>
        <w:pStyle w:val="ListParagraph"/>
        <w:numPr>
          <w:ilvl w:val="0"/>
          <w:numId w:val="11"/>
        </w:numPr>
        <w:spacing w:after="0"/>
      </w:pPr>
      <w:r w:rsidRPr="00F31C9C">
        <w:rPr>
          <w:b/>
        </w:rPr>
        <w:lastRenderedPageBreak/>
        <w:t xml:space="preserve">DFAT’s strategy for climate change in the aid program should consider </w:t>
      </w:r>
      <w:r w:rsidR="00ED6F18" w:rsidRPr="00F31C9C">
        <w:rPr>
          <w:b/>
        </w:rPr>
        <w:t xml:space="preserve">strengthening </w:t>
      </w:r>
      <w:r w:rsidRPr="00F31C9C">
        <w:rPr>
          <w:b/>
        </w:rPr>
        <w:t>whole-of-government engagement</w:t>
      </w:r>
      <w:r w:rsidRPr="00F31C9C">
        <w:t xml:space="preserve"> (that is, through partnership</w:t>
      </w:r>
      <w:r w:rsidR="00044019">
        <w:t>s</w:t>
      </w:r>
      <w:r w:rsidRPr="00F31C9C">
        <w:t xml:space="preserve"> based on an articulated vision and game plan). In particular, </w:t>
      </w:r>
      <w:r w:rsidR="00044019">
        <w:t>the strategy</w:t>
      </w:r>
      <w:r w:rsidR="00044019" w:rsidRPr="00F31C9C">
        <w:t xml:space="preserve"> </w:t>
      </w:r>
      <w:r w:rsidRPr="00F31C9C">
        <w:t>should reflect continuing support for Australia’s strong technical, research and policy agencies to build relationships with partner countries which sustain a focus on development outcomes. Co-design of investments (as opposed to subcontracting their implementation), and active engagement of all partners in investment governance is critical.</w:t>
      </w:r>
    </w:p>
    <w:p w14:paraId="6052A179" w14:textId="2F0B823F" w:rsidR="004E01FC" w:rsidRPr="00F31C9C" w:rsidRDefault="004E01FC" w:rsidP="00AF5EBB">
      <w:pPr>
        <w:pStyle w:val="ListParagraph"/>
        <w:numPr>
          <w:ilvl w:val="0"/>
          <w:numId w:val="11"/>
        </w:numPr>
        <w:spacing w:after="0"/>
        <w:rPr>
          <w:b/>
        </w:rPr>
      </w:pPr>
      <w:r w:rsidRPr="00F31C9C">
        <w:rPr>
          <w:b/>
        </w:rPr>
        <w:t xml:space="preserve">DFAT </w:t>
      </w:r>
      <w:r w:rsidR="002E4049" w:rsidRPr="00F31C9C">
        <w:rPr>
          <w:b/>
        </w:rPr>
        <w:t xml:space="preserve">should </w:t>
      </w:r>
      <w:r w:rsidR="00B67235" w:rsidRPr="00F31C9C">
        <w:rPr>
          <w:b/>
        </w:rPr>
        <w:t>invest</w:t>
      </w:r>
      <w:r w:rsidR="002E4049" w:rsidRPr="00F31C9C">
        <w:rPr>
          <w:b/>
        </w:rPr>
        <w:t xml:space="preserve"> greater effort </w:t>
      </w:r>
      <w:r w:rsidR="00B67235" w:rsidRPr="00F31C9C">
        <w:rPr>
          <w:b/>
        </w:rPr>
        <w:t>in</w:t>
      </w:r>
      <w:r w:rsidR="002E4049" w:rsidRPr="00F31C9C">
        <w:rPr>
          <w:b/>
        </w:rPr>
        <w:t xml:space="preserve"> </w:t>
      </w:r>
      <w:r w:rsidRPr="00F31C9C">
        <w:rPr>
          <w:b/>
        </w:rPr>
        <w:t>inform</w:t>
      </w:r>
      <w:r w:rsidR="002E4049" w:rsidRPr="00F31C9C">
        <w:rPr>
          <w:b/>
        </w:rPr>
        <w:t>ing</w:t>
      </w:r>
      <w:r w:rsidRPr="00F31C9C">
        <w:rPr>
          <w:b/>
        </w:rPr>
        <w:t xml:space="preserve"> development partners of Australia’s actions to address climate change, beyond aid, as part of broader diplomatic engagement.</w:t>
      </w:r>
    </w:p>
    <w:p w14:paraId="443902E3" w14:textId="77777777" w:rsidR="004776E0" w:rsidRPr="00885EDF" w:rsidRDefault="004776E0" w:rsidP="004776E0">
      <w:pPr>
        <w:rPr>
          <w:color w:val="auto"/>
        </w:rPr>
      </w:pPr>
      <w:r w:rsidRPr="00885EDF">
        <w:rPr>
          <w:i/>
          <w:color w:val="auto"/>
        </w:rPr>
        <w:br/>
        <w:t>Improving DFAT organisational capacity for climate change integration—to facilitate the climate change integration process within the parameters it is currently working to.</w:t>
      </w:r>
    </w:p>
    <w:p w14:paraId="5A30A9D6" w14:textId="06822D7E" w:rsidR="004776E0" w:rsidRPr="00885EDF" w:rsidRDefault="004776E0" w:rsidP="00AF5EBB">
      <w:pPr>
        <w:pStyle w:val="ListParagraph"/>
        <w:numPr>
          <w:ilvl w:val="0"/>
          <w:numId w:val="11"/>
        </w:numPr>
        <w:spacing w:after="0"/>
      </w:pPr>
      <w:r w:rsidRPr="00885EDF">
        <w:rPr>
          <w:b/>
        </w:rPr>
        <w:t xml:space="preserve">Sustainability and Climate Change Branch should engage with other divisions within DFAT to </w:t>
      </w:r>
      <w:r w:rsidR="00FD7AC2">
        <w:rPr>
          <w:b/>
        </w:rPr>
        <w:t>further develop</w:t>
      </w:r>
      <w:r w:rsidRPr="00885EDF">
        <w:rPr>
          <w:b/>
        </w:rPr>
        <w:t xml:space="preserve"> a set of program management </w:t>
      </w:r>
      <w:r w:rsidR="00FD7AC2">
        <w:rPr>
          <w:b/>
        </w:rPr>
        <w:t xml:space="preserve">practices </w:t>
      </w:r>
      <w:r w:rsidRPr="00885EDF">
        <w:rPr>
          <w:b/>
        </w:rPr>
        <w:t>that are fit</w:t>
      </w:r>
      <w:r w:rsidR="00BB0AF4">
        <w:rPr>
          <w:b/>
        </w:rPr>
        <w:t>-</w:t>
      </w:r>
      <w:r w:rsidRPr="00885EDF">
        <w:rPr>
          <w:b/>
        </w:rPr>
        <w:t>for</w:t>
      </w:r>
      <w:r w:rsidR="00BB0AF4">
        <w:rPr>
          <w:b/>
        </w:rPr>
        <w:t>-</w:t>
      </w:r>
      <w:r w:rsidRPr="00885EDF">
        <w:rPr>
          <w:b/>
        </w:rPr>
        <w:t>purpose for the demands of the forthcoming climate change</w:t>
      </w:r>
      <w:r w:rsidR="00C45C30">
        <w:rPr>
          <w:b/>
        </w:rPr>
        <w:t xml:space="preserve"> and development </w:t>
      </w:r>
      <w:r w:rsidRPr="00885EDF">
        <w:rPr>
          <w:b/>
        </w:rPr>
        <w:t>strategy</w:t>
      </w:r>
      <w:r w:rsidR="00C45C30">
        <w:rPr>
          <w:b/>
        </w:rPr>
        <w:t>, integration and implementation plan</w:t>
      </w:r>
      <w:r w:rsidRPr="00885EDF">
        <w:t xml:space="preserve">. This </w:t>
      </w:r>
      <w:r>
        <w:t xml:space="preserve">process </w:t>
      </w:r>
      <w:r w:rsidRPr="00885EDF">
        <w:t>should address:</w:t>
      </w:r>
    </w:p>
    <w:p w14:paraId="17F05BC0" w14:textId="4BE31C53" w:rsidR="004776E0" w:rsidRPr="00885EDF" w:rsidRDefault="004776E0" w:rsidP="00AF5EBB">
      <w:pPr>
        <w:numPr>
          <w:ilvl w:val="0"/>
          <w:numId w:val="5"/>
        </w:numPr>
        <w:tabs>
          <w:tab w:val="clear" w:pos="992"/>
          <w:tab w:val="clear" w:pos="1418"/>
        </w:tabs>
        <w:spacing w:after="0" w:line="276" w:lineRule="auto"/>
        <w:ind w:left="1418"/>
        <w:contextualSpacing/>
        <w:rPr>
          <w:b/>
          <w:color w:val="auto"/>
          <w:sz w:val="22"/>
          <w:lang w:val="en-GB"/>
        </w:rPr>
      </w:pPr>
      <w:r>
        <w:rPr>
          <w:color w:val="auto"/>
          <w:sz w:val="22"/>
          <w:lang w:val="en-GB"/>
        </w:rPr>
        <w:t>d</w:t>
      </w:r>
      <w:r w:rsidRPr="00885EDF">
        <w:rPr>
          <w:color w:val="auto"/>
          <w:sz w:val="22"/>
          <w:lang w:val="en-GB"/>
        </w:rPr>
        <w:t>eveloping and implementing mandatory climate change screening procedures (across the whole program cycle) to ensure climate change considerations are embodied in aid investments</w:t>
      </w:r>
      <w:r>
        <w:rPr>
          <w:color w:val="auto"/>
          <w:sz w:val="22"/>
          <w:lang w:val="en-GB"/>
        </w:rPr>
        <w:t xml:space="preserve"> with an early focus on priority sectors. This should include </w:t>
      </w:r>
      <w:r w:rsidRPr="00885EDF">
        <w:rPr>
          <w:color w:val="auto"/>
          <w:sz w:val="22"/>
          <w:lang w:val="en-GB"/>
        </w:rPr>
        <w:t>establishing processes within AidWorks to tag and track climate change finance flows in a more robust and systematic way</w:t>
      </w:r>
      <w:r>
        <w:rPr>
          <w:color w:val="auto"/>
          <w:sz w:val="22"/>
          <w:lang w:val="en-GB"/>
        </w:rPr>
        <w:t>.</w:t>
      </w:r>
    </w:p>
    <w:p w14:paraId="7AFC8287" w14:textId="061AA55D" w:rsidR="004776E0" w:rsidRPr="00885EDF" w:rsidRDefault="004776E0" w:rsidP="00AF5EBB">
      <w:pPr>
        <w:pStyle w:val="ListParagraph"/>
        <w:numPr>
          <w:ilvl w:val="0"/>
          <w:numId w:val="5"/>
        </w:numPr>
        <w:spacing w:after="100" w:afterAutospacing="1"/>
        <w:ind w:left="1418"/>
      </w:pPr>
      <w:r w:rsidRPr="00885EDF">
        <w:t>establishing a stronger technical support capability, supplemented by greater use of external technical assistance at program and investment level</w:t>
      </w:r>
      <w:r w:rsidR="006F3B20">
        <w:t>s</w:t>
      </w:r>
      <w:r>
        <w:t>. E</w:t>
      </w:r>
      <w:r w:rsidRPr="00885EDF">
        <w:t xml:space="preserve">ffective </w:t>
      </w:r>
      <w:r>
        <w:t xml:space="preserve">programming requires </w:t>
      </w:r>
      <w:r w:rsidRPr="00885EDF">
        <w:t xml:space="preserve">a balanced mix of internal and external expertise </w:t>
      </w:r>
      <w:r>
        <w:t>to provide support</w:t>
      </w:r>
      <w:r w:rsidRPr="00885EDF">
        <w:t xml:space="preserve"> and advice during </w:t>
      </w:r>
      <w:r>
        <w:t xml:space="preserve">design, </w:t>
      </w:r>
      <w:r w:rsidRPr="00885EDF">
        <w:t>implementation</w:t>
      </w:r>
      <w:r w:rsidR="006F3B20">
        <w:t xml:space="preserve"> and</w:t>
      </w:r>
      <w:r w:rsidRPr="00885EDF">
        <w:t xml:space="preserve"> </w:t>
      </w:r>
      <w:r w:rsidR="00DC4E78">
        <w:t>M&amp;E</w:t>
      </w:r>
      <w:r>
        <w:t>.</w:t>
      </w:r>
    </w:p>
    <w:p w14:paraId="44287492" w14:textId="4746893F" w:rsidR="004776E0" w:rsidRPr="00AA0EA1" w:rsidRDefault="004776E0" w:rsidP="00AF5EBB">
      <w:pPr>
        <w:pStyle w:val="ListParagraph"/>
        <w:numPr>
          <w:ilvl w:val="0"/>
          <w:numId w:val="5"/>
        </w:numPr>
        <w:spacing w:after="100" w:afterAutospacing="1"/>
        <w:ind w:left="1418"/>
      </w:pPr>
      <w:r w:rsidRPr="00885EDF">
        <w:t>increasing the level of climate change training and awareness across DFAT and introducing climate change as a key component of induction and pre-posting training</w:t>
      </w:r>
      <w:r>
        <w:t xml:space="preserve">. </w:t>
      </w:r>
      <w:r w:rsidRPr="0078248B">
        <w:t>Focus initially on actions that will support the emergence of strong and visible leadership at different levels</w:t>
      </w:r>
      <w:r>
        <w:t>,</w:t>
      </w:r>
      <w:r w:rsidRPr="0078248B">
        <w:t xml:space="preserve"> and </w:t>
      </w:r>
      <w:r>
        <w:t>on changing parts of</w:t>
      </w:r>
      <w:r w:rsidRPr="0078248B">
        <w:t xml:space="preserve"> the DFAT system </w:t>
      </w:r>
      <w:r>
        <w:t xml:space="preserve">key to driving </w:t>
      </w:r>
      <w:r w:rsidRPr="0078248B">
        <w:t xml:space="preserve">integration. Particular attention </w:t>
      </w:r>
      <w:r>
        <w:t xml:space="preserve">should be paid </w:t>
      </w:r>
      <w:r w:rsidRPr="0078248B">
        <w:t xml:space="preserve">to </w:t>
      </w:r>
      <w:r>
        <w:t xml:space="preserve">supporting </w:t>
      </w:r>
      <w:r w:rsidRPr="0078248B">
        <w:t>Posts</w:t>
      </w:r>
      <w:r>
        <w:t>,</w:t>
      </w:r>
      <w:r w:rsidRPr="0078248B">
        <w:t xml:space="preserve"> where much of the control over the agenda and resources for supporting climate change action now lies</w:t>
      </w:r>
      <w:r>
        <w:t>.</w:t>
      </w:r>
      <w:bookmarkStart w:id="22" w:name="_Ref499733456"/>
    </w:p>
    <w:p w14:paraId="5F0CE4DF" w14:textId="77777777" w:rsidR="004776E0" w:rsidRPr="00885EDF" w:rsidRDefault="004776E0" w:rsidP="00AF5EBB">
      <w:pPr>
        <w:numPr>
          <w:ilvl w:val="0"/>
          <w:numId w:val="11"/>
        </w:numPr>
        <w:tabs>
          <w:tab w:val="clear" w:pos="992"/>
          <w:tab w:val="clear" w:pos="1418"/>
        </w:tabs>
        <w:spacing w:after="0" w:line="276" w:lineRule="auto"/>
        <w:contextualSpacing/>
      </w:pPr>
      <w:r w:rsidRPr="00AA0EA1">
        <w:rPr>
          <w:b/>
        </w:rPr>
        <w:t xml:space="preserve">DFAT should strengthen and expand its whole-of-aid performance monitoring and reporting systems to enable more effective and accurate tracking of the climate change </w:t>
      </w:r>
      <w:r>
        <w:rPr>
          <w:b/>
        </w:rPr>
        <w:t>outcomes</w:t>
      </w:r>
      <w:r w:rsidRPr="00885EDF">
        <w:t>. Immediate steps to be taken are:</w:t>
      </w:r>
      <w:bookmarkEnd w:id="22"/>
    </w:p>
    <w:p w14:paraId="0CB52511" w14:textId="77777777" w:rsidR="004776E0" w:rsidRPr="00885EDF" w:rsidRDefault="004776E0" w:rsidP="00AF5EBB">
      <w:pPr>
        <w:numPr>
          <w:ilvl w:val="0"/>
          <w:numId w:val="6"/>
        </w:numPr>
        <w:tabs>
          <w:tab w:val="clear" w:pos="992"/>
          <w:tab w:val="clear" w:pos="1418"/>
        </w:tabs>
        <w:spacing w:after="0" w:line="276" w:lineRule="auto"/>
        <w:ind w:left="1418"/>
        <w:contextualSpacing/>
        <w:rPr>
          <w:color w:val="auto"/>
          <w:sz w:val="22"/>
          <w:lang w:val="en-GB"/>
        </w:rPr>
      </w:pPr>
      <w:r w:rsidRPr="00885EDF">
        <w:rPr>
          <w:color w:val="auto"/>
          <w:sz w:val="22"/>
          <w:lang w:val="en-GB"/>
        </w:rPr>
        <w:t xml:space="preserve">climate change to form an integral part of DFAT’s </w:t>
      </w:r>
      <w:r>
        <w:rPr>
          <w:color w:val="auto"/>
          <w:sz w:val="22"/>
          <w:lang w:val="en-GB"/>
        </w:rPr>
        <w:t>aid</w:t>
      </w:r>
      <w:r w:rsidRPr="00885EDF">
        <w:rPr>
          <w:color w:val="auto"/>
          <w:sz w:val="22"/>
          <w:lang w:val="en-GB"/>
        </w:rPr>
        <w:t xml:space="preserve"> performance monitoring framework. It is recommended that DFAT does not establish a separate climate change monitoring and reporting system, but rather integrate climate change as a core element of DFAT’s existing monitoring systems</w:t>
      </w:r>
      <w:r>
        <w:rPr>
          <w:color w:val="auto"/>
          <w:sz w:val="22"/>
          <w:lang w:val="en-GB"/>
        </w:rPr>
        <w:t>.</w:t>
      </w:r>
    </w:p>
    <w:p w14:paraId="1C5BBFCA" w14:textId="02429E8E" w:rsidR="004776E0" w:rsidRPr="00885EDF" w:rsidRDefault="004776E0" w:rsidP="00AF5EBB">
      <w:pPr>
        <w:pStyle w:val="ListParagraph"/>
        <w:numPr>
          <w:ilvl w:val="0"/>
          <w:numId w:val="6"/>
        </w:numPr>
        <w:spacing w:after="0" w:line="259" w:lineRule="auto"/>
        <w:ind w:left="1418"/>
        <w:rPr>
          <w:b/>
        </w:rPr>
      </w:pPr>
      <w:r w:rsidRPr="00885EDF">
        <w:t xml:space="preserve">establish a clear set of </w:t>
      </w:r>
      <w:r>
        <w:t>high</w:t>
      </w:r>
      <w:r w:rsidR="006F3B20">
        <w:t>-</w:t>
      </w:r>
      <w:r w:rsidRPr="00885EDF">
        <w:t>level results indicators that program managers can report on, and against which DFAT’s progress with climate change integration can be assessed</w:t>
      </w:r>
      <w:r w:rsidRPr="00885EDF">
        <w:rPr>
          <w:b/>
        </w:rPr>
        <w:t xml:space="preserve">. </w:t>
      </w:r>
      <w:r w:rsidRPr="00885EDF">
        <w:t xml:space="preserve">DFAT should consider adopting similar </w:t>
      </w:r>
      <w:r>
        <w:t>high</w:t>
      </w:r>
      <w:r w:rsidR="00BB0AF4">
        <w:t>-</w:t>
      </w:r>
      <w:r w:rsidRPr="00885EDF">
        <w:t xml:space="preserve">level mitigation and adaptation indicators </w:t>
      </w:r>
      <w:r>
        <w:t xml:space="preserve">to those </w:t>
      </w:r>
      <w:r w:rsidRPr="00885EDF">
        <w:t xml:space="preserve">used by other </w:t>
      </w:r>
      <w:r w:rsidRPr="006F3B20">
        <w:t>OECD d</w:t>
      </w:r>
      <w:r w:rsidRPr="00885EDF">
        <w:t>onors.</w:t>
      </w:r>
    </w:p>
    <w:p w14:paraId="06D96E38" w14:textId="77777777" w:rsidR="004776E0" w:rsidRPr="00885EDF" w:rsidRDefault="004776E0" w:rsidP="004776E0">
      <w:pPr>
        <w:tabs>
          <w:tab w:val="clear" w:pos="992"/>
          <w:tab w:val="clear" w:pos="1418"/>
        </w:tabs>
        <w:spacing w:after="160" w:line="259" w:lineRule="auto"/>
        <w:rPr>
          <w:i/>
          <w:color w:val="auto"/>
        </w:rPr>
      </w:pPr>
      <w:r w:rsidRPr="00885EDF">
        <w:rPr>
          <w:i/>
          <w:color w:val="auto"/>
        </w:rPr>
        <w:br/>
        <w:t>Improving investment quality and impact—immediate action.</w:t>
      </w:r>
    </w:p>
    <w:p w14:paraId="5E6618E8" w14:textId="6062D368" w:rsidR="004776E0" w:rsidRPr="008B4096" w:rsidRDefault="004776E0" w:rsidP="00AF5EBB">
      <w:pPr>
        <w:pStyle w:val="ListParagraph"/>
        <w:numPr>
          <w:ilvl w:val="0"/>
          <w:numId w:val="11"/>
        </w:numPr>
        <w:spacing w:after="0"/>
        <w:rPr>
          <w:b/>
        </w:rPr>
      </w:pPr>
      <w:r w:rsidRPr="008B4096">
        <w:rPr>
          <w:b/>
        </w:rPr>
        <w:t xml:space="preserve">Position Australia’s efforts strategically in </w:t>
      </w:r>
      <w:r w:rsidR="006F3B20" w:rsidRPr="006F3B20">
        <w:rPr>
          <w:b/>
        </w:rPr>
        <w:t>a</w:t>
      </w:r>
      <w:r w:rsidRPr="006F3B20">
        <w:rPr>
          <w:b/>
        </w:rPr>
        <w:t xml:space="preserve">id </w:t>
      </w:r>
      <w:r w:rsidR="006F3B20" w:rsidRPr="00D04A94">
        <w:rPr>
          <w:b/>
        </w:rPr>
        <w:t>i</w:t>
      </w:r>
      <w:r w:rsidRPr="006F3B20">
        <w:rPr>
          <w:b/>
        </w:rPr>
        <w:t xml:space="preserve">nvestment </w:t>
      </w:r>
      <w:r w:rsidR="006F3B20" w:rsidRPr="00D04A94">
        <w:rPr>
          <w:b/>
        </w:rPr>
        <w:t>p</w:t>
      </w:r>
      <w:r w:rsidRPr="006F3B20">
        <w:rPr>
          <w:b/>
        </w:rPr>
        <w:t>lans.</w:t>
      </w:r>
      <w:r w:rsidRPr="008B4096">
        <w:rPr>
          <w:b/>
        </w:rPr>
        <w:t xml:space="preserve"> AIP</w:t>
      </w:r>
      <w:r>
        <w:rPr>
          <w:b/>
        </w:rPr>
        <w:t>s</w:t>
      </w:r>
      <w:r w:rsidRPr="008B4096">
        <w:rPr>
          <w:b/>
        </w:rPr>
        <w:t xml:space="preserve"> should use a systems approach to identify opportunities to engage on climate change. </w:t>
      </w:r>
      <w:r w:rsidRPr="008B4096">
        <w:t xml:space="preserve">The </w:t>
      </w:r>
      <w:r w:rsidR="00AD3BA3">
        <w:t>AIP</w:t>
      </w:r>
      <w:r w:rsidRPr="008B4096">
        <w:t xml:space="preserve"> process could usefully analyse and consider:</w:t>
      </w:r>
    </w:p>
    <w:p w14:paraId="0DD66FD3" w14:textId="441A5AD1" w:rsidR="004776E0" w:rsidRPr="00FD0B84" w:rsidRDefault="004776E0" w:rsidP="00AF5EBB">
      <w:pPr>
        <w:pStyle w:val="ListParagraph"/>
        <w:numPr>
          <w:ilvl w:val="1"/>
          <w:numId w:val="9"/>
        </w:numPr>
        <w:rPr>
          <w:color w:val="434343"/>
        </w:rPr>
      </w:pPr>
      <w:r w:rsidRPr="00FD0B84">
        <w:rPr>
          <w:color w:val="434343"/>
        </w:rPr>
        <w:lastRenderedPageBreak/>
        <w:t>the effect of climate change on development</w:t>
      </w:r>
      <w:r w:rsidR="00F320CF" w:rsidRPr="00FD0B84">
        <w:rPr>
          <w:color w:val="434343"/>
        </w:rPr>
        <w:t xml:space="preserve"> priorities</w:t>
      </w:r>
    </w:p>
    <w:p w14:paraId="768CA892" w14:textId="17959B2F" w:rsidR="004776E0" w:rsidRPr="00FD0B84" w:rsidRDefault="004776E0" w:rsidP="00AF5EBB">
      <w:pPr>
        <w:pStyle w:val="ListParagraph"/>
        <w:numPr>
          <w:ilvl w:val="1"/>
          <w:numId w:val="9"/>
        </w:numPr>
        <w:rPr>
          <w:color w:val="434343"/>
        </w:rPr>
      </w:pPr>
      <w:r w:rsidRPr="00FD0B84">
        <w:rPr>
          <w:color w:val="434343"/>
        </w:rPr>
        <w:t>where Australia can best engage with the partner country on climate change issues</w:t>
      </w:r>
    </w:p>
    <w:p w14:paraId="0D2BEEB7" w14:textId="4A553989" w:rsidR="004776E0" w:rsidRPr="00AF189C" w:rsidRDefault="004776E0" w:rsidP="00AF5EBB">
      <w:pPr>
        <w:pStyle w:val="ListParagraph"/>
        <w:numPr>
          <w:ilvl w:val="1"/>
          <w:numId w:val="9"/>
        </w:numPr>
        <w:rPr>
          <w:b/>
          <w:color w:val="434343"/>
          <w:szCs w:val="23"/>
        </w:rPr>
      </w:pPr>
      <w:r w:rsidRPr="00FD0B84">
        <w:rPr>
          <w:color w:val="434343"/>
        </w:rPr>
        <w:t xml:space="preserve">how to best integrate climate change and DRR efforts </w:t>
      </w:r>
      <w:r w:rsidR="00F320CF" w:rsidRPr="00FD0B84">
        <w:rPr>
          <w:color w:val="434343"/>
        </w:rPr>
        <w:t>into</w:t>
      </w:r>
      <w:r w:rsidRPr="00FD0B84">
        <w:rPr>
          <w:color w:val="434343"/>
        </w:rPr>
        <w:t xml:space="preserve"> National Adaptation Plans</w:t>
      </w:r>
      <w:r w:rsidR="001F6AA9">
        <w:rPr>
          <w:color w:val="434343"/>
        </w:rPr>
        <w:t xml:space="preserve"> and </w:t>
      </w:r>
      <w:r w:rsidRPr="00FD0B84">
        <w:rPr>
          <w:color w:val="434343"/>
        </w:rPr>
        <w:t>NDC delivery,</w:t>
      </w:r>
      <w:r w:rsidRPr="00AF189C">
        <w:rPr>
          <w:color w:val="434343"/>
        </w:rPr>
        <w:t xml:space="preserve"> thereby reducing </w:t>
      </w:r>
      <w:r>
        <w:rPr>
          <w:color w:val="434343"/>
        </w:rPr>
        <w:t xml:space="preserve">the </w:t>
      </w:r>
      <w:r w:rsidRPr="00AF189C">
        <w:rPr>
          <w:color w:val="434343"/>
        </w:rPr>
        <w:t>burden on partner countries and supporting a partner-led approach.</w:t>
      </w:r>
    </w:p>
    <w:p w14:paraId="697197C1" w14:textId="428D272B" w:rsidR="004776E0" w:rsidRPr="008B4096" w:rsidRDefault="004776E0" w:rsidP="00AF5EBB">
      <w:pPr>
        <w:pStyle w:val="ListParagraph"/>
        <w:numPr>
          <w:ilvl w:val="0"/>
          <w:numId w:val="11"/>
        </w:numPr>
        <w:spacing w:after="0"/>
        <w:rPr>
          <w:b/>
        </w:rPr>
      </w:pPr>
      <w:r w:rsidRPr="008B4096">
        <w:rPr>
          <w:b/>
        </w:rPr>
        <w:t xml:space="preserve">The Sustainability and Climate Change Branch should provide </w:t>
      </w:r>
      <w:r w:rsidR="00ED6F18">
        <w:rPr>
          <w:b/>
        </w:rPr>
        <w:t xml:space="preserve">further </w:t>
      </w:r>
      <w:r w:rsidRPr="008B4096">
        <w:rPr>
          <w:b/>
        </w:rPr>
        <w:t>guidance for mainstreaming climate change investments</w:t>
      </w:r>
      <w:r w:rsidR="00FD0B84">
        <w:rPr>
          <w:b/>
        </w:rPr>
        <w:t>, focusing</w:t>
      </w:r>
      <w:r w:rsidRPr="008B4096">
        <w:rPr>
          <w:b/>
        </w:rPr>
        <w:t xml:space="preserve"> on sectors that will benefit most</w:t>
      </w:r>
      <w:r>
        <w:rPr>
          <w:b/>
        </w:rPr>
        <w:t xml:space="preserve"> from early efforts</w:t>
      </w:r>
      <w:r w:rsidRPr="008B4096">
        <w:rPr>
          <w:b/>
        </w:rPr>
        <w:t>:</w:t>
      </w:r>
    </w:p>
    <w:p w14:paraId="45D7A692" w14:textId="3C2473C3" w:rsidR="004776E0" w:rsidRDefault="004776E0" w:rsidP="00AF5EBB">
      <w:pPr>
        <w:pStyle w:val="ListParagraph"/>
        <w:numPr>
          <w:ilvl w:val="1"/>
          <w:numId w:val="9"/>
        </w:numPr>
        <w:rPr>
          <w:color w:val="434343"/>
        </w:rPr>
      </w:pPr>
      <w:r w:rsidRPr="00AF189C">
        <w:rPr>
          <w:color w:val="434343"/>
        </w:rPr>
        <w:t xml:space="preserve">Mainstreamed climate change </w:t>
      </w:r>
      <w:r>
        <w:rPr>
          <w:color w:val="434343"/>
        </w:rPr>
        <w:t>i</w:t>
      </w:r>
      <w:r w:rsidRPr="00AF189C">
        <w:rPr>
          <w:color w:val="434343"/>
        </w:rPr>
        <w:t xml:space="preserve">nvestments need explicit climate change outcomes, clearly defined at </w:t>
      </w:r>
      <w:r>
        <w:rPr>
          <w:color w:val="434343"/>
        </w:rPr>
        <w:t xml:space="preserve">the </w:t>
      </w:r>
      <w:r w:rsidRPr="00AF189C">
        <w:rPr>
          <w:color w:val="434343"/>
        </w:rPr>
        <w:t xml:space="preserve">design stage and tracked through meaningful indicators and </w:t>
      </w:r>
      <w:r w:rsidR="001F6AA9">
        <w:rPr>
          <w:color w:val="434343"/>
        </w:rPr>
        <w:t>sound</w:t>
      </w:r>
      <w:r w:rsidR="001F6AA9" w:rsidRPr="00AF189C">
        <w:rPr>
          <w:color w:val="434343"/>
        </w:rPr>
        <w:t xml:space="preserve"> </w:t>
      </w:r>
      <w:r w:rsidRPr="00AF189C">
        <w:rPr>
          <w:color w:val="434343"/>
        </w:rPr>
        <w:t>monitoring.</w:t>
      </w:r>
    </w:p>
    <w:p w14:paraId="7D1E189C" w14:textId="522184E7" w:rsidR="004776E0" w:rsidRPr="00AF189C" w:rsidRDefault="004776E0" w:rsidP="00AF5EBB">
      <w:pPr>
        <w:pStyle w:val="ListParagraph"/>
        <w:numPr>
          <w:ilvl w:val="1"/>
          <w:numId w:val="9"/>
        </w:numPr>
        <w:rPr>
          <w:color w:val="434343"/>
        </w:rPr>
      </w:pPr>
      <w:r w:rsidRPr="00AF189C">
        <w:rPr>
          <w:color w:val="434343"/>
        </w:rPr>
        <w:t>Where climate change is a secondary objective, the climate</w:t>
      </w:r>
      <w:r>
        <w:rPr>
          <w:color w:val="434343"/>
        </w:rPr>
        <w:t>-</w:t>
      </w:r>
      <w:r w:rsidRPr="00AF189C">
        <w:rPr>
          <w:color w:val="434343"/>
        </w:rPr>
        <w:t>relevant outcomes should be explicit in the design, accompanied by suggested implementation strategies and approaches to measurement.</w:t>
      </w:r>
    </w:p>
    <w:p w14:paraId="06A31641" w14:textId="77777777" w:rsidR="004776E0" w:rsidRPr="008B4096" w:rsidRDefault="004776E0" w:rsidP="00AF5EBB">
      <w:pPr>
        <w:pStyle w:val="ListParagraph"/>
        <w:numPr>
          <w:ilvl w:val="0"/>
          <w:numId w:val="11"/>
        </w:numPr>
        <w:spacing w:after="0"/>
        <w:rPr>
          <w:b/>
        </w:rPr>
      </w:pPr>
      <w:r w:rsidRPr="008B4096">
        <w:rPr>
          <w:b/>
        </w:rPr>
        <w:t>Guidance for targeted climate change investments should:</w:t>
      </w:r>
    </w:p>
    <w:p w14:paraId="39997F93" w14:textId="33F6749B" w:rsidR="004776E0" w:rsidRPr="008F69D3" w:rsidRDefault="004776E0" w:rsidP="00AF5EBB">
      <w:pPr>
        <w:pStyle w:val="ListParagraph"/>
        <w:numPr>
          <w:ilvl w:val="1"/>
          <w:numId w:val="9"/>
        </w:numPr>
        <w:rPr>
          <w:color w:val="434343"/>
        </w:rPr>
      </w:pPr>
      <w:r w:rsidRPr="008F69D3">
        <w:rPr>
          <w:b/>
          <w:color w:val="434343"/>
        </w:rPr>
        <w:t>support a development-first approach</w:t>
      </w:r>
      <w:r w:rsidRPr="008F69D3">
        <w:rPr>
          <w:color w:val="434343"/>
        </w:rPr>
        <w:t xml:space="preserve"> by mainstreaming climate considerations into existing development priorities and associated planning and decision</w:t>
      </w:r>
      <w:r w:rsidR="005C746E">
        <w:rPr>
          <w:color w:val="434343"/>
        </w:rPr>
        <w:t xml:space="preserve"> </w:t>
      </w:r>
      <w:r w:rsidRPr="008F69D3">
        <w:rPr>
          <w:color w:val="434343"/>
        </w:rPr>
        <w:t>making</w:t>
      </w:r>
    </w:p>
    <w:p w14:paraId="50BFFA93" w14:textId="77777777" w:rsidR="004776E0" w:rsidRPr="00F91A31" w:rsidRDefault="004776E0" w:rsidP="00AF5EBB">
      <w:pPr>
        <w:pStyle w:val="ListParagraph"/>
        <w:numPr>
          <w:ilvl w:val="1"/>
          <w:numId w:val="9"/>
        </w:numPr>
        <w:rPr>
          <w:b/>
          <w:color w:val="434343"/>
        </w:rPr>
      </w:pPr>
      <w:r w:rsidRPr="008F69D3">
        <w:rPr>
          <w:b/>
          <w:color w:val="434343"/>
        </w:rPr>
        <w:t>consider a minimum timeframe of five years</w:t>
      </w:r>
      <w:r w:rsidRPr="00F91A31">
        <w:rPr>
          <w:color w:val="434343"/>
        </w:rPr>
        <w:t>—this is critical to the building of trusted relationships, and for climate-related outcomes to emerge</w:t>
      </w:r>
    </w:p>
    <w:p w14:paraId="6FFCC0E0" w14:textId="4F8BA961" w:rsidR="004776E0" w:rsidRPr="0056068D" w:rsidRDefault="004776E0" w:rsidP="00AF5EBB">
      <w:pPr>
        <w:pStyle w:val="ListParagraph"/>
        <w:numPr>
          <w:ilvl w:val="1"/>
          <w:numId w:val="9"/>
        </w:numPr>
        <w:rPr>
          <w:color w:val="434343"/>
          <w:szCs w:val="23"/>
        </w:rPr>
      </w:pPr>
      <w:r w:rsidRPr="008F69D3">
        <w:rPr>
          <w:b/>
          <w:color w:val="434343"/>
        </w:rPr>
        <w:t>explicitly consider gender and disability at design</w:t>
      </w:r>
      <w:r w:rsidRPr="00AF189C">
        <w:rPr>
          <w:color w:val="434343"/>
        </w:rPr>
        <w:t>.</w:t>
      </w:r>
    </w:p>
    <w:bookmarkEnd w:id="19"/>
    <w:bookmarkEnd w:id="20"/>
    <w:p w14:paraId="035424BC" w14:textId="77777777" w:rsidR="00100570" w:rsidRDefault="00100570" w:rsidP="00100570">
      <w:pPr>
        <w:pStyle w:val="NoSpacing"/>
        <w:sectPr w:rsidR="00100570" w:rsidSect="00263DD3">
          <w:headerReference w:type="default" r:id="rId29"/>
          <w:footerReference w:type="default" r:id="rId30"/>
          <w:type w:val="continuous"/>
          <w:pgSz w:w="11906" w:h="16838"/>
          <w:pgMar w:top="851" w:right="851" w:bottom="851" w:left="851" w:header="510" w:footer="510" w:gutter="0"/>
          <w:cols w:space="708"/>
          <w:docGrid w:linePitch="360"/>
        </w:sectPr>
      </w:pPr>
    </w:p>
    <w:p w14:paraId="4E11F9B1" w14:textId="77777777" w:rsidR="00100570" w:rsidRDefault="00100570" w:rsidP="00100570">
      <w:pPr>
        <w:tabs>
          <w:tab w:val="clear" w:pos="992"/>
        </w:tabs>
        <w:spacing w:after="160" w:line="259" w:lineRule="auto"/>
      </w:pPr>
      <w:r>
        <w:br w:type="page"/>
      </w:r>
    </w:p>
    <w:p w14:paraId="6E12783F" w14:textId="77777777" w:rsidR="002174F2" w:rsidRDefault="002174F2" w:rsidP="002174F2">
      <w:pPr>
        <w:pStyle w:val="ChapterHead"/>
        <w:framePr w:wrap="around" w:hAnchor="page" w:x="854" w:y="1877"/>
      </w:pPr>
      <w:bookmarkStart w:id="23" w:name="_Toc510771911"/>
      <w:r>
        <w:lastRenderedPageBreak/>
        <w:t>Management Response</w:t>
      </w:r>
      <w:bookmarkEnd w:id="23"/>
    </w:p>
    <w:p w14:paraId="15A6DF2C" w14:textId="77777777" w:rsidR="00100570" w:rsidRDefault="00100570" w:rsidP="00CA0881">
      <w:pPr>
        <w:pStyle w:val="BodyText"/>
      </w:pPr>
    </w:p>
    <w:p w14:paraId="3DCC4911" w14:textId="77777777" w:rsidR="00100570" w:rsidRDefault="00100570" w:rsidP="00CA0881">
      <w:pPr>
        <w:pStyle w:val="BodyText"/>
        <w:sectPr w:rsidR="00100570" w:rsidSect="00CA055E">
          <w:headerReference w:type="default" r:id="rId31"/>
          <w:type w:val="continuous"/>
          <w:pgSz w:w="11906" w:h="16838"/>
          <w:pgMar w:top="1152" w:right="850" w:bottom="851" w:left="851" w:header="510" w:footer="510" w:gutter="0"/>
          <w:cols w:space="708"/>
          <w:docGrid w:linePitch="360"/>
        </w:sectPr>
      </w:pPr>
    </w:p>
    <w:p w14:paraId="611BDFD9" w14:textId="41E238B2" w:rsidR="00B16098" w:rsidRPr="00D04A94" w:rsidRDefault="007E4A8D" w:rsidP="00D04A94">
      <w:pPr>
        <w:spacing w:after="160" w:line="259" w:lineRule="auto"/>
        <w:rPr>
          <w:b/>
          <w:bCs/>
          <w:sz w:val="38"/>
        </w:rPr>
      </w:pPr>
      <w:r w:rsidRPr="00D04A94">
        <w:rPr>
          <w:b/>
          <w:bCs/>
          <w:sz w:val="38"/>
        </w:rPr>
        <w:t>Summary of management response</w:t>
      </w:r>
    </w:p>
    <w:p w14:paraId="05677D66" w14:textId="77777777" w:rsidR="00B16098" w:rsidRDefault="00B16098" w:rsidP="00CA0881">
      <w:pPr>
        <w:pStyle w:val="BodyText"/>
      </w:pPr>
    </w:p>
    <w:p w14:paraId="0A01B95E" w14:textId="64A123D1" w:rsidR="001A6D1B" w:rsidRPr="004F1A77" w:rsidRDefault="001A6D1B" w:rsidP="00AD5430">
      <w:pPr>
        <w:pStyle w:val="ListBullet"/>
      </w:pPr>
      <w:r>
        <w:t>DFAT</w:t>
      </w:r>
      <w:r w:rsidRPr="00114BBC">
        <w:t xml:space="preserve"> welcomes the </w:t>
      </w:r>
      <w:r w:rsidRPr="00114BBC">
        <w:rPr>
          <w:i/>
        </w:rPr>
        <w:t>Evaluation of Australia’s Climate Change</w:t>
      </w:r>
      <w:r>
        <w:rPr>
          <w:i/>
        </w:rPr>
        <w:t xml:space="preserve"> Assistance</w:t>
      </w:r>
      <w:r>
        <w:t xml:space="preserve">. The independent evaluation was requested by the Sustainability and Climate Change Branch (CCB) at the beginning of 2017 to rigorously review the past performance of Australia’s climate change investments, to assist in improving the effectiveness of climate change activities, and to inform the process of integration of climate action throughout the aid program. Publication of the report and its recommendations is timely as it follows </w:t>
      </w:r>
      <w:r w:rsidRPr="00D04A94">
        <w:rPr>
          <w:i/>
        </w:rPr>
        <w:t>Opportunity, Security, Strength: The 2017 Foreign Policy White Paper</w:t>
      </w:r>
      <w:r w:rsidRPr="00114BBC">
        <w:t>, which</w:t>
      </w:r>
      <w:r w:rsidRPr="00114BBC">
        <w:rPr>
          <w:rFonts w:asciiTheme="majorHAnsi" w:hAnsiTheme="majorHAnsi"/>
          <w:bCs/>
          <w:color w:val="auto"/>
          <w:lang w:val="en"/>
        </w:rPr>
        <w:t xml:space="preserve"> </w:t>
      </w:r>
      <w:r w:rsidRPr="00114BBC">
        <w:rPr>
          <w:bCs/>
          <w:lang w:val="en"/>
        </w:rPr>
        <w:t xml:space="preserve">clearly articulates the deepening challenge climate change presents for Australia and </w:t>
      </w:r>
      <w:r>
        <w:rPr>
          <w:bCs/>
          <w:lang w:val="en"/>
        </w:rPr>
        <w:t>its</w:t>
      </w:r>
      <w:r w:rsidRPr="00114BBC">
        <w:rPr>
          <w:bCs/>
          <w:lang w:val="en"/>
        </w:rPr>
        <w:t xml:space="preserve"> region, and </w:t>
      </w:r>
      <w:r w:rsidRPr="00114BBC">
        <w:t xml:space="preserve">recognises climate change </w:t>
      </w:r>
      <w:r w:rsidRPr="00114BBC">
        <w:rPr>
          <w:bCs/>
          <w:lang w:val="en"/>
        </w:rPr>
        <w:t>as a priority for Australia’s development assistance.</w:t>
      </w:r>
      <w:r>
        <w:rPr>
          <w:bCs/>
          <w:lang w:val="en"/>
        </w:rPr>
        <w:t xml:space="preserve"> </w:t>
      </w:r>
    </w:p>
    <w:p w14:paraId="278DD89E" w14:textId="09338F02" w:rsidR="00C11F55" w:rsidRDefault="00C11F55" w:rsidP="00AD5430">
      <w:pPr>
        <w:pStyle w:val="ListBullet"/>
      </w:pPr>
      <w:r w:rsidRPr="00114BBC">
        <w:t>Th</w:t>
      </w:r>
      <w:r>
        <w:t>is</w:t>
      </w:r>
      <w:r w:rsidRPr="00114BBC">
        <w:t xml:space="preserve"> </w:t>
      </w:r>
      <w:r>
        <w:t>e</w:t>
      </w:r>
      <w:r w:rsidRPr="00114BBC">
        <w:t xml:space="preserve">valuation provides </w:t>
      </w:r>
      <w:r>
        <w:t xml:space="preserve">valuable </w:t>
      </w:r>
      <w:r w:rsidRPr="00114BBC">
        <w:t xml:space="preserve">analysis </w:t>
      </w:r>
      <w:r>
        <w:t xml:space="preserve">and </w:t>
      </w:r>
      <w:r w:rsidRPr="00114BBC">
        <w:t xml:space="preserve">insights that can directly inform more effective climate </w:t>
      </w:r>
      <w:r>
        <w:t xml:space="preserve">change </w:t>
      </w:r>
      <w:r w:rsidRPr="00114BBC">
        <w:t>action through t</w:t>
      </w:r>
      <w:r>
        <w:t>he aid program. I</w:t>
      </w:r>
      <w:r w:rsidRPr="00114BBC">
        <w:t>t identifies the key characteristics of investments that effectively a</w:t>
      </w:r>
      <w:r>
        <w:t>chieve climate change outcomes, and those that are less effective. It underlines</w:t>
      </w:r>
      <w:r w:rsidRPr="00114BBC">
        <w:t xml:space="preserve"> the value that whole-of-government partners and technical expert</w:t>
      </w:r>
      <w:r>
        <w:t>s</w:t>
      </w:r>
      <w:r w:rsidRPr="00114BBC">
        <w:t xml:space="preserve"> bring to delivering </w:t>
      </w:r>
      <w:r>
        <w:t xml:space="preserve">effective and sustainable </w:t>
      </w:r>
      <w:r w:rsidRPr="00114BBC">
        <w:t>climate change action</w:t>
      </w:r>
      <w:r>
        <w:t xml:space="preserve">. The evaluation </w:t>
      </w:r>
      <w:r w:rsidRPr="00114BBC">
        <w:t>proposes some practical steps for improving the integration of climate change across the aid program</w:t>
      </w:r>
      <w:r>
        <w:t>.</w:t>
      </w:r>
    </w:p>
    <w:p w14:paraId="07BBF62D" w14:textId="06E25795" w:rsidR="00C11F55" w:rsidRDefault="00C11F55" w:rsidP="00AD5430">
      <w:pPr>
        <w:pStyle w:val="ListBullet"/>
      </w:pPr>
      <w:r>
        <w:t>The department agrees broadly with all the evaluation’s recommendations and with its conclusions. DFAT is encouraged that the recommendations are, overall, for actions DFAT is already undertaking or have planned to put in place in the near future. Throughout the year long analysis, DFAT has welcomed the evaluation’s insights into how to improve what the department is doing, and the lessons learned and new approaches that DFAT must consider.</w:t>
      </w:r>
    </w:p>
    <w:p w14:paraId="50DFC87B" w14:textId="17BA6D2A" w:rsidR="00C11F55" w:rsidRDefault="00C11F55" w:rsidP="00AD5430">
      <w:pPr>
        <w:pStyle w:val="ListBullet"/>
      </w:pPr>
      <w:r>
        <w:t>The department recognises the importance of strengthening climate action in the aid program. Implementation of the evaluation’s recommendations will require a realignment of resources, and in some instances will need tailoring to conform to existing departmental frameworks and processes.</w:t>
      </w:r>
    </w:p>
    <w:p w14:paraId="6E42654E" w14:textId="11B6A351" w:rsidR="00B16098" w:rsidRPr="00D04A94" w:rsidRDefault="00C11F55" w:rsidP="00C11F55">
      <w:pPr>
        <w:pStyle w:val="BodyText"/>
        <w:rPr>
          <w:rFonts w:ascii="Calibri" w:eastAsia="Calibri" w:hAnsi="Calibri" w:cs="Arial"/>
          <w:color w:val="434343"/>
          <w:sz w:val="23"/>
          <w:szCs w:val="22"/>
          <w:lang w:eastAsia="en-US"/>
        </w:rPr>
      </w:pPr>
      <w:r w:rsidRPr="00D04A94">
        <w:rPr>
          <w:rFonts w:ascii="Calibri" w:eastAsia="Calibri" w:hAnsi="Calibri" w:cs="Arial"/>
          <w:color w:val="434343"/>
          <w:sz w:val="23"/>
          <w:szCs w:val="22"/>
          <w:lang w:eastAsia="en-US"/>
        </w:rPr>
        <w:t>In preparing this management response, the Sustainability and Climate Change Branch consulted with areas across DFAT, the Department of Environment and Energy (DoEE)</w:t>
      </w:r>
      <w:r w:rsidR="00F35D8E" w:rsidRPr="00D04A94">
        <w:rPr>
          <w:rFonts w:ascii="Calibri" w:eastAsia="Calibri" w:hAnsi="Calibri" w:cs="Arial"/>
          <w:color w:val="434343"/>
          <w:sz w:val="23"/>
          <w:szCs w:val="22"/>
          <w:lang w:eastAsia="en-US"/>
        </w:rPr>
        <w:t xml:space="preserve"> and (formerly the Department of Climate Change and Energy Efficiency),</w:t>
      </w:r>
      <w:r w:rsidRPr="00D04A94">
        <w:rPr>
          <w:rFonts w:ascii="Calibri" w:eastAsia="Calibri" w:hAnsi="Calibri" w:cs="Arial"/>
          <w:color w:val="434343"/>
          <w:sz w:val="23"/>
          <w:szCs w:val="22"/>
          <w:lang w:eastAsia="en-US"/>
        </w:rPr>
        <w:t xml:space="preserve"> Bureau of </w:t>
      </w:r>
      <w:r w:rsidR="00C44324" w:rsidRPr="00C44324">
        <w:rPr>
          <w:rFonts w:ascii="Calibri" w:eastAsia="Calibri" w:hAnsi="Calibri" w:cs="Arial"/>
          <w:color w:val="434343"/>
          <w:sz w:val="23"/>
          <w:szCs w:val="22"/>
          <w:lang w:eastAsia="en-US"/>
        </w:rPr>
        <w:t>Meteorology</w:t>
      </w:r>
      <w:r w:rsidRPr="00D04A94">
        <w:rPr>
          <w:rFonts w:ascii="Calibri" w:eastAsia="Calibri" w:hAnsi="Calibri" w:cs="Arial"/>
          <w:color w:val="434343"/>
          <w:sz w:val="23"/>
          <w:szCs w:val="22"/>
          <w:lang w:eastAsia="en-US"/>
        </w:rPr>
        <w:t xml:space="preserve"> (BOM), Commonwealth Scientific and Industrial Research Organisation (CSIRO) and Geoscience Australia.</w:t>
      </w:r>
    </w:p>
    <w:p w14:paraId="04354478" w14:textId="288EA72B" w:rsidR="006055EF" w:rsidRDefault="006055EF">
      <w:pPr>
        <w:tabs>
          <w:tab w:val="clear" w:pos="992"/>
          <w:tab w:val="clear" w:pos="1418"/>
        </w:tabs>
        <w:spacing w:after="0" w:line="240" w:lineRule="auto"/>
      </w:pPr>
      <w:r>
        <w:br w:type="page"/>
      </w:r>
    </w:p>
    <w:p w14:paraId="1DA335C6" w14:textId="77777777" w:rsidR="006055EF" w:rsidRDefault="006055EF" w:rsidP="006055EF">
      <w:pPr>
        <w:sectPr w:rsidR="006055EF" w:rsidSect="00CA055E">
          <w:type w:val="continuous"/>
          <w:pgSz w:w="11906" w:h="16838"/>
          <w:pgMar w:top="1152" w:right="850" w:bottom="851" w:left="851" w:header="510" w:footer="510" w:gutter="0"/>
          <w:cols w:space="708"/>
          <w:docGrid w:linePitch="360"/>
        </w:sectPr>
      </w:pPr>
    </w:p>
    <w:tbl>
      <w:tblPr>
        <w:tblStyle w:val="TableGrid"/>
        <w:tblpPr w:leftFromText="181" w:rightFromText="181" w:vertAnchor="text" w:horzAnchor="margin" w:tblpY="1"/>
        <w:tblW w:w="5000" w:type="pct"/>
        <w:tblLook w:val="0620" w:firstRow="1" w:lastRow="0" w:firstColumn="0" w:lastColumn="0" w:noHBand="1" w:noVBand="1"/>
        <w:tblCaption w:val="Sample Table"/>
        <w:tblDescription w:val="Sample Table"/>
      </w:tblPr>
      <w:tblGrid>
        <w:gridCol w:w="3532"/>
        <w:gridCol w:w="1178"/>
        <w:gridCol w:w="5010"/>
        <w:gridCol w:w="5416"/>
      </w:tblGrid>
      <w:tr w:rsidR="00267C07" w:rsidRPr="006B0E2A" w14:paraId="2B4BF17A" w14:textId="77777777" w:rsidTr="00267C07">
        <w:trPr>
          <w:cnfStyle w:val="100000000000" w:firstRow="1" w:lastRow="0" w:firstColumn="0" w:lastColumn="0" w:oddVBand="0" w:evenVBand="0" w:oddHBand="0" w:evenHBand="0" w:firstRowFirstColumn="0" w:firstRowLastColumn="0" w:lastRowFirstColumn="0" w:lastRowLastColumn="0"/>
        </w:trPr>
        <w:tc>
          <w:tcPr>
            <w:tcW w:w="1167" w:type="pct"/>
          </w:tcPr>
          <w:p w14:paraId="60A04766" w14:textId="77777777" w:rsidR="00267C07" w:rsidRPr="00AD5430" w:rsidRDefault="00267C07" w:rsidP="00AD5430">
            <w:pPr>
              <w:rPr>
                <w:color w:val="FFFFFF" w:themeColor="background1"/>
              </w:rPr>
            </w:pPr>
            <w:r w:rsidRPr="00AD5430">
              <w:rPr>
                <w:color w:val="FFFFFF" w:themeColor="background1"/>
              </w:rPr>
              <w:lastRenderedPageBreak/>
              <w:t>Recommendation</w:t>
            </w:r>
          </w:p>
        </w:tc>
        <w:tc>
          <w:tcPr>
            <w:tcW w:w="389" w:type="pct"/>
          </w:tcPr>
          <w:p w14:paraId="7FDFF139" w14:textId="77777777" w:rsidR="00267C07" w:rsidRPr="00AD5430" w:rsidRDefault="00267C07" w:rsidP="00AD5430">
            <w:pPr>
              <w:rPr>
                <w:color w:val="FFFFFF" w:themeColor="background1"/>
              </w:rPr>
            </w:pPr>
            <w:r w:rsidRPr="00AD5430">
              <w:rPr>
                <w:color w:val="FFFFFF" w:themeColor="background1"/>
              </w:rPr>
              <w:t xml:space="preserve">Response  </w:t>
            </w:r>
          </w:p>
        </w:tc>
        <w:tc>
          <w:tcPr>
            <w:tcW w:w="1655" w:type="pct"/>
          </w:tcPr>
          <w:p w14:paraId="4D362612" w14:textId="77777777" w:rsidR="00267C07" w:rsidRPr="00AD5430" w:rsidRDefault="00267C07" w:rsidP="00AD5430">
            <w:pPr>
              <w:rPr>
                <w:color w:val="FFFFFF" w:themeColor="background1"/>
              </w:rPr>
            </w:pPr>
            <w:r w:rsidRPr="00AD5430">
              <w:rPr>
                <w:color w:val="FFFFFF" w:themeColor="background1"/>
              </w:rPr>
              <w:t>Explanation</w:t>
            </w:r>
          </w:p>
        </w:tc>
        <w:tc>
          <w:tcPr>
            <w:tcW w:w="1789" w:type="pct"/>
          </w:tcPr>
          <w:p w14:paraId="315F5EE0" w14:textId="77777777" w:rsidR="00267C07" w:rsidRPr="00AD5430" w:rsidRDefault="00267C07" w:rsidP="00AD5430">
            <w:pPr>
              <w:rPr>
                <w:color w:val="FFFFFF" w:themeColor="background1"/>
              </w:rPr>
            </w:pPr>
            <w:r w:rsidRPr="00AD5430">
              <w:rPr>
                <w:color w:val="FFFFFF" w:themeColor="background1"/>
              </w:rPr>
              <w:t>Action plan</w:t>
            </w:r>
          </w:p>
          <w:p w14:paraId="32C78527" w14:textId="77777777" w:rsidR="00267C07" w:rsidRPr="00AD5430" w:rsidRDefault="00267C07" w:rsidP="00AD5430">
            <w:pPr>
              <w:rPr>
                <w:color w:val="FFFFFF" w:themeColor="background1"/>
              </w:rPr>
            </w:pPr>
            <w:r w:rsidRPr="00AD5430">
              <w:rPr>
                <w:color w:val="FFFFFF" w:themeColor="background1"/>
              </w:rPr>
              <w:t>(including responsible areas and timeframes)</w:t>
            </w:r>
          </w:p>
        </w:tc>
      </w:tr>
      <w:tr w:rsidR="00267C07" w:rsidRPr="006B0E2A" w14:paraId="4F9F3954" w14:textId="77777777" w:rsidTr="00267C07">
        <w:tc>
          <w:tcPr>
            <w:tcW w:w="1167" w:type="pct"/>
          </w:tcPr>
          <w:p w14:paraId="1B7B93AA" w14:textId="77777777" w:rsidR="00267C07" w:rsidRPr="00267C07" w:rsidRDefault="00267C07" w:rsidP="00267C07">
            <w:pPr>
              <w:pStyle w:val="TableText"/>
            </w:pPr>
            <w:r w:rsidRPr="00267C07">
              <w:t>RECOMMENDATION 1</w:t>
            </w:r>
          </w:p>
          <w:p w14:paraId="6EDC9907" w14:textId="77777777" w:rsidR="00267C07" w:rsidRPr="00267C07" w:rsidRDefault="00267C07" w:rsidP="00AD5430">
            <w:r w:rsidRPr="00267C07">
              <w:t>DFAT should increase the profile of climate change in its overarching aid narrative and, in the medium term, develop a strategy that clearly articulates its vision, goals and approach to implementation for climate change action across the aid program. The strategy should include:</w:t>
            </w:r>
          </w:p>
          <w:p w14:paraId="1FE78B32" w14:textId="0173890A" w:rsidR="00267C07" w:rsidRPr="00267C07" w:rsidRDefault="00267C07" w:rsidP="00AD5430">
            <w:pPr>
              <w:pStyle w:val="ListBullet"/>
            </w:pPr>
            <w:r w:rsidRPr="00267C07">
              <w:t>recognition of the importance of integrating climate change and DRR efforts</w:t>
            </w:r>
          </w:p>
          <w:p w14:paraId="10D3B524" w14:textId="77777777" w:rsidR="00267C07" w:rsidRPr="00267C07" w:rsidRDefault="00267C07" w:rsidP="00AD5430">
            <w:pPr>
              <w:pStyle w:val="ListBullet"/>
            </w:pPr>
            <w:r w:rsidRPr="00267C07">
              <w:t>clear identification of sectors likely to benefit most from early mainstreaming efforts</w:t>
            </w:r>
          </w:p>
          <w:p w14:paraId="24D8CD7E" w14:textId="77777777" w:rsidR="00267C07" w:rsidRPr="00267C07" w:rsidRDefault="00267C07" w:rsidP="00AD5430">
            <w:pPr>
              <w:pStyle w:val="ListBullet"/>
            </w:pPr>
            <w:r w:rsidRPr="00267C07">
              <w:t xml:space="preserve">overarching corporate-level indicators against which performance towards achieving climate change goals and </w:t>
            </w:r>
            <w:r w:rsidRPr="00267C07">
              <w:lastRenderedPageBreak/>
              <w:t>objectives can be assessed over time</w:t>
            </w:r>
          </w:p>
          <w:p w14:paraId="2C502315" w14:textId="77777777" w:rsidR="00267C07" w:rsidRPr="00267C07" w:rsidRDefault="00267C07" w:rsidP="00AD5430">
            <w:pPr>
              <w:pStyle w:val="ListBullet"/>
            </w:pPr>
            <w:r w:rsidRPr="00267C07">
              <w:t>consideration of an accompanying public, annual climate change and DRR progress report that clearly identifies what Australia’s official development assistance (ODA) investments have achieved in terms of building resilience to climate change (and natural disaster more broadly) and reducing greenhouse gas emissions in partner countries.</w:t>
            </w:r>
          </w:p>
        </w:tc>
        <w:tc>
          <w:tcPr>
            <w:tcW w:w="389" w:type="pct"/>
          </w:tcPr>
          <w:p w14:paraId="195E9AF9" w14:textId="77777777" w:rsidR="00267C07" w:rsidRPr="00AD5430" w:rsidRDefault="00267C07" w:rsidP="00267C07">
            <w:pPr>
              <w:rPr>
                <w:b/>
              </w:rPr>
            </w:pPr>
            <w:r w:rsidRPr="00AD5430">
              <w:rPr>
                <w:b/>
              </w:rPr>
              <w:lastRenderedPageBreak/>
              <w:t>Agree</w:t>
            </w:r>
          </w:p>
        </w:tc>
        <w:tc>
          <w:tcPr>
            <w:tcW w:w="1655" w:type="pct"/>
          </w:tcPr>
          <w:p w14:paraId="5D6BFABA" w14:textId="77777777" w:rsidR="00267C07" w:rsidRPr="00267C07" w:rsidRDefault="00267C07" w:rsidP="00267C07">
            <w:r w:rsidRPr="00267C07">
              <w:t>DFAT’s existing integration of climate action within its overarching 2014 aid policy, and its 2017 humanitarian strategy, is a solid platform for strengthening climate action in the aid program. DFAT has prioritised the sectors of infrastructure, DRR, and water security in producing technical guidance on climate change implications and is progressing work on others.</w:t>
            </w:r>
          </w:p>
          <w:p w14:paraId="127E9B39" w14:textId="77777777" w:rsidR="00267C07" w:rsidRPr="00267C07" w:rsidRDefault="00267C07" w:rsidP="00267C07">
            <w:r w:rsidRPr="00267C07">
              <w:t>A Climate Change Action Strategy, as initiated by the Minister for Foreign Affairs in July 2017, will build on these efforts to outline Australia’s commitment and approach to tackling climate change across the entire aid program. The value of a strategy was reinforced by the priority accorded to climate change in the 2017 Foreign Policy White Paper.</w:t>
            </w:r>
          </w:p>
          <w:p w14:paraId="1E159188" w14:textId="77777777" w:rsidR="00267C07" w:rsidRPr="00267C07" w:rsidRDefault="00267C07" w:rsidP="00267C07">
            <w:r w:rsidRPr="00267C07">
              <w:t xml:space="preserve">The strategy will address the suggestions in Recommendation 1, including to strengthen Australia’s integrated approach to climate change action and building disaster resilience, and to identify the key sectors through which Australia’s </w:t>
            </w:r>
            <w:r w:rsidRPr="00267C07">
              <w:lastRenderedPageBreak/>
              <w:t>support for climate action in the aid program will be focused. It will recognise the need to:</w:t>
            </w:r>
          </w:p>
          <w:p w14:paraId="3C7CCE3F" w14:textId="77777777" w:rsidR="00267C07" w:rsidRPr="00267C07" w:rsidRDefault="00267C07" w:rsidP="00AD5430">
            <w:pPr>
              <w:pStyle w:val="ListBullet"/>
            </w:pPr>
            <w:r w:rsidRPr="00267C07">
              <w:t>incorporate climate and disaster risk in aid investment designs</w:t>
            </w:r>
          </w:p>
          <w:p w14:paraId="1B011770" w14:textId="77777777" w:rsidR="00267C07" w:rsidRPr="00267C07" w:rsidRDefault="00267C07" w:rsidP="00AD5430">
            <w:pPr>
              <w:pStyle w:val="ListBullet"/>
            </w:pPr>
            <w:r w:rsidRPr="00267C07">
              <w:t>mainstream climate action into investments across programs and sectors, as well as to support targeted climate investments</w:t>
            </w:r>
          </w:p>
          <w:p w14:paraId="13ECE148" w14:textId="77777777" w:rsidR="00267C07" w:rsidRPr="00267C07" w:rsidRDefault="00267C07" w:rsidP="00AD5430">
            <w:pPr>
              <w:pStyle w:val="ListBullet"/>
            </w:pPr>
            <w:r w:rsidRPr="00267C07">
              <w:t>ensure implementation will be done in partnership—with Australia’s country and international development partners, with non-government organisations (NGOs) and with the private sector.</w:t>
            </w:r>
          </w:p>
          <w:p w14:paraId="018B467A" w14:textId="77777777" w:rsidR="00267C07" w:rsidRPr="00267C07" w:rsidRDefault="00267C07" w:rsidP="00267C07">
            <w:r w:rsidRPr="00267C07">
              <w:t>Australia is already well along the path of integrating climate action across the aid program. Much of the detailed technical work has been completed, including:</w:t>
            </w:r>
          </w:p>
          <w:p w14:paraId="571B5617" w14:textId="77777777" w:rsidR="00267C07" w:rsidRPr="00267C07" w:rsidRDefault="00267C07" w:rsidP="00AD5430">
            <w:pPr>
              <w:pStyle w:val="ListBullet"/>
            </w:pPr>
            <w:r w:rsidRPr="00267C07">
              <w:t>improving aid quality and reporting systems</w:t>
            </w:r>
          </w:p>
          <w:p w14:paraId="4EC28ACB" w14:textId="77777777" w:rsidR="00267C07" w:rsidRPr="00267C07" w:rsidRDefault="00267C07" w:rsidP="00AD5430">
            <w:pPr>
              <w:pStyle w:val="ListBullet"/>
            </w:pPr>
            <w:r w:rsidRPr="00267C07">
              <w:t>developing a robust and transparent methodology for tracking climate finance</w:t>
            </w:r>
          </w:p>
          <w:p w14:paraId="18537C45" w14:textId="77777777" w:rsidR="00267C07" w:rsidRPr="00267C07" w:rsidRDefault="00267C07" w:rsidP="00AD5430">
            <w:pPr>
              <w:pStyle w:val="ListBullet"/>
            </w:pPr>
            <w:r w:rsidRPr="00267C07">
              <w:t>developing technical guidance notes for a number of priority sectors</w:t>
            </w:r>
          </w:p>
          <w:p w14:paraId="55D31378" w14:textId="77777777" w:rsidR="00267C07" w:rsidRPr="00267C07" w:rsidRDefault="00267C07" w:rsidP="00AD5430">
            <w:pPr>
              <w:pStyle w:val="ListBullet"/>
            </w:pPr>
            <w:r w:rsidRPr="00267C07">
              <w:lastRenderedPageBreak/>
              <w:t>making climate change mandatory in the new Environmental and Social Safeguard Policy.</w:t>
            </w:r>
          </w:p>
          <w:p w14:paraId="1D9EC979" w14:textId="1BBC5A9E" w:rsidR="00267C07" w:rsidRPr="00267C07" w:rsidRDefault="00267C07" w:rsidP="00267C07">
            <w:r w:rsidRPr="00267C07">
              <w:t xml:space="preserve">DFAT agrees it is important to improve and better communicate performance reporting on climate action in the aid program and has taken significant steps in this regard over the past year through the aid quality check (AQC) and aid program performance report processes. DFAT considers that the anticipated delivery of the </w:t>
            </w:r>
            <w:r w:rsidR="00FE4860">
              <w:t>C</w:t>
            </w:r>
            <w:r w:rsidRPr="00267C07">
              <w:t xml:space="preserve">limate </w:t>
            </w:r>
            <w:r w:rsidR="00FE4860">
              <w:t>C</w:t>
            </w:r>
            <w:r w:rsidRPr="00267C07">
              <w:t xml:space="preserve">hange </w:t>
            </w:r>
            <w:r w:rsidR="00FE4860">
              <w:t>A</w:t>
            </w:r>
            <w:r w:rsidRPr="00267C07">
              <w:t xml:space="preserve">ction </w:t>
            </w:r>
            <w:r w:rsidR="00FE4860">
              <w:t>S</w:t>
            </w:r>
            <w:r w:rsidRPr="00267C07">
              <w:t>trategy, and performance assessment framework (PAF) will answer the needs expressed in this recommendation, including the importance of better assessment of outcomes and impacts.</w:t>
            </w:r>
          </w:p>
          <w:p w14:paraId="6FA3E97E" w14:textId="23ED28D5" w:rsidR="00267C07" w:rsidRPr="00267C07" w:rsidRDefault="00267C07" w:rsidP="00267C07">
            <w:r w:rsidRPr="00267C07">
              <w:t xml:space="preserve">Climate action in the aid program is currently reported publicly in several forms, including: biennial national communication to the United Nations Framework Convention on Climate Change (UNFCCC); Australian Engagement with Developing Countries Part 2: Official Sector Statistical Summary (Green Book); annual reporting to </w:t>
            </w:r>
            <w:bookmarkStart w:id="24" w:name="_Hlk518958706"/>
            <w:r w:rsidRPr="00267C07">
              <w:t>Organisation for Economic Co-operation and Development's Development Assistance Committee (OECD DAC)</w:t>
            </w:r>
            <w:bookmarkEnd w:id="24"/>
            <w:r w:rsidRPr="00267C07">
              <w:t xml:space="preserve"> on Rio Markers.</w:t>
            </w:r>
          </w:p>
          <w:p w14:paraId="7E416C00" w14:textId="77777777" w:rsidR="00267C07" w:rsidRPr="00267C07" w:rsidRDefault="00267C07" w:rsidP="00267C07">
            <w:r w:rsidRPr="00267C07">
              <w:t xml:space="preserve">DFAT agrees that enhanced reporting and communication can play an important role in </w:t>
            </w:r>
            <w:r w:rsidRPr="00267C07">
              <w:lastRenderedPageBreak/>
              <w:t>improving aid effectiveness and strengthening Australia’s diplomacy. DFAT will consider how it might do so in a way that utilises and builds on these existing reporting requirements, including on outcomes and impacts.</w:t>
            </w:r>
          </w:p>
        </w:tc>
        <w:tc>
          <w:tcPr>
            <w:tcW w:w="1789" w:type="pct"/>
          </w:tcPr>
          <w:p w14:paraId="2ED92520" w14:textId="77777777" w:rsidR="00267C07" w:rsidRPr="00267C07" w:rsidRDefault="00267C07" w:rsidP="00267C07">
            <w:r w:rsidRPr="00267C07">
              <w:lastRenderedPageBreak/>
              <w:t>DFAT will:</w:t>
            </w:r>
          </w:p>
          <w:p w14:paraId="5B721078" w14:textId="77777777" w:rsidR="00267C07" w:rsidRPr="00267C07" w:rsidRDefault="00267C07" w:rsidP="00AD5430">
            <w:pPr>
              <w:pStyle w:val="ListNumber"/>
            </w:pPr>
            <w:r w:rsidRPr="00267C07">
              <w:t xml:space="preserve">Deliver the Climate Change Action Strategy in consultation with line areas, relevant government agencies and other external stakeholders. (CCB, by end 2018). </w:t>
            </w:r>
          </w:p>
          <w:p w14:paraId="41EEAF40" w14:textId="5C442727" w:rsidR="00267C07" w:rsidRPr="00267C07" w:rsidRDefault="00267C07" w:rsidP="00AD5430">
            <w:pPr>
              <w:pStyle w:val="ListNumber"/>
            </w:pPr>
            <w:r w:rsidRPr="00267C07">
              <w:t>Develop a PAF that will identify corporate-level indicators to assess progress towards meeting the strategy’s objectives, and report annually through the APPR. (</w:t>
            </w:r>
            <w:r w:rsidRPr="00D04A94">
              <w:t>CCB</w:t>
            </w:r>
            <w:r w:rsidR="007D3559">
              <w:t xml:space="preserve"> and </w:t>
            </w:r>
            <w:r w:rsidRPr="00D04A94">
              <w:t>ACD</w:t>
            </w:r>
            <w:r w:rsidRPr="00C44324">
              <w:t>,</w:t>
            </w:r>
            <w:r w:rsidRPr="00267C07">
              <w:t xml:space="preserve"> 2018–19).</w:t>
            </w:r>
          </w:p>
          <w:p w14:paraId="7CC5F40D" w14:textId="77777777" w:rsidR="00267C07" w:rsidRPr="00267C07" w:rsidRDefault="00267C07" w:rsidP="00AD5430">
            <w:pPr>
              <w:pStyle w:val="ListNumber"/>
            </w:pPr>
            <w:r w:rsidRPr="00267C07">
              <w:t xml:space="preserve">Assess how to utilise, improve and build upon DFAT’s current reporting requirements and communication methods to enhance DFAT’s approach for reporting of climate change action through the aid program. (CCB/ACD, 2018–19). </w:t>
            </w:r>
          </w:p>
          <w:p w14:paraId="513093B4" w14:textId="77777777" w:rsidR="00267C07" w:rsidRPr="00267C07" w:rsidRDefault="00267C07" w:rsidP="00267C07">
            <w:r w:rsidRPr="00267C07">
              <w:t xml:space="preserve"> </w:t>
            </w:r>
          </w:p>
        </w:tc>
      </w:tr>
      <w:tr w:rsidR="00267C07" w:rsidRPr="006B0E2A" w14:paraId="6244D42C" w14:textId="77777777" w:rsidTr="00267C07">
        <w:tc>
          <w:tcPr>
            <w:tcW w:w="1167" w:type="pct"/>
          </w:tcPr>
          <w:p w14:paraId="2A673CA9" w14:textId="77777777" w:rsidR="00267C07" w:rsidRPr="00267C07" w:rsidRDefault="00267C07" w:rsidP="00267C07">
            <w:pPr>
              <w:pStyle w:val="TableText"/>
            </w:pPr>
            <w:r w:rsidRPr="00267C07">
              <w:lastRenderedPageBreak/>
              <w:t xml:space="preserve">RECOMMENDATION 2 </w:t>
            </w:r>
          </w:p>
          <w:p w14:paraId="558EDD82" w14:textId="3D9EF0B7" w:rsidR="00267C07" w:rsidRPr="00267C07" w:rsidRDefault="00267C07" w:rsidP="00AD5430">
            <w:r w:rsidRPr="00267C07">
              <w:t>DFAT’s strategy for climate change in the aid program should consider whole-of-government engagement (that is, through partnership</w:t>
            </w:r>
            <w:r w:rsidR="00F23929">
              <w:t>s</w:t>
            </w:r>
            <w:r w:rsidRPr="00267C07">
              <w:t xml:space="preserve"> based on an articulated vision and game plan).</w:t>
            </w:r>
          </w:p>
          <w:p w14:paraId="64D4B451" w14:textId="77777777" w:rsidR="00267C07" w:rsidRPr="00267C07" w:rsidRDefault="00267C07" w:rsidP="00AD5430">
            <w:r w:rsidRPr="00267C07">
              <w:t>In particular, it should reflect continuing support for Australia’s strong technical, research and policy agencies to build relationships with partner countries which sustain a focus on development outcomes. Co-design of investments (as opposed to subcontracting their implementation), and active engagement of all partners in investment governance is critical.</w:t>
            </w:r>
          </w:p>
        </w:tc>
        <w:tc>
          <w:tcPr>
            <w:tcW w:w="389" w:type="pct"/>
          </w:tcPr>
          <w:p w14:paraId="4F167D70" w14:textId="77777777" w:rsidR="00267C07" w:rsidRPr="00AD5430" w:rsidRDefault="00267C07" w:rsidP="00267C07">
            <w:pPr>
              <w:rPr>
                <w:b/>
              </w:rPr>
            </w:pPr>
            <w:r w:rsidRPr="00AD5430">
              <w:rPr>
                <w:b/>
              </w:rPr>
              <w:t>Agree</w:t>
            </w:r>
          </w:p>
        </w:tc>
        <w:tc>
          <w:tcPr>
            <w:tcW w:w="1655" w:type="pct"/>
          </w:tcPr>
          <w:p w14:paraId="2CD70EC0" w14:textId="15856563" w:rsidR="00267C07" w:rsidRPr="00267C07" w:rsidRDefault="00267C07" w:rsidP="00267C07">
            <w:r w:rsidRPr="00267C07">
              <w:t>Australia’s world-renowned environmental, scientific, research and policy agencies have long been excellent partners for DFAT and partner countries on climate change-related aid. Continuation and development of these relationships is fundamental to the effectiveness of Australia’s aid program going forward, in particular in the Pacific region.</w:t>
            </w:r>
          </w:p>
          <w:p w14:paraId="515DA627" w14:textId="77777777" w:rsidR="00267C07" w:rsidRPr="00267C07" w:rsidRDefault="00267C07" w:rsidP="00267C07">
            <w:r w:rsidRPr="00267C07">
              <w:t>The Climate Change Action Strategy will therefore articulate and embed the long-standing importance of partnerships to deliver effective climate change action through the aid program, and how DFAT will enhance these partnerships.</w:t>
            </w:r>
          </w:p>
          <w:p w14:paraId="10BC0E2C" w14:textId="77777777" w:rsidR="00267C07" w:rsidRPr="00267C07" w:rsidRDefault="00267C07" w:rsidP="00267C07">
            <w:r w:rsidRPr="00267C07">
              <w:t>DFAT acknowledges the evaluation’s finding of relatively higher effectiveness of projects where DFAT has engaged with partners early in their design and/or implementation. This assessment will inform all areas of the aid program as they develop climate action projects.</w:t>
            </w:r>
          </w:p>
        </w:tc>
        <w:tc>
          <w:tcPr>
            <w:tcW w:w="1789" w:type="pct"/>
          </w:tcPr>
          <w:p w14:paraId="197865F5" w14:textId="77777777" w:rsidR="00267C07" w:rsidRPr="00267C07" w:rsidRDefault="00267C07" w:rsidP="00267C07">
            <w:r w:rsidRPr="00267C07">
              <w:t>DFAT will:</w:t>
            </w:r>
          </w:p>
          <w:p w14:paraId="3AEC35C8" w14:textId="069432EB" w:rsidR="00267C07" w:rsidRPr="00267C07" w:rsidRDefault="00267C07" w:rsidP="00AD5430">
            <w:pPr>
              <w:pStyle w:val="ListNumber"/>
              <w:numPr>
                <w:ilvl w:val="0"/>
                <w:numId w:val="20"/>
              </w:numPr>
            </w:pPr>
            <w:r w:rsidRPr="00267C07">
              <w:t>Ensure the Climate Change Action Strategy details the continued importance of, and approaches to, effective partnerships with whole-of-government partners into the future. (CCB, by end 2018).</w:t>
            </w:r>
          </w:p>
          <w:p w14:paraId="12D801F7" w14:textId="3B649E17" w:rsidR="00267C07" w:rsidRPr="00267C07" w:rsidRDefault="00267C07" w:rsidP="00AD5430">
            <w:pPr>
              <w:pStyle w:val="ListNumber"/>
            </w:pPr>
            <w:r w:rsidRPr="00267C07">
              <w:t>Ensure country, sectoral and global programs engage with whole-of-government partners early in the design and/or implementation of climate action projects. (All relevant areas of DFAT, ongoing).</w:t>
            </w:r>
          </w:p>
          <w:p w14:paraId="03D01F13" w14:textId="77777777" w:rsidR="00267C07" w:rsidRPr="00267C07" w:rsidRDefault="00267C07" w:rsidP="00267C07"/>
        </w:tc>
      </w:tr>
      <w:tr w:rsidR="00267C07" w:rsidRPr="006B0E2A" w14:paraId="10B143AE" w14:textId="77777777" w:rsidTr="00267C07">
        <w:tc>
          <w:tcPr>
            <w:tcW w:w="1167" w:type="pct"/>
          </w:tcPr>
          <w:p w14:paraId="058C85A3" w14:textId="77777777" w:rsidR="00267C07" w:rsidRPr="00267C07" w:rsidRDefault="00267C07" w:rsidP="00267C07">
            <w:pPr>
              <w:pStyle w:val="TableText"/>
            </w:pPr>
            <w:r w:rsidRPr="00267C07">
              <w:lastRenderedPageBreak/>
              <w:t>RECOMMENDATION 3</w:t>
            </w:r>
          </w:p>
          <w:p w14:paraId="7AEF7608" w14:textId="77777777" w:rsidR="00267C07" w:rsidRPr="00267C07" w:rsidRDefault="00267C07" w:rsidP="00AD5430">
            <w:r w:rsidRPr="00267C07">
              <w:t>DFAT should invest greater effort in informing development partners of Australia’s actions to address climate change, beyond aid, as part of broader diplomatic engagement.</w:t>
            </w:r>
          </w:p>
        </w:tc>
        <w:tc>
          <w:tcPr>
            <w:tcW w:w="389" w:type="pct"/>
          </w:tcPr>
          <w:p w14:paraId="4F901D79" w14:textId="77777777" w:rsidR="00267C07" w:rsidRPr="00AD5430" w:rsidRDefault="00267C07" w:rsidP="00267C07">
            <w:pPr>
              <w:rPr>
                <w:b/>
              </w:rPr>
            </w:pPr>
            <w:r w:rsidRPr="00AD5430">
              <w:rPr>
                <w:b/>
              </w:rPr>
              <w:t>Agree</w:t>
            </w:r>
          </w:p>
        </w:tc>
        <w:tc>
          <w:tcPr>
            <w:tcW w:w="1655" w:type="pct"/>
          </w:tcPr>
          <w:p w14:paraId="66C77B81" w14:textId="18A5B1FC" w:rsidR="00267C07" w:rsidRPr="00267C07" w:rsidRDefault="00267C07" w:rsidP="00267C07">
            <w:r w:rsidRPr="00267C07">
              <w:t xml:space="preserve">DFAT is encouraged by the evaluation’s highlighting of the critical value of this work, as it is a core element of Australia’s diplomatic engagement at all levels—from ministerial to the activities of DFAT’s network of overseas Posts. DFAT has further stepped up activity and Australia’s domestic climate action has been very much part of bilateral diplomatic engagement in the region with development partners, as well as in global forums such as the </w:t>
            </w:r>
            <w:bookmarkStart w:id="25" w:name="_Hlk518965348"/>
            <w:r w:rsidRPr="00267C07">
              <w:t xml:space="preserve">Group of </w:t>
            </w:r>
            <w:r w:rsidR="00C600D8">
              <w:t>Twenty</w:t>
            </w:r>
            <w:r w:rsidRPr="00267C07">
              <w:t xml:space="preserve"> </w:t>
            </w:r>
            <w:bookmarkEnd w:id="25"/>
            <w:r w:rsidRPr="00267C07">
              <w:t xml:space="preserve">and the </w:t>
            </w:r>
            <w:bookmarkStart w:id="26" w:name="_Hlk518949752"/>
            <w:r w:rsidRPr="00267C07">
              <w:t xml:space="preserve">United Nations </w:t>
            </w:r>
            <w:bookmarkEnd w:id="26"/>
            <w:r w:rsidRPr="00267C07">
              <w:t>system more broadly. This has included Australia’s signature and ratification of the Paris Agreement, 2017 Review of Climate Policies, and development of a National Energy Guarantee. The foreign policy, trade and security aspects of climate change have been key themes of the Foreign Policy White Paper, and of DFAT’s submission to the Senate inquiry into the impacts of climate change on security.</w:t>
            </w:r>
          </w:p>
          <w:p w14:paraId="0DD9E7D2" w14:textId="77777777" w:rsidR="00267C07" w:rsidRPr="00267C07" w:rsidRDefault="00267C07" w:rsidP="00267C07">
            <w:r w:rsidRPr="00267C07">
              <w:t>Australia’s domestic actions and discussions on regional climate policy issues also form part of the engagement undertaken by the Ambassador for the Environment in bilateral visits, which include regular programs throughout the Pacific and increasingly in Asia.</w:t>
            </w:r>
          </w:p>
          <w:p w14:paraId="7B9F229A" w14:textId="77777777" w:rsidR="00267C07" w:rsidRPr="00267C07" w:rsidRDefault="00267C07" w:rsidP="00267C07">
            <w:r w:rsidRPr="00267C07">
              <w:lastRenderedPageBreak/>
              <w:t>These domestic actions and regional policy forums have usefully reinforced internationally the seriousness of Australia’s commitment to combating climate change beyond aid in its region. This effort builds upon the implementation of the Prime Minister’s $1 billion climate finance commitment, and the mainstreaming of climate action through the aid program.</w:t>
            </w:r>
          </w:p>
          <w:p w14:paraId="22FF5A72" w14:textId="77777777" w:rsidR="00267C07" w:rsidRPr="00267C07" w:rsidRDefault="00267C07" w:rsidP="00267C07"/>
        </w:tc>
        <w:tc>
          <w:tcPr>
            <w:tcW w:w="1789" w:type="pct"/>
          </w:tcPr>
          <w:p w14:paraId="393D7B7D" w14:textId="77777777" w:rsidR="00267C07" w:rsidRPr="00267C07" w:rsidRDefault="00267C07" w:rsidP="00267C07">
            <w:r w:rsidRPr="00267C07">
              <w:lastRenderedPageBreak/>
              <w:t>DFAT will:</w:t>
            </w:r>
          </w:p>
          <w:p w14:paraId="06B74D78" w14:textId="77777777" w:rsidR="00267C07" w:rsidRPr="00267C07" w:rsidRDefault="00267C07" w:rsidP="00AD5430">
            <w:pPr>
              <w:pStyle w:val="ListNumber"/>
              <w:numPr>
                <w:ilvl w:val="0"/>
                <w:numId w:val="21"/>
              </w:numPr>
            </w:pPr>
            <w:r w:rsidRPr="00267C07">
              <w:t>Further intensify bilateral and regional policy discussions on climate change and enhance communication of Australia’s climate change actions (both international and domestic) through its diplomatic network. (CCB and all relevant areas of DFAT, ongoing).</w:t>
            </w:r>
          </w:p>
          <w:p w14:paraId="4123AD04" w14:textId="77777777" w:rsidR="00267C07" w:rsidRPr="00267C07" w:rsidRDefault="00267C07" w:rsidP="00267C07"/>
        </w:tc>
      </w:tr>
      <w:tr w:rsidR="00267C07" w:rsidRPr="006B0E2A" w14:paraId="0945DDEF" w14:textId="77777777" w:rsidTr="00267C07">
        <w:tc>
          <w:tcPr>
            <w:tcW w:w="1167" w:type="pct"/>
          </w:tcPr>
          <w:p w14:paraId="7B7E19C9" w14:textId="77777777" w:rsidR="00267C07" w:rsidRPr="00267C07" w:rsidRDefault="00267C07" w:rsidP="00267C07">
            <w:pPr>
              <w:pStyle w:val="TableText"/>
            </w:pPr>
            <w:r w:rsidRPr="00267C07">
              <w:t>RECOMMENDATION 4</w:t>
            </w:r>
          </w:p>
          <w:p w14:paraId="2FB04156" w14:textId="77777777" w:rsidR="00267C07" w:rsidRPr="00267C07" w:rsidRDefault="00267C07" w:rsidP="00AD5430">
            <w:r w:rsidRPr="00267C07">
              <w:t>Sustainability and Climate Change Branch should engage with other divisions within DFAT to establish a set of robust practices in program management that are fit-for-purpose for the demands of the forthcoming climate change strategy. This process should address:</w:t>
            </w:r>
          </w:p>
          <w:p w14:paraId="17C749E6" w14:textId="77777777" w:rsidR="00267C07" w:rsidRPr="00267C07" w:rsidRDefault="00267C07" w:rsidP="00AD5430">
            <w:pPr>
              <w:pStyle w:val="ListBullet"/>
            </w:pPr>
            <w:r w:rsidRPr="00267C07">
              <w:t xml:space="preserve">developing and implementing mandatory climate change screening procedures (across the whole program cycle) to ensure climate change considerations are embodied in aid investments </w:t>
            </w:r>
            <w:r w:rsidRPr="00267C07">
              <w:lastRenderedPageBreak/>
              <w:t xml:space="preserve">with an early focus on priority sectors. This should include establishing processes within </w:t>
            </w:r>
            <w:bookmarkStart w:id="27" w:name="_Hlk518957392"/>
            <w:r w:rsidRPr="00267C07">
              <w:t xml:space="preserve">AidWorks </w:t>
            </w:r>
            <w:bookmarkEnd w:id="27"/>
            <w:r w:rsidRPr="00267C07">
              <w:t>to tag and track climate change finance flows in a more robust and systematic way.</w:t>
            </w:r>
          </w:p>
          <w:p w14:paraId="536AC53C" w14:textId="400B79B2" w:rsidR="00267C07" w:rsidRPr="00267C07" w:rsidRDefault="00267C07" w:rsidP="00AD5430">
            <w:pPr>
              <w:pStyle w:val="ListBullet"/>
            </w:pPr>
            <w:r w:rsidRPr="00267C07">
              <w:t>establishing a stronger technical support capability, supplemented by greater use of external technical assistance at the program and investment level. Effective programming will require a balanced mix of internal and external expertise to provide support and advice during design, implementation, M&amp;E.</w:t>
            </w:r>
          </w:p>
          <w:p w14:paraId="421D6FFB" w14:textId="13486F85" w:rsidR="00267C07" w:rsidRPr="00267C07" w:rsidRDefault="00267C07" w:rsidP="00AD5430">
            <w:pPr>
              <w:pStyle w:val="ListBullet"/>
            </w:pPr>
            <w:r w:rsidRPr="00267C07">
              <w:t xml:space="preserve">increasing the level of climate change training and awareness across DFAT and introducing climate change as a key component of induction and pre-posting training. Focus will initially be on actions that will support the emergence of strong and visible leadership at different </w:t>
            </w:r>
            <w:r w:rsidRPr="00267C07">
              <w:lastRenderedPageBreak/>
              <w:t>levels, and on changing parts of the DFAT system key to driving integration. Particular attention should be paid to supporting Posts, where much of the control over the agenda and resources for supporting climate change action now lies.</w:t>
            </w:r>
          </w:p>
        </w:tc>
        <w:tc>
          <w:tcPr>
            <w:tcW w:w="389" w:type="pct"/>
          </w:tcPr>
          <w:p w14:paraId="7E5DBA36" w14:textId="77777777" w:rsidR="00267C07" w:rsidRPr="00AD5430" w:rsidRDefault="00267C07" w:rsidP="00267C07">
            <w:pPr>
              <w:rPr>
                <w:b/>
              </w:rPr>
            </w:pPr>
            <w:r w:rsidRPr="00AD5430">
              <w:rPr>
                <w:b/>
              </w:rPr>
              <w:lastRenderedPageBreak/>
              <w:t>Agree</w:t>
            </w:r>
          </w:p>
        </w:tc>
        <w:tc>
          <w:tcPr>
            <w:tcW w:w="1655" w:type="pct"/>
          </w:tcPr>
          <w:p w14:paraId="6CBD9523" w14:textId="77777777" w:rsidR="00267C07" w:rsidRPr="00267C07" w:rsidRDefault="00267C07" w:rsidP="00267C07">
            <w:r w:rsidRPr="00267C07">
              <w:t>This process was commenced upon agreement by the Development Policy Committee in July 2016 to mainstream climate action throughout the aid program. It is well advanced. Embedding of these practices in DFAT’s program management frameworks will be supported by the strategy and its implementation toolkit.</w:t>
            </w:r>
          </w:p>
          <w:p w14:paraId="400F52BB" w14:textId="77777777" w:rsidR="00267C07" w:rsidRPr="00267C07" w:rsidRDefault="00267C07" w:rsidP="00267C07">
            <w:r w:rsidRPr="00267C07">
              <w:t>Practices introduced to date include:</w:t>
            </w:r>
          </w:p>
          <w:p w14:paraId="26E5A2E2" w14:textId="77777777" w:rsidR="00267C07" w:rsidRPr="00267C07" w:rsidRDefault="00267C07" w:rsidP="00AD5430">
            <w:pPr>
              <w:pStyle w:val="ListBullet"/>
            </w:pPr>
            <w:r w:rsidRPr="00267C07">
              <w:t xml:space="preserve">The new </w:t>
            </w:r>
            <w:bookmarkStart w:id="28" w:name="_Hlk518958346"/>
            <w:r w:rsidRPr="00267C07">
              <w:t xml:space="preserve">Environmental and Social Safeguard Policy </w:t>
            </w:r>
            <w:bookmarkEnd w:id="28"/>
            <w:r w:rsidRPr="00267C07">
              <w:t xml:space="preserve">has introduced a consolidated approach to managing safeguard risks in the Australian aid program and mandatory requirements for screening and managing climate change and disaster risks. Under these, all new aid investments are screened for potential climate </w:t>
            </w:r>
            <w:r w:rsidRPr="00267C07">
              <w:lastRenderedPageBreak/>
              <w:t>risks regardless of monetary value or delivery mechanism at the approval to commence, concept note and the design stage in the aid program cycle.</w:t>
            </w:r>
          </w:p>
          <w:p w14:paraId="52A66E80" w14:textId="5CEAEA3A" w:rsidR="00267C07" w:rsidRPr="00267C07" w:rsidRDefault="00267C07" w:rsidP="00AD5430">
            <w:pPr>
              <w:pStyle w:val="ListBullet"/>
            </w:pPr>
            <w:r w:rsidRPr="00267C07">
              <w:t xml:space="preserve">Climate change has now been included in the policy marker criteria in annual </w:t>
            </w:r>
            <w:r w:rsidR="00AA1555">
              <w:t>AQCs</w:t>
            </w:r>
            <w:r w:rsidRPr="00267C07">
              <w:t>, mandatory for high risk and/or projects more than $3 million.</w:t>
            </w:r>
          </w:p>
          <w:p w14:paraId="55E9F965" w14:textId="77777777" w:rsidR="00267C07" w:rsidRPr="00267C07" w:rsidRDefault="00267C07" w:rsidP="00AD5430">
            <w:pPr>
              <w:pStyle w:val="ListBullet"/>
            </w:pPr>
            <w:r w:rsidRPr="00267C07">
              <w:t>In AidWorks, DFAT has introduced policy and DAC markers for the use of program managers for reporting, and against which DFAT can assess progress for investments that focus on climate change. DFAT has also established a notification system to alert CCB to climate action projects.</w:t>
            </w:r>
          </w:p>
          <w:p w14:paraId="0C1169D1" w14:textId="77777777" w:rsidR="00267C07" w:rsidRPr="00267C07" w:rsidRDefault="00267C07" w:rsidP="00AD5430">
            <w:pPr>
              <w:pStyle w:val="ListBullet"/>
            </w:pPr>
            <w:r w:rsidRPr="00267C07">
              <w:t>Over the past 12 months, CCB, in consultation across the department, has developed more robust criteria for tracking climate finance consistent with latest practice by other donors. These updated criteria were used for reporting in Australia’s National Communications submitted to the UNFCCC in December 2017.</w:t>
            </w:r>
          </w:p>
          <w:p w14:paraId="13152D67" w14:textId="77777777" w:rsidR="00267C07" w:rsidRPr="00267C07" w:rsidRDefault="00267C07" w:rsidP="00267C07">
            <w:r w:rsidRPr="00267C07">
              <w:t xml:space="preserve">The implementation toolkit will provide practical advice and guidance to DFAT staff to effectively consider, plan for and integrate climate change and </w:t>
            </w:r>
            <w:r w:rsidRPr="00267C07">
              <w:lastRenderedPageBreak/>
              <w:t>disasters during aid investment planning processes, and in the scoping, analysis, design, implementation and M&amp;E of aid investments.</w:t>
            </w:r>
          </w:p>
          <w:p w14:paraId="2E7B7DEB" w14:textId="77777777" w:rsidR="00267C07" w:rsidRPr="00267C07" w:rsidRDefault="00267C07" w:rsidP="00267C07">
            <w:r w:rsidRPr="00267C07">
              <w:t>DFAT recognises that strong technical support is crucial for effective climate change action. A balance of internal and external expertise will be required to provide support and advice during design, implementation and M&amp;E of aid investments. In establishing a dedicated climate change technical advisory capability to support climate action projects across programs, DFAT will need to consider the most effective models, including by learning from the experience of other donors.</w:t>
            </w:r>
          </w:p>
          <w:p w14:paraId="09890FBA" w14:textId="3B2893A7" w:rsidR="00267C07" w:rsidRPr="00267C07" w:rsidRDefault="00267C07" w:rsidP="00267C07">
            <w:r w:rsidRPr="00267C07">
              <w:t xml:space="preserve">Training and awareness-raising are key to ensuring staff are skilled and resourced to tackle climate change effectively. DFAT (CCB in consultation with DRR and the Diplomatic Academy) has commenced development of an e-learning module focused on building awareness of climate change and identifying opportunities for low emissions growth and building climate and disaster resilience in the Indo-Pacific region. Additional climate change awareness can be mainstreamed into existing </w:t>
            </w:r>
            <w:r w:rsidRPr="00267C07">
              <w:lastRenderedPageBreak/>
              <w:t>training on using AidWorks, completing</w:t>
            </w:r>
            <w:r w:rsidR="00AA1555">
              <w:t xml:space="preserve"> AQCs</w:t>
            </w:r>
            <w:r w:rsidRPr="00267C07">
              <w:t>, and effective risk and safeguard screening.</w:t>
            </w:r>
          </w:p>
        </w:tc>
        <w:tc>
          <w:tcPr>
            <w:tcW w:w="1789" w:type="pct"/>
          </w:tcPr>
          <w:p w14:paraId="6A2D048C" w14:textId="77777777" w:rsidR="00267C07" w:rsidRPr="00267C07" w:rsidRDefault="00267C07" w:rsidP="00267C07">
            <w:r w:rsidRPr="00267C07">
              <w:lastRenderedPageBreak/>
              <w:t>DFAT will:</w:t>
            </w:r>
          </w:p>
          <w:p w14:paraId="5C144E9E" w14:textId="1EB54CAE" w:rsidR="00267C07" w:rsidRPr="00267C07" w:rsidRDefault="00267C07" w:rsidP="00AD5430">
            <w:pPr>
              <w:pStyle w:val="ListNumber"/>
              <w:numPr>
                <w:ilvl w:val="0"/>
                <w:numId w:val="22"/>
              </w:numPr>
            </w:pPr>
            <w:r w:rsidRPr="00267C07">
              <w:t xml:space="preserve">Ensure that the Climate Change Action Strategy and implementation toolkit support DFAT staff to effectively consider, plan for and integrate climate change and disasters during the planning, analysis, design, implementation and M&amp;E of aid investments. (CCB/ACD, by end 2018). </w:t>
            </w:r>
          </w:p>
          <w:p w14:paraId="1218E27C" w14:textId="77777777" w:rsidR="00267C07" w:rsidRPr="00267C07" w:rsidRDefault="00267C07" w:rsidP="00AD5430">
            <w:pPr>
              <w:pStyle w:val="ListNumber"/>
            </w:pPr>
            <w:r w:rsidRPr="00267C07">
              <w:t xml:space="preserve">Establish a dedicated climate action technical advisory capacity, to be available to Canberra and Posts in the development of climate action programming. (CCB/ACD, 2018–19). </w:t>
            </w:r>
          </w:p>
          <w:p w14:paraId="5FB575C7" w14:textId="77777777" w:rsidR="00267C07" w:rsidRPr="00267C07" w:rsidRDefault="00267C07" w:rsidP="00AD5430">
            <w:pPr>
              <w:pStyle w:val="ListNumber"/>
            </w:pPr>
            <w:r w:rsidRPr="00267C07">
              <w:t>Complete the development of a climate change e-learning module for all staff, including those undertaking induction and pre-posting training. (CCB/HPD/Diplomatic Academy, 2018–19).</w:t>
            </w:r>
          </w:p>
          <w:p w14:paraId="4F743F1D" w14:textId="77777777" w:rsidR="00267C07" w:rsidRPr="00267C07" w:rsidRDefault="00267C07" w:rsidP="00AD5430">
            <w:pPr>
              <w:pStyle w:val="ListNumber"/>
            </w:pPr>
            <w:r w:rsidRPr="00267C07">
              <w:lastRenderedPageBreak/>
              <w:t>Explore options for in-person pre-posting training for officers responsible for climate change and DRR-related projects. (CCB/Diplomatic Academy, by 2018–19).</w:t>
            </w:r>
          </w:p>
          <w:p w14:paraId="39A623FC" w14:textId="77777777" w:rsidR="00267C07" w:rsidRPr="00267C07" w:rsidRDefault="00267C07" w:rsidP="00AD5430">
            <w:pPr>
              <w:pStyle w:val="ListNumber"/>
            </w:pPr>
            <w:r w:rsidRPr="00267C07">
              <w:t>Develop an awareness-level e-learning module to outline the requirements of the five environmental and social safeguards (including climate and disaster risks). (ACD, 2018–19).</w:t>
            </w:r>
          </w:p>
          <w:p w14:paraId="35BF5C54" w14:textId="77777777" w:rsidR="00267C07" w:rsidRPr="00267C07" w:rsidRDefault="00267C07" w:rsidP="00267C07"/>
        </w:tc>
      </w:tr>
      <w:tr w:rsidR="00267C07" w:rsidRPr="006B0E2A" w14:paraId="62B44433" w14:textId="77777777" w:rsidTr="00267C07">
        <w:tc>
          <w:tcPr>
            <w:tcW w:w="1167" w:type="pct"/>
          </w:tcPr>
          <w:p w14:paraId="585FBE03" w14:textId="77777777" w:rsidR="00267C07" w:rsidRPr="00267C07" w:rsidRDefault="00267C07" w:rsidP="00267C07">
            <w:pPr>
              <w:pStyle w:val="TableText"/>
            </w:pPr>
            <w:r w:rsidRPr="00267C07">
              <w:lastRenderedPageBreak/>
              <w:t>RECOMMENDATION 5</w:t>
            </w:r>
          </w:p>
          <w:p w14:paraId="6C096F06" w14:textId="77777777" w:rsidR="00267C07" w:rsidRPr="00267C07" w:rsidRDefault="00267C07" w:rsidP="00AD5430">
            <w:r w:rsidRPr="00267C07">
              <w:t>DFAT should strengthen and expand its whole-of-aid performance monitoring and reporting systems to enable more effective and accurate tracking of climate change outcomes. Immediate steps to be taken are:</w:t>
            </w:r>
          </w:p>
          <w:p w14:paraId="40F535A3" w14:textId="77777777" w:rsidR="00267C07" w:rsidRPr="00267C07" w:rsidRDefault="00267C07" w:rsidP="00AD5430">
            <w:pPr>
              <w:pStyle w:val="ListBullet"/>
            </w:pPr>
            <w:r w:rsidRPr="00267C07">
              <w:t>climate change to form an integral part of DFAT’s aid performance monitoring framework. It is recommended that DFAT does not establish a separate climate change monitoring and reporting system, but rather integrate climate change as a core element of its existing monitoring systems.</w:t>
            </w:r>
          </w:p>
          <w:p w14:paraId="1A177CD1" w14:textId="77777777" w:rsidR="00267C07" w:rsidRPr="00267C07" w:rsidRDefault="00267C07" w:rsidP="00AD5430">
            <w:pPr>
              <w:pStyle w:val="ListBullet"/>
            </w:pPr>
            <w:r w:rsidRPr="00267C07">
              <w:t xml:space="preserve">establish a clear set of high-level results indicators that program managers can report on and against, which DFAT’s progress </w:t>
            </w:r>
            <w:r w:rsidRPr="00267C07">
              <w:lastRenderedPageBreak/>
              <w:t>with climate change integration can be assessed. DFAT should consider adopting similar high-level mitigation and adaptation indicators to those used by other OECD donors.</w:t>
            </w:r>
          </w:p>
        </w:tc>
        <w:tc>
          <w:tcPr>
            <w:tcW w:w="389" w:type="pct"/>
          </w:tcPr>
          <w:p w14:paraId="121C2629" w14:textId="77777777" w:rsidR="00267C07" w:rsidRPr="00AD5430" w:rsidRDefault="00267C07" w:rsidP="00267C07">
            <w:pPr>
              <w:rPr>
                <w:b/>
              </w:rPr>
            </w:pPr>
            <w:r w:rsidRPr="00AD5430">
              <w:rPr>
                <w:b/>
              </w:rPr>
              <w:lastRenderedPageBreak/>
              <w:t>Agree</w:t>
            </w:r>
          </w:p>
        </w:tc>
        <w:tc>
          <w:tcPr>
            <w:tcW w:w="1655" w:type="pct"/>
          </w:tcPr>
          <w:p w14:paraId="5CF0AA44" w14:textId="77777777" w:rsidR="00267C07" w:rsidRPr="00267C07" w:rsidRDefault="00267C07" w:rsidP="00267C07">
            <w:r w:rsidRPr="00267C07">
              <w:t>DFAT agrees that climate action performance reporting should be integrated and enhanced across the existing system, and that a separate reporting system is not the best approach.</w:t>
            </w:r>
          </w:p>
          <w:p w14:paraId="17C0D576" w14:textId="2C4B6EFA" w:rsidR="00267C07" w:rsidRPr="00267C07" w:rsidRDefault="00267C07" w:rsidP="00267C07">
            <w:r w:rsidRPr="00267C07">
              <w:t xml:space="preserve">As noted in the response to Recommendation 4, DFAT has already included climate change in a number of program management practices, including as a criterion in annual </w:t>
            </w:r>
            <w:r w:rsidR="00AA1555">
              <w:t>AQCs</w:t>
            </w:r>
            <w:r w:rsidRPr="00267C07">
              <w:t xml:space="preserve"> which form a part of DFAT’s aid performance monitoring framework. </w:t>
            </w:r>
          </w:p>
          <w:p w14:paraId="5BC9D2C7" w14:textId="64ED3666" w:rsidR="00267C07" w:rsidRPr="00267C07" w:rsidRDefault="00267C07" w:rsidP="00267C07">
            <w:r w:rsidRPr="00267C07">
              <w:t xml:space="preserve">After the Climate Change Action Strategy is finalised, investment and program-level performance data (captured using </w:t>
            </w:r>
            <w:r w:rsidR="00AA1555">
              <w:t>AQCs</w:t>
            </w:r>
            <w:r w:rsidRPr="00267C07">
              <w:t xml:space="preserve"> and APPRs respectively) can be used to assess progress towards meeting the strategy’s objectives, based on a PAF (refer to response to Recommendation 1). </w:t>
            </w:r>
          </w:p>
          <w:p w14:paraId="68A7FDFF" w14:textId="77777777" w:rsidR="00267C07" w:rsidRPr="00267C07" w:rsidRDefault="00267C07" w:rsidP="00267C07"/>
        </w:tc>
        <w:tc>
          <w:tcPr>
            <w:tcW w:w="1789" w:type="pct"/>
          </w:tcPr>
          <w:p w14:paraId="0FC81A73" w14:textId="77777777" w:rsidR="00267C07" w:rsidRPr="00267C07" w:rsidRDefault="00267C07" w:rsidP="00267C07">
            <w:r w:rsidRPr="00267C07">
              <w:t>DFAT will:</w:t>
            </w:r>
          </w:p>
          <w:p w14:paraId="0AAB5618" w14:textId="7B4CCF20" w:rsidR="00267C07" w:rsidRPr="00267C07" w:rsidRDefault="00267C07" w:rsidP="00AD5430">
            <w:pPr>
              <w:pStyle w:val="ListNumber"/>
              <w:numPr>
                <w:ilvl w:val="0"/>
                <w:numId w:val="23"/>
              </w:numPr>
            </w:pPr>
            <w:r w:rsidRPr="00267C07">
              <w:t>Following the Climate Change Action Strategy, develop a PAF to assess progress towards meeting the strategy’s objectives. (CCB/ACD, 2018</w:t>
            </w:r>
            <w:r w:rsidRPr="00267C07">
              <w:softHyphen/>
              <w:t>19).</w:t>
            </w:r>
          </w:p>
          <w:p w14:paraId="6A127F8D" w14:textId="0B9EA8E7" w:rsidR="00267C07" w:rsidRPr="00267C07" w:rsidRDefault="00267C07" w:rsidP="00AD5430">
            <w:pPr>
              <w:pStyle w:val="ListNumber"/>
            </w:pPr>
            <w:r w:rsidRPr="00267C07">
              <w:t xml:space="preserve">Assess opportunities to strengthen the alignment of performance data captured using </w:t>
            </w:r>
            <w:r w:rsidR="00AA1555">
              <w:t>AQCs</w:t>
            </w:r>
            <w:r w:rsidRPr="00267C07">
              <w:t xml:space="preserve"> and APPRs with the Climate Change Action Strategy’s P</w:t>
            </w:r>
            <w:r w:rsidR="00AE7BA5">
              <w:t>AF</w:t>
            </w:r>
            <w:r w:rsidRPr="00267C07">
              <w:t>. (CCB/ACD, 2018–19).</w:t>
            </w:r>
          </w:p>
        </w:tc>
      </w:tr>
      <w:tr w:rsidR="00267C07" w:rsidRPr="006B0E2A" w14:paraId="05957F51" w14:textId="77777777" w:rsidTr="00267C07">
        <w:tc>
          <w:tcPr>
            <w:tcW w:w="1167" w:type="pct"/>
          </w:tcPr>
          <w:p w14:paraId="38A93BA9" w14:textId="77777777" w:rsidR="00267C07" w:rsidRPr="00267C07" w:rsidRDefault="00267C07" w:rsidP="00267C07">
            <w:pPr>
              <w:pStyle w:val="TableText"/>
            </w:pPr>
            <w:r w:rsidRPr="00267C07">
              <w:t xml:space="preserve">RECOMMENDATION 6 </w:t>
            </w:r>
          </w:p>
          <w:p w14:paraId="4F6281C9" w14:textId="77777777" w:rsidR="00267C07" w:rsidRPr="00267C07" w:rsidRDefault="00267C07" w:rsidP="00AD5430">
            <w:r w:rsidRPr="00267C07">
              <w:t>Position Australia’s efforts strategically in each aid investment plan (AIP). These plans should use a systems approach to identify opportunities to engage on climate change. The AIP process could usefully analyse and consider:</w:t>
            </w:r>
          </w:p>
          <w:p w14:paraId="1119C920" w14:textId="77777777" w:rsidR="00267C07" w:rsidRPr="00267C07" w:rsidRDefault="00267C07" w:rsidP="00AD5430">
            <w:pPr>
              <w:pStyle w:val="ListBullet"/>
            </w:pPr>
            <w:r w:rsidRPr="00267C07">
              <w:t>the effect of climate change on development priorities</w:t>
            </w:r>
          </w:p>
          <w:p w14:paraId="25458095" w14:textId="77777777" w:rsidR="00267C07" w:rsidRPr="00267C07" w:rsidRDefault="00267C07" w:rsidP="00AD5430">
            <w:pPr>
              <w:pStyle w:val="ListBullet"/>
            </w:pPr>
            <w:r w:rsidRPr="00267C07">
              <w:t>where Australia can best engage with the partner country on climate change issues</w:t>
            </w:r>
          </w:p>
          <w:p w14:paraId="76629131" w14:textId="1E19C4C4" w:rsidR="00267C07" w:rsidRPr="00267C07" w:rsidRDefault="00267C07" w:rsidP="00AD5430">
            <w:pPr>
              <w:pStyle w:val="ListBullet"/>
            </w:pPr>
            <w:r w:rsidRPr="00267C07">
              <w:t>how to best integrate climate change and DRR efforts into National Adaptation Plans/</w:t>
            </w:r>
            <w:bookmarkStart w:id="29" w:name="_Hlk518960542"/>
            <w:r w:rsidRPr="00267C07">
              <w:t xml:space="preserve">NDC </w:t>
            </w:r>
            <w:bookmarkEnd w:id="29"/>
            <w:r w:rsidRPr="00267C07">
              <w:t xml:space="preserve">delivery, thereby reducing the burden on partner countries and </w:t>
            </w:r>
            <w:r w:rsidRPr="00267C07">
              <w:lastRenderedPageBreak/>
              <w:t>supporting a partner-led approach.</w:t>
            </w:r>
          </w:p>
        </w:tc>
        <w:tc>
          <w:tcPr>
            <w:tcW w:w="389" w:type="pct"/>
          </w:tcPr>
          <w:p w14:paraId="3E69066D" w14:textId="77777777" w:rsidR="00267C07" w:rsidRPr="00AD5430" w:rsidRDefault="00267C07" w:rsidP="00267C07">
            <w:pPr>
              <w:rPr>
                <w:b/>
              </w:rPr>
            </w:pPr>
            <w:r w:rsidRPr="00AD5430">
              <w:rPr>
                <w:b/>
              </w:rPr>
              <w:lastRenderedPageBreak/>
              <w:t xml:space="preserve">Agree </w:t>
            </w:r>
          </w:p>
        </w:tc>
        <w:tc>
          <w:tcPr>
            <w:tcW w:w="1655" w:type="pct"/>
          </w:tcPr>
          <w:p w14:paraId="5E2866BA" w14:textId="77777777" w:rsidR="00267C07" w:rsidRPr="00267C07" w:rsidRDefault="00267C07" w:rsidP="00267C07">
            <w:r w:rsidRPr="00267C07">
              <w:t>DFAT agrees that analysis of climate change should be considered as part of the AIP process, as one of the key issues that affects development in the relevant country or region. This would expand the understanding and scale of climate change action through the aid program, and directly inform the focus of aid program investments.</w:t>
            </w:r>
          </w:p>
          <w:p w14:paraId="4EF9D353" w14:textId="77777777" w:rsidR="00267C07" w:rsidRPr="00267C07" w:rsidRDefault="00267C07" w:rsidP="00267C07">
            <w:r w:rsidRPr="00267C07">
              <w:t>This would require the engagement of climate expertise early in the AIP process, and the development of appropriate guidance to support country and regional programs.</w:t>
            </w:r>
          </w:p>
          <w:p w14:paraId="612CE440" w14:textId="7257BA90" w:rsidR="00267C07" w:rsidRPr="00267C07" w:rsidRDefault="00267C07" w:rsidP="00267C07">
            <w:r w:rsidRPr="00267C07">
              <w:t xml:space="preserve">Integration of climate change and DRR efforts into national adaptation plans and NDCs is an important element of Australia’s climate action planning with partners. Australia is a member of the </w:t>
            </w:r>
            <w:bookmarkStart w:id="30" w:name="_Hlk518961709"/>
            <w:r w:rsidRPr="00267C07">
              <w:t>National Adaptation Plan (NAP)</w:t>
            </w:r>
            <w:bookmarkEnd w:id="30"/>
            <w:r w:rsidRPr="00267C07">
              <w:t xml:space="preserve"> Global Network and member of the Steering Committee of the NDC Partnership. To further this agenda in the Pacific, Australia has joined with the European Union, Fiji, </w:t>
            </w:r>
            <w:r w:rsidRPr="00267C07">
              <w:lastRenderedPageBreak/>
              <w:t>Germany, Japan, Norway and the United Kingdom (UK), to support the Pacific NDC Hub, under the Partnership.</w:t>
            </w:r>
          </w:p>
        </w:tc>
        <w:tc>
          <w:tcPr>
            <w:tcW w:w="1789" w:type="pct"/>
          </w:tcPr>
          <w:p w14:paraId="123D67EF" w14:textId="77777777" w:rsidR="00267C07" w:rsidRPr="00267C07" w:rsidRDefault="00267C07" w:rsidP="00267C07">
            <w:r w:rsidRPr="00267C07">
              <w:lastRenderedPageBreak/>
              <w:t>DFAT will:</w:t>
            </w:r>
          </w:p>
          <w:p w14:paraId="58C8F8E4" w14:textId="6701488C" w:rsidR="00267C07" w:rsidRPr="00267C07" w:rsidRDefault="00267C07" w:rsidP="00AD5430">
            <w:pPr>
              <w:pStyle w:val="ListNumber"/>
              <w:numPr>
                <w:ilvl w:val="0"/>
                <w:numId w:val="24"/>
              </w:numPr>
            </w:pPr>
            <w:r w:rsidRPr="00267C07">
              <w:t>Ensure all climate change risks and opportunities are considered in AIPs, as appropriate, and early in the development of AIPs to ensure that climate change risks and opportunities have been considered. (CCB/all program areas, ongoing).</w:t>
            </w:r>
          </w:p>
          <w:p w14:paraId="31011E18" w14:textId="77777777" w:rsidR="00267C07" w:rsidRPr="00267C07" w:rsidRDefault="00267C07" w:rsidP="00AD5430">
            <w:pPr>
              <w:pStyle w:val="ListNumber"/>
            </w:pPr>
            <w:r w:rsidRPr="00267C07">
              <w:t>Develop guidance to support country and regional programs to analyse climate change risks and opportunities. (CCB/ACD, 2018–19).</w:t>
            </w:r>
          </w:p>
          <w:p w14:paraId="12EC3B57" w14:textId="37490E28" w:rsidR="00267C07" w:rsidRPr="00267C07" w:rsidRDefault="00267C07" w:rsidP="00AD5430">
            <w:pPr>
              <w:pStyle w:val="ListNumber"/>
            </w:pPr>
            <w:r w:rsidRPr="00267C07">
              <w:t>Link the Climate Change Action Strategy and implementation toolkit to the AIP section of the Aid Programming Guide. (ACD, 2018–19).</w:t>
            </w:r>
          </w:p>
          <w:p w14:paraId="0BAD2A10" w14:textId="77777777" w:rsidR="00267C07" w:rsidRPr="00267C07" w:rsidRDefault="00267C07" w:rsidP="00AD5430">
            <w:pPr>
              <w:pStyle w:val="ListNumber"/>
            </w:pPr>
            <w:r w:rsidRPr="00267C07">
              <w:t>Continue to engage in planning discussions with partners to encourage the integration of climate change efforts into NAPs and NDCs, supported by Australia’s membership of the NAP Global Network and NDC Partnership. (CCB/all program areas, ongoing).</w:t>
            </w:r>
          </w:p>
          <w:p w14:paraId="0D3356CC" w14:textId="77777777" w:rsidR="00267C07" w:rsidRPr="00B92E1E" w:rsidRDefault="00267C07" w:rsidP="00267C07">
            <w:pPr>
              <w:pStyle w:val="TableText"/>
            </w:pPr>
          </w:p>
        </w:tc>
      </w:tr>
      <w:tr w:rsidR="00267C07" w:rsidRPr="006B0E2A" w14:paraId="643E0A17" w14:textId="77777777" w:rsidTr="00267C07">
        <w:tc>
          <w:tcPr>
            <w:tcW w:w="1167" w:type="pct"/>
          </w:tcPr>
          <w:p w14:paraId="53420A89" w14:textId="77777777" w:rsidR="00267C07" w:rsidRPr="00267C07" w:rsidRDefault="00267C07" w:rsidP="00267C07">
            <w:pPr>
              <w:pStyle w:val="TableText"/>
            </w:pPr>
            <w:r w:rsidRPr="00267C07">
              <w:t>RECOMMENDATION 7</w:t>
            </w:r>
          </w:p>
          <w:p w14:paraId="279B07E2" w14:textId="77777777" w:rsidR="00267C07" w:rsidRPr="00267C07" w:rsidRDefault="00267C07" w:rsidP="00AD5430">
            <w:r w:rsidRPr="00267C07">
              <w:t>The Sustainability and Climate Change Branch should provide guidance for mainstreaming climate change investments, focusing on sectors that will benefit most from early efforts:</w:t>
            </w:r>
          </w:p>
          <w:p w14:paraId="018A21FA" w14:textId="77777777" w:rsidR="00267C07" w:rsidRPr="00267C07" w:rsidRDefault="00267C07" w:rsidP="00AD5430">
            <w:pPr>
              <w:pStyle w:val="ListBullet"/>
            </w:pPr>
            <w:r w:rsidRPr="00267C07">
              <w:t>Mainstreamed climate change investments need explicit climate change outcomes, clearly defined at the design stage and tracked through meaningful indicators and good monitoring.</w:t>
            </w:r>
          </w:p>
          <w:p w14:paraId="2B462221" w14:textId="77777777" w:rsidR="00267C07" w:rsidRPr="00267C07" w:rsidRDefault="00267C07" w:rsidP="00AD5430">
            <w:pPr>
              <w:pStyle w:val="ListBullet"/>
            </w:pPr>
            <w:r w:rsidRPr="00267C07">
              <w:t>Where climate change is a secondary objective, the climate-relevant outcomes should be explicit in the design, accompanied by suggested implementation strategies and approaches to measurement.</w:t>
            </w:r>
          </w:p>
        </w:tc>
        <w:tc>
          <w:tcPr>
            <w:tcW w:w="389" w:type="pct"/>
          </w:tcPr>
          <w:p w14:paraId="3C980935" w14:textId="77777777" w:rsidR="00267C07" w:rsidRPr="00AD5430" w:rsidRDefault="00267C07" w:rsidP="00267C07">
            <w:pPr>
              <w:rPr>
                <w:b/>
              </w:rPr>
            </w:pPr>
            <w:r w:rsidRPr="00AD5430">
              <w:rPr>
                <w:b/>
              </w:rPr>
              <w:t>Agree</w:t>
            </w:r>
          </w:p>
        </w:tc>
        <w:tc>
          <w:tcPr>
            <w:tcW w:w="1655" w:type="pct"/>
          </w:tcPr>
          <w:p w14:paraId="2FA60498" w14:textId="77777777" w:rsidR="00267C07" w:rsidRPr="00267C07" w:rsidRDefault="00267C07" w:rsidP="00267C07">
            <w:r w:rsidRPr="00267C07">
              <w:t>DFAT agrees on the importance of best practice guidance to assist country programs to clearly identify mainstreamed climate action as a primary or secondary objective.</w:t>
            </w:r>
          </w:p>
          <w:p w14:paraId="0F0AFE35" w14:textId="08B0F292" w:rsidR="00267C07" w:rsidRPr="00267C07" w:rsidRDefault="00267C07" w:rsidP="00267C07">
            <w:r w:rsidRPr="00267C07">
              <w:t>Sectoral technical guidance notes have been developed over the past year and are available on the climate change implications for infrastructure, DRR and water security. Notes on food security and health are underway, and others, including governance, education and peace and conflict, will follow.</w:t>
            </w:r>
          </w:p>
          <w:p w14:paraId="33C6F991" w14:textId="77777777" w:rsidR="00267C07" w:rsidRPr="00267C07" w:rsidRDefault="00267C07" w:rsidP="00267C07">
            <w:r w:rsidRPr="00267C07">
              <w:t xml:space="preserve">The implementation toolkit will provide practical advice and guidance to DFAT staff to effectively consider, plan for and integrate climate change and disasters during design, implementation and M&amp;E of aid investments. </w:t>
            </w:r>
          </w:p>
          <w:p w14:paraId="7360FFFF" w14:textId="77777777" w:rsidR="00267C07" w:rsidRPr="00267C07" w:rsidRDefault="00267C07" w:rsidP="00267C07"/>
        </w:tc>
        <w:tc>
          <w:tcPr>
            <w:tcW w:w="1789" w:type="pct"/>
          </w:tcPr>
          <w:p w14:paraId="6B49CF0C" w14:textId="77777777" w:rsidR="00267C07" w:rsidRPr="00267C07" w:rsidRDefault="00267C07" w:rsidP="00267C07">
            <w:r w:rsidRPr="00267C07">
              <w:t>DFAT will:</w:t>
            </w:r>
          </w:p>
          <w:p w14:paraId="0998F17B" w14:textId="77777777" w:rsidR="00267C07" w:rsidRPr="00267C07" w:rsidRDefault="00267C07" w:rsidP="00AD5430">
            <w:pPr>
              <w:pStyle w:val="ListNumber"/>
              <w:numPr>
                <w:ilvl w:val="0"/>
                <w:numId w:val="25"/>
              </w:numPr>
            </w:pPr>
            <w:r w:rsidRPr="00267C07">
              <w:t>Continue development of identified sectoral technical guidance notes. (CCB/HPD/relevant thematic areas, 2018–19).</w:t>
            </w:r>
          </w:p>
          <w:p w14:paraId="4B74A15F" w14:textId="07567CF2" w:rsidR="00267C07" w:rsidRPr="00267C07" w:rsidRDefault="00267C07" w:rsidP="00AD5430">
            <w:pPr>
              <w:pStyle w:val="ListNumber"/>
            </w:pPr>
            <w:r w:rsidRPr="00267C07">
              <w:t>Ensure that the implementation toolkit provides guidance on identifying climate change outcomes at the design stage. (CCB/ACD, by end 2018).</w:t>
            </w:r>
          </w:p>
          <w:p w14:paraId="545FA15D" w14:textId="77777777" w:rsidR="00267C07" w:rsidRPr="00267C07" w:rsidRDefault="00267C07" w:rsidP="00AD5430">
            <w:pPr>
              <w:pStyle w:val="ListNumber"/>
            </w:pPr>
            <w:r w:rsidRPr="00267C07">
              <w:t>Link the Climate Change Action Strategy and implementation toolkit to the AIP section of the Aid Programming Guide. (ACD, 2018–19).</w:t>
            </w:r>
          </w:p>
          <w:p w14:paraId="73BE3D2E" w14:textId="77777777" w:rsidR="00267C07" w:rsidRPr="00267C07" w:rsidRDefault="00267C07" w:rsidP="00AD5430">
            <w:pPr>
              <w:pStyle w:val="ListNumber"/>
            </w:pPr>
            <w:r w:rsidRPr="00267C07">
              <w:t>Continue to use internal and external technical expertise, as appropriate, to provide guidance to staff at Post. (Relevant program areas, ongoing).</w:t>
            </w:r>
          </w:p>
        </w:tc>
      </w:tr>
      <w:tr w:rsidR="00267C07" w:rsidRPr="006B0E2A" w14:paraId="7DD05C0D" w14:textId="77777777" w:rsidTr="00267C07">
        <w:tc>
          <w:tcPr>
            <w:tcW w:w="1167" w:type="pct"/>
          </w:tcPr>
          <w:p w14:paraId="3B160247" w14:textId="77777777" w:rsidR="00267C07" w:rsidRPr="00267C07" w:rsidRDefault="00267C07" w:rsidP="00267C07">
            <w:pPr>
              <w:pStyle w:val="TableText"/>
            </w:pPr>
            <w:r w:rsidRPr="00267C07">
              <w:lastRenderedPageBreak/>
              <w:t>RECOMMENDATION 8</w:t>
            </w:r>
          </w:p>
          <w:p w14:paraId="5662232D" w14:textId="77777777" w:rsidR="00267C07" w:rsidRPr="00267C07" w:rsidRDefault="00267C07" w:rsidP="00AD5430">
            <w:r w:rsidRPr="00267C07">
              <w:t>Guidance for targeted climate change investments should:</w:t>
            </w:r>
          </w:p>
          <w:p w14:paraId="0DEC56D5" w14:textId="1C040258" w:rsidR="00267C07" w:rsidRPr="00267C07" w:rsidRDefault="00267C07" w:rsidP="00AD5430">
            <w:pPr>
              <w:pStyle w:val="ListBullet"/>
            </w:pPr>
            <w:r w:rsidRPr="00267C07">
              <w:t>support a ‘development</w:t>
            </w:r>
            <w:r w:rsidR="00727DF1">
              <w:t>-</w:t>
            </w:r>
            <w:r w:rsidRPr="00267C07">
              <w:t>first’ approach by mainstreaming climate considerations into existing development priorities and associated planning and decision-making</w:t>
            </w:r>
          </w:p>
          <w:p w14:paraId="3ECBE8EB" w14:textId="77777777" w:rsidR="00267C07" w:rsidRPr="00267C07" w:rsidRDefault="00267C07" w:rsidP="00AD5430">
            <w:pPr>
              <w:pStyle w:val="ListBullet"/>
            </w:pPr>
            <w:r w:rsidRPr="00267C07">
              <w:t>consider a minimum timeframe of five years—this is critical to the building of trusted relationships, and for climate-related outcomes to emerge</w:t>
            </w:r>
          </w:p>
          <w:p w14:paraId="2FB35A69" w14:textId="77777777" w:rsidR="00267C07" w:rsidRPr="00267C07" w:rsidRDefault="00267C07" w:rsidP="00AD5430">
            <w:pPr>
              <w:pStyle w:val="ListBullet"/>
            </w:pPr>
            <w:r w:rsidRPr="00267C07">
              <w:t>explicitly consider gender and disability at design.</w:t>
            </w:r>
          </w:p>
        </w:tc>
        <w:tc>
          <w:tcPr>
            <w:tcW w:w="389" w:type="pct"/>
          </w:tcPr>
          <w:p w14:paraId="0EA03C39" w14:textId="77777777" w:rsidR="00267C07" w:rsidRPr="00AD5430" w:rsidRDefault="00267C07" w:rsidP="00267C07">
            <w:pPr>
              <w:rPr>
                <w:b/>
              </w:rPr>
            </w:pPr>
            <w:r w:rsidRPr="00AD5430">
              <w:rPr>
                <w:b/>
              </w:rPr>
              <w:t>Agree</w:t>
            </w:r>
          </w:p>
        </w:tc>
        <w:tc>
          <w:tcPr>
            <w:tcW w:w="1655" w:type="pct"/>
          </w:tcPr>
          <w:p w14:paraId="34331486" w14:textId="77777777" w:rsidR="00267C07" w:rsidRPr="00267C07" w:rsidRDefault="00267C07" w:rsidP="00267C07">
            <w:r w:rsidRPr="00267C07">
              <w:t>Development first is a key principle of Australia’s aid program. This also applies to tackling climate change: managing climate and disaster risk aims to build resilience of development investments; do no harm; avoid making vulnerabilities worse; and help to retain future development options.</w:t>
            </w:r>
          </w:p>
          <w:p w14:paraId="26A72CE7" w14:textId="3F3E3FEC" w:rsidR="00267C07" w:rsidRPr="00267C07" w:rsidRDefault="00267C07" w:rsidP="00267C07">
            <w:r w:rsidRPr="00267C07">
              <w:t xml:space="preserve">Acknowledging the long time required for climate outcomes to emerge, the implementation toolkit will </w:t>
            </w:r>
            <w:r w:rsidR="00C44324">
              <w:t>en</w:t>
            </w:r>
            <w:r w:rsidR="00C44324" w:rsidRPr="00267C07">
              <w:t>courage</w:t>
            </w:r>
            <w:r w:rsidRPr="00267C07">
              <w:t xml:space="preserve"> longer timeframes for aid investments. Many climate change investments under the aid program are already scheduled over longer timeframes.</w:t>
            </w:r>
          </w:p>
          <w:p w14:paraId="767253AF" w14:textId="522709B7" w:rsidR="00267C07" w:rsidRPr="00267C07" w:rsidRDefault="00267C07" w:rsidP="00267C07">
            <w:r w:rsidRPr="00267C07">
              <w:t>Climate change can exacerbate the difficulties already faced by vulnerable communities and groups within communities, including women, children, Aboriginal and Torres Strait Islander Peoples, and people with disabilities. Many climate change investments under the aid program are already considering gender and disability at the design stage, and this should become an explicit requirement.</w:t>
            </w:r>
          </w:p>
        </w:tc>
        <w:tc>
          <w:tcPr>
            <w:tcW w:w="1789" w:type="pct"/>
          </w:tcPr>
          <w:p w14:paraId="1B016281" w14:textId="77777777" w:rsidR="00267C07" w:rsidRPr="00267C07" w:rsidRDefault="00267C07" w:rsidP="00267C07">
            <w:r w:rsidRPr="00267C07">
              <w:t>DFAT will:</w:t>
            </w:r>
          </w:p>
          <w:p w14:paraId="1F2CA124" w14:textId="3EAC882C" w:rsidR="00267C07" w:rsidRPr="00267C07" w:rsidRDefault="00267C07" w:rsidP="00AD5430">
            <w:pPr>
              <w:pStyle w:val="ListNumber"/>
              <w:numPr>
                <w:ilvl w:val="0"/>
                <w:numId w:val="26"/>
              </w:numPr>
            </w:pPr>
            <w:r w:rsidRPr="00267C07">
              <w:t>Ensure that the Climate Change Action Strategy acknowledges the importance of a development</w:t>
            </w:r>
            <w:r w:rsidR="00727DF1">
              <w:t>-</w:t>
            </w:r>
            <w:r w:rsidRPr="00267C07">
              <w:t>first approach to tackling climate change through the aid program. (CCB, by end 2018).</w:t>
            </w:r>
          </w:p>
          <w:p w14:paraId="0E2EB75A" w14:textId="77777777" w:rsidR="00267C07" w:rsidRPr="00267C07" w:rsidRDefault="00267C07" w:rsidP="00AD5430">
            <w:pPr>
              <w:pStyle w:val="ListNumber"/>
            </w:pPr>
            <w:r w:rsidRPr="00267C07">
              <w:t>Ensure that the implementation toolkit articulates the benefits of longer timeframes for aid investments. (CCB/ACD, by end 2018).</w:t>
            </w:r>
          </w:p>
          <w:p w14:paraId="313C9FEF" w14:textId="77777777" w:rsidR="00267C07" w:rsidRPr="00267C07" w:rsidRDefault="00267C07" w:rsidP="00AD5430">
            <w:pPr>
              <w:pStyle w:val="ListNumber"/>
            </w:pPr>
            <w:r w:rsidRPr="00267C07">
              <w:t>Ensure that the implementation toolkit provides guidance on assessing and responding to the impacts of climate change on gender, disability and other issues of social inclusion at the design stage. (CCB/ACD/relevant thematic areas, by end 2018).</w:t>
            </w:r>
          </w:p>
        </w:tc>
      </w:tr>
    </w:tbl>
    <w:p w14:paraId="2708207D" w14:textId="77777777" w:rsidR="006055EF" w:rsidRDefault="006055EF" w:rsidP="006055EF"/>
    <w:p w14:paraId="02707339" w14:textId="77777777" w:rsidR="006055EF" w:rsidRDefault="006055EF" w:rsidP="006055EF">
      <w:pPr>
        <w:sectPr w:rsidR="006055EF" w:rsidSect="006055EF">
          <w:headerReference w:type="default" r:id="rId32"/>
          <w:pgSz w:w="16838" w:h="11906" w:orient="landscape" w:code="9"/>
          <w:pgMar w:top="1151" w:right="851" w:bottom="851" w:left="851" w:header="510" w:footer="510" w:gutter="0"/>
          <w:cols w:space="708"/>
          <w:docGrid w:linePitch="360"/>
        </w:sectPr>
      </w:pPr>
    </w:p>
    <w:p w14:paraId="55EEB5B3" w14:textId="77777777" w:rsidR="00DE396A" w:rsidRDefault="00DE396A" w:rsidP="00941B04">
      <w:pPr>
        <w:pStyle w:val="Heading1"/>
        <w:sectPr w:rsidR="00DE396A" w:rsidSect="00CA055E">
          <w:headerReference w:type="default" r:id="rId33"/>
          <w:type w:val="continuous"/>
          <w:pgSz w:w="11906" w:h="16838"/>
          <w:pgMar w:top="1152" w:right="850" w:bottom="851" w:left="851" w:header="510" w:footer="510" w:gutter="0"/>
          <w:cols w:space="708"/>
          <w:docGrid w:linePitch="360"/>
        </w:sectPr>
      </w:pPr>
    </w:p>
    <w:p w14:paraId="68C5A590" w14:textId="77777777" w:rsidR="002174F2" w:rsidRDefault="002174F2" w:rsidP="002174F2">
      <w:pPr>
        <w:pStyle w:val="ChapterHead"/>
        <w:framePr w:wrap="around" w:hAnchor="page" w:x="797" w:y="1782"/>
      </w:pPr>
      <w:bookmarkStart w:id="31" w:name="_Toc510771912"/>
      <w:bookmarkStart w:id="32" w:name="_Toc510771913"/>
      <w:r>
        <w:t>Climate change in the aid program</w:t>
      </w:r>
      <w:bookmarkEnd w:id="31"/>
    </w:p>
    <w:p w14:paraId="41BD6DB7" w14:textId="77777777" w:rsidR="00F508EE" w:rsidRDefault="00436615" w:rsidP="00AF5EBB">
      <w:pPr>
        <w:pStyle w:val="Heading1"/>
        <w:numPr>
          <w:ilvl w:val="1"/>
          <w:numId w:val="7"/>
        </w:numPr>
        <w:ind w:left="709"/>
      </w:pPr>
      <w:r>
        <w:t xml:space="preserve">Climate Change </w:t>
      </w:r>
      <w:r w:rsidR="00CA350F">
        <w:t>And development effectiveness</w:t>
      </w:r>
      <w:bookmarkEnd w:id="32"/>
    </w:p>
    <w:p w14:paraId="1B26EF95" w14:textId="77777777" w:rsidR="00D37B98" w:rsidRPr="007F2E0B" w:rsidRDefault="00D37B98" w:rsidP="00AF5EBB">
      <w:pPr>
        <w:pStyle w:val="Heading2"/>
        <w:numPr>
          <w:ilvl w:val="1"/>
          <w:numId w:val="7"/>
        </w:numPr>
        <w:ind w:left="709"/>
      </w:pPr>
      <w:bookmarkStart w:id="33" w:name="_Toc510771914"/>
      <w:r w:rsidRPr="007F2E0B">
        <w:t>Policy context</w:t>
      </w:r>
      <w:bookmarkEnd w:id="33"/>
    </w:p>
    <w:p w14:paraId="3FC1E266" w14:textId="1B5EC2CD" w:rsidR="00D37B98" w:rsidRDefault="009B5039" w:rsidP="001F0B8A">
      <w:r>
        <w:rPr>
          <w:lang w:val="en-US"/>
        </w:rPr>
        <w:t xml:space="preserve">Australia has </w:t>
      </w:r>
      <w:r w:rsidR="00C45C30">
        <w:rPr>
          <w:lang w:val="en-US"/>
        </w:rPr>
        <w:t>made c</w:t>
      </w:r>
      <w:r>
        <w:rPr>
          <w:lang w:val="en-US"/>
        </w:rPr>
        <w:t xml:space="preserve">ommitments to </w:t>
      </w:r>
      <w:r w:rsidR="00C45C30">
        <w:rPr>
          <w:lang w:val="en-US"/>
        </w:rPr>
        <w:t xml:space="preserve">provide </w:t>
      </w:r>
      <w:r>
        <w:rPr>
          <w:lang w:val="en-US"/>
        </w:rPr>
        <w:t xml:space="preserve">climate change development assistance. </w:t>
      </w:r>
      <w:r w:rsidR="00D37B98">
        <w:rPr>
          <w:lang w:val="en-US"/>
        </w:rPr>
        <w:t>An historic global climate agreement was reached under the U</w:t>
      </w:r>
      <w:r w:rsidR="007820FA">
        <w:rPr>
          <w:lang w:val="en-US"/>
        </w:rPr>
        <w:t xml:space="preserve">NFCCC </w:t>
      </w:r>
      <w:r w:rsidR="00D37B98">
        <w:rPr>
          <w:lang w:val="en-US"/>
        </w:rPr>
        <w:t xml:space="preserve">at the 21st Conference of the Parties in Paris (December 2015). </w:t>
      </w:r>
      <w:r w:rsidR="00D37B98" w:rsidRPr="00C24192">
        <w:rPr>
          <w:lang w:val="en-US"/>
        </w:rPr>
        <w:t xml:space="preserve">At the </w:t>
      </w:r>
      <w:r w:rsidR="005C746E">
        <w:rPr>
          <w:lang w:val="en-US"/>
        </w:rPr>
        <w:t>c</w:t>
      </w:r>
      <w:r w:rsidR="00D37B98" w:rsidRPr="00C24192">
        <w:rPr>
          <w:lang w:val="en-US"/>
        </w:rPr>
        <w:t>onference</w:t>
      </w:r>
      <w:r w:rsidR="00147CD8">
        <w:rPr>
          <w:lang w:val="en-US"/>
        </w:rPr>
        <w:t>,</w:t>
      </w:r>
      <w:r w:rsidR="00D37B98" w:rsidRPr="00C24192">
        <w:rPr>
          <w:lang w:val="en-US"/>
        </w:rPr>
        <w:t xml:space="preserve"> Prime Minister Turnbull announced that Australia </w:t>
      </w:r>
      <w:r w:rsidR="00D37B98">
        <w:rPr>
          <w:lang w:val="en-US"/>
        </w:rPr>
        <w:t>would</w:t>
      </w:r>
      <w:r w:rsidR="00D37B98" w:rsidRPr="00C24192">
        <w:rPr>
          <w:lang w:val="en-US"/>
        </w:rPr>
        <w:t xml:space="preserve"> provide at least </w:t>
      </w:r>
      <w:r w:rsidR="007E4A8D">
        <w:rPr>
          <w:lang w:val="en-US"/>
        </w:rPr>
        <w:t>$</w:t>
      </w:r>
      <w:r w:rsidR="00D37B98" w:rsidRPr="00C24192">
        <w:rPr>
          <w:lang w:val="en-US"/>
        </w:rPr>
        <w:t xml:space="preserve">1 billion to build climate change resilience and reduce emissions in developing countries over the next five years. This includes </w:t>
      </w:r>
      <w:r w:rsidR="00716D7A">
        <w:rPr>
          <w:lang w:val="en-US"/>
        </w:rPr>
        <w:t xml:space="preserve">the </w:t>
      </w:r>
      <w:r w:rsidR="00627A8C">
        <w:rPr>
          <w:lang w:val="en-US"/>
        </w:rPr>
        <w:t>existing</w:t>
      </w:r>
      <w:r w:rsidR="00D37B98" w:rsidRPr="00C24192">
        <w:rPr>
          <w:lang w:val="en-US"/>
        </w:rPr>
        <w:t xml:space="preserve"> </w:t>
      </w:r>
      <w:r w:rsidR="007E4A8D">
        <w:rPr>
          <w:lang w:val="en-US"/>
        </w:rPr>
        <w:t>$</w:t>
      </w:r>
      <w:r w:rsidR="00D37B98" w:rsidRPr="00C24192">
        <w:rPr>
          <w:lang w:val="en-US"/>
        </w:rPr>
        <w:t>200 million co</w:t>
      </w:r>
      <w:r w:rsidR="00D37B98">
        <w:rPr>
          <w:lang w:val="en-US"/>
        </w:rPr>
        <w:t xml:space="preserve">mmitment over four years to the </w:t>
      </w:r>
      <w:r w:rsidR="00D37B98" w:rsidRPr="00C52C13">
        <w:rPr>
          <w:lang w:val="en-US"/>
        </w:rPr>
        <w:t>Green Climate Fund</w:t>
      </w:r>
      <w:r w:rsidR="00147CD8">
        <w:rPr>
          <w:lang w:val="en-US"/>
        </w:rPr>
        <w:t>,</w:t>
      </w:r>
      <w:r w:rsidR="00D37B98">
        <w:rPr>
          <w:lang w:val="en-US"/>
        </w:rPr>
        <w:t xml:space="preserve"> </w:t>
      </w:r>
      <w:r w:rsidR="00D37B98">
        <w:t xml:space="preserve">and </w:t>
      </w:r>
      <w:r w:rsidR="00D37B98" w:rsidRPr="00623E8C">
        <w:t>the Prime Minister</w:t>
      </w:r>
      <w:r w:rsidR="00D37B98">
        <w:t xml:space="preserve">’s announcement at the </w:t>
      </w:r>
      <w:r w:rsidR="007820FA">
        <w:t xml:space="preserve">2016 </w:t>
      </w:r>
      <w:r w:rsidR="00D37B98">
        <w:t>Pacific Islands Forum meeting that</w:t>
      </w:r>
      <w:r w:rsidR="00D37B98" w:rsidRPr="00623E8C">
        <w:t xml:space="preserve"> Australia will increase investment on climate change resilience in the Pacific to </w:t>
      </w:r>
      <w:r w:rsidR="007E4A8D">
        <w:t>$</w:t>
      </w:r>
      <w:r w:rsidR="00D37B98" w:rsidRPr="00623E8C">
        <w:t>300 million over four years.</w:t>
      </w:r>
      <w:r w:rsidR="00D37B98">
        <w:t xml:space="preserve"> </w:t>
      </w:r>
      <w:r w:rsidR="00C27BDF">
        <w:t>T</w:t>
      </w:r>
      <w:r w:rsidR="00D37B98">
        <w:t xml:space="preserve">he </w:t>
      </w:r>
      <w:r w:rsidR="007820FA">
        <w:t xml:space="preserve">UNFCCC </w:t>
      </w:r>
      <w:r w:rsidR="00D37B98">
        <w:t xml:space="preserve">Paris Agreement </w:t>
      </w:r>
      <w:r w:rsidR="00C27BDF">
        <w:t xml:space="preserve">also recognises the need for enhanced </w:t>
      </w:r>
      <w:r w:rsidR="00D37B98">
        <w:t xml:space="preserve">capacity building and technology transfer </w:t>
      </w:r>
      <w:r w:rsidR="009C1A08">
        <w:t xml:space="preserve">to less advanced countries, </w:t>
      </w:r>
      <w:r w:rsidR="00D37B98">
        <w:t xml:space="preserve">to which other Australian </w:t>
      </w:r>
      <w:r w:rsidR="00D37B98" w:rsidRPr="00AD3BA3">
        <w:t>government agenc</w:t>
      </w:r>
      <w:r w:rsidR="00D37B98">
        <w:t>ies could make a substantial contribution.</w:t>
      </w:r>
    </w:p>
    <w:p w14:paraId="0C173089" w14:textId="1D63EEA4" w:rsidR="00F508EE" w:rsidRDefault="009B5039" w:rsidP="001F0B8A">
      <w:r>
        <w:rPr>
          <w:lang w:val="en-US"/>
        </w:rPr>
        <w:t xml:space="preserve">In response to </w:t>
      </w:r>
      <w:r w:rsidRPr="001405A5">
        <w:rPr>
          <w:lang w:val="en-US"/>
        </w:rPr>
        <w:t xml:space="preserve">these </w:t>
      </w:r>
      <w:r w:rsidR="00BB61F8" w:rsidRPr="001405A5">
        <w:rPr>
          <w:lang w:val="en-US"/>
        </w:rPr>
        <w:t>commitments</w:t>
      </w:r>
      <w:r w:rsidRPr="001405A5">
        <w:rPr>
          <w:lang w:val="en-US"/>
        </w:rPr>
        <w:t>,</w:t>
      </w:r>
      <w:r w:rsidRPr="005245B6">
        <w:rPr>
          <w:color w:val="7030A0"/>
          <w:lang w:val="en-US"/>
        </w:rPr>
        <w:t xml:space="preserve"> </w:t>
      </w:r>
      <w:r>
        <w:rPr>
          <w:lang w:val="en-US"/>
        </w:rPr>
        <w:t>i</w:t>
      </w:r>
      <w:r w:rsidR="00D37B98">
        <w:rPr>
          <w:lang w:val="en-US"/>
        </w:rPr>
        <w:t xml:space="preserve">n July 2016 the Development Policy Committee of DFAT </w:t>
      </w:r>
      <w:r w:rsidR="00B66709">
        <w:rPr>
          <w:lang w:val="en-US"/>
        </w:rPr>
        <w:t>agreed</w:t>
      </w:r>
      <w:r w:rsidR="00D37B98">
        <w:rPr>
          <w:lang w:val="en-US"/>
        </w:rPr>
        <w:t xml:space="preserve"> that climate change be elevated in the </w:t>
      </w:r>
      <w:r w:rsidR="005C746E">
        <w:rPr>
          <w:lang w:val="en-US"/>
        </w:rPr>
        <w:t>d</w:t>
      </w:r>
      <w:r w:rsidR="00D37B98">
        <w:rPr>
          <w:lang w:val="en-US"/>
        </w:rPr>
        <w:t xml:space="preserve">epartment as a development priority and that </w:t>
      </w:r>
      <w:r w:rsidR="00A34321">
        <w:rPr>
          <w:lang w:val="en-US"/>
        </w:rPr>
        <w:t xml:space="preserve">climate change considerations be </w:t>
      </w:r>
      <w:r w:rsidR="00D37B98">
        <w:rPr>
          <w:lang w:val="en-US"/>
        </w:rPr>
        <w:t xml:space="preserve">pursued </w:t>
      </w:r>
      <w:r w:rsidR="00D37B98" w:rsidRPr="005D6687">
        <w:rPr>
          <w:lang w:val="en-US"/>
        </w:rPr>
        <w:t>through a long</w:t>
      </w:r>
      <w:r w:rsidR="006A6368">
        <w:rPr>
          <w:lang w:val="en-US"/>
        </w:rPr>
        <w:t>-</w:t>
      </w:r>
      <w:r w:rsidR="00D37B98" w:rsidRPr="005D6687">
        <w:rPr>
          <w:lang w:val="en-US"/>
        </w:rPr>
        <w:t>term and comprehensive approach</w:t>
      </w:r>
      <w:r w:rsidR="00D37B98">
        <w:rPr>
          <w:lang w:val="en-US"/>
        </w:rPr>
        <w:t xml:space="preserve">. </w:t>
      </w:r>
      <w:r w:rsidR="00D37B98">
        <w:t xml:space="preserve">Future programming </w:t>
      </w:r>
      <w:r w:rsidR="00C80F8E">
        <w:t xml:space="preserve">for </w:t>
      </w:r>
      <w:r w:rsidR="00D37B98">
        <w:t>climate change action will be through both incorporating climate change action into existing development priorities (mainstreaming) and specific programming (targeted investments).</w:t>
      </w:r>
    </w:p>
    <w:p w14:paraId="70ADA433" w14:textId="713D7AFB" w:rsidR="00F508EE" w:rsidRDefault="00D37B98" w:rsidP="001F0B8A">
      <w:r>
        <w:rPr>
          <w:b/>
          <w:bCs/>
        </w:rPr>
        <w:t xml:space="preserve">Mainstreaming: </w:t>
      </w:r>
      <w:r>
        <w:t>within existing program priorities DFAT will consider and assess climate and disaster risks and opportunities at both strategic and investment level</w:t>
      </w:r>
      <w:r w:rsidR="007E4A8D">
        <w:t>s</w:t>
      </w:r>
      <w:r>
        <w:t xml:space="preserve">. Mainstreaming can be defensive (protecting our existing investments or avoiding </w:t>
      </w:r>
      <w:r w:rsidRPr="001F6402">
        <w:t>maladaptation</w:t>
      </w:r>
      <w:r>
        <w:rPr>
          <w:rStyle w:val="FootnoteReference"/>
        </w:rPr>
        <w:footnoteReference w:id="3"/>
      </w:r>
      <w:r>
        <w:t>) or can enhance other development objectives.</w:t>
      </w:r>
    </w:p>
    <w:p w14:paraId="50812DB7" w14:textId="77777777" w:rsidR="00036E2D" w:rsidRDefault="00D37B98" w:rsidP="001F0B8A">
      <w:r>
        <w:rPr>
          <w:b/>
          <w:bCs/>
        </w:rPr>
        <w:t xml:space="preserve">Targeted investments: </w:t>
      </w:r>
      <w:r>
        <w:t>by providing opportunities for new investments that specifically target climate change and disaster resilience</w:t>
      </w:r>
      <w:r w:rsidR="0018435A">
        <w:t>,</w:t>
      </w:r>
      <w:r>
        <w:t xml:space="preserve"> DFAT can address very specific development needs and add value to the broader portfolio of aid investments.</w:t>
      </w:r>
    </w:p>
    <w:p w14:paraId="06C3A29F" w14:textId="512965E3" w:rsidR="00633917" w:rsidRPr="00E37089" w:rsidRDefault="00036E2D" w:rsidP="009F3963">
      <w:r w:rsidRPr="000520E4">
        <w:t>Both approaches provide multiple entry points for DFAT and its whole</w:t>
      </w:r>
      <w:r w:rsidR="0018435A" w:rsidRPr="00F1715C">
        <w:t>-</w:t>
      </w:r>
      <w:r w:rsidRPr="00F1715C">
        <w:t>of</w:t>
      </w:r>
      <w:r w:rsidR="0018435A" w:rsidRPr="00F1715C">
        <w:t>-</w:t>
      </w:r>
      <w:r w:rsidRPr="00F1715C">
        <w:t xml:space="preserve">government partners to influence, support and collaborate with </w:t>
      </w:r>
      <w:r w:rsidR="002D31A5" w:rsidRPr="000520E4">
        <w:t xml:space="preserve">partner </w:t>
      </w:r>
      <w:r w:rsidR="00B25F9E" w:rsidRPr="000520E4">
        <w:t xml:space="preserve">governments </w:t>
      </w:r>
      <w:r w:rsidR="00470306" w:rsidRPr="000520E4">
        <w:t>and r</w:t>
      </w:r>
      <w:r w:rsidRPr="000520E4">
        <w:t>egional bodies to progress commitments</w:t>
      </w:r>
      <w:r w:rsidR="00BD0FD3" w:rsidRPr="000520E4">
        <w:t xml:space="preserve"> on climate </w:t>
      </w:r>
      <w:r w:rsidR="00BD0FD3" w:rsidRPr="000520E4">
        <w:lastRenderedPageBreak/>
        <w:t>change</w:t>
      </w:r>
      <w:r w:rsidRPr="000520E4">
        <w:t>. In th</w:t>
      </w:r>
      <w:r w:rsidR="00BD0FD3" w:rsidRPr="000520E4">
        <w:t>e</w:t>
      </w:r>
      <w:r w:rsidRPr="000520E4">
        <w:t xml:space="preserve"> evaluation</w:t>
      </w:r>
      <w:r w:rsidRPr="00E37089">
        <w:t xml:space="preserve"> we </w:t>
      </w:r>
      <w:r w:rsidR="00B25F9E" w:rsidRPr="00E37089">
        <w:t xml:space="preserve">apply </w:t>
      </w:r>
      <w:r w:rsidRPr="00E37089">
        <w:t xml:space="preserve">the term </w:t>
      </w:r>
      <w:r w:rsidR="007E4A8D">
        <w:t>‘</w:t>
      </w:r>
      <w:r w:rsidRPr="00D04A94">
        <w:t>integration</w:t>
      </w:r>
      <w:r w:rsidR="007E4A8D">
        <w:t>’</w:t>
      </w:r>
      <w:r w:rsidRPr="00E37089">
        <w:rPr>
          <w:b/>
        </w:rPr>
        <w:t xml:space="preserve"> </w:t>
      </w:r>
      <w:r w:rsidRPr="00E37089">
        <w:t>to denote the totality of thinking and practice (including mainstreaming and targeted investments) that hardwires climate change action</w:t>
      </w:r>
      <w:r w:rsidR="002D31A5">
        <w:t xml:space="preserve"> </w:t>
      </w:r>
      <w:r w:rsidRPr="00E37089">
        <w:t xml:space="preserve">into DFAT’s organisational engagement </w:t>
      </w:r>
      <w:r w:rsidR="002D31A5">
        <w:t>in support of</w:t>
      </w:r>
      <w:r w:rsidR="002D31A5" w:rsidRPr="00E37089">
        <w:t xml:space="preserve"> </w:t>
      </w:r>
      <w:r w:rsidRPr="00E37089">
        <w:t>its development goals</w:t>
      </w:r>
      <w:r w:rsidR="005C746E">
        <w:t>.</w:t>
      </w:r>
      <w:r w:rsidRPr="00E37089">
        <w:rPr>
          <w:rStyle w:val="FootnoteReference"/>
          <w:color w:val="auto"/>
        </w:rPr>
        <w:footnoteReference w:id="4"/>
      </w:r>
      <w:r w:rsidRPr="00E37089">
        <w:t xml:space="preserve"> This means integrating climate change into development policy, networking, promotion, financing and leadership</w:t>
      </w:r>
      <w:r w:rsidR="007E4A8D">
        <w:t>. It also means</w:t>
      </w:r>
      <w:r w:rsidR="00BD0FD3">
        <w:t xml:space="preserve"> considering </w:t>
      </w:r>
      <w:r w:rsidR="0042742F" w:rsidRPr="00E37089">
        <w:t xml:space="preserve">climate change in a way that goes </w:t>
      </w:r>
      <w:r w:rsidR="00BD0FD3">
        <w:t xml:space="preserve">beyond </w:t>
      </w:r>
      <w:r w:rsidR="00633917" w:rsidRPr="00E37089">
        <w:t xml:space="preserve">aid </w:t>
      </w:r>
      <w:r w:rsidR="001E6C02">
        <w:t>investments</w:t>
      </w:r>
      <w:r w:rsidR="00633917" w:rsidRPr="00E37089">
        <w:t>.</w:t>
      </w:r>
    </w:p>
    <w:p w14:paraId="1A4258C6" w14:textId="3C369C1E" w:rsidR="00F508EE" w:rsidRDefault="009C1A08" w:rsidP="001F0B8A">
      <w:r>
        <w:t>Increasing</w:t>
      </w:r>
      <w:r w:rsidRPr="009C1A08">
        <w:t xml:space="preserve"> the profile of climate change in the aid program has significant potential benefits in relation to increased effectiveness and improved risk management for Australia’s investments. It is also a complex undertaking given the number of stakeholders involved and the challenge of integrating a new priority into aid programming in a constrained budgetary environment.</w:t>
      </w:r>
      <w:r>
        <w:t xml:space="preserve"> </w:t>
      </w:r>
      <w:r w:rsidR="00C4334A">
        <w:t>The</w:t>
      </w:r>
      <w:r w:rsidR="00647292">
        <w:t xml:space="preserve"> evaluation report was prepared </w:t>
      </w:r>
      <w:r w:rsidR="0043768C">
        <w:t>approximately 18 months</w:t>
      </w:r>
      <w:r w:rsidR="00647292">
        <w:t xml:space="preserve"> after </w:t>
      </w:r>
      <w:r w:rsidR="00C15767">
        <w:t xml:space="preserve">the Development Policy Committee </w:t>
      </w:r>
      <w:r w:rsidR="00647292">
        <w:t>decision</w:t>
      </w:r>
      <w:r w:rsidR="00BD0FD3">
        <w:t xml:space="preserve">. </w:t>
      </w:r>
      <w:r w:rsidR="00C4334A">
        <w:t xml:space="preserve">DFAT is in the </w:t>
      </w:r>
      <w:r w:rsidR="00BD0FD3">
        <w:t>initial s</w:t>
      </w:r>
      <w:r w:rsidR="00FE5625">
        <w:t>tages</w:t>
      </w:r>
      <w:r w:rsidR="00C4334A">
        <w:t xml:space="preserve"> of </w:t>
      </w:r>
      <w:r w:rsidR="008E155D">
        <w:t>a</w:t>
      </w:r>
      <w:r w:rsidR="00BD0FD3">
        <w:t xml:space="preserve"> change process requiring </w:t>
      </w:r>
      <w:r w:rsidR="000971C3">
        <w:t xml:space="preserve">a concerted effort </w:t>
      </w:r>
      <w:r w:rsidR="00C4334A">
        <w:t>and strong leadership</w:t>
      </w:r>
      <w:r w:rsidR="0058736D">
        <w:t xml:space="preserve"> across different levels within the </w:t>
      </w:r>
      <w:r w:rsidR="007E4A8D">
        <w:t xml:space="preserve">department’s </w:t>
      </w:r>
      <w:r w:rsidR="0058736D">
        <w:t>operating system.</w:t>
      </w:r>
    </w:p>
    <w:p w14:paraId="7E546171" w14:textId="006373F8" w:rsidR="00F508EE" w:rsidRDefault="008E155D" w:rsidP="009F3963">
      <w:pPr>
        <w:rPr>
          <w:color w:val="auto"/>
        </w:rPr>
      </w:pPr>
      <w:r>
        <w:t>Globally, c</w:t>
      </w:r>
      <w:r w:rsidR="00440816">
        <w:t>ountries are shift</w:t>
      </w:r>
      <w:r w:rsidR="0058736D">
        <w:t xml:space="preserve">ing their thinking and practice, </w:t>
      </w:r>
      <w:r w:rsidR="00440816">
        <w:t>recognis</w:t>
      </w:r>
      <w:r w:rsidR="004C000F">
        <w:t>ing</w:t>
      </w:r>
      <w:r w:rsidR="00440816">
        <w:t xml:space="preserve"> the </w:t>
      </w:r>
      <w:r w:rsidR="004C000F">
        <w:t xml:space="preserve">significant </w:t>
      </w:r>
      <w:r w:rsidR="00C15767">
        <w:t xml:space="preserve">changes </w:t>
      </w:r>
      <w:r w:rsidR="0058736D">
        <w:t xml:space="preserve">in </w:t>
      </w:r>
      <w:r>
        <w:t xml:space="preserve">economic activity and in the </w:t>
      </w:r>
      <w:r w:rsidR="0058736D">
        <w:t xml:space="preserve">behaviour </w:t>
      </w:r>
      <w:r>
        <w:t xml:space="preserve">of citizens </w:t>
      </w:r>
      <w:r w:rsidR="00440816">
        <w:t xml:space="preserve">that climate change demands </w:t>
      </w:r>
      <w:r w:rsidR="007E4A8D">
        <w:t xml:space="preserve">on </w:t>
      </w:r>
      <w:r w:rsidR="00440816">
        <w:t xml:space="preserve">a local, national and </w:t>
      </w:r>
      <w:r w:rsidR="008D4A4B">
        <w:t>international scale</w:t>
      </w:r>
      <w:r w:rsidR="00440816">
        <w:t xml:space="preserve">. </w:t>
      </w:r>
      <w:r w:rsidR="0058736D">
        <w:t xml:space="preserve">The </w:t>
      </w:r>
      <w:r>
        <w:t xml:space="preserve">positive </w:t>
      </w:r>
      <w:r w:rsidR="0058736D">
        <w:t>forces of p</w:t>
      </w:r>
      <w:r w:rsidR="00A06B07">
        <w:t>olitical leadership, financial and human resources</w:t>
      </w:r>
      <w:r w:rsidR="0043768C">
        <w:t>,</w:t>
      </w:r>
      <w:r w:rsidR="00A06B07">
        <w:t xml:space="preserve"> and technology development are being deployed to address </w:t>
      </w:r>
      <w:r w:rsidR="00440816">
        <w:t xml:space="preserve">shared challenges. </w:t>
      </w:r>
      <w:r w:rsidR="00A06B07">
        <w:t>Combat</w:t>
      </w:r>
      <w:r w:rsidR="00F0034F">
        <w:t>ing</w:t>
      </w:r>
      <w:r w:rsidR="00A06B07">
        <w:t xml:space="preserve"> climate change lies at the core of the S</w:t>
      </w:r>
      <w:r w:rsidR="00F1715C">
        <w:t>DGs</w:t>
      </w:r>
      <w:r w:rsidR="00F508EE">
        <w:t>—</w:t>
      </w:r>
      <w:r w:rsidR="00440816">
        <w:t xml:space="preserve">both as a single </w:t>
      </w:r>
      <w:r w:rsidR="0043768C">
        <w:t>g</w:t>
      </w:r>
      <w:r w:rsidR="00440816">
        <w:t>oal (</w:t>
      </w:r>
      <w:r w:rsidR="00440816" w:rsidRPr="0058736D">
        <w:t xml:space="preserve">SDG </w:t>
      </w:r>
      <w:r w:rsidR="0058736D" w:rsidRPr="0058736D">
        <w:t>13</w:t>
      </w:r>
      <w:r w:rsidR="0043768C">
        <w:t xml:space="preserve">: </w:t>
      </w:r>
      <w:r w:rsidR="00F508EE" w:rsidRPr="00D04A94">
        <w:t>Tak</w:t>
      </w:r>
      <w:r w:rsidR="00411DBC" w:rsidRPr="00D04A94">
        <w:t>e</w:t>
      </w:r>
      <w:r w:rsidR="00F508EE" w:rsidRPr="00D04A94">
        <w:t xml:space="preserve"> urgent action to combat climate change</w:t>
      </w:r>
      <w:r w:rsidR="00411DBC" w:rsidRPr="00D04A94">
        <w:t xml:space="preserve"> and its impacts</w:t>
      </w:r>
      <w:r w:rsidR="00440816" w:rsidRPr="00F1715C">
        <w:t>)</w:t>
      </w:r>
      <w:r w:rsidR="007E4A8D">
        <w:t xml:space="preserve"> </w:t>
      </w:r>
      <w:r w:rsidR="00440816">
        <w:t>and as a critical factor in achieving seven of the other SDGs.</w:t>
      </w:r>
      <w:r w:rsidR="00110D83">
        <w:t xml:space="preserve"> </w:t>
      </w:r>
      <w:r w:rsidR="00576408" w:rsidRPr="0043768C">
        <w:t xml:space="preserve">Australia </w:t>
      </w:r>
      <w:r w:rsidR="00B2580C">
        <w:t>launched</w:t>
      </w:r>
      <w:r w:rsidR="00B2580C" w:rsidRPr="00884687">
        <w:t xml:space="preserve"> its first Voluntary National Review of progress against the goals in </w:t>
      </w:r>
      <w:r w:rsidR="00B2580C">
        <w:t xml:space="preserve">June </w:t>
      </w:r>
      <w:r w:rsidR="00B2580C" w:rsidRPr="00884687">
        <w:t>2018</w:t>
      </w:r>
      <w:r w:rsidR="00350DD2">
        <w:t xml:space="preserve">, </w:t>
      </w:r>
      <w:r w:rsidR="00576408" w:rsidRPr="0043768C">
        <w:t>includ</w:t>
      </w:r>
      <w:r w:rsidR="00350DD2">
        <w:t>ing</w:t>
      </w:r>
      <w:r w:rsidR="00576408" w:rsidRPr="0043768C">
        <w:t xml:space="preserve"> assessing efforts </w:t>
      </w:r>
      <w:r w:rsidR="004402B0" w:rsidRPr="0043768C">
        <w:t>with</w:t>
      </w:r>
      <w:r w:rsidR="00576408" w:rsidRPr="0043768C">
        <w:t>in Australia, and where Australia has contributed to the efforts of other countries.</w:t>
      </w:r>
    </w:p>
    <w:p w14:paraId="062B3121" w14:textId="77777777" w:rsidR="00D37B98" w:rsidRPr="007F2E0B" w:rsidRDefault="00606416" w:rsidP="00AF5EBB">
      <w:pPr>
        <w:pStyle w:val="Heading2"/>
        <w:numPr>
          <w:ilvl w:val="1"/>
          <w:numId w:val="7"/>
        </w:numPr>
        <w:ind w:left="709"/>
      </w:pPr>
      <w:bookmarkStart w:id="34" w:name="_Toc510771915"/>
      <w:r w:rsidRPr="007F2E0B">
        <w:t>C</w:t>
      </w:r>
      <w:r w:rsidR="00D37B98" w:rsidRPr="007F2E0B">
        <w:t>limate change and the aid program</w:t>
      </w:r>
      <w:bookmarkEnd w:id="34"/>
    </w:p>
    <w:p w14:paraId="420862E1" w14:textId="36EA760A" w:rsidR="00D37B98" w:rsidRDefault="00D37B98" w:rsidP="001F0B8A">
      <w:r w:rsidRPr="00921F8D">
        <w:t xml:space="preserve">The </w:t>
      </w:r>
      <w:r w:rsidRPr="00EB1F6B">
        <w:t xml:space="preserve">place and relative priority </w:t>
      </w:r>
      <w:r>
        <w:t xml:space="preserve">given to </w:t>
      </w:r>
      <w:r w:rsidRPr="00EB1F6B">
        <w:t xml:space="preserve">climate change in </w:t>
      </w:r>
      <w:r w:rsidR="009B5039">
        <w:t>Australia’s</w:t>
      </w:r>
      <w:r w:rsidR="009B5039" w:rsidRPr="00EB1F6B">
        <w:t xml:space="preserve"> </w:t>
      </w:r>
      <w:r w:rsidRPr="00EB1F6B">
        <w:t xml:space="preserve">aid program has varied over recent years. </w:t>
      </w:r>
      <w:r>
        <w:t>In 2010, developed countries pledged to provide US</w:t>
      </w:r>
      <w:r w:rsidR="00853C16">
        <w:t>D</w:t>
      </w:r>
      <w:r>
        <w:t>30 billion in Fast-start Finance by 2012</w:t>
      </w:r>
      <w:r>
        <w:rPr>
          <w:rStyle w:val="FootnoteReference"/>
        </w:rPr>
        <w:footnoteReference w:id="5"/>
      </w:r>
      <w:r>
        <w:t xml:space="preserve"> to </w:t>
      </w:r>
      <w:r w:rsidR="001E6C02">
        <w:t>kick-start</w:t>
      </w:r>
      <w:r>
        <w:t xml:space="preserve"> mitigation and adaptation initiatives in developing countries</w:t>
      </w:r>
      <w:r w:rsidR="00B530B8">
        <w:t xml:space="preserve">, </w:t>
      </w:r>
      <w:r>
        <w:t>to produce lessons for future investments</w:t>
      </w:r>
      <w:r w:rsidR="00B530B8">
        <w:t xml:space="preserve"> and support climate science</w:t>
      </w:r>
      <w:r>
        <w:t xml:space="preserve">. Australia committed </w:t>
      </w:r>
      <w:r w:rsidR="007E4A8D">
        <w:t>$</w:t>
      </w:r>
      <w:r>
        <w:t>599 million over three financial years (</w:t>
      </w:r>
      <w:r w:rsidR="00F508EE">
        <w:t xml:space="preserve">from </w:t>
      </w:r>
      <w:r>
        <w:t>201</w:t>
      </w:r>
      <w:r w:rsidR="00F508EE">
        <w:t>0–1</w:t>
      </w:r>
      <w:r>
        <w:t xml:space="preserve">1 </w:t>
      </w:r>
      <w:r w:rsidR="00F508EE">
        <w:t>to</w:t>
      </w:r>
      <w:r>
        <w:t xml:space="preserve"> 201</w:t>
      </w:r>
      <w:r w:rsidR="00F508EE">
        <w:t>2–1</w:t>
      </w:r>
      <w:r>
        <w:t>3) to this goal</w:t>
      </w:r>
      <w:r w:rsidR="00BD0FD3">
        <w:t>,</w:t>
      </w:r>
      <w:r>
        <w:t xml:space="preserve"> as part of its continued commitment to support developing countries in their efforts to respond to climate change. Th</w:t>
      </w:r>
      <w:r w:rsidR="007E4A8D">
        <w:t>is</w:t>
      </w:r>
      <w:r w:rsidR="00BD0FD3">
        <w:t xml:space="preserve"> </w:t>
      </w:r>
      <w:r>
        <w:t>finance supported a range of activities to reduce carbon emissions, enhance technology development, and help developing countries adapt to the effects of climate change. These activities had the principal goal of climate action</w:t>
      </w:r>
      <w:r w:rsidR="007E4A8D">
        <w:t>. They</w:t>
      </w:r>
      <w:r>
        <w:t xml:space="preserve"> </w:t>
      </w:r>
      <w:r w:rsidR="009C1A08">
        <w:t xml:space="preserve">engaged </w:t>
      </w:r>
      <w:r>
        <w:t xml:space="preserve">a range of new partners such as NGOs and </w:t>
      </w:r>
      <w:r w:rsidR="00117EFC">
        <w:t xml:space="preserve">other Australian </w:t>
      </w:r>
      <w:r>
        <w:t xml:space="preserve">government </w:t>
      </w:r>
      <w:r w:rsidR="00D10CC2">
        <w:t>organisations</w:t>
      </w:r>
      <w:r>
        <w:t xml:space="preserve">. The Fast-start Finance period was an unprecedented time in Australia’s climate finance provision, coinciding with the scale-up </w:t>
      </w:r>
      <w:r w:rsidR="00B66709">
        <w:t xml:space="preserve">more broadly </w:t>
      </w:r>
      <w:r>
        <w:t>of the aid program.</w:t>
      </w:r>
    </w:p>
    <w:p w14:paraId="56C62BCD" w14:textId="59D14281" w:rsidR="00D37B98" w:rsidRDefault="00D37B98" w:rsidP="001F0B8A">
      <w:r>
        <w:t>Since the conclusion of the Fast-start Finance period</w:t>
      </w:r>
      <w:r w:rsidR="005D0770">
        <w:t xml:space="preserve"> in 2013</w:t>
      </w:r>
      <w:r>
        <w:t xml:space="preserve">, and up until </w:t>
      </w:r>
      <w:r w:rsidR="009C1A08">
        <w:t>the UNFCCC Paris Agreement</w:t>
      </w:r>
      <w:r>
        <w:t xml:space="preserve">, Australia </w:t>
      </w:r>
      <w:r w:rsidR="009C1A08">
        <w:t xml:space="preserve">did </w:t>
      </w:r>
      <w:r>
        <w:t>not provide dedicated</w:t>
      </w:r>
      <w:r w:rsidR="00100DC8">
        <w:t xml:space="preserve"> additional</w:t>
      </w:r>
      <w:r>
        <w:t xml:space="preserve"> climate financing; climate action was </w:t>
      </w:r>
      <w:r w:rsidR="00C80F8E">
        <w:t xml:space="preserve">included </w:t>
      </w:r>
      <w:r>
        <w:t xml:space="preserve">along with </w:t>
      </w:r>
      <w:r>
        <w:lastRenderedPageBreak/>
        <w:t xml:space="preserve">other aid priorities in the budget process. With the move to </w:t>
      </w:r>
      <w:r w:rsidR="00C80F8E">
        <w:t xml:space="preserve">subsume </w:t>
      </w:r>
      <w:r>
        <w:t xml:space="preserve">climate change </w:t>
      </w:r>
      <w:r w:rsidR="00B66709">
        <w:t xml:space="preserve">assistance </w:t>
      </w:r>
      <w:r>
        <w:t xml:space="preserve">into the general aid programming cycle, many of the innovative </w:t>
      </w:r>
      <w:r w:rsidR="00840E4B">
        <w:t>F</w:t>
      </w:r>
      <w:r>
        <w:t>ast</w:t>
      </w:r>
      <w:r w:rsidR="00840E4B">
        <w:t>-</w:t>
      </w:r>
      <w:r>
        <w:t xml:space="preserve">start partnerships and modes of implementation </w:t>
      </w:r>
      <w:r w:rsidR="00BA4264">
        <w:t>did not continue within DFAT</w:t>
      </w:r>
      <w:r w:rsidR="00BA4264">
        <w:rPr>
          <w:rStyle w:val="FootnoteReference"/>
        </w:rPr>
        <w:footnoteReference w:id="6"/>
      </w:r>
      <w:r>
        <w:t xml:space="preserve"> as programming choices were decentralised to Posts</w:t>
      </w:r>
      <w:r w:rsidR="00B66709">
        <w:t xml:space="preserve">, many of </w:t>
      </w:r>
      <w:r w:rsidR="00095728">
        <w:t xml:space="preserve">which </w:t>
      </w:r>
      <w:r w:rsidR="00B66709">
        <w:t>also had to manage reduced aid budgets</w:t>
      </w:r>
      <w:r>
        <w:t xml:space="preserve">. There was also a loss of climate-specific expertise from the aid program as funding and priorities changed. Today, Australia’s climate finance </w:t>
      </w:r>
      <w:r w:rsidR="00A34321">
        <w:t>(</w:t>
      </w:r>
      <w:r w:rsidR="00840E4B">
        <w:fldChar w:fldCharType="begin"/>
      </w:r>
      <w:r w:rsidR="00840E4B">
        <w:instrText xml:space="preserve"> REF _Ref499901780 \h </w:instrText>
      </w:r>
      <w:r w:rsidR="00840E4B">
        <w:fldChar w:fldCharType="separate"/>
      </w:r>
      <w:r w:rsidR="00825350">
        <w:t xml:space="preserve">Figure </w:t>
      </w:r>
      <w:r w:rsidR="00825350">
        <w:rPr>
          <w:noProof/>
        </w:rPr>
        <w:t>1</w:t>
      </w:r>
      <w:r w:rsidR="00840E4B">
        <w:fldChar w:fldCharType="end"/>
      </w:r>
      <w:r w:rsidR="00A34321">
        <w:t xml:space="preserve">) </w:t>
      </w:r>
      <w:r>
        <w:t>comes from counting an agreed share of funding to multilateral organisations, funding t</w:t>
      </w:r>
      <w:r w:rsidR="001F0B8A">
        <w:t>o the Green Climate Fund</w:t>
      </w:r>
      <w:r>
        <w:t>, and country and regional programming on a case</w:t>
      </w:r>
      <w:r w:rsidR="00095728">
        <w:t>-</w:t>
      </w:r>
      <w:r>
        <w:t>by</w:t>
      </w:r>
      <w:r w:rsidR="00095728">
        <w:t>-</w:t>
      </w:r>
      <w:r>
        <w:t xml:space="preserve">case basis where </w:t>
      </w:r>
      <w:r w:rsidR="006831B3">
        <w:t xml:space="preserve">support for </w:t>
      </w:r>
      <w:r>
        <w:t>climate action has been prioritised.</w:t>
      </w:r>
    </w:p>
    <w:p w14:paraId="0B8B3E0E" w14:textId="1A6D047B" w:rsidR="002F7E20" w:rsidRDefault="002F7E20" w:rsidP="00972BE6">
      <w:pPr>
        <w:pStyle w:val="Caption"/>
        <w:keepNext/>
      </w:pPr>
      <w:bookmarkStart w:id="35" w:name="_Ref499901780"/>
      <w:bookmarkStart w:id="36" w:name="_Toc509499147"/>
      <w:bookmarkStart w:id="37" w:name="_Hlk496011109"/>
      <w:r>
        <w:t xml:space="preserve">Figure </w:t>
      </w:r>
      <w:r w:rsidR="00E7543E">
        <w:rPr>
          <w:noProof/>
        </w:rPr>
        <w:fldChar w:fldCharType="begin"/>
      </w:r>
      <w:r w:rsidR="00E7543E">
        <w:rPr>
          <w:noProof/>
        </w:rPr>
        <w:instrText xml:space="preserve"> SEQ Figure \* ARABIC </w:instrText>
      </w:r>
      <w:r w:rsidR="00E7543E">
        <w:rPr>
          <w:noProof/>
        </w:rPr>
        <w:fldChar w:fldCharType="separate"/>
      </w:r>
      <w:r w:rsidR="00825350">
        <w:rPr>
          <w:noProof/>
        </w:rPr>
        <w:t>1</w:t>
      </w:r>
      <w:r w:rsidR="00E7543E">
        <w:rPr>
          <w:noProof/>
        </w:rPr>
        <w:fldChar w:fldCharType="end"/>
      </w:r>
      <w:bookmarkEnd w:id="35"/>
      <w:r>
        <w:t xml:space="preserve">: </w:t>
      </w:r>
      <w:r w:rsidRPr="002C5C84">
        <w:t xml:space="preserve">The relative proportions of Australia’s </w:t>
      </w:r>
      <w:r w:rsidRPr="00AD3BA3">
        <w:t>international clim</w:t>
      </w:r>
      <w:r w:rsidRPr="002C5C84">
        <w:t>ate finance</w:t>
      </w:r>
      <w:r w:rsidR="00FF20C8">
        <w:t xml:space="preserve"> in financial year 2015</w:t>
      </w:r>
      <w:r w:rsidR="00095728">
        <w:t>–</w:t>
      </w:r>
      <w:r w:rsidR="00FF20C8">
        <w:t>16</w:t>
      </w:r>
      <w:bookmarkEnd w:id="36"/>
    </w:p>
    <w:p w14:paraId="77D845BF" w14:textId="77777777" w:rsidR="00F508EE" w:rsidRDefault="00187131" w:rsidP="00941B04">
      <w:pPr>
        <w:pStyle w:val="FigureHeading"/>
      </w:pPr>
      <w:r>
        <w:rPr>
          <w:noProof/>
          <w:lang w:val="en-AU" w:eastAsia="en-AU"/>
        </w:rPr>
        <mc:AlternateContent>
          <mc:Choice Requires="wpg">
            <w:drawing>
              <wp:inline distT="0" distB="0" distL="0" distR="0" wp14:anchorId="74336513" wp14:editId="77530955">
                <wp:extent cx="6781190" cy="2735885"/>
                <wp:effectExtent l="0" t="0" r="635" b="7620"/>
                <wp:docPr id="8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90" cy="2735885"/>
                          <a:chOff x="868" y="1361"/>
                          <a:chExt cx="5968" cy="3986"/>
                        </a:xfrm>
                      </wpg:grpSpPr>
                      <wps:wsp>
                        <wps:cNvPr id="84" name="Rectangle 7"/>
                        <wps:cNvSpPr>
                          <a:spLocks noChangeArrowheads="1"/>
                        </wps:cNvSpPr>
                        <wps:spPr bwMode="auto">
                          <a:xfrm>
                            <a:off x="868" y="1361"/>
                            <a:ext cx="5968" cy="3986"/>
                          </a:xfrm>
                          <a:prstGeom prst="rect">
                            <a:avLst/>
                          </a:prstGeom>
                          <a:solidFill>
                            <a:srgbClr val="FFFFFF"/>
                          </a:solidFill>
                          <a:ln w="19050" algn="ctr">
                            <a:noFill/>
                            <a:miter lim="800000"/>
                            <a:headEnd/>
                            <a:tailEnd/>
                          </a:ln>
                        </wps:spPr>
                        <wps:txbx>
                          <w:txbxContent>
                            <w:p w14:paraId="40E1B4FA" w14:textId="67886F98" w:rsidR="00825350" w:rsidRPr="0058736D" w:rsidRDefault="00825350" w:rsidP="00E458F4">
                              <w:pPr>
                                <w:spacing w:after="0" w:line="240" w:lineRule="auto"/>
                                <w:jc w:val="center"/>
                                <w:rPr>
                                  <w:rFonts w:ascii="Franklin Gothic Book" w:hAnsi="Franklin Gothic Book"/>
                                  <w:b/>
                                  <w:color w:val="000000"/>
                                  <w:sz w:val="20"/>
                                  <w:szCs w:val="20"/>
                                  <w:lang w:val="en-GB"/>
                                </w:rPr>
                              </w:pPr>
                              <w:r>
                                <w:rPr>
                                  <w:rFonts w:ascii="Franklin Gothic Book" w:hAnsi="Franklin Gothic Book"/>
                                  <w:b/>
                                  <w:color w:val="000000"/>
                                  <w:sz w:val="20"/>
                                  <w:szCs w:val="20"/>
                                  <w:lang w:val="en-GB"/>
                                </w:rPr>
                                <w:t xml:space="preserve"> </w:t>
                              </w:r>
                              <w:r w:rsidRPr="0058736D">
                                <w:rPr>
                                  <w:rFonts w:ascii="Franklin Gothic Book" w:hAnsi="Franklin Gothic Book"/>
                                  <w:b/>
                                  <w:color w:val="000000"/>
                                  <w:sz w:val="20"/>
                                  <w:szCs w:val="20"/>
                                  <w:lang w:val="en-GB"/>
                                </w:rPr>
                                <w:t xml:space="preserve"> </w:t>
                              </w:r>
                            </w:p>
                            <w:p w14:paraId="2DE8B7A8" w14:textId="77777777" w:rsidR="00825350" w:rsidRPr="00E458F4" w:rsidRDefault="00825350" w:rsidP="00E458F4">
                              <w:pPr>
                                <w:jc w:val="center"/>
                                <w:rPr>
                                  <w:rFonts w:ascii="Franklin Gothic Book" w:hAnsi="Franklin Gothic Book"/>
                                  <w:b/>
                                  <w:color w:val="000000"/>
                                  <w:sz w:val="19"/>
                                  <w:szCs w:val="19"/>
                                  <w:lang w:val="en-GB"/>
                                </w:rPr>
                              </w:pPr>
                            </w:p>
                            <w:p w14:paraId="53DA83E4" w14:textId="77777777" w:rsidR="00825350" w:rsidRPr="00E458F4" w:rsidRDefault="00825350" w:rsidP="00E458F4">
                              <w:pPr>
                                <w:jc w:val="center"/>
                                <w:rPr>
                                  <w:rFonts w:ascii="Franklin Gothic Book" w:hAnsi="Franklin Gothic Book"/>
                                  <w:color w:val="000000"/>
                                  <w:sz w:val="20"/>
                                  <w:szCs w:val="20"/>
                                  <w:lang w:val="en-GB"/>
                                </w:rPr>
                              </w:pPr>
                            </w:p>
                          </w:txbxContent>
                        </wps:txbx>
                        <wps:bodyPr rot="0" vert="horz" wrap="square" lIns="91440" tIns="45720" rIns="91440" bIns="45720" anchor="t" anchorCtr="0" upright="1">
                          <a:noAutofit/>
                        </wps:bodyPr>
                      </wps:wsp>
                      <wps:wsp>
                        <wps:cNvPr id="85" name="Rectangle 4"/>
                        <wps:cNvSpPr>
                          <a:spLocks noChangeArrowheads="1"/>
                        </wps:cNvSpPr>
                        <wps:spPr bwMode="auto">
                          <a:xfrm>
                            <a:off x="868" y="1361"/>
                            <a:ext cx="3089" cy="3986"/>
                          </a:xfrm>
                          <a:prstGeom prst="rect">
                            <a:avLst/>
                          </a:prstGeom>
                          <a:solidFill>
                            <a:srgbClr val="007C89"/>
                          </a:solidFill>
                          <a:ln w="15875" algn="ctr">
                            <a:noFill/>
                            <a:miter lim="800000"/>
                            <a:headEnd/>
                            <a:tailEnd/>
                          </a:ln>
                        </wps:spPr>
                        <wps:txbx>
                          <w:txbxContent>
                            <w:p w14:paraId="60145303" w14:textId="203AC844" w:rsidR="00825350" w:rsidRPr="0058736D" w:rsidRDefault="00825350" w:rsidP="00E458F4">
                              <w:pPr>
                                <w:jc w:val="center"/>
                                <w:rPr>
                                  <w:rFonts w:ascii="Franklin Gothic Book" w:hAnsi="Franklin Gothic Book"/>
                                  <w:color w:val="FFFFFF"/>
                                </w:rPr>
                              </w:pPr>
                              <w:r>
                                <w:rPr>
                                  <w:rFonts w:ascii="Franklin Gothic Book" w:hAnsi="Franklin Gothic Book"/>
                                  <w:color w:val="FFFFFF"/>
                                </w:rPr>
                                <w:t>$</w:t>
                              </w:r>
                              <w:r w:rsidRPr="0058736D">
                                <w:rPr>
                                  <w:rFonts w:ascii="Franklin Gothic Book" w:hAnsi="Franklin Gothic Book"/>
                                  <w:color w:val="FFFFFF"/>
                                </w:rPr>
                                <w:t>150</w:t>
                              </w:r>
                              <w:r>
                                <w:rPr>
                                  <w:rFonts w:ascii="Franklin Gothic Book" w:hAnsi="Franklin Gothic Book"/>
                                  <w:color w:val="FFFFFF"/>
                                </w:rPr>
                                <w:t xml:space="preserve"> </w:t>
                              </w:r>
                              <w:r w:rsidRPr="0058736D">
                                <w:rPr>
                                  <w:rFonts w:ascii="Franklin Gothic Book" w:hAnsi="Franklin Gothic Book"/>
                                  <w:color w:val="FFFFFF"/>
                                </w:rPr>
                                <w:t>m</w:t>
                              </w:r>
                              <w:r>
                                <w:rPr>
                                  <w:rFonts w:ascii="Franklin Gothic Book" w:hAnsi="Franklin Gothic Book"/>
                                  <w:color w:val="FFFFFF"/>
                                </w:rPr>
                                <w:t>illion</w:t>
                              </w:r>
                            </w:p>
                            <w:p w14:paraId="06C1726F" w14:textId="77777777" w:rsidR="00825350" w:rsidRDefault="00825350" w:rsidP="00E458F4">
                              <w:pPr>
                                <w:jc w:val="center"/>
                                <w:rPr>
                                  <w:rFonts w:ascii="Franklin Gothic Book" w:hAnsi="Franklin Gothic Book"/>
                                  <w:color w:val="FFFFFF"/>
                                  <w:sz w:val="20"/>
                                  <w:szCs w:val="20"/>
                                </w:rPr>
                              </w:pPr>
                              <w:r w:rsidRPr="0058736D">
                                <w:rPr>
                                  <w:rFonts w:ascii="Franklin Gothic Book" w:hAnsi="Franklin Gothic Book"/>
                                  <w:color w:val="FFFFFF"/>
                                  <w:sz w:val="20"/>
                                  <w:szCs w:val="20"/>
                                </w:rPr>
                                <w:t>DFAT contributions</w:t>
                              </w:r>
                              <w:r>
                                <w:rPr>
                                  <w:rFonts w:ascii="Franklin Gothic Book" w:hAnsi="Franklin Gothic Book"/>
                                  <w:color w:val="FFFFFF"/>
                                  <w:sz w:val="20"/>
                                  <w:szCs w:val="20"/>
                                </w:rPr>
                                <w:t xml:space="preserve">  </w:t>
                              </w:r>
                              <w:r w:rsidRPr="0058736D">
                                <w:rPr>
                                  <w:rFonts w:ascii="Franklin Gothic Book" w:hAnsi="Franklin Gothic Book"/>
                                  <w:color w:val="FFFFFF"/>
                                  <w:sz w:val="20"/>
                                  <w:szCs w:val="20"/>
                                </w:rPr>
                                <w:t>to multilateral organisations engagement on</w:t>
                              </w:r>
                              <w:r>
                                <w:rPr>
                                  <w:rFonts w:ascii="Franklin Gothic Book" w:hAnsi="Franklin Gothic Book"/>
                                  <w:color w:val="FFFFFF"/>
                                  <w:sz w:val="20"/>
                                  <w:szCs w:val="20"/>
                                </w:rPr>
                                <w:t xml:space="preserve"> </w:t>
                              </w:r>
                              <w:r w:rsidRPr="0058736D">
                                <w:rPr>
                                  <w:rFonts w:ascii="Franklin Gothic Book" w:hAnsi="Franklin Gothic Book"/>
                                  <w:color w:val="FFFFFF"/>
                                  <w:sz w:val="20"/>
                                  <w:szCs w:val="20"/>
                                </w:rPr>
                                <w:t>climate change</w:t>
                              </w:r>
                            </w:p>
                            <w:p w14:paraId="464FD12F" w14:textId="0A21A5CF" w:rsidR="00825350" w:rsidRPr="0058736D" w:rsidRDefault="00825350" w:rsidP="00E458F4">
                              <w:pPr>
                                <w:jc w:val="center"/>
                                <w:rPr>
                                  <w:rFonts w:ascii="Franklin Gothic Book" w:hAnsi="Franklin Gothic Book"/>
                                  <w:color w:val="FFFFFF"/>
                                  <w:sz w:val="20"/>
                                  <w:szCs w:val="20"/>
                                </w:rPr>
                              </w:pPr>
                              <w:r>
                                <w:rPr>
                                  <w:rFonts w:ascii="Franklin Gothic Book" w:hAnsi="Franklin Gothic Book"/>
                                  <w:color w:val="FFFFFF"/>
                                  <w:sz w:val="20"/>
                                  <w:szCs w:val="20"/>
                                </w:rPr>
                                <w:t>(includes Green Climate Fund)</w:t>
                              </w:r>
                            </w:p>
                          </w:txbxContent>
                        </wps:txbx>
                        <wps:bodyPr rot="0" vert="horz" wrap="square" lIns="91440" tIns="45720" rIns="91440" bIns="45720" anchor="ctr" anchorCtr="0" upright="1">
                          <a:noAutofit/>
                        </wps:bodyPr>
                      </wps:wsp>
                      <wps:wsp>
                        <wps:cNvPr id="86" name="Rectangle 6"/>
                        <wps:cNvSpPr>
                          <a:spLocks noChangeArrowheads="1"/>
                        </wps:cNvSpPr>
                        <wps:spPr bwMode="auto">
                          <a:xfrm>
                            <a:off x="3979" y="1373"/>
                            <a:ext cx="1846" cy="3974"/>
                          </a:xfrm>
                          <a:prstGeom prst="rect">
                            <a:avLst/>
                          </a:prstGeom>
                          <a:solidFill>
                            <a:srgbClr val="89C3B2"/>
                          </a:solidFill>
                          <a:ln w="15875" algn="ctr">
                            <a:noFill/>
                            <a:miter lim="800000"/>
                            <a:headEnd/>
                            <a:tailEnd/>
                          </a:ln>
                        </wps:spPr>
                        <wps:txbx>
                          <w:txbxContent>
                            <w:p w14:paraId="75CF7476" w14:textId="47E2A627" w:rsidR="00825350" w:rsidRPr="00E458F4" w:rsidRDefault="00825350" w:rsidP="00E458F4">
                              <w:pPr>
                                <w:jc w:val="center"/>
                                <w:rPr>
                                  <w:rFonts w:ascii="Franklin Gothic Book" w:hAnsi="Franklin Gothic Book"/>
                                  <w:color w:val="000000"/>
                                </w:rPr>
                              </w:pPr>
                              <w:r>
                                <w:rPr>
                                  <w:rFonts w:ascii="Franklin Gothic Book" w:hAnsi="Franklin Gothic Book"/>
                                  <w:color w:val="000000"/>
                                </w:rPr>
                                <w:t>$</w:t>
                              </w:r>
                              <w:r w:rsidRPr="00E458F4">
                                <w:rPr>
                                  <w:rFonts w:ascii="Franklin Gothic Book" w:hAnsi="Franklin Gothic Book"/>
                                  <w:color w:val="000000"/>
                                </w:rPr>
                                <w:t>100</w:t>
                              </w:r>
                              <w:r>
                                <w:rPr>
                                  <w:rFonts w:ascii="Franklin Gothic Book" w:hAnsi="Franklin Gothic Book"/>
                                  <w:color w:val="000000"/>
                                </w:rPr>
                                <w:t xml:space="preserve"> </w:t>
                              </w:r>
                              <w:r w:rsidRPr="00E458F4">
                                <w:rPr>
                                  <w:rFonts w:ascii="Franklin Gothic Book" w:hAnsi="Franklin Gothic Book"/>
                                  <w:color w:val="000000"/>
                                </w:rPr>
                                <w:t>m</w:t>
                              </w:r>
                              <w:r>
                                <w:rPr>
                                  <w:rFonts w:ascii="Franklin Gothic Book" w:hAnsi="Franklin Gothic Book"/>
                                  <w:color w:val="000000"/>
                                </w:rPr>
                                <w:t>illion</w:t>
                              </w:r>
                            </w:p>
                            <w:p w14:paraId="32B3D1B9" w14:textId="77777777" w:rsidR="00825350" w:rsidRPr="00E458F4" w:rsidRDefault="00825350" w:rsidP="00E458F4">
                              <w:pPr>
                                <w:jc w:val="center"/>
                                <w:rPr>
                                  <w:rFonts w:ascii="Franklin Gothic Book" w:hAnsi="Franklin Gothic Book"/>
                                  <w:color w:val="000000"/>
                                  <w:sz w:val="20"/>
                                  <w:szCs w:val="20"/>
                                </w:rPr>
                              </w:pPr>
                              <w:r w:rsidRPr="00E458F4">
                                <w:rPr>
                                  <w:rFonts w:ascii="Franklin Gothic Book" w:hAnsi="Franklin Gothic Book"/>
                                  <w:color w:val="000000"/>
                                  <w:sz w:val="20"/>
                                  <w:szCs w:val="20"/>
                                </w:rPr>
                                <w:t>DFAT expenditure through bilateral</w:t>
                              </w:r>
                              <w:r>
                                <w:rPr>
                                  <w:rFonts w:ascii="Franklin Gothic Book" w:hAnsi="Franklin Gothic Book"/>
                                  <w:color w:val="000000"/>
                                  <w:sz w:val="20"/>
                                  <w:szCs w:val="20"/>
                                </w:rPr>
                                <w:t xml:space="preserve">     </w:t>
                              </w:r>
                              <w:r w:rsidRPr="00E458F4">
                                <w:rPr>
                                  <w:rFonts w:ascii="Franklin Gothic Book" w:hAnsi="Franklin Gothic Book"/>
                                  <w:color w:val="000000"/>
                                  <w:sz w:val="20"/>
                                  <w:szCs w:val="20"/>
                                </w:rPr>
                                <w:t xml:space="preserve"> and regional programming</w:t>
                              </w:r>
                            </w:p>
                          </w:txbxContent>
                        </wps:txbx>
                        <wps:bodyPr rot="0" vert="horz" wrap="square" lIns="91440" tIns="45720" rIns="91440" bIns="45720" anchor="ctr" anchorCtr="0" upright="1">
                          <a:noAutofit/>
                        </wps:bodyPr>
                      </wps:wsp>
                    </wpg:wgp>
                  </a:graphicData>
                </a:graphic>
              </wp:inline>
            </w:drawing>
          </mc:Choice>
          <mc:Fallback>
            <w:pict>
              <v:group w14:anchorId="74336513" id="Group 89" o:spid="_x0000_s1026" style="width:533.95pt;height:215.4pt;mso-position-horizontal-relative:char;mso-position-vertical-relative:line" coordorigin="868,1361" coordsize="5968,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">
                <v:rect id="Rectangle 7" o:spid="_x0000_s1027" style="position:absolute;left:868;top:1361;width:5968;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" stroked="f" strokeweight="1.5pt">
                  <v:textbox>
                    <w:txbxContent>
                      <w:p w14:paraId="40E1B4FA" w14:textId="67886F98" w:rsidR="00825350" w:rsidRPr="0058736D" w:rsidRDefault="00825350" w:rsidP="00E458F4">
                        <w:pPr>
                          <w:spacing w:after="0" w:line="240" w:lineRule="auto"/>
                          <w:jc w:val="center"/>
                          <w:rPr>
                            <w:rFonts w:ascii="Franklin Gothic Book" w:hAnsi="Franklin Gothic Book"/>
                            <w:b/>
                            <w:color w:val="000000"/>
                            <w:sz w:val="20"/>
                            <w:szCs w:val="20"/>
                            <w:lang w:val="en-GB"/>
                          </w:rPr>
                        </w:pPr>
                        <w:r>
                          <w:rPr>
                            <w:rFonts w:ascii="Franklin Gothic Book" w:hAnsi="Franklin Gothic Book"/>
                            <w:b/>
                            <w:color w:val="000000"/>
                            <w:sz w:val="20"/>
                            <w:szCs w:val="20"/>
                            <w:lang w:val="en-GB"/>
                          </w:rPr>
                          <w:t xml:space="preserve"> </w:t>
                        </w:r>
                        <w:r w:rsidRPr="0058736D">
                          <w:rPr>
                            <w:rFonts w:ascii="Franklin Gothic Book" w:hAnsi="Franklin Gothic Book"/>
                            <w:b/>
                            <w:color w:val="000000"/>
                            <w:sz w:val="20"/>
                            <w:szCs w:val="20"/>
                            <w:lang w:val="en-GB"/>
                          </w:rPr>
                          <w:t xml:space="preserve"> </w:t>
                        </w:r>
                      </w:p>
                      <w:p w14:paraId="2DE8B7A8" w14:textId="77777777" w:rsidR="00825350" w:rsidRPr="00E458F4" w:rsidRDefault="00825350" w:rsidP="00E458F4">
                        <w:pPr>
                          <w:jc w:val="center"/>
                          <w:rPr>
                            <w:rFonts w:ascii="Franklin Gothic Book" w:hAnsi="Franklin Gothic Book"/>
                            <w:b/>
                            <w:color w:val="000000"/>
                            <w:sz w:val="19"/>
                            <w:szCs w:val="19"/>
                            <w:lang w:val="en-GB"/>
                          </w:rPr>
                        </w:pPr>
                      </w:p>
                      <w:p w14:paraId="53DA83E4" w14:textId="77777777" w:rsidR="00825350" w:rsidRPr="00E458F4" w:rsidRDefault="00825350" w:rsidP="00E458F4">
                        <w:pPr>
                          <w:jc w:val="center"/>
                          <w:rPr>
                            <w:rFonts w:ascii="Franklin Gothic Book" w:hAnsi="Franklin Gothic Book"/>
                            <w:color w:val="000000"/>
                            <w:sz w:val="20"/>
                            <w:szCs w:val="20"/>
                            <w:lang w:val="en-GB"/>
                          </w:rPr>
                        </w:pPr>
                      </w:p>
                    </w:txbxContent>
                  </v:textbox>
                </v:rect>
                <v:rect id="Rectangle 4" o:spid="_x0000_s1028" style="position:absolute;left:868;top:1361;width:3089;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" fillcolor="#007c89" stroked="f" strokeweight="1.25pt">
                  <v:textbox>
                    <w:txbxContent>
                      <w:p w14:paraId="60145303" w14:textId="203AC844" w:rsidR="00825350" w:rsidRPr="0058736D" w:rsidRDefault="00825350" w:rsidP="00E458F4">
                        <w:pPr>
                          <w:jc w:val="center"/>
                          <w:rPr>
                            <w:rFonts w:ascii="Franklin Gothic Book" w:hAnsi="Franklin Gothic Book"/>
                            <w:color w:val="FFFFFF"/>
                          </w:rPr>
                        </w:pPr>
                        <w:r>
                          <w:rPr>
                            <w:rFonts w:ascii="Franklin Gothic Book" w:hAnsi="Franklin Gothic Book"/>
                            <w:color w:val="FFFFFF"/>
                          </w:rPr>
                          <w:t>$</w:t>
                        </w:r>
                        <w:r w:rsidRPr="0058736D">
                          <w:rPr>
                            <w:rFonts w:ascii="Franklin Gothic Book" w:hAnsi="Franklin Gothic Book"/>
                            <w:color w:val="FFFFFF"/>
                          </w:rPr>
                          <w:t>150</w:t>
                        </w:r>
                        <w:r>
                          <w:rPr>
                            <w:rFonts w:ascii="Franklin Gothic Book" w:hAnsi="Franklin Gothic Book"/>
                            <w:color w:val="FFFFFF"/>
                          </w:rPr>
                          <w:t xml:space="preserve"> </w:t>
                        </w:r>
                        <w:r w:rsidRPr="0058736D">
                          <w:rPr>
                            <w:rFonts w:ascii="Franklin Gothic Book" w:hAnsi="Franklin Gothic Book"/>
                            <w:color w:val="FFFFFF"/>
                          </w:rPr>
                          <w:t>m</w:t>
                        </w:r>
                        <w:r>
                          <w:rPr>
                            <w:rFonts w:ascii="Franklin Gothic Book" w:hAnsi="Franklin Gothic Book"/>
                            <w:color w:val="FFFFFF"/>
                          </w:rPr>
                          <w:t>illion</w:t>
                        </w:r>
                      </w:p>
                      <w:p w14:paraId="06C1726F" w14:textId="77777777" w:rsidR="00825350" w:rsidRDefault="00825350" w:rsidP="00E458F4">
                        <w:pPr>
                          <w:jc w:val="center"/>
                          <w:rPr>
                            <w:rFonts w:ascii="Franklin Gothic Book" w:hAnsi="Franklin Gothic Book"/>
                            <w:color w:val="FFFFFF"/>
                            <w:sz w:val="20"/>
                            <w:szCs w:val="20"/>
                          </w:rPr>
                        </w:pPr>
                        <w:r w:rsidRPr="0058736D">
                          <w:rPr>
                            <w:rFonts w:ascii="Franklin Gothic Book" w:hAnsi="Franklin Gothic Book"/>
                            <w:color w:val="FFFFFF"/>
                            <w:sz w:val="20"/>
                            <w:szCs w:val="20"/>
                          </w:rPr>
                          <w:t>DFAT contributions</w:t>
                        </w:r>
                        <w:r>
                          <w:rPr>
                            <w:rFonts w:ascii="Franklin Gothic Book" w:hAnsi="Franklin Gothic Book"/>
                            <w:color w:val="FFFFFF"/>
                            <w:sz w:val="20"/>
                            <w:szCs w:val="20"/>
                          </w:rPr>
                          <w:t xml:space="preserve">  </w:t>
                        </w:r>
                        <w:r w:rsidRPr="0058736D">
                          <w:rPr>
                            <w:rFonts w:ascii="Franklin Gothic Book" w:hAnsi="Franklin Gothic Book"/>
                            <w:color w:val="FFFFFF"/>
                            <w:sz w:val="20"/>
                            <w:szCs w:val="20"/>
                          </w:rPr>
                          <w:t>to multilateral organisations engagement on</w:t>
                        </w:r>
                        <w:r>
                          <w:rPr>
                            <w:rFonts w:ascii="Franklin Gothic Book" w:hAnsi="Franklin Gothic Book"/>
                            <w:color w:val="FFFFFF"/>
                            <w:sz w:val="20"/>
                            <w:szCs w:val="20"/>
                          </w:rPr>
                          <w:t xml:space="preserve"> </w:t>
                        </w:r>
                        <w:r w:rsidRPr="0058736D">
                          <w:rPr>
                            <w:rFonts w:ascii="Franklin Gothic Book" w:hAnsi="Franklin Gothic Book"/>
                            <w:color w:val="FFFFFF"/>
                            <w:sz w:val="20"/>
                            <w:szCs w:val="20"/>
                          </w:rPr>
                          <w:t>climate change</w:t>
                        </w:r>
                      </w:p>
                      <w:p w14:paraId="464FD12F" w14:textId="0A21A5CF" w:rsidR="00825350" w:rsidRPr="0058736D" w:rsidRDefault="00825350" w:rsidP="00E458F4">
                        <w:pPr>
                          <w:jc w:val="center"/>
                          <w:rPr>
                            <w:rFonts w:ascii="Franklin Gothic Book" w:hAnsi="Franklin Gothic Book"/>
                            <w:color w:val="FFFFFF"/>
                            <w:sz w:val="20"/>
                            <w:szCs w:val="20"/>
                          </w:rPr>
                        </w:pPr>
                        <w:r>
                          <w:rPr>
                            <w:rFonts w:ascii="Franklin Gothic Book" w:hAnsi="Franklin Gothic Book"/>
                            <w:color w:val="FFFFFF"/>
                            <w:sz w:val="20"/>
                            <w:szCs w:val="20"/>
                          </w:rPr>
                          <w:t>(includes Green Climate Fund)</w:t>
                        </w:r>
                      </w:p>
                    </w:txbxContent>
                  </v:textbox>
                </v:rect>
                <v:rect id="Rectangle 6" o:spid="_x0000_s1029" style="position:absolute;left:3979;top:1373;width:1846;height: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" fillcolor="#89c3b2" stroked="f" strokeweight="1.25pt">
                  <v:textbox>
                    <w:txbxContent>
                      <w:p w14:paraId="75CF7476" w14:textId="47E2A627" w:rsidR="00825350" w:rsidRPr="00E458F4" w:rsidRDefault="00825350" w:rsidP="00E458F4">
                        <w:pPr>
                          <w:jc w:val="center"/>
                          <w:rPr>
                            <w:rFonts w:ascii="Franklin Gothic Book" w:hAnsi="Franklin Gothic Book"/>
                            <w:color w:val="000000"/>
                          </w:rPr>
                        </w:pPr>
                        <w:r>
                          <w:rPr>
                            <w:rFonts w:ascii="Franklin Gothic Book" w:hAnsi="Franklin Gothic Book"/>
                            <w:color w:val="000000"/>
                          </w:rPr>
                          <w:t>$</w:t>
                        </w:r>
                        <w:r w:rsidRPr="00E458F4">
                          <w:rPr>
                            <w:rFonts w:ascii="Franklin Gothic Book" w:hAnsi="Franklin Gothic Book"/>
                            <w:color w:val="000000"/>
                          </w:rPr>
                          <w:t>100</w:t>
                        </w:r>
                        <w:r>
                          <w:rPr>
                            <w:rFonts w:ascii="Franklin Gothic Book" w:hAnsi="Franklin Gothic Book"/>
                            <w:color w:val="000000"/>
                          </w:rPr>
                          <w:t xml:space="preserve"> </w:t>
                        </w:r>
                        <w:r w:rsidRPr="00E458F4">
                          <w:rPr>
                            <w:rFonts w:ascii="Franklin Gothic Book" w:hAnsi="Franklin Gothic Book"/>
                            <w:color w:val="000000"/>
                          </w:rPr>
                          <w:t>m</w:t>
                        </w:r>
                        <w:r>
                          <w:rPr>
                            <w:rFonts w:ascii="Franklin Gothic Book" w:hAnsi="Franklin Gothic Book"/>
                            <w:color w:val="000000"/>
                          </w:rPr>
                          <w:t>illion</w:t>
                        </w:r>
                      </w:p>
                      <w:p w14:paraId="32B3D1B9" w14:textId="77777777" w:rsidR="00825350" w:rsidRPr="00E458F4" w:rsidRDefault="00825350" w:rsidP="00E458F4">
                        <w:pPr>
                          <w:jc w:val="center"/>
                          <w:rPr>
                            <w:rFonts w:ascii="Franklin Gothic Book" w:hAnsi="Franklin Gothic Book"/>
                            <w:color w:val="000000"/>
                            <w:sz w:val="20"/>
                            <w:szCs w:val="20"/>
                          </w:rPr>
                        </w:pPr>
                        <w:r w:rsidRPr="00E458F4">
                          <w:rPr>
                            <w:rFonts w:ascii="Franklin Gothic Book" w:hAnsi="Franklin Gothic Book"/>
                            <w:color w:val="000000"/>
                            <w:sz w:val="20"/>
                            <w:szCs w:val="20"/>
                          </w:rPr>
                          <w:t>DFAT expenditure through bilateral</w:t>
                        </w:r>
                        <w:r>
                          <w:rPr>
                            <w:rFonts w:ascii="Franklin Gothic Book" w:hAnsi="Franklin Gothic Book"/>
                            <w:color w:val="000000"/>
                            <w:sz w:val="20"/>
                            <w:szCs w:val="20"/>
                          </w:rPr>
                          <w:t xml:space="preserve">     </w:t>
                        </w:r>
                        <w:r w:rsidRPr="00E458F4">
                          <w:rPr>
                            <w:rFonts w:ascii="Franklin Gothic Book" w:hAnsi="Franklin Gothic Book"/>
                            <w:color w:val="000000"/>
                            <w:sz w:val="20"/>
                            <w:szCs w:val="20"/>
                          </w:rPr>
                          <w:t xml:space="preserve"> and regional programming</w:t>
                        </w:r>
                      </w:p>
                    </w:txbxContent>
                  </v:textbox>
                </v:rect>
                <w10:anchorlock/>
              </v:group>
            </w:pict>
          </mc:Fallback>
        </mc:AlternateContent>
      </w:r>
      <w:bookmarkEnd w:id="37"/>
    </w:p>
    <w:p w14:paraId="3EF8A619" w14:textId="77777777" w:rsidR="002F7E20" w:rsidRDefault="002F7E20" w:rsidP="001F0B8A"/>
    <w:p w14:paraId="6408F4B5" w14:textId="5BC7E79E" w:rsidR="00F508EE" w:rsidRDefault="00117EFC" w:rsidP="001F0B8A">
      <w:r>
        <w:t>In September 2016</w:t>
      </w:r>
      <w:r w:rsidR="000D17A8">
        <w:t>,</w:t>
      </w:r>
      <w:r w:rsidR="00D37B98" w:rsidRPr="00EB1F6B">
        <w:t xml:space="preserve"> </w:t>
      </w:r>
      <w:r w:rsidR="00D37B98">
        <w:t xml:space="preserve">DFAT established an interdepartmental </w:t>
      </w:r>
      <w:r w:rsidR="00D37B98" w:rsidRPr="00EB1F6B">
        <w:t>Climate Change and Development Working Group</w:t>
      </w:r>
      <w:r w:rsidR="00D37B98">
        <w:t xml:space="preserve">. The </w:t>
      </w:r>
      <w:r w:rsidR="000D17A8">
        <w:t>w</w:t>
      </w:r>
      <w:r w:rsidR="00D37B98">
        <w:t xml:space="preserve">orking </w:t>
      </w:r>
      <w:r w:rsidR="000D17A8">
        <w:t>g</w:t>
      </w:r>
      <w:r w:rsidR="00D37B98">
        <w:t>roup is co-chaired by th</w:t>
      </w:r>
      <w:r w:rsidR="00D37B98" w:rsidRPr="00AD3BA3">
        <w:t xml:space="preserve">e </w:t>
      </w:r>
      <w:r w:rsidR="009045AD" w:rsidRPr="00AD3BA3">
        <w:t>a</w:t>
      </w:r>
      <w:r w:rsidR="00D37B98" w:rsidRPr="00AD3BA3">
        <w:t xml:space="preserve">ssistant </w:t>
      </w:r>
      <w:r w:rsidR="009045AD" w:rsidRPr="00D04A94">
        <w:t>s</w:t>
      </w:r>
      <w:r w:rsidR="00D37B98" w:rsidRPr="00AD3BA3">
        <w:t>ecretaries of</w:t>
      </w:r>
      <w:r w:rsidR="00D37B98">
        <w:t xml:space="preserve"> </w:t>
      </w:r>
      <w:r w:rsidR="000D17A8">
        <w:t xml:space="preserve">the </w:t>
      </w:r>
      <w:r w:rsidR="00D37B98">
        <w:t xml:space="preserve">Sustainability and Climate Change Branch and </w:t>
      </w:r>
      <w:r w:rsidR="000D17A8">
        <w:t xml:space="preserve">the </w:t>
      </w:r>
      <w:r w:rsidR="00D37B98">
        <w:t xml:space="preserve">Development Policy and Education Branch. </w:t>
      </w:r>
      <w:r w:rsidR="00095728">
        <w:t>M</w:t>
      </w:r>
      <w:r w:rsidR="00D37B98">
        <w:t>embership comprises a broad range of DFAT policy and program areas</w:t>
      </w:r>
      <w:r w:rsidR="000D17A8">
        <w:t>,</w:t>
      </w:r>
      <w:r w:rsidR="00D37B98">
        <w:t xml:space="preserve"> as well as </w:t>
      </w:r>
      <w:r w:rsidRPr="00117EFC">
        <w:t xml:space="preserve">other Australian government </w:t>
      </w:r>
      <w:r w:rsidR="00D10CC2">
        <w:t xml:space="preserve">organisations </w:t>
      </w:r>
      <w:r>
        <w:t>with an interest in climate change and international development, such as</w:t>
      </w:r>
      <w:r w:rsidRPr="00117EFC">
        <w:t xml:space="preserve"> </w:t>
      </w:r>
      <w:r>
        <w:t xml:space="preserve">the </w:t>
      </w:r>
      <w:bookmarkStart w:id="38" w:name="_Hlk518592031"/>
      <w:r w:rsidRPr="00117EFC">
        <w:t>Australian Centre for International Agricultural Research</w:t>
      </w:r>
      <w:r>
        <w:t xml:space="preserve"> (ACIAR), BOM, CSIRO, </w:t>
      </w:r>
      <w:r w:rsidR="00BD0FD3">
        <w:t>DoEE</w:t>
      </w:r>
      <w:bookmarkEnd w:id="38"/>
      <w:r w:rsidR="00D94A0B">
        <w:t>,</w:t>
      </w:r>
      <w:r>
        <w:t xml:space="preserve"> and</w:t>
      </w:r>
      <w:r w:rsidR="00D7147D">
        <w:t xml:space="preserve"> </w:t>
      </w:r>
      <w:r>
        <w:t>Geoscience Australia.</w:t>
      </w:r>
    </w:p>
    <w:p w14:paraId="46A0A59C" w14:textId="6537398D" w:rsidR="00402448" w:rsidRDefault="00603C42" w:rsidP="001F0B8A">
      <w:pPr>
        <w:sectPr w:rsidR="00402448" w:rsidSect="00CA055E">
          <w:headerReference w:type="default" r:id="rId34"/>
          <w:footerReference w:type="default" r:id="rId35"/>
          <w:type w:val="continuous"/>
          <w:pgSz w:w="11906" w:h="16838" w:code="9"/>
          <w:pgMar w:top="1152" w:right="850" w:bottom="1531" w:left="851" w:header="510" w:footer="510" w:gutter="0"/>
          <w:cols w:space="708"/>
          <w:docGrid w:linePitch="360"/>
        </w:sectPr>
      </w:pPr>
      <w:r>
        <w:t xml:space="preserve">At the time of preparing this evaluation, </w:t>
      </w:r>
      <w:r w:rsidR="000D17A8">
        <w:t xml:space="preserve">the </w:t>
      </w:r>
      <w:r>
        <w:t>Sustainability and Climate Change Branch indicated its intention to seek senior</w:t>
      </w:r>
      <w:r w:rsidR="00065E05">
        <w:t>-</w:t>
      </w:r>
      <w:r>
        <w:t xml:space="preserve">level endorsement of a climate change </w:t>
      </w:r>
      <w:r w:rsidR="00ED6F18">
        <w:t xml:space="preserve">and development </w:t>
      </w:r>
      <w:r>
        <w:t>strategy</w:t>
      </w:r>
      <w:r w:rsidR="00ED6F18">
        <w:t>, integration</w:t>
      </w:r>
      <w:r>
        <w:t xml:space="preserve"> and implementation plan for the </w:t>
      </w:r>
      <w:r w:rsidR="009045AD">
        <w:t>d</w:t>
      </w:r>
      <w:r>
        <w:t>epartment in 2018.</w:t>
      </w:r>
      <w:r w:rsidR="00576391">
        <w:t xml:space="preserve"> </w:t>
      </w:r>
      <w:r w:rsidR="002435C5">
        <w:t xml:space="preserve">The </w:t>
      </w:r>
      <w:r w:rsidR="00482EE1">
        <w:t>w</w:t>
      </w:r>
      <w:r w:rsidR="002435C5">
        <w:t xml:space="preserve">orking </w:t>
      </w:r>
      <w:r w:rsidR="00482EE1">
        <w:t>g</w:t>
      </w:r>
      <w:r w:rsidR="002435C5">
        <w:t xml:space="preserve">roup will help develop and test the strategy. </w:t>
      </w:r>
      <w:r w:rsidR="00C358AD">
        <w:t xml:space="preserve">The ODE evaluation of climate change assistance </w:t>
      </w:r>
      <w:r w:rsidR="005D33F7">
        <w:t xml:space="preserve">was </w:t>
      </w:r>
      <w:r w:rsidR="00C358AD">
        <w:t xml:space="preserve">designed and timed to feed into this process of strategy formulation </w:t>
      </w:r>
      <w:r w:rsidR="005D33F7">
        <w:t>and early stage implementation.</w:t>
      </w:r>
    </w:p>
    <w:p w14:paraId="1BFE340E" w14:textId="77777777" w:rsidR="00F508EE" w:rsidRDefault="00F508EE" w:rsidP="001F0B8A"/>
    <w:p w14:paraId="021FC386" w14:textId="77777777" w:rsidR="00402448" w:rsidRDefault="00402448" w:rsidP="001F0B8A">
      <w:pPr>
        <w:sectPr w:rsidR="00402448" w:rsidSect="00CD3395">
          <w:pgSz w:w="11906" w:h="16838" w:code="9"/>
          <w:pgMar w:top="1152" w:right="850" w:bottom="1531" w:left="851" w:header="510" w:footer="510" w:gutter="0"/>
          <w:cols w:space="708"/>
          <w:docGrid w:linePitch="360"/>
        </w:sectPr>
      </w:pPr>
    </w:p>
    <w:p w14:paraId="179C9545" w14:textId="77777777" w:rsidR="00CD3395" w:rsidRDefault="00CD3395" w:rsidP="001F0B8A"/>
    <w:p w14:paraId="6D172446" w14:textId="77777777" w:rsidR="00F508EE" w:rsidRPr="004F1A12" w:rsidRDefault="00B23FDC" w:rsidP="004F1A12">
      <w:pPr>
        <w:pStyle w:val="Heading1"/>
      </w:pPr>
      <w:bookmarkStart w:id="39" w:name="_Toc510771916"/>
      <w:r w:rsidRPr="004F1A12">
        <w:t xml:space="preserve">2.0 </w:t>
      </w:r>
      <w:r w:rsidR="006454A8" w:rsidRPr="004F1A12">
        <w:t>t</w:t>
      </w:r>
      <w:r w:rsidR="00436615" w:rsidRPr="004F1A12">
        <w:t>he Evaluation</w:t>
      </w:r>
      <w:bookmarkEnd w:id="39"/>
    </w:p>
    <w:p w14:paraId="2BD788B8" w14:textId="5CD3F521" w:rsidR="00F508EE" w:rsidRDefault="00B25F9E" w:rsidP="00B25F9E">
      <w:r>
        <w:t xml:space="preserve">This section of the report sets out the scope and nature of the evaluation, </w:t>
      </w:r>
      <w:r w:rsidR="00471984">
        <w:t xml:space="preserve">and </w:t>
      </w:r>
      <w:r>
        <w:t>the overall approach and method</w:t>
      </w:r>
      <w:r w:rsidR="002435C5">
        <w:t>s</w:t>
      </w:r>
      <w:r>
        <w:t xml:space="preserve"> used to address the key evaluation questions. </w:t>
      </w:r>
      <w:r w:rsidR="00AC09D4">
        <w:t>It introduces t</w:t>
      </w:r>
      <w:r>
        <w:t xml:space="preserve">he five domains </w:t>
      </w:r>
      <w:r w:rsidR="00471984">
        <w:t>of</w:t>
      </w:r>
      <w:r>
        <w:t xml:space="preserve"> good practice integration emerging from a </w:t>
      </w:r>
      <w:r w:rsidR="002435C5">
        <w:t xml:space="preserve">literature </w:t>
      </w:r>
      <w:r>
        <w:t>review of international experience</w:t>
      </w:r>
      <w:r w:rsidR="00AC09D4">
        <w:t xml:space="preserve">. </w:t>
      </w:r>
      <w:r>
        <w:t xml:space="preserve">These form a key part of the enquiry frame for looking at corporate practice and for the final analysis </w:t>
      </w:r>
      <w:r w:rsidR="00471984">
        <w:t>stage</w:t>
      </w:r>
      <w:r>
        <w:t xml:space="preserve"> of the evaluation.</w:t>
      </w:r>
    </w:p>
    <w:p w14:paraId="06A4B4EB" w14:textId="77777777" w:rsidR="00436615" w:rsidRDefault="00DA2E8F" w:rsidP="001405A5">
      <w:pPr>
        <w:pStyle w:val="Heading2"/>
        <w:numPr>
          <w:ilvl w:val="0"/>
          <w:numId w:val="0"/>
        </w:numPr>
        <w:ind w:left="567" w:hanging="567"/>
      </w:pPr>
      <w:bookmarkStart w:id="40" w:name="_Toc510771917"/>
      <w:r>
        <w:t>2.1</w:t>
      </w:r>
      <w:r>
        <w:tab/>
      </w:r>
      <w:r w:rsidR="00436615">
        <w:t xml:space="preserve">Evaluation </w:t>
      </w:r>
      <w:r w:rsidR="00B8664E">
        <w:t>p</w:t>
      </w:r>
      <w:r w:rsidR="00576391">
        <w:t xml:space="preserve">urpose and </w:t>
      </w:r>
      <w:r w:rsidR="00B8664E">
        <w:t>o</w:t>
      </w:r>
      <w:r w:rsidR="00436615">
        <w:t>bjectives</w:t>
      </w:r>
      <w:bookmarkEnd w:id="40"/>
    </w:p>
    <w:p w14:paraId="77BD4614" w14:textId="77777777" w:rsidR="00F508EE" w:rsidRDefault="00B8664E" w:rsidP="005D0742">
      <w:pPr>
        <w:rPr>
          <w:color w:val="auto"/>
        </w:rPr>
      </w:pPr>
      <w:r>
        <w:rPr>
          <w:color w:val="auto"/>
        </w:rPr>
        <w:t>I</w:t>
      </w:r>
      <w:r w:rsidR="005D33F7">
        <w:rPr>
          <w:color w:val="auto"/>
        </w:rPr>
        <w:t>n terms of process and product</w:t>
      </w:r>
      <w:r>
        <w:rPr>
          <w:color w:val="auto"/>
        </w:rPr>
        <w:t>, the evaluation</w:t>
      </w:r>
      <w:r w:rsidR="005D33F7">
        <w:rPr>
          <w:color w:val="auto"/>
        </w:rPr>
        <w:t xml:space="preserve"> focused on two areas:</w:t>
      </w:r>
    </w:p>
    <w:p w14:paraId="33365BA3" w14:textId="4733DACF" w:rsidR="00F508EE" w:rsidRDefault="00A34F25" w:rsidP="008E241A">
      <w:pPr>
        <w:pStyle w:val="ListBullet"/>
      </w:pPr>
      <w:r>
        <w:rPr>
          <w:b/>
        </w:rPr>
        <w:t xml:space="preserve">How best for DFAT to move forward guided by experience: </w:t>
      </w:r>
      <w:r w:rsidR="005D0742">
        <w:t>The</w:t>
      </w:r>
      <w:r w:rsidR="005D0742" w:rsidRPr="00647DDC">
        <w:t xml:space="preserve"> evaluation</w:t>
      </w:r>
      <w:r w:rsidR="00A7699F">
        <w:t xml:space="preserve"> was designed to identify </w:t>
      </w:r>
      <w:r w:rsidR="005D0742" w:rsidRPr="00647DDC">
        <w:t xml:space="preserve">operational lessons </w:t>
      </w:r>
      <w:r w:rsidR="00B8664E">
        <w:t>for</w:t>
      </w:r>
      <w:r w:rsidR="00B8664E" w:rsidRPr="00647DDC">
        <w:t xml:space="preserve"> </w:t>
      </w:r>
      <w:r w:rsidR="005D0742">
        <w:t>incorporating</w:t>
      </w:r>
      <w:r w:rsidR="005D0742" w:rsidRPr="00647DDC">
        <w:t xml:space="preserve"> climate change </w:t>
      </w:r>
      <w:r w:rsidR="005D0742">
        <w:t>into design and implementation</w:t>
      </w:r>
      <w:r w:rsidR="00A7699F">
        <w:t xml:space="preserve"> through assessing </w:t>
      </w:r>
      <w:r w:rsidR="005D0742">
        <w:t>the performance of</w:t>
      </w:r>
      <w:r w:rsidR="005D0742" w:rsidRPr="00647DDC">
        <w:t xml:space="preserve"> </w:t>
      </w:r>
      <w:r>
        <w:t xml:space="preserve">26 </w:t>
      </w:r>
      <w:r w:rsidR="005D0742" w:rsidRPr="00647DDC">
        <w:t xml:space="preserve">past and current climate change </w:t>
      </w:r>
      <w:r w:rsidR="005D0742">
        <w:t>investments</w:t>
      </w:r>
      <w:r w:rsidR="00B8664E">
        <w:t>, with a</w:t>
      </w:r>
      <w:r w:rsidR="00A7699F">
        <w:t xml:space="preserve"> focus </w:t>
      </w:r>
      <w:r w:rsidR="005D0742">
        <w:t xml:space="preserve">on effectiveness, </w:t>
      </w:r>
      <w:r w:rsidR="005D0742" w:rsidRPr="00647DDC">
        <w:t>sustainability</w:t>
      </w:r>
      <w:r w:rsidR="005D0742">
        <w:t xml:space="preserve"> and value</w:t>
      </w:r>
      <w:r w:rsidR="00065E05">
        <w:t>-</w:t>
      </w:r>
      <w:r w:rsidR="005D0742">
        <w:t>for</w:t>
      </w:r>
      <w:r w:rsidR="00065E05">
        <w:t>-</w:t>
      </w:r>
      <w:r w:rsidR="005D0742">
        <w:t>money</w:t>
      </w:r>
      <w:r w:rsidR="00E06A17">
        <w:t>.</w:t>
      </w:r>
    </w:p>
    <w:p w14:paraId="4766451F" w14:textId="2B5E22B9" w:rsidR="000E0A6A" w:rsidRDefault="00A34F25" w:rsidP="008E241A">
      <w:pPr>
        <w:pStyle w:val="ListBullet"/>
      </w:pPr>
      <w:r w:rsidRPr="00304A98">
        <w:rPr>
          <w:b/>
        </w:rPr>
        <w:t>Informing those who shape and drive Australia’s continuing engagement:</w:t>
      </w:r>
      <w:r w:rsidR="00110D83">
        <w:t xml:space="preserve"> </w:t>
      </w:r>
      <w:r w:rsidR="005D0742" w:rsidRPr="00CB1AC0">
        <w:t xml:space="preserve">The primary </w:t>
      </w:r>
      <w:r w:rsidR="00B8664E">
        <w:t>audience</w:t>
      </w:r>
      <w:r w:rsidR="005D0742" w:rsidRPr="00CB1AC0">
        <w:t xml:space="preserve"> for the evaluation </w:t>
      </w:r>
      <w:r w:rsidR="00B8664E">
        <w:t>is</w:t>
      </w:r>
      <w:r w:rsidR="00B8664E" w:rsidRPr="00CB1AC0">
        <w:t xml:space="preserve"> </w:t>
      </w:r>
      <w:r w:rsidR="005D0742" w:rsidRPr="00CB1AC0">
        <w:t xml:space="preserve">management and staff of the Sustainability and Climate Change Branch, which has responsibility for promoting and supporting climate change programming across the </w:t>
      </w:r>
      <w:r w:rsidR="009045AD">
        <w:t>d</w:t>
      </w:r>
      <w:r w:rsidR="005D0742" w:rsidRPr="00CB1AC0">
        <w:t xml:space="preserve">epartment. </w:t>
      </w:r>
      <w:r w:rsidR="005D0742">
        <w:t>S</w:t>
      </w:r>
      <w:r w:rsidR="005D0742" w:rsidRPr="00CB1AC0">
        <w:t>econdary audience</w:t>
      </w:r>
      <w:r w:rsidR="005D0742">
        <w:t>s are</w:t>
      </w:r>
      <w:r w:rsidR="005D0742" w:rsidRPr="00CB1AC0">
        <w:t xml:space="preserve"> the members of the Climate Change</w:t>
      </w:r>
      <w:r w:rsidR="005D0742">
        <w:t xml:space="preserve"> and Development Working Group</w:t>
      </w:r>
      <w:r w:rsidR="00B8664E">
        <w:t>,</w:t>
      </w:r>
      <w:r w:rsidR="005D0742">
        <w:t xml:space="preserve"> and aid program designers and implementers more generally.</w:t>
      </w:r>
    </w:p>
    <w:p w14:paraId="0FB87CD0" w14:textId="446C1DB9" w:rsidR="005D0742" w:rsidRDefault="000E0A6A" w:rsidP="000E0A6A">
      <w:pPr>
        <w:tabs>
          <w:tab w:val="clear" w:pos="992"/>
          <w:tab w:val="clear" w:pos="1418"/>
        </w:tabs>
        <w:spacing w:after="0" w:line="240" w:lineRule="auto"/>
      </w:pPr>
      <w:r>
        <w:br w:type="page"/>
      </w:r>
    </w:p>
    <w:p w14:paraId="397685FC" w14:textId="77777777" w:rsidR="00436615" w:rsidRDefault="001405A5" w:rsidP="001405A5">
      <w:pPr>
        <w:pStyle w:val="Heading2"/>
        <w:numPr>
          <w:ilvl w:val="0"/>
          <w:numId w:val="0"/>
        </w:numPr>
        <w:ind w:left="567" w:hanging="567"/>
      </w:pPr>
      <w:bookmarkStart w:id="41" w:name="_Toc510771918"/>
      <w:r>
        <w:lastRenderedPageBreak/>
        <w:t>2.2</w:t>
      </w:r>
      <w:r w:rsidR="00DA2E8F">
        <w:tab/>
      </w:r>
      <w:r w:rsidR="00436615">
        <w:t xml:space="preserve">Key </w:t>
      </w:r>
      <w:r w:rsidR="00B8664E">
        <w:t>e</w:t>
      </w:r>
      <w:r w:rsidR="00436615">
        <w:t xml:space="preserve">valuation </w:t>
      </w:r>
      <w:r w:rsidR="00B8664E">
        <w:t>q</w:t>
      </w:r>
      <w:r w:rsidR="00436615">
        <w:t>uestions</w:t>
      </w:r>
      <w:bookmarkEnd w:id="41"/>
    </w:p>
    <w:p w14:paraId="12FEF894" w14:textId="77777777" w:rsidR="005D0742" w:rsidRDefault="00934E40" w:rsidP="00941B04">
      <w:pPr>
        <w:pStyle w:val="ListBullet"/>
        <w:numPr>
          <w:ilvl w:val="0"/>
          <w:numId w:val="0"/>
        </w:numPr>
        <w:ind w:left="360" w:hanging="270"/>
      </w:pPr>
      <w:r>
        <w:t>There are five key evaluation questions which have been</w:t>
      </w:r>
      <w:r w:rsidR="00194677">
        <w:t xml:space="preserve"> further explored through related sub-questions.</w:t>
      </w:r>
    </w:p>
    <w:p w14:paraId="5A930C0C" w14:textId="054B4AA7" w:rsidR="00EC4516" w:rsidRDefault="00EC4516" w:rsidP="008E241A">
      <w:pPr>
        <w:pStyle w:val="Caption"/>
        <w:keepNext/>
      </w:pPr>
      <w:bookmarkStart w:id="42" w:name="_Toc510591525"/>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1</w:t>
      </w:r>
      <w:r w:rsidR="00E7543E">
        <w:rPr>
          <w:noProof/>
        </w:rPr>
        <w:fldChar w:fldCharType="end"/>
      </w:r>
      <w:r>
        <w:t>: Evaluation questions and sub-questions</w:t>
      </w:r>
      <w:bookmarkEnd w:id="42"/>
    </w:p>
    <w:tbl>
      <w:tblPr>
        <w:tblW w:w="10265" w:type="dxa"/>
        <w:jc w:val="center"/>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Evaluation questions and sub-questions"/>
        <w:tblDescription w:val="The table lists five key evaluation questions under the categories of effectiveness, sustainability and value for money. Each question has one or more detailed sub-questions."/>
      </w:tblPr>
      <w:tblGrid>
        <w:gridCol w:w="4081"/>
        <w:gridCol w:w="6184"/>
      </w:tblGrid>
      <w:tr w:rsidR="003E151C" w:rsidRPr="00E968E5" w14:paraId="7FB12CB4" w14:textId="77777777" w:rsidTr="00941B04">
        <w:trPr>
          <w:jc w:val="center"/>
        </w:trPr>
        <w:tc>
          <w:tcPr>
            <w:tcW w:w="4081" w:type="dxa"/>
            <w:tcBorders>
              <w:top w:val="nil"/>
              <w:left w:val="nil"/>
              <w:bottom w:val="single" w:sz="12" w:space="0" w:color="FFFFFF"/>
              <w:right w:val="nil"/>
              <w:tl2br w:val="nil"/>
              <w:tr2bl w:val="nil"/>
            </w:tcBorders>
            <w:shd w:val="clear" w:color="auto" w:fill="BFBFBF"/>
          </w:tcPr>
          <w:p w14:paraId="564210BC" w14:textId="77777777" w:rsidR="00934E40" w:rsidRPr="00E968E5" w:rsidRDefault="00375B57" w:rsidP="00085F8A">
            <w:pPr>
              <w:pStyle w:val="TableHeading1"/>
              <w:rPr>
                <w:sz w:val="21"/>
                <w:szCs w:val="21"/>
              </w:rPr>
            </w:pPr>
            <w:r>
              <w:rPr>
                <w:sz w:val="21"/>
                <w:szCs w:val="21"/>
              </w:rPr>
              <w:t>K</w:t>
            </w:r>
            <w:r w:rsidR="00934E40" w:rsidRPr="00E968E5">
              <w:rPr>
                <w:sz w:val="21"/>
                <w:szCs w:val="21"/>
              </w:rPr>
              <w:t xml:space="preserve">ey </w:t>
            </w:r>
            <w:r w:rsidR="001F4E24">
              <w:rPr>
                <w:sz w:val="21"/>
                <w:szCs w:val="21"/>
              </w:rPr>
              <w:t>e</w:t>
            </w:r>
            <w:r w:rsidR="00934E40" w:rsidRPr="00E968E5">
              <w:rPr>
                <w:sz w:val="21"/>
                <w:szCs w:val="21"/>
              </w:rPr>
              <w:t xml:space="preserve">valuation </w:t>
            </w:r>
            <w:r w:rsidR="001F4E24">
              <w:rPr>
                <w:sz w:val="21"/>
                <w:szCs w:val="21"/>
              </w:rPr>
              <w:t>q</w:t>
            </w:r>
            <w:r w:rsidR="00934E40" w:rsidRPr="00E968E5">
              <w:rPr>
                <w:sz w:val="21"/>
                <w:szCs w:val="21"/>
              </w:rPr>
              <w:t>uestion</w:t>
            </w:r>
          </w:p>
        </w:tc>
        <w:tc>
          <w:tcPr>
            <w:tcW w:w="6184" w:type="dxa"/>
            <w:tcBorders>
              <w:top w:val="nil"/>
              <w:left w:val="nil"/>
              <w:bottom w:val="single" w:sz="12" w:space="0" w:color="FFFFFF"/>
              <w:right w:val="nil"/>
              <w:tl2br w:val="nil"/>
              <w:tr2bl w:val="nil"/>
            </w:tcBorders>
            <w:shd w:val="clear" w:color="auto" w:fill="BFBFBF"/>
          </w:tcPr>
          <w:p w14:paraId="3F88D71C" w14:textId="77777777" w:rsidR="00934E40" w:rsidRPr="00E968E5" w:rsidRDefault="00934E40" w:rsidP="00085F8A">
            <w:pPr>
              <w:pStyle w:val="TableHeading1"/>
              <w:rPr>
                <w:sz w:val="21"/>
                <w:szCs w:val="21"/>
              </w:rPr>
            </w:pPr>
            <w:r w:rsidRPr="00E968E5">
              <w:rPr>
                <w:sz w:val="21"/>
                <w:szCs w:val="21"/>
              </w:rPr>
              <w:t>Sub-questions</w:t>
            </w:r>
          </w:p>
        </w:tc>
      </w:tr>
      <w:tr w:rsidR="003E151C" w:rsidRPr="00E968E5" w14:paraId="24D420F9" w14:textId="77777777" w:rsidTr="00941B04">
        <w:trPr>
          <w:jc w:val="center"/>
        </w:trPr>
        <w:tc>
          <w:tcPr>
            <w:tcW w:w="4081" w:type="dxa"/>
            <w:shd w:val="clear" w:color="auto" w:fill="D8DBDA"/>
            <w:vAlign w:val="center"/>
          </w:tcPr>
          <w:p w14:paraId="4B0CE5EF" w14:textId="77777777" w:rsidR="00934E40" w:rsidRPr="00941B04" w:rsidRDefault="00934E40" w:rsidP="00375B57">
            <w:pPr>
              <w:pStyle w:val="TableText"/>
              <w:rPr>
                <w:b/>
                <w:sz w:val="20"/>
                <w:szCs w:val="20"/>
              </w:rPr>
            </w:pPr>
            <w:r w:rsidRPr="00941B04">
              <w:rPr>
                <w:b/>
                <w:sz w:val="20"/>
                <w:szCs w:val="20"/>
              </w:rPr>
              <w:t>Effectiveness</w:t>
            </w:r>
          </w:p>
          <w:p w14:paraId="48DDD512" w14:textId="77777777" w:rsidR="00934E40" w:rsidRPr="00941B04" w:rsidRDefault="00934E40" w:rsidP="00375B57">
            <w:pPr>
              <w:pStyle w:val="TableText"/>
              <w:rPr>
                <w:sz w:val="20"/>
                <w:szCs w:val="20"/>
              </w:rPr>
            </w:pPr>
            <w:r w:rsidRPr="00941B04">
              <w:rPr>
                <w:sz w:val="20"/>
                <w:szCs w:val="20"/>
              </w:rPr>
              <w:t>1. To what extent has Australia’s engagement in climate change reduced vulnerability to climate change as a result of targeted and or mainstreamed action?</w:t>
            </w:r>
          </w:p>
        </w:tc>
        <w:tc>
          <w:tcPr>
            <w:tcW w:w="6184" w:type="dxa"/>
            <w:shd w:val="clear" w:color="auto" w:fill="auto"/>
            <w:vAlign w:val="center"/>
          </w:tcPr>
          <w:p w14:paraId="0143E5D1" w14:textId="5566DFC8" w:rsidR="00934E40" w:rsidRPr="00941B04" w:rsidRDefault="00934E40" w:rsidP="00375B57">
            <w:pPr>
              <w:pStyle w:val="TableText"/>
              <w:rPr>
                <w:b/>
                <w:sz w:val="20"/>
                <w:szCs w:val="20"/>
              </w:rPr>
            </w:pPr>
            <w:r w:rsidRPr="00941B04">
              <w:rPr>
                <w:sz w:val="20"/>
                <w:szCs w:val="20"/>
              </w:rPr>
              <w:t xml:space="preserve">Is there evidence that </w:t>
            </w:r>
            <w:r w:rsidRPr="00941B04">
              <w:rPr>
                <w:b/>
                <w:sz w:val="20"/>
                <w:szCs w:val="20"/>
              </w:rPr>
              <w:t xml:space="preserve">emissions are </w:t>
            </w:r>
            <w:r w:rsidR="00C44324" w:rsidRPr="00941B04">
              <w:rPr>
                <w:b/>
                <w:sz w:val="20"/>
                <w:szCs w:val="20"/>
              </w:rPr>
              <w:t>lower,</w:t>
            </w:r>
            <w:r w:rsidRPr="00941B04">
              <w:rPr>
                <w:b/>
                <w:sz w:val="20"/>
                <w:szCs w:val="20"/>
              </w:rPr>
              <w:t xml:space="preserve"> or communities are more resilient</w:t>
            </w:r>
            <w:r w:rsidRPr="00941B04">
              <w:rPr>
                <w:sz w:val="20"/>
                <w:szCs w:val="20"/>
              </w:rPr>
              <w:t xml:space="preserve"> (as defined by the literature review) as a result of Australian engagement?</w:t>
            </w:r>
          </w:p>
        </w:tc>
      </w:tr>
      <w:tr w:rsidR="003E151C" w:rsidRPr="00E968E5" w14:paraId="562F65E1" w14:textId="77777777" w:rsidTr="00941B04">
        <w:trPr>
          <w:jc w:val="center"/>
        </w:trPr>
        <w:tc>
          <w:tcPr>
            <w:tcW w:w="4081" w:type="dxa"/>
            <w:vMerge w:val="restart"/>
            <w:shd w:val="clear" w:color="auto" w:fill="D8DBDA"/>
            <w:vAlign w:val="center"/>
          </w:tcPr>
          <w:p w14:paraId="7901C413" w14:textId="77777777" w:rsidR="00934E40" w:rsidRPr="00941B04" w:rsidRDefault="00934E40" w:rsidP="00375B57">
            <w:pPr>
              <w:pStyle w:val="TableText"/>
              <w:rPr>
                <w:sz w:val="20"/>
                <w:szCs w:val="20"/>
              </w:rPr>
            </w:pPr>
            <w:r w:rsidRPr="00941B04">
              <w:rPr>
                <w:sz w:val="20"/>
                <w:szCs w:val="20"/>
              </w:rPr>
              <w:t>2. What factors have contributed to</w:t>
            </w:r>
            <w:r w:rsidR="00EF7931">
              <w:rPr>
                <w:sz w:val="20"/>
                <w:szCs w:val="20"/>
              </w:rPr>
              <w:t>,</w:t>
            </w:r>
            <w:r w:rsidRPr="00941B04">
              <w:rPr>
                <w:sz w:val="20"/>
                <w:szCs w:val="20"/>
              </w:rPr>
              <w:t xml:space="preserve"> or detracted from, the effectiveness of Australia’s engagement in climate change?</w:t>
            </w:r>
          </w:p>
        </w:tc>
        <w:tc>
          <w:tcPr>
            <w:tcW w:w="6184" w:type="dxa"/>
            <w:shd w:val="clear" w:color="auto" w:fill="auto"/>
            <w:vAlign w:val="center"/>
          </w:tcPr>
          <w:p w14:paraId="53CC0D84" w14:textId="77777777" w:rsidR="00934E40" w:rsidRPr="00941B04" w:rsidRDefault="00934E40" w:rsidP="00375B57">
            <w:pPr>
              <w:pStyle w:val="TableText"/>
              <w:rPr>
                <w:sz w:val="20"/>
                <w:szCs w:val="20"/>
              </w:rPr>
            </w:pPr>
            <w:r w:rsidRPr="00941B04">
              <w:rPr>
                <w:sz w:val="20"/>
                <w:szCs w:val="20"/>
              </w:rPr>
              <w:t xml:space="preserve">To what extent are the </w:t>
            </w:r>
            <w:r w:rsidRPr="00941B04">
              <w:rPr>
                <w:b/>
                <w:sz w:val="20"/>
                <w:szCs w:val="20"/>
              </w:rPr>
              <w:t>five domains of effective climate change</w:t>
            </w:r>
            <w:r w:rsidR="00EF7931">
              <w:rPr>
                <w:b/>
                <w:sz w:val="20"/>
                <w:szCs w:val="20"/>
              </w:rPr>
              <w:t xml:space="preserve"> integration</w:t>
            </w:r>
            <w:r w:rsidR="00194677" w:rsidRPr="00941B04">
              <w:rPr>
                <w:rStyle w:val="FootnoteReference"/>
                <w:b/>
                <w:sz w:val="20"/>
                <w:szCs w:val="20"/>
              </w:rPr>
              <w:footnoteReference w:id="7"/>
            </w:r>
            <w:r w:rsidRPr="00941B04">
              <w:rPr>
                <w:sz w:val="20"/>
                <w:szCs w:val="20"/>
              </w:rPr>
              <w:t xml:space="preserve"> evident within DFAT?</w:t>
            </w:r>
          </w:p>
        </w:tc>
      </w:tr>
      <w:tr w:rsidR="003E151C" w:rsidRPr="00E968E5" w14:paraId="4577F7A6" w14:textId="77777777" w:rsidTr="00941B04">
        <w:trPr>
          <w:jc w:val="center"/>
        </w:trPr>
        <w:tc>
          <w:tcPr>
            <w:tcW w:w="4081" w:type="dxa"/>
            <w:vMerge/>
            <w:shd w:val="clear" w:color="auto" w:fill="D8DBDA"/>
            <w:vAlign w:val="center"/>
          </w:tcPr>
          <w:p w14:paraId="73645C46" w14:textId="77777777" w:rsidR="00934E40" w:rsidRPr="00941B04" w:rsidRDefault="00934E40" w:rsidP="00375B57">
            <w:pPr>
              <w:pStyle w:val="TableText"/>
              <w:rPr>
                <w:sz w:val="20"/>
                <w:szCs w:val="20"/>
              </w:rPr>
            </w:pPr>
          </w:p>
        </w:tc>
        <w:tc>
          <w:tcPr>
            <w:tcW w:w="6184" w:type="dxa"/>
            <w:shd w:val="clear" w:color="auto" w:fill="auto"/>
            <w:vAlign w:val="center"/>
          </w:tcPr>
          <w:p w14:paraId="6C34ED14" w14:textId="77777777" w:rsidR="00934E40" w:rsidRPr="00941B04" w:rsidRDefault="00934E40" w:rsidP="00375B57">
            <w:pPr>
              <w:pStyle w:val="TableText"/>
              <w:rPr>
                <w:sz w:val="20"/>
                <w:szCs w:val="20"/>
              </w:rPr>
            </w:pPr>
            <w:r w:rsidRPr="00941B04">
              <w:rPr>
                <w:sz w:val="20"/>
                <w:szCs w:val="20"/>
              </w:rPr>
              <w:t xml:space="preserve">To what extent has </w:t>
            </w:r>
            <w:r w:rsidRPr="00941B04">
              <w:rPr>
                <w:b/>
                <w:sz w:val="20"/>
                <w:szCs w:val="20"/>
              </w:rPr>
              <w:t>engagement with strategic partners</w:t>
            </w:r>
            <w:r w:rsidRPr="00941B04">
              <w:rPr>
                <w:sz w:val="20"/>
                <w:szCs w:val="20"/>
              </w:rPr>
              <w:t xml:space="preserve"> (with a focus on Australian government partners, but also considering other partners) contributed to program delivery? </w:t>
            </w:r>
          </w:p>
        </w:tc>
      </w:tr>
      <w:tr w:rsidR="003E151C" w:rsidRPr="00E968E5" w14:paraId="1940A707" w14:textId="77777777" w:rsidTr="00941B04">
        <w:trPr>
          <w:jc w:val="center"/>
        </w:trPr>
        <w:tc>
          <w:tcPr>
            <w:tcW w:w="4081" w:type="dxa"/>
            <w:vMerge/>
            <w:shd w:val="clear" w:color="auto" w:fill="D8DBDA"/>
            <w:vAlign w:val="center"/>
          </w:tcPr>
          <w:p w14:paraId="26647DFD" w14:textId="77777777" w:rsidR="00934E40" w:rsidRPr="00941B04" w:rsidRDefault="00934E40" w:rsidP="00375B57">
            <w:pPr>
              <w:pStyle w:val="TableText"/>
              <w:rPr>
                <w:sz w:val="20"/>
                <w:szCs w:val="20"/>
              </w:rPr>
            </w:pPr>
          </w:p>
        </w:tc>
        <w:tc>
          <w:tcPr>
            <w:tcW w:w="6184" w:type="dxa"/>
            <w:shd w:val="clear" w:color="auto" w:fill="auto"/>
            <w:vAlign w:val="center"/>
          </w:tcPr>
          <w:p w14:paraId="78420EDA" w14:textId="77777777" w:rsidR="00934E40" w:rsidRPr="00941B04" w:rsidRDefault="00934E40" w:rsidP="00375B57">
            <w:pPr>
              <w:pStyle w:val="TableText"/>
              <w:rPr>
                <w:sz w:val="20"/>
                <w:szCs w:val="20"/>
              </w:rPr>
            </w:pPr>
            <w:r w:rsidRPr="00941B04">
              <w:rPr>
                <w:sz w:val="20"/>
                <w:szCs w:val="20"/>
              </w:rPr>
              <w:t xml:space="preserve">To what extent has </w:t>
            </w:r>
            <w:r w:rsidRPr="00941B04">
              <w:rPr>
                <w:b/>
                <w:sz w:val="20"/>
                <w:szCs w:val="20"/>
              </w:rPr>
              <w:t>gender and disability inclusiveness</w:t>
            </w:r>
            <w:r w:rsidRPr="00941B04">
              <w:rPr>
                <w:sz w:val="20"/>
                <w:szCs w:val="20"/>
              </w:rPr>
              <w:t xml:space="preserve"> been explicitly considered in targeted climate change investments?</w:t>
            </w:r>
          </w:p>
        </w:tc>
      </w:tr>
      <w:tr w:rsidR="003E151C" w:rsidRPr="00E968E5" w14:paraId="7FF2D51B" w14:textId="77777777" w:rsidTr="00941B04">
        <w:trPr>
          <w:jc w:val="center"/>
        </w:trPr>
        <w:tc>
          <w:tcPr>
            <w:tcW w:w="4081" w:type="dxa"/>
            <w:vMerge/>
            <w:shd w:val="clear" w:color="auto" w:fill="D8DBDA"/>
            <w:vAlign w:val="center"/>
          </w:tcPr>
          <w:p w14:paraId="60546553" w14:textId="77777777" w:rsidR="00934E40" w:rsidRPr="00941B04" w:rsidRDefault="00934E40" w:rsidP="00375B57">
            <w:pPr>
              <w:pStyle w:val="TableText"/>
              <w:rPr>
                <w:sz w:val="20"/>
                <w:szCs w:val="20"/>
              </w:rPr>
            </w:pPr>
          </w:p>
        </w:tc>
        <w:tc>
          <w:tcPr>
            <w:tcW w:w="6184" w:type="dxa"/>
            <w:shd w:val="clear" w:color="auto" w:fill="auto"/>
            <w:vAlign w:val="center"/>
          </w:tcPr>
          <w:p w14:paraId="20BFFA52" w14:textId="77777777" w:rsidR="00934E40" w:rsidRPr="00941B04" w:rsidRDefault="00934E40" w:rsidP="00375B57">
            <w:pPr>
              <w:pStyle w:val="TableText"/>
              <w:rPr>
                <w:sz w:val="20"/>
                <w:szCs w:val="20"/>
              </w:rPr>
            </w:pPr>
            <w:r w:rsidRPr="00941B04">
              <w:rPr>
                <w:sz w:val="20"/>
                <w:szCs w:val="20"/>
              </w:rPr>
              <w:t xml:space="preserve">Are there </w:t>
            </w:r>
            <w:r w:rsidRPr="00941B04">
              <w:rPr>
                <w:b/>
                <w:sz w:val="20"/>
                <w:szCs w:val="20"/>
              </w:rPr>
              <w:t>any other factors</w:t>
            </w:r>
            <w:r w:rsidRPr="00941B04">
              <w:rPr>
                <w:sz w:val="20"/>
                <w:szCs w:val="20"/>
              </w:rPr>
              <w:t xml:space="preserve"> that have contributed to, or detracted from</w:t>
            </w:r>
            <w:r w:rsidR="00EF7931">
              <w:rPr>
                <w:sz w:val="20"/>
                <w:szCs w:val="20"/>
              </w:rPr>
              <w:t>,</w:t>
            </w:r>
            <w:r w:rsidRPr="00941B04">
              <w:rPr>
                <w:sz w:val="20"/>
                <w:szCs w:val="20"/>
              </w:rPr>
              <w:t xml:space="preserve"> effectiveness on climate change?</w:t>
            </w:r>
          </w:p>
        </w:tc>
      </w:tr>
      <w:tr w:rsidR="003E151C" w:rsidRPr="00E968E5" w14:paraId="0E24D7BF" w14:textId="77777777" w:rsidTr="00941B04">
        <w:trPr>
          <w:jc w:val="center"/>
        </w:trPr>
        <w:tc>
          <w:tcPr>
            <w:tcW w:w="4081" w:type="dxa"/>
            <w:shd w:val="clear" w:color="auto" w:fill="D8DBDA"/>
            <w:vAlign w:val="center"/>
          </w:tcPr>
          <w:p w14:paraId="21E66B4A" w14:textId="77777777" w:rsidR="00934E40" w:rsidRPr="00941B04" w:rsidRDefault="00934E40" w:rsidP="00375B57">
            <w:pPr>
              <w:pStyle w:val="TableText"/>
              <w:rPr>
                <w:sz w:val="20"/>
                <w:szCs w:val="20"/>
              </w:rPr>
            </w:pPr>
            <w:r w:rsidRPr="00941B04">
              <w:rPr>
                <w:sz w:val="20"/>
                <w:szCs w:val="20"/>
              </w:rPr>
              <w:t>3. What is, or has been, the relationship between climate change action and Australian security, trade, economic and diplomatic interests?</w:t>
            </w:r>
          </w:p>
        </w:tc>
        <w:tc>
          <w:tcPr>
            <w:tcW w:w="6184" w:type="dxa"/>
            <w:shd w:val="clear" w:color="auto" w:fill="auto"/>
            <w:vAlign w:val="center"/>
          </w:tcPr>
          <w:p w14:paraId="1FAEC0BD" w14:textId="77777777" w:rsidR="00934E40" w:rsidRPr="00941B04" w:rsidRDefault="00934E40" w:rsidP="00375B57">
            <w:pPr>
              <w:pStyle w:val="TableText"/>
              <w:rPr>
                <w:sz w:val="20"/>
                <w:szCs w:val="20"/>
              </w:rPr>
            </w:pPr>
            <w:r w:rsidRPr="00941B04">
              <w:rPr>
                <w:sz w:val="20"/>
                <w:szCs w:val="20"/>
              </w:rPr>
              <w:t xml:space="preserve">Are there any </w:t>
            </w:r>
            <w:r w:rsidRPr="001E6C02">
              <w:rPr>
                <w:sz w:val="20"/>
                <w:szCs w:val="20"/>
              </w:rPr>
              <w:t>examples</w:t>
            </w:r>
            <w:r w:rsidRPr="009B3B9E">
              <w:rPr>
                <w:sz w:val="20"/>
                <w:szCs w:val="20"/>
              </w:rPr>
              <w:t xml:space="preserve"> </w:t>
            </w:r>
            <w:r w:rsidRPr="001E6C02">
              <w:rPr>
                <w:sz w:val="20"/>
                <w:szCs w:val="20"/>
              </w:rPr>
              <w:t>of where climate change has been linked</w:t>
            </w:r>
            <w:r w:rsidRPr="00941B04">
              <w:rPr>
                <w:sz w:val="20"/>
                <w:szCs w:val="20"/>
              </w:rPr>
              <w:t xml:space="preserve"> (positively or negatively) </w:t>
            </w:r>
            <w:r w:rsidRPr="00941B04">
              <w:rPr>
                <w:b/>
                <w:sz w:val="20"/>
                <w:szCs w:val="20"/>
              </w:rPr>
              <w:t>to security, trade or diplomatic interests</w:t>
            </w:r>
            <w:r w:rsidRPr="00941B04">
              <w:rPr>
                <w:sz w:val="20"/>
                <w:szCs w:val="20"/>
              </w:rPr>
              <w:t>?</w:t>
            </w:r>
          </w:p>
        </w:tc>
      </w:tr>
      <w:tr w:rsidR="003E151C" w:rsidRPr="00E968E5" w14:paraId="2B97D9FD" w14:textId="77777777" w:rsidTr="00941B04">
        <w:trPr>
          <w:jc w:val="center"/>
        </w:trPr>
        <w:tc>
          <w:tcPr>
            <w:tcW w:w="4081" w:type="dxa"/>
            <w:vMerge w:val="restart"/>
            <w:shd w:val="clear" w:color="auto" w:fill="D8DBDA"/>
            <w:vAlign w:val="center"/>
          </w:tcPr>
          <w:p w14:paraId="36757FFF" w14:textId="77777777" w:rsidR="00934E40" w:rsidRPr="00941B04" w:rsidRDefault="00934E40" w:rsidP="00375B57">
            <w:pPr>
              <w:pStyle w:val="TableText"/>
              <w:rPr>
                <w:b/>
                <w:sz w:val="20"/>
                <w:szCs w:val="20"/>
              </w:rPr>
            </w:pPr>
            <w:r w:rsidRPr="00941B04">
              <w:rPr>
                <w:b/>
                <w:sz w:val="20"/>
                <w:szCs w:val="20"/>
              </w:rPr>
              <w:t>Sustainability</w:t>
            </w:r>
          </w:p>
          <w:p w14:paraId="54BC29A9" w14:textId="77777777" w:rsidR="00934E40" w:rsidRPr="00941B04" w:rsidRDefault="00934E40" w:rsidP="00375B57">
            <w:pPr>
              <w:pStyle w:val="TableText"/>
              <w:rPr>
                <w:sz w:val="20"/>
                <w:szCs w:val="20"/>
              </w:rPr>
            </w:pPr>
            <w:r w:rsidRPr="00941B04">
              <w:rPr>
                <w:sz w:val="20"/>
                <w:szCs w:val="20"/>
              </w:rPr>
              <w:t>4. To what extent are the benefits of Australia’s climate change action likely to continue beyond the life of the investments, and what systems are in place to make sure this occurs?</w:t>
            </w:r>
          </w:p>
        </w:tc>
        <w:tc>
          <w:tcPr>
            <w:tcW w:w="6184" w:type="dxa"/>
            <w:shd w:val="clear" w:color="auto" w:fill="auto"/>
            <w:vAlign w:val="center"/>
          </w:tcPr>
          <w:p w14:paraId="519711EF" w14:textId="77777777" w:rsidR="00934E40" w:rsidRPr="00941B04" w:rsidRDefault="00934E40" w:rsidP="00375B57">
            <w:pPr>
              <w:pStyle w:val="TableText"/>
              <w:rPr>
                <w:sz w:val="20"/>
                <w:szCs w:val="20"/>
              </w:rPr>
            </w:pPr>
            <w:r w:rsidRPr="00941B04">
              <w:rPr>
                <w:sz w:val="20"/>
                <w:szCs w:val="20"/>
              </w:rPr>
              <w:t xml:space="preserve">What evidence is there to suggest that adaptation/mitigation </w:t>
            </w:r>
            <w:r w:rsidRPr="00941B04">
              <w:rPr>
                <w:b/>
                <w:sz w:val="20"/>
                <w:szCs w:val="20"/>
              </w:rPr>
              <w:t>benefits will endure</w:t>
            </w:r>
            <w:r w:rsidRPr="00941B04">
              <w:rPr>
                <w:sz w:val="20"/>
                <w:szCs w:val="20"/>
              </w:rPr>
              <w:t xml:space="preserve"> after the investments conclude?</w:t>
            </w:r>
          </w:p>
        </w:tc>
      </w:tr>
      <w:tr w:rsidR="003E151C" w:rsidRPr="00E968E5" w14:paraId="6FFCF834" w14:textId="77777777" w:rsidTr="00941B04">
        <w:trPr>
          <w:jc w:val="center"/>
        </w:trPr>
        <w:tc>
          <w:tcPr>
            <w:tcW w:w="4081" w:type="dxa"/>
            <w:vMerge/>
            <w:shd w:val="clear" w:color="auto" w:fill="D8DBDA"/>
            <w:vAlign w:val="center"/>
          </w:tcPr>
          <w:p w14:paraId="7B92826B" w14:textId="77777777" w:rsidR="00934E40" w:rsidRPr="00941B04" w:rsidRDefault="00934E40" w:rsidP="00375B57">
            <w:pPr>
              <w:pStyle w:val="TableText"/>
              <w:rPr>
                <w:sz w:val="20"/>
                <w:szCs w:val="20"/>
              </w:rPr>
            </w:pPr>
          </w:p>
        </w:tc>
        <w:tc>
          <w:tcPr>
            <w:tcW w:w="6184" w:type="dxa"/>
            <w:shd w:val="clear" w:color="auto" w:fill="auto"/>
            <w:vAlign w:val="center"/>
          </w:tcPr>
          <w:p w14:paraId="3EA235F6" w14:textId="77777777" w:rsidR="00934E40" w:rsidRPr="00941B04" w:rsidRDefault="00934E40" w:rsidP="00375B57">
            <w:pPr>
              <w:pStyle w:val="TableText"/>
              <w:rPr>
                <w:sz w:val="20"/>
                <w:szCs w:val="20"/>
              </w:rPr>
            </w:pPr>
            <w:r w:rsidRPr="00941B04">
              <w:rPr>
                <w:sz w:val="20"/>
                <w:szCs w:val="20"/>
              </w:rPr>
              <w:t xml:space="preserve">What </w:t>
            </w:r>
            <w:r w:rsidRPr="00941B04">
              <w:rPr>
                <w:b/>
                <w:sz w:val="20"/>
                <w:szCs w:val="20"/>
              </w:rPr>
              <w:t xml:space="preserve">systems are in place </w:t>
            </w:r>
            <w:r w:rsidRPr="001E6C02">
              <w:rPr>
                <w:sz w:val="20"/>
                <w:szCs w:val="20"/>
              </w:rPr>
              <w:t>to make sure these benefits</w:t>
            </w:r>
            <w:r w:rsidRPr="00941B04">
              <w:rPr>
                <w:sz w:val="20"/>
                <w:szCs w:val="20"/>
              </w:rPr>
              <w:t xml:space="preserve"> will endure?</w:t>
            </w:r>
          </w:p>
        </w:tc>
      </w:tr>
      <w:tr w:rsidR="003E151C" w:rsidRPr="00E968E5" w14:paraId="37BC3C61" w14:textId="77777777" w:rsidTr="00941B04">
        <w:trPr>
          <w:jc w:val="center"/>
        </w:trPr>
        <w:tc>
          <w:tcPr>
            <w:tcW w:w="4081" w:type="dxa"/>
            <w:vMerge/>
            <w:shd w:val="clear" w:color="auto" w:fill="D8DBDA"/>
            <w:vAlign w:val="center"/>
          </w:tcPr>
          <w:p w14:paraId="56CADAED" w14:textId="77777777" w:rsidR="00934E40" w:rsidRPr="00941B04" w:rsidRDefault="00934E40" w:rsidP="00375B57">
            <w:pPr>
              <w:pStyle w:val="TableText"/>
              <w:rPr>
                <w:sz w:val="20"/>
                <w:szCs w:val="20"/>
              </w:rPr>
            </w:pPr>
          </w:p>
        </w:tc>
        <w:tc>
          <w:tcPr>
            <w:tcW w:w="6184" w:type="dxa"/>
            <w:shd w:val="clear" w:color="auto" w:fill="auto"/>
            <w:vAlign w:val="center"/>
          </w:tcPr>
          <w:p w14:paraId="3F3D8FA3" w14:textId="1F2DF6AD" w:rsidR="00934E40" w:rsidRPr="00941B04" w:rsidRDefault="00934E40" w:rsidP="00375B57">
            <w:pPr>
              <w:pStyle w:val="TableText"/>
              <w:rPr>
                <w:sz w:val="20"/>
                <w:szCs w:val="20"/>
              </w:rPr>
            </w:pPr>
            <w:r w:rsidRPr="00941B04">
              <w:rPr>
                <w:sz w:val="20"/>
                <w:szCs w:val="20"/>
              </w:rPr>
              <w:t xml:space="preserve">To what extent have DFAT program priorities been </w:t>
            </w:r>
            <w:r w:rsidRPr="00941B04">
              <w:rPr>
                <w:b/>
                <w:sz w:val="20"/>
                <w:szCs w:val="20"/>
              </w:rPr>
              <w:t xml:space="preserve">aligned with </w:t>
            </w:r>
            <w:r w:rsidR="009045AD">
              <w:rPr>
                <w:b/>
                <w:sz w:val="20"/>
                <w:szCs w:val="20"/>
              </w:rPr>
              <w:t>n</w:t>
            </w:r>
            <w:r w:rsidRPr="00941B04">
              <w:rPr>
                <w:b/>
                <w:sz w:val="20"/>
                <w:szCs w:val="20"/>
              </w:rPr>
              <w:t xml:space="preserve">ational </w:t>
            </w:r>
            <w:r w:rsidR="009045AD">
              <w:rPr>
                <w:b/>
                <w:sz w:val="20"/>
                <w:szCs w:val="20"/>
              </w:rPr>
              <w:t>a</w:t>
            </w:r>
            <w:r w:rsidRPr="00941B04">
              <w:rPr>
                <w:b/>
                <w:sz w:val="20"/>
                <w:szCs w:val="20"/>
              </w:rPr>
              <w:t xml:space="preserve">ction </w:t>
            </w:r>
            <w:r w:rsidR="009045AD">
              <w:rPr>
                <w:b/>
                <w:sz w:val="20"/>
                <w:szCs w:val="20"/>
              </w:rPr>
              <w:t>p</w:t>
            </w:r>
            <w:r w:rsidRPr="00941B04">
              <w:rPr>
                <w:b/>
                <w:sz w:val="20"/>
                <w:szCs w:val="20"/>
              </w:rPr>
              <w:t>lans</w:t>
            </w:r>
            <w:r w:rsidR="00E82C6D">
              <w:rPr>
                <w:sz w:val="20"/>
                <w:szCs w:val="20"/>
              </w:rPr>
              <w:t xml:space="preserve"> </w:t>
            </w:r>
            <w:r w:rsidRPr="00941B04">
              <w:rPr>
                <w:sz w:val="20"/>
                <w:szCs w:val="20"/>
              </w:rPr>
              <w:t>on climate change?</w:t>
            </w:r>
          </w:p>
        </w:tc>
      </w:tr>
      <w:tr w:rsidR="003E151C" w:rsidRPr="00E968E5" w14:paraId="61FD0428" w14:textId="77777777" w:rsidTr="00941B04">
        <w:trPr>
          <w:jc w:val="center"/>
        </w:trPr>
        <w:tc>
          <w:tcPr>
            <w:tcW w:w="4081" w:type="dxa"/>
            <w:vMerge/>
            <w:shd w:val="clear" w:color="auto" w:fill="D8DBDA"/>
            <w:vAlign w:val="center"/>
          </w:tcPr>
          <w:p w14:paraId="4B6518C0" w14:textId="77777777" w:rsidR="00934E40" w:rsidRPr="00941B04" w:rsidRDefault="00934E40" w:rsidP="00375B57">
            <w:pPr>
              <w:pStyle w:val="TableText"/>
              <w:rPr>
                <w:sz w:val="20"/>
                <w:szCs w:val="20"/>
              </w:rPr>
            </w:pPr>
          </w:p>
        </w:tc>
        <w:tc>
          <w:tcPr>
            <w:tcW w:w="6184" w:type="dxa"/>
            <w:shd w:val="clear" w:color="auto" w:fill="auto"/>
            <w:vAlign w:val="center"/>
          </w:tcPr>
          <w:p w14:paraId="00734A7B" w14:textId="77777777" w:rsidR="00934E40" w:rsidRPr="00941B04" w:rsidRDefault="00934E40" w:rsidP="00375B57">
            <w:pPr>
              <w:pStyle w:val="TableText"/>
              <w:rPr>
                <w:sz w:val="20"/>
                <w:szCs w:val="20"/>
              </w:rPr>
            </w:pPr>
            <w:r w:rsidRPr="00941B04">
              <w:rPr>
                <w:sz w:val="20"/>
                <w:szCs w:val="20"/>
              </w:rPr>
              <w:t xml:space="preserve">Is there any evidence to suggest or any examples where </w:t>
            </w:r>
            <w:r w:rsidRPr="00941B04">
              <w:rPr>
                <w:b/>
                <w:sz w:val="20"/>
                <w:szCs w:val="20"/>
              </w:rPr>
              <w:t>consideration of climate change has enhanced sustainability</w:t>
            </w:r>
            <w:r w:rsidRPr="00941B04">
              <w:rPr>
                <w:sz w:val="20"/>
                <w:szCs w:val="20"/>
              </w:rPr>
              <w:t>?</w:t>
            </w:r>
          </w:p>
        </w:tc>
      </w:tr>
      <w:tr w:rsidR="003E151C" w:rsidRPr="00E968E5" w14:paraId="46467C84" w14:textId="77777777" w:rsidTr="00941B04">
        <w:trPr>
          <w:jc w:val="center"/>
        </w:trPr>
        <w:tc>
          <w:tcPr>
            <w:tcW w:w="4081" w:type="dxa"/>
            <w:vMerge w:val="restart"/>
            <w:shd w:val="clear" w:color="auto" w:fill="D8DBDA"/>
            <w:vAlign w:val="center"/>
          </w:tcPr>
          <w:p w14:paraId="42956A91" w14:textId="2AB4A3E0" w:rsidR="00934E40" w:rsidRPr="00941B04" w:rsidRDefault="00934E40" w:rsidP="00375B57">
            <w:pPr>
              <w:pStyle w:val="TableText"/>
              <w:rPr>
                <w:b/>
                <w:sz w:val="20"/>
                <w:szCs w:val="20"/>
              </w:rPr>
            </w:pPr>
            <w:r w:rsidRPr="00941B04">
              <w:rPr>
                <w:b/>
                <w:sz w:val="20"/>
                <w:szCs w:val="20"/>
              </w:rPr>
              <w:t>Value</w:t>
            </w:r>
            <w:r w:rsidR="009045AD">
              <w:rPr>
                <w:b/>
                <w:sz w:val="20"/>
                <w:szCs w:val="20"/>
              </w:rPr>
              <w:t>-</w:t>
            </w:r>
            <w:r w:rsidRPr="00941B04">
              <w:rPr>
                <w:b/>
                <w:sz w:val="20"/>
                <w:szCs w:val="20"/>
              </w:rPr>
              <w:t>for</w:t>
            </w:r>
            <w:r w:rsidR="009045AD">
              <w:rPr>
                <w:b/>
                <w:sz w:val="20"/>
                <w:szCs w:val="20"/>
              </w:rPr>
              <w:t>-m</w:t>
            </w:r>
            <w:r w:rsidRPr="00941B04">
              <w:rPr>
                <w:b/>
                <w:sz w:val="20"/>
                <w:szCs w:val="20"/>
              </w:rPr>
              <w:t>oney</w:t>
            </w:r>
          </w:p>
          <w:p w14:paraId="79262187" w14:textId="561D3630" w:rsidR="00934E40" w:rsidRPr="00941B04" w:rsidRDefault="00934E40" w:rsidP="00375B57">
            <w:pPr>
              <w:pStyle w:val="TableText"/>
              <w:rPr>
                <w:sz w:val="20"/>
                <w:szCs w:val="20"/>
              </w:rPr>
            </w:pPr>
            <w:r w:rsidRPr="00941B04">
              <w:rPr>
                <w:sz w:val="20"/>
                <w:szCs w:val="20"/>
              </w:rPr>
              <w:t xml:space="preserve">5. How credible are the methods or approaches that the </w:t>
            </w:r>
            <w:r w:rsidR="009045AD">
              <w:rPr>
                <w:sz w:val="20"/>
                <w:szCs w:val="20"/>
              </w:rPr>
              <w:t>d</w:t>
            </w:r>
            <w:r w:rsidRPr="00941B04">
              <w:rPr>
                <w:sz w:val="20"/>
                <w:szCs w:val="20"/>
              </w:rPr>
              <w:t xml:space="preserve">epartment uses to establish </w:t>
            </w:r>
            <w:r w:rsidR="00F35CBA">
              <w:rPr>
                <w:sz w:val="20"/>
                <w:szCs w:val="20"/>
              </w:rPr>
              <w:t>v</w:t>
            </w:r>
            <w:r w:rsidRPr="00941B04">
              <w:rPr>
                <w:sz w:val="20"/>
                <w:szCs w:val="20"/>
              </w:rPr>
              <w:t>alue</w:t>
            </w:r>
            <w:r w:rsidR="009045AD">
              <w:rPr>
                <w:sz w:val="20"/>
                <w:szCs w:val="20"/>
              </w:rPr>
              <w:t>-</w:t>
            </w:r>
            <w:r w:rsidRPr="00941B04">
              <w:rPr>
                <w:sz w:val="20"/>
                <w:szCs w:val="20"/>
              </w:rPr>
              <w:t>for</w:t>
            </w:r>
            <w:r w:rsidR="009045AD">
              <w:rPr>
                <w:sz w:val="20"/>
                <w:szCs w:val="20"/>
              </w:rPr>
              <w:t>-</w:t>
            </w:r>
            <w:r w:rsidRPr="00941B04">
              <w:rPr>
                <w:sz w:val="20"/>
                <w:szCs w:val="20"/>
              </w:rPr>
              <w:t>money?</w:t>
            </w:r>
          </w:p>
        </w:tc>
        <w:tc>
          <w:tcPr>
            <w:tcW w:w="6184" w:type="dxa"/>
            <w:shd w:val="clear" w:color="auto" w:fill="auto"/>
            <w:vAlign w:val="center"/>
          </w:tcPr>
          <w:p w14:paraId="46E1249D" w14:textId="66BFCD12" w:rsidR="00934E40" w:rsidRPr="00941B04" w:rsidRDefault="00934E40" w:rsidP="00375B57">
            <w:pPr>
              <w:pStyle w:val="TableText"/>
              <w:rPr>
                <w:sz w:val="20"/>
                <w:szCs w:val="20"/>
              </w:rPr>
            </w:pPr>
            <w:r w:rsidRPr="00941B04">
              <w:rPr>
                <w:b/>
                <w:sz w:val="20"/>
                <w:szCs w:val="20"/>
              </w:rPr>
              <w:t>What methods</w:t>
            </w:r>
            <w:r w:rsidRPr="00941B04">
              <w:rPr>
                <w:sz w:val="20"/>
                <w:szCs w:val="20"/>
              </w:rPr>
              <w:t xml:space="preserve"> are in place to determine that investing in climate change is </w:t>
            </w:r>
            <w:r w:rsidRPr="00941B04">
              <w:rPr>
                <w:b/>
                <w:sz w:val="20"/>
                <w:szCs w:val="20"/>
              </w:rPr>
              <w:t>good value</w:t>
            </w:r>
            <w:r w:rsidR="009045AD">
              <w:rPr>
                <w:b/>
                <w:sz w:val="20"/>
                <w:szCs w:val="20"/>
              </w:rPr>
              <w:t>-</w:t>
            </w:r>
            <w:r w:rsidRPr="00941B04">
              <w:rPr>
                <w:b/>
                <w:sz w:val="20"/>
                <w:szCs w:val="20"/>
              </w:rPr>
              <w:t>for</w:t>
            </w:r>
            <w:r w:rsidR="009045AD">
              <w:rPr>
                <w:b/>
                <w:sz w:val="20"/>
                <w:szCs w:val="20"/>
              </w:rPr>
              <w:t>-</w:t>
            </w:r>
            <w:r w:rsidRPr="00941B04">
              <w:rPr>
                <w:b/>
                <w:sz w:val="20"/>
                <w:szCs w:val="20"/>
              </w:rPr>
              <w:t>money</w:t>
            </w:r>
            <w:r w:rsidRPr="00941B04">
              <w:rPr>
                <w:sz w:val="20"/>
                <w:szCs w:val="20"/>
              </w:rPr>
              <w:t>?</w:t>
            </w:r>
          </w:p>
        </w:tc>
      </w:tr>
      <w:tr w:rsidR="003E151C" w:rsidRPr="00E968E5" w14:paraId="65E478A8" w14:textId="77777777" w:rsidTr="00941B04">
        <w:trPr>
          <w:jc w:val="center"/>
        </w:trPr>
        <w:tc>
          <w:tcPr>
            <w:tcW w:w="4081" w:type="dxa"/>
            <w:vMerge/>
            <w:shd w:val="clear" w:color="auto" w:fill="D8DBDA"/>
            <w:vAlign w:val="center"/>
          </w:tcPr>
          <w:p w14:paraId="1923B9DC" w14:textId="77777777" w:rsidR="00934E40" w:rsidRPr="00941B04" w:rsidRDefault="00934E40" w:rsidP="00E968E5">
            <w:pPr>
              <w:pStyle w:val="ListNumber"/>
              <w:numPr>
                <w:ilvl w:val="0"/>
                <w:numId w:val="0"/>
              </w:numPr>
              <w:spacing w:before="20" w:afterLines="20" w:after="48"/>
              <w:ind w:left="284" w:right="34" w:hanging="284"/>
              <w:rPr>
                <w:sz w:val="20"/>
                <w:szCs w:val="20"/>
              </w:rPr>
            </w:pPr>
          </w:p>
        </w:tc>
        <w:tc>
          <w:tcPr>
            <w:tcW w:w="6184" w:type="dxa"/>
            <w:shd w:val="clear" w:color="auto" w:fill="auto"/>
            <w:vAlign w:val="center"/>
          </w:tcPr>
          <w:p w14:paraId="0A9DE19A" w14:textId="7A1AF928" w:rsidR="00934E40" w:rsidRPr="00941B04" w:rsidRDefault="00934E40" w:rsidP="00375B57">
            <w:pPr>
              <w:pStyle w:val="TableText"/>
              <w:rPr>
                <w:sz w:val="20"/>
                <w:szCs w:val="20"/>
              </w:rPr>
            </w:pPr>
            <w:r w:rsidRPr="00941B04">
              <w:rPr>
                <w:sz w:val="20"/>
                <w:szCs w:val="20"/>
              </w:rPr>
              <w:t xml:space="preserve">Have investment managers made </w:t>
            </w:r>
            <w:r w:rsidRPr="00941B04">
              <w:rPr>
                <w:b/>
                <w:sz w:val="20"/>
                <w:szCs w:val="20"/>
              </w:rPr>
              <w:t>delivery choices</w:t>
            </w:r>
            <w:r w:rsidRPr="00941B04">
              <w:rPr>
                <w:sz w:val="20"/>
                <w:szCs w:val="20"/>
              </w:rPr>
              <w:t xml:space="preserve"> that demonstrate </w:t>
            </w:r>
            <w:r w:rsidRPr="00941B04">
              <w:rPr>
                <w:b/>
                <w:sz w:val="20"/>
                <w:szCs w:val="20"/>
              </w:rPr>
              <w:t>climate change impact and value</w:t>
            </w:r>
            <w:r w:rsidR="009045AD">
              <w:rPr>
                <w:b/>
                <w:sz w:val="20"/>
                <w:szCs w:val="20"/>
              </w:rPr>
              <w:t>-</w:t>
            </w:r>
            <w:r w:rsidRPr="00941B04">
              <w:rPr>
                <w:b/>
                <w:sz w:val="20"/>
                <w:szCs w:val="20"/>
              </w:rPr>
              <w:t>for</w:t>
            </w:r>
            <w:r w:rsidR="009045AD">
              <w:rPr>
                <w:b/>
                <w:sz w:val="20"/>
                <w:szCs w:val="20"/>
              </w:rPr>
              <w:t>-</w:t>
            </w:r>
            <w:r w:rsidRPr="00941B04">
              <w:rPr>
                <w:b/>
                <w:sz w:val="20"/>
                <w:szCs w:val="20"/>
              </w:rPr>
              <w:t xml:space="preserve">money </w:t>
            </w:r>
            <w:r w:rsidRPr="001E6C02">
              <w:rPr>
                <w:sz w:val="20"/>
                <w:szCs w:val="20"/>
              </w:rPr>
              <w:t>have been sensibly balanced</w:t>
            </w:r>
            <w:r w:rsidRPr="00F35CBA">
              <w:rPr>
                <w:sz w:val="20"/>
                <w:szCs w:val="20"/>
              </w:rPr>
              <w:t>?</w:t>
            </w:r>
          </w:p>
        </w:tc>
      </w:tr>
    </w:tbl>
    <w:p w14:paraId="08F5A937" w14:textId="77777777" w:rsidR="00436615" w:rsidRDefault="000E2462" w:rsidP="00DA2E8F">
      <w:pPr>
        <w:pStyle w:val="Heading2"/>
        <w:numPr>
          <w:ilvl w:val="0"/>
          <w:numId w:val="0"/>
        </w:numPr>
        <w:ind w:left="432" w:hanging="432"/>
      </w:pPr>
      <w:bookmarkStart w:id="43" w:name="_Toc510771919"/>
      <w:r>
        <w:t>2.</w:t>
      </w:r>
      <w:r w:rsidR="001405A5">
        <w:t xml:space="preserve">3 </w:t>
      </w:r>
      <w:r w:rsidR="00436615">
        <w:t xml:space="preserve">Approach and </w:t>
      </w:r>
      <w:r w:rsidR="00E70A7B">
        <w:t>m</w:t>
      </w:r>
      <w:r w:rsidR="00436615">
        <w:t>ethodology</w:t>
      </w:r>
      <w:bookmarkEnd w:id="43"/>
    </w:p>
    <w:p w14:paraId="536950D6" w14:textId="1F8CC4E5" w:rsidR="00F508EE" w:rsidRDefault="00826099" w:rsidP="00826099">
      <w:r>
        <w:t xml:space="preserve">The evaluation </w:t>
      </w:r>
      <w:r w:rsidR="00C619D7">
        <w:t>team</w:t>
      </w:r>
      <w:r w:rsidR="00AC09D4">
        <w:t>,</w:t>
      </w:r>
      <w:r w:rsidR="00C619D7">
        <w:t xml:space="preserve"> comp</w:t>
      </w:r>
      <w:r w:rsidR="008A50BB">
        <w:t>rising</w:t>
      </w:r>
      <w:r w:rsidR="00C619D7">
        <w:t xml:space="preserve"> three staff</w:t>
      </w:r>
      <w:r w:rsidR="00065E05">
        <w:t xml:space="preserve"> or </w:t>
      </w:r>
      <w:r w:rsidR="00C619D7">
        <w:t xml:space="preserve">associates from IOD PARC and two staff </w:t>
      </w:r>
      <w:r w:rsidR="00AC09D4">
        <w:t>o</w:t>
      </w:r>
      <w:r w:rsidR="00C619D7">
        <w:t xml:space="preserve">f </w:t>
      </w:r>
      <w:r w:rsidR="00AC09D4">
        <w:t>the O</w:t>
      </w:r>
      <w:r w:rsidR="00065E05">
        <w:t>DE</w:t>
      </w:r>
      <w:r w:rsidR="00AC09D4">
        <w:t>,</w:t>
      </w:r>
      <w:r w:rsidR="00C619D7">
        <w:t xml:space="preserve"> took </w:t>
      </w:r>
      <w:r w:rsidR="008D4A4B">
        <w:t>an approach</w:t>
      </w:r>
      <w:r w:rsidR="00DA7C9D">
        <w:t xml:space="preserve"> that was</w:t>
      </w:r>
      <w:r w:rsidR="00DB72A9">
        <w:t xml:space="preserve"> both</w:t>
      </w:r>
      <w:r w:rsidR="00DA7C9D">
        <w:t xml:space="preserve"> forward</w:t>
      </w:r>
      <w:r w:rsidR="008A50BB">
        <w:t>-</w:t>
      </w:r>
      <w:r w:rsidR="00B25F9E">
        <w:t>looking</w:t>
      </w:r>
      <w:r w:rsidR="00DA7C9D">
        <w:t xml:space="preserve"> and theory</w:t>
      </w:r>
      <w:r w:rsidR="008A50BB">
        <w:t>-</w:t>
      </w:r>
      <w:r w:rsidR="00DA7C9D">
        <w:t>based.</w:t>
      </w:r>
    </w:p>
    <w:p w14:paraId="0A4F01E1" w14:textId="766A3F68" w:rsidR="00F508EE" w:rsidRDefault="005D0742" w:rsidP="00826099">
      <w:r>
        <w:rPr>
          <w:b/>
        </w:rPr>
        <w:t>Forward</w:t>
      </w:r>
      <w:r w:rsidR="008A50BB">
        <w:rPr>
          <w:b/>
        </w:rPr>
        <w:t>-</w:t>
      </w:r>
      <w:r>
        <w:rPr>
          <w:b/>
        </w:rPr>
        <w:t>looking:</w:t>
      </w:r>
      <w:r w:rsidR="00110D83">
        <w:rPr>
          <w:b/>
        </w:rPr>
        <w:t xml:space="preserve"> </w:t>
      </w:r>
      <w:r>
        <w:t xml:space="preserve">The evaluation is formative in nature. </w:t>
      </w:r>
      <w:r w:rsidR="00826099">
        <w:t xml:space="preserve">It tries to understand key factors that </w:t>
      </w:r>
      <w:r>
        <w:t>led to the success of earlier investments</w:t>
      </w:r>
      <w:r w:rsidR="00826099">
        <w:t xml:space="preserve"> and consider</w:t>
      </w:r>
      <w:r>
        <w:t xml:space="preserve"> the relevance of this learning given the challenges and </w:t>
      </w:r>
      <w:r>
        <w:lastRenderedPageBreak/>
        <w:t>opportunities th</w:t>
      </w:r>
      <w:r w:rsidR="00C617E6">
        <w:t>at countries are facing in the p</w:t>
      </w:r>
      <w:r>
        <w:t>ost</w:t>
      </w:r>
      <w:r w:rsidR="008A50BB">
        <w:t>-</w:t>
      </w:r>
      <w:r>
        <w:t xml:space="preserve">Paris </w:t>
      </w:r>
      <w:r w:rsidR="008A50BB">
        <w:t>A</w:t>
      </w:r>
      <w:r>
        <w:t xml:space="preserve">greement era. </w:t>
      </w:r>
      <w:r w:rsidR="00EE6997">
        <w:t xml:space="preserve">It also considers </w:t>
      </w:r>
      <w:r w:rsidR="00E55D81">
        <w:t xml:space="preserve">DFAT’s </w:t>
      </w:r>
      <w:r>
        <w:t>internal structures, systems and processes</w:t>
      </w:r>
      <w:r w:rsidR="008A50BB">
        <w:t>,</w:t>
      </w:r>
      <w:r>
        <w:t xml:space="preserve"> </w:t>
      </w:r>
      <w:r w:rsidR="00E55D81">
        <w:t xml:space="preserve">and whether these </w:t>
      </w:r>
      <w:r>
        <w:t>enab</w:t>
      </w:r>
      <w:r w:rsidR="008A50BB">
        <w:t>le</w:t>
      </w:r>
      <w:r>
        <w:t xml:space="preserve"> climate change programming to be positioned and actioned </w:t>
      </w:r>
      <w:r w:rsidR="008A50BB">
        <w:t>to</w:t>
      </w:r>
      <w:r>
        <w:t xml:space="preserve"> fit within different operating contexts.</w:t>
      </w:r>
    </w:p>
    <w:p w14:paraId="1407C9F1" w14:textId="1C65B57B" w:rsidR="00F508EE" w:rsidRDefault="00DF0D41" w:rsidP="00826099">
      <w:pPr>
        <w:rPr>
          <w:b/>
          <w:noProof/>
          <w:lang w:val="en-GB" w:eastAsia="en-GB"/>
        </w:rPr>
      </w:pPr>
      <w:r>
        <w:rPr>
          <w:noProof/>
          <w:lang w:eastAsia="en-AU"/>
        </w:rPr>
        <mc:AlternateContent>
          <mc:Choice Requires="wps">
            <w:drawing>
              <wp:anchor distT="0" distB="0" distL="114300" distR="114300" simplePos="0" relativeHeight="251662336" behindDoc="0" locked="0" layoutInCell="1" allowOverlap="1" wp14:anchorId="51F9EABB" wp14:editId="7BAEEEA8">
                <wp:simplePos x="0" y="0"/>
                <wp:positionH relativeFrom="column">
                  <wp:posOffset>2517032</wp:posOffset>
                </wp:positionH>
                <wp:positionV relativeFrom="paragraph">
                  <wp:posOffset>69215</wp:posOffset>
                </wp:positionV>
                <wp:extent cx="4257040" cy="457200"/>
                <wp:effectExtent l="0" t="0" r="0" b="0"/>
                <wp:wrapSquare wrapText="bothSides"/>
                <wp:docPr id="464" name="Text Box 464"/>
                <wp:cNvGraphicFramePr/>
                <a:graphic xmlns:a="http://schemas.openxmlformats.org/drawingml/2006/main">
                  <a:graphicData uri="http://schemas.microsoft.com/office/word/2010/wordprocessingShape">
                    <wps:wsp>
                      <wps:cNvSpPr txBox="1"/>
                      <wps:spPr>
                        <a:xfrm>
                          <a:off x="0" y="0"/>
                          <a:ext cx="4257040" cy="457200"/>
                        </a:xfrm>
                        <a:prstGeom prst="rect">
                          <a:avLst/>
                        </a:prstGeom>
                        <a:solidFill>
                          <a:prstClr val="white"/>
                        </a:solidFill>
                        <a:ln>
                          <a:noFill/>
                        </a:ln>
                      </wps:spPr>
                      <wps:txbx>
                        <w:txbxContent>
                          <w:p w14:paraId="7B56FDD8" w14:textId="5EDC9A50" w:rsidR="00825350" w:rsidRPr="007B7A5E" w:rsidRDefault="00825350" w:rsidP="008E241A">
                            <w:pPr>
                              <w:pStyle w:val="Caption"/>
                              <w:jc w:val="center"/>
                              <w:rPr>
                                <w:noProof/>
                              </w:rPr>
                            </w:pPr>
                            <w:bookmarkStart w:id="44" w:name="_Ref499732157"/>
                            <w:bookmarkStart w:id="45" w:name="_Toc50949914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4"/>
                            <w:r>
                              <w:t xml:space="preserve">: </w:t>
                            </w:r>
                            <w:r w:rsidRPr="0036732F">
                              <w:t>Five domains of good practice climate change integration</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1F9EABB" id="_x0000_t202" coordsize="21600,21600" o:spt="202" path="m,l,21600r21600,l21600,xe">
                <v:stroke joinstyle="miter"/>
                <v:path gradientshapeok="t" o:connecttype="rect"/>
              </v:shapetype>
              <v:shape id="Text Box 464" o:spid="_x0000_s1030" type="#_x0000_t202" style="position:absolute;margin-left:198.2pt;margin-top:5.45pt;width:335.2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" stroked="f">
                <v:textbox inset="0,0,0,0">
                  <w:txbxContent>
                    <w:p w14:paraId="7B56FDD8" w14:textId="5EDC9A50" w:rsidR="00825350" w:rsidRPr="007B7A5E" w:rsidRDefault="00825350" w:rsidP="008E241A">
                      <w:pPr>
                        <w:pStyle w:val="Caption"/>
                        <w:jc w:val="center"/>
                        <w:rPr>
                          <w:noProof/>
                        </w:rPr>
                      </w:pPr>
                      <w:bookmarkStart w:id="46" w:name="_Ref499732157"/>
                      <w:bookmarkStart w:id="47" w:name="_Toc50949914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6"/>
                      <w:r>
                        <w:t xml:space="preserve">: </w:t>
                      </w:r>
                      <w:r w:rsidRPr="0036732F">
                        <w:t>Five domains of good practice climate change integration</w:t>
                      </w:r>
                      <w:bookmarkEnd w:id="47"/>
                    </w:p>
                  </w:txbxContent>
                </v:textbox>
                <w10:wrap type="square"/>
              </v:shape>
            </w:pict>
          </mc:Fallback>
        </mc:AlternateContent>
      </w:r>
      <w:r>
        <w:rPr>
          <w:noProof/>
          <w:lang w:eastAsia="en-AU"/>
        </w:rPr>
        <w:drawing>
          <wp:anchor distT="6096" distB="3048" distL="114300" distR="114300" simplePos="0" relativeHeight="251654144" behindDoc="1" locked="0" layoutInCell="1" allowOverlap="1" wp14:anchorId="0106A45D" wp14:editId="1A162963">
            <wp:simplePos x="0" y="0"/>
            <wp:positionH relativeFrom="column">
              <wp:posOffset>2792095</wp:posOffset>
            </wp:positionH>
            <wp:positionV relativeFrom="paragraph">
              <wp:posOffset>526415</wp:posOffset>
            </wp:positionV>
            <wp:extent cx="3732530" cy="2551430"/>
            <wp:effectExtent l="0" t="0" r="0" b="20320"/>
            <wp:wrapSquare wrapText="bothSides"/>
            <wp:docPr id="8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r w:rsidR="005D0742">
        <w:rPr>
          <w:b/>
        </w:rPr>
        <w:t>Theory</w:t>
      </w:r>
      <w:r w:rsidR="008A50BB">
        <w:rPr>
          <w:b/>
        </w:rPr>
        <w:t>-</w:t>
      </w:r>
      <w:r w:rsidR="005D0742">
        <w:rPr>
          <w:b/>
        </w:rPr>
        <w:t xml:space="preserve">based: </w:t>
      </w:r>
      <w:r w:rsidR="00D763CA">
        <w:t>The evaluation uses a</w:t>
      </w:r>
      <w:r w:rsidR="005D0742">
        <w:t xml:space="preserve"> review of international experience to provide a theory</w:t>
      </w:r>
      <w:r w:rsidR="008A50BB">
        <w:t>-</w:t>
      </w:r>
      <w:r w:rsidR="005D0742">
        <w:t xml:space="preserve">based framework </w:t>
      </w:r>
      <w:r w:rsidR="008A50BB">
        <w:t xml:space="preserve">for </w:t>
      </w:r>
      <w:r w:rsidR="005D0742">
        <w:t xml:space="preserve">good practice climate change integration against which the Australian experience can be </w:t>
      </w:r>
      <w:r w:rsidR="00D763CA">
        <w:t>considered</w:t>
      </w:r>
      <w:r w:rsidR="005D0742">
        <w:t>.</w:t>
      </w:r>
      <w:r w:rsidR="00110D83">
        <w:t xml:space="preserve"> </w:t>
      </w:r>
      <w:r w:rsidR="0058413D">
        <w:t xml:space="preserve">The framework identifies five critical domains for </w:t>
      </w:r>
      <w:r w:rsidR="00194677">
        <w:t>good practice integration</w:t>
      </w:r>
      <w:r w:rsidR="009045AD">
        <w:t>. At the centre is policy commitment and leadership. Other domains include strategic clarity, design approval and staff capacity, financing and M&amp;E and reporting</w:t>
      </w:r>
      <w:r w:rsidR="007F5B3A">
        <w:t xml:space="preserve"> </w:t>
      </w:r>
      <w:r w:rsidR="007F5B3A" w:rsidRPr="00AD3BA3">
        <w:t>(</w:t>
      </w:r>
      <w:r w:rsidR="00EE3DFB" w:rsidRPr="00AD3BA3">
        <w:fldChar w:fldCharType="begin"/>
      </w:r>
      <w:r w:rsidR="00EE3DFB" w:rsidRPr="00AF310A">
        <w:instrText xml:space="preserve"> REF _Ref499732157 \h </w:instrText>
      </w:r>
      <w:r w:rsidR="008E241A" w:rsidRPr="00AF310A">
        <w:instrText xml:space="preserve"> \* MERGEFORMAT </w:instrText>
      </w:r>
      <w:r w:rsidR="00EE3DFB" w:rsidRPr="00AD3BA3">
        <w:fldChar w:fldCharType="separate"/>
      </w:r>
      <w:r w:rsidR="00825350">
        <w:t xml:space="preserve">Figure </w:t>
      </w:r>
      <w:r w:rsidR="00825350">
        <w:rPr>
          <w:noProof/>
        </w:rPr>
        <w:t>2</w:t>
      </w:r>
      <w:r w:rsidR="00EE3DFB" w:rsidRPr="00AD3BA3">
        <w:fldChar w:fldCharType="end"/>
      </w:r>
      <w:r w:rsidR="007F5B3A" w:rsidRPr="00AD3BA3">
        <w:t>)</w:t>
      </w:r>
      <w:r w:rsidR="00194677" w:rsidRPr="00AD3BA3">
        <w:t>.</w:t>
      </w:r>
    </w:p>
    <w:p w14:paraId="09DAD4AE" w14:textId="650F7E27" w:rsidR="00F508EE" w:rsidRDefault="005D0742" w:rsidP="00826099">
      <w:r>
        <w:rPr>
          <w:b/>
        </w:rPr>
        <w:t xml:space="preserve">Evidence from cases: </w:t>
      </w:r>
      <w:r>
        <w:t>Evidence is drawn from a series of cases representing a cross</w:t>
      </w:r>
      <w:r w:rsidR="008A50BB">
        <w:t>-</w:t>
      </w:r>
      <w:r>
        <w:t>section of organisation</w:t>
      </w:r>
      <w:r w:rsidR="008A50BB">
        <w:t>-</w:t>
      </w:r>
      <w:r>
        <w:t>wide, country</w:t>
      </w:r>
      <w:r w:rsidR="00BC50A1">
        <w:t xml:space="preserve"> or </w:t>
      </w:r>
      <w:r>
        <w:t>regional</w:t>
      </w:r>
      <w:r w:rsidR="00BC50A1">
        <w:t>,</w:t>
      </w:r>
      <w:r>
        <w:t xml:space="preserve"> and investment</w:t>
      </w:r>
      <w:r w:rsidR="008A50BB">
        <w:t>-</w:t>
      </w:r>
      <w:r>
        <w:t>level approaches to Australian support to climate change action in Asia and the Pacific.</w:t>
      </w:r>
    </w:p>
    <w:p w14:paraId="2B1DDE8B" w14:textId="044B2131" w:rsidR="00436615" w:rsidRDefault="005D0742" w:rsidP="007417D8">
      <w:r w:rsidRPr="00C26ED7">
        <w:rPr>
          <w:b/>
        </w:rPr>
        <w:t>Examples of practice:</w:t>
      </w:r>
      <w:r w:rsidR="00110D83">
        <w:t xml:space="preserve"> </w:t>
      </w:r>
      <w:r w:rsidR="00A34F25">
        <w:t xml:space="preserve">Examples </w:t>
      </w:r>
      <w:r w:rsidR="007674B3">
        <w:t xml:space="preserve">of </w:t>
      </w:r>
      <w:r w:rsidRPr="00FB5E5C">
        <w:t xml:space="preserve">good and poor practice </w:t>
      </w:r>
      <w:r w:rsidR="00840B0F">
        <w:t xml:space="preserve">have been </w:t>
      </w:r>
      <w:r w:rsidRPr="00FB5E5C">
        <w:t xml:space="preserve">identified </w:t>
      </w:r>
      <w:r w:rsidR="00A34F25">
        <w:t xml:space="preserve">and used in vignettes </w:t>
      </w:r>
      <w:r w:rsidRPr="00FB5E5C">
        <w:t xml:space="preserve">to </w:t>
      </w:r>
      <w:r w:rsidR="00A34F25">
        <w:t>illustrate</w:t>
      </w:r>
      <w:r w:rsidRPr="00FB5E5C">
        <w:t xml:space="preserve"> </w:t>
      </w:r>
      <w:r w:rsidR="00A34F25">
        <w:t xml:space="preserve">different </w:t>
      </w:r>
      <w:r w:rsidRPr="00FB5E5C">
        <w:t xml:space="preserve">climate change integration approaches at </w:t>
      </w:r>
      <w:r w:rsidR="008A50BB">
        <w:t xml:space="preserve">a </w:t>
      </w:r>
      <w:r w:rsidRPr="00FB5E5C">
        <w:t xml:space="preserve">corporate, country/regional program and </w:t>
      </w:r>
      <w:r w:rsidR="00C617E6">
        <w:t>i</w:t>
      </w:r>
      <w:r w:rsidRPr="00FB5E5C">
        <w:t>nvestment level.</w:t>
      </w:r>
    </w:p>
    <w:p w14:paraId="33EF5157" w14:textId="77777777" w:rsidR="007417D8" w:rsidRDefault="007417D8" w:rsidP="007417D8">
      <w:pPr>
        <w:pStyle w:val="Heading3"/>
      </w:pPr>
      <w:r>
        <w:t>Methodology</w:t>
      </w:r>
    </w:p>
    <w:p w14:paraId="7F103E15" w14:textId="74266382" w:rsidR="001030A6" w:rsidRDefault="0058413D" w:rsidP="0058413D">
      <w:r>
        <w:t xml:space="preserve">To help frame the evaluation, an </w:t>
      </w:r>
      <w:r>
        <w:rPr>
          <w:b/>
        </w:rPr>
        <w:t xml:space="preserve">international literature review </w:t>
      </w:r>
      <w:r>
        <w:t>was undertaken during the inception phase.</w:t>
      </w:r>
      <w:r w:rsidR="00110D83">
        <w:t xml:space="preserve"> </w:t>
      </w:r>
      <w:r>
        <w:t xml:space="preserve">The review focused on how 11 </w:t>
      </w:r>
      <w:r w:rsidR="002319E2">
        <w:t xml:space="preserve">bilateral </w:t>
      </w:r>
      <w:r>
        <w:t>donors have integrated climate change into their portfolio</w:t>
      </w:r>
      <w:r w:rsidR="00AF310A">
        <w:t>s</w:t>
      </w:r>
      <w:r w:rsidR="008A50BB">
        <w:t xml:space="preserve"> and</w:t>
      </w:r>
      <w:r>
        <w:t xml:space="preserve"> to what level of success, </w:t>
      </w:r>
      <w:r w:rsidR="008A50BB">
        <w:t xml:space="preserve">in order </w:t>
      </w:r>
      <w:r>
        <w:t>to identify five</w:t>
      </w:r>
      <w:r w:rsidR="00B42DE8">
        <w:t xml:space="preserve"> core elements of good practice</w:t>
      </w:r>
      <w:r w:rsidR="00DA7C9D">
        <w:t xml:space="preserve"> </w:t>
      </w:r>
      <w:r>
        <w:t>climate change integration.</w:t>
      </w:r>
      <w:r w:rsidR="002319E2">
        <w:t xml:space="preserve"> When elaborated</w:t>
      </w:r>
      <w:r w:rsidR="008A50BB">
        <w:t>,</w:t>
      </w:r>
      <w:r w:rsidR="002319E2">
        <w:t xml:space="preserve"> these </w:t>
      </w:r>
      <w:r w:rsidR="00E245EE">
        <w:t xml:space="preserve">elements </w:t>
      </w:r>
      <w:r w:rsidR="00AD26DE">
        <w:t>(</w:t>
      </w:r>
      <w:r w:rsidR="00AF310A">
        <w:t xml:space="preserve">described </w:t>
      </w:r>
      <w:r w:rsidR="00C44324">
        <w:t>in Table</w:t>
      </w:r>
      <w:r w:rsidR="00AD26DE">
        <w:t xml:space="preserve">) </w:t>
      </w:r>
      <w:r w:rsidR="002319E2">
        <w:t xml:space="preserve">provide a </w:t>
      </w:r>
      <w:r w:rsidR="006F78C7">
        <w:t>high-level</w:t>
      </w:r>
      <w:r w:rsidR="002319E2">
        <w:t xml:space="preserve"> theory about what good practice climate change integration looks like</w:t>
      </w:r>
      <w:r w:rsidR="007F5B3A">
        <w:t xml:space="preserve"> in </w:t>
      </w:r>
      <w:r w:rsidR="006F78C7">
        <w:t xml:space="preserve">a </w:t>
      </w:r>
      <w:r w:rsidR="007F5B3A">
        <w:t xml:space="preserve">development </w:t>
      </w:r>
      <w:r w:rsidR="006F78C7">
        <w:t>program</w:t>
      </w:r>
      <w:r w:rsidR="002319E2">
        <w:t>.</w:t>
      </w:r>
    </w:p>
    <w:p w14:paraId="0AD82211" w14:textId="77777777" w:rsidR="001030A6" w:rsidRDefault="001030A6">
      <w:pPr>
        <w:tabs>
          <w:tab w:val="clear" w:pos="992"/>
          <w:tab w:val="clear" w:pos="1418"/>
        </w:tabs>
        <w:spacing w:after="0" w:line="240" w:lineRule="auto"/>
      </w:pPr>
      <w:r>
        <w:br w:type="page"/>
      </w:r>
    </w:p>
    <w:p w14:paraId="2D2AB6C6" w14:textId="10B27B92" w:rsidR="009F28C6" w:rsidRDefault="009F28C6" w:rsidP="008E241A">
      <w:pPr>
        <w:pStyle w:val="Caption"/>
        <w:keepNext/>
      </w:pPr>
      <w:bookmarkStart w:id="48" w:name="_Ref499733429"/>
      <w:bookmarkStart w:id="49" w:name="_Toc510591526"/>
      <w:bookmarkStart w:id="50" w:name="_Hlk519372681"/>
      <w:r>
        <w:lastRenderedPageBreak/>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2</w:t>
      </w:r>
      <w:r w:rsidR="00E7543E">
        <w:rPr>
          <w:noProof/>
        </w:rPr>
        <w:fldChar w:fldCharType="end"/>
      </w:r>
      <w:bookmarkEnd w:id="48"/>
      <w:r w:rsidRPr="00AD3BA3">
        <w:t xml:space="preserve">: </w:t>
      </w:r>
      <w:r w:rsidR="001030A6" w:rsidRPr="00AD3BA3">
        <w:t>Domains</w:t>
      </w:r>
      <w:r w:rsidR="00EC4516" w:rsidRPr="00AD3BA3">
        <w:t xml:space="preserve"> of good practice clim</w:t>
      </w:r>
      <w:r w:rsidR="00EC4516" w:rsidRPr="00983BCD">
        <w:t xml:space="preserve">ate </w:t>
      </w:r>
      <w:r w:rsidR="00EC4516">
        <w:t>c</w:t>
      </w:r>
      <w:r w:rsidR="00EC4516" w:rsidRPr="00983BCD">
        <w:t>hange integration</w:t>
      </w:r>
      <w:bookmarkEnd w:id="4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omains of good practice climate change integration"/>
        <w:tblDescription w:val="The five domains listed, with descriptions, are Climate change and ODA strategic clarity; Internal design and approval processes&#10;and staff capacity; Monitoring, evaluation and reporting; financing; and policy commitment and leadership."/>
      </w:tblPr>
      <w:tblGrid>
        <w:gridCol w:w="1560"/>
        <w:gridCol w:w="8646"/>
      </w:tblGrid>
      <w:tr w:rsidR="00AC21C0" w:rsidRPr="00E968E5" w14:paraId="7A9C2640" w14:textId="77777777" w:rsidTr="00AC21C0">
        <w:trPr>
          <w:trHeight w:val="469"/>
        </w:trPr>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00A400"/>
            <w:vAlign w:val="center"/>
          </w:tcPr>
          <w:p w14:paraId="5AB2893E" w14:textId="246F2232"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bookmarkStart w:id="51" w:name="_Hlk496014074"/>
            <w:r w:rsidRPr="00E968E5">
              <w:rPr>
                <w:rFonts w:ascii="Franklin Gothic Book" w:eastAsia="Times New Roman" w:hAnsi="Franklin Gothic Book" w:cs="Times New Roman"/>
                <w:b/>
                <w:color w:val="auto"/>
                <w:sz w:val="21"/>
                <w:szCs w:val="24"/>
                <w:lang w:eastAsia="en-AU"/>
              </w:rPr>
              <w:t xml:space="preserve">Climate change and ODA </w:t>
            </w:r>
            <w:r w:rsidR="000D577D">
              <w:rPr>
                <w:rFonts w:ascii="Franklin Gothic Book" w:eastAsia="Times New Roman" w:hAnsi="Franklin Gothic Book" w:cs="Times New Roman"/>
                <w:b/>
                <w:color w:val="auto"/>
                <w:sz w:val="21"/>
                <w:szCs w:val="24"/>
                <w:lang w:eastAsia="en-AU"/>
              </w:rPr>
              <w:t>strategic clarity</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0E47FC06"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Clear goals</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objectives and outcomes for climate change exist within the agency</w:t>
            </w:r>
          </w:p>
        </w:tc>
      </w:tr>
      <w:tr w:rsidR="00AC21C0" w:rsidRPr="00E968E5" w14:paraId="3C85793F"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53746EAB"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4C6750E" w14:textId="2F806B09" w:rsidR="00AC21C0" w:rsidRPr="00E968E5" w:rsidRDefault="00AF310A"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A</w:t>
            </w:r>
            <w:r w:rsidR="00AC21C0" w:rsidRPr="00E968E5">
              <w:rPr>
                <w:rFonts w:ascii="Franklin Gothic Book" w:eastAsia="Times New Roman" w:hAnsi="Franklin Gothic Book" w:cs="Times New Roman"/>
                <w:color w:val="auto"/>
                <w:sz w:val="21"/>
                <w:szCs w:val="24"/>
                <w:lang w:eastAsia="en-AU"/>
              </w:rPr>
              <w:t>gency goals include clear mainstreaming objectives</w:t>
            </w:r>
          </w:p>
        </w:tc>
      </w:tr>
      <w:tr w:rsidR="00AC21C0" w:rsidRPr="00E968E5" w14:paraId="59DAE5A0"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67893396"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58CE932"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Goals, objectives and outcomes are supported by a clear</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feasible implementation plan</w:t>
            </w:r>
          </w:p>
        </w:tc>
      </w:tr>
      <w:tr w:rsidR="00AC21C0" w:rsidRPr="00E968E5" w14:paraId="3BEE355B"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3DA80963"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27CE1C5"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Climate change and DRR policy agendas are closely aligned or integrated</w:t>
            </w:r>
          </w:p>
        </w:tc>
      </w:tr>
      <w:tr w:rsidR="00AC21C0" w:rsidRPr="00E968E5" w14:paraId="1C015D28" w14:textId="77777777" w:rsidTr="00AC21C0">
        <w:trPr>
          <w:trHeight w:val="226"/>
        </w:trPr>
        <w:tc>
          <w:tcPr>
            <w:tcW w:w="1560" w:type="dxa"/>
            <w:vMerge/>
            <w:tcBorders>
              <w:top w:val="dashSmallGap" w:sz="4" w:space="0" w:color="auto"/>
              <w:left w:val="single" w:sz="12" w:space="0" w:color="auto"/>
              <w:bottom w:val="single" w:sz="12" w:space="0" w:color="auto"/>
              <w:right w:val="dashSmallGap" w:sz="4" w:space="0" w:color="auto"/>
            </w:tcBorders>
            <w:shd w:val="clear" w:color="auto" w:fill="00A400"/>
            <w:vAlign w:val="center"/>
          </w:tcPr>
          <w:p w14:paraId="3C81C863"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59F1601F"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There is a long-term commitment (including funding) to integrate climate change </w:t>
            </w:r>
          </w:p>
        </w:tc>
      </w:tr>
      <w:tr w:rsidR="00AC21C0" w:rsidRPr="00E968E5" w14:paraId="3EA36934" w14:textId="77777777" w:rsidTr="005E6C81">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00B0F0"/>
            <w:vAlign w:val="center"/>
          </w:tcPr>
          <w:p w14:paraId="7B5F7D7A"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 xml:space="preserve">Internal design </w:t>
            </w:r>
            <w:r>
              <w:rPr>
                <w:rFonts w:ascii="Franklin Gothic Book" w:eastAsia="Times New Roman" w:hAnsi="Franklin Gothic Book" w:cs="Times New Roman"/>
                <w:b/>
                <w:color w:val="auto"/>
                <w:sz w:val="21"/>
                <w:szCs w:val="24"/>
                <w:lang w:eastAsia="en-AU"/>
              </w:rPr>
              <w:t>and</w:t>
            </w:r>
            <w:r w:rsidRPr="00E968E5">
              <w:rPr>
                <w:rFonts w:ascii="Franklin Gothic Book" w:eastAsia="Times New Roman" w:hAnsi="Franklin Gothic Book" w:cs="Times New Roman"/>
                <w:b/>
                <w:color w:val="auto"/>
                <w:sz w:val="21"/>
                <w:szCs w:val="24"/>
                <w:lang w:eastAsia="en-AU"/>
              </w:rPr>
              <w:t xml:space="preserve"> approval processes</w:t>
            </w:r>
          </w:p>
          <w:p w14:paraId="195DA922"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and staff capacity</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392E41E9" w14:textId="6C970478"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Mandatory climate change screening occurs for all projects (</w:t>
            </w:r>
            <w:r>
              <w:rPr>
                <w:rFonts w:ascii="Franklin Gothic Book" w:eastAsia="Times New Roman" w:hAnsi="Franklin Gothic Book" w:cs="Times New Roman"/>
                <w:color w:val="auto"/>
                <w:sz w:val="21"/>
                <w:szCs w:val="24"/>
                <w:lang w:eastAsia="en-AU"/>
              </w:rPr>
              <w:t>d</w:t>
            </w:r>
            <w:r w:rsidRPr="00E968E5">
              <w:rPr>
                <w:rFonts w:ascii="Franklin Gothic Book" w:eastAsia="Times New Roman" w:hAnsi="Franklin Gothic Book" w:cs="Times New Roman"/>
                <w:color w:val="auto"/>
                <w:sz w:val="21"/>
                <w:szCs w:val="24"/>
                <w:lang w:eastAsia="en-AU"/>
              </w:rPr>
              <w:t>esign</w:t>
            </w:r>
            <w:r w:rsidR="00AF310A">
              <w:rPr>
                <w:rFonts w:ascii="Franklin Gothic Book" w:eastAsia="Times New Roman" w:hAnsi="Franklin Gothic Book" w:cs="Times New Roman"/>
                <w:color w:val="auto"/>
                <w:sz w:val="21"/>
                <w:szCs w:val="24"/>
                <w:lang w:eastAsia="en-AU"/>
              </w:rPr>
              <w:t xml:space="preserve"> and </w:t>
            </w:r>
            <w:r>
              <w:rPr>
                <w:rFonts w:ascii="Franklin Gothic Book" w:eastAsia="Times New Roman" w:hAnsi="Franklin Gothic Book" w:cs="Times New Roman"/>
                <w:color w:val="auto"/>
                <w:sz w:val="21"/>
                <w:szCs w:val="24"/>
                <w:lang w:eastAsia="en-AU"/>
              </w:rPr>
              <w:t>a</w:t>
            </w:r>
            <w:r w:rsidRPr="00E968E5">
              <w:rPr>
                <w:rFonts w:ascii="Franklin Gothic Book" w:eastAsia="Times New Roman" w:hAnsi="Franklin Gothic Book" w:cs="Times New Roman"/>
                <w:color w:val="auto"/>
                <w:sz w:val="21"/>
                <w:szCs w:val="24"/>
                <w:lang w:eastAsia="en-AU"/>
              </w:rPr>
              <w:t>pproval)</w:t>
            </w:r>
          </w:p>
        </w:tc>
      </w:tr>
      <w:tr w:rsidR="00AC21C0" w:rsidRPr="00E968E5" w14:paraId="306F47E9" w14:textId="77777777" w:rsidTr="005E6C81">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1E07B667"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8ED3DF9"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Climate change impact assessments are undertaken for major projects with an identified climate change focus</w:t>
            </w:r>
            <w:r>
              <w:rPr>
                <w:rFonts w:ascii="Franklin Gothic Book" w:eastAsia="Times New Roman" w:hAnsi="Franklin Gothic Book" w:cs="Times New Roman"/>
                <w:color w:val="auto"/>
                <w:sz w:val="21"/>
                <w:szCs w:val="24"/>
                <w:lang w:eastAsia="en-AU"/>
              </w:rPr>
              <w:t xml:space="preserve"> or </w:t>
            </w:r>
            <w:r w:rsidRPr="00E968E5">
              <w:rPr>
                <w:rFonts w:ascii="Franklin Gothic Book" w:eastAsia="Times New Roman" w:hAnsi="Franklin Gothic Book" w:cs="Times New Roman"/>
                <w:color w:val="auto"/>
                <w:sz w:val="21"/>
                <w:szCs w:val="24"/>
                <w:lang w:eastAsia="en-AU"/>
              </w:rPr>
              <w:t>link</w:t>
            </w:r>
          </w:p>
        </w:tc>
      </w:tr>
      <w:tr w:rsidR="00AC21C0" w:rsidRPr="00E968E5" w14:paraId="03C19D45" w14:textId="77777777" w:rsidTr="005E6C81">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38266FF1"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5A1302A"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Guidance documents and support to</w:t>
            </w:r>
            <w:r>
              <w:rPr>
                <w:rFonts w:ascii="Franklin Gothic Book" w:eastAsia="Times New Roman" w:hAnsi="Franklin Gothic Book" w:cs="Times New Roman"/>
                <w:color w:val="auto"/>
                <w:sz w:val="21"/>
                <w:szCs w:val="24"/>
                <w:lang w:eastAsia="en-AU"/>
              </w:rPr>
              <w:t xml:space="preserve">ols exist to help program staff </w:t>
            </w:r>
            <w:r w:rsidRPr="00E968E5">
              <w:rPr>
                <w:rFonts w:ascii="Franklin Gothic Book" w:eastAsia="Times New Roman" w:hAnsi="Franklin Gothic Book" w:cs="Times New Roman"/>
                <w:color w:val="auto"/>
                <w:sz w:val="21"/>
                <w:szCs w:val="24"/>
                <w:lang w:eastAsia="en-AU"/>
              </w:rPr>
              <w:t xml:space="preserve">to integrate </w:t>
            </w:r>
            <w:r>
              <w:rPr>
                <w:rFonts w:ascii="Franklin Gothic Book" w:eastAsia="Times New Roman" w:hAnsi="Franklin Gothic Book" w:cs="Times New Roman"/>
                <w:color w:val="auto"/>
                <w:sz w:val="21"/>
                <w:szCs w:val="24"/>
                <w:lang w:eastAsia="en-AU"/>
              </w:rPr>
              <w:t xml:space="preserve">climate change </w:t>
            </w:r>
            <w:r w:rsidRPr="00E968E5">
              <w:rPr>
                <w:rFonts w:ascii="Franklin Gothic Book" w:eastAsia="Times New Roman" w:hAnsi="Franklin Gothic Book" w:cs="Times New Roman"/>
                <w:color w:val="auto"/>
                <w:sz w:val="21"/>
                <w:szCs w:val="24"/>
                <w:lang w:eastAsia="en-AU"/>
              </w:rPr>
              <w:t>at the design stage</w:t>
            </w:r>
          </w:p>
        </w:tc>
      </w:tr>
      <w:tr w:rsidR="00AC21C0" w:rsidRPr="00E968E5" w14:paraId="1C89D331" w14:textId="77777777" w:rsidTr="005E6C81">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35BB03A9"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2882895" w14:textId="78936561"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Staff have access to </w:t>
            </w:r>
            <w:r>
              <w:rPr>
                <w:rFonts w:ascii="Franklin Gothic Book" w:eastAsia="Times New Roman" w:hAnsi="Franklin Gothic Book" w:cs="Times New Roman"/>
                <w:color w:val="auto"/>
                <w:sz w:val="21"/>
                <w:szCs w:val="24"/>
                <w:lang w:eastAsia="en-AU"/>
              </w:rPr>
              <w:t xml:space="preserve">climate change </w:t>
            </w:r>
            <w:r w:rsidRPr="00E968E5">
              <w:rPr>
                <w:rFonts w:ascii="Franklin Gothic Book" w:eastAsia="Times New Roman" w:hAnsi="Franklin Gothic Book" w:cs="Times New Roman"/>
                <w:color w:val="auto"/>
                <w:sz w:val="21"/>
                <w:szCs w:val="24"/>
                <w:lang w:eastAsia="en-AU"/>
              </w:rPr>
              <w:t>specialists, support units</w:t>
            </w:r>
            <w:r w:rsidR="00AF310A">
              <w:rPr>
                <w:rFonts w:ascii="Franklin Gothic Book" w:eastAsia="Times New Roman" w:hAnsi="Franklin Gothic Book" w:cs="Times New Roman"/>
                <w:color w:val="auto"/>
                <w:sz w:val="21"/>
                <w:szCs w:val="24"/>
                <w:lang w:eastAsia="en-AU"/>
              </w:rPr>
              <w:t xml:space="preserve"> and </w:t>
            </w:r>
            <w:r w:rsidRPr="00E968E5">
              <w:rPr>
                <w:rFonts w:ascii="Franklin Gothic Book" w:eastAsia="Times New Roman" w:hAnsi="Franklin Gothic Book" w:cs="Times New Roman"/>
                <w:color w:val="auto"/>
                <w:sz w:val="21"/>
                <w:szCs w:val="24"/>
                <w:lang w:eastAsia="en-AU"/>
              </w:rPr>
              <w:t>helpdesks</w:t>
            </w:r>
            <w:r w:rsidR="00AF310A">
              <w:rPr>
                <w:rFonts w:ascii="Franklin Gothic Book" w:eastAsia="Times New Roman" w:hAnsi="Franklin Gothic Book" w:cs="Times New Roman"/>
                <w:color w:val="auto"/>
                <w:sz w:val="21"/>
                <w:szCs w:val="24"/>
                <w:lang w:eastAsia="en-AU"/>
              </w:rPr>
              <w:t>,</w:t>
            </w:r>
            <w:r>
              <w:rPr>
                <w:rFonts w:ascii="Franklin Gothic Book" w:eastAsia="Times New Roman" w:hAnsi="Franklin Gothic Book" w:cs="Times New Roman"/>
                <w:color w:val="auto"/>
                <w:sz w:val="21"/>
                <w:szCs w:val="24"/>
                <w:lang w:eastAsia="en-AU"/>
              </w:rPr>
              <w:t xml:space="preserve"> and</w:t>
            </w:r>
            <w:r w:rsidRPr="00E968E5">
              <w:rPr>
                <w:rFonts w:ascii="Franklin Gothic Book" w:eastAsia="Times New Roman" w:hAnsi="Franklin Gothic Book" w:cs="Times New Roman"/>
                <w:color w:val="auto"/>
                <w:sz w:val="21"/>
                <w:szCs w:val="24"/>
                <w:lang w:eastAsia="en-AU"/>
              </w:rPr>
              <w:t xml:space="preserve"> focal points</w:t>
            </w:r>
          </w:p>
        </w:tc>
      </w:tr>
      <w:tr w:rsidR="00AC21C0" w:rsidRPr="00E968E5" w14:paraId="1CB1B89A" w14:textId="77777777" w:rsidTr="005E6C81">
        <w:tc>
          <w:tcPr>
            <w:tcW w:w="1560" w:type="dxa"/>
            <w:vMerge/>
            <w:tcBorders>
              <w:top w:val="dashSmallGap" w:sz="4" w:space="0" w:color="auto"/>
              <w:left w:val="single" w:sz="12" w:space="0" w:color="auto"/>
              <w:bottom w:val="single" w:sz="12" w:space="0" w:color="auto"/>
              <w:right w:val="dashSmallGap" w:sz="4" w:space="0" w:color="auto"/>
            </w:tcBorders>
            <w:shd w:val="clear" w:color="auto" w:fill="00B0F0"/>
            <w:vAlign w:val="center"/>
          </w:tcPr>
          <w:p w14:paraId="6E77CA53"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0499D5F5" w14:textId="77777777"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Climate change integration training </w:t>
            </w:r>
            <w:r>
              <w:rPr>
                <w:rFonts w:ascii="Franklin Gothic Book" w:eastAsia="Times New Roman" w:hAnsi="Franklin Gothic Book" w:cs="Times New Roman"/>
                <w:color w:val="auto"/>
                <w:sz w:val="21"/>
                <w:szCs w:val="24"/>
                <w:lang w:eastAsia="en-AU"/>
              </w:rPr>
              <w:t xml:space="preserve">is </w:t>
            </w:r>
            <w:r w:rsidRPr="00E968E5">
              <w:rPr>
                <w:rFonts w:ascii="Franklin Gothic Book" w:eastAsia="Times New Roman" w:hAnsi="Franklin Gothic Book" w:cs="Times New Roman"/>
                <w:color w:val="auto"/>
                <w:sz w:val="21"/>
                <w:szCs w:val="24"/>
                <w:lang w:eastAsia="en-AU"/>
              </w:rPr>
              <w:t xml:space="preserve">available to staff </w:t>
            </w:r>
          </w:p>
        </w:tc>
      </w:tr>
      <w:tr w:rsidR="00AC21C0" w:rsidRPr="00E968E5" w14:paraId="07E059E9" w14:textId="77777777" w:rsidTr="00AC21C0">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B469FF"/>
            <w:vAlign w:val="center"/>
          </w:tcPr>
          <w:p w14:paraId="69039FF2"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Monitoring, evaluation and reporting</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4B1BE300" w14:textId="49A528C2"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Robust </w:t>
            </w:r>
            <w:r w:rsidR="00DC4E78">
              <w:rPr>
                <w:rFonts w:ascii="Franklin Gothic Book" w:eastAsia="Times New Roman" w:hAnsi="Franklin Gothic Book" w:cs="Times New Roman"/>
                <w:color w:val="auto"/>
                <w:sz w:val="21"/>
                <w:szCs w:val="24"/>
                <w:lang w:eastAsia="en-AU"/>
              </w:rPr>
              <w:t>M&amp;E</w:t>
            </w:r>
            <w:r w:rsidRPr="00E968E5">
              <w:rPr>
                <w:rFonts w:ascii="Franklin Gothic Book" w:eastAsia="Times New Roman" w:hAnsi="Franklin Gothic Book" w:cs="Times New Roman"/>
                <w:color w:val="auto"/>
                <w:sz w:val="21"/>
                <w:szCs w:val="24"/>
                <w:lang w:eastAsia="en-AU"/>
              </w:rPr>
              <w:t xml:space="preserve"> systems, using appropriate adaptation and/or mitigation indicators</w:t>
            </w:r>
            <w:r w:rsidR="00AF310A">
              <w:rPr>
                <w:rFonts w:ascii="Franklin Gothic Book" w:eastAsia="Times New Roman" w:hAnsi="Franklin Gothic Book" w:cs="Times New Roman"/>
                <w:color w:val="auto"/>
                <w:sz w:val="21"/>
                <w:szCs w:val="24"/>
                <w:lang w:eastAsia="en-AU"/>
              </w:rPr>
              <w:t>, are in place</w:t>
            </w:r>
          </w:p>
        </w:tc>
      </w:tr>
      <w:tr w:rsidR="00AC21C0" w:rsidRPr="00E968E5" w14:paraId="00FDB057"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44E5EA21"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353CD74" w14:textId="74A19F17" w:rsidR="00AC21C0" w:rsidRPr="00E968E5" w:rsidRDefault="00AC21C0" w:rsidP="00215C34">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w:t>
            </w:r>
            <w:r>
              <w:rPr>
                <w:rFonts w:ascii="Franklin Gothic Book" w:eastAsia="Times New Roman" w:hAnsi="Franklin Gothic Book" w:cs="Times New Roman"/>
                <w:color w:val="auto"/>
                <w:sz w:val="21"/>
                <w:szCs w:val="24"/>
                <w:lang w:eastAsia="en-AU"/>
              </w:rPr>
              <w:t>limate change</w:t>
            </w:r>
            <w:r w:rsidRPr="00E968E5">
              <w:rPr>
                <w:rFonts w:ascii="Franklin Gothic Book" w:eastAsia="Times New Roman" w:hAnsi="Franklin Gothic Book" w:cs="Times New Roman"/>
                <w:color w:val="auto"/>
                <w:sz w:val="21"/>
                <w:szCs w:val="24"/>
                <w:lang w:eastAsia="en-AU"/>
              </w:rPr>
              <w:t xml:space="preserve"> indicators are part of DFAT’s core</w:t>
            </w:r>
            <w:r w:rsidR="00215C34">
              <w:rPr>
                <w:rFonts w:ascii="Franklin Gothic Book" w:eastAsia="Times New Roman" w:hAnsi="Franklin Gothic Book" w:cs="Times New Roman"/>
                <w:color w:val="auto"/>
                <w:sz w:val="21"/>
                <w:szCs w:val="24"/>
                <w:lang w:eastAsia="en-AU"/>
              </w:rPr>
              <w:t xml:space="preserve"> ODA reporting at organisational level</w:t>
            </w:r>
            <w:r w:rsidRPr="00E968E5">
              <w:rPr>
                <w:rFonts w:ascii="Franklin Gothic Book" w:eastAsia="Times New Roman" w:hAnsi="Franklin Gothic Book" w:cs="Times New Roman"/>
                <w:color w:val="auto"/>
                <w:sz w:val="21"/>
                <w:szCs w:val="24"/>
                <w:lang w:eastAsia="en-AU"/>
              </w:rPr>
              <w:t xml:space="preserve"> and part of a mandatory annual reporting process</w:t>
            </w:r>
          </w:p>
        </w:tc>
      </w:tr>
      <w:tr w:rsidR="00AC21C0" w:rsidRPr="00E968E5" w14:paraId="32EB7B6F"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1F629AE0"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4DC4FBB" w14:textId="31F71328"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Departmental measures (indicators) and reports on how </w:t>
            </w:r>
            <w:r>
              <w:rPr>
                <w:rFonts w:ascii="Franklin Gothic Book" w:eastAsia="Times New Roman" w:hAnsi="Franklin Gothic Book" w:cs="Times New Roman"/>
                <w:color w:val="auto"/>
                <w:sz w:val="21"/>
                <w:szCs w:val="24"/>
                <w:lang w:eastAsia="en-AU"/>
              </w:rPr>
              <w:t xml:space="preserve">climate change </w:t>
            </w:r>
            <w:r w:rsidRPr="00E968E5">
              <w:rPr>
                <w:rFonts w:ascii="Franklin Gothic Book" w:eastAsia="Times New Roman" w:hAnsi="Franklin Gothic Book" w:cs="Times New Roman"/>
                <w:color w:val="auto"/>
                <w:sz w:val="21"/>
                <w:szCs w:val="24"/>
                <w:lang w:eastAsia="en-AU"/>
              </w:rPr>
              <w:t>has been mainstreamed across the portfolio</w:t>
            </w:r>
            <w:r w:rsidR="00AF310A">
              <w:rPr>
                <w:rFonts w:ascii="Franklin Gothic Book" w:eastAsia="Times New Roman" w:hAnsi="Franklin Gothic Book" w:cs="Times New Roman"/>
                <w:color w:val="auto"/>
                <w:sz w:val="21"/>
                <w:szCs w:val="24"/>
                <w:lang w:eastAsia="en-AU"/>
              </w:rPr>
              <w:t xml:space="preserve"> are in place</w:t>
            </w:r>
          </w:p>
        </w:tc>
      </w:tr>
      <w:tr w:rsidR="00AC21C0" w:rsidRPr="00E968E5" w14:paraId="5D48324E"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0EEB1FE4"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D331F64" w14:textId="60197151"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Tools and guidance on how to set up appropriate </w:t>
            </w:r>
            <w:r w:rsidR="00DC4E78">
              <w:rPr>
                <w:rFonts w:ascii="Franklin Gothic Book" w:eastAsia="Times New Roman" w:hAnsi="Franklin Gothic Book" w:cs="Times New Roman"/>
                <w:color w:val="auto"/>
                <w:sz w:val="21"/>
                <w:szCs w:val="24"/>
                <w:lang w:eastAsia="en-AU"/>
              </w:rPr>
              <w:t>M&amp;E</w:t>
            </w:r>
            <w:r>
              <w:rPr>
                <w:rFonts w:ascii="Franklin Gothic Book" w:eastAsia="Times New Roman" w:hAnsi="Franklin Gothic Book" w:cs="Times New Roman"/>
                <w:color w:val="auto"/>
                <w:sz w:val="21"/>
                <w:szCs w:val="24"/>
                <w:lang w:eastAsia="en-AU"/>
              </w:rPr>
              <w:t xml:space="preserve"> </w:t>
            </w:r>
            <w:r w:rsidRPr="00E968E5">
              <w:rPr>
                <w:rFonts w:ascii="Franklin Gothic Book" w:eastAsia="Times New Roman" w:hAnsi="Franklin Gothic Book" w:cs="Times New Roman"/>
                <w:color w:val="auto"/>
                <w:sz w:val="21"/>
                <w:szCs w:val="24"/>
                <w:lang w:eastAsia="en-AU"/>
              </w:rPr>
              <w:t>systems for climate impacts exist</w:t>
            </w:r>
          </w:p>
        </w:tc>
      </w:tr>
      <w:tr w:rsidR="00AC21C0" w:rsidRPr="00E968E5" w14:paraId="769D0C4D"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35BEBD04"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16624C2" w14:textId="671FA2D1" w:rsidR="00AC21C0" w:rsidRPr="00E968E5" w:rsidRDefault="00AC21C0" w:rsidP="00215C34">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Staff are adequately </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climate aware</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and have the skills to </w:t>
            </w:r>
            <w:r w:rsidR="00215C34">
              <w:rPr>
                <w:rFonts w:ascii="Franklin Gothic Book" w:eastAsia="Times New Roman" w:hAnsi="Franklin Gothic Book" w:cs="Times New Roman"/>
                <w:color w:val="auto"/>
                <w:sz w:val="21"/>
                <w:szCs w:val="24"/>
                <w:lang w:eastAsia="en-AU"/>
              </w:rPr>
              <w:t>monitor and report</w:t>
            </w:r>
          </w:p>
        </w:tc>
      </w:tr>
      <w:tr w:rsidR="00AC21C0" w:rsidRPr="00E968E5" w14:paraId="5C3BEF63" w14:textId="77777777" w:rsidTr="00AC21C0">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01EDE07C"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DC9A7ED" w14:textId="371F21D9"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Reports document climate change impacts providing an insight into value</w:t>
            </w:r>
            <w:r w:rsidR="00AF310A">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for</w:t>
            </w:r>
            <w:r w:rsidR="00AF310A">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money, providing meaningful lessons learn</w:t>
            </w:r>
            <w:r>
              <w:rPr>
                <w:rFonts w:ascii="Franklin Gothic Book" w:eastAsia="Times New Roman" w:hAnsi="Franklin Gothic Book" w:cs="Times New Roman"/>
                <w:color w:val="auto"/>
                <w:sz w:val="21"/>
                <w:szCs w:val="24"/>
                <w:lang w:eastAsia="en-AU"/>
              </w:rPr>
              <w:t>ed</w:t>
            </w:r>
            <w:r w:rsidRPr="00E968E5">
              <w:rPr>
                <w:rFonts w:ascii="Franklin Gothic Book" w:eastAsia="Times New Roman" w:hAnsi="Franklin Gothic Book" w:cs="Times New Roman"/>
                <w:color w:val="auto"/>
                <w:sz w:val="21"/>
                <w:szCs w:val="24"/>
                <w:lang w:eastAsia="en-AU"/>
              </w:rPr>
              <w:t>, and guiding future programming</w:t>
            </w:r>
          </w:p>
        </w:tc>
      </w:tr>
      <w:tr w:rsidR="00AC21C0" w:rsidRPr="00E968E5" w14:paraId="01EF0F96" w14:textId="77777777" w:rsidTr="00AC21C0">
        <w:trPr>
          <w:trHeight w:val="364"/>
        </w:trPr>
        <w:tc>
          <w:tcPr>
            <w:tcW w:w="1560" w:type="dxa"/>
            <w:vMerge/>
            <w:tcBorders>
              <w:top w:val="dashSmallGap" w:sz="4" w:space="0" w:color="auto"/>
              <w:left w:val="single" w:sz="12" w:space="0" w:color="auto"/>
              <w:bottom w:val="single" w:sz="12" w:space="0" w:color="auto"/>
              <w:right w:val="dashSmallGap" w:sz="4" w:space="0" w:color="auto"/>
            </w:tcBorders>
            <w:shd w:val="clear" w:color="auto" w:fill="B469FF"/>
            <w:vAlign w:val="center"/>
          </w:tcPr>
          <w:p w14:paraId="025B93F7"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0E482CE5" w14:textId="40624112"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Evaluation </w:t>
            </w:r>
            <w:r>
              <w:rPr>
                <w:rFonts w:ascii="Franklin Gothic Book" w:eastAsia="Times New Roman" w:hAnsi="Franklin Gothic Book" w:cs="Times New Roman"/>
                <w:color w:val="auto"/>
                <w:sz w:val="21"/>
                <w:szCs w:val="24"/>
                <w:lang w:eastAsia="en-AU"/>
              </w:rPr>
              <w:t>r</w:t>
            </w:r>
            <w:r w:rsidRPr="00E968E5">
              <w:rPr>
                <w:rFonts w:ascii="Franklin Gothic Book" w:eastAsia="Times New Roman" w:hAnsi="Franklin Gothic Book" w:cs="Times New Roman"/>
                <w:color w:val="auto"/>
                <w:sz w:val="21"/>
                <w:szCs w:val="24"/>
                <w:lang w:eastAsia="en-AU"/>
              </w:rPr>
              <w:t>eports systematically incorporate</w:t>
            </w:r>
            <w:r w:rsidR="00AF310A">
              <w:rPr>
                <w:rFonts w:ascii="Franklin Gothic Book" w:eastAsia="Times New Roman" w:hAnsi="Franklin Gothic Book" w:cs="Times New Roman"/>
                <w:color w:val="auto"/>
                <w:sz w:val="21"/>
                <w:szCs w:val="24"/>
                <w:lang w:eastAsia="en-AU"/>
              </w:rPr>
              <w:t xml:space="preserve"> and </w:t>
            </w:r>
            <w:r w:rsidRPr="00E968E5">
              <w:rPr>
                <w:rFonts w:ascii="Franklin Gothic Book" w:eastAsia="Times New Roman" w:hAnsi="Franklin Gothic Book" w:cs="Times New Roman"/>
                <w:color w:val="auto"/>
                <w:sz w:val="21"/>
                <w:szCs w:val="24"/>
                <w:lang w:eastAsia="en-AU"/>
              </w:rPr>
              <w:t>consider climate change</w:t>
            </w:r>
          </w:p>
        </w:tc>
      </w:tr>
      <w:tr w:rsidR="00AC21C0" w:rsidRPr="00E968E5" w14:paraId="781242B9" w14:textId="77777777" w:rsidTr="005E6C81">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FFFF00"/>
            <w:vAlign w:val="center"/>
          </w:tcPr>
          <w:p w14:paraId="4B358F0F"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Financing</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60BE1AAD" w14:textId="6C34F56E" w:rsidR="00AC21C0" w:rsidRPr="00E968E5" w:rsidRDefault="002D17D3"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Average share of total ODA funds tagged as climate change finance increasing (</w:t>
            </w:r>
            <w:r>
              <w:rPr>
                <w:rFonts w:ascii="Franklin Gothic Book" w:eastAsia="Times New Roman" w:hAnsi="Franklin Gothic Book" w:cs="Times New Roman"/>
                <w:color w:val="auto"/>
                <w:sz w:val="21"/>
                <w:szCs w:val="24"/>
                <w:lang w:eastAsia="en-AU"/>
              </w:rPr>
              <w:t>as an indicator of improved mainstreaming</w:t>
            </w:r>
            <w:r w:rsidRPr="00E968E5">
              <w:rPr>
                <w:rFonts w:ascii="Franklin Gothic Book" w:eastAsia="Times New Roman" w:hAnsi="Franklin Gothic Book" w:cs="Times New Roman"/>
                <w:color w:val="auto"/>
                <w:sz w:val="21"/>
                <w:szCs w:val="24"/>
                <w:lang w:eastAsia="en-AU"/>
              </w:rPr>
              <w:t>)</w:t>
            </w:r>
          </w:p>
        </w:tc>
      </w:tr>
      <w:tr w:rsidR="00AC21C0" w:rsidRPr="00E968E5" w14:paraId="1DD3D249" w14:textId="77777777" w:rsidTr="005E6C81">
        <w:tc>
          <w:tcPr>
            <w:tcW w:w="1560" w:type="dxa"/>
            <w:vMerge/>
            <w:tcBorders>
              <w:top w:val="dashSmallGap" w:sz="4" w:space="0" w:color="auto"/>
              <w:left w:val="single" w:sz="12" w:space="0" w:color="auto"/>
              <w:bottom w:val="dashSmallGap" w:sz="4" w:space="0" w:color="auto"/>
              <w:right w:val="dashSmallGap" w:sz="4" w:space="0" w:color="auto"/>
            </w:tcBorders>
            <w:shd w:val="clear" w:color="auto" w:fill="FFFF00"/>
            <w:vAlign w:val="center"/>
          </w:tcPr>
          <w:p w14:paraId="6F96B847"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4286C6A" w14:textId="14673512"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Bilateral expenditure between adaptation and mitigation (around 50</w:t>
            </w:r>
            <w:r>
              <w:rPr>
                <w:rFonts w:ascii="Franklin Gothic Book" w:eastAsia="Times New Roman" w:hAnsi="Franklin Gothic Book" w:cs="Times New Roman"/>
                <w:color w:val="auto"/>
                <w:sz w:val="21"/>
                <w:szCs w:val="24"/>
                <w:lang w:eastAsia="en-AU"/>
              </w:rPr>
              <w:t xml:space="preserve"> per cent</w:t>
            </w:r>
            <w:r w:rsidRPr="00E968E5">
              <w:rPr>
                <w:rFonts w:ascii="Franklin Gothic Book" w:eastAsia="Times New Roman" w:hAnsi="Franklin Gothic Book" w:cs="Times New Roman"/>
                <w:color w:val="auto"/>
                <w:sz w:val="21"/>
                <w:szCs w:val="24"/>
                <w:lang w:eastAsia="en-AU"/>
              </w:rPr>
              <w:t>)</w:t>
            </w:r>
            <w:r w:rsidR="00AF310A">
              <w:rPr>
                <w:rFonts w:ascii="Franklin Gothic Book" w:eastAsia="Times New Roman" w:hAnsi="Franklin Gothic Book" w:cs="Times New Roman"/>
                <w:color w:val="auto"/>
                <w:sz w:val="21"/>
                <w:szCs w:val="24"/>
                <w:lang w:eastAsia="en-AU"/>
              </w:rPr>
              <w:t xml:space="preserve"> is balanced</w:t>
            </w:r>
            <w:r w:rsidRPr="00E968E5">
              <w:rPr>
                <w:rFonts w:ascii="Franklin Gothic Book" w:eastAsia="Times New Roman" w:hAnsi="Franklin Gothic Book" w:cs="Times New Roman"/>
                <w:color w:val="auto"/>
                <w:sz w:val="21"/>
                <w:szCs w:val="24"/>
                <w:lang w:eastAsia="en-AU"/>
              </w:rPr>
              <w:t xml:space="preserve"> </w:t>
            </w:r>
          </w:p>
        </w:tc>
      </w:tr>
      <w:tr w:rsidR="00AC21C0" w:rsidRPr="00E968E5" w14:paraId="57427655" w14:textId="77777777" w:rsidTr="005E6C81">
        <w:trPr>
          <w:trHeight w:val="544"/>
        </w:trPr>
        <w:tc>
          <w:tcPr>
            <w:tcW w:w="1560" w:type="dxa"/>
            <w:vMerge/>
            <w:tcBorders>
              <w:top w:val="dashSmallGap" w:sz="4" w:space="0" w:color="auto"/>
              <w:left w:val="single" w:sz="12" w:space="0" w:color="auto"/>
              <w:bottom w:val="single" w:sz="12" w:space="0" w:color="auto"/>
              <w:right w:val="dashSmallGap" w:sz="4" w:space="0" w:color="auto"/>
            </w:tcBorders>
            <w:shd w:val="clear" w:color="auto" w:fill="FFFF00"/>
            <w:vAlign w:val="center"/>
          </w:tcPr>
          <w:p w14:paraId="623701B3"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73491F4B" w14:textId="7BA82DF9" w:rsidR="00AC21C0" w:rsidRPr="00E968E5" w:rsidRDefault="00AF310A"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M</w:t>
            </w:r>
            <w:r w:rsidR="00AC21C0" w:rsidRPr="00E968E5">
              <w:rPr>
                <w:rFonts w:ascii="Franklin Gothic Book" w:eastAsia="Times New Roman" w:hAnsi="Franklin Gothic Book" w:cs="Times New Roman"/>
                <w:color w:val="auto"/>
                <w:sz w:val="21"/>
                <w:szCs w:val="24"/>
                <w:lang w:eastAsia="en-AU"/>
              </w:rPr>
              <w:t xml:space="preserve">ultilateral </w:t>
            </w:r>
            <w:r w:rsidR="00AC21C0">
              <w:rPr>
                <w:rFonts w:ascii="Franklin Gothic Book" w:eastAsia="Times New Roman" w:hAnsi="Franklin Gothic Book" w:cs="Times New Roman"/>
                <w:color w:val="auto"/>
                <w:sz w:val="21"/>
                <w:szCs w:val="24"/>
                <w:lang w:eastAsia="en-AU"/>
              </w:rPr>
              <w:t>v</w:t>
            </w:r>
            <w:r w:rsidR="007F66E5">
              <w:rPr>
                <w:rFonts w:ascii="Franklin Gothic Book" w:eastAsia="Times New Roman" w:hAnsi="Franklin Gothic Book" w:cs="Times New Roman"/>
                <w:color w:val="auto"/>
                <w:sz w:val="21"/>
                <w:szCs w:val="24"/>
                <w:lang w:eastAsia="en-AU"/>
              </w:rPr>
              <w:t>ersu</w:t>
            </w:r>
            <w:r w:rsidR="00AC21C0">
              <w:rPr>
                <w:rFonts w:ascii="Franklin Gothic Book" w:eastAsia="Times New Roman" w:hAnsi="Franklin Gothic Book" w:cs="Times New Roman"/>
                <w:color w:val="auto"/>
                <w:sz w:val="21"/>
                <w:szCs w:val="24"/>
                <w:lang w:eastAsia="en-AU"/>
              </w:rPr>
              <w:t>s</w:t>
            </w:r>
            <w:r w:rsidR="00AC21C0" w:rsidRPr="00E968E5">
              <w:rPr>
                <w:rFonts w:ascii="Franklin Gothic Book" w:eastAsia="Times New Roman" w:hAnsi="Franklin Gothic Book" w:cs="Times New Roman"/>
                <w:color w:val="auto"/>
                <w:sz w:val="21"/>
                <w:szCs w:val="24"/>
                <w:lang w:eastAsia="en-AU"/>
              </w:rPr>
              <w:t xml:space="preserve"> bilateral expenditure (</w:t>
            </w:r>
            <w:r w:rsidR="00AC21C0">
              <w:rPr>
                <w:rFonts w:ascii="Franklin Gothic Book" w:eastAsia="Times New Roman" w:hAnsi="Franklin Gothic Book" w:cs="Times New Roman"/>
                <w:color w:val="auto"/>
                <w:sz w:val="21"/>
                <w:szCs w:val="24"/>
                <w:lang w:eastAsia="en-AU"/>
              </w:rPr>
              <w:t xml:space="preserve">maximum of </w:t>
            </w:r>
            <w:r w:rsidR="00AC21C0" w:rsidRPr="00E968E5">
              <w:rPr>
                <w:rFonts w:ascii="Franklin Gothic Book" w:eastAsia="Times New Roman" w:hAnsi="Franklin Gothic Book" w:cs="Times New Roman"/>
                <w:color w:val="auto"/>
                <w:sz w:val="21"/>
                <w:szCs w:val="24"/>
                <w:lang w:eastAsia="en-AU"/>
              </w:rPr>
              <w:t>25</w:t>
            </w:r>
            <w:r w:rsidR="00DC4E78">
              <w:rPr>
                <w:rFonts w:ascii="Franklin Gothic Book" w:eastAsia="Times New Roman" w:hAnsi="Franklin Gothic Book" w:cs="Times New Roman"/>
                <w:color w:val="auto"/>
                <w:sz w:val="21"/>
                <w:szCs w:val="24"/>
                <w:lang w:eastAsia="en-AU"/>
              </w:rPr>
              <w:t xml:space="preserve"> to </w:t>
            </w:r>
            <w:r w:rsidR="00AC21C0" w:rsidRPr="00E968E5">
              <w:rPr>
                <w:rFonts w:ascii="Franklin Gothic Book" w:eastAsia="Times New Roman" w:hAnsi="Franklin Gothic Book" w:cs="Times New Roman"/>
                <w:color w:val="auto"/>
                <w:sz w:val="21"/>
                <w:szCs w:val="24"/>
                <w:lang w:eastAsia="en-AU"/>
              </w:rPr>
              <w:t>30</w:t>
            </w:r>
            <w:r w:rsidR="00AC21C0">
              <w:rPr>
                <w:rFonts w:ascii="Franklin Gothic Book" w:eastAsia="Times New Roman" w:hAnsi="Franklin Gothic Book" w:cs="Times New Roman"/>
                <w:color w:val="auto"/>
                <w:sz w:val="21"/>
                <w:szCs w:val="24"/>
                <w:lang w:eastAsia="en-AU"/>
              </w:rPr>
              <w:t xml:space="preserve"> per cent</w:t>
            </w:r>
            <w:r w:rsidR="00AC21C0" w:rsidRPr="00E968E5">
              <w:rPr>
                <w:rFonts w:ascii="Franklin Gothic Book" w:eastAsia="Times New Roman" w:hAnsi="Franklin Gothic Book" w:cs="Times New Roman"/>
                <w:color w:val="auto"/>
                <w:sz w:val="21"/>
                <w:szCs w:val="24"/>
                <w:lang w:eastAsia="en-AU"/>
              </w:rPr>
              <w:t xml:space="preserve"> multilateral)</w:t>
            </w:r>
            <w:r>
              <w:rPr>
                <w:rFonts w:ascii="Franklin Gothic Book" w:eastAsia="Times New Roman" w:hAnsi="Franklin Gothic Book" w:cs="Times New Roman"/>
                <w:color w:val="auto"/>
                <w:sz w:val="21"/>
                <w:szCs w:val="24"/>
                <w:lang w:eastAsia="en-AU"/>
              </w:rPr>
              <w:t xml:space="preserve"> is balanced</w:t>
            </w:r>
          </w:p>
        </w:tc>
      </w:tr>
      <w:tr w:rsidR="00AC21C0" w:rsidRPr="00E968E5" w14:paraId="305BDEC5" w14:textId="77777777" w:rsidTr="003D2C34">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F8993A"/>
            <w:vAlign w:val="center"/>
          </w:tcPr>
          <w:p w14:paraId="2BC27EE9" w14:textId="62A78B7D" w:rsidR="00AC21C0" w:rsidRPr="00AC21C0" w:rsidRDefault="005D077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Pr>
                <w:rFonts w:ascii="Franklin Gothic Book" w:eastAsia="Times New Roman" w:hAnsi="Franklin Gothic Book" w:cs="Times New Roman"/>
                <w:b/>
                <w:color w:val="auto"/>
                <w:sz w:val="21"/>
                <w:szCs w:val="24"/>
                <w:lang w:eastAsia="en-AU"/>
              </w:rPr>
              <w:t>Policy</w:t>
            </w:r>
            <w:r w:rsidR="00AC21C0" w:rsidRPr="00AC21C0">
              <w:rPr>
                <w:rFonts w:ascii="Franklin Gothic Book" w:eastAsia="Times New Roman" w:hAnsi="Franklin Gothic Book" w:cs="Times New Roman"/>
                <w:b/>
                <w:color w:val="auto"/>
                <w:sz w:val="21"/>
                <w:szCs w:val="24"/>
                <w:lang w:eastAsia="en-AU"/>
              </w:rPr>
              <w:t xml:space="preserve"> commitment and leadership</w:t>
            </w:r>
          </w:p>
          <w:p w14:paraId="5F8B76ED" w14:textId="77777777" w:rsidR="00AC21C0" w:rsidRPr="00E968E5" w:rsidRDefault="00AC21C0" w:rsidP="005E6C81">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045E4A7A" w14:textId="48D65B74" w:rsidR="00AC21C0" w:rsidRPr="00E968E5" w:rsidRDefault="00AF310A"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C</w:t>
            </w:r>
            <w:r w:rsidR="00AC21C0" w:rsidRPr="00E968E5">
              <w:rPr>
                <w:rFonts w:ascii="Franklin Gothic Book" w:eastAsia="Times New Roman" w:hAnsi="Franklin Gothic Book" w:cs="Times New Roman"/>
                <w:color w:val="auto"/>
                <w:sz w:val="21"/>
                <w:szCs w:val="24"/>
                <w:lang w:eastAsia="en-AU"/>
              </w:rPr>
              <w:t xml:space="preserve">onsistent and vocal senior management </w:t>
            </w:r>
            <w:r w:rsidR="00AC21C0">
              <w:rPr>
                <w:rFonts w:ascii="Franklin Gothic Book" w:eastAsia="Times New Roman" w:hAnsi="Franklin Gothic Book" w:cs="Times New Roman"/>
                <w:color w:val="auto"/>
                <w:sz w:val="21"/>
                <w:szCs w:val="24"/>
                <w:lang w:eastAsia="en-AU"/>
              </w:rPr>
              <w:t>support</w:t>
            </w:r>
            <w:r w:rsidR="00AC21C0" w:rsidRPr="00E968E5">
              <w:rPr>
                <w:rFonts w:ascii="Franklin Gothic Book" w:eastAsia="Times New Roman" w:hAnsi="Franklin Gothic Book" w:cs="Times New Roman"/>
                <w:color w:val="auto"/>
                <w:sz w:val="21"/>
                <w:szCs w:val="24"/>
                <w:lang w:eastAsia="en-AU"/>
              </w:rPr>
              <w:t xml:space="preserve"> </w:t>
            </w:r>
            <w:r>
              <w:rPr>
                <w:rFonts w:ascii="Franklin Gothic Book" w:eastAsia="Times New Roman" w:hAnsi="Franklin Gothic Book" w:cs="Times New Roman"/>
                <w:color w:val="auto"/>
                <w:sz w:val="21"/>
                <w:szCs w:val="24"/>
                <w:lang w:eastAsia="en-AU"/>
              </w:rPr>
              <w:t xml:space="preserve">exists </w:t>
            </w:r>
            <w:r w:rsidR="00AC21C0">
              <w:rPr>
                <w:rFonts w:ascii="Franklin Gothic Book" w:eastAsia="Times New Roman" w:hAnsi="Franklin Gothic Book" w:cs="Times New Roman"/>
                <w:color w:val="auto"/>
                <w:sz w:val="21"/>
                <w:szCs w:val="24"/>
                <w:lang w:eastAsia="en-AU"/>
              </w:rPr>
              <w:t xml:space="preserve">for climate change </w:t>
            </w:r>
            <w:r w:rsidR="00AC21C0" w:rsidRPr="00E968E5">
              <w:rPr>
                <w:rFonts w:ascii="Franklin Gothic Book" w:eastAsia="Times New Roman" w:hAnsi="Franklin Gothic Book" w:cs="Times New Roman"/>
                <w:color w:val="auto"/>
                <w:sz w:val="21"/>
                <w:szCs w:val="24"/>
                <w:lang w:eastAsia="en-AU"/>
              </w:rPr>
              <w:t>integration</w:t>
            </w:r>
          </w:p>
        </w:tc>
      </w:tr>
      <w:tr w:rsidR="00AC21C0" w:rsidRPr="00E968E5" w14:paraId="17440339" w14:textId="77777777" w:rsidTr="003D2C34">
        <w:tc>
          <w:tcPr>
            <w:tcW w:w="1560" w:type="dxa"/>
            <w:vMerge/>
            <w:tcBorders>
              <w:top w:val="dashSmallGap" w:sz="4" w:space="0" w:color="auto"/>
              <w:left w:val="single" w:sz="12" w:space="0" w:color="auto"/>
              <w:bottom w:val="dashSmallGap" w:sz="4" w:space="0" w:color="auto"/>
              <w:right w:val="dashSmallGap" w:sz="4" w:space="0" w:color="auto"/>
            </w:tcBorders>
            <w:shd w:val="clear" w:color="auto" w:fill="F8993A"/>
          </w:tcPr>
          <w:p w14:paraId="4F7E0B19" w14:textId="77777777" w:rsidR="00AC21C0" w:rsidRPr="00E968E5" w:rsidRDefault="00AC21C0" w:rsidP="005E6C81">
            <w:pPr>
              <w:tabs>
                <w:tab w:val="clear" w:pos="992"/>
                <w:tab w:val="clear" w:pos="1418"/>
              </w:tabs>
              <w:spacing w:after="0" w:line="240" w:lineRule="auto"/>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17CAEA0" w14:textId="4CC0355D" w:rsidR="00AC21C0" w:rsidRPr="00E968E5" w:rsidRDefault="00AC21C0" w:rsidP="005D0770">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Senior officials engage in policy dialogue on </w:t>
            </w:r>
            <w:r>
              <w:rPr>
                <w:rFonts w:ascii="Franklin Gothic Book" w:eastAsia="Times New Roman" w:hAnsi="Franklin Gothic Book" w:cs="Times New Roman"/>
                <w:color w:val="auto"/>
                <w:sz w:val="21"/>
                <w:szCs w:val="24"/>
                <w:lang w:eastAsia="en-AU"/>
              </w:rPr>
              <w:t xml:space="preserve">climate change </w:t>
            </w:r>
            <w:r w:rsidRPr="00E968E5">
              <w:rPr>
                <w:rFonts w:ascii="Franklin Gothic Book" w:eastAsia="Times New Roman" w:hAnsi="Franklin Gothic Book" w:cs="Times New Roman"/>
                <w:color w:val="auto"/>
                <w:sz w:val="21"/>
                <w:szCs w:val="24"/>
                <w:lang w:eastAsia="en-AU"/>
              </w:rPr>
              <w:t>with other development agencies and recipient</w:t>
            </w:r>
            <w:r>
              <w:rPr>
                <w:rFonts w:ascii="Franklin Gothic Book" w:eastAsia="Times New Roman" w:hAnsi="Franklin Gothic Book" w:cs="Times New Roman"/>
                <w:color w:val="auto"/>
                <w:sz w:val="21"/>
                <w:szCs w:val="24"/>
                <w:lang w:eastAsia="en-AU"/>
              </w:rPr>
              <w:t xml:space="preserve"> countries at key entry points </w:t>
            </w:r>
            <w:r w:rsidRPr="00E968E5">
              <w:rPr>
                <w:rFonts w:ascii="Franklin Gothic Book" w:eastAsia="Times New Roman" w:hAnsi="Franklin Gothic Book" w:cs="Times New Roman"/>
                <w:color w:val="auto"/>
                <w:sz w:val="21"/>
                <w:szCs w:val="24"/>
                <w:lang w:eastAsia="en-AU"/>
              </w:rPr>
              <w:t>(</w:t>
            </w:r>
            <w:r>
              <w:rPr>
                <w:rFonts w:ascii="Franklin Gothic Book" w:eastAsia="Times New Roman" w:hAnsi="Franklin Gothic Book" w:cs="Times New Roman"/>
                <w:color w:val="auto"/>
                <w:sz w:val="21"/>
                <w:szCs w:val="24"/>
                <w:lang w:eastAsia="en-AU"/>
              </w:rPr>
              <w:t xml:space="preserve">for example, </w:t>
            </w:r>
            <w:r w:rsidRPr="00E968E5">
              <w:rPr>
                <w:rFonts w:ascii="Franklin Gothic Book" w:eastAsia="Times New Roman" w:hAnsi="Franklin Gothic Book" w:cs="Times New Roman"/>
                <w:color w:val="auto"/>
                <w:sz w:val="21"/>
                <w:szCs w:val="24"/>
                <w:lang w:eastAsia="en-AU"/>
              </w:rPr>
              <w:t>aid planning processes, general or sector budget support, public sector reform or other reviews)</w:t>
            </w:r>
          </w:p>
        </w:tc>
      </w:tr>
      <w:tr w:rsidR="00AC21C0" w:rsidRPr="00E968E5" w14:paraId="140B332E" w14:textId="77777777" w:rsidTr="003D2C34">
        <w:tc>
          <w:tcPr>
            <w:tcW w:w="1560" w:type="dxa"/>
            <w:vMerge/>
            <w:tcBorders>
              <w:top w:val="dashSmallGap" w:sz="4" w:space="0" w:color="auto"/>
              <w:left w:val="single" w:sz="12" w:space="0" w:color="auto"/>
              <w:bottom w:val="single" w:sz="12" w:space="0" w:color="auto"/>
              <w:right w:val="dashSmallGap" w:sz="4" w:space="0" w:color="auto"/>
            </w:tcBorders>
            <w:shd w:val="clear" w:color="auto" w:fill="F8993A"/>
          </w:tcPr>
          <w:p w14:paraId="273C660B" w14:textId="77777777" w:rsidR="00AC21C0" w:rsidRPr="00E968E5" w:rsidRDefault="00AC21C0" w:rsidP="005E6C81">
            <w:pPr>
              <w:tabs>
                <w:tab w:val="clear" w:pos="992"/>
                <w:tab w:val="clear" w:pos="1418"/>
              </w:tabs>
              <w:spacing w:after="0" w:line="240" w:lineRule="auto"/>
              <w:rPr>
                <w:rFonts w:ascii="Franklin Gothic Book" w:eastAsia="Times New Roman" w:hAnsi="Franklin Gothic Book" w:cs="Times New Roman"/>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532380A6" w14:textId="72BDA5D2" w:rsidR="00AC21C0" w:rsidRPr="00E968E5" w:rsidRDefault="00AC21C0" w:rsidP="005E6C8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Performance, recognition and promotion system that re</w:t>
            </w:r>
            <w:r>
              <w:rPr>
                <w:rFonts w:ascii="Franklin Gothic Book" w:eastAsia="Times New Roman" w:hAnsi="Franklin Gothic Book" w:cs="Times New Roman"/>
                <w:color w:val="auto"/>
                <w:sz w:val="21"/>
                <w:szCs w:val="24"/>
                <w:lang w:eastAsia="en-AU"/>
              </w:rPr>
              <w:t xml:space="preserve">wards staff and leadership for </w:t>
            </w:r>
            <w:r w:rsidRPr="00E968E5">
              <w:rPr>
                <w:rFonts w:ascii="Franklin Gothic Book" w:eastAsia="Times New Roman" w:hAnsi="Franklin Gothic Book" w:cs="Times New Roman"/>
                <w:color w:val="auto"/>
                <w:sz w:val="21"/>
                <w:szCs w:val="24"/>
                <w:lang w:eastAsia="en-AU"/>
              </w:rPr>
              <w:t>effectively leading and delivering on the integration of climate change</w:t>
            </w:r>
            <w:r w:rsidR="00AF310A">
              <w:rPr>
                <w:rFonts w:ascii="Franklin Gothic Book" w:eastAsia="Times New Roman" w:hAnsi="Franklin Gothic Book" w:cs="Times New Roman"/>
                <w:color w:val="auto"/>
                <w:sz w:val="21"/>
                <w:szCs w:val="24"/>
                <w:lang w:eastAsia="en-AU"/>
              </w:rPr>
              <w:t xml:space="preserve"> is in place</w:t>
            </w:r>
          </w:p>
        </w:tc>
      </w:tr>
    </w:tbl>
    <w:bookmarkEnd w:id="50"/>
    <w:bookmarkEnd w:id="51"/>
    <w:p w14:paraId="67990D17" w14:textId="01F3CB9E" w:rsidR="002812B1" w:rsidRDefault="007B6F5B" w:rsidP="005E6C81">
      <w:pPr>
        <w:spacing w:before="240"/>
      </w:pPr>
      <w:r w:rsidRPr="007B6F5B">
        <w:t>Th</w:t>
      </w:r>
      <w:r w:rsidR="00824112">
        <w:t>e</w:t>
      </w:r>
      <w:r w:rsidR="00AF310A">
        <w:t>se domains</w:t>
      </w:r>
      <w:r w:rsidR="00824112">
        <w:t xml:space="preserve"> of good practice </w:t>
      </w:r>
      <w:r>
        <w:t>provided the team with important lines of enquiry about factors that could contribute to</w:t>
      </w:r>
      <w:r w:rsidR="00D94A0B">
        <w:t>,</w:t>
      </w:r>
      <w:r>
        <w:t xml:space="preserve"> or detract from</w:t>
      </w:r>
      <w:r w:rsidR="00D94A0B">
        <w:t>,</w:t>
      </w:r>
      <w:r>
        <w:t xml:space="preserve"> the effectiveness of Australia’s engagement and whether benefits are likely to endure.</w:t>
      </w:r>
      <w:r w:rsidR="00110D83">
        <w:t xml:space="preserve"> </w:t>
      </w:r>
      <w:r w:rsidR="00AF310A">
        <w:t xml:space="preserve">They </w:t>
      </w:r>
      <w:r>
        <w:t xml:space="preserve">also provided the basis for </w:t>
      </w:r>
      <w:r w:rsidR="003D2C34">
        <w:t>assessing</w:t>
      </w:r>
      <w:r>
        <w:t xml:space="preserve"> Australia</w:t>
      </w:r>
      <w:r w:rsidR="00615DF6">
        <w:t>’s integration efforts</w:t>
      </w:r>
      <w:r>
        <w:t xml:space="preserve"> </w:t>
      </w:r>
      <w:r w:rsidR="003D2C34">
        <w:t>compared to</w:t>
      </w:r>
      <w:r>
        <w:t xml:space="preserve"> other donors </w:t>
      </w:r>
      <w:r w:rsidRPr="00A779C1">
        <w:t>(</w:t>
      </w:r>
      <w:r w:rsidR="009F28C6" w:rsidRPr="00A779C1">
        <w:t>S</w:t>
      </w:r>
      <w:r w:rsidRPr="00A779C1">
        <w:t xml:space="preserve">ection </w:t>
      </w:r>
      <w:r w:rsidR="00A779C1" w:rsidRPr="00A779C1">
        <w:t>4).</w:t>
      </w:r>
    </w:p>
    <w:p w14:paraId="75982376" w14:textId="77777777" w:rsidR="002812B1" w:rsidRDefault="00F16A0D" w:rsidP="00F16A0D">
      <w:pPr>
        <w:pStyle w:val="Heading3"/>
      </w:pPr>
      <w:r>
        <w:lastRenderedPageBreak/>
        <w:t>Sampling</w:t>
      </w:r>
    </w:p>
    <w:p w14:paraId="68956C96" w14:textId="46D1B254" w:rsidR="002812B1" w:rsidRDefault="00D94A0B" w:rsidP="0058413D">
      <w:r>
        <w:t>A total of 26</w:t>
      </w:r>
      <w:r w:rsidR="002812B1" w:rsidRPr="002812B1">
        <w:t xml:space="preserve"> investments were included in the evaluation. All except one commenced before 2014. As the evaluation sought to assess the effectiveness of investments, </w:t>
      </w:r>
      <w:r w:rsidR="004B3CDA">
        <w:t>it</w:t>
      </w:r>
      <w:r w:rsidR="002812B1" w:rsidRPr="002812B1">
        <w:t xml:space="preserve"> would be difficult </w:t>
      </w:r>
      <w:r w:rsidR="004B3CDA">
        <w:t xml:space="preserve">to find evidence </w:t>
      </w:r>
      <w:r w:rsidR="005E6C81">
        <w:t xml:space="preserve">of outcomes </w:t>
      </w:r>
      <w:r w:rsidR="002812B1" w:rsidRPr="002812B1">
        <w:t xml:space="preserve">for investments </w:t>
      </w:r>
      <w:r w:rsidR="007F66E5">
        <w:t xml:space="preserve">that are </w:t>
      </w:r>
      <w:r w:rsidR="002812B1" w:rsidRPr="002812B1">
        <w:t>less than three years old</w:t>
      </w:r>
      <w:r w:rsidR="002812B1">
        <w:t>.</w:t>
      </w:r>
    </w:p>
    <w:p w14:paraId="4773A71C" w14:textId="1FDC128C" w:rsidR="00F16A0D" w:rsidRDefault="00F16A0D" w:rsidP="0058413D">
      <w:r w:rsidRPr="00F16A0D">
        <w:t>Noting the limitations in DFAT’s department</w:t>
      </w:r>
      <w:r w:rsidR="00AF310A">
        <w:t>-</w:t>
      </w:r>
      <w:r w:rsidRPr="00F16A0D">
        <w:t>wide data availability and quality (Section 2.4), the team collated a list of potential investments that could be in scope for the evaluation, drawn from</w:t>
      </w:r>
      <w:r>
        <w:t>:</w:t>
      </w:r>
    </w:p>
    <w:p w14:paraId="3ADEB73C" w14:textId="62FE78BD" w:rsidR="00F16A0D" w:rsidRDefault="00F838A5" w:rsidP="00F16A0D">
      <w:pPr>
        <w:pStyle w:val="ListBullet"/>
        <w:tabs>
          <w:tab w:val="clear" w:pos="360"/>
        </w:tabs>
        <w:ind w:left="363" w:hanging="272"/>
      </w:pPr>
      <w:r>
        <w:t>i</w:t>
      </w:r>
      <w:r w:rsidR="00F16A0D">
        <w:t>nvestments identified by the Sustainability and Climate Change Branch</w:t>
      </w:r>
      <w:r w:rsidR="00D94A0B">
        <w:t>—</w:t>
      </w:r>
      <w:r w:rsidR="00F16A0D">
        <w:t>34 investments</w:t>
      </w:r>
    </w:p>
    <w:p w14:paraId="0D285F61" w14:textId="51B180BD" w:rsidR="00F16A0D" w:rsidRDefault="00F838A5" w:rsidP="00F16A0D">
      <w:pPr>
        <w:pStyle w:val="ListBullet"/>
        <w:tabs>
          <w:tab w:val="clear" w:pos="360"/>
        </w:tabs>
        <w:ind w:left="363" w:hanging="272"/>
      </w:pPr>
      <w:r>
        <w:t>-</w:t>
      </w:r>
      <w:r w:rsidR="00F16A0D">
        <w:t>Investments identified by Australian government partners (ACIAR, B</w:t>
      </w:r>
      <w:r w:rsidR="00095728">
        <w:t>O</w:t>
      </w:r>
      <w:r w:rsidR="00F16A0D">
        <w:t xml:space="preserve">M, </w:t>
      </w:r>
      <w:r w:rsidR="00D94A0B">
        <w:t xml:space="preserve">CSIRO, DoEE and </w:t>
      </w:r>
      <w:r w:rsidR="00F16A0D">
        <w:t>Geo</w:t>
      </w:r>
      <w:r w:rsidR="00C44324">
        <w:t>s</w:t>
      </w:r>
      <w:r w:rsidR="00F16A0D">
        <w:t>cience Australia)</w:t>
      </w:r>
      <w:r>
        <w:t xml:space="preserve">—more than </w:t>
      </w:r>
      <w:r w:rsidR="00F16A0D">
        <w:t>60 investments</w:t>
      </w:r>
    </w:p>
    <w:p w14:paraId="60DFB2E6" w14:textId="3FD5EAB9" w:rsidR="00F16A0D" w:rsidRDefault="00F838A5" w:rsidP="00F16A0D">
      <w:pPr>
        <w:pStyle w:val="ListBullet"/>
        <w:tabs>
          <w:tab w:val="clear" w:pos="360"/>
        </w:tabs>
        <w:ind w:left="363" w:hanging="272"/>
      </w:pPr>
      <w:r>
        <w:t>i</w:t>
      </w:r>
      <w:r w:rsidR="00F16A0D">
        <w:t xml:space="preserve">nvestments identified by the Gender </w:t>
      </w:r>
      <w:r w:rsidR="00E245EE">
        <w:t xml:space="preserve">Equality Branch </w:t>
      </w:r>
      <w:r w:rsidR="00F16A0D">
        <w:t>as performing well or poorly</w:t>
      </w:r>
      <w:r>
        <w:t>—</w:t>
      </w:r>
      <w:r w:rsidR="00F16A0D">
        <w:t>14 investments</w:t>
      </w:r>
    </w:p>
    <w:p w14:paraId="00DF1745" w14:textId="1604ACF8" w:rsidR="00F16A0D" w:rsidRDefault="00F16A0D" w:rsidP="00F16A0D">
      <w:pPr>
        <w:pStyle w:val="ListBullet"/>
        <w:tabs>
          <w:tab w:val="clear" w:pos="360"/>
        </w:tabs>
        <w:ind w:left="363" w:hanging="272"/>
      </w:pPr>
      <w:r>
        <w:t xml:space="preserve">Investments that had been evaluated or reviewed individually as identified by the ODE list of </w:t>
      </w:r>
      <w:r w:rsidR="000A6B1A">
        <w:t>o</w:t>
      </w:r>
      <w:r>
        <w:t xml:space="preserve">perational </w:t>
      </w:r>
      <w:r w:rsidR="000A6B1A">
        <w:t>e</w:t>
      </w:r>
      <w:r>
        <w:t>valuations</w:t>
      </w:r>
      <w:r w:rsidR="00F838A5">
        <w:t>—</w:t>
      </w:r>
      <w:r>
        <w:t>13 investments</w:t>
      </w:r>
    </w:p>
    <w:p w14:paraId="098C7342" w14:textId="54EF2894" w:rsidR="00F16A0D" w:rsidRDefault="00F838A5" w:rsidP="00F16A0D">
      <w:pPr>
        <w:pStyle w:val="ListBullet"/>
        <w:tabs>
          <w:tab w:val="clear" w:pos="360"/>
        </w:tabs>
        <w:ind w:left="363" w:hanging="272"/>
      </w:pPr>
      <w:r>
        <w:t>d</w:t>
      </w:r>
      <w:r w:rsidR="00F16A0D">
        <w:t xml:space="preserve">ata in the </w:t>
      </w:r>
      <w:r w:rsidR="00A779C1">
        <w:t xml:space="preserve">DFAT stocktake of </w:t>
      </w:r>
      <w:r w:rsidR="00F16A0D">
        <w:t>Pacific  Climate Change Investments</w:t>
      </w:r>
      <w:r>
        <w:t>.</w:t>
      </w:r>
    </w:p>
    <w:p w14:paraId="6C2E5F80" w14:textId="75F499F0" w:rsidR="00F16A0D" w:rsidRDefault="00F16A0D" w:rsidP="00F16A0D">
      <w:r>
        <w:t>There was significant overlap</w:t>
      </w:r>
      <w:r w:rsidR="00E245EE">
        <w:t xml:space="preserve">, with some </w:t>
      </w:r>
      <w:r>
        <w:t xml:space="preserve">investments </w:t>
      </w:r>
      <w:r w:rsidR="00E245EE">
        <w:t>appearing in multiple lists</w:t>
      </w:r>
      <w:r>
        <w:t xml:space="preserve">. </w:t>
      </w:r>
    </w:p>
    <w:p w14:paraId="4A12A381" w14:textId="15DC14C1" w:rsidR="00F16A0D" w:rsidRDefault="00F16A0D" w:rsidP="00F16A0D">
      <w:r>
        <w:t xml:space="preserve">Analysis of the final list of </w:t>
      </w:r>
      <w:r w:rsidR="00F838A5">
        <w:t xml:space="preserve">40 </w:t>
      </w:r>
      <w:r>
        <w:t xml:space="preserve">eligible investments identified </w:t>
      </w:r>
      <w:r w:rsidR="002F16ED">
        <w:t xml:space="preserve">two </w:t>
      </w:r>
      <w:r>
        <w:t>countries</w:t>
      </w:r>
      <w:r w:rsidR="002F16ED">
        <w:t xml:space="preserve"> and one </w:t>
      </w:r>
      <w:r>
        <w:t>region</w:t>
      </w:r>
      <w:r w:rsidR="002F16ED">
        <w:t xml:space="preserve"> </w:t>
      </w:r>
      <w:r>
        <w:t>with the greatest number of investments to investigate (Pacific Regional</w:t>
      </w:r>
      <w:r w:rsidR="00DB2658">
        <w:t>, Solomon Islands and Vietnam</w:t>
      </w:r>
      <w:r>
        <w:t xml:space="preserve">). Investments in these countries/regions were purposively sampled. An </w:t>
      </w:r>
      <w:r w:rsidRPr="004C7592">
        <w:t xml:space="preserve">additional </w:t>
      </w:r>
      <w:r w:rsidR="00FA266A" w:rsidRPr="004C7592">
        <w:t>eight</w:t>
      </w:r>
      <w:r>
        <w:t xml:space="preserve"> investments (outside of these </w:t>
      </w:r>
      <w:r w:rsidR="002F16ED">
        <w:t>countries and region</w:t>
      </w:r>
      <w:r>
        <w:t xml:space="preserve">) were purposively sampled due to their high value, and/or their ability to provide more representative coverage of the aid program. </w:t>
      </w:r>
      <w:r w:rsidR="000A6B1A">
        <w:t xml:space="preserve">One </w:t>
      </w:r>
      <w:r>
        <w:t xml:space="preserve">investments </w:t>
      </w:r>
      <w:r w:rsidR="000A6B1A">
        <w:t>was</w:t>
      </w:r>
      <w:r w:rsidR="00F838A5">
        <w:t xml:space="preserve"> </w:t>
      </w:r>
      <w:r>
        <w:t xml:space="preserve">from South Asia, </w:t>
      </w:r>
      <w:r w:rsidR="00F838A5">
        <w:t>2 from</w:t>
      </w:r>
      <w:r>
        <w:t xml:space="preserve"> Indonesia, </w:t>
      </w:r>
      <w:r w:rsidR="000A6B1A">
        <w:t xml:space="preserve">2 from Papua New Guinea (PNG), </w:t>
      </w:r>
      <w:r w:rsidR="00F838A5">
        <w:t xml:space="preserve">2 from </w:t>
      </w:r>
      <w:r>
        <w:t>the Philippines and</w:t>
      </w:r>
      <w:r w:rsidR="00F838A5">
        <w:t xml:space="preserve"> 1 from</w:t>
      </w:r>
      <w:r>
        <w:t xml:space="preserve"> Kiribati.</w:t>
      </w:r>
    </w:p>
    <w:p w14:paraId="4817609B" w14:textId="26AC2318" w:rsidR="004B3CDA" w:rsidRDefault="004B3CDA" w:rsidP="004B3CDA">
      <w:pPr>
        <w:pStyle w:val="ListBullet"/>
        <w:numPr>
          <w:ilvl w:val="0"/>
          <w:numId w:val="0"/>
        </w:numPr>
      </w:pPr>
      <w:r>
        <w:t xml:space="preserve">The full list of investments in scope is in </w:t>
      </w:r>
      <w:r w:rsidRPr="00C619D7">
        <w:t xml:space="preserve">Annex </w:t>
      </w:r>
      <w:r w:rsidR="00D32BC2">
        <w:t>1</w:t>
      </w:r>
      <w:r w:rsidRPr="00C619D7">
        <w:t>.</w:t>
      </w:r>
    </w:p>
    <w:p w14:paraId="43E204DB" w14:textId="77777777" w:rsidR="004B3CDA" w:rsidRDefault="004B3CDA" w:rsidP="004B3CDA">
      <w:pPr>
        <w:pStyle w:val="Heading3"/>
      </w:pPr>
      <w:r>
        <w:t>Levels of analysis</w:t>
      </w:r>
    </w:p>
    <w:p w14:paraId="32DF4206" w14:textId="36B04782" w:rsidR="003F1080" w:rsidRDefault="00615DF6" w:rsidP="003F1080">
      <w:pPr>
        <w:pStyle w:val="ListBullet"/>
      </w:pPr>
      <w:r>
        <w:t xml:space="preserve">The </w:t>
      </w:r>
      <w:r w:rsidR="00DE19D3">
        <w:t>k</w:t>
      </w:r>
      <w:r>
        <w:t xml:space="preserve">ey </w:t>
      </w:r>
      <w:r w:rsidR="00DE19D3">
        <w:t>e</w:t>
      </w:r>
      <w:r>
        <w:t xml:space="preserve">valuation </w:t>
      </w:r>
      <w:r w:rsidR="00DE19D3">
        <w:t>q</w:t>
      </w:r>
      <w:r>
        <w:t xml:space="preserve">uestions were explored through a series of </w:t>
      </w:r>
      <w:r>
        <w:rPr>
          <w:b/>
        </w:rPr>
        <w:t>cases</w:t>
      </w:r>
      <w:r w:rsidRPr="00AC21C0">
        <w:t>,</w:t>
      </w:r>
      <w:r>
        <w:rPr>
          <w:b/>
        </w:rPr>
        <w:t xml:space="preserve"> </w:t>
      </w:r>
      <w:r>
        <w:t xml:space="preserve">which </w:t>
      </w:r>
      <w:r w:rsidR="00D35F19">
        <w:t xml:space="preserve">analysed </w:t>
      </w:r>
      <w:r w:rsidR="009D1AC1">
        <w:t xml:space="preserve">information </w:t>
      </w:r>
      <w:r w:rsidR="002F16ED">
        <w:t xml:space="preserve">at three </w:t>
      </w:r>
      <w:r>
        <w:t xml:space="preserve">levels </w:t>
      </w:r>
      <w:r w:rsidR="00AD26DE">
        <w:t>(</w:t>
      </w:r>
      <w:r w:rsidR="00A76276">
        <w:t>F</w:t>
      </w:r>
      <w:r w:rsidR="003F1080">
        <w:t xml:space="preserve">igure </w:t>
      </w:r>
      <w:r w:rsidR="00A76276">
        <w:t>3</w:t>
      </w:r>
      <w:r w:rsidR="003F1080">
        <w:t>).</w:t>
      </w:r>
    </w:p>
    <w:p w14:paraId="692D8A53" w14:textId="314F76FC" w:rsidR="00615DF6" w:rsidRDefault="00E06A17" w:rsidP="003F1080">
      <w:pPr>
        <w:pStyle w:val="ListBullet"/>
      </w:pPr>
      <w:r w:rsidRPr="00B049AB">
        <w:rPr>
          <w:b/>
        </w:rPr>
        <w:t>I</w:t>
      </w:r>
      <w:r w:rsidR="00615DF6" w:rsidRPr="00B049AB">
        <w:rPr>
          <w:b/>
        </w:rPr>
        <w:t>nvestment</w:t>
      </w:r>
      <w:r w:rsidR="009D1AC1" w:rsidRPr="00B049AB">
        <w:rPr>
          <w:b/>
        </w:rPr>
        <w:t>-</w:t>
      </w:r>
      <w:r w:rsidR="00615DF6" w:rsidRPr="00B049AB">
        <w:rPr>
          <w:b/>
        </w:rPr>
        <w:t>level progress</w:t>
      </w:r>
      <w:r w:rsidR="002874D1" w:rsidRPr="00B049AB">
        <w:rPr>
          <w:b/>
        </w:rPr>
        <w:t>:</w:t>
      </w:r>
      <w:r w:rsidR="00615DF6">
        <w:t xml:space="preserve"> </w:t>
      </w:r>
      <w:r w:rsidR="00A76276">
        <w:t>C</w:t>
      </w:r>
      <w:r w:rsidR="00615DF6">
        <w:t>harting the progress of 2</w:t>
      </w:r>
      <w:r w:rsidR="00275D45">
        <w:t>6</w:t>
      </w:r>
      <w:r w:rsidR="00615DF6">
        <w:t xml:space="preserve"> investments</w:t>
      </w:r>
      <w:r w:rsidR="00C56DF3">
        <w:t>, where climate change was both targeted and mainstreamed, as well as activities focused on adaptation and mitigation</w:t>
      </w:r>
      <w:r w:rsidR="000754FD">
        <w:t>.</w:t>
      </w:r>
      <w:r w:rsidR="00B049AB">
        <w:t xml:space="preserve"> Data sources for the assessments included the full range of available investment documents</w:t>
      </w:r>
      <w:r w:rsidR="00A76276">
        <w:t>. This included</w:t>
      </w:r>
      <w:r w:rsidR="00B049AB">
        <w:t xml:space="preserve"> financial approval and design documents, annual performance reports and program evaluations</w:t>
      </w:r>
      <w:r w:rsidR="00A76276">
        <w:t>,</w:t>
      </w:r>
      <w:r w:rsidR="00B049AB" w:rsidRPr="00B049AB">
        <w:t xml:space="preserve"> </w:t>
      </w:r>
      <w:r w:rsidR="00B049AB">
        <w:t>supplemented by interviews in Australia and overseas</w:t>
      </w:r>
      <w:r w:rsidR="00A76276">
        <w:t>. Interviews were conducted</w:t>
      </w:r>
      <w:r w:rsidR="00B049AB">
        <w:t xml:space="preserve"> with</w:t>
      </w:r>
      <w:r w:rsidR="00A76276">
        <w:t xml:space="preserve"> </w:t>
      </w:r>
      <w:r w:rsidR="00B049AB">
        <w:t>DFAT investment managers, senior managers, and representatives from other Australian government organisations, partner country governments, multilateral and regional organisations, and other donors.</w:t>
      </w:r>
    </w:p>
    <w:p w14:paraId="13208D90" w14:textId="20C0BBE1" w:rsidR="00615DF6" w:rsidRDefault="007A38DB" w:rsidP="00024E51">
      <w:pPr>
        <w:pStyle w:val="ListBullet"/>
      </w:pPr>
      <w:r>
        <w:rPr>
          <w:b/>
        </w:rPr>
        <w:t>C</w:t>
      </w:r>
      <w:r w:rsidR="00F16FD9" w:rsidRPr="00E63FD9">
        <w:rPr>
          <w:b/>
        </w:rPr>
        <w:t>ountry/regional cases</w:t>
      </w:r>
      <w:r w:rsidR="002874D1">
        <w:t>:</w:t>
      </w:r>
      <w:r w:rsidR="00F16FD9">
        <w:t xml:space="preserve"> </w:t>
      </w:r>
      <w:r w:rsidR="00384F17">
        <w:t>P</w:t>
      </w:r>
      <w:r w:rsidR="00E63FD9">
        <w:t>rograms where there are nodes of climate-related investments in the portfolio. These</w:t>
      </w:r>
      <w:r>
        <w:t xml:space="preserve"> three</w:t>
      </w:r>
      <w:r w:rsidR="00E63FD9">
        <w:t xml:space="preserve"> cases </w:t>
      </w:r>
      <w:r w:rsidR="00F16FD9">
        <w:t xml:space="preserve">looked at </w:t>
      </w:r>
      <w:r w:rsidR="00E63FD9">
        <w:t>progress of relevant investments</w:t>
      </w:r>
      <w:r w:rsidR="00F16FD9">
        <w:t xml:space="preserve">, </w:t>
      </w:r>
      <w:r w:rsidR="00E63FD9">
        <w:t xml:space="preserve">opportunities for DFAT to engage with </w:t>
      </w:r>
      <w:r w:rsidR="00E63FD9">
        <w:lastRenderedPageBreak/>
        <w:t xml:space="preserve">partners on </w:t>
      </w:r>
      <w:r w:rsidR="00824112">
        <w:t>c</w:t>
      </w:r>
      <w:r w:rsidR="00E63FD9">
        <w:t xml:space="preserve">limate </w:t>
      </w:r>
      <w:r w:rsidR="00824112">
        <w:t>c</w:t>
      </w:r>
      <w:r w:rsidR="00E63FD9">
        <w:t>hange in th</w:t>
      </w:r>
      <w:r w:rsidR="00AC09D4">
        <w:t>e</w:t>
      </w:r>
      <w:r w:rsidR="00E63FD9">
        <w:t xml:space="preserve"> operating context, </w:t>
      </w:r>
      <w:r w:rsidR="00F16FD9">
        <w:t xml:space="preserve">as well as the structures, systems and support available </w:t>
      </w:r>
      <w:r w:rsidR="00E63FD9">
        <w:t xml:space="preserve">at </w:t>
      </w:r>
      <w:r w:rsidR="00FD51E9">
        <w:t xml:space="preserve">the </w:t>
      </w:r>
      <w:r w:rsidR="00E63FD9">
        <w:t>country/regional and corporate level</w:t>
      </w:r>
      <w:r w:rsidR="00A76276">
        <w:t>s</w:t>
      </w:r>
      <w:r w:rsidR="00E63FD9">
        <w:t xml:space="preserve"> to deliver on climate</w:t>
      </w:r>
      <w:r w:rsidR="008218E6">
        <w:t>-related work</w:t>
      </w:r>
      <w:r w:rsidR="00F16FD9">
        <w:t>.</w:t>
      </w:r>
      <w:r w:rsidR="00B049AB">
        <w:t xml:space="preserve"> These cases also considered the relevant Annual Program Performance Reports and </w:t>
      </w:r>
      <w:r w:rsidR="00D7147D">
        <w:t>a</w:t>
      </w:r>
      <w:r w:rsidR="00B049AB">
        <w:t xml:space="preserve">id </w:t>
      </w:r>
      <w:r w:rsidR="00D7147D">
        <w:t>i</w:t>
      </w:r>
      <w:r w:rsidR="00B049AB">
        <w:t xml:space="preserve">nvestment </w:t>
      </w:r>
      <w:r w:rsidR="00D7147D">
        <w:t>p</w:t>
      </w:r>
      <w:r w:rsidR="00B049AB">
        <w:t>lans relevant to the investment timeframes.</w:t>
      </w:r>
    </w:p>
    <w:p w14:paraId="3A142267" w14:textId="66B72E65" w:rsidR="004C7592" w:rsidRDefault="00E06A17" w:rsidP="003B55C0">
      <w:pPr>
        <w:pStyle w:val="ListBullet"/>
      </w:pPr>
      <w:r w:rsidRPr="007C041D">
        <w:rPr>
          <w:b/>
        </w:rPr>
        <w:t>C</w:t>
      </w:r>
      <w:r w:rsidR="00F16FD9" w:rsidRPr="007C041D">
        <w:rPr>
          <w:b/>
        </w:rPr>
        <w:t>orporate case</w:t>
      </w:r>
      <w:r w:rsidR="002874D1">
        <w:t>:</w:t>
      </w:r>
      <w:r w:rsidR="008218E6">
        <w:t xml:space="preserve"> </w:t>
      </w:r>
      <w:r w:rsidR="00E63FD9">
        <w:t xml:space="preserve">DFAT’s central </w:t>
      </w:r>
      <w:r w:rsidR="001E3874">
        <w:t>systems, po</w:t>
      </w:r>
      <w:r w:rsidR="00085F8A">
        <w:t>licies</w:t>
      </w:r>
      <w:r w:rsidR="00A34F25">
        <w:t xml:space="preserve"> and</w:t>
      </w:r>
      <w:r w:rsidR="00085F8A">
        <w:t xml:space="preserve"> support for climate</w:t>
      </w:r>
      <w:r w:rsidR="004D09DA">
        <w:t xml:space="preserve"> change integration</w:t>
      </w:r>
      <w:r w:rsidR="00085F8A">
        <w:t>.</w:t>
      </w:r>
      <w:r w:rsidR="00B049AB">
        <w:t xml:space="preserve"> </w:t>
      </w:r>
      <w:r w:rsidR="003D2C34">
        <w:t>Referring to the above c</w:t>
      </w:r>
      <w:r w:rsidR="003D2C34" w:rsidRPr="00983BCD">
        <w:t xml:space="preserve">ore elements of good practice </w:t>
      </w:r>
      <w:r w:rsidR="003D2C34">
        <w:t>c</w:t>
      </w:r>
      <w:r w:rsidR="003D2C34" w:rsidRPr="00983BCD">
        <w:t xml:space="preserve">limate </w:t>
      </w:r>
      <w:r w:rsidR="003D2C34">
        <w:t>c</w:t>
      </w:r>
      <w:r w:rsidR="003D2C34" w:rsidRPr="00983BCD">
        <w:t>hange integration</w:t>
      </w:r>
      <w:r w:rsidR="003D2C34">
        <w:t xml:space="preserve">, the assessment used information provided </w:t>
      </w:r>
      <w:r w:rsidR="00713F42">
        <w:t xml:space="preserve">by a range of areas within DFAT including Sustainability </w:t>
      </w:r>
      <w:r w:rsidR="007C041D">
        <w:t>and Climate Change Branch, Risks and Safeguards Section and Investment Design Section. The evaluation also cross-referenced evidence of integration within the investment-level and country case analysis.</w:t>
      </w:r>
      <w:bookmarkStart w:id="52" w:name="_Ref499733551"/>
    </w:p>
    <w:p w14:paraId="31789060" w14:textId="4D033071" w:rsidR="009F28C6" w:rsidRDefault="009F28C6" w:rsidP="009F28C6">
      <w:pPr>
        <w:pStyle w:val="Caption"/>
      </w:pPr>
      <w:bookmarkStart w:id="53" w:name="_Toc509499149"/>
      <w:r>
        <w:t xml:space="preserve">Figure </w:t>
      </w:r>
      <w:r w:rsidR="00E7543E">
        <w:rPr>
          <w:noProof/>
        </w:rPr>
        <w:fldChar w:fldCharType="begin"/>
      </w:r>
      <w:r w:rsidR="00E7543E">
        <w:rPr>
          <w:noProof/>
        </w:rPr>
        <w:instrText xml:space="preserve"> SEQ Figure \* ARABIC </w:instrText>
      </w:r>
      <w:r w:rsidR="00E7543E">
        <w:rPr>
          <w:noProof/>
        </w:rPr>
        <w:fldChar w:fldCharType="separate"/>
      </w:r>
      <w:r w:rsidR="00825350">
        <w:rPr>
          <w:noProof/>
        </w:rPr>
        <w:t>3</w:t>
      </w:r>
      <w:r w:rsidR="00E7543E">
        <w:rPr>
          <w:noProof/>
        </w:rPr>
        <w:fldChar w:fldCharType="end"/>
      </w:r>
      <w:bookmarkEnd w:id="52"/>
      <w:r>
        <w:t xml:space="preserve">: </w:t>
      </w:r>
      <w:r w:rsidRPr="008D7239">
        <w:t>The three levels of enquiry</w:t>
      </w:r>
      <w:bookmarkEnd w:id="53"/>
    </w:p>
    <w:p w14:paraId="79478D3C" w14:textId="77777777" w:rsidR="00F508EE" w:rsidRDefault="004B3CDA" w:rsidP="00941B04">
      <w:pPr>
        <w:pStyle w:val="ListBullet"/>
        <w:numPr>
          <w:ilvl w:val="0"/>
          <w:numId w:val="0"/>
        </w:numPr>
        <w:ind w:left="227"/>
        <w:rPr>
          <w:noProof/>
          <w:lang w:val="en-GB" w:eastAsia="en-GB"/>
        </w:rPr>
      </w:pPr>
      <w:r>
        <w:rPr>
          <w:noProof/>
          <w:lang w:eastAsia="en-AU"/>
        </w:rPr>
        <w:drawing>
          <wp:inline distT="0" distB="0" distL="0" distR="0" wp14:anchorId="7677F715" wp14:editId="1F2DFACF">
            <wp:extent cx="5943600" cy="1890395"/>
            <wp:effectExtent l="0" t="0" r="0" b="0"/>
            <wp:docPr id="17" name="Picture 17" descr="The three levels of enquiry covered the Vietnam country case with investments, the Solomon Islands country case with 7 Investments and the Pacific Regional Case with a partnering focus and 5 investments. Eight notable cases were covered as was a DFAT corporate case that examined climate change integration in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43600" cy="1890395"/>
                    </a:xfrm>
                    <a:prstGeom prst="rect">
                      <a:avLst/>
                    </a:prstGeom>
                  </pic:spPr>
                </pic:pic>
              </a:graphicData>
            </a:graphic>
          </wp:inline>
        </w:drawing>
      </w:r>
    </w:p>
    <w:p w14:paraId="4902393F" w14:textId="5E41971D" w:rsidR="00F508EE" w:rsidRDefault="003B2676" w:rsidP="00EC1800">
      <w:r>
        <w:t>Following the enquiry stage</w:t>
      </w:r>
      <w:r w:rsidR="00DE19D3">
        <w:t>,</w:t>
      </w:r>
      <w:r>
        <w:t xml:space="preserve"> </w:t>
      </w:r>
      <w:r w:rsidR="00A87E6E">
        <w:t xml:space="preserve">the evaluation team held a </w:t>
      </w:r>
      <w:r w:rsidR="004C6C8D">
        <w:t xml:space="preserve">three-day </w:t>
      </w:r>
      <w:r>
        <w:t xml:space="preserve">analysis </w:t>
      </w:r>
      <w:r w:rsidR="000418BE">
        <w:t xml:space="preserve">session </w:t>
      </w:r>
      <w:r w:rsidR="005C3971">
        <w:t xml:space="preserve">in </w:t>
      </w:r>
      <w:r w:rsidR="00AC09D4">
        <w:t>Canberra</w:t>
      </w:r>
      <w:r>
        <w:t xml:space="preserve">. The </w:t>
      </w:r>
      <w:r w:rsidR="005C3971">
        <w:t>team assessed the available evidence against each key evaluation question and sub-question and identified key points for presentation in this report</w:t>
      </w:r>
      <w:r w:rsidR="00836633">
        <w:t xml:space="preserve">. </w:t>
      </w:r>
      <w:r w:rsidR="00A87E6E">
        <w:t xml:space="preserve">Team members identified </w:t>
      </w:r>
      <w:r w:rsidR="00836633">
        <w:t xml:space="preserve">areas </w:t>
      </w:r>
      <w:r>
        <w:t xml:space="preserve">where operational practice needed to be </w:t>
      </w:r>
      <w:r w:rsidR="00836633">
        <w:t>improved</w:t>
      </w:r>
      <w:r w:rsidR="005C3971">
        <w:t>.</w:t>
      </w:r>
      <w:r w:rsidR="00110D83">
        <w:t xml:space="preserve"> </w:t>
      </w:r>
      <w:r w:rsidR="00A87E6E">
        <w:t>T</w:t>
      </w:r>
      <w:r w:rsidR="005C3971">
        <w:t>he strength of evidence was</w:t>
      </w:r>
      <w:r w:rsidR="00A87E6E">
        <w:t xml:space="preserve"> also</w:t>
      </w:r>
      <w:r w:rsidR="005C3971">
        <w:t xml:space="preserve"> tested for each sub-questio</w:t>
      </w:r>
      <w:r w:rsidR="005C3971" w:rsidRPr="00EC1800">
        <w:t>n.</w:t>
      </w:r>
      <w:r w:rsidR="00110D83">
        <w:t xml:space="preserve"> </w:t>
      </w:r>
      <w:r w:rsidR="005C3971" w:rsidRPr="00EC1800">
        <w:t>Where there were gaps, follow</w:t>
      </w:r>
      <w:r w:rsidR="00210A90">
        <w:t>-</w:t>
      </w:r>
      <w:r w:rsidR="005C3971" w:rsidRPr="00EC1800">
        <w:t xml:space="preserve">up interviews and </w:t>
      </w:r>
      <w:r w:rsidR="005B10B8" w:rsidRPr="00EC1800">
        <w:t xml:space="preserve">additional </w:t>
      </w:r>
      <w:r w:rsidR="005C3971" w:rsidRPr="00EC1800">
        <w:t>document revie</w:t>
      </w:r>
      <w:r w:rsidR="0063731C" w:rsidRPr="00EC1800">
        <w:t>w</w:t>
      </w:r>
      <w:r w:rsidR="00210A90">
        <w:t>s</w:t>
      </w:r>
      <w:r w:rsidR="005C3971" w:rsidRPr="00EC1800">
        <w:t xml:space="preserve"> </w:t>
      </w:r>
      <w:r w:rsidR="008D378F" w:rsidRPr="00EC1800">
        <w:t>were conducted</w:t>
      </w:r>
      <w:r w:rsidR="005C3971" w:rsidRPr="00EC1800">
        <w:t>.</w:t>
      </w:r>
      <w:r w:rsidR="00110D83">
        <w:t xml:space="preserve"> </w:t>
      </w:r>
      <w:r w:rsidR="000C4F5C">
        <w:t>Informed by the team’s enquiry</w:t>
      </w:r>
      <w:r w:rsidR="00836633">
        <w:t>,</w:t>
      </w:r>
      <w:r w:rsidR="000C4F5C">
        <w:t xml:space="preserve"> the</w:t>
      </w:r>
      <w:r w:rsidR="00A87E6E">
        <w:t xml:space="preserve"> team</w:t>
      </w:r>
      <w:r w:rsidR="000C4F5C">
        <w:t xml:space="preserve"> generated a set of scenarios on the paths DFAT could take on climate change action within the aid program</w:t>
      </w:r>
      <w:r w:rsidR="00210A90">
        <w:t>,</w:t>
      </w:r>
      <w:r w:rsidR="000C4F5C">
        <w:t xml:space="preserve"> and the corresponding features of the integration challenge. This helped the team to situate the findings and conclusions for the key evaluation questions within a broader strategic view on </w:t>
      </w:r>
      <w:r w:rsidR="00836633">
        <w:t xml:space="preserve">the global dynamic of </w:t>
      </w:r>
      <w:r w:rsidR="000C4F5C">
        <w:t>support</w:t>
      </w:r>
      <w:r>
        <w:t xml:space="preserve"> to </w:t>
      </w:r>
      <w:r w:rsidR="00836633">
        <w:t>countries on c</w:t>
      </w:r>
      <w:r w:rsidR="000C4F5C">
        <w:t xml:space="preserve">limate change </w:t>
      </w:r>
      <w:r w:rsidR="00836633">
        <w:t>action</w:t>
      </w:r>
      <w:r>
        <w:t xml:space="preserve">. </w:t>
      </w:r>
      <w:r w:rsidR="00A87E6E">
        <w:t xml:space="preserve">It also </w:t>
      </w:r>
      <w:r>
        <w:t xml:space="preserve">provided the basis for developing a set of </w:t>
      </w:r>
      <w:r w:rsidR="00836633">
        <w:t>recommendations</w:t>
      </w:r>
      <w:r>
        <w:t xml:space="preserve"> covering both operational and strategic level</w:t>
      </w:r>
      <w:r w:rsidR="00A87E6E">
        <w:t>s</w:t>
      </w:r>
      <w:r>
        <w:t>.</w:t>
      </w:r>
    </w:p>
    <w:p w14:paraId="755B08DD" w14:textId="77777777" w:rsidR="00436615" w:rsidRPr="00436615" w:rsidRDefault="000E2462" w:rsidP="00DA2E8F">
      <w:pPr>
        <w:pStyle w:val="Heading2"/>
        <w:numPr>
          <w:ilvl w:val="0"/>
          <w:numId w:val="0"/>
        </w:numPr>
        <w:ind w:left="432" w:hanging="432"/>
      </w:pPr>
      <w:bookmarkStart w:id="54" w:name="_Toc510771920"/>
      <w:r>
        <w:t xml:space="preserve">2.4 </w:t>
      </w:r>
      <w:r w:rsidR="00436615">
        <w:t xml:space="preserve">Constraints and </w:t>
      </w:r>
      <w:r w:rsidR="00210A90">
        <w:t>l</w:t>
      </w:r>
      <w:r w:rsidR="00436615">
        <w:t>imitations</w:t>
      </w:r>
      <w:bookmarkEnd w:id="54"/>
    </w:p>
    <w:p w14:paraId="40700477" w14:textId="77777777" w:rsidR="001663F1" w:rsidRDefault="001663F1" w:rsidP="00164BA9">
      <w:pPr>
        <w:spacing w:after="120"/>
      </w:pPr>
      <w:r>
        <w:t xml:space="preserve">The </w:t>
      </w:r>
      <w:r w:rsidR="00E77E6A">
        <w:t>t</w:t>
      </w:r>
      <w:r>
        <w:t xml:space="preserve">erms of </w:t>
      </w:r>
      <w:r w:rsidR="00E77E6A">
        <w:t>r</w:t>
      </w:r>
      <w:r>
        <w:t xml:space="preserve">eference indicated two issues </w:t>
      </w:r>
      <w:r w:rsidRPr="00A343AC">
        <w:rPr>
          <w:b/>
        </w:rPr>
        <w:t>out of scope</w:t>
      </w:r>
      <w:r>
        <w:t xml:space="preserve"> for the evaluation:</w:t>
      </w:r>
    </w:p>
    <w:p w14:paraId="24681E93" w14:textId="2624DB36" w:rsidR="001663F1" w:rsidRDefault="001663F1" w:rsidP="00941B04">
      <w:pPr>
        <w:pStyle w:val="ListBullet"/>
      </w:pPr>
      <w:r w:rsidRPr="00A343AC">
        <w:rPr>
          <w:b/>
        </w:rPr>
        <w:t>Comprehensive assessment of organisational mainstreaming strategies.</w:t>
      </w:r>
      <w:r>
        <w:t xml:space="preserve"> Whil</w:t>
      </w:r>
      <w:r w:rsidR="005E5FDA">
        <w:t>e</w:t>
      </w:r>
      <w:r w:rsidR="00A87E6E">
        <w:t xml:space="preserve"> the evaluation team asked</w:t>
      </w:r>
      <w:r>
        <w:t xml:space="preserve"> DFAT country program staff</w:t>
      </w:r>
      <w:r w:rsidR="00A87E6E">
        <w:t xml:space="preserve"> comparative questions and reviewed</w:t>
      </w:r>
      <w:r>
        <w:t xml:space="preserve"> documents </w:t>
      </w:r>
      <w:r w:rsidR="00A87E6E">
        <w:t>and observed</w:t>
      </w:r>
      <w:r>
        <w:t xml:space="preserve"> differences, </w:t>
      </w:r>
      <w:r w:rsidR="00A87E6E">
        <w:t xml:space="preserve">it </w:t>
      </w:r>
      <w:r>
        <w:t xml:space="preserve">was not </w:t>
      </w:r>
      <w:r w:rsidR="00A87E6E">
        <w:t xml:space="preserve">asked </w:t>
      </w:r>
      <w:r>
        <w:t>to examine DFAT’s historical experience of mainstreaming strategies.</w:t>
      </w:r>
    </w:p>
    <w:p w14:paraId="4969C2F8" w14:textId="33491693" w:rsidR="00EC1800" w:rsidRDefault="00D25677" w:rsidP="00941B04">
      <w:pPr>
        <w:pStyle w:val="ListBullet"/>
      </w:pPr>
      <w:r w:rsidRPr="00A343AC">
        <w:rPr>
          <w:b/>
        </w:rPr>
        <w:t>Core contributions to multilateral organisations</w:t>
      </w:r>
      <w:r>
        <w:t xml:space="preserve"> </w:t>
      </w:r>
      <w:r w:rsidR="00A343AC">
        <w:t xml:space="preserve">were excluded </w:t>
      </w:r>
      <w:r>
        <w:t>from the assessment.</w:t>
      </w:r>
      <w:r w:rsidR="00110D83">
        <w:t xml:space="preserve"> </w:t>
      </w:r>
      <w:r>
        <w:t xml:space="preserve">However, investments funded </w:t>
      </w:r>
      <w:r w:rsidR="002F16ED">
        <w:t xml:space="preserve">or co-funded </w:t>
      </w:r>
      <w:r>
        <w:t>by DFAT</w:t>
      </w:r>
      <w:r w:rsidR="005E5FDA">
        <w:t xml:space="preserve"> and</w:t>
      </w:r>
      <w:r>
        <w:t xml:space="preserve"> managed by multilateral </w:t>
      </w:r>
      <w:r w:rsidR="00A87E6E">
        <w:t xml:space="preserve">organisations </w:t>
      </w:r>
      <w:r>
        <w:t xml:space="preserve">were </w:t>
      </w:r>
      <w:r w:rsidR="005D0770">
        <w:t>included</w:t>
      </w:r>
      <w:r>
        <w:t>.</w:t>
      </w:r>
    </w:p>
    <w:p w14:paraId="79698E90" w14:textId="77777777" w:rsidR="00F508EE" w:rsidRDefault="00D25677" w:rsidP="00164BA9">
      <w:pPr>
        <w:spacing w:before="120" w:after="120"/>
      </w:pPr>
      <w:r>
        <w:t>Additionally</w:t>
      </w:r>
      <w:r w:rsidR="00375B57">
        <w:t>,</w:t>
      </w:r>
      <w:r>
        <w:t xml:space="preserve"> the team identified </w:t>
      </w:r>
      <w:r w:rsidR="003B2676">
        <w:t>some</w:t>
      </w:r>
      <w:r>
        <w:t xml:space="preserve"> </w:t>
      </w:r>
      <w:r w:rsidRPr="005F48EC">
        <w:rPr>
          <w:b/>
        </w:rPr>
        <w:t>limitations</w:t>
      </w:r>
      <w:r>
        <w:t>:</w:t>
      </w:r>
    </w:p>
    <w:p w14:paraId="618F2EC9" w14:textId="1232CBD9" w:rsidR="001663F1" w:rsidRDefault="001663F1" w:rsidP="00024E51">
      <w:pPr>
        <w:pStyle w:val="ListBullet"/>
      </w:pPr>
      <w:r>
        <w:lastRenderedPageBreak/>
        <w:t xml:space="preserve">Obtaining a </w:t>
      </w:r>
      <w:r w:rsidRPr="00A343AC">
        <w:rPr>
          <w:b/>
        </w:rPr>
        <w:t xml:space="preserve">comprehensive </w:t>
      </w:r>
      <w:r w:rsidR="00A343AC" w:rsidRPr="00A343AC">
        <w:rPr>
          <w:b/>
        </w:rPr>
        <w:t xml:space="preserve">list </w:t>
      </w:r>
      <w:r w:rsidRPr="00A343AC">
        <w:rPr>
          <w:b/>
        </w:rPr>
        <w:t>of DFAT</w:t>
      </w:r>
      <w:r w:rsidR="005E5FDA">
        <w:rPr>
          <w:b/>
        </w:rPr>
        <w:t>’</w:t>
      </w:r>
      <w:r w:rsidRPr="00A343AC">
        <w:rPr>
          <w:b/>
        </w:rPr>
        <w:t>s climate change i</w:t>
      </w:r>
      <w:r w:rsidR="00A343AC" w:rsidRPr="00A343AC">
        <w:rPr>
          <w:b/>
        </w:rPr>
        <w:t>nvestments for sampling</w:t>
      </w:r>
      <w:r w:rsidR="00D25677">
        <w:t>.</w:t>
      </w:r>
      <w:r w:rsidR="00110D83">
        <w:t xml:space="preserve"> </w:t>
      </w:r>
      <w:r w:rsidR="00D25677">
        <w:t xml:space="preserve">An </w:t>
      </w:r>
      <w:r w:rsidR="00824112">
        <w:t>A</w:t>
      </w:r>
      <w:r w:rsidR="00D25677">
        <w:t>id</w:t>
      </w:r>
      <w:r w:rsidR="00824112">
        <w:t>W</w:t>
      </w:r>
      <w:r w:rsidR="00D25677">
        <w:t xml:space="preserve">orks search by DFAT’s Aid Statistics Unit of investments where climate change was a primary or </w:t>
      </w:r>
      <w:r w:rsidRPr="00F37762">
        <w:t>secondary objective</w:t>
      </w:r>
      <w:r w:rsidR="00D25677">
        <w:t xml:space="preserve"> </w:t>
      </w:r>
      <w:r>
        <w:t xml:space="preserve">returned around 3,800 minor activities. Consultation with the </w:t>
      </w:r>
      <w:r w:rsidR="00947B0F">
        <w:t xml:space="preserve">Sustainability and </w:t>
      </w:r>
      <w:r>
        <w:t xml:space="preserve">Climate Change </w:t>
      </w:r>
      <w:r w:rsidR="00ED6F18">
        <w:t xml:space="preserve">Branch </w:t>
      </w:r>
      <w:r>
        <w:t xml:space="preserve">refined </w:t>
      </w:r>
      <w:r w:rsidRPr="007556C2">
        <w:t>the</w:t>
      </w:r>
      <w:r w:rsidR="008771F7">
        <w:t>se</w:t>
      </w:r>
      <w:r w:rsidRPr="007556C2">
        <w:t xml:space="preserve"> to 34</w:t>
      </w:r>
      <w:r>
        <w:t xml:space="preserve"> significant</w:t>
      </w:r>
      <w:r w:rsidRPr="007556C2">
        <w:t xml:space="preserve"> investments and assisted in classifying these as adaptation, mitigation or mixed. </w:t>
      </w:r>
      <w:r w:rsidR="00D25677">
        <w:t xml:space="preserve">This was </w:t>
      </w:r>
      <w:r>
        <w:t xml:space="preserve">augmented by information from the recent Pacific Stocktake, and from lists provided by other Australian </w:t>
      </w:r>
      <w:r w:rsidR="008771F7">
        <w:t>g</w:t>
      </w:r>
      <w:r>
        <w:t>overnment departments of their international climate change activities.</w:t>
      </w:r>
      <w:r w:rsidR="00110D83">
        <w:t xml:space="preserve"> </w:t>
      </w:r>
      <w:r>
        <w:t>Whil</w:t>
      </w:r>
      <w:r w:rsidR="005E5FDA">
        <w:t>e</w:t>
      </w:r>
      <w:r>
        <w:t xml:space="preserve"> this was the best available source f</w:t>
      </w:r>
      <w:r w:rsidR="005E5FDA">
        <w:t>or</w:t>
      </w:r>
      <w:r>
        <w:t xml:space="preserve"> identifying investments, it is not as comprehensive or exhaustive as it could be</w:t>
      </w:r>
      <w:r w:rsidR="00A343AC">
        <w:t>.</w:t>
      </w:r>
      <w:r w:rsidR="00110D83">
        <w:t xml:space="preserve"> </w:t>
      </w:r>
      <w:r w:rsidR="00A343AC">
        <w:t>I</w:t>
      </w:r>
      <w:r>
        <w:t>terative consultations with Sustainability and Climate Change Branch staff throughout this process minimised the chance of missing significant investments.</w:t>
      </w:r>
    </w:p>
    <w:p w14:paraId="4D02B441" w14:textId="1817593B" w:rsidR="00F508EE" w:rsidRDefault="000569F5" w:rsidP="00024E51">
      <w:pPr>
        <w:pStyle w:val="ListBullet"/>
      </w:pPr>
      <w:r>
        <w:t xml:space="preserve">The timeframe </w:t>
      </w:r>
      <w:r w:rsidRPr="000569F5">
        <w:rPr>
          <w:b/>
        </w:rPr>
        <w:t>restricting investments sampled to only those</w:t>
      </w:r>
      <w:r>
        <w:rPr>
          <w:b/>
        </w:rPr>
        <w:t xml:space="preserve"> </w:t>
      </w:r>
      <w:r w:rsidR="005E5FDA">
        <w:rPr>
          <w:b/>
        </w:rPr>
        <w:t>commencing</w:t>
      </w:r>
      <w:r w:rsidR="005E5FDA" w:rsidRPr="000569F5">
        <w:rPr>
          <w:b/>
        </w:rPr>
        <w:t xml:space="preserve"> </w:t>
      </w:r>
      <w:r w:rsidRPr="000569F5">
        <w:rPr>
          <w:b/>
        </w:rPr>
        <w:t>before 2014</w:t>
      </w:r>
      <w:r w:rsidRPr="00AC21C0">
        <w:t>.</w:t>
      </w:r>
      <w:r>
        <w:rPr>
          <w:b/>
        </w:rPr>
        <w:t xml:space="preserve"> </w:t>
      </w:r>
      <w:r w:rsidR="005B49C8">
        <w:t>T</w:t>
      </w:r>
      <w:r w:rsidR="009202BC" w:rsidRPr="00496B11">
        <w:t>he evaluation</w:t>
      </w:r>
      <w:r w:rsidR="009202BC">
        <w:t xml:space="preserve"> sought to assess the effectiveness of investments, </w:t>
      </w:r>
      <w:r w:rsidR="005B49C8">
        <w:t xml:space="preserve">and </w:t>
      </w:r>
      <w:r w:rsidR="009202BC">
        <w:t xml:space="preserve">the team </w:t>
      </w:r>
      <w:r w:rsidR="005B49C8">
        <w:t>believed this would be difficult for investments less than three years old.</w:t>
      </w:r>
      <w:r w:rsidR="009202BC" w:rsidRPr="00496B11">
        <w:t xml:space="preserve"> </w:t>
      </w:r>
      <w:r w:rsidR="005B49C8">
        <w:t>However</w:t>
      </w:r>
      <w:r w:rsidR="00762824">
        <w:t>,</w:t>
      </w:r>
      <w:r w:rsidR="005B49C8">
        <w:t xml:space="preserve"> the age of the investments </w:t>
      </w:r>
      <w:r>
        <w:t>was a limitation to some areas of the analysis</w:t>
      </w:r>
      <w:r w:rsidR="005B49C8">
        <w:t>, for example</w:t>
      </w:r>
      <w:r>
        <w:t xml:space="preserve"> climate change investments </w:t>
      </w:r>
      <w:r w:rsidR="005B49C8">
        <w:t xml:space="preserve">that explicitly addressed </w:t>
      </w:r>
      <w:r>
        <w:t>Australia’s broader trade</w:t>
      </w:r>
      <w:r w:rsidR="005B49C8">
        <w:t xml:space="preserve">, security and diplomatic </w:t>
      </w:r>
      <w:r>
        <w:t>agenda</w:t>
      </w:r>
      <w:r w:rsidR="005B49C8">
        <w:t xml:space="preserve"> were more likely to </w:t>
      </w:r>
      <w:r w:rsidR="005E5FDA">
        <w:t>have</w:t>
      </w:r>
      <w:r w:rsidR="005B49C8">
        <w:t xml:space="preserve"> commenced following the integration of </w:t>
      </w:r>
      <w:r w:rsidR="001665A4">
        <w:t xml:space="preserve">the </w:t>
      </w:r>
      <w:bookmarkStart w:id="55" w:name="_Hlk518595635"/>
      <w:r w:rsidR="001665A4">
        <w:t>Australian Agency for International Development (</w:t>
      </w:r>
      <w:r w:rsidR="005B49C8">
        <w:t>AusAID</w:t>
      </w:r>
      <w:r w:rsidR="001665A4">
        <w:t>)</w:t>
      </w:r>
      <w:r w:rsidR="005B49C8">
        <w:t xml:space="preserve"> </w:t>
      </w:r>
      <w:bookmarkEnd w:id="55"/>
      <w:r w:rsidR="005B49C8">
        <w:t>and DFAT in late 2013</w:t>
      </w:r>
      <w:r w:rsidR="003D5CB3">
        <w:t xml:space="preserve">. Likewise, </w:t>
      </w:r>
      <w:r>
        <w:t>how gender equality and disability have figured in climate change investments and outcomes</w:t>
      </w:r>
      <w:r w:rsidR="003D5CB3">
        <w:t xml:space="preserve"> is likely to be better in later investments</w:t>
      </w:r>
      <w:r>
        <w:t>.</w:t>
      </w:r>
    </w:p>
    <w:p w14:paraId="7BC9F647" w14:textId="74B75EB9" w:rsidR="00F508EE" w:rsidRDefault="00A343AC" w:rsidP="00024E51">
      <w:pPr>
        <w:pStyle w:val="ListBullet"/>
      </w:pPr>
      <w:r w:rsidRPr="00A343AC">
        <w:rPr>
          <w:b/>
        </w:rPr>
        <w:t xml:space="preserve">Locating </w:t>
      </w:r>
      <w:r w:rsidR="001663F1" w:rsidRPr="00A343AC">
        <w:rPr>
          <w:b/>
        </w:rPr>
        <w:t>investment</w:t>
      </w:r>
      <w:r w:rsidR="005E5FDA">
        <w:rPr>
          <w:b/>
        </w:rPr>
        <w:t>-</w:t>
      </w:r>
      <w:r w:rsidR="001663F1" w:rsidRPr="00A343AC">
        <w:rPr>
          <w:b/>
        </w:rPr>
        <w:t>level documents and appropriate personnel</w:t>
      </w:r>
      <w:r>
        <w:t xml:space="preserve">. </w:t>
      </w:r>
      <w:r w:rsidR="001663F1">
        <w:t xml:space="preserve">Due to the need to answer </w:t>
      </w:r>
      <w:r w:rsidR="005E5FDA">
        <w:t>e</w:t>
      </w:r>
      <w:r w:rsidR="001663F1">
        <w:t xml:space="preserve">valuation </w:t>
      </w:r>
      <w:r w:rsidR="005E5FDA">
        <w:t>q</w:t>
      </w:r>
      <w:r w:rsidR="001663F1">
        <w:t>uestions around effectiveness and sustainability, investments that commenced from 2014 onwards were excluded from the investment sampling.</w:t>
      </w:r>
      <w:r>
        <w:t xml:space="preserve"> Documents on the </w:t>
      </w:r>
      <w:r w:rsidR="004D09DA">
        <w:t>A</w:t>
      </w:r>
      <w:r>
        <w:t>id</w:t>
      </w:r>
      <w:r w:rsidR="004D09DA">
        <w:t>W</w:t>
      </w:r>
      <w:r>
        <w:t xml:space="preserve">orks system were reviewed, but the </w:t>
      </w:r>
      <w:r w:rsidR="005F48EC">
        <w:t xml:space="preserve">availability of documents </w:t>
      </w:r>
      <w:r>
        <w:t>was highly variable</w:t>
      </w:r>
      <w:r w:rsidR="0014354D">
        <w:t>. For example, design documents and design appraisals were not always available, which made it difficul</w:t>
      </w:r>
      <w:r w:rsidR="00824112">
        <w:t>t to understand to what extent c</w:t>
      </w:r>
      <w:r w:rsidR="0014354D">
        <w:t xml:space="preserve">limate </w:t>
      </w:r>
      <w:r w:rsidR="00824112">
        <w:t>c</w:t>
      </w:r>
      <w:r w:rsidR="0014354D">
        <w:t>hange had been considered during design</w:t>
      </w:r>
      <w:r>
        <w:t>.</w:t>
      </w:r>
      <w:r w:rsidR="00110D83">
        <w:t xml:space="preserve"> </w:t>
      </w:r>
      <w:r w:rsidR="00824112">
        <w:t>Although</w:t>
      </w:r>
      <w:r w:rsidR="003B53A5">
        <w:t xml:space="preserve"> </w:t>
      </w:r>
      <w:r>
        <w:t xml:space="preserve">it was possible to identify staff </w:t>
      </w:r>
      <w:r w:rsidR="002A7166">
        <w:t xml:space="preserve">with </w:t>
      </w:r>
      <w:r>
        <w:t xml:space="preserve">some awareness of the investments, </w:t>
      </w:r>
      <w:r w:rsidR="001663F1">
        <w:t>the age of some of the investments (some commenced as early as 2006</w:t>
      </w:r>
      <w:r w:rsidR="002951E7">
        <w:t xml:space="preserve">) and staff changes </w:t>
      </w:r>
      <w:r w:rsidR="001663F1">
        <w:t>due to postings and turnover</w:t>
      </w:r>
      <w:r w:rsidR="003B2676">
        <w:t>,</w:t>
      </w:r>
      <w:r w:rsidR="002951E7">
        <w:t xml:space="preserve"> meant it was</w:t>
      </w:r>
      <w:r w:rsidR="001665A4">
        <w:t xml:space="preserve"> not</w:t>
      </w:r>
      <w:r w:rsidR="002951E7">
        <w:t xml:space="preserve"> always possible to </w:t>
      </w:r>
      <w:r w:rsidR="001665A4">
        <w:t xml:space="preserve">paint </w:t>
      </w:r>
      <w:r w:rsidR="002951E7">
        <w:t>a complete picture of the investment lifecycle</w:t>
      </w:r>
      <w:r w:rsidR="001663F1">
        <w:t>.</w:t>
      </w:r>
    </w:p>
    <w:p w14:paraId="0DFA0BBD" w14:textId="40557A68" w:rsidR="00F508EE" w:rsidRDefault="005F48EC" w:rsidP="00024E51">
      <w:pPr>
        <w:pStyle w:val="ListBullet"/>
      </w:pPr>
      <w:r>
        <w:t xml:space="preserve">The </w:t>
      </w:r>
      <w:r w:rsidRPr="005F48EC">
        <w:rPr>
          <w:b/>
        </w:rPr>
        <w:t xml:space="preserve">Vietnam </w:t>
      </w:r>
      <w:r w:rsidR="00E77E6A">
        <w:rPr>
          <w:b/>
        </w:rPr>
        <w:t>c</w:t>
      </w:r>
      <w:r w:rsidRPr="005F48EC">
        <w:rPr>
          <w:b/>
        </w:rPr>
        <w:t xml:space="preserve">ase </w:t>
      </w:r>
      <w:r w:rsidR="00E77E6A">
        <w:rPr>
          <w:b/>
        </w:rPr>
        <w:t>s</w:t>
      </w:r>
      <w:r w:rsidRPr="005F48EC">
        <w:rPr>
          <w:b/>
        </w:rPr>
        <w:t>tudy was conducted remotely</w:t>
      </w:r>
      <w:r>
        <w:t xml:space="preserve">. </w:t>
      </w:r>
      <w:r w:rsidRPr="005F48EC">
        <w:t>Due</w:t>
      </w:r>
      <w:r>
        <w:rPr>
          <w:b/>
        </w:rPr>
        <w:t xml:space="preserve"> </w:t>
      </w:r>
      <w:r w:rsidRPr="005F48EC">
        <w:t xml:space="preserve">to </w:t>
      </w:r>
      <w:r w:rsidR="004D09DA">
        <w:t xml:space="preserve">a high level of </w:t>
      </w:r>
      <w:r w:rsidRPr="005F48EC">
        <w:t xml:space="preserve">competing demands on the Hanoi </w:t>
      </w:r>
      <w:r w:rsidR="00C92B38">
        <w:t>P</w:t>
      </w:r>
      <w:r w:rsidRPr="005F48EC">
        <w:t>ost</w:t>
      </w:r>
      <w:r>
        <w:t xml:space="preserve">, the Vietnam interviews </w:t>
      </w:r>
      <w:r w:rsidR="001F6EAE">
        <w:t xml:space="preserve">were conducted </w:t>
      </w:r>
      <w:r w:rsidR="001665A4">
        <w:t xml:space="preserve">by </w:t>
      </w:r>
      <w:r>
        <w:t>telephone.</w:t>
      </w:r>
      <w:r w:rsidR="00110D83">
        <w:t xml:space="preserve"> </w:t>
      </w:r>
      <w:r w:rsidR="008771F7">
        <w:t xml:space="preserve">While </w:t>
      </w:r>
      <w:r w:rsidR="001F6EAE">
        <w:t>P</w:t>
      </w:r>
      <w:r>
        <w:t xml:space="preserve">ost provided significant support setting up the </w:t>
      </w:r>
      <w:r w:rsidR="001F6EAE">
        <w:t>interviews</w:t>
      </w:r>
      <w:r>
        <w:t xml:space="preserve">, </w:t>
      </w:r>
      <w:r w:rsidR="001F6EAE">
        <w:t xml:space="preserve">there were fewer </w:t>
      </w:r>
      <w:r w:rsidR="00824112">
        <w:t>interviews</w:t>
      </w:r>
      <w:r w:rsidR="008771F7">
        <w:t xml:space="preserve"> than for other case studies. In</w:t>
      </w:r>
      <w:r w:rsidR="00824112">
        <w:t xml:space="preserve"> some cases</w:t>
      </w:r>
      <w:r w:rsidR="00C92B38">
        <w:t>,</w:t>
      </w:r>
      <w:r w:rsidR="00824112">
        <w:t xml:space="preserve"> </w:t>
      </w:r>
      <w:r w:rsidR="00C92B38">
        <w:t>the</w:t>
      </w:r>
      <w:r w:rsidR="008771F7">
        <w:t xml:space="preserve"> interviews </w:t>
      </w:r>
      <w:r w:rsidR="00C92B38">
        <w:t xml:space="preserve">were </w:t>
      </w:r>
      <w:r w:rsidR="00824112">
        <w:t xml:space="preserve">less in-depth </w:t>
      </w:r>
      <w:r w:rsidR="00C92B38">
        <w:t xml:space="preserve">in </w:t>
      </w:r>
      <w:r w:rsidR="00824112">
        <w:t>nature</w:t>
      </w:r>
      <w:r w:rsidR="003B2676">
        <w:t>. As a result</w:t>
      </w:r>
      <w:r w:rsidR="00C92B38">
        <w:t>,</w:t>
      </w:r>
      <w:r w:rsidR="003B2676">
        <w:t xml:space="preserve"> t</w:t>
      </w:r>
      <w:r w:rsidR="001F6EAE">
        <w:t>he team had to rely more heavily on document review.</w:t>
      </w:r>
      <w:r w:rsidR="00110D83">
        <w:t xml:space="preserve"> </w:t>
      </w:r>
      <w:r w:rsidR="001F6EAE">
        <w:t>T</w:t>
      </w:r>
      <w:r w:rsidR="00394A1E">
        <w:t>he team did benefit</w:t>
      </w:r>
      <w:r>
        <w:t xml:space="preserve"> from the 2016 </w:t>
      </w:r>
      <w:r w:rsidRPr="009313DE">
        <w:rPr>
          <w:i/>
        </w:rPr>
        <w:t>Review of the Australia</w:t>
      </w:r>
      <w:r w:rsidR="006A6368">
        <w:rPr>
          <w:i/>
        </w:rPr>
        <w:t>–Vietnam</w:t>
      </w:r>
      <w:r w:rsidRPr="009313DE">
        <w:rPr>
          <w:i/>
        </w:rPr>
        <w:t xml:space="preserve"> </w:t>
      </w:r>
      <w:r w:rsidR="00DD74FE">
        <w:rPr>
          <w:i/>
        </w:rPr>
        <w:t>c</w:t>
      </w:r>
      <w:r w:rsidRPr="009313DE">
        <w:rPr>
          <w:i/>
        </w:rPr>
        <w:t xml:space="preserve">limate </w:t>
      </w:r>
      <w:r w:rsidR="00DD74FE">
        <w:rPr>
          <w:i/>
        </w:rPr>
        <w:t>c</w:t>
      </w:r>
      <w:r w:rsidRPr="009313DE">
        <w:rPr>
          <w:i/>
        </w:rPr>
        <w:t xml:space="preserve">hange </w:t>
      </w:r>
      <w:r w:rsidR="00DD74FE">
        <w:rPr>
          <w:i/>
        </w:rPr>
        <w:t>d</w:t>
      </w:r>
      <w:r w:rsidRPr="009313DE">
        <w:rPr>
          <w:i/>
        </w:rPr>
        <w:t xml:space="preserve">elivery </w:t>
      </w:r>
      <w:r w:rsidR="00DD74FE">
        <w:rPr>
          <w:i/>
        </w:rPr>
        <w:t>s</w:t>
      </w:r>
      <w:r w:rsidRPr="009313DE">
        <w:rPr>
          <w:i/>
        </w:rPr>
        <w:t>trategy</w:t>
      </w:r>
      <w:r w:rsidR="00DD74FE">
        <w:rPr>
          <w:rStyle w:val="FootnoteReference"/>
          <w:i/>
        </w:rPr>
        <w:footnoteReference w:id="8"/>
      </w:r>
      <w:r>
        <w:t>, as well as interviews with DFAT staff members</w:t>
      </w:r>
      <w:r w:rsidR="004D09DA">
        <w:t xml:space="preserve"> at Post</w:t>
      </w:r>
      <w:r>
        <w:t>, delivery partners</w:t>
      </w:r>
      <w:r w:rsidR="00672EB6">
        <w:t>, and one interview with a senior Vietnamese government official</w:t>
      </w:r>
      <w:r>
        <w:t xml:space="preserve">. </w:t>
      </w:r>
      <w:r w:rsidR="00A171E2">
        <w:t>As with the Pacific Regional and Solomon Islands case</w:t>
      </w:r>
      <w:r w:rsidR="008771F7">
        <w:t>s</w:t>
      </w:r>
      <w:r w:rsidR="00A171E2">
        <w:t xml:space="preserve">, DFAT staff involved in the management of past investments were sometimes no longer at the relevant </w:t>
      </w:r>
      <w:r w:rsidR="00C44324">
        <w:t>Post but</w:t>
      </w:r>
      <w:r w:rsidR="00A171E2">
        <w:t xml:space="preserve"> </w:t>
      </w:r>
      <w:r w:rsidR="006A6300">
        <w:t xml:space="preserve">had </w:t>
      </w:r>
      <w:r w:rsidR="00A171E2">
        <w:t>returned to Canberra or</w:t>
      </w:r>
      <w:r w:rsidR="006A6300">
        <w:t xml:space="preserve"> were</w:t>
      </w:r>
      <w:r w:rsidR="00A171E2">
        <w:t xml:space="preserve"> in another location. Where possible, these staff were interviewed in person.</w:t>
      </w:r>
    </w:p>
    <w:p w14:paraId="4CA11492" w14:textId="77777777" w:rsidR="00A00595" w:rsidRDefault="001405A5" w:rsidP="00DA2E8F">
      <w:pPr>
        <w:pStyle w:val="Heading2"/>
        <w:numPr>
          <w:ilvl w:val="0"/>
          <w:numId w:val="0"/>
        </w:numPr>
        <w:ind w:left="432" w:hanging="432"/>
      </w:pPr>
      <w:bookmarkStart w:id="56" w:name="_Toc510771921"/>
      <w:r>
        <w:lastRenderedPageBreak/>
        <w:t xml:space="preserve">2.5 </w:t>
      </w:r>
      <w:r w:rsidR="00A00595">
        <w:t xml:space="preserve">Ethical </w:t>
      </w:r>
      <w:r w:rsidR="00210A90">
        <w:t>c</w:t>
      </w:r>
      <w:r w:rsidR="00A00595">
        <w:t>onsiderations</w:t>
      </w:r>
      <w:bookmarkEnd w:id="56"/>
    </w:p>
    <w:p w14:paraId="5A9F06BF" w14:textId="5972BF38" w:rsidR="00F508EE" w:rsidRDefault="00A00595" w:rsidP="00A00595">
      <w:r>
        <w:rPr>
          <w:b/>
        </w:rPr>
        <w:t>Managing conflict of interest:</w:t>
      </w:r>
      <w:r w:rsidR="00110D83">
        <w:rPr>
          <w:b/>
        </w:rPr>
        <w:t xml:space="preserve"> </w:t>
      </w:r>
      <w:r>
        <w:t xml:space="preserve">One </w:t>
      </w:r>
      <w:r w:rsidR="00824112">
        <w:t>team member (Brian Dawson) was the</w:t>
      </w:r>
      <w:r>
        <w:t xml:space="preserve"> former Director </w:t>
      </w:r>
      <w:r w:rsidR="00824112">
        <w:t xml:space="preserve">Climate Change </w:t>
      </w:r>
      <w:r>
        <w:t xml:space="preserve">of the </w:t>
      </w:r>
      <w:bookmarkStart w:id="57" w:name="_Hlk518595811"/>
      <w:r w:rsidR="00C617E6">
        <w:t xml:space="preserve">Secretariat of the </w:t>
      </w:r>
      <w:r>
        <w:t>Pacific Community (SPC)</w:t>
      </w:r>
      <w:bookmarkEnd w:id="57"/>
      <w:r>
        <w:t>, a former DFAT Climate Change Adviser, and a member of the recent Pacific Climate Change Program design team. Whil</w:t>
      </w:r>
      <w:r w:rsidR="006A6300">
        <w:t>e</w:t>
      </w:r>
      <w:r>
        <w:t xml:space="preserve"> this experience brings an invaluable depth of knowledge and understanding to the </w:t>
      </w:r>
      <w:r w:rsidR="00A171E2">
        <w:t xml:space="preserve">Pacific Regional </w:t>
      </w:r>
      <w:r>
        <w:t>case</w:t>
      </w:r>
      <w:r w:rsidR="006A6300">
        <w:t>,</w:t>
      </w:r>
      <w:r>
        <w:t xml:space="preserve"> </w:t>
      </w:r>
      <w:r w:rsidR="00A171E2">
        <w:t xml:space="preserve">and historical context for climate change integration in the </w:t>
      </w:r>
      <w:r w:rsidR="00834641">
        <w:t>d</w:t>
      </w:r>
      <w:r w:rsidR="00A171E2">
        <w:t xml:space="preserve">epartment, </w:t>
      </w:r>
      <w:r>
        <w:t>the evaluation team manage</w:t>
      </w:r>
      <w:r w:rsidR="00EB29E6">
        <w:t>d</w:t>
      </w:r>
      <w:r>
        <w:t xml:space="preserve"> the </w:t>
      </w:r>
      <w:r w:rsidR="00A171E2">
        <w:t xml:space="preserve">potential </w:t>
      </w:r>
      <w:r>
        <w:t>conflict of interest in relation to</w:t>
      </w:r>
      <w:r w:rsidR="00A171E2">
        <w:t xml:space="preserve"> the </w:t>
      </w:r>
      <w:r>
        <w:t xml:space="preserve">SPC Climate Change Program by </w:t>
      </w:r>
      <w:r w:rsidR="00F01852">
        <w:t xml:space="preserve">ensuring </w:t>
      </w:r>
      <w:r w:rsidR="001672A1">
        <w:t>Mr Dawson</w:t>
      </w:r>
      <w:r>
        <w:t xml:space="preserve"> </w:t>
      </w:r>
      <w:r w:rsidR="00F01852">
        <w:t xml:space="preserve">did </w:t>
      </w:r>
      <w:r w:rsidR="00A171E2">
        <w:t>not participat</w:t>
      </w:r>
      <w:r w:rsidR="00F01852">
        <w:t xml:space="preserve">e in </w:t>
      </w:r>
      <w:r w:rsidR="00A171E2">
        <w:t xml:space="preserve">interviews </w:t>
      </w:r>
      <w:r w:rsidR="00F01852">
        <w:t xml:space="preserve">related to SPC or </w:t>
      </w:r>
      <w:r w:rsidR="00A171E2">
        <w:t>review</w:t>
      </w:r>
      <w:r w:rsidR="001665A4">
        <w:t>-</w:t>
      </w:r>
      <w:r w:rsidR="00A171E2">
        <w:t xml:space="preserve">related </w:t>
      </w:r>
      <w:r w:rsidR="00F01852">
        <w:t xml:space="preserve">SPC </w:t>
      </w:r>
      <w:r w:rsidR="00A171E2">
        <w:t>documents</w:t>
      </w:r>
      <w:r>
        <w:t>.</w:t>
      </w:r>
    </w:p>
    <w:p w14:paraId="21D2A1D5" w14:textId="03122FDB" w:rsidR="00402448" w:rsidRDefault="00A00595" w:rsidP="00D7637F">
      <w:pPr>
        <w:sectPr w:rsidR="00402448" w:rsidSect="00402448">
          <w:type w:val="continuous"/>
          <w:pgSz w:w="11906" w:h="16838" w:code="9"/>
          <w:pgMar w:top="1152" w:right="850" w:bottom="1531" w:left="851" w:header="510" w:footer="510" w:gutter="0"/>
          <w:cols w:space="708"/>
          <w:docGrid w:linePitch="360"/>
        </w:sectPr>
      </w:pPr>
      <w:r>
        <w:t xml:space="preserve">Both Julian Gayfer (Team Leader) and Brian Dawson are members of the </w:t>
      </w:r>
      <w:r w:rsidR="006A6300">
        <w:t>a</w:t>
      </w:r>
      <w:r>
        <w:t xml:space="preserve">dviser team working with DFAT for the </w:t>
      </w:r>
      <w:bookmarkStart w:id="58" w:name="_Hlk518595854"/>
      <w:r>
        <w:t>SDIP</w:t>
      </w:r>
      <w:bookmarkEnd w:id="58"/>
      <w:r>
        <w:t>. This is an investment addressing climate change which forms part of the South Asia Regional Program and is one of the notable cases r</w:t>
      </w:r>
      <w:r w:rsidR="00F01852">
        <w:t xml:space="preserve">eviewed for the evaluation. This </w:t>
      </w:r>
      <w:r w:rsidR="00A171E2">
        <w:t xml:space="preserve">potential </w:t>
      </w:r>
      <w:r>
        <w:t xml:space="preserve">conflict of interest </w:t>
      </w:r>
      <w:r w:rsidR="00A171E2">
        <w:t xml:space="preserve">was </w:t>
      </w:r>
      <w:r>
        <w:t xml:space="preserve">managed by </w:t>
      </w:r>
      <w:r w:rsidR="00F01852">
        <w:t xml:space="preserve">ensuring that neither </w:t>
      </w:r>
      <w:r w:rsidR="006A6300">
        <w:t xml:space="preserve">Mr Gayfer </w:t>
      </w:r>
      <w:r w:rsidR="001665A4">
        <w:t>n</w:t>
      </w:r>
      <w:r w:rsidR="00F01852">
        <w:t xml:space="preserve">or </w:t>
      </w:r>
      <w:r w:rsidR="006A6300">
        <w:t>Mr Dawson</w:t>
      </w:r>
      <w:r w:rsidR="00F01852">
        <w:t xml:space="preserve"> were involved in interviewing people associated with SDIP</w:t>
      </w:r>
      <w:r w:rsidR="006A6300">
        <w:t>,</w:t>
      </w:r>
      <w:r w:rsidR="00F01852">
        <w:t xml:space="preserve"> or undertaking</w:t>
      </w:r>
      <w:r w:rsidR="006A6300">
        <w:t xml:space="preserve"> review of</w:t>
      </w:r>
      <w:r w:rsidR="001665A4">
        <w:t>,</w:t>
      </w:r>
      <w:r w:rsidR="006A6300">
        <w:t xml:space="preserve"> or</w:t>
      </w:r>
      <w:r w:rsidR="00F01852">
        <w:t xml:space="preserve"> commenting on</w:t>
      </w:r>
      <w:r w:rsidR="001665A4">
        <w:t>,</w:t>
      </w:r>
      <w:r w:rsidR="00F01852">
        <w:t xml:space="preserve"> SDIP documents. Two </w:t>
      </w:r>
      <w:r w:rsidR="007616BF">
        <w:t xml:space="preserve">other </w:t>
      </w:r>
      <w:r w:rsidR="00A171E2">
        <w:t>team member</w:t>
      </w:r>
      <w:r w:rsidR="007616BF">
        <w:t>s</w:t>
      </w:r>
      <w:r w:rsidR="00A171E2">
        <w:t xml:space="preserve"> (Kari Sann</w:t>
      </w:r>
      <w:r w:rsidR="007616BF">
        <w:t xml:space="preserve"> and </w:t>
      </w:r>
      <w:r w:rsidR="00A171E2">
        <w:t xml:space="preserve">Tracey McMartin) </w:t>
      </w:r>
      <w:r w:rsidR="00AC475B">
        <w:t>undertook the analysis of</w:t>
      </w:r>
      <w:r>
        <w:t xml:space="preserve"> SDIP</w:t>
      </w:r>
      <w:r w:rsidR="00A171E2">
        <w:t xml:space="preserve"> documentation and conduct</w:t>
      </w:r>
      <w:r w:rsidR="00F01852">
        <w:t>ed</w:t>
      </w:r>
      <w:r w:rsidR="00A171E2">
        <w:t xml:space="preserve"> related interviews</w:t>
      </w:r>
      <w:r>
        <w:t>.</w:t>
      </w:r>
    </w:p>
    <w:p w14:paraId="2897370E" w14:textId="77777777" w:rsidR="00402448" w:rsidRDefault="00402448">
      <w:pPr>
        <w:tabs>
          <w:tab w:val="clear" w:pos="992"/>
          <w:tab w:val="clear" w:pos="1418"/>
        </w:tabs>
        <w:spacing w:after="0" w:line="240" w:lineRule="auto"/>
      </w:pPr>
      <w:r>
        <w:br w:type="page"/>
      </w:r>
    </w:p>
    <w:p w14:paraId="4C27E349" w14:textId="77777777" w:rsidR="00402448" w:rsidRDefault="001907DA" w:rsidP="00402448">
      <w:pPr>
        <w:pStyle w:val="Heading1"/>
      </w:pPr>
      <w:bookmarkStart w:id="59" w:name="_Toc510771922"/>
      <w:r>
        <w:lastRenderedPageBreak/>
        <w:t>3</w:t>
      </w:r>
      <w:r w:rsidR="003D36B0">
        <w:t xml:space="preserve">.0 </w:t>
      </w:r>
      <w:r w:rsidRPr="00265DA6">
        <w:rPr>
          <w:caps w:val="0"/>
        </w:rPr>
        <w:t>CLIMATE CHANGE INVESTMENT</w:t>
      </w:r>
      <w:r w:rsidR="00402448">
        <w:rPr>
          <w:caps w:val="0"/>
        </w:rPr>
        <w:t>S</w:t>
      </w:r>
      <w:bookmarkEnd w:id="59"/>
    </w:p>
    <w:p w14:paraId="31474123" w14:textId="6BC29B1B" w:rsidR="007F3368" w:rsidRDefault="008D4FF5" w:rsidP="007F3368">
      <w:r>
        <w:t xml:space="preserve">This section of the report details </w:t>
      </w:r>
      <w:r w:rsidR="00CC0429">
        <w:t xml:space="preserve">findings from </w:t>
      </w:r>
      <w:r>
        <w:t xml:space="preserve">investment and country case </w:t>
      </w:r>
      <w:r w:rsidR="00CC0429">
        <w:t>evidence</w:t>
      </w:r>
      <w:r w:rsidR="003D5CB3">
        <w:t xml:space="preserve">. It </w:t>
      </w:r>
      <w:r w:rsidR="00C56DF3">
        <w:t>address</w:t>
      </w:r>
      <w:r w:rsidR="003D5CB3">
        <w:t>es</w:t>
      </w:r>
      <w:r w:rsidR="00C56DF3">
        <w:t xml:space="preserve"> the key evaluation questions and</w:t>
      </w:r>
      <w:r w:rsidR="000754FD">
        <w:t xml:space="preserve"> </w:t>
      </w:r>
      <w:r w:rsidR="003D5CB3">
        <w:t xml:space="preserve">provides </w:t>
      </w:r>
      <w:r w:rsidR="000754FD">
        <w:t xml:space="preserve">operational lessons useful </w:t>
      </w:r>
      <w:r w:rsidR="00552625">
        <w:t xml:space="preserve">for </w:t>
      </w:r>
      <w:r w:rsidR="000754FD">
        <w:t>future climate change programming</w:t>
      </w:r>
      <w:r w:rsidR="007F3368">
        <w:t>.</w:t>
      </w:r>
      <w:r w:rsidR="004B3CDA">
        <w:t xml:space="preserve"> As outlined</w:t>
      </w:r>
      <w:r w:rsidR="00834641">
        <w:t xml:space="preserve"> </w:t>
      </w:r>
      <w:r w:rsidR="004B3CDA">
        <w:t>in Section 2.3, a purposive sample of 26 investments were selected for the evaluation.</w:t>
      </w:r>
    </w:p>
    <w:p w14:paraId="159A987C" w14:textId="77777777" w:rsidR="00B23FDC" w:rsidRDefault="001405A5" w:rsidP="00DA2E8F">
      <w:pPr>
        <w:pStyle w:val="Heading2"/>
        <w:numPr>
          <w:ilvl w:val="0"/>
          <w:numId w:val="0"/>
        </w:numPr>
        <w:ind w:left="432" w:hanging="432"/>
      </w:pPr>
      <w:bookmarkStart w:id="60" w:name="_Toc510771923"/>
      <w:r>
        <w:t xml:space="preserve">3.1 </w:t>
      </w:r>
      <w:r w:rsidR="006839EC">
        <w:t>E</w:t>
      </w:r>
      <w:r w:rsidR="00AF0ECF">
        <w:t xml:space="preserve">vidence of increased resilience </w:t>
      </w:r>
      <w:r w:rsidR="00777276">
        <w:t>and/</w:t>
      </w:r>
      <w:r w:rsidR="00AF0ECF">
        <w:t>or decreased emissions</w:t>
      </w:r>
      <w:bookmarkEnd w:id="60"/>
    </w:p>
    <w:p w14:paraId="66D88C6F" w14:textId="60DA9D75" w:rsidR="009B5039" w:rsidRDefault="009B5039" w:rsidP="009B5039">
      <w:pPr>
        <w:spacing w:after="120" w:line="240" w:lineRule="auto"/>
      </w:pPr>
      <w:r>
        <w:t xml:space="preserve">The evaluation considered evidence of likely or actual </w:t>
      </w:r>
      <w:r w:rsidR="003D5CB3">
        <w:t xml:space="preserve">outcome </w:t>
      </w:r>
      <w:r>
        <w:t xml:space="preserve">achievement and distinguished between </w:t>
      </w:r>
      <w:r w:rsidR="00AC780B">
        <w:t xml:space="preserve">activities, </w:t>
      </w:r>
      <w:r>
        <w:t>outputs</w:t>
      </w:r>
      <w:r w:rsidR="00AC780B">
        <w:t xml:space="preserve"> and</w:t>
      </w:r>
      <w:r>
        <w:t xml:space="preserve"> climate-related outcomes</w:t>
      </w:r>
      <w:r w:rsidR="00AC780B">
        <w:t xml:space="preserve">. </w:t>
      </w:r>
      <w:r w:rsidR="00DA7C9D">
        <w:t>Where an</w:t>
      </w:r>
      <w:r w:rsidR="006839EC">
        <w:t xml:space="preserve"> investment </w:t>
      </w:r>
      <w:r>
        <w:t>stopped short of articulating expected changes on</w:t>
      </w:r>
      <w:r w:rsidR="00AF6131">
        <w:t xml:space="preserve"> </w:t>
      </w:r>
      <w:r>
        <w:t>the</w:t>
      </w:r>
      <w:r w:rsidR="00AF6131">
        <w:t xml:space="preserve"> </w:t>
      </w:r>
      <w:r>
        <w:t>ground</w:t>
      </w:r>
      <w:r w:rsidR="00AC475B">
        <w:t xml:space="preserve"> within design or other documents</w:t>
      </w:r>
      <w:r>
        <w:t>, the evaluation looked for evidence of increased resilience or decreased emissions.</w:t>
      </w:r>
    </w:p>
    <w:p w14:paraId="1C9071CB" w14:textId="1F3D3DBE" w:rsidR="009B5039" w:rsidRDefault="00AC475B" w:rsidP="00304A98">
      <w:pPr>
        <w:spacing w:after="120" w:line="240" w:lineRule="auto"/>
      </w:pPr>
      <w:r>
        <w:t>The</w:t>
      </w:r>
      <w:r w:rsidR="009B5039">
        <w:t xml:space="preserve"> evaluation does not</w:t>
      </w:r>
      <w:r w:rsidR="007F6509">
        <w:t xml:space="preserve"> </w:t>
      </w:r>
      <w:r w:rsidR="009B5039">
        <w:t xml:space="preserve">look only </w:t>
      </w:r>
      <w:r w:rsidR="0091317E">
        <w:t>for evidence of</w:t>
      </w:r>
      <w:r w:rsidR="009B5039">
        <w:t xml:space="preserve"> end-of-program </w:t>
      </w:r>
      <w:r w:rsidR="00AC780B">
        <w:t xml:space="preserve">outcomes </w:t>
      </w:r>
      <w:r w:rsidR="009B5039">
        <w:t xml:space="preserve">in the form of demonstrated increases in community resilience or decreases in emissions, but frames the achievements of </w:t>
      </w:r>
      <w:r w:rsidR="006839EC">
        <w:t xml:space="preserve">investments </w:t>
      </w:r>
      <w:r w:rsidR="009B5039">
        <w:t xml:space="preserve">at different stages of the logic chain (activities </w:t>
      </w:r>
      <w:r w:rsidR="0044694D">
        <w:t xml:space="preserve">through to </w:t>
      </w:r>
      <w:r w:rsidR="009B5039">
        <w:t xml:space="preserve">outputs </w:t>
      </w:r>
      <w:r w:rsidR="0044694D">
        <w:t xml:space="preserve">through to </w:t>
      </w:r>
      <w:r w:rsidR="009B5039">
        <w:t xml:space="preserve">outcomes) following the progression of expected results and acknowledging that </w:t>
      </w:r>
      <w:r w:rsidR="00AC780B">
        <w:t xml:space="preserve">evidence </w:t>
      </w:r>
      <w:r w:rsidR="004A36CF">
        <w:t xml:space="preserve">at the output level </w:t>
      </w:r>
      <w:r w:rsidR="00AC780B">
        <w:t>may signal</w:t>
      </w:r>
      <w:r w:rsidR="009B5039">
        <w:t xml:space="preserve"> </w:t>
      </w:r>
      <w:r w:rsidR="004A36CF">
        <w:t xml:space="preserve">credible </w:t>
      </w:r>
      <w:r w:rsidR="009B5039">
        <w:t>pr</w:t>
      </w:r>
      <w:r w:rsidR="0039240B">
        <w:t xml:space="preserve">ogress towards </w:t>
      </w:r>
      <w:r w:rsidR="00AC780B">
        <w:t>outcomes</w:t>
      </w:r>
      <w:r w:rsidR="009B5039">
        <w:t>.</w:t>
      </w:r>
      <w:r w:rsidR="009B5039">
        <w:rPr>
          <w:rStyle w:val="FootnoteReference"/>
        </w:rPr>
        <w:footnoteReference w:id="9"/>
      </w:r>
      <w:r w:rsidR="00B530B8">
        <w:t xml:space="preserve"> In this way</w:t>
      </w:r>
      <w:r w:rsidR="00853229">
        <w:t>,</w:t>
      </w:r>
      <w:r w:rsidR="00B530B8">
        <w:t xml:space="preserve"> it also looked for other intermediate effects such as capacity developed</w:t>
      </w:r>
      <w:r w:rsidR="00B457B0">
        <w:t xml:space="preserve"> and</w:t>
      </w:r>
      <w:r w:rsidR="00B530B8">
        <w:t xml:space="preserve"> improved institutional arrangements.</w:t>
      </w:r>
    </w:p>
    <w:p w14:paraId="6C6A28B3" w14:textId="44753C4D" w:rsidR="002E5EC5" w:rsidRDefault="00DD2AFB" w:rsidP="00CD6B55">
      <w:r>
        <w:t>Twenty-six</w:t>
      </w:r>
      <w:r w:rsidR="007F6509">
        <w:t xml:space="preserve"> investments representing a total value of </w:t>
      </w:r>
      <w:r w:rsidR="00834641">
        <w:t>$</w:t>
      </w:r>
      <w:r w:rsidR="007F6509">
        <w:t>641.2</w:t>
      </w:r>
      <w:r w:rsidR="00B457B0">
        <w:t xml:space="preserve"> </w:t>
      </w:r>
      <w:r w:rsidR="007F6509">
        <w:t>m</w:t>
      </w:r>
      <w:r w:rsidR="00B457B0">
        <w:t>illion</w:t>
      </w:r>
      <w:r w:rsidR="007F6509">
        <w:t xml:space="preserve"> were assessed using this approach</w:t>
      </w:r>
      <w:r w:rsidR="00AC475B">
        <w:t xml:space="preserve"> (Annex </w:t>
      </w:r>
      <w:r w:rsidR="003F1080">
        <w:t>1</w:t>
      </w:r>
      <w:r w:rsidR="00AC475B">
        <w:t xml:space="preserve"> </w:t>
      </w:r>
      <w:r w:rsidR="00AF6131">
        <w:t xml:space="preserve">lists </w:t>
      </w:r>
      <w:r w:rsidR="00AC475B">
        <w:t>the investments)</w:t>
      </w:r>
      <w:r w:rsidR="007F6509">
        <w:t xml:space="preserve">. </w:t>
      </w:r>
      <w:r w:rsidR="00891956">
        <w:t xml:space="preserve">Data sources included </w:t>
      </w:r>
      <w:r w:rsidR="000248F8">
        <w:t>the</w:t>
      </w:r>
      <w:r w:rsidR="00891956">
        <w:t xml:space="preserve"> full range of available investment documents</w:t>
      </w:r>
      <w:r w:rsidR="000248F8">
        <w:rPr>
          <w:rStyle w:val="FootnoteReference"/>
        </w:rPr>
        <w:footnoteReference w:id="10"/>
      </w:r>
      <w:r w:rsidR="00891956">
        <w:t xml:space="preserve"> </w:t>
      </w:r>
      <w:r w:rsidR="000248F8">
        <w:t>supplemented</w:t>
      </w:r>
      <w:r w:rsidR="00891956">
        <w:t xml:space="preserve"> </w:t>
      </w:r>
      <w:r w:rsidR="009F7AA2">
        <w:t>by</w:t>
      </w:r>
      <w:r w:rsidR="00891956">
        <w:t xml:space="preserve"> interviews in Australia and overseas with </w:t>
      </w:r>
      <w:r w:rsidR="000248F8">
        <w:t>a range of stakeholders</w:t>
      </w:r>
      <w:r w:rsidR="00AF6131">
        <w:t>.</w:t>
      </w:r>
      <w:r w:rsidR="000248F8">
        <w:rPr>
          <w:rStyle w:val="FootnoteReference"/>
        </w:rPr>
        <w:footnoteReference w:id="11"/>
      </w:r>
      <w:r w:rsidR="000248F8">
        <w:t xml:space="preserve"> </w:t>
      </w:r>
      <w:r w:rsidR="0016275C">
        <w:t>Of</w:t>
      </w:r>
      <w:r w:rsidR="002E5EC5">
        <w:t xml:space="preserve"> the</w:t>
      </w:r>
      <w:r w:rsidR="0087695B">
        <w:t xml:space="preserve"> 26</w:t>
      </w:r>
      <w:r w:rsidR="002E5EC5">
        <w:t xml:space="preserve"> </w:t>
      </w:r>
      <w:r w:rsidR="00E17D9F">
        <w:t xml:space="preserve">reviewed </w:t>
      </w:r>
      <w:r w:rsidR="002E5EC5">
        <w:t>investments, the evaluation found</w:t>
      </w:r>
      <w:r w:rsidR="005C77AC">
        <w:rPr>
          <w:rStyle w:val="FootnoteReference"/>
        </w:rPr>
        <w:footnoteReference w:id="12"/>
      </w:r>
      <w:r w:rsidR="002E5EC5">
        <w:t>:</w:t>
      </w:r>
    </w:p>
    <w:p w14:paraId="3FA83E75" w14:textId="090BA85C" w:rsidR="00A5269A" w:rsidRDefault="00B457B0" w:rsidP="00024E51">
      <w:pPr>
        <w:pStyle w:val="ListBullet"/>
      </w:pPr>
      <w:r>
        <w:t>s</w:t>
      </w:r>
      <w:r w:rsidR="00E17D9F">
        <w:t xml:space="preserve">even investments demonstrated </w:t>
      </w:r>
      <w:r w:rsidR="00F01852">
        <w:t xml:space="preserve">that </w:t>
      </w:r>
      <w:r w:rsidR="00B82505" w:rsidRPr="00AC475B">
        <w:rPr>
          <w:b/>
        </w:rPr>
        <w:t xml:space="preserve">significant </w:t>
      </w:r>
      <w:r w:rsidR="002E5EC5" w:rsidRPr="00AC475B">
        <w:rPr>
          <w:b/>
        </w:rPr>
        <w:t>climate</w:t>
      </w:r>
      <w:r w:rsidRPr="00AC475B">
        <w:rPr>
          <w:b/>
        </w:rPr>
        <w:t>-</w:t>
      </w:r>
      <w:r w:rsidR="002E5EC5" w:rsidRPr="00AC475B">
        <w:rPr>
          <w:b/>
        </w:rPr>
        <w:t>related outcomes</w:t>
      </w:r>
      <w:r w:rsidR="002E5EC5" w:rsidRPr="004F27DF">
        <w:t xml:space="preserve"> </w:t>
      </w:r>
      <w:r w:rsidR="002E5EC5" w:rsidRPr="00AC475B">
        <w:t>had been achieved and that these outcomes were likely to have</w:t>
      </w:r>
      <w:r w:rsidR="00A5269A" w:rsidRPr="00AC475B">
        <w:t xml:space="preserve">, or </w:t>
      </w:r>
      <w:r w:rsidR="00B82505" w:rsidRPr="00AC475B">
        <w:t>had</w:t>
      </w:r>
      <w:r w:rsidR="00A5269A" w:rsidRPr="00AC475B">
        <w:t xml:space="preserve"> already demonstrated,</w:t>
      </w:r>
      <w:r w:rsidR="002E5EC5" w:rsidRPr="00AC475B">
        <w:t xml:space="preserve"> a significant policy or community</w:t>
      </w:r>
      <w:r w:rsidRPr="00AC475B">
        <w:t>-</w:t>
      </w:r>
      <w:r w:rsidR="002E5EC5" w:rsidRPr="00AC475B">
        <w:t>level impact.</w:t>
      </w:r>
      <w:r w:rsidR="00110D83" w:rsidRPr="00AC475B">
        <w:t xml:space="preserve"> </w:t>
      </w:r>
      <w:r w:rsidR="0005110F" w:rsidRPr="00AC475B">
        <w:t>A</w:t>
      </w:r>
      <w:r w:rsidR="00834641">
        <w:t>n</w:t>
      </w:r>
      <w:r w:rsidR="00834641" w:rsidRPr="00AD3BA3">
        <w:t>other</w:t>
      </w:r>
      <w:r w:rsidR="0005110F" w:rsidRPr="00AC475B">
        <w:t xml:space="preserve"> t</w:t>
      </w:r>
      <w:r w:rsidR="00F973CA" w:rsidRPr="00AC475B">
        <w:t>wo investments</w:t>
      </w:r>
      <w:r w:rsidR="00A5269A" w:rsidRPr="00AC475B">
        <w:t xml:space="preserve"> </w:t>
      </w:r>
      <w:r w:rsidR="000448FF" w:rsidRPr="00AC475B">
        <w:t>are likely</w:t>
      </w:r>
      <w:r w:rsidR="00DA7C9D" w:rsidRPr="00AC475B">
        <w:t xml:space="preserve"> </w:t>
      </w:r>
      <w:r w:rsidR="00F973CA" w:rsidRPr="00AC475B">
        <w:t>to produce significant climate</w:t>
      </w:r>
      <w:r w:rsidRPr="00AC475B">
        <w:t>-</w:t>
      </w:r>
      <w:r w:rsidR="00F973CA" w:rsidRPr="00AC475B">
        <w:t>rel</w:t>
      </w:r>
      <w:r w:rsidR="004F27DF" w:rsidRPr="00AC475B">
        <w:t>ated</w:t>
      </w:r>
      <w:r w:rsidR="00F973CA" w:rsidRPr="00AC475B">
        <w:t xml:space="preserve"> outcomes</w:t>
      </w:r>
      <w:r w:rsidR="00AC780B" w:rsidRPr="00AC475B">
        <w:t>,</w:t>
      </w:r>
      <w:r w:rsidR="00AC780B">
        <w:t xml:space="preserve"> given more time</w:t>
      </w:r>
    </w:p>
    <w:p w14:paraId="3470E9D8" w14:textId="1F4694C9" w:rsidR="00A5269A" w:rsidRDefault="00B457B0" w:rsidP="00024E51">
      <w:pPr>
        <w:pStyle w:val="ListBullet"/>
      </w:pPr>
      <w:r>
        <w:t>n</w:t>
      </w:r>
      <w:r w:rsidR="003F2F5D">
        <w:t xml:space="preserve">ine </w:t>
      </w:r>
      <w:r w:rsidR="00A5269A">
        <w:t xml:space="preserve">investments </w:t>
      </w:r>
      <w:r w:rsidR="000448FF">
        <w:t xml:space="preserve">have, or are </w:t>
      </w:r>
      <w:r w:rsidR="00A5269A">
        <w:t>likely to have</w:t>
      </w:r>
      <w:r w:rsidR="000448FF">
        <w:t>,</w:t>
      </w:r>
      <w:r w:rsidR="00A5269A">
        <w:t xml:space="preserve"> </w:t>
      </w:r>
      <w:r w:rsidR="00A5269A" w:rsidRPr="00B82505">
        <w:t>delivered</w:t>
      </w:r>
      <w:r w:rsidR="00A5269A" w:rsidRPr="004F27DF">
        <w:rPr>
          <w:b/>
        </w:rPr>
        <w:t xml:space="preserve"> </w:t>
      </w:r>
      <w:r w:rsidR="00977EFA">
        <w:rPr>
          <w:b/>
        </w:rPr>
        <w:t>modest</w:t>
      </w:r>
      <w:r w:rsidR="00F973CA" w:rsidRPr="00A00F8A">
        <w:rPr>
          <w:b/>
        </w:rPr>
        <w:t xml:space="preserve"> </w:t>
      </w:r>
      <w:r w:rsidR="00A5269A" w:rsidRPr="00A00F8A">
        <w:rPr>
          <w:b/>
        </w:rPr>
        <w:t>outcomes</w:t>
      </w:r>
      <w:r w:rsidR="00A5269A">
        <w:t xml:space="preserve"> but these </w:t>
      </w:r>
      <w:r w:rsidR="00F973CA">
        <w:t xml:space="preserve">were found to </w:t>
      </w:r>
      <w:r w:rsidR="0057324F">
        <w:t xml:space="preserve">be </w:t>
      </w:r>
      <w:r w:rsidR="0057324F" w:rsidRPr="004F27DF">
        <w:rPr>
          <w:b/>
        </w:rPr>
        <w:t xml:space="preserve">less </w:t>
      </w:r>
      <w:r w:rsidR="00A5269A" w:rsidRPr="004F27DF">
        <w:rPr>
          <w:b/>
        </w:rPr>
        <w:t>significant</w:t>
      </w:r>
      <w:r w:rsidR="00A5269A">
        <w:t xml:space="preserve"> </w:t>
      </w:r>
      <w:r w:rsidR="00F973CA">
        <w:t>(</w:t>
      </w:r>
      <w:r>
        <w:t>that is,</w:t>
      </w:r>
      <w:r w:rsidR="00F973CA">
        <w:t xml:space="preserve"> reach</w:t>
      </w:r>
      <w:r w:rsidR="000448FF">
        <w:t xml:space="preserve"> and </w:t>
      </w:r>
      <w:r w:rsidR="00F973CA">
        <w:t xml:space="preserve">impact </w:t>
      </w:r>
      <w:r w:rsidR="00AF6131">
        <w:t xml:space="preserve">are </w:t>
      </w:r>
      <w:r w:rsidR="00AC475B">
        <w:t>modest relative to the scope and ambition of the investment</w:t>
      </w:r>
      <w:r w:rsidR="00F973CA">
        <w:t xml:space="preserve">) </w:t>
      </w:r>
      <w:r w:rsidR="00A5269A">
        <w:t xml:space="preserve">or </w:t>
      </w:r>
      <w:r w:rsidR="00F973CA">
        <w:t xml:space="preserve">insufficiently progressed to </w:t>
      </w:r>
      <w:r w:rsidR="000448FF">
        <w:t xml:space="preserve">identify the </w:t>
      </w:r>
      <w:r w:rsidR="00F973CA">
        <w:t>significance of the outcomes</w:t>
      </w:r>
    </w:p>
    <w:p w14:paraId="6AC7C70D" w14:textId="388A97DD" w:rsidR="00F508EE" w:rsidRDefault="004D346D" w:rsidP="00024E51">
      <w:pPr>
        <w:pStyle w:val="ListBullet"/>
      </w:pPr>
      <w:r>
        <w:t xml:space="preserve">four </w:t>
      </w:r>
      <w:r w:rsidR="00783B2D">
        <w:t>investments</w:t>
      </w:r>
      <w:r w:rsidR="00834641">
        <w:t xml:space="preserve"> provided evidence that</w:t>
      </w:r>
      <w:r w:rsidR="00AF6131">
        <w:t>,</w:t>
      </w:r>
      <w:r w:rsidR="00783B2D">
        <w:t xml:space="preserve"> </w:t>
      </w:r>
      <w:r w:rsidR="00F973CA">
        <w:t xml:space="preserve">climate change </w:t>
      </w:r>
      <w:r w:rsidR="00ED4277">
        <w:t>outcomes</w:t>
      </w:r>
      <w:r w:rsidR="00F973CA">
        <w:t xml:space="preserve"> </w:t>
      </w:r>
      <w:r w:rsidR="00F973CA" w:rsidRPr="005C37D1">
        <w:rPr>
          <w:b/>
        </w:rPr>
        <w:t xml:space="preserve">are unlikely to be </w:t>
      </w:r>
      <w:r w:rsidR="00E17D9F" w:rsidRPr="005C37D1">
        <w:rPr>
          <w:b/>
        </w:rPr>
        <w:t>achieved</w:t>
      </w:r>
      <w:r w:rsidR="00F973CA">
        <w:t xml:space="preserve"> as climate was given insufficient attention during design and program delivery</w:t>
      </w:r>
      <w:r w:rsidR="00B457B0">
        <w:t>,</w:t>
      </w:r>
      <w:r>
        <w:t xml:space="preserve"> or as there </w:t>
      </w:r>
      <w:r w:rsidR="00AF6131">
        <w:t xml:space="preserve">was </w:t>
      </w:r>
      <w:r>
        <w:t>no way of disce</w:t>
      </w:r>
      <w:r w:rsidR="00F01852">
        <w:t>rning climate</w:t>
      </w:r>
      <w:r w:rsidR="00B457B0">
        <w:t>-</w:t>
      </w:r>
      <w:r w:rsidR="00F01852">
        <w:t xml:space="preserve">related outcomes due to </w:t>
      </w:r>
      <w:r>
        <w:t>inadequate</w:t>
      </w:r>
      <w:r w:rsidR="00DC4E78">
        <w:t xml:space="preserve"> M&amp;E</w:t>
      </w:r>
    </w:p>
    <w:p w14:paraId="0D2C37C9" w14:textId="77777777" w:rsidR="00F508EE" w:rsidRDefault="00B457B0" w:rsidP="00024E51">
      <w:pPr>
        <w:pStyle w:val="ListBullet"/>
        <w:rPr>
          <w:b/>
        </w:rPr>
      </w:pPr>
      <w:r>
        <w:t>t</w:t>
      </w:r>
      <w:r w:rsidR="003F2F5D">
        <w:t>wo investments provided strong evidence that climate</w:t>
      </w:r>
      <w:r>
        <w:t>-</w:t>
      </w:r>
      <w:r w:rsidR="003F2F5D">
        <w:t xml:space="preserve">related outcomes </w:t>
      </w:r>
      <w:r w:rsidR="003F2F5D">
        <w:rPr>
          <w:b/>
        </w:rPr>
        <w:t>will not be</w:t>
      </w:r>
      <w:r w:rsidR="003F2F5D" w:rsidRPr="0005110F">
        <w:rPr>
          <w:b/>
        </w:rPr>
        <w:t xml:space="preserve"> achieved</w:t>
      </w:r>
    </w:p>
    <w:p w14:paraId="7464C972" w14:textId="2FF0418E" w:rsidR="00F508EE" w:rsidRDefault="004D346D" w:rsidP="00DD2AFB">
      <w:pPr>
        <w:pStyle w:val="ListBullet"/>
      </w:pPr>
      <w:r>
        <w:t xml:space="preserve">two </w:t>
      </w:r>
      <w:r w:rsidR="0005110F">
        <w:t>investments</w:t>
      </w:r>
      <w:r w:rsidR="00834641">
        <w:t xml:space="preserve"> provided evidence that</w:t>
      </w:r>
      <w:r>
        <w:t xml:space="preserve"> climate change was not considered in design or implementation</w:t>
      </w:r>
      <w:r w:rsidR="00C50DBC">
        <w:t>.</w:t>
      </w:r>
    </w:p>
    <w:p w14:paraId="599119CA" w14:textId="2F2A6263" w:rsidR="00881349" w:rsidRDefault="00DD2AFB" w:rsidP="00881349">
      <w:r>
        <w:lastRenderedPageBreak/>
        <w:t>In summary, nine of 26 investments (35</w:t>
      </w:r>
      <w:r w:rsidR="009F28C6">
        <w:t xml:space="preserve"> per cent</w:t>
      </w:r>
      <w:r>
        <w:t>) have achieved</w:t>
      </w:r>
      <w:r w:rsidR="00AF6131">
        <w:t>,</w:t>
      </w:r>
      <w:r>
        <w:t xml:space="preserve"> or are likely to achieve</w:t>
      </w:r>
      <w:r w:rsidR="00AF6131">
        <w:t>,</w:t>
      </w:r>
      <w:r w:rsidR="007E0581">
        <w:t xml:space="preserve"> some</w:t>
      </w:r>
      <w:r>
        <w:t xml:space="preserve"> significant, climate-relevant outcomes r</w:t>
      </w:r>
      <w:r w:rsidR="00BD2300">
        <w:t>elative to their size and scope</w:t>
      </w:r>
      <w:r>
        <w:t>. A</w:t>
      </w:r>
      <w:r w:rsidR="00834641">
        <w:t>nother</w:t>
      </w:r>
      <w:r>
        <w:t xml:space="preserve"> nine investments have achieved</w:t>
      </w:r>
      <w:r w:rsidR="00AF6131">
        <w:t>,</w:t>
      </w:r>
      <w:r>
        <w:t xml:space="preserve"> or are likely to achieve</w:t>
      </w:r>
      <w:r w:rsidR="00AF6131">
        <w:t>,</w:t>
      </w:r>
      <w:r>
        <w:t xml:space="preserve"> some modest, climate-rel</w:t>
      </w:r>
      <w:r w:rsidR="004F27DF">
        <w:t>ated</w:t>
      </w:r>
      <w:r>
        <w:t xml:space="preserve"> outcomes. Benefits have been delivered in a range of adaptation areas: use of scientific data as a basis for better adaptation and risk planning; more integrated (cross-departmental) planning, legislative and policy changes that will have longer</w:t>
      </w:r>
      <w:r w:rsidR="00DB722C">
        <w:t>-</w:t>
      </w:r>
      <w:r>
        <w:t xml:space="preserve">term, </w:t>
      </w:r>
      <w:r w:rsidRPr="00AD3BA3">
        <w:t>nation</w:t>
      </w:r>
      <w:r w:rsidR="006A6368" w:rsidRPr="00AD3BA3">
        <w:t>wide</w:t>
      </w:r>
      <w:r>
        <w:t xml:space="preserve"> benefits, as well as targeted community</w:t>
      </w:r>
      <w:r w:rsidR="00DB722C">
        <w:t>-</w:t>
      </w:r>
      <w:r>
        <w:t>level awareness raising;</w:t>
      </w:r>
      <w:r w:rsidR="00DB722C">
        <w:t xml:space="preserve"> and</w:t>
      </w:r>
      <w:r>
        <w:t xml:space="preserve"> tools and approaches to better manage the risks and plan for climate</w:t>
      </w:r>
      <w:r w:rsidR="00B938E0">
        <w:t xml:space="preserve"> change</w:t>
      </w:r>
      <w:r>
        <w:t xml:space="preserve"> effects</w:t>
      </w:r>
      <w:r w:rsidR="00F17ECD">
        <w:t xml:space="preserve"> (Box </w:t>
      </w:r>
      <w:r w:rsidR="00D04A94">
        <w:t>1</w:t>
      </w:r>
      <w:r w:rsidR="00AF6131">
        <w:t xml:space="preserve"> provides an</w:t>
      </w:r>
      <w:r w:rsidR="00F17ECD">
        <w:t xml:space="preserve"> example under the SPC </w:t>
      </w:r>
      <w:r w:rsidR="00984CD3">
        <w:t>C</w:t>
      </w:r>
      <w:r w:rsidR="00F17ECD">
        <w:t xml:space="preserve">limate </w:t>
      </w:r>
      <w:r w:rsidR="00984CD3">
        <w:t>C</w:t>
      </w:r>
      <w:r w:rsidR="00F17ECD">
        <w:t xml:space="preserve">hange </w:t>
      </w:r>
      <w:r w:rsidR="00984CD3">
        <w:t>P</w:t>
      </w:r>
      <w:r w:rsidR="00F17ECD">
        <w:t>rogram)</w:t>
      </w:r>
      <w:r>
        <w:t>.</w:t>
      </w:r>
      <w:r w:rsidR="00110D83">
        <w:t xml:space="preserve"> </w:t>
      </w:r>
      <w:r>
        <w:t>Whil</w:t>
      </w:r>
      <w:r w:rsidR="00DB722C">
        <w:t>e</w:t>
      </w:r>
      <w:r>
        <w:t xml:space="preserve"> less evident across the sample</w:t>
      </w:r>
      <w:r w:rsidR="00DB722C">
        <w:t>,</w:t>
      </w:r>
      <w:r>
        <w:t xml:space="preserve"> there are also mitigation benefits through encouraging the uptake of solar, </w:t>
      </w:r>
      <w:r w:rsidR="00D41DBA">
        <w:t xml:space="preserve">wind, </w:t>
      </w:r>
      <w:r>
        <w:t>hydropower and off-grid energy to reduce the consumption of fossil fuels.</w:t>
      </w:r>
    </w:p>
    <w:p w14:paraId="2E97527F" w14:textId="76C117B7" w:rsidR="00F508EE" w:rsidRDefault="00DB5D57" w:rsidP="001E4B8F">
      <w:r>
        <w:rPr>
          <w:noProof/>
          <w:lang w:eastAsia="en-AU"/>
        </w:rPr>
        <mc:AlternateContent>
          <mc:Choice Requires="wps">
            <w:drawing>
              <wp:anchor distT="0" distB="0" distL="114300" distR="114300" simplePos="0" relativeHeight="251660288" behindDoc="1" locked="0" layoutInCell="1" allowOverlap="0" wp14:anchorId="33ACA1C8" wp14:editId="28BD6BD4">
                <wp:simplePos x="0" y="0"/>
                <wp:positionH relativeFrom="column">
                  <wp:posOffset>-13335</wp:posOffset>
                </wp:positionH>
                <wp:positionV relativeFrom="paragraph">
                  <wp:posOffset>1681480</wp:posOffset>
                </wp:positionV>
                <wp:extent cx="6436360" cy="2180590"/>
                <wp:effectExtent l="0" t="0" r="21590" b="10160"/>
                <wp:wrapTopAndBottom/>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2180590"/>
                        </a:xfrm>
                        <a:prstGeom prst="rect">
                          <a:avLst/>
                        </a:prstGeom>
                        <a:solidFill>
                          <a:srgbClr val="89C3B2"/>
                        </a:solidFill>
                        <a:ln w="9525">
                          <a:solidFill>
                            <a:srgbClr val="000000"/>
                          </a:solidFill>
                          <a:miter lim="800000"/>
                          <a:headEnd/>
                          <a:tailEnd/>
                        </a:ln>
                      </wps:spPr>
                      <wps:txbx>
                        <w:txbxContent>
                          <w:p w14:paraId="064D0A08" w14:textId="599E6E3D" w:rsidR="00825350" w:rsidRPr="00FE5625" w:rsidRDefault="00825350" w:rsidP="00FE5625">
                            <w:pPr>
                              <w:pStyle w:val="BoxHeading"/>
                              <w:jc w:val="both"/>
                              <w:rPr>
                                <w:sz w:val="22"/>
                              </w:rPr>
                            </w:pPr>
                            <w:r>
                              <w:rPr>
                                <w:sz w:val="22"/>
                              </w:rPr>
                              <w:t xml:space="preserve">Box 1: </w:t>
                            </w:r>
                            <w:r w:rsidRPr="00FE5625">
                              <w:rPr>
                                <w:sz w:val="22"/>
                              </w:rPr>
                              <w:t xml:space="preserve">Increasing </w:t>
                            </w:r>
                            <w:r>
                              <w:rPr>
                                <w:sz w:val="22"/>
                              </w:rPr>
                              <w:t>r</w:t>
                            </w:r>
                            <w:r w:rsidRPr="00FE5625">
                              <w:rPr>
                                <w:sz w:val="22"/>
                              </w:rPr>
                              <w:t xml:space="preserve">esilience with </w:t>
                            </w:r>
                            <w:r>
                              <w:rPr>
                                <w:sz w:val="22"/>
                              </w:rPr>
                              <w:t>f</w:t>
                            </w:r>
                            <w:r w:rsidRPr="00FE5625">
                              <w:rPr>
                                <w:sz w:val="22"/>
                              </w:rPr>
                              <w:t xml:space="preserve">ood </w:t>
                            </w:r>
                            <w:r>
                              <w:rPr>
                                <w:sz w:val="22"/>
                              </w:rPr>
                              <w:t>c</w:t>
                            </w:r>
                            <w:r w:rsidRPr="00FE5625">
                              <w:rPr>
                                <w:sz w:val="22"/>
                              </w:rPr>
                              <w:t xml:space="preserve">rop </w:t>
                            </w:r>
                            <w:r>
                              <w:rPr>
                                <w:sz w:val="22"/>
                              </w:rPr>
                              <w:t>n</w:t>
                            </w:r>
                            <w:r w:rsidRPr="00FE5625">
                              <w:rPr>
                                <w:sz w:val="22"/>
                              </w:rPr>
                              <w:t>urseries in the Pacific</w:t>
                            </w:r>
                          </w:p>
                          <w:p w14:paraId="54869797" w14:textId="66D6B271" w:rsidR="00825350" w:rsidRPr="00FE5625" w:rsidRDefault="00825350" w:rsidP="00FE5625">
                            <w:pPr>
                              <w:pStyle w:val="BodyText"/>
                              <w:jc w:val="both"/>
                              <w:rPr>
                                <w:rFonts w:ascii="Calibri" w:hAnsi="Calibri"/>
                                <w:sz w:val="20"/>
                                <w:szCs w:val="20"/>
                              </w:rPr>
                            </w:pPr>
                            <w:r w:rsidRPr="00FE5625">
                              <w:rPr>
                                <w:rFonts w:ascii="Calibri" w:hAnsi="Calibri"/>
                                <w:sz w:val="20"/>
                                <w:szCs w:val="20"/>
                              </w:rPr>
                              <w:t xml:space="preserve">The </w:t>
                            </w:r>
                            <w:r>
                              <w:rPr>
                                <w:rFonts w:ascii="Calibri" w:hAnsi="Calibri"/>
                                <w:sz w:val="20"/>
                                <w:szCs w:val="20"/>
                              </w:rPr>
                              <w:t>S</w:t>
                            </w:r>
                            <w:r w:rsidRPr="00FE5625">
                              <w:rPr>
                                <w:rFonts w:ascii="Calibri" w:hAnsi="Calibri"/>
                                <w:sz w:val="20"/>
                                <w:szCs w:val="20"/>
                              </w:rPr>
                              <w:t>PC Centre for Pacific Crops and Trees (CePaCT) received funding under the SPC Climate Change Program (2009</w:t>
                            </w:r>
                            <w:r>
                              <w:rPr>
                                <w:rFonts w:ascii="Calibri" w:hAnsi="Calibri"/>
                                <w:sz w:val="20"/>
                                <w:szCs w:val="20"/>
                              </w:rPr>
                              <w:t>–</w:t>
                            </w:r>
                            <w:r w:rsidRPr="00FE5625">
                              <w:rPr>
                                <w:rFonts w:ascii="Calibri" w:hAnsi="Calibri"/>
                                <w:sz w:val="20"/>
                                <w:szCs w:val="20"/>
                              </w:rPr>
                              <w:t xml:space="preserve">15). One of </w:t>
                            </w:r>
                            <w:r>
                              <w:rPr>
                                <w:rFonts w:ascii="Calibri" w:hAnsi="Calibri"/>
                                <w:sz w:val="20"/>
                                <w:szCs w:val="20"/>
                              </w:rPr>
                              <w:t>CePaCT’s</w:t>
                            </w:r>
                            <w:r w:rsidRPr="00FE5625">
                              <w:rPr>
                                <w:rFonts w:ascii="Calibri" w:hAnsi="Calibri"/>
                                <w:sz w:val="20"/>
                                <w:szCs w:val="20"/>
                              </w:rPr>
                              <w:t xml:space="preserve"> core roles is to conserve the region’s valuable food crop genetic diversity, and to develop and distribute climate</w:t>
                            </w:r>
                            <w:r>
                              <w:rPr>
                                <w:rFonts w:ascii="Calibri" w:hAnsi="Calibri"/>
                                <w:sz w:val="20"/>
                                <w:szCs w:val="20"/>
                              </w:rPr>
                              <w:t>-</w:t>
                            </w:r>
                            <w:r w:rsidRPr="00FE5625">
                              <w:rPr>
                                <w:rFonts w:ascii="Calibri" w:hAnsi="Calibri"/>
                                <w:sz w:val="20"/>
                                <w:szCs w:val="20"/>
                              </w:rPr>
                              <w:t xml:space="preserve">ready varieties to growers throughout the Pacific. Crops include varieties of banana, </w:t>
                            </w:r>
                            <w:r>
                              <w:rPr>
                                <w:rFonts w:ascii="Calibri" w:hAnsi="Calibri"/>
                                <w:sz w:val="20"/>
                                <w:szCs w:val="20"/>
                              </w:rPr>
                              <w:t xml:space="preserve">breadfruit, </w:t>
                            </w:r>
                            <w:r w:rsidRPr="00FE5625">
                              <w:rPr>
                                <w:rFonts w:ascii="Calibri" w:hAnsi="Calibri"/>
                                <w:sz w:val="20"/>
                                <w:szCs w:val="20"/>
                              </w:rPr>
                              <w:t xml:space="preserve">cassava, </w:t>
                            </w:r>
                            <w:r>
                              <w:rPr>
                                <w:rFonts w:ascii="Calibri" w:hAnsi="Calibri"/>
                                <w:sz w:val="20"/>
                                <w:szCs w:val="20"/>
                              </w:rPr>
                              <w:t xml:space="preserve">sweet potato, taro and </w:t>
                            </w:r>
                            <w:r w:rsidRPr="00FE5625">
                              <w:rPr>
                                <w:rFonts w:ascii="Calibri" w:hAnsi="Calibri"/>
                                <w:sz w:val="20"/>
                                <w:szCs w:val="20"/>
                              </w:rPr>
                              <w:t xml:space="preserve">yam, </w:t>
                            </w:r>
                            <w:r>
                              <w:rPr>
                                <w:rFonts w:ascii="Calibri" w:hAnsi="Calibri"/>
                                <w:sz w:val="20"/>
                                <w:szCs w:val="20"/>
                              </w:rPr>
                              <w:t>which are</w:t>
                            </w:r>
                            <w:r w:rsidRPr="00FE5625">
                              <w:rPr>
                                <w:rFonts w:ascii="Calibri" w:hAnsi="Calibri"/>
                                <w:sz w:val="20"/>
                                <w:szCs w:val="20"/>
                              </w:rPr>
                              <w:t xml:space="preserve"> suited to a range of environmental conditions.</w:t>
                            </w:r>
                          </w:p>
                          <w:p w14:paraId="4A726F05" w14:textId="77777777" w:rsidR="00825350" w:rsidRPr="001E4B8F" w:rsidRDefault="00825350" w:rsidP="001405A5">
                            <w:pPr>
                              <w:pStyle w:val="BodyText"/>
                              <w:spacing w:after="120"/>
                              <w:jc w:val="both"/>
                              <w:rPr>
                                <w:rFonts w:ascii="Times New Roman" w:hAnsi="Times New Roman"/>
                                <w:sz w:val="20"/>
                                <w:szCs w:val="20"/>
                              </w:rPr>
                            </w:pPr>
                            <w:r w:rsidRPr="00FE5625">
                              <w:rPr>
                                <w:rFonts w:ascii="Calibri" w:hAnsi="Calibri"/>
                                <w:sz w:val="20"/>
                                <w:szCs w:val="20"/>
                              </w:rPr>
                              <w:t xml:space="preserve">CePaCT staff worked with national agencies to develop and maintain local food crop nurseries using its curated collection of plant varieties. The resilience value of this work was demonstrated during recovery from </w:t>
                            </w:r>
                            <w:r>
                              <w:rPr>
                                <w:rFonts w:ascii="Calibri" w:hAnsi="Calibri"/>
                                <w:sz w:val="20"/>
                                <w:szCs w:val="20"/>
                              </w:rPr>
                              <w:t>C</w:t>
                            </w:r>
                            <w:r w:rsidRPr="00FE5625">
                              <w:rPr>
                                <w:rFonts w:ascii="Calibri" w:hAnsi="Calibri"/>
                                <w:sz w:val="20"/>
                                <w:szCs w:val="20"/>
                              </w:rPr>
                              <w:t>yclone Pam in 2015. Tuvalu nurseries were able to respond to requests immediately following the disaster and distribute fast-maturing sweet potato seedlings to communities from their own stock. Prior to receiving support from SPC to build this system, Tuvalu authorities would have needed to request plant stock directly from SPC</w:t>
                            </w:r>
                            <w:r>
                              <w:rPr>
                                <w:rFonts w:ascii="Calibri" w:hAnsi="Calibr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CA1C8" id="Text Box 2" o:spid="_x0000_s1031" type="#_x0000_t202" style="position:absolute;margin-left:-1.05pt;margin-top:132.4pt;width:506.8pt;height:17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" o:allowoverlap="f" fillcolor="#89c3b2">
                <v:textbox>
                  <w:txbxContent>
                    <w:p w14:paraId="064D0A08" w14:textId="599E6E3D" w:rsidR="00825350" w:rsidRPr="00FE5625" w:rsidRDefault="00825350" w:rsidP="00FE5625">
                      <w:pPr>
                        <w:pStyle w:val="BoxHeading"/>
                        <w:jc w:val="both"/>
                        <w:rPr>
                          <w:sz w:val="22"/>
                        </w:rPr>
                      </w:pPr>
                      <w:r>
                        <w:rPr>
                          <w:sz w:val="22"/>
                        </w:rPr>
                        <w:t xml:space="preserve">Box 1: </w:t>
                      </w:r>
                      <w:r w:rsidRPr="00FE5625">
                        <w:rPr>
                          <w:sz w:val="22"/>
                        </w:rPr>
                        <w:t xml:space="preserve">Increasing </w:t>
                      </w:r>
                      <w:r>
                        <w:rPr>
                          <w:sz w:val="22"/>
                        </w:rPr>
                        <w:t>r</w:t>
                      </w:r>
                      <w:r w:rsidRPr="00FE5625">
                        <w:rPr>
                          <w:sz w:val="22"/>
                        </w:rPr>
                        <w:t xml:space="preserve">esilience with </w:t>
                      </w:r>
                      <w:r>
                        <w:rPr>
                          <w:sz w:val="22"/>
                        </w:rPr>
                        <w:t>f</w:t>
                      </w:r>
                      <w:r w:rsidRPr="00FE5625">
                        <w:rPr>
                          <w:sz w:val="22"/>
                        </w:rPr>
                        <w:t xml:space="preserve">ood </w:t>
                      </w:r>
                      <w:r>
                        <w:rPr>
                          <w:sz w:val="22"/>
                        </w:rPr>
                        <w:t>c</w:t>
                      </w:r>
                      <w:r w:rsidRPr="00FE5625">
                        <w:rPr>
                          <w:sz w:val="22"/>
                        </w:rPr>
                        <w:t xml:space="preserve">rop </w:t>
                      </w:r>
                      <w:r>
                        <w:rPr>
                          <w:sz w:val="22"/>
                        </w:rPr>
                        <w:t>n</w:t>
                      </w:r>
                      <w:r w:rsidRPr="00FE5625">
                        <w:rPr>
                          <w:sz w:val="22"/>
                        </w:rPr>
                        <w:t>urseries in the Pacific</w:t>
                      </w:r>
                    </w:p>
                    <w:p w14:paraId="54869797" w14:textId="66D6B271" w:rsidR="00825350" w:rsidRPr="00FE5625" w:rsidRDefault="00825350" w:rsidP="00FE5625">
                      <w:pPr>
                        <w:pStyle w:val="BodyText"/>
                        <w:jc w:val="both"/>
                        <w:rPr>
                          <w:rFonts w:ascii="Calibri" w:hAnsi="Calibri"/>
                          <w:sz w:val="20"/>
                          <w:szCs w:val="20"/>
                        </w:rPr>
                      </w:pPr>
                      <w:r w:rsidRPr="00FE5625">
                        <w:rPr>
                          <w:rFonts w:ascii="Calibri" w:hAnsi="Calibri"/>
                          <w:sz w:val="20"/>
                          <w:szCs w:val="20"/>
                        </w:rPr>
                        <w:t xml:space="preserve">The </w:t>
                      </w:r>
                      <w:r>
                        <w:rPr>
                          <w:rFonts w:ascii="Calibri" w:hAnsi="Calibri"/>
                          <w:sz w:val="20"/>
                          <w:szCs w:val="20"/>
                        </w:rPr>
                        <w:t>S</w:t>
                      </w:r>
                      <w:r w:rsidRPr="00FE5625">
                        <w:rPr>
                          <w:rFonts w:ascii="Calibri" w:hAnsi="Calibri"/>
                          <w:sz w:val="20"/>
                          <w:szCs w:val="20"/>
                        </w:rPr>
                        <w:t>PC Centre for Pacific Crops and Trees (CePaCT) received funding under the SPC Climate Change Program (2009</w:t>
                      </w:r>
                      <w:r>
                        <w:rPr>
                          <w:rFonts w:ascii="Calibri" w:hAnsi="Calibri"/>
                          <w:sz w:val="20"/>
                          <w:szCs w:val="20"/>
                        </w:rPr>
                        <w:t>–</w:t>
                      </w:r>
                      <w:r w:rsidRPr="00FE5625">
                        <w:rPr>
                          <w:rFonts w:ascii="Calibri" w:hAnsi="Calibri"/>
                          <w:sz w:val="20"/>
                          <w:szCs w:val="20"/>
                        </w:rPr>
                        <w:t xml:space="preserve">15). One of </w:t>
                      </w:r>
                      <w:r>
                        <w:rPr>
                          <w:rFonts w:ascii="Calibri" w:hAnsi="Calibri"/>
                          <w:sz w:val="20"/>
                          <w:szCs w:val="20"/>
                        </w:rPr>
                        <w:t>CePaCT’s</w:t>
                      </w:r>
                      <w:r w:rsidRPr="00FE5625">
                        <w:rPr>
                          <w:rFonts w:ascii="Calibri" w:hAnsi="Calibri"/>
                          <w:sz w:val="20"/>
                          <w:szCs w:val="20"/>
                        </w:rPr>
                        <w:t xml:space="preserve"> core roles is to conserve the region’s valuable food crop genetic diversity, and to develop and distribute climate</w:t>
                      </w:r>
                      <w:r>
                        <w:rPr>
                          <w:rFonts w:ascii="Calibri" w:hAnsi="Calibri"/>
                          <w:sz w:val="20"/>
                          <w:szCs w:val="20"/>
                        </w:rPr>
                        <w:t>-</w:t>
                      </w:r>
                      <w:r w:rsidRPr="00FE5625">
                        <w:rPr>
                          <w:rFonts w:ascii="Calibri" w:hAnsi="Calibri"/>
                          <w:sz w:val="20"/>
                          <w:szCs w:val="20"/>
                        </w:rPr>
                        <w:t xml:space="preserve">ready varieties to growers throughout the Pacific. Crops include varieties of banana, </w:t>
                      </w:r>
                      <w:r>
                        <w:rPr>
                          <w:rFonts w:ascii="Calibri" w:hAnsi="Calibri"/>
                          <w:sz w:val="20"/>
                          <w:szCs w:val="20"/>
                        </w:rPr>
                        <w:t xml:space="preserve">breadfruit, </w:t>
                      </w:r>
                      <w:r w:rsidRPr="00FE5625">
                        <w:rPr>
                          <w:rFonts w:ascii="Calibri" w:hAnsi="Calibri"/>
                          <w:sz w:val="20"/>
                          <w:szCs w:val="20"/>
                        </w:rPr>
                        <w:t xml:space="preserve">cassava, </w:t>
                      </w:r>
                      <w:r>
                        <w:rPr>
                          <w:rFonts w:ascii="Calibri" w:hAnsi="Calibri"/>
                          <w:sz w:val="20"/>
                          <w:szCs w:val="20"/>
                        </w:rPr>
                        <w:t xml:space="preserve">sweet potato, taro and </w:t>
                      </w:r>
                      <w:r w:rsidRPr="00FE5625">
                        <w:rPr>
                          <w:rFonts w:ascii="Calibri" w:hAnsi="Calibri"/>
                          <w:sz w:val="20"/>
                          <w:szCs w:val="20"/>
                        </w:rPr>
                        <w:t xml:space="preserve">yam, </w:t>
                      </w:r>
                      <w:r>
                        <w:rPr>
                          <w:rFonts w:ascii="Calibri" w:hAnsi="Calibri"/>
                          <w:sz w:val="20"/>
                          <w:szCs w:val="20"/>
                        </w:rPr>
                        <w:t>which are</w:t>
                      </w:r>
                      <w:r w:rsidRPr="00FE5625">
                        <w:rPr>
                          <w:rFonts w:ascii="Calibri" w:hAnsi="Calibri"/>
                          <w:sz w:val="20"/>
                          <w:szCs w:val="20"/>
                        </w:rPr>
                        <w:t xml:space="preserve"> suited to a range of environmental conditions.</w:t>
                      </w:r>
                    </w:p>
                    <w:p w14:paraId="4A726F05" w14:textId="77777777" w:rsidR="00825350" w:rsidRPr="001E4B8F" w:rsidRDefault="00825350" w:rsidP="001405A5">
                      <w:pPr>
                        <w:pStyle w:val="BodyText"/>
                        <w:spacing w:after="120"/>
                        <w:jc w:val="both"/>
                        <w:rPr>
                          <w:rFonts w:ascii="Times New Roman" w:hAnsi="Times New Roman"/>
                          <w:sz w:val="20"/>
                          <w:szCs w:val="20"/>
                        </w:rPr>
                      </w:pPr>
                      <w:r w:rsidRPr="00FE5625">
                        <w:rPr>
                          <w:rFonts w:ascii="Calibri" w:hAnsi="Calibri"/>
                          <w:sz w:val="20"/>
                          <w:szCs w:val="20"/>
                        </w:rPr>
                        <w:t xml:space="preserve">CePaCT staff worked with national agencies to develop and maintain local food crop nurseries using its curated collection of plant varieties. The resilience value of this work was demonstrated during recovery from </w:t>
                      </w:r>
                      <w:r>
                        <w:rPr>
                          <w:rFonts w:ascii="Calibri" w:hAnsi="Calibri"/>
                          <w:sz w:val="20"/>
                          <w:szCs w:val="20"/>
                        </w:rPr>
                        <w:t>C</w:t>
                      </w:r>
                      <w:r w:rsidRPr="00FE5625">
                        <w:rPr>
                          <w:rFonts w:ascii="Calibri" w:hAnsi="Calibri"/>
                          <w:sz w:val="20"/>
                          <w:szCs w:val="20"/>
                        </w:rPr>
                        <w:t>yclone Pam in 2015. Tuvalu nurseries were able to respond to requests immediately following the disaster and distribute fast-maturing sweet potato seedlings to communities from their own stock. Prior to receiving support from SPC to build this system, Tuvalu authorities would have needed to request plant stock directly from SPC</w:t>
                      </w:r>
                      <w:r>
                        <w:rPr>
                          <w:rFonts w:ascii="Calibri" w:hAnsi="Calibri"/>
                          <w:sz w:val="20"/>
                          <w:szCs w:val="20"/>
                        </w:rPr>
                        <w:t>.</w:t>
                      </w:r>
                    </w:p>
                  </w:txbxContent>
                </v:textbox>
                <w10:wrap type="topAndBottom"/>
              </v:shape>
            </w:pict>
          </mc:Fallback>
        </mc:AlternateContent>
      </w:r>
      <w:r w:rsidR="00621066">
        <w:t>Whil</w:t>
      </w:r>
      <w:r w:rsidR="00DB722C">
        <w:t>e</w:t>
      </w:r>
      <w:r w:rsidR="00621066">
        <w:t xml:space="preserve"> it was relatively easy to identify climate-related activities and outputs, identifying outcomes was more difficult, </w:t>
      </w:r>
      <w:r w:rsidR="00621066" w:rsidRPr="00ED4277">
        <w:t xml:space="preserve">as </w:t>
      </w:r>
      <w:r w:rsidR="00F01852" w:rsidRPr="00ED4277">
        <w:t xml:space="preserve">monitoring and the subsequent </w:t>
      </w:r>
      <w:r w:rsidR="00621066" w:rsidRPr="00ED4277">
        <w:t xml:space="preserve">reporting of climate change results was </w:t>
      </w:r>
      <w:r w:rsidR="00342AAC" w:rsidRPr="00ED4277">
        <w:t xml:space="preserve">often inadequate and </w:t>
      </w:r>
      <w:r w:rsidR="00621066" w:rsidRPr="00ED4277">
        <w:t>inconsistent.</w:t>
      </w:r>
      <w:r w:rsidR="00110D83">
        <w:t xml:space="preserve"> </w:t>
      </w:r>
      <w:r w:rsidR="00621066">
        <w:t xml:space="preserve">This was particularly the case where </w:t>
      </w:r>
      <w:r w:rsidR="00D57E47">
        <w:t xml:space="preserve">climate change </w:t>
      </w:r>
      <w:r w:rsidR="00621066">
        <w:t>was not the primary objective of the investment.</w:t>
      </w:r>
      <w:r w:rsidR="00110D83">
        <w:t xml:space="preserve"> </w:t>
      </w:r>
      <w:r w:rsidR="00621066">
        <w:t xml:space="preserve">Of the four investments where </w:t>
      </w:r>
      <w:r w:rsidR="00D57E47">
        <w:t xml:space="preserve">climate change </w:t>
      </w:r>
      <w:r w:rsidR="00621066">
        <w:t xml:space="preserve">outcomes are unlikely to </w:t>
      </w:r>
      <w:r w:rsidR="00342AAC">
        <w:t xml:space="preserve">have been </w:t>
      </w:r>
      <w:r w:rsidR="00621066">
        <w:t>achieved, and</w:t>
      </w:r>
      <w:r w:rsidR="00342AAC">
        <w:t xml:space="preserve">/or </w:t>
      </w:r>
      <w:r w:rsidR="00621066">
        <w:t>where climate change was not considered in the investment, all identified climate change as a secondary objective.</w:t>
      </w:r>
      <w:r w:rsidR="00110D83">
        <w:t xml:space="preserve"> </w:t>
      </w:r>
      <w:r w:rsidR="00621066">
        <w:t>If climate change is a secondary objective, it would be helpful to have a climate</w:t>
      </w:r>
      <w:r w:rsidR="00DB722C">
        <w:t>-</w:t>
      </w:r>
      <w:r w:rsidR="00621066">
        <w:t>related outcome which is tracked over time through climate</w:t>
      </w:r>
      <w:r w:rsidR="00DB722C">
        <w:t>-</w:t>
      </w:r>
      <w:r w:rsidR="00621066">
        <w:t>related indicators</w:t>
      </w:r>
      <w:r w:rsidR="00342AAC">
        <w:t xml:space="preserve"> (but this was generally not done)</w:t>
      </w:r>
      <w:r w:rsidR="00621066">
        <w:t>.</w:t>
      </w:r>
    </w:p>
    <w:p w14:paraId="7E448C21" w14:textId="47DE69C8" w:rsidR="00F508EE" w:rsidRDefault="00762824" w:rsidP="00C617E6">
      <w:pPr>
        <w:rPr>
          <w:lang w:val="en-GB" w:eastAsia="en-GB"/>
        </w:rPr>
      </w:pPr>
      <w:r>
        <w:br/>
      </w:r>
      <w:r w:rsidR="00C617E6">
        <w:t xml:space="preserve">In some cases, </w:t>
      </w:r>
      <w:r w:rsidR="001672A1">
        <w:t xml:space="preserve">climate change </w:t>
      </w:r>
      <w:r w:rsidR="00C617E6">
        <w:t>in</w:t>
      </w:r>
      <w:r w:rsidR="00C617E6">
        <w:rPr>
          <w:lang w:val="en-GB" w:eastAsia="en-GB"/>
        </w:rPr>
        <w:t>vestments were rebranded in 2014 (</w:t>
      </w:r>
      <w:r w:rsidR="00722893">
        <w:rPr>
          <w:lang w:val="en-GB" w:eastAsia="en-GB"/>
        </w:rPr>
        <w:t xml:space="preserve">for example, </w:t>
      </w:r>
      <w:r w:rsidR="001672A1">
        <w:rPr>
          <w:lang w:val="en-GB" w:eastAsia="en-GB"/>
        </w:rPr>
        <w:t xml:space="preserve">as </w:t>
      </w:r>
      <w:r w:rsidR="00C617E6">
        <w:rPr>
          <w:lang w:val="en-GB" w:eastAsia="en-GB"/>
        </w:rPr>
        <w:t>food security, water security</w:t>
      </w:r>
      <w:r w:rsidR="00722893">
        <w:rPr>
          <w:lang w:val="en-GB" w:eastAsia="en-GB"/>
        </w:rPr>
        <w:t xml:space="preserve"> or</w:t>
      </w:r>
      <w:r w:rsidR="00C617E6">
        <w:rPr>
          <w:lang w:val="en-GB" w:eastAsia="en-GB"/>
        </w:rPr>
        <w:t xml:space="preserve"> disaster preparedness), as climate was de-emphasised in the Australian policy context. Staff and senior managers spent </w:t>
      </w:r>
      <w:r w:rsidR="00722893">
        <w:rPr>
          <w:lang w:val="en-GB" w:eastAsia="en-GB"/>
        </w:rPr>
        <w:t xml:space="preserve">a </w:t>
      </w:r>
      <w:r w:rsidR="00C617E6">
        <w:rPr>
          <w:lang w:val="en-GB" w:eastAsia="en-GB"/>
        </w:rPr>
        <w:t xml:space="preserve">considerable </w:t>
      </w:r>
      <w:r w:rsidR="00722893">
        <w:rPr>
          <w:lang w:val="en-GB" w:eastAsia="en-GB"/>
        </w:rPr>
        <w:t xml:space="preserve">amount of </w:t>
      </w:r>
      <w:r w:rsidR="00C617E6">
        <w:rPr>
          <w:lang w:val="en-GB" w:eastAsia="en-GB"/>
        </w:rPr>
        <w:t>time internally re-</w:t>
      </w:r>
      <w:r w:rsidR="00807C3B">
        <w:rPr>
          <w:lang w:val="en-GB" w:eastAsia="en-GB"/>
        </w:rPr>
        <w:t xml:space="preserve">branding </w:t>
      </w:r>
      <w:r w:rsidR="00C617E6">
        <w:rPr>
          <w:lang w:val="en-GB" w:eastAsia="en-GB"/>
        </w:rPr>
        <w:t>the work and many lost the ability to report on climate</w:t>
      </w:r>
      <w:r w:rsidR="00722893">
        <w:rPr>
          <w:lang w:val="en-GB" w:eastAsia="en-GB"/>
        </w:rPr>
        <w:t>-</w:t>
      </w:r>
      <w:r w:rsidR="00C617E6">
        <w:rPr>
          <w:lang w:val="en-GB" w:eastAsia="en-GB"/>
        </w:rPr>
        <w:t>related outcomes as these objectives and indicators were removed. Many other</w:t>
      </w:r>
      <w:r w:rsidR="00807C3B">
        <w:rPr>
          <w:lang w:val="en-GB" w:eastAsia="en-GB"/>
        </w:rPr>
        <w:t xml:space="preserve"> investments</w:t>
      </w:r>
      <w:r w:rsidR="00C617E6">
        <w:rPr>
          <w:lang w:val="en-GB" w:eastAsia="en-GB"/>
        </w:rPr>
        <w:t xml:space="preserve"> lost impetus and were closed early as staff incentives abated.</w:t>
      </w:r>
    </w:p>
    <w:p w14:paraId="26C0BE75" w14:textId="5A8CF5BB" w:rsidR="00621066" w:rsidRDefault="00621066" w:rsidP="00621066">
      <w:pPr>
        <w:tabs>
          <w:tab w:val="clear" w:pos="992"/>
          <w:tab w:val="clear" w:pos="1418"/>
        </w:tabs>
        <w:spacing w:after="160" w:line="259" w:lineRule="auto"/>
      </w:pPr>
      <w:r w:rsidRPr="00BD2300">
        <w:t xml:space="preserve">Five of the </w:t>
      </w:r>
      <w:r w:rsidR="00BD2300" w:rsidRPr="00BD2300">
        <w:t>six</w:t>
      </w:r>
      <w:r w:rsidR="00342AAC">
        <w:t xml:space="preserve"> investments </w:t>
      </w:r>
      <w:r w:rsidR="00953861">
        <w:t>that lacked any evidence of outcomes</w:t>
      </w:r>
      <w:r w:rsidR="00342AAC">
        <w:t xml:space="preserve"> were</w:t>
      </w:r>
      <w:r>
        <w:t xml:space="preserve"> delivered through multilateral partners (primarily the A</w:t>
      </w:r>
      <w:r w:rsidR="000D641C">
        <w:t xml:space="preserve">sian </w:t>
      </w:r>
      <w:r>
        <w:t>D</w:t>
      </w:r>
      <w:r w:rsidR="000D641C">
        <w:t xml:space="preserve">evelopment </w:t>
      </w:r>
      <w:r>
        <w:t>B</w:t>
      </w:r>
      <w:r w:rsidR="000D641C">
        <w:t>ank</w:t>
      </w:r>
      <w:r w:rsidR="000D2599">
        <w:t xml:space="preserve"> and World Bank</w:t>
      </w:r>
      <w:r>
        <w:t>).</w:t>
      </w:r>
      <w:r w:rsidR="00110D83">
        <w:t xml:space="preserve"> </w:t>
      </w:r>
      <w:r>
        <w:t>Whil</w:t>
      </w:r>
      <w:r w:rsidR="00722893">
        <w:t>e</w:t>
      </w:r>
      <w:r>
        <w:t xml:space="preserve"> these partners have strong climate</w:t>
      </w:r>
      <w:r w:rsidR="00722893">
        <w:t>-</w:t>
      </w:r>
      <w:r>
        <w:t xml:space="preserve">related safeguards and screening tools, which were often referenced in the mandatory paragraph in the </w:t>
      </w:r>
      <w:bookmarkStart w:id="61" w:name="_Hlk518598346"/>
      <w:r w:rsidRPr="00C44324">
        <w:t>Aid Quality Check (AQC)</w:t>
      </w:r>
      <w:bookmarkEnd w:id="61"/>
      <w:r w:rsidRPr="00C44324">
        <w:t xml:space="preserve"> on Climate Risk Management, ther</w:t>
      </w:r>
      <w:r>
        <w:t>e was less evidence of DFAT being able to articulate climate results, or to di</w:t>
      </w:r>
      <w:r w:rsidR="00726D16">
        <w:t xml:space="preserve">scuss, for example, </w:t>
      </w:r>
      <w:r>
        <w:t>how decisions on</w:t>
      </w:r>
      <w:r w:rsidR="000D641C">
        <w:t xml:space="preserve"> </w:t>
      </w:r>
      <w:r>
        <w:t>infrastructure or financing were balanced with climate</w:t>
      </w:r>
      <w:r w:rsidR="00722893">
        <w:t>-</w:t>
      </w:r>
      <w:r w:rsidR="00342AAC">
        <w:t xml:space="preserve">related </w:t>
      </w:r>
      <w:r w:rsidR="00984706">
        <w:t>considerations</w:t>
      </w:r>
      <w:r>
        <w:t xml:space="preserve">. Ideally, </w:t>
      </w:r>
      <w:r w:rsidR="00D57E47">
        <w:t xml:space="preserve">decisions </w:t>
      </w:r>
      <w:r>
        <w:t>would consider both the adaptation factors</w:t>
      </w:r>
      <w:r w:rsidR="00EB596F">
        <w:t xml:space="preserve"> (for example, </w:t>
      </w:r>
      <w:r>
        <w:t>drainage</w:t>
      </w:r>
      <w:r w:rsidR="00EB596F">
        <w:t xml:space="preserve"> and</w:t>
      </w:r>
      <w:r>
        <w:t xml:space="preserve"> sealing materials often described in reports) and the mitigation factors </w:t>
      </w:r>
      <w:r w:rsidR="00EB596F">
        <w:t xml:space="preserve">(for example, the fact </w:t>
      </w:r>
      <w:r>
        <w:lastRenderedPageBreak/>
        <w:t>that building the road will increase traffic and how</w:t>
      </w:r>
      <w:r w:rsidR="00EB596F">
        <w:t xml:space="preserve"> the subsequent increased</w:t>
      </w:r>
      <w:r>
        <w:t xml:space="preserve"> </w:t>
      </w:r>
      <w:r w:rsidR="00984706">
        <w:t xml:space="preserve">greenhouse gas </w:t>
      </w:r>
      <w:r>
        <w:t xml:space="preserve">emissions </w:t>
      </w:r>
      <w:r w:rsidR="00AC475B">
        <w:t>would</w:t>
      </w:r>
      <w:r>
        <w:t xml:space="preserve"> be offset</w:t>
      </w:r>
      <w:r w:rsidR="00EB596F">
        <w:t>)</w:t>
      </w:r>
      <w:r>
        <w:t>.</w:t>
      </w:r>
    </w:p>
    <w:p w14:paraId="4B575AB5" w14:textId="77777777" w:rsidR="00621066" w:rsidRDefault="00621066" w:rsidP="004F27DF">
      <w:pPr>
        <w:pStyle w:val="Heading4"/>
      </w:pPr>
      <w:r w:rsidRPr="004D0F55">
        <w:t>Finding</w:t>
      </w:r>
      <w:r w:rsidR="0091688B">
        <w:t xml:space="preserve"> </w:t>
      </w:r>
    </w:p>
    <w:p w14:paraId="713FA12D" w14:textId="4BD76FC5" w:rsidR="00F508EE" w:rsidRDefault="00342AAC" w:rsidP="00342AAC">
      <w:pPr>
        <w:tabs>
          <w:tab w:val="clear" w:pos="992"/>
          <w:tab w:val="clear" w:pos="1418"/>
        </w:tabs>
        <w:spacing w:after="160" w:line="259" w:lineRule="auto"/>
      </w:pPr>
      <w:r w:rsidRPr="00BD2300">
        <w:t xml:space="preserve">Nine </w:t>
      </w:r>
      <w:r w:rsidR="00621066" w:rsidRPr="00BD2300">
        <w:t>of the 26 investments (35</w:t>
      </w:r>
      <w:r w:rsidR="009F28C6">
        <w:t xml:space="preserve"> per cent</w:t>
      </w:r>
      <w:r w:rsidR="00621066" w:rsidRPr="00BD2300">
        <w:t>)</w:t>
      </w:r>
      <w:r w:rsidR="00621066">
        <w:t xml:space="preserve"> demonstrated </w:t>
      </w:r>
      <w:r w:rsidR="007E0581">
        <w:t xml:space="preserve">significant </w:t>
      </w:r>
      <w:r w:rsidR="00621066">
        <w:t>climate</w:t>
      </w:r>
      <w:r w:rsidR="00E57CDD">
        <w:t>-</w:t>
      </w:r>
      <w:r w:rsidR="00621066">
        <w:t>related outcomes</w:t>
      </w:r>
      <w:r w:rsidR="00E57CDD">
        <w:t>,</w:t>
      </w:r>
      <w:r w:rsidR="00621066">
        <w:t xml:space="preserve"> with benefits primarily delivered in a range of adaptation areas, with some evidence of mitigation benefits.</w:t>
      </w:r>
      <w:r w:rsidR="00110D83">
        <w:t xml:space="preserve"> </w:t>
      </w:r>
      <w:r w:rsidR="00621066">
        <w:t>Evidence of climate</w:t>
      </w:r>
      <w:r w:rsidR="00E57CDD">
        <w:t>-</w:t>
      </w:r>
      <w:r w:rsidR="00621066">
        <w:t xml:space="preserve">related outcomes was easier to identify in investments that had climate change as </w:t>
      </w:r>
      <w:r w:rsidR="005F4739">
        <w:t xml:space="preserve">a </w:t>
      </w:r>
      <w:r w:rsidR="00621066">
        <w:t>primary objective</w:t>
      </w:r>
      <w:r>
        <w:t xml:space="preserve">. </w:t>
      </w:r>
      <w:r w:rsidR="007E0581">
        <w:t>However,</w:t>
      </w:r>
      <w:r>
        <w:t xml:space="preserve"> where investments were delivered by multilateral </w:t>
      </w:r>
      <w:r w:rsidR="000D2599">
        <w:t>organisations</w:t>
      </w:r>
      <w:r w:rsidR="00E57CDD">
        <w:t>,</w:t>
      </w:r>
      <w:r>
        <w:t xml:space="preserve"> progress towards climate</w:t>
      </w:r>
      <w:r w:rsidR="00E57CDD">
        <w:t>-</w:t>
      </w:r>
      <w:r>
        <w:t>related outcomes</w:t>
      </w:r>
      <w:r w:rsidR="00E57CDD">
        <w:t xml:space="preserve"> </w:t>
      </w:r>
      <w:r>
        <w:t>w</w:t>
      </w:r>
      <w:r w:rsidR="00A60B93">
        <w:t>as</w:t>
      </w:r>
      <w:r>
        <w:t xml:space="preserve"> generally not well reported.</w:t>
      </w:r>
    </w:p>
    <w:p w14:paraId="311729DE" w14:textId="77777777" w:rsidR="00E01B64" w:rsidRDefault="00E01B64" w:rsidP="00342AAC">
      <w:pPr>
        <w:tabs>
          <w:tab w:val="clear" w:pos="992"/>
          <w:tab w:val="clear" w:pos="1418"/>
        </w:tabs>
        <w:spacing w:after="160" w:line="259" w:lineRule="auto"/>
        <w:sectPr w:rsidR="00E01B64" w:rsidSect="00402448">
          <w:type w:val="continuous"/>
          <w:pgSz w:w="11906" w:h="16838" w:code="9"/>
          <w:pgMar w:top="1152" w:right="850" w:bottom="1531" w:left="851" w:header="510" w:footer="510" w:gutter="0"/>
          <w:cols w:space="708"/>
          <w:docGrid w:linePitch="360"/>
        </w:sectPr>
      </w:pPr>
    </w:p>
    <w:p w14:paraId="045CC48E" w14:textId="77777777" w:rsidR="00843940" w:rsidRDefault="00DA2E8F" w:rsidP="00DA2E8F">
      <w:pPr>
        <w:pStyle w:val="Heading2"/>
        <w:numPr>
          <w:ilvl w:val="0"/>
          <w:numId w:val="0"/>
        </w:numPr>
        <w:ind w:left="720" w:hanging="720"/>
      </w:pPr>
      <w:bookmarkStart w:id="62" w:name="_Toc510771924"/>
      <w:r>
        <w:lastRenderedPageBreak/>
        <w:t>3.2</w:t>
      </w:r>
      <w:r>
        <w:tab/>
      </w:r>
      <w:r w:rsidR="00E52999">
        <w:t xml:space="preserve">Features of investments </w:t>
      </w:r>
      <w:r w:rsidR="00843940">
        <w:t xml:space="preserve">demonstrating </w:t>
      </w:r>
      <w:r w:rsidR="00E52999">
        <w:t xml:space="preserve">strong </w:t>
      </w:r>
      <w:r w:rsidR="00843940">
        <w:t xml:space="preserve">climate change </w:t>
      </w:r>
      <w:r w:rsidR="00E52999">
        <w:t>results</w:t>
      </w:r>
      <w:bookmarkEnd w:id="62"/>
    </w:p>
    <w:p w14:paraId="75ED39C6" w14:textId="7E0A3794" w:rsidR="00C50DBC" w:rsidRDefault="00E52999" w:rsidP="00843940">
      <w:r>
        <w:t xml:space="preserve">The </w:t>
      </w:r>
      <w:r w:rsidR="00C920D6">
        <w:t xml:space="preserve">evaluation </w:t>
      </w:r>
      <w:r>
        <w:t xml:space="preserve">team </w:t>
      </w:r>
      <w:r w:rsidR="00C920D6">
        <w:t xml:space="preserve">analysed the </w:t>
      </w:r>
      <w:r w:rsidR="00C50DBC">
        <w:t xml:space="preserve">investments that demonstrated </w:t>
      </w:r>
      <w:r>
        <w:t>climate</w:t>
      </w:r>
      <w:r w:rsidR="00E57CDD">
        <w:t>-</w:t>
      </w:r>
      <w:r>
        <w:t xml:space="preserve">related </w:t>
      </w:r>
      <w:r w:rsidR="00C50DBC">
        <w:t xml:space="preserve">outcomes </w:t>
      </w:r>
      <w:r w:rsidR="00453951">
        <w:t>to</w:t>
      </w:r>
      <w:r w:rsidR="00C920D6">
        <w:t xml:space="preserve"> </w:t>
      </w:r>
      <w:r w:rsidR="00453951">
        <w:t>better understand the factors underpin</w:t>
      </w:r>
      <w:r w:rsidR="00A60B93">
        <w:t>ning</w:t>
      </w:r>
      <w:r w:rsidR="00453951">
        <w:t xml:space="preserve"> their success.</w:t>
      </w:r>
      <w:r w:rsidR="00110D83">
        <w:t xml:space="preserve"> </w:t>
      </w:r>
      <w:r w:rsidR="00AC35AC">
        <w:t xml:space="preserve">Five </w:t>
      </w:r>
      <w:r w:rsidR="0094136F">
        <w:t xml:space="preserve">core </w:t>
      </w:r>
      <w:r w:rsidR="004B7B18">
        <w:t xml:space="preserve">features </w:t>
      </w:r>
      <w:r w:rsidR="0094136F">
        <w:t>emerged.</w:t>
      </w:r>
    </w:p>
    <w:p w14:paraId="28CE57FE" w14:textId="77777777" w:rsidR="00F508EE" w:rsidRDefault="00843940" w:rsidP="00470DD2">
      <w:pPr>
        <w:pStyle w:val="ListNumber"/>
        <w:rPr>
          <w:b/>
        </w:rPr>
      </w:pPr>
      <w:r w:rsidRPr="00470DD2">
        <w:rPr>
          <w:b/>
        </w:rPr>
        <w:t>Long</w:t>
      </w:r>
      <w:r w:rsidR="00E57CDD">
        <w:rPr>
          <w:b/>
        </w:rPr>
        <w:t>-</w:t>
      </w:r>
      <w:r w:rsidRPr="00470DD2">
        <w:rPr>
          <w:b/>
        </w:rPr>
        <w:t>term</w:t>
      </w:r>
      <w:r w:rsidR="000070E8" w:rsidRPr="00470DD2">
        <w:rPr>
          <w:b/>
        </w:rPr>
        <w:t xml:space="preserve"> investments which built and </w:t>
      </w:r>
      <w:r w:rsidR="00304A98" w:rsidRPr="00470DD2">
        <w:rPr>
          <w:b/>
        </w:rPr>
        <w:t xml:space="preserve">deepened </w:t>
      </w:r>
      <w:r w:rsidRPr="00470DD2">
        <w:rPr>
          <w:b/>
        </w:rPr>
        <w:t>organ</w:t>
      </w:r>
      <w:r w:rsidR="000070E8" w:rsidRPr="00470DD2">
        <w:rPr>
          <w:b/>
        </w:rPr>
        <w:t xml:space="preserve">isational </w:t>
      </w:r>
      <w:r w:rsidRPr="00470DD2">
        <w:rPr>
          <w:b/>
        </w:rPr>
        <w:t>relationship</w:t>
      </w:r>
      <w:r w:rsidR="000070E8" w:rsidRPr="00470DD2">
        <w:rPr>
          <w:b/>
        </w:rPr>
        <w:t>s</w:t>
      </w:r>
    </w:p>
    <w:p w14:paraId="0F1276E1" w14:textId="69031988" w:rsidR="00CE366C" w:rsidRPr="001B118B" w:rsidRDefault="00DC1F6C" w:rsidP="00ED7E53">
      <w:r>
        <w:t xml:space="preserve">The majority </w:t>
      </w:r>
      <w:r w:rsidR="00CC12CB">
        <w:t>of in</w:t>
      </w:r>
      <w:r w:rsidR="007154D4">
        <w:t>vestments ha</w:t>
      </w:r>
      <w:r w:rsidR="00EF41B9">
        <w:t>d</w:t>
      </w:r>
      <w:r w:rsidR="007154D4">
        <w:t xml:space="preserve"> long</w:t>
      </w:r>
      <w:r w:rsidR="00BB0053">
        <w:t>er</w:t>
      </w:r>
      <w:r w:rsidR="007154D4">
        <w:t xml:space="preserve"> time scales, which </w:t>
      </w:r>
      <w:r w:rsidR="0006047F">
        <w:t xml:space="preserve">has </w:t>
      </w:r>
      <w:r w:rsidR="00EF41B9">
        <w:t xml:space="preserve">fostered </w:t>
      </w:r>
      <w:r w:rsidR="007154D4">
        <w:t>the development of trusted relationships</w:t>
      </w:r>
      <w:r w:rsidR="00AC780B">
        <w:t>, and allowed enough time for outcomes to emerge from incremental progress</w:t>
      </w:r>
      <w:r w:rsidR="000D2599">
        <w:t xml:space="preserve"> (Table 3)</w:t>
      </w:r>
      <w:r w:rsidR="007154D4">
        <w:t>.</w:t>
      </w:r>
      <w:r w:rsidR="00110D83">
        <w:t xml:space="preserve"> </w:t>
      </w:r>
      <w:r w:rsidR="003B51C9">
        <w:t>I</w:t>
      </w:r>
      <w:r w:rsidR="00703651">
        <w:t xml:space="preserve">nvestments that demonstrated stronger outcomes were </w:t>
      </w:r>
      <w:r w:rsidR="003B51C9">
        <w:t xml:space="preserve">on average </w:t>
      </w:r>
      <w:r w:rsidR="00703651">
        <w:t xml:space="preserve">8.3 years in duration, </w:t>
      </w:r>
      <w:r w:rsidR="00F80E0C">
        <w:t xml:space="preserve">and no investment was less than </w:t>
      </w:r>
      <w:r w:rsidR="000D2599">
        <w:t xml:space="preserve">5 </w:t>
      </w:r>
      <w:r w:rsidR="00F80E0C">
        <w:t>years</w:t>
      </w:r>
      <w:r w:rsidR="00F8526D">
        <w:t>.</w:t>
      </w:r>
      <w:r w:rsidR="00110D83">
        <w:t xml:space="preserve"> </w:t>
      </w:r>
      <w:r w:rsidR="00F8526D">
        <w:t>Investments that had lower impact were generally of shorter duration.</w:t>
      </w:r>
      <w:r w:rsidR="00110D83">
        <w:t xml:space="preserve"> </w:t>
      </w:r>
      <w:r w:rsidR="003735E3">
        <w:t>An example of a strongly performing investment</w:t>
      </w:r>
      <w:r w:rsidR="005744C6">
        <w:t>, the S</w:t>
      </w:r>
      <w:r w:rsidR="00E82C6D">
        <w:t>DIP</w:t>
      </w:r>
      <w:r w:rsidR="00EF41B9">
        <w:t>,</w:t>
      </w:r>
      <w:r w:rsidR="005744C6">
        <w:t xml:space="preserve"> was designed as a </w:t>
      </w:r>
      <w:r w:rsidR="001405A5">
        <w:t>12-year</w:t>
      </w:r>
      <w:r w:rsidR="005744C6">
        <w:t xml:space="preserve"> strategy with three investment cycles</w:t>
      </w:r>
      <w:r w:rsidR="009F28C6">
        <w:t xml:space="preserve"> of four years each</w:t>
      </w:r>
      <w:r w:rsidR="005744C6">
        <w:t>.</w:t>
      </w:r>
    </w:p>
    <w:p w14:paraId="526753C7" w14:textId="4067E0F1" w:rsidR="00762824" w:rsidRDefault="00762824" w:rsidP="00ED7E53">
      <w:pPr>
        <w:pStyle w:val="Caption"/>
        <w:keepNext/>
      </w:pPr>
      <w:bookmarkStart w:id="63" w:name="_Toc510591527"/>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3</w:t>
      </w:r>
      <w:r w:rsidR="00E7543E">
        <w:rPr>
          <w:noProof/>
        </w:rPr>
        <w:fldChar w:fldCharType="end"/>
      </w:r>
      <w:r>
        <w:t>: Duration of investments that have demonstrated (or are highly likely to demonstrate) significant climate</w:t>
      </w:r>
      <w:r w:rsidR="00B938E0">
        <w:t>-related</w:t>
      </w:r>
      <w:r>
        <w:t xml:space="preserve"> benefits</w:t>
      </w:r>
      <w:bookmarkEnd w:id="63"/>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Pr>
      <w:tblGrid>
        <w:gridCol w:w="4015"/>
        <w:gridCol w:w="3763"/>
        <w:gridCol w:w="2427"/>
      </w:tblGrid>
      <w:tr w:rsidR="003E151C" w:rsidRPr="00E968E5" w14:paraId="0612D4A2" w14:textId="77777777" w:rsidTr="00ED7E53">
        <w:tc>
          <w:tcPr>
            <w:tcW w:w="4015" w:type="dxa"/>
            <w:tcBorders>
              <w:top w:val="nil"/>
              <w:left w:val="nil"/>
              <w:bottom w:val="single" w:sz="12" w:space="0" w:color="FFFFFF"/>
              <w:right w:val="nil"/>
              <w:tl2br w:val="nil"/>
              <w:tr2bl w:val="nil"/>
            </w:tcBorders>
            <w:shd w:val="clear" w:color="auto" w:fill="007C89"/>
          </w:tcPr>
          <w:p w14:paraId="6105E26A" w14:textId="77777777" w:rsidR="00CC12CB" w:rsidRPr="00E968E5" w:rsidRDefault="00CE366C" w:rsidP="00E968E5">
            <w:pPr>
              <w:spacing w:after="0"/>
              <w:rPr>
                <w:color w:val="FFFFFF"/>
              </w:rPr>
            </w:pPr>
            <w:r>
              <w:rPr>
                <w:color w:val="FFFFFF"/>
              </w:rPr>
              <w:t>I</w:t>
            </w:r>
            <w:r w:rsidR="00CC12CB" w:rsidRPr="00E968E5">
              <w:rPr>
                <w:color w:val="FFFFFF"/>
              </w:rPr>
              <w:t>nvestment</w:t>
            </w:r>
          </w:p>
        </w:tc>
        <w:tc>
          <w:tcPr>
            <w:tcW w:w="3763" w:type="dxa"/>
            <w:tcBorders>
              <w:top w:val="nil"/>
              <w:left w:val="nil"/>
              <w:bottom w:val="single" w:sz="12" w:space="0" w:color="FFFFFF"/>
              <w:right w:val="nil"/>
              <w:tl2br w:val="nil"/>
              <w:tr2bl w:val="nil"/>
            </w:tcBorders>
            <w:shd w:val="clear" w:color="auto" w:fill="007C89"/>
          </w:tcPr>
          <w:p w14:paraId="39CBF6A4" w14:textId="77777777" w:rsidR="00CC12CB" w:rsidRPr="00E968E5" w:rsidRDefault="00CC12CB" w:rsidP="00E968E5">
            <w:pPr>
              <w:spacing w:after="0"/>
              <w:jc w:val="center"/>
              <w:rPr>
                <w:color w:val="FFFFFF"/>
              </w:rPr>
            </w:pPr>
            <w:r w:rsidRPr="00E968E5">
              <w:rPr>
                <w:color w:val="FFFFFF"/>
              </w:rPr>
              <w:t xml:space="preserve">Investment </w:t>
            </w:r>
            <w:r w:rsidR="00762824">
              <w:rPr>
                <w:color w:val="FFFFFF"/>
              </w:rPr>
              <w:t>t</w:t>
            </w:r>
            <w:r w:rsidR="00F729E1" w:rsidRPr="00E968E5">
              <w:rPr>
                <w:color w:val="FFFFFF"/>
              </w:rPr>
              <w:t>imeframe</w:t>
            </w:r>
          </w:p>
        </w:tc>
        <w:tc>
          <w:tcPr>
            <w:tcW w:w="2427" w:type="dxa"/>
            <w:tcBorders>
              <w:top w:val="nil"/>
              <w:left w:val="nil"/>
              <w:bottom w:val="single" w:sz="12" w:space="0" w:color="FFFFFF"/>
              <w:right w:val="nil"/>
              <w:tl2br w:val="nil"/>
              <w:tr2bl w:val="nil"/>
            </w:tcBorders>
            <w:shd w:val="clear" w:color="auto" w:fill="007C89"/>
          </w:tcPr>
          <w:p w14:paraId="60C1CE43" w14:textId="77777777" w:rsidR="00CC12CB" w:rsidRPr="00E968E5" w:rsidRDefault="00F729E1" w:rsidP="00E968E5">
            <w:pPr>
              <w:spacing w:after="0"/>
              <w:jc w:val="center"/>
              <w:rPr>
                <w:color w:val="FFFFFF"/>
              </w:rPr>
            </w:pPr>
            <w:r w:rsidRPr="00E968E5">
              <w:rPr>
                <w:color w:val="FFFFFF"/>
              </w:rPr>
              <w:t>Duration</w:t>
            </w:r>
          </w:p>
        </w:tc>
      </w:tr>
      <w:tr w:rsidR="003E151C" w:rsidRPr="00E968E5" w14:paraId="4BB25B90" w14:textId="77777777" w:rsidTr="00ED7E53">
        <w:tc>
          <w:tcPr>
            <w:tcW w:w="4015" w:type="dxa"/>
            <w:shd w:val="clear" w:color="auto" w:fill="D8DBDA"/>
          </w:tcPr>
          <w:p w14:paraId="1B73FABC" w14:textId="77777777" w:rsidR="00CC12CB" w:rsidRPr="00A779C1" w:rsidRDefault="00470DD2" w:rsidP="00E968E5">
            <w:pPr>
              <w:spacing w:after="0" w:line="240" w:lineRule="auto"/>
            </w:pPr>
            <w:bookmarkStart w:id="64" w:name="_Hlk518598530"/>
            <w:r w:rsidRPr="00A779C1">
              <w:t>Climate and Oceans Support Program in the Pacific</w:t>
            </w:r>
            <w:r w:rsidR="00AE6914" w:rsidRPr="00A779C1">
              <w:t xml:space="preserve"> (COSPPac)</w:t>
            </w:r>
            <w:bookmarkEnd w:id="64"/>
          </w:p>
        </w:tc>
        <w:tc>
          <w:tcPr>
            <w:tcW w:w="3763" w:type="dxa"/>
            <w:shd w:val="clear" w:color="auto" w:fill="auto"/>
          </w:tcPr>
          <w:p w14:paraId="4B66B465" w14:textId="4AF079FC" w:rsidR="00CC12CB" w:rsidRPr="00E968E5" w:rsidRDefault="00CC12CB" w:rsidP="00E968E5">
            <w:pPr>
              <w:spacing w:after="0" w:line="240" w:lineRule="auto"/>
              <w:jc w:val="center"/>
            </w:pPr>
            <w:r w:rsidRPr="00E968E5">
              <w:t>2010</w:t>
            </w:r>
            <w:r w:rsidR="000D2599" w:rsidRPr="00D04A94">
              <w:rPr>
                <w:b/>
              </w:rPr>
              <w:t>-</w:t>
            </w:r>
            <w:r w:rsidRPr="00E968E5">
              <w:t>18</w:t>
            </w:r>
          </w:p>
          <w:p w14:paraId="3E236613" w14:textId="2A438B5C" w:rsidR="001D3258" w:rsidRPr="00E968E5" w:rsidRDefault="001D3258" w:rsidP="00E968E5">
            <w:pPr>
              <w:spacing w:after="0" w:line="240" w:lineRule="auto"/>
              <w:jc w:val="center"/>
            </w:pPr>
            <w:r w:rsidRPr="00E968E5">
              <w:t>Building on the Pacific Islands Climate Prediction Project (2003</w:t>
            </w:r>
            <w:r w:rsidR="000D2599">
              <w:t>-</w:t>
            </w:r>
            <w:r w:rsidRPr="00E968E5">
              <w:t>12)</w:t>
            </w:r>
          </w:p>
        </w:tc>
        <w:tc>
          <w:tcPr>
            <w:tcW w:w="2427" w:type="dxa"/>
            <w:shd w:val="clear" w:color="auto" w:fill="auto"/>
          </w:tcPr>
          <w:p w14:paraId="6F0FC981" w14:textId="77777777" w:rsidR="00CC12CB" w:rsidRPr="00E968E5" w:rsidRDefault="002479A1" w:rsidP="00E968E5">
            <w:pPr>
              <w:spacing w:after="0" w:line="240" w:lineRule="auto"/>
              <w:jc w:val="center"/>
            </w:pPr>
            <w:r w:rsidRPr="00E968E5">
              <w:t>1</w:t>
            </w:r>
            <w:r w:rsidR="00D33631" w:rsidRPr="00E968E5">
              <w:t>5</w:t>
            </w:r>
            <w:r w:rsidRPr="00E968E5">
              <w:t xml:space="preserve"> years</w:t>
            </w:r>
          </w:p>
        </w:tc>
      </w:tr>
      <w:tr w:rsidR="003E151C" w:rsidRPr="00E968E5" w14:paraId="19A9D129" w14:textId="77777777" w:rsidTr="00ED7E53">
        <w:tc>
          <w:tcPr>
            <w:tcW w:w="4015" w:type="dxa"/>
            <w:shd w:val="clear" w:color="auto" w:fill="D8DBDA"/>
          </w:tcPr>
          <w:p w14:paraId="146F8D57" w14:textId="7C46033D" w:rsidR="00CC12CB" w:rsidRPr="00A779C1" w:rsidRDefault="00CC12CB" w:rsidP="00E968E5">
            <w:pPr>
              <w:spacing w:after="0" w:line="240" w:lineRule="auto"/>
            </w:pPr>
            <w:r w:rsidRPr="00A779C1">
              <w:t>P</w:t>
            </w:r>
            <w:r w:rsidR="00E15A24" w:rsidRPr="00A779C1">
              <w:t>RRP</w:t>
            </w:r>
          </w:p>
        </w:tc>
        <w:tc>
          <w:tcPr>
            <w:tcW w:w="3763" w:type="dxa"/>
            <w:shd w:val="clear" w:color="auto" w:fill="auto"/>
          </w:tcPr>
          <w:p w14:paraId="168DF6E9" w14:textId="394EABBF" w:rsidR="00CC12CB" w:rsidRPr="00E968E5" w:rsidRDefault="00CC12CB" w:rsidP="00E968E5">
            <w:pPr>
              <w:spacing w:after="0" w:line="240" w:lineRule="auto"/>
              <w:jc w:val="center"/>
            </w:pPr>
            <w:r w:rsidRPr="00E968E5">
              <w:t>2011</w:t>
            </w:r>
            <w:r w:rsidR="000D2599" w:rsidRPr="00D04A94">
              <w:rPr>
                <w:b/>
              </w:rPr>
              <w:t>-</w:t>
            </w:r>
            <w:r w:rsidRPr="00E968E5">
              <w:t>18</w:t>
            </w:r>
          </w:p>
        </w:tc>
        <w:tc>
          <w:tcPr>
            <w:tcW w:w="2427" w:type="dxa"/>
            <w:shd w:val="clear" w:color="auto" w:fill="auto"/>
          </w:tcPr>
          <w:p w14:paraId="5F45F3E0" w14:textId="77777777" w:rsidR="00CC12CB" w:rsidRPr="00E968E5" w:rsidRDefault="00F729E1" w:rsidP="00E968E5">
            <w:pPr>
              <w:spacing w:after="0" w:line="240" w:lineRule="auto"/>
              <w:jc w:val="center"/>
            </w:pPr>
            <w:r w:rsidRPr="00E968E5">
              <w:t>7 years</w:t>
            </w:r>
          </w:p>
        </w:tc>
      </w:tr>
      <w:tr w:rsidR="003E151C" w:rsidRPr="00E968E5" w14:paraId="166E6200" w14:textId="77777777" w:rsidTr="00ED7E53">
        <w:tc>
          <w:tcPr>
            <w:tcW w:w="4015" w:type="dxa"/>
            <w:shd w:val="clear" w:color="auto" w:fill="D8DBDA"/>
          </w:tcPr>
          <w:p w14:paraId="22C9E43E" w14:textId="77777777" w:rsidR="00CC12CB" w:rsidRPr="00A779C1" w:rsidRDefault="00CC12CB" w:rsidP="00E968E5">
            <w:pPr>
              <w:spacing w:after="0" w:line="240" w:lineRule="auto"/>
            </w:pPr>
            <w:r w:rsidRPr="00A779C1">
              <w:t>SPC Climate Change Program</w:t>
            </w:r>
          </w:p>
        </w:tc>
        <w:tc>
          <w:tcPr>
            <w:tcW w:w="3763" w:type="dxa"/>
            <w:shd w:val="clear" w:color="auto" w:fill="auto"/>
          </w:tcPr>
          <w:p w14:paraId="3645E9E7" w14:textId="4722F1A2" w:rsidR="00CC12CB" w:rsidRPr="00E968E5" w:rsidRDefault="00CC12CB" w:rsidP="00E968E5">
            <w:pPr>
              <w:spacing w:after="0" w:line="240" w:lineRule="auto"/>
              <w:jc w:val="center"/>
            </w:pPr>
            <w:r w:rsidRPr="00E968E5">
              <w:t>2009</w:t>
            </w:r>
            <w:r w:rsidR="000D2599" w:rsidRPr="00D04A94">
              <w:rPr>
                <w:b/>
              </w:rPr>
              <w:t>-</w:t>
            </w:r>
            <w:r w:rsidRPr="00E968E5">
              <w:t>15</w:t>
            </w:r>
          </w:p>
        </w:tc>
        <w:tc>
          <w:tcPr>
            <w:tcW w:w="2427" w:type="dxa"/>
            <w:shd w:val="clear" w:color="auto" w:fill="auto"/>
          </w:tcPr>
          <w:p w14:paraId="332B126B" w14:textId="77777777" w:rsidR="00CC12CB" w:rsidRPr="00E968E5" w:rsidRDefault="00F729E1" w:rsidP="00E968E5">
            <w:pPr>
              <w:spacing w:after="0" w:line="240" w:lineRule="auto"/>
              <w:jc w:val="center"/>
            </w:pPr>
            <w:r w:rsidRPr="00E968E5">
              <w:t>6 years</w:t>
            </w:r>
          </w:p>
        </w:tc>
      </w:tr>
      <w:tr w:rsidR="003E151C" w:rsidRPr="00E968E5" w14:paraId="2C1FFB85" w14:textId="77777777" w:rsidTr="00ED7E53">
        <w:tc>
          <w:tcPr>
            <w:tcW w:w="4015" w:type="dxa"/>
            <w:shd w:val="clear" w:color="auto" w:fill="D8DBDA"/>
          </w:tcPr>
          <w:p w14:paraId="23B24649" w14:textId="77777777" w:rsidR="00CC12CB" w:rsidRPr="00A779C1" w:rsidRDefault="00CC12CB" w:rsidP="00E968E5">
            <w:pPr>
              <w:spacing w:after="0" w:line="240" w:lineRule="auto"/>
            </w:pPr>
            <w:r w:rsidRPr="00A779C1">
              <w:t>Philippines Disaster and Climate Risks Management</w:t>
            </w:r>
          </w:p>
        </w:tc>
        <w:tc>
          <w:tcPr>
            <w:tcW w:w="3763" w:type="dxa"/>
            <w:shd w:val="clear" w:color="auto" w:fill="auto"/>
          </w:tcPr>
          <w:p w14:paraId="093F1F69" w14:textId="6FC310D7" w:rsidR="00CC12CB" w:rsidRPr="00E968E5" w:rsidRDefault="00CC12CB" w:rsidP="00E968E5">
            <w:pPr>
              <w:spacing w:after="0" w:line="240" w:lineRule="auto"/>
              <w:jc w:val="center"/>
            </w:pPr>
            <w:r w:rsidRPr="00E968E5">
              <w:t>2006</w:t>
            </w:r>
            <w:r w:rsidR="000D2599">
              <w:rPr>
                <w:b/>
              </w:rPr>
              <w:t>–</w:t>
            </w:r>
            <w:r w:rsidRPr="00E968E5">
              <w:t>17</w:t>
            </w:r>
          </w:p>
        </w:tc>
        <w:tc>
          <w:tcPr>
            <w:tcW w:w="2427" w:type="dxa"/>
            <w:shd w:val="clear" w:color="auto" w:fill="auto"/>
          </w:tcPr>
          <w:p w14:paraId="55A4BE29" w14:textId="77777777" w:rsidR="00CC12CB" w:rsidRPr="00E968E5" w:rsidRDefault="00F729E1" w:rsidP="00E968E5">
            <w:pPr>
              <w:spacing w:after="0" w:line="240" w:lineRule="auto"/>
              <w:jc w:val="center"/>
            </w:pPr>
            <w:r w:rsidRPr="00E968E5">
              <w:t>9 years</w:t>
            </w:r>
          </w:p>
        </w:tc>
      </w:tr>
      <w:tr w:rsidR="003E151C" w:rsidRPr="00E968E5" w14:paraId="6520418F" w14:textId="77777777" w:rsidTr="00ED7E53">
        <w:tc>
          <w:tcPr>
            <w:tcW w:w="4015" w:type="dxa"/>
            <w:shd w:val="clear" w:color="auto" w:fill="D8DBDA"/>
          </w:tcPr>
          <w:p w14:paraId="6200E1E0" w14:textId="296A03BD" w:rsidR="00F729E1" w:rsidRPr="00E968E5" w:rsidRDefault="00F729E1" w:rsidP="00E968E5">
            <w:pPr>
              <w:spacing w:after="0" w:line="240" w:lineRule="auto"/>
            </w:pPr>
            <w:r w:rsidRPr="00E968E5">
              <w:t>S</w:t>
            </w:r>
            <w:r w:rsidR="00E15A24">
              <w:t>DIP</w:t>
            </w:r>
          </w:p>
        </w:tc>
        <w:tc>
          <w:tcPr>
            <w:tcW w:w="3763" w:type="dxa"/>
            <w:shd w:val="clear" w:color="auto" w:fill="auto"/>
          </w:tcPr>
          <w:p w14:paraId="56E62FEE" w14:textId="631E3868" w:rsidR="00F729E1" w:rsidRPr="00E968E5" w:rsidRDefault="00F729E1" w:rsidP="00E968E5">
            <w:pPr>
              <w:spacing w:after="0" w:line="240" w:lineRule="auto"/>
              <w:jc w:val="center"/>
            </w:pPr>
            <w:r w:rsidRPr="00E968E5">
              <w:t>2013–16 (Phase 1)</w:t>
            </w:r>
          </w:p>
          <w:p w14:paraId="57C9AA55" w14:textId="1966EA51" w:rsidR="00F729E1" w:rsidRPr="00E968E5" w:rsidRDefault="00F729E1" w:rsidP="00E968E5">
            <w:pPr>
              <w:spacing w:after="0" w:line="240" w:lineRule="auto"/>
              <w:jc w:val="center"/>
            </w:pPr>
            <w:r w:rsidRPr="00E968E5">
              <w:t>2016–19 (Phase 2)</w:t>
            </w:r>
          </w:p>
        </w:tc>
        <w:tc>
          <w:tcPr>
            <w:tcW w:w="2427" w:type="dxa"/>
            <w:shd w:val="clear" w:color="auto" w:fill="auto"/>
          </w:tcPr>
          <w:p w14:paraId="6E9855CB" w14:textId="77777777" w:rsidR="00F729E1" w:rsidRPr="00E968E5" w:rsidRDefault="001405A5" w:rsidP="00E968E5">
            <w:pPr>
              <w:spacing w:after="0" w:line="240" w:lineRule="auto"/>
              <w:jc w:val="center"/>
            </w:pPr>
            <w:r w:rsidRPr="00E968E5">
              <w:t>12-year</w:t>
            </w:r>
            <w:r w:rsidR="00F729E1" w:rsidRPr="00E968E5">
              <w:t xml:space="preserve"> </w:t>
            </w:r>
            <w:r w:rsidR="00BD2300">
              <w:t>strategy</w:t>
            </w:r>
          </w:p>
        </w:tc>
      </w:tr>
      <w:tr w:rsidR="003E151C" w:rsidRPr="00E968E5" w14:paraId="22555634" w14:textId="77777777" w:rsidTr="00ED7E53">
        <w:tc>
          <w:tcPr>
            <w:tcW w:w="4015" w:type="dxa"/>
            <w:shd w:val="clear" w:color="auto" w:fill="D8DBDA"/>
          </w:tcPr>
          <w:p w14:paraId="217FEBAF" w14:textId="77777777" w:rsidR="009B2E68" w:rsidRPr="00E968E5" w:rsidRDefault="009B2E68" w:rsidP="00E968E5">
            <w:pPr>
              <w:spacing w:after="0" w:line="240" w:lineRule="auto"/>
            </w:pPr>
            <w:r w:rsidRPr="00E968E5">
              <w:t>PNG Disaster Risk Management Program</w:t>
            </w:r>
          </w:p>
        </w:tc>
        <w:tc>
          <w:tcPr>
            <w:tcW w:w="3763" w:type="dxa"/>
            <w:shd w:val="clear" w:color="auto" w:fill="auto"/>
          </w:tcPr>
          <w:p w14:paraId="43815F28" w14:textId="24E22F18" w:rsidR="009B2E68" w:rsidRPr="00E968E5" w:rsidRDefault="009B2E68" w:rsidP="00E968E5">
            <w:pPr>
              <w:spacing w:after="0" w:line="240" w:lineRule="auto"/>
              <w:jc w:val="center"/>
            </w:pPr>
            <w:r w:rsidRPr="00E968E5">
              <w:t>2010</w:t>
            </w:r>
            <w:r w:rsidR="000D2599">
              <w:rPr>
                <w:b/>
              </w:rPr>
              <w:t>–</w:t>
            </w:r>
            <w:r w:rsidRPr="00E968E5">
              <w:t>15</w:t>
            </w:r>
          </w:p>
        </w:tc>
        <w:tc>
          <w:tcPr>
            <w:tcW w:w="2427" w:type="dxa"/>
            <w:shd w:val="clear" w:color="auto" w:fill="auto"/>
          </w:tcPr>
          <w:p w14:paraId="552C5F6A" w14:textId="77777777" w:rsidR="009B2E68" w:rsidRPr="00E968E5" w:rsidRDefault="009B2E68" w:rsidP="00E968E5">
            <w:pPr>
              <w:spacing w:after="0" w:line="240" w:lineRule="auto"/>
              <w:jc w:val="center"/>
            </w:pPr>
            <w:r w:rsidRPr="00E968E5">
              <w:t>5 years</w:t>
            </w:r>
          </w:p>
        </w:tc>
      </w:tr>
      <w:tr w:rsidR="003E151C" w:rsidRPr="00E968E5" w14:paraId="49AA6CE7" w14:textId="77777777" w:rsidTr="00ED7E53">
        <w:tc>
          <w:tcPr>
            <w:tcW w:w="4015" w:type="dxa"/>
            <w:shd w:val="clear" w:color="auto" w:fill="D8DBDA"/>
          </w:tcPr>
          <w:p w14:paraId="3ED8C38F" w14:textId="366F82C4" w:rsidR="009B2E68" w:rsidRPr="00E968E5" w:rsidRDefault="009B2E68" w:rsidP="00E968E5">
            <w:pPr>
              <w:spacing w:after="0" w:line="240" w:lineRule="auto"/>
            </w:pPr>
            <w:r w:rsidRPr="00E968E5">
              <w:t>Vietnam Community</w:t>
            </w:r>
            <w:r w:rsidR="00EF41B9">
              <w:t>-b</w:t>
            </w:r>
            <w:r w:rsidRPr="00E968E5">
              <w:t>ased Disaster Risk Management</w:t>
            </w:r>
            <w:r w:rsidR="00D75FC3">
              <w:t xml:space="preserve"> (</w:t>
            </w:r>
            <w:r w:rsidR="00D75FC3" w:rsidRPr="00431F71">
              <w:t>C</w:t>
            </w:r>
            <w:r w:rsidR="00D75FC3">
              <w:t>BDRM)</w:t>
            </w:r>
          </w:p>
        </w:tc>
        <w:tc>
          <w:tcPr>
            <w:tcW w:w="3763" w:type="dxa"/>
            <w:shd w:val="clear" w:color="auto" w:fill="auto"/>
          </w:tcPr>
          <w:p w14:paraId="1CD32768" w14:textId="5FD3C45A" w:rsidR="009B2E68" w:rsidRPr="00E968E5" w:rsidRDefault="009B2E68" w:rsidP="00E968E5">
            <w:pPr>
              <w:spacing w:after="0" w:line="240" w:lineRule="auto"/>
              <w:jc w:val="center"/>
            </w:pPr>
            <w:r w:rsidRPr="00E968E5">
              <w:t>2011</w:t>
            </w:r>
            <w:r w:rsidR="000D2599">
              <w:rPr>
                <w:b/>
              </w:rPr>
              <w:t>–</w:t>
            </w:r>
            <w:r w:rsidRPr="00E968E5">
              <w:t>16</w:t>
            </w:r>
          </w:p>
        </w:tc>
        <w:tc>
          <w:tcPr>
            <w:tcW w:w="2427" w:type="dxa"/>
            <w:shd w:val="clear" w:color="auto" w:fill="auto"/>
          </w:tcPr>
          <w:p w14:paraId="6B9B8E2E" w14:textId="77777777" w:rsidR="009B2E68" w:rsidRPr="00E968E5" w:rsidRDefault="009B2E68" w:rsidP="00E968E5">
            <w:pPr>
              <w:spacing w:after="0" w:line="240" w:lineRule="auto"/>
              <w:jc w:val="center"/>
            </w:pPr>
            <w:r w:rsidRPr="00E968E5">
              <w:t>5 years</w:t>
            </w:r>
          </w:p>
        </w:tc>
      </w:tr>
      <w:tr w:rsidR="003E151C" w:rsidRPr="00E968E5" w14:paraId="46B97BBC" w14:textId="77777777" w:rsidTr="00ED7E53">
        <w:tc>
          <w:tcPr>
            <w:tcW w:w="4015" w:type="dxa"/>
            <w:shd w:val="clear" w:color="auto" w:fill="D8DBDA"/>
          </w:tcPr>
          <w:p w14:paraId="2A20ACDE" w14:textId="77777777" w:rsidR="009B2E68" w:rsidRPr="00E968E5" w:rsidRDefault="009B2E68" w:rsidP="00E968E5">
            <w:pPr>
              <w:spacing w:after="0" w:line="240" w:lineRule="auto"/>
            </w:pPr>
            <w:r w:rsidRPr="00E968E5">
              <w:t>Vietnam Support to Respond to Climate Change</w:t>
            </w:r>
          </w:p>
        </w:tc>
        <w:tc>
          <w:tcPr>
            <w:tcW w:w="3763" w:type="dxa"/>
            <w:shd w:val="clear" w:color="auto" w:fill="auto"/>
          </w:tcPr>
          <w:p w14:paraId="4294770C" w14:textId="2D303E4A" w:rsidR="009B2E68" w:rsidRPr="00E968E5" w:rsidRDefault="009B2E68" w:rsidP="00E968E5">
            <w:pPr>
              <w:spacing w:after="0" w:line="240" w:lineRule="auto"/>
              <w:jc w:val="center"/>
            </w:pPr>
            <w:r w:rsidRPr="00E968E5">
              <w:t>2011</w:t>
            </w:r>
            <w:r w:rsidR="000D2599">
              <w:rPr>
                <w:b/>
              </w:rPr>
              <w:t>–</w:t>
            </w:r>
            <w:r w:rsidRPr="00E968E5">
              <w:t>16</w:t>
            </w:r>
          </w:p>
        </w:tc>
        <w:tc>
          <w:tcPr>
            <w:tcW w:w="2427" w:type="dxa"/>
            <w:shd w:val="clear" w:color="auto" w:fill="auto"/>
          </w:tcPr>
          <w:p w14:paraId="54A7DC41" w14:textId="77777777" w:rsidR="009B2E68" w:rsidRPr="00E968E5" w:rsidRDefault="009B2E68" w:rsidP="00E968E5">
            <w:pPr>
              <w:spacing w:after="0" w:line="240" w:lineRule="auto"/>
              <w:jc w:val="center"/>
            </w:pPr>
            <w:r w:rsidRPr="00E968E5">
              <w:t>5 years</w:t>
            </w:r>
          </w:p>
        </w:tc>
      </w:tr>
    </w:tbl>
    <w:p w14:paraId="54CCB822" w14:textId="77777777" w:rsidR="00CE366C" w:rsidRDefault="00CE366C" w:rsidP="00843940"/>
    <w:p w14:paraId="4CC0CC37" w14:textId="6C8D11E4" w:rsidR="00F508EE" w:rsidRDefault="001D3258" w:rsidP="00843940">
      <w:r>
        <w:t>Similarly</w:t>
      </w:r>
      <w:r w:rsidR="001405A5">
        <w:t>,</w:t>
      </w:r>
      <w:r>
        <w:t xml:space="preserve"> DFAT’s support to </w:t>
      </w:r>
      <w:r w:rsidR="00CC12CB">
        <w:t>COSP</w:t>
      </w:r>
      <w:r w:rsidR="005177E2">
        <w:t>Pac</w:t>
      </w:r>
      <w:r w:rsidR="00CC12CB">
        <w:t xml:space="preserve"> </w:t>
      </w:r>
      <w:r w:rsidR="003635DB">
        <w:t xml:space="preserve">has involved </w:t>
      </w:r>
      <w:r w:rsidR="00231AFA">
        <w:t>15</w:t>
      </w:r>
      <w:r w:rsidR="00FD52F1">
        <w:t xml:space="preserve"> years of </w:t>
      </w:r>
      <w:r w:rsidR="00ED7E53">
        <w:t>cooperation</w:t>
      </w:r>
      <w:r w:rsidR="001B118B">
        <w:t xml:space="preserve"> and relationship</w:t>
      </w:r>
      <w:r w:rsidR="00A60B93">
        <w:t xml:space="preserve"> </w:t>
      </w:r>
      <w:r w:rsidR="001B118B">
        <w:t>building</w:t>
      </w:r>
      <w:r w:rsidR="00FD52F1">
        <w:t xml:space="preserve"> between </w:t>
      </w:r>
      <w:r>
        <w:t xml:space="preserve">Australia’s </w:t>
      </w:r>
      <w:r w:rsidR="00961648">
        <w:t>BOM</w:t>
      </w:r>
      <w:r>
        <w:t xml:space="preserve">, </w:t>
      </w:r>
      <w:r w:rsidR="00961648">
        <w:t>t</w:t>
      </w:r>
      <w:r w:rsidR="00AE6914">
        <w:t xml:space="preserve">he </w:t>
      </w:r>
      <w:r>
        <w:t>SPC</w:t>
      </w:r>
      <w:r w:rsidR="00FD52F1">
        <w:t xml:space="preserve">, </w:t>
      </w:r>
      <w:r w:rsidR="00AE6914">
        <w:t>t</w:t>
      </w:r>
      <w:r w:rsidR="005177E2">
        <w:t xml:space="preserve">he </w:t>
      </w:r>
      <w:bookmarkStart w:id="65" w:name="_Hlk518598800"/>
      <w:r w:rsidR="005177E2">
        <w:t>Secretariat of the Pacific Regional Environment Program (</w:t>
      </w:r>
      <w:r w:rsidR="00FD52F1">
        <w:t>SPREP</w:t>
      </w:r>
      <w:r w:rsidR="005177E2">
        <w:t>)</w:t>
      </w:r>
      <w:bookmarkEnd w:id="65"/>
      <w:r w:rsidR="00FD52F1">
        <w:t>, Geo</w:t>
      </w:r>
      <w:r w:rsidR="003735E3">
        <w:t>s</w:t>
      </w:r>
      <w:r w:rsidR="00FD52F1">
        <w:t xml:space="preserve">cience Australia and the </w:t>
      </w:r>
      <w:r>
        <w:t>meteorology offices in Pacific</w:t>
      </w:r>
      <w:r w:rsidR="00231AFA">
        <w:t xml:space="preserve"> </w:t>
      </w:r>
      <w:r w:rsidR="00231AFA" w:rsidRPr="00A779C1">
        <w:t>countries</w:t>
      </w:r>
      <w:r w:rsidR="00F17ECD" w:rsidRPr="00A779C1">
        <w:t xml:space="preserve"> (Box</w:t>
      </w:r>
      <w:r w:rsidR="00E15A24" w:rsidRPr="00A779C1">
        <w:t xml:space="preserve"> </w:t>
      </w:r>
      <w:r w:rsidR="00D04A94" w:rsidRPr="00A779C1">
        <w:t>2</w:t>
      </w:r>
      <w:r w:rsidR="00D7147D" w:rsidRPr="00A779C1">
        <w:t>)</w:t>
      </w:r>
      <w:r w:rsidR="00E1416A" w:rsidRPr="00A779C1">
        <w:t>.</w:t>
      </w:r>
      <w:r w:rsidR="00110D83" w:rsidRPr="00A779C1">
        <w:t xml:space="preserve"> </w:t>
      </w:r>
      <w:r w:rsidR="00E17661" w:rsidRPr="00A779C1">
        <w:t>An inclusive</w:t>
      </w:r>
      <w:r w:rsidR="00E17661">
        <w:t xml:space="preserve"> design and governance arrang</w:t>
      </w:r>
      <w:r w:rsidR="004F4550">
        <w:t>e</w:t>
      </w:r>
      <w:r w:rsidR="00E17661">
        <w:t>ment</w:t>
      </w:r>
      <w:r w:rsidR="00CD7E33">
        <w:t xml:space="preserve"> enabled strong</w:t>
      </w:r>
      <w:r w:rsidR="00FD4CAE">
        <w:t xml:space="preserve"> and </w:t>
      </w:r>
      <w:r w:rsidR="00D9247D">
        <w:t xml:space="preserve">trusted </w:t>
      </w:r>
      <w:r w:rsidR="00CD7E33">
        <w:t>relationships</w:t>
      </w:r>
      <w:r w:rsidR="00FD4CAE">
        <w:t xml:space="preserve"> to be developed.</w:t>
      </w:r>
      <w:r w:rsidR="00D33631">
        <w:t xml:space="preserve"> There are areas of mutual benefit.</w:t>
      </w:r>
      <w:r w:rsidR="00110D83">
        <w:t xml:space="preserve"> </w:t>
      </w:r>
      <w:r w:rsidR="00D33631">
        <w:t>Australia benefits from monitoring and understanding climate</w:t>
      </w:r>
      <w:r w:rsidR="00961648">
        <w:t>-</w:t>
      </w:r>
      <w:r w:rsidR="00D33631">
        <w:t xml:space="preserve">related data in the Pacific to </w:t>
      </w:r>
      <w:r w:rsidR="00231AFA">
        <w:t xml:space="preserve">have a more complete picture of </w:t>
      </w:r>
      <w:r w:rsidR="00B17FAF">
        <w:t xml:space="preserve">regional climate change </w:t>
      </w:r>
      <w:r w:rsidR="00D33631">
        <w:t>impacts</w:t>
      </w:r>
      <w:r w:rsidR="00AE6914">
        <w:t>. It also contributes</w:t>
      </w:r>
      <w:r w:rsidR="00B17FAF">
        <w:t xml:space="preserve"> to </w:t>
      </w:r>
      <w:r w:rsidR="00D33631">
        <w:t xml:space="preserve">global </w:t>
      </w:r>
      <w:r w:rsidR="001F2D65">
        <w:t xml:space="preserve">weather </w:t>
      </w:r>
      <w:r w:rsidR="00D33631">
        <w:t>reporting</w:t>
      </w:r>
      <w:r w:rsidR="00AE6914">
        <w:t>. T</w:t>
      </w:r>
      <w:r w:rsidR="00D33631">
        <w:t>he Pacific benefits from Australia’s technical expertise and technology.</w:t>
      </w:r>
    </w:p>
    <w:p w14:paraId="1B6727FC" w14:textId="77777777" w:rsidR="00F508EE" w:rsidRDefault="00187131" w:rsidP="00843940">
      <w:r>
        <w:rPr>
          <w:noProof/>
          <w:lang w:eastAsia="en-AU"/>
        </w:rPr>
        <w:lastRenderedPageBreak/>
        <mc:AlternateContent>
          <mc:Choice Requires="wps">
            <w:drawing>
              <wp:inline distT="0" distB="0" distL="0" distR="0" wp14:anchorId="4BD050C0" wp14:editId="11B6ADB8">
                <wp:extent cx="6684010" cy="1562100"/>
                <wp:effectExtent l="0" t="0" r="21590" b="19050"/>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562100"/>
                        </a:xfrm>
                        <a:prstGeom prst="rect">
                          <a:avLst/>
                        </a:prstGeom>
                        <a:solidFill>
                          <a:srgbClr val="89C3B2"/>
                        </a:solidFill>
                        <a:ln w="9525">
                          <a:solidFill>
                            <a:srgbClr val="000000"/>
                          </a:solidFill>
                          <a:miter lim="800000"/>
                          <a:headEnd/>
                          <a:tailEnd/>
                        </a:ln>
                      </wps:spPr>
                      <wps:txbx>
                        <w:txbxContent>
                          <w:p w14:paraId="67C33DBD" w14:textId="7530ACC2" w:rsidR="00825350" w:rsidRPr="001E4B8F" w:rsidRDefault="00825350" w:rsidP="001E4B8F">
                            <w:pPr>
                              <w:pStyle w:val="BoxHeading"/>
                              <w:jc w:val="both"/>
                              <w:rPr>
                                <w:sz w:val="22"/>
                              </w:rPr>
                            </w:pPr>
                            <w:r>
                              <w:rPr>
                                <w:sz w:val="22"/>
                              </w:rPr>
                              <w:t xml:space="preserve">Box 2: </w:t>
                            </w:r>
                            <w:r w:rsidRPr="001E4B8F">
                              <w:rPr>
                                <w:sz w:val="22"/>
                              </w:rPr>
                              <w:t>Outcomes can take time to emerge</w:t>
                            </w:r>
                          </w:p>
                          <w:p w14:paraId="4824593F" w14:textId="55888240" w:rsidR="00825350" w:rsidRPr="001E4B8F" w:rsidRDefault="00825350" w:rsidP="001405A5">
                            <w:pPr>
                              <w:pStyle w:val="BodyText"/>
                              <w:spacing w:after="120"/>
                              <w:jc w:val="both"/>
                              <w:rPr>
                                <w:rFonts w:ascii="Calibri" w:hAnsi="Calibri"/>
                                <w:sz w:val="20"/>
                                <w:szCs w:val="20"/>
                              </w:rPr>
                            </w:pPr>
                            <w:r w:rsidRPr="001E4B8F">
                              <w:rPr>
                                <w:rFonts w:ascii="Calibri" w:hAnsi="Calibri"/>
                                <w:sz w:val="20"/>
                                <w:szCs w:val="20"/>
                              </w:rPr>
                              <w:t>Geoscience Australia maintains earth monitoring stations to help measure sea level rise under the COSPPac program. They function as geospatial reference sites.</w:t>
                            </w:r>
                            <w:r>
                              <w:rPr>
                                <w:rFonts w:ascii="Calibri" w:hAnsi="Calibri"/>
                                <w:sz w:val="20"/>
                                <w:szCs w:val="20"/>
                              </w:rPr>
                              <w:t xml:space="preserve"> </w:t>
                            </w:r>
                            <w:r w:rsidRPr="001E4B8F">
                              <w:rPr>
                                <w:rFonts w:ascii="Calibri" w:hAnsi="Calibri"/>
                                <w:sz w:val="20"/>
                                <w:szCs w:val="20"/>
                              </w:rPr>
                              <w:t xml:space="preserve">These monitoring stations represent valuable infrastructure </w:t>
                            </w:r>
                            <w:r>
                              <w:rPr>
                                <w:rFonts w:ascii="Calibri" w:hAnsi="Calibri"/>
                                <w:sz w:val="20"/>
                                <w:szCs w:val="20"/>
                              </w:rPr>
                              <w:t>and have</w:t>
                            </w:r>
                            <w:r w:rsidRPr="001E4B8F">
                              <w:rPr>
                                <w:rFonts w:ascii="Calibri" w:hAnsi="Calibri"/>
                                <w:sz w:val="20"/>
                                <w:szCs w:val="20"/>
                              </w:rPr>
                              <w:t xml:space="preserve"> a number of other uses for Pacific countries beyond their intended use under COSPPac. They have constituted an important Australian contribution to establishing maritime boundaries in the Pacific and have been crucial for Pacific countries’ pursuit of better land administration, including land titling. These two applications provide direct benefit to Pacific countries, enabling investment, establishing Exclusive Economic Zones, and advancing economic development more generally.</w:t>
                            </w:r>
                            <w:r>
                              <w:rPr>
                                <w:rFonts w:ascii="Calibri" w:hAnsi="Calibri"/>
                                <w:sz w:val="20"/>
                                <w:szCs w:val="20"/>
                              </w:rPr>
                              <w:t xml:space="preserve"> </w:t>
                            </w:r>
                            <w:r w:rsidRPr="001E4B8F">
                              <w:rPr>
                                <w:rFonts w:ascii="Calibri" w:hAnsi="Calibri"/>
                                <w:sz w:val="20"/>
                                <w:szCs w:val="20"/>
                              </w:rPr>
                              <w:t>These secondary benefits, which were not intended in the original design, emerged over time and have increased the value of the investment.</w:t>
                            </w:r>
                          </w:p>
                        </w:txbxContent>
                      </wps:txbx>
                      <wps:bodyPr rot="0" vert="horz" wrap="square" lIns="91440" tIns="45720" rIns="91440" bIns="45720" anchor="t" anchorCtr="0" upright="1">
                        <a:noAutofit/>
                      </wps:bodyPr>
                    </wps:wsp>
                  </a:graphicData>
                </a:graphic>
              </wp:inline>
            </w:drawing>
          </mc:Choice>
          <mc:Fallback>
            <w:pict>
              <v:shape w14:anchorId="4BD050C0" id="Text Box 25" o:spid="_x0000_s1032" type="#_x0000_t202" style="width:526.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" fillcolor="#89c3b2">
                <v:textbox>
                  <w:txbxContent>
                    <w:p w14:paraId="67C33DBD" w14:textId="7530ACC2" w:rsidR="00825350" w:rsidRPr="001E4B8F" w:rsidRDefault="00825350" w:rsidP="001E4B8F">
                      <w:pPr>
                        <w:pStyle w:val="BoxHeading"/>
                        <w:jc w:val="both"/>
                        <w:rPr>
                          <w:sz w:val="22"/>
                        </w:rPr>
                      </w:pPr>
                      <w:r>
                        <w:rPr>
                          <w:sz w:val="22"/>
                        </w:rPr>
                        <w:t xml:space="preserve">Box 2: </w:t>
                      </w:r>
                      <w:r w:rsidRPr="001E4B8F">
                        <w:rPr>
                          <w:sz w:val="22"/>
                        </w:rPr>
                        <w:t>Outcomes can take time to emerge</w:t>
                      </w:r>
                    </w:p>
                    <w:p w14:paraId="4824593F" w14:textId="55888240" w:rsidR="00825350" w:rsidRPr="001E4B8F" w:rsidRDefault="00825350" w:rsidP="001405A5">
                      <w:pPr>
                        <w:pStyle w:val="BodyText"/>
                        <w:spacing w:after="120"/>
                        <w:jc w:val="both"/>
                        <w:rPr>
                          <w:rFonts w:ascii="Calibri" w:hAnsi="Calibri"/>
                          <w:sz w:val="20"/>
                          <w:szCs w:val="20"/>
                        </w:rPr>
                      </w:pPr>
                      <w:r w:rsidRPr="001E4B8F">
                        <w:rPr>
                          <w:rFonts w:ascii="Calibri" w:hAnsi="Calibri"/>
                          <w:sz w:val="20"/>
                          <w:szCs w:val="20"/>
                        </w:rPr>
                        <w:t>Geoscience Australia maintains earth monitoring stations to help measure sea level rise under the COSPPac program. They function as geospatial reference sites.</w:t>
                      </w:r>
                      <w:r>
                        <w:rPr>
                          <w:rFonts w:ascii="Calibri" w:hAnsi="Calibri"/>
                          <w:sz w:val="20"/>
                          <w:szCs w:val="20"/>
                        </w:rPr>
                        <w:t xml:space="preserve"> </w:t>
                      </w:r>
                      <w:r w:rsidRPr="001E4B8F">
                        <w:rPr>
                          <w:rFonts w:ascii="Calibri" w:hAnsi="Calibri"/>
                          <w:sz w:val="20"/>
                          <w:szCs w:val="20"/>
                        </w:rPr>
                        <w:t xml:space="preserve">These monitoring stations represent valuable infrastructure </w:t>
                      </w:r>
                      <w:r>
                        <w:rPr>
                          <w:rFonts w:ascii="Calibri" w:hAnsi="Calibri"/>
                          <w:sz w:val="20"/>
                          <w:szCs w:val="20"/>
                        </w:rPr>
                        <w:t>and have</w:t>
                      </w:r>
                      <w:r w:rsidRPr="001E4B8F">
                        <w:rPr>
                          <w:rFonts w:ascii="Calibri" w:hAnsi="Calibri"/>
                          <w:sz w:val="20"/>
                          <w:szCs w:val="20"/>
                        </w:rPr>
                        <w:t xml:space="preserve"> a number of other uses for Pacific countries beyond their intended use under COSPPac. They have constituted an important Australian contribution to establishing maritime boundaries in the Pacific and have been crucial for Pacific countries’ pursuit of better land administration, including land titling. These two applications provide direct benefit to Pacific countries, enabling investment, establishing Exclusive Economic Zones, and advancing economic development more generally.</w:t>
                      </w:r>
                      <w:r>
                        <w:rPr>
                          <w:rFonts w:ascii="Calibri" w:hAnsi="Calibri"/>
                          <w:sz w:val="20"/>
                          <w:szCs w:val="20"/>
                        </w:rPr>
                        <w:t xml:space="preserve"> </w:t>
                      </w:r>
                      <w:r w:rsidRPr="001E4B8F">
                        <w:rPr>
                          <w:rFonts w:ascii="Calibri" w:hAnsi="Calibri"/>
                          <w:sz w:val="20"/>
                          <w:szCs w:val="20"/>
                        </w:rPr>
                        <w:t>These secondary benefits, which were not intended in the original design, emerged over time and have increased the value of the investment.</w:t>
                      </w:r>
                    </w:p>
                  </w:txbxContent>
                </v:textbox>
                <w10:anchorlock/>
              </v:shape>
            </w:pict>
          </mc:Fallback>
        </mc:AlternateContent>
      </w:r>
    </w:p>
    <w:p w14:paraId="5F75A565" w14:textId="0B82F56A" w:rsidR="00F508EE" w:rsidRDefault="001B118B" w:rsidP="00470DD2">
      <w:pPr>
        <w:pStyle w:val="ListNumber"/>
        <w:rPr>
          <w:b/>
        </w:rPr>
      </w:pPr>
      <w:r>
        <w:rPr>
          <w:b/>
        </w:rPr>
        <w:t>Development</w:t>
      </w:r>
      <w:r w:rsidR="00B938E0">
        <w:rPr>
          <w:b/>
        </w:rPr>
        <w:t>-</w:t>
      </w:r>
      <w:r>
        <w:rPr>
          <w:b/>
        </w:rPr>
        <w:t>first approach</w:t>
      </w:r>
      <w:r w:rsidR="005B5E89">
        <w:rPr>
          <w:b/>
        </w:rPr>
        <w:t xml:space="preserve"> with planned engagement </w:t>
      </w:r>
      <w:r w:rsidR="00282D86">
        <w:rPr>
          <w:b/>
        </w:rPr>
        <w:t xml:space="preserve">across and </w:t>
      </w:r>
      <w:r w:rsidR="005B5E89">
        <w:rPr>
          <w:b/>
        </w:rPr>
        <w:t>at different levels of the system</w:t>
      </w:r>
    </w:p>
    <w:p w14:paraId="30F86E5D" w14:textId="10018706" w:rsidR="009571B9" w:rsidRPr="001024B5" w:rsidRDefault="003B09C2" w:rsidP="009571B9">
      <w:r w:rsidRPr="001024B5">
        <w:t xml:space="preserve">Traditionally, </w:t>
      </w:r>
      <w:r w:rsidR="003C5368" w:rsidRPr="001024B5">
        <w:t xml:space="preserve">across international experience, </w:t>
      </w:r>
      <w:r w:rsidRPr="001024B5">
        <w:t xml:space="preserve">climate change and disaster risks have </w:t>
      </w:r>
      <w:r w:rsidR="003B51C9">
        <w:t>tended to be</w:t>
      </w:r>
      <w:r w:rsidRPr="001024B5">
        <w:t xml:space="preserve"> </w:t>
      </w:r>
      <w:r w:rsidR="006236DC" w:rsidRPr="001024B5">
        <w:t>managed as stand-</w:t>
      </w:r>
      <w:r w:rsidRPr="001024B5">
        <w:t xml:space="preserve">alone activities outside </w:t>
      </w:r>
      <w:r w:rsidR="006236DC" w:rsidRPr="001024B5">
        <w:t>of</w:t>
      </w:r>
      <w:r w:rsidRPr="001024B5">
        <w:t xml:space="preserve"> development policy and practice.</w:t>
      </w:r>
      <w:r w:rsidR="00110D83" w:rsidRPr="001024B5">
        <w:t xml:space="preserve"> </w:t>
      </w:r>
      <w:r w:rsidR="00CD7989" w:rsidRPr="001024B5">
        <w:t xml:space="preserve">They </w:t>
      </w:r>
      <w:r w:rsidR="00CA2B6D" w:rsidRPr="001024B5">
        <w:t xml:space="preserve">have </w:t>
      </w:r>
      <w:r w:rsidR="003C5368" w:rsidRPr="001024B5">
        <w:t xml:space="preserve">often been </w:t>
      </w:r>
      <w:r w:rsidR="00CD7989" w:rsidRPr="001024B5">
        <w:t>externally driven or pilot in nature</w:t>
      </w:r>
      <w:r w:rsidR="003C5368" w:rsidRPr="001024B5">
        <w:t xml:space="preserve"> and have </w:t>
      </w:r>
      <w:r w:rsidR="00CD7989" w:rsidRPr="001024B5">
        <w:t>tended to focus on quick impact at the community level</w:t>
      </w:r>
      <w:r w:rsidR="003B51C9">
        <w:t>,</w:t>
      </w:r>
      <w:r w:rsidR="00CD7989" w:rsidRPr="001024B5">
        <w:t xml:space="preserve"> at the expense of deeper engagement with government actors, making it difficult to sustain activities beyond the lifespan of projects</w:t>
      </w:r>
      <w:r w:rsidR="00E15A24">
        <w:t>.</w:t>
      </w:r>
      <w:r w:rsidR="00CD7989" w:rsidRPr="001024B5">
        <w:rPr>
          <w:rStyle w:val="FootnoteReference"/>
        </w:rPr>
        <w:footnoteReference w:id="13"/>
      </w:r>
      <w:r w:rsidR="00110D83" w:rsidRPr="001024B5">
        <w:t xml:space="preserve"> </w:t>
      </w:r>
      <w:r w:rsidR="00857E51" w:rsidRPr="001024B5">
        <w:t xml:space="preserve">Many </w:t>
      </w:r>
      <w:r w:rsidR="00CD7989" w:rsidRPr="001024B5">
        <w:t xml:space="preserve">development actors </w:t>
      </w:r>
      <w:r w:rsidR="00857E51" w:rsidRPr="001024B5">
        <w:t xml:space="preserve">are now </w:t>
      </w:r>
      <w:r w:rsidR="00CD7989" w:rsidRPr="001024B5">
        <w:t xml:space="preserve">recognising that </w:t>
      </w:r>
      <w:r w:rsidR="006236DC" w:rsidRPr="001024B5">
        <w:t xml:space="preserve">climate and disaster </w:t>
      </w:r>
      <w:r w:rsidRPr="001024B5">
        <w:t>risks are largely rooted in unchecked development</w:t>
      </w:r>
      <w:r w:rsidR="00A60B93">
        <w:t>, which means</w:t>
      </w:r>
      <w:r w:rsidR="00D7147D">
        <w:t xml:space="preserve"> </w:t>
      </w:r>
      <w:r w:rsidR="00AD26DE" w:rsidRPr="001024B5">
        <w:t xml:space="preserve">the absence of controls or adequate </w:t>
      </w:r>
      <w:r w:rsidR="008A0062" w:rsidRPr="001024B5">
        <w:t>consideration of all factors</w:t>
      </w:r>
      <w:r w:rsidRPr="001024B5">
        <w:t>.</w:t>
      </w:r>
      <w:r w:rsidR="00110D83" w:rsidRPr="001024B5">
        <w:t xml:space="preserve"> </w:t>
      </w:r>
      <w:r w:rsidR="00857E51" w:rsidRPr="001024B5">
        <w:t xml:space="preserve">There is a shift from </w:t>
      </w:r>
      <w:r w:rsidR="00006971">
        <w:t>a</w:t>
      </w:r>
      <w:r w:rsidR="00857E51" w:rsidRPr="001024B5">
        <w:t xml:space="preserve"> hazard</w:t>
      </w:r>
      <w:r w:rsidR="009F3963" w:rsidRPr="001024B5">
        <w:t>-</w:t>
      </w:r>
      <w:r w:rsidR="00006971">
        <w:t>first approach</w:t>
      </w:r>
      <w:r w:rsidR="00857E51" w:rsidRPr="001024B5">
        <w:t xml:space="preserve"> to a development</w:t>
      </w:r>
      <w:r w:rsidR="009F3963" w:rsidRPr="001024B5">
        <w:t>-</w:t>
      </w:r>
      <w:r w:rsidR="00857E51" w:rsidRPr="001024B5">
        <w:t>first approach.</w:t>
      </w:r>
      <w:r w:rsidR="00110D83" w:rsidRPr="001024B5">
        <w:t xml:space="preserve"> </w:t>
      </w:r>
      <w:r w:rsidR="00857E51" w:rsidRPr="001024B5">
        <w:t xml:space="preserve">Embodied in the </w:t>
      </w:r>
      <w:r w:rsidR="008A0062" w:rsidRPr="001024B5">
        <w:t xml:space="preserve">nascent </w:t>
      </w:r>
      <w:r w:rsidR="00857E51" w:rsidRPr="001024B5">
        <w:t>Framework for Resilient Development in the Pacific</w:t>
      </w:r>
      <w:r w:rsidR="008A0062" w:rsidRPr="001024B5">
        <w:rPr>
          <w:rStyle w:val="FootnoteReference"/>
        </w:rPr>
        <w:footnoteReference w:id="14"/>
      </w:r>
      <w:r w:rsidR="00857E51" w:rsidRPr="001024B5">
        <w:t xml:space="preserve"> (201</w:t>
      </w:r>
      <w:r w:rsidR="00F508EE" w:rsidRPr="001024B5">
        <w:t>7</w:t>
      </w:r>
      <w:r w:rsidR="000D2599">
        <w:t>–</w:t>
      </w:r>
      <w:r w:rsidR="00857E51" w:rsidRPr="001024B5">
        <w:t>30)</w:t>
      </w:r>
      <w:r w:rsidR="00AF5302" w:rsidRPr="001024B5">
        <w:t>,</w:t>
      </w:r>
      <w:r w:rsidR="00857E51" w:rsidRPr="001024B5">
        <w:t xml:space="preserve"> as well as World Bank </w:t>
      </w:r>
      <w:r w:rsidR="001024B5">
        <w:t xml:space="preserve">climate </w:t>
      </w:r>
      <w:r w:rsidR="00857E51" w:rsidRPr="001024B5">
        <w:t xml:space="preserve">screening tools, the approach </w:t>
      </w:r>
      <w:r w:rsidR="00AA0D3A" w:rsidRPr="00AA0D3A">
        <w:t>aims to mainstream climate considerations into existing development priorities and associated planning and decision-making</w:t>
      </w:r>
      <w:r w:rsidR="000D2599">
        <w:t>.</w:t>
      </w:r>
      <w:r w:rsidR="00AA0D3A">
        <w:rPr>
          <w:rStyle w:val="FootnoteReference"/>
          <w:b/>
        </w:rPr>
        <w:footnoteReference w:id="15"/>
      </w:r>
      <w:r w:rsidR="00110D83" w:rsidRPr="001024B5">
        <w:t xml:space="preserve"> </w:t>
      </w:r>
      <w:r w:rsidR="00857E51" w:rsidRPr="001024B5">
        <w:t xml:space="preserve">The </w:t>
      </w:r>
      <w:r w:rsidR="009F3963" w:rsidRPr="001024B5">
        <w:t>d</w:t>
      </w:r>
      <w:r w:rsidR="00857E51" w:rsidRPr="001024B5">
        <w:t xml:space="preserve">evelopment-first approach </w:t>
      </w:r>
      <w:r w:rsidR="00006971">
        <w:t>begins with an</w:t>
      </w:r>
      <w:r w:rsidR="009571B9">
        <w:t xml:space="preserve"> </w:t>
      </w:r>
      <w:r w:rsidR="009571B9" w:rsidRPr="009571B9">
        <w:t xml:space="preserve">understanding </w:t>
      </w:r>
      <w:r w:rsidR="00006971">
        <w:t xml:space="preserve">of the </w:t>
      </w:r>
      <w:r w:rsidR="009571B9" w:rsidRPr="009571B9">
        <w:t>development goals in a given country or community, the inputs and conditions necessary to achieve those goals, and the</w:t>
      </w:r>
      <w:r w:rsidR="00A60B93">
        <w:t xml:space="preserve"> climate and non-climate</w:t>
      </w:r>
      <w:r w:rsidR="009571B9" w:rsidRPr="009571B9">
        <w:t xml:space="preserve"> stresses</w:t>
      </w:r>
      <w:r w:rsidR="00A60B93">
        <w:t xml:space="preserve"> </w:t>
      </w:r>
      <w:r w:rsidR="009571B9" w:rsidRPr="009571B9">
        <w:t>that can impede progress toward those goals, in order to then identify priority adaptation measures</w:t>
      </w:r>
      <w:r w:rsidR="00E15A24">
        <w:t>.</w:t>
      </w:r>
      <w:r w:rsidR="009571B9">
        <w:rPr>
          <w:rStyle w:val="FootnoteReference"/>
        </w:rPr>
        <w:footnoteReference w:id="16"/>
      </w:r>
    </w:p>
    <w:p w14:paraId="004D1F5B" w14:textId="2057EC7C" w:rsidR="00F508EE" w:rsidRDefault="004E73D2" w:rsidP="004E73D2">
      <w:r>
        <w:t xml:space="preserve">The </w:t>
      </w:r>
      <w:r w:rsidR="003C5368">
        <w:t xml:space="preserve">Australian </w:t>
      </w:r>
      <w:r>
        <w:t>investments that were successful had a greater orientation to the development</w:t>
      </w:r>
      <w:r w:rsidR="00B74C26">
        <w:t>-</w:t>
      </w:r>
      <w:r>
        <w:t>first approach.</w:t>
      </w:r>
      <w:r w:rsidR="00110D83">
        <w:t xml:space="preserve"> </w:t>
      </w:r>
      <w:r>
        <w:t xml:space="preserve">They identify entry points into climate change and disaster resilience by analysing the </w:t>
      </w:r>
      <w:r w:rsidR="00006971">
        <w:t xml:space="preserve">country or sector development </w:t>
      </w:r>
      <w:r>
        <w:t xml:space="preserve">context and </w:t>
      </w:r>
      <w:r w:rsidR="00B74C26">
        <w:t xml:space="preserve">pinpointing </w:t>
      </w:r>
      <w:r>
        <w:t>where best to provide support.</w:t>
      </w:r>
      <w:r w:rsidR="00110D83">
        <w:t xml:space="preserve"> </w:t>
      </w:r>
      <w:r>
        <w:t>For example</w:t>
      </w:r>
      <w:r w:rsidR="00714E82">
        <w:t>,</w:t>
      </w:r>
      <w:r>
        <w:t xml:space="preserve"> the </w:t>
      </w:r>
      <w:r w:rsidRPr="00C44324">
        <w:t>P</w:t>
      </w:r>
      <w:r w:rsidR="00E15A24" w:rsidRPr="00C44324">
        <w:t>RRP</w:t>
      </w:r>
      <w:r w:rsidRPr="00C44324">
        <w:t xml:space="preserve"> (</w:t>
      </w:r>
      <w:r w:rsidRPr="00A779C1">
        <w:t>Box</w:t>
      </w:r>
      <w:r w:rsidR="000D2599" w:rsidRPr="00A779C1">
        <w:t xml:space="preserve"> </w:t>
      </w:r>
      <w:r w:rsidR="00D04A94" w:rsidRPr="00A779C1">
        <w:t>3</w:t>
      </w:r>
      <w:r w:rsidRPr="00A779C1">
        <w:t>)</w:t>
      </w:r>
      <w:r>
        <w:t xml:space="preserve"> helped to strengthen risk governance by engaging multiple sectors in </w:t>
      </w:r>
      <w:r w:rsidR="00B74C26">
        <w:t xml:space="preserve">planning at </w:t>
      </w:r>
      <w:r>
        <w:t>national and provincial level</w:t>
      </w:r>
      <w:r w:rsidR="001E3951">
        <w:t>s</w:t>
      </w:r>
      <w:r>
        <w:t xml:space="preserve"> around climate and risk resilience.</w:t>
      </w:r>
      <w:r w:rsidR="00110D83">
        <w:t xml:space="preserve"> </w:t>
      </w:r>
      <w:r>
        <w:t>COSPPac identified sectoral entry points, helping the Solomon Islands Meteorology Service to work closely with the Ministry of Health to provide targeted information about malaria prevention.</w:t>
      </w:r>
      <w:r w:rsidR="00110D83">
        <w:t xml:space="preserve"> </w:t>
      </w:r>
      <w:r>
        <w:t xml:space="preserve">These entry points are often emergent and </w:t>
      </w:r>
      <w:r w:rsidR="00F17ECD">
        <w:t>opportunistic,</w:t>
      </w:r>
      <w:r>
        <w:t xml:space="preserve"> so the investments were flexible enough to scan the environment for opportunities to meet the needs of communities or other end users (</w:t>
      </w:r>
      <w:r w:rsidR="00066AE6">
        <w:t>for example,</w:t>
      </w:r>
      <w:r>
        <w:t xml:space="preserve"> policy makers in different sectors </w:t>
      </w:r>
      <w:r w:rsidR="00066AE6">
        <w:t xml:space="preserve">who </w:t>
      </w:r>
      <w:r>
        <w:t>could use the climate</w:t>
      </w:r>
      <w:r w:rsidR="00066AE6">
        <w:t>-</w:t>
      </w:r>
      <w:r>
        <w:t>related information). Whil</w:t>
      </w:r>
      <w:r w:rsidR="00066AE6">
        <w:t>e</w:t>
      </w:r>
      <w:r>
        <w:t xml:space="preserve"> this flexibility is important, it is usefully </w:t>
      </w:r>
      <w:r w:rsidRPr="00F17ECD">
        <w:t>planned</w:t>
      </w:r>
      <w:r>
        <w:t xml:space="preserve"> into investments at the start and not left to chance.</w:t>
      </w:r>
    </w:p>
    <w:p w14:paraId="29B88D3F" w14:textId="75348FC1" w:rsidR="00E57CDD" w:rsidRDefault="00E57CDD" w:rsidP="00ED7E53">
      <w:pPr>
        <w:pStyle w:val="ListNumber"/>
        <w:numPr>
          <w:ilvl w:val="0"/>
          <w:numId w:val="0"/>
        </w:numPr>
        <w:ind w:left="227"/>
        <w:rPr>
          <w:b/>
        </w:rPr>
      </w:pPr>
    </w:p>
    <w:p w14:paraId="280F83A7" w14:textId="68182198" w:rsidR="007E000D" w:rsidRDefault="009571B9" w:rsidP="00470DD2">
      <w:pPr>
        <w:pStyle w:val="ListNumber"/>
        <w:rPr>
          <w:b/>
        </w:rPr>
      </w:pPr>
      <w:r>
        <w:rPr>
          <w:noProof/>
          <w:lang w:eastAsia="en-AU"/>
        </w:rPr>
        <w:lastRenderedPageBreak/>
        <mc:AlternateContent>
          <mc:Choice Requires="wps">
            <w:drawing>
              <wp:anchor distT="0" distB="0" distL="114300" distR="114300" simplePos="0" relativeHeight="251656192" behindDoc="0" locked="0" layoutInCell="1" allowOverlap="1" wp14:anchorId="1FCBB1F9" wp14:editId="6233EA8F">
                <wp:simplePos x="0" y="0"/>
                <wp:positionH relativeFrom="column">
                  <wp:posOffset>-149225</wp:posOffset>
                </wp:positionH>
                <wp:positionV relativeFrom="paragraph">
                  <wp:posOffset>-299884</wp:posOffset>
                </wp:positionV>
                <wp:extent cx="6609080" cy="2543810"/>
                <wp:effectExtent l="0" t="0" r="20320" b="27940"/>
                <wp:wrapThrough wrapText="bothSides">
                  <wp:wrapPolygon edited="0">
                    <wp:start x="0" y="0"/>
                    <wp:lineTo x="0" y="21675"/>
                    <wp:lineTo x="21604" y="21675"/>
                    <wp:lineTo x="21604" y="0"/>
                    <wp:lineTo x="0" y="0"/>
                  </wp:wrapPolygon>
                </wp:wrapThrough>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543810"/>
                        </a:xfrm>
                        <a:prstGeom prst="rect">
                          <a:avLst/>
                        </a:prstGeom>
                        <a:solidFill>
                          <a:srgbClr val="89C3B2"/>
                        </a:solidFill>
                        <a:ln w="9525">
                          <a:solidFill>
                            <a:srgbClr val="000000"/>
                          </a:solidFill>
                          <a:miter lim="800000"/>
                          <a:headEnd/>
                          <a:tailEnd/>
                        </a:ln>
                      </wps:spPr>
                      <wps:txbx>
                        <w:txbxContent>
                          <w:p w14:paraId="21BBDCE9" w14:textId="70F9ABFC" w:rsidR="00825350" w:rsidRPr="001E4B8F" w:rsidRDefault="00825350" w:rsidP="001E4B8F">
                            <w:pPr>
                              <w:pStyle w:val="BoxHeading"/>
                              <w:jc w:val="both"/>
                              <w:rPr>
                                <w:sz w:val="22"/>
                              </w:rPr>
                            </w:pPr>
                            <w:r>
                              <w:rPr>
                                <w:sz w:val="22"/>
                              </w:rPr>
                              <w:t xml:space="preserve">Box 3: </w:t>
                            </w:r>
                            <w:r w:rsidRPr="001E4B8F">
                              <w:rPr>
                                <w:sz w:val="22"/>
                              </w:rPr>
                              <w:t xml:space="preserve">Using a </w:t>
                            </w:r>
                            <w:r>
                              <w:rPr>
                                <w:sz w:val="22"/>
                              </w:rPr>
                              <w:t>d</w:t>
                            </w:r>
                            <w:r w:rsidRPr="001E4B8F">
                              <w:rPr>
                                <w:sz w:val="22"/>
                              </w:rPr>
                              <w:t>evelopment-</w:t>
                            </w:r>
                            <w:r>
                              <w:rPr>
                                <w:sz w:val="22"/>
                              </w:rPr>
                              <w:t>f</w:t>
                            </w:r>
                            <w:r w:rsidRPr="001E4B8F">
                              <w:rPr>
                                <w:sz w:val="22"/>
                              </w:rPr>
                              <w:t xml:space="preserve">irst </w:t>
                            </w:r>
                            <w:r>
                              <w:rPr>
                                <w:sz w:val="22"/>
                              </w:rPr>
                              <w:t>a</w:t>
                            </w:r>
                            <w:r w:rsidRPr="001E4B8F">
                              <w:rPr>
                                <w:sz w:val="22"/>
                              </w:rPr>
                              <w:t>pproach, the Pacific Risk Resilience Program</w:t>
                            </w:r>
                          </w:p>
                          <w:p w14:paraId="3F16913D" w14:textId="18651E16" w:rsidR="00825350" w:rsidRPr="001E4B8F" w:rsidRDefault="00825350" w:rsidP="001E4B8F">
                            <w:pPr>
                              <w:pStyle w:val="BodyText"/>
                              <w:jc w:val="both"/>
                              <w:rPr>
                                <w:rFonts w:ascii="Calibri" w:hAnsi="Calibri"/>
                                <w:sz w:val="20"/>
                                <w:szCs w:val="20"/>
                              </w:rPr>
                            </w:pPr>
                            <w:r>
                              <w:rPr>
                                <w:rFonts w:ascii="Calibri" w:hAnsi="Calibri"/>
                                <w:sz w:val="20"/>
                                <w:szCs w:val="20"/>
                              </w:rPr>
                              <w:t xml:space="preserve">The </w:t>
                            </w:r>
                            <w:r w:rsidRPr="001E4B8F">
                              <w:rPr>
                                <w:rFonts w:ascii="Calibri" w:hAnsi="Calibri"/>
                                <w:sz w:val="20"/>
                                <w:szCs w:val="20"/>
                              </w:rPr>
                              <w:t>PRRP works in four countries, Fiji, Solomon Islands, Tonga and Vanuatu</w:t>
                            </w:r>
                            <w:r>
                              <w:rPr>
                                <w:rFonts w:ascii="Calibri" w:hAnsi="Calibri"/>
                                <w:sz w:val="20"/>
                                <w:szCs w:val="20"/>
                              </w:rPr>
                              <w:t>. It</w:t>
                            </w:r>
                            <w:r w:rsidRPr="001E4B8F">
                              <w:rPr>
                                <w:rFonts w:ascii="Calibri" w:hAnsi="Calibri"/>
                                <w:sz w:val="20"/>
                                <w:szCs w:val="20"/>
                              </w:rPr>
                              <w:t xml:space="preserve"> aims to achieve effective integration of community risk reduction, preparedness and response to disasters with national and sub</w:t>
                            </w:r>
                            <w:r>
                              <w:rPr>
                                <w:rFonts w:ascii="Calibri" w:hAnsi="Calibri"/>
                                <w:sz w:val="20"/>
                                <w:szCs w:val="20"/>
                              </w:rPr>
                              <w:t>-</w:t>
                            </w:r>
                            <w:r w:rsidRPr="001E4B8F">
                              <w:rPr>
                                <w:rFonts w:ascii="Calibri" w:hAnsi="Calibri"/>
                                <w:sz w:val="20"/>
                                <w:szCs w:val="20"/>
                              </w:rPr>
                              <w:t>national government plans and procedures. The 2017 indepen</w:t>
                            </w:r>
                            <w:r>
                              <w:rPr>
                                <w:rFonts w:ascii="Calibri" w:hAnsi="Calibri"/>
                                <w:sz w:val="20"/>
                                <w:szCs w:val="20"/>
                              </w:rPr>
                              <w:t xml:space="preserve">dent evaluation of the program </w:t>
                            </w:r>
                            <w:r w:rsidRPr="001E4B8F">
                              <w:rPr>
                                <w:rFonts w:ascii="Calibri" w:hAnsi="Calibri"/>
                                <w:sz w:val="20"/>
                                <w:szCs w:val="20"/>
                              </w:rPr>
                              <w:t xml:space="preserve">notes that while there are mixed results across the four countries, there are examples of strong success, </w:t>
                            </w:r>
                            <w:r>
                              <w:rPr>
                                <w:rFonts w:ascii="Calibri" w:hAnsi="Calibri"/>
                                <w:sz w:val="20"/>
                                <w:szCs w:val="20"/>
                              </w:rPr>
                              <w:t xml:space="preserve">evidence of </w:t>
                            </w:r>
                            <w:r w:rsidRPr="001E4B8F">
                              <w:rPr>
                                <w:rFonts w:ascii="Calibri" w:hAnsi="Calibri"/>
                                <w:sz w:val="20"/>
                                <w:szCs w:val="20"/>
                              </w:rPr>
                              <w:t>government ownership and good prospects for program replication and scale-up.</w:t>
                            </w:r>
                          </w:p>
                          <w:p w14:paraId="5FCEACA5" w14:textId="24467689" w:rsidR="00825350" w:rsidRPr="001E4B8F" w:rsidRDefault="00825350" w:rsidP="001E4B8F">
                            <w:pPr>
                              <w:pStyle w:val="BodyText"/>
                              <w:jc w:val="both"/>
                              <w:rPr>
                                <w:rFonts w:ascii="Calibri" w:hAnsi="Calibri"/>
                                <w:sz w:val="20"/>
                                <w:szCs w:val="20"/>
                              </w:rPr>
                            </w:pPr>
                            <w:r w:rsidRPr="001E4B8F">
                              <w:rPr>
                                <w:rFonts w:ascii="Calibri" w:hAnsi="Calibri"/>
                                <w:sz w:val="20"/>
                                <w:szCs w:val="20"/>
                              </w:rPr>
                              <w:t>The design for PRRP takes an integrated, whole</w:t>
                            </w:r>
                            <w:r>
                              <w:rPr>
                                <w:rFonts w:ascii="Calibri" w:hAnsi="Calibri"/>
                                <w:sz w:val="20"/>
                                <w:szCs w:val="20"/>
                              </w:rPr>
                              <w:t>-</w:t>
                            </w:r>
                            <w:r w:rsidRPr="001E4B8F">
                              <w:rPr>
                                <w:rFonts w:ascii="Calibri" w:hAnsi="Calibri"/>
                                <w:sz w:val="20"/>
                                <w:szCs w:val="20"/>
                              </w:rPr>
                              <w:t>of</w:t>
                            </w:r>
                            <w:r>
                              <w:rPr>
                                <w:rFonts w:ascii="Calibri" w:hAnsi="Calibri"/>
                                <w:sz w:val="20"/>
                                <w:szCs w:val="20"/>
                              </w:rPr>
                              <w:t>-</w:t>
                            </w:r>
                            <w:r w:rsidRPr="001E4B8F">
                              <w:rPr>
                                <w:rFonts w:ascii="Calibri" w:hAnsi="Calibri"/>
                                <w:sz w:val="20"/>
                                <w:szCs w:val="20"/>
                              </w:rPr>
                              <w:t>government approach to the management of disaster risk and links these to community</w:t>
                            </w:r>
                            <w:r>
                              <w:rPr>
                                <w:rFonts w:ascii="Calibri" w:hAnsi="Calibri"/>
                                <w:sz w:val="20"/>
                                <w:szCs w:val="20"/>
                              </w:rPr>
                              <w:t>-</w:t>
                            </w:r>
                            <w:r w:rsidRPr="001E4B8F">
                              <w:rPr>
                                <w:rFonts w:ascii="Calibri" w:hAnsi="Calibri"/>
                                <w:sz w:val="20"/>
                                <w:szCs w:val="20"/>
                              </w:rPr>
                              <w:t xml:space="preserve">based issues, so engagement with a range of government levels and areas, and with civil society organisations and the community, is built into how the program is implemented. </w:t>
                            </w:r>
                          </w:p>
                          <w:p w14:paraId="16C22DD4" w14:textId="5E75AD38" w:rsidR="00825350" w:rsidRPr="001E4B8F" w:rsidRDefault="00825350" w:rsidP="001E4B8F">
                            <w:pPr>
                              <w:pStyle w:val="BodyText"/>
                              <w:jc w:val="both"/>
                              <w:rPr>
                                <w:rFonts w:ascii="Calibri" w:hAnsi="Calibri"/>
                                <w:sz w:val="20"/>
                                <w:szCs w:val="20"/>
                              </w:rPr>
                            </w:pPr>
                            <w:r>
                              <w:rPr>
                                <w:rFonts w:ascii="Calibri" w:hAnsi="Calibri"/>
                                <w:sz w:val="20"/>
                                <w:szCs w:val="20"/>
                              </w:rPr>
                              <w:t>PRRP also brings a development-</w:t>
                            </w:r>
                            <w:r w:rsidRPr="001E4B8F">
                              <w:rPr>
                                <w:rFonts w:ascii="Calibri" w:hAnsi="Calibri"/>
                                <w:sz w:val="20"/>
                                <w:szCs w:val="20"/>
                              </w:rPr>
                              <w:t xml:space="preserve">first approach to climate change and </w:t>
                            </w:r>
                            <w:r>
                              <w:rPr>
                                <w:rFonts w:ascii="Calibri" w:hAnsi="Calibri"/>
                                <w:sz w:val="20"/>
                                <w:szCs w:val="20"/>
                              </w:rPr>
                              <w:t>DRR</w:t>
                            </w:r>
                            <w:r w:rsidRPr="001E4B8F">
                              <w:rPr>
                                <w:rFonts w:ascii="Calibri" w:hAnsi="Calibri"/>
                                <w:sz w:val="20"/>
                                <w:szCs w:val="20"/>
                              </w:rPr>
                              <w:t>. Rather than starting with data and projections about climate and hazards as a way to assess risks and opportunities</w:t>
                            </w:r>
                            <w:r>
                              <w:rPr>
                                <w:rFonts w:ascii="Calibri" w:hAnsi="Calibri"/>
                                <w:sz w:val="20"/>
                                <w:szCs w:val="20"/>
                              </w:rPr>
                              <w:t xml:space="preserve"> (a hazard-first approach)</w:t>
                            </w:r>
                            <w:r w:rsidRPr="001E4B8F">
                              <w:rPr>
                                <w:rFonts w:ascii="Calibri" w:hAnsi="Calibri"/>
                                <w:sz w:val="20"/>
                                <w:szCs w:val="20"/>
                              </w:rPr>
                              <w:t>, this approach begins with an understanding of development priorities and uses climate and hazard information to help prioritise actions</w:t>
                            </w:r>
                            <w:r>
                              <w:rPr>
                                <w:rFonts w:ascii="Calibri" w:hAnsi="Calibri"/>
                                <w:sz w:val="20"/>
                                <w:szCs w:val="20"/>
                              </w:rPr>
                              <w:t xml:space="preserve"> to achieve those development priorities</w:t>
                            </w:r>
                            <w:r w:rsidRPr="001E4B8F">
                              <w:rPr>
                                <w:rFonts w:ascii="Calibri" w:hAnsi="Calibri"/>
                                <w:sz w:val="20"/>
                                <w:szCs w:val="20"/>
                              </w:rPr>
                              <w:t xml:space="preserve">. </w:t>
                            </w:r>
                          </w:p>
                        </w:txbxContent>
                      </wps:txbx>
                      <wps:bodyPr rot="0" vert="horz" wrap="square" lIns="91440" tIns="45720" rIns="91440" bIns="45720" anchor="t" anchorCtr="0">
                        <a:noAutofit/>
                      </wps:bodyPr>
                    </wps:wsp>
                  </a:graphicData>
                </a:graphic>
              </wp:anchor>
            </w:drawing>
          </mc:Choice>
          <mc:Fallback>
            <w:pict>
              <v:shape w14:anchorId="1FCBB1F9" id="_x0000_s1033" type="#_x0000_t202" style="position:absolute;left:0;text-align:left;margin-left:-11.75pt;margin-top:-23.6pt;width:520.4pt;height:200.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" fillcolor="#89c3b2">
                <v:textbox>
                  <w:txbxContent>
                    <w:p w14:paraId="21BBDCE9" w14:textId="70F9ABFC" w:rsidR="00825350" w:rsidRPr="001E4B8F" w:rsidRDefault="00825350" w:rsidP="001E4B8F">
                      <w:pPr>
                        <w:pStyle w:val="BoxHeading"/>
                        <w:jc w:val="both"/>
                        <w:rPr>
                          <w:sz w:val="22"/>
                        </w:rPr>
                      </w:pPr>
                      <w:r>
                        <w:rPr>
                          <w:sz w:val="22"/>
                        </w:rPr>
                        <w:t xml:space="preserve">Box 3: </w:t>
                      </w:r>
                      <w:r w:rsidRPr="001E4B8F">
                        <w:rPr>
                          <w:sz w:val="22"/>
                        </w:rPr>
                        <w:t xml:space="preserve">Using a </w:t>
                      </w:r>
                      <w:r>
                        <w:rPr>
                          <w:sz w:val="22"/>
                        </w:rPr>
                        <w:t>d</w:t>
                      </w:r>
                      <w:r w:rsidRPr="001E4B8F">
                        <w:rPr>
                          <w:sz w:val="22"/>
                        </w:rPr>
                        <w:t>evelopment-</w:t>
                      </w:r>
                      <w:r>
                        <w:rPr>
                          <w:sz w:val="22"/>
                        </w:rPr>
                        <w:t>f</w:t>
                      </w:r>
                      <w:r w:rsidRPr="001E4B8F">
                        <w:rPr>
                          <w:sz w:val="22"/>
                        </w:rPr>
                        <w:t xml:space="preserve">irst </w:t>
                      </w:r>
                      <w:r>
                        <w:rPr>
                          <w:sz w:val="22"/>
                        </w:rPr>
                        <w:t>a</w:t>
                      </w:r>
                      <w:r w:rsidRPr="001E4B8F">
                        <w:rPr>
                          <w:sz w:val="22"/>
                        </w:rPr>
                        <w:t>pproach, the Pacific Risk Resilience Program</w:t>
                      </w:r>
                    </w:p>
                    <w:p w14:paraId="3F16913D" w14:textId="18651E16" w:rsidR="00825350" w:rsidRPr="001E4B8F" w:rsidRDefault="00825350" w:rsidP="001E4B8F">
                      <w:pPr>
                        <w:pStyle w:val="BodyText"/>
                        <w:jc w:val="both"/>
                        <w:rPr>
                          <w:rFonts w:ascii="Calibri" w:hAnsi="Calibri"/>
                          <w:sz w:val="20"/>
                          <w:szCs w:val="20"/>
                        </w:rPr>
                      </w:pPr>
                      <w:r>
                        <w:rPr>
                          <w:rFonts w:ascii="Calibri" w:hAnsi="Calibri"/>
                          <w:sz w:val="20"/>
                          <w:szCs w:val="20"/>
                        </w:rPr>
                        <w:t xml:space="preserve">The </w:t>
                      </w:r>
                      <w:r w:rsidRPr="001E4B8F">
                        <w:rPr>
                          <w:rFonts w:ascii="Calibri" w:hAnsi="Calibri"/>
                          <w:sz w:val="20"/>
                          <w:szCs w:val="20"/>
                        </w:rPr>
                        <w:t>PRRP works in four countries, Fiji, Solomon Islands, Tonga and Vanuatu</w:t>
                      </w:r>
                      <w:r>
                        <w:rPr>
                          <w:rFonts w:ascii="Calibri" w:hAnsi="Calibri"/>
                          <w:sz w:val="20"/>
                          <w:szCs w:val="20"/>
                        </w:rPr>
                        <w:t>. It</w:t>
                      </w:r>
                      <w:r w:rsidRPr="001E4B8F">
                        <w:rPr>
                          <w:rFonts w:ascii="Calibri" w:hAnsi="Calibri"/>
                          <w:sz w:val="20"/>
                          <w:szCs w:val="20"/>
                        </w:rPr>
                        <w:t xml:space="preserve"> aims to achieve effective integration of community risk reduction, preparedness and response to disasters with national and sub</w:t>
                      </w:r>
                      <w:r>
                        <w:rPr>
                          <w:rFonts w:ascii="Calibri" w:hAnsi="Calibri"/>
                          <w:sz w:val="20"/>
                          <w:szCs w:val="20"/>
                        </w:rPr>
                        <w:t>-</w:t>
                      </w:r>
                      <w:r w:rsidRPr="001E4B8F">
                        <w:rPr>
                          <w:rFonts w:ascii="Calibri" w:hAnsi="Calibri"/>
                          <w:sz w:val="20"/>
                          <w:szCs w:val="20"/>
                        </w:rPr>
                        <w:t>national government plans and procedures. The 2017 indepen</w:t>
                      </w:r>
                      <w:r>
                        <w:rPr>
                          <w:rFonts w:ascii="Calibri" w:hAnsi="Calibri"/>
                          <w:sz w:val="20"/>
                          <w:szCs w:val="20"/>
                        </w:rPr>
                        <w:t xml:space="preserve">dent evaluation of the program </w:t>
                      </w:r>
                      <w:r w:rsidRPr="001E4B8F">
                        <w:rPr>
                          <w:rFonts w:ascii="Calibri" w:hAnsi="Calibri"/>
                          <w:sz w:val="20"/>
                          <w:szCs w:val="20"/>
                        </w:rPr>
                        <w:t xml:space="preserve">notes that while there are mixed results across the four countries, there are examples of strong success, </w:t>
                      </w:r>
                      <w:r>
                        <w:rPr>
                          <w:rFonts w:ascii="Calibri" w:hAnsi="Calibri"/>
                          <w:sz w:val="20"/>
                          <w:szCs w:val="20"/>
                        </w:rPr>
                        <w:t xml:space="preserve">evidence of </w:t>
                      </w:r>
                      <w:r w:rsidRPr="001E4B8F">
                        <w:rPr>
                          <w:rFonts w:ascii="Calibri" w:hAnsi="Calibri"/>
                          <w:sz w:val="20"/>
                          <w:szCs w:val="20"/>
                        </w:rPr>
                        <w:t>government ownership and good prospects for program replication and scale-up.</w:t>
                      </w:r>
                    </w:p>
                    <w:p w14:paraId="5FCEACA5" w14:textId="24467689" w:rsidR="00825350" w:rsidRPr="001E4B8F" w:rsidRDefault="00825350" w:rsidP="001E4B8F">
                      <w:pPr>
                        <w:pStyle w:val="BodyText"/>
                        <w:jc w:val="both"/>
                        <w:rPr>
                          <w:rFonts w:ascii="Calibri" w:hAnsi="Calibri"/>
                          <w:sz w:val="20"/>
                          <w:szCs w:val="20"/>
                        </w:rPr>
                      </w:pPr>
                      <w:r w:rsidRPr="001E4B8F">
                        <w:rPr>
                          <w:rFonts w:ascii="Calibri" w:hAnsi="Calibri"/>
                          <w:sz w:val="20"/>
                          <w:szCs w:val="20"/>
                        </w:rPr>
                        <w:t>The design for PRRP takes an integrated, whole</w:t>
                      </w:r>
                      <w:r>
                        <w:rPr>
                          <w:rFonts w:ascii="Calibri" w:hAnsi="Calibri"/>
                          <w:sz w:val="20"/>
                          <w:szCs w:val="20"/>
                        </w:rPr>
                        <w:t>-</w:t>
                      </w:r>
                      <w:r w:rsidRPr="001E4B8F">
                        <w:rPr>
                          <w:rFonts w:ascii="Calibri" w:hAnsi="Calibri"/>
                          <w:sz w:val="20"/>
                          <w:szCs w:val="20"/>
                        </w:rPr>
                        <w:t>of</w:t>
                      </w:r>
                      <w:r>
                        <w:rPr>
                          <w:rFonts w:ascii="Calibri" w:hAnsi="Calibri"/>
                          <w:sz w:val="20"/>
                          <w:szCs w:val="20"/>
                        </w:rPr>
                        <w:t>-</w:t>
                      </w:r>
                      <w:r w:rsidRPr="001E4B8F">
                        <w:rPr>
                          <w:rFonts w:ascii="Calibri" w:hAnsi="Calibri"/>
                          <w:sz w:val="20"/>
                          <w:szCs w:val="20"/>
                        </w:rPr>
                        <w:t>government approach to the management of disaster risk and links these to community</w:t>
                      </w:r>
                      <w:r>
                        <w:rPr>
                          <w:rFonts w:ascii="Calibri" w:hAnsi="Calibri"/>
                          <w:sz w:val="20"/>
                          <w:szCs w:val="20"/>
                        </w:rPr>
                        <w:t>-</w:t>
                      </w:r>
                      <w:r w:rsidRPr="001E4B8F">
                        <w:rPr>
                          <w:rFonts w:ascii="Calibri" w:hAnsi="Calibri"/>
                          <w:sz w:val="20"/>
                          <w:szCs w:val="20"/>
                        </w:rPr>
                        <w:t xml:space="preserve">based issues, so engagement with a range of government levels and areas, and with civil society organisations and the community, is built into how the program is implemented. </w:t>
                      </w:r>
                    </w:p>
                    <w:p w14:paraId="16C22DD4" w14:textId="5E75AD38" w:rsidR="00825350" w:rsidRPr="001E4B8F" w:rsidRDefault="00825350" w:rsidP="001E4B8F">
                      <w:pPr>
                        <w:pStyle w:val="BodyText"/>
                        <w:jc w:val="both"/>
                        <w:rPr>
                          <w:rFonts w:ascii="Calibri" w:hAnsi="Calibri"/>
                          <w:sz w:val="20"/>
                          <w:szCs w:val="20"/>
                        </w:rPr>
                      </w:pPr>
                      <w:r>
                        <w:rPr>
                          <w:rFonts w:ascii="Calibri" w:hAnsi="Calibri"/>
                          <w:sz w:val="20"/>
                          <w:szCs w:val="20"/>
                        </w:rPr>
                        <w:t>PRRP also brings a development-</w:t>
                      </w:r>
                      <w:r w:rsidRPr="001E4B8F">
                        <w:rPr>
                          <w:rFonts w:ascii="Calibri" w:hAnsi="Calibri"/>
                          <w:sz w:val="20"/>
                          <w:szCs w:val="20"/>
                        </w:rPr>
                        <w:t xml:space="preserve">first approach to climate change and </w:t>
                      </w:r>
                      <w:r>
                        <w:rPr>
                          <w:rFonts w:ascii="Calibri" w:hAnsi="Calibri"/>
                          <w:sz w:val="20"/>
                          <w:szCs w:val="20"/>
                        </w:rPr>
                        <w:t>DRR</w:t>
                      </w:r>
                      <w:r w:rsidRPr="001E4B8F">
                        <w:rPr>
                          <w:rFonts w:ascii="Calibri" w:hAnsi="Calibri"/>
                          <w:sz w:val="20"/>
                          <w:szCs w:val="20"/>
                        </w:rPr>
                        <w:t>. Rather than starting with data and projections about climate and hazards as a way to assess risks and opportunities</w:t>
                      </w:r>
                      <w:r>
                        <w:rPr>
                          <w:rFonts w:ascii="Calibri" w:hAnsi="Calibri"/>
                          <w:sz w:val="20"/>
                          <w:szCs w:val="20"/>
                        </w:rPr>
                        <w:t xml:space="preserve"> (a hazard-first approach)</w:t>
                      </w:r>
                      <w:r w:rsidRPr="001E4B8F">
                        <w:rPr>
                          <w:rFonts w:ascii="Calibri" w:hAnsi="Calibri"/>
                          <w:sz w:val="20"/>
                          <w:szCs w:val="20"/>
                        </w:rPr>
                        <w:t>, this approach begins with an understanding of development priorities and uses climate and hazard information to help prioritise actions</w:t>
                      </w:r>
                      <w:r>
                        <w:rPr>
                          <w:rFonts w:ascii="Calibri" w:hAnsi="Calibri"/>
                          <w:sz w:val="20"/>
                          <w:szCs w:val="20"/>
                        </w:rPr>
                        <w:t xml:space="preserve"> to achieve those development priorities</w:t>
                      </w:r>
                      <w:r w:rsidRPr="001E4B8F">
                        <w:rPr>
                          <w:rFonts w:ascii="Calibri" w:hAnsi="Calibri"/>
                          <w:sz w:val="20"/>
                          <w:szCs w:val="20"/>
                        </w:rPr>
                        <w:t xml:space="preserve">. </w:t>
                      </w:r>
                    </w:p>
                  </w:txbxContent>
                </v:textbox>
                <w10:wrap type="through"/>
              </v:shape>
            </w:pict>
          </mc:Fallback>
        </mc:AlternateContent>
      </w:r>
      <w:r w:rsidR="00253084">
        <w:rPr>
          <w:b/>
        </w:rPr>
        <w:t xml:space="preserve">Partners had </w:t>
      </w:r>
      <w:r w:rsidR="000F20CB">
        <w:rPr>
          <w:b/>
        </w:rPr>
        <w:t>development</w:t>
      </w:r>
      <w:r w:rsidR="001E3951">
        <w:rPr>
          <w:b/>
        </w:rPr>
        <w:t xml:space="preserve"> </w:t>
      </w:r>
      <w:r w:rsidR="000F20CB">
        <w:rPr>
          <w:b/>
        </w:rPr>
        <w:t xml:space="preserve">focused </w:t>
      </w:r>
      <w:r w:rsidR="00E57CDD">
        <w:rPr>
          <w:b/>
        </w:rPr>
        <w:t>and on-the-ground</w:t>
      </w:r>
      <w:r w:rsidR="00E57CDD" w:rsidRPr="0036584C">
        <w:rPr>
          <w:b/>
        </w:rPr>
        <w:t xml:space="preserve"> implementa</w:t>
      </w:r>
      <w:r w:rsidR="00E57CDD">
        <w:rPr>
          <w:b/>
        </w:rPr>
        <w:t>tion</w:t>
      </w:r>
      <w:r w:rsidR="001C1839" w:rsidRPr="0036584C">
        <w:rPr>
          <w:b/>
        </w:rPr>
        <w:t xml:space="preserve"> </w:t>
      </w:r>
      <w:r w:rsidR="00253084">
        <w:rPr>
          <w:b/>
        </w:rPr>
        <w:t>experience</w:t>
      </w:r>
    </w:p>
    <w:p w14:paraId="763A76C1" w14:textId="17704229" w:rsidR="0036584C" w:rsidRPr="007E000D" w:rsidRDefault="00253084" w:rsidP="00843940">
      <w:pPr>
        <w:rPr>
          <w:b/>
        </w:rPr>
      </w:pPr>
      <w:r>
        <w:t xml:space="preserve">More effective programs were delivered by partners who had existing networks, linkages and credibility delivering development outcomes in the country context. Those that were particularly impactful, started with the needs of direct </w:t>
      </w:r>
      <w:r w:rsidRPr="009B1257">
        <w:t xml:space="preserve">beneficiaries (impacted communities or policy makers) and used sound science </w:t>
      </w:r>
      <w:r w:rsidRPr="000F20CB">
        <w:t>and research to underpin their approach.</w:t>
      </w:r>
      <w:r w:rsidR="00110D83">
        <w:t xml:space="preserve"> </w:t>
      </w:r>
      <w:r w:rsidR="003735E3">
        <w:t>Geoscience</w:t>
      </w:r>
      <w:r w:rsidR="000C1CD2" w:rsidRPr="000F20CB">
        <w:t xml:space="preserve"> Australia drew on </w:t>
      </w:r>
      <w:r w:rsidR="000F20CB">
        <w:t xml:space="preserve">its </w:t>
      </w:r>
      <w:r w:rsidR="000C1CD2" w:rsidRPr="000F20CB">
        <w:t xml:space="preserve">expertise in spatial data and remote sensing to support the PNG Geohazards Division to produce </w:t>
      </w:r>
      <w:r w:rsidR="002C4266">
        <w:t>S</w:t>
      </w:r>
      <w:r w:rsidR="000C1CD2" w:rsidRPr="000F20CB">
        <w:t>hake</w:t>
      </w:r>
      <w:r w:rsidR="002C4266">
        <w:t>M</w:t>
      </w:r>
      <w:r w:rsidR="000C1CD2" w:rsidRPr="000F20CB">
        <w:t>aps for different scenarios and landslide susceptibility maps for sections of the Highlands Highway for use by relevant provincial administrations.</w:t>
      </w:r>
      <w:r w:rsidR="00110D83">
        <w:t xml:space="preserve"> </w:t>
      </w:r>
      <w:r w:rsidR="00EC2EAB">
        <w:t>Whil</w:t>
      </w:r>
      <w:r w:rsidR="002C4266">
        <w:t>e</w:t>
      </w:r>
      <w:r w:rsidR="00EC2EAB">
        <w:t xml:space="preserve"> </w:t>
      </w:r>
      <w:r w:rsidR="002C4266">
        <w:t xml:space="preserve">this is not </w:t>
      </w:r>
      <w:r w:rsidR="00EC2EAB">
        <w:t>in itself a</w:t>
      </w:r>
      <w:r w:rsidR="002C4266">
        <w:t>n outcome</w:t>
      </w:r>
      <w:r w:rsidR="00EC2EAB">
        <w:t xml:space="preserve"> directly </w:t>
      </w:r>
      <w:r w:rsidR="002C4266">
        <w:t xml:space="preserve">related to </w:t>
      </w:r>
      <w:r w:rsidR="00EC2EAB">
        <w:t>climate change</w:t>
      </w:r>
      <w:r w:rsidR="00F508EE">
        <w:t>—</w:t>
      </w:r>
      <w:r w:rsidR="00EC2EAB">
        <w:t>much of the hazards outcomes are not directly weather</w:t>
      </w:r>
      <w:r w:rsidR="002C4266">
        <w:t>-</w:t>
      </w:r>
      <w:r w:rsidR="00EC2EAB">
        <w:t>related in nature</w:t>
      </w:r>
      <w:r w:rsidR="002C4266">
        <w:t>—</w:t>
      </w:r>
      <w:r w:rsidR="00EC2EAB">
        <w:t xml:space="preserve">this </w:t>
      </w:r>
      <w:r w:rsidR="003456F0">
        <w:t xml:space="preserve">engagement </w:t>
      </w:r>
      <w:r w:rsidR="000C1CD2" w:rsidRPr="000F20CB">
        <w:t>has enabled the building of strong institutional relationships between Australia</w:t>
      </w:r>
      <w:r w:rsidR="00241870">
        <w:t>n</w:t>
      </w:r>
      <w:r w:rsidR="000C1CD2" w:rsidRPr="000F20CB">
        <w:t xml:space="preserve"> and PNG technical agencies, as well as the end users</w:t>
      </w:r>
      <w:r w:rsidR="001E3951">
        <w:t xml:space="preserve">, </w:t>
      </w:r>
      <w:r w:rsidR="000C1CD2" w:rsidRPr="000F20CB">
        <w:t xml:space="preserve">of technical information such as </w:t>
      </w:r>
      <w:r w:rsidR="00C63FAA">
        <w:t>international non-government organisations which</w:t>
      </w:r>
      <w:r w:rsidR="00D7147D">
        <w:t xml:space="preserve"> </w:t>
      </w:r>
      <w:r w:rsidR="000C1CD2" w:rsidRPr="000F20CB">
        <w:t>are trying to provide more consistent community messaging on hazards.</w:t>
      </w:r>
      <w:r w:rsidR="00110D83">
        <w:t xml:space="preserve"> </w:t>
      </w:r>
      <w:r w:rsidR="009B1257">
        <w:t xml:space="preserve">Geoscience Australia (along with </w:t>
      </w:r>
      <w:r w:rsidR="002C4266">
        <w:t>BOM</w:t>
      </w:r>
      <w:r w:rsidR="009B1257">
        <w:t xml:space="preserve">) </w:t>
      </w:r>
      <w:r w:rsidR="005F0FB6">
        <w:t>are organisations that provide climate services as part of their core business</w:t>
      </w:r>
      <w:r w:rsidR="009B1257">
        <w:t>.</w:t>
      </w:r>
      <w:r w:rsidR="00110D83">
        <w:t xml:space="preserve"> </w:t>
      </w:r>
      <w:r w:rsidR="009B1257">
        <w:t xml:space="preserve">The evaluation found there was less likely to be sustainable development outcomes when the </w:t>
      </w:r>
      <w:r w:rsidR="00921F41">
        <w:t xml:space="preserve">implementing partner was focused on </w:t>
      </w:r>
      <w:r w:rsidR="009B1257">
        <w:t>research</w:t>
      </w:r>
      <w:r w:rsidR="00C63FAA">
        <w:t xml:space="preserve"> and</w:t>
      </w:r>
      <w:r w:rsidR="000F20CB">
        <w:t>/</w:t>
      </w:r>
      <w:r w:rsidR="00C63FAA">
        <w:t xml:space="preserve">or </w:t>
      </w:r>
      <w:r w:rsidR="000F20CB">
        <w:t>scientific outcomes</w:t>
      </w:r>
      <w:r w:rsidR="00B4353F">
        <w:t xml:space="preserve"> as the primary objective, rather than </w:t>
      </w:r>
      <w:r w:rsidR="009B1257">
        <w:t xml:space="preserve">explicit </w:t>
      </w:r>
      <w:r w:rsidR="00B4353F">
        <w:t>climate change-</w:t>
      </w:r>
      <w:r w:rsidR="009B1257">
        <w:t>related development outcomes.</w:t>
      </w:r>
    </w:p>
    <w:p w14:paraId="03AE46FD" w14:textId="48A6D5F7" w:rsidR="009822E7" w:rsidRDefault="00621066" w:rsidP="009904D9">
      <w:pPr>
        <w:pStyle w:val="ListNumber"/>
        <w:rPr>
          <w:b/>
        </w:rPr>
      </w:pPr>
      <w:r>
        <w:rPr>
          <w:b/>
        </w:rPr>
        <w:t>Ma</w:t>
      </w:r>
      <w:r w:rsidR="00E57CDD">
        <w:rPr>
          <w:b/>
        </w:rPr>
        <w:t>d</w:t>
      </w:r>
      <w:r>
        <w:rPr>
          <w:b/>
        </w:rPr>
        <w:t>e explicit links to partner priorities and ha</w:t>
      </w:r>
      <w:r w:rsidR="00E57CDD">
        <w:rPr>
          <w:b/>
        </w:rPr>
        <w:t>d</w:t>
      </w:r>
      <w:r>
        <w:rPr>
          <w:b/>
        </w:rPr>
        <w:t xml:space="preserve"> clear </w:t>
      </w:r>
      <w:r w:rsidR="009B1257" w:rsidRPr="00621066">
        <w:rPr>
          <w:b/>
        </w:rPr>
        <w:t xml:space="preserve">climate or </w:t>
      </w:r>
      <w:r w:rsidR="005D18E5">
        <w:rPr>
          <w:b/>
        </w:rPr>
        <w:t>disaster risk reduction-</w:t>
      </w:r>
      <w:r w:rsidR="009B1257" w:rsidRPr="00621066">
        <w:rPr>
          <w:b/>
        </w:rPr>
        <w:t>related outcomes</w:t>
      </w:r>
    </w:p>
    <w:p w14:paraId="4F939FDC" w14:textId="436B51FA" w:rsidR="003B51C9" w:rsidRDefault="004729ED" w:rsidP="003B51C9">
      <w:r w:rsidRPr="009822E7">
        <w:t>Those investments demonstrating strong climate-related outcomes were designed to meet a country or regional need. For example, through COSPPac, BOM and Geoscience Australia were able to support SPC staff to conduct ocean modelling, which was then used in partner countries. They have also helped the Fiji Meteorological Services to build their technical capacity to provide professional training fo</w:t>
      </w:r>
      <w:r>
        <w:t xml:space="preserve">r University of South Pacific graduates to be work-ready for national meteorological service positions. </w:t>
      </w:r>
    </w:p>
    <w:p w14:paraId="3935390A" w14:textId="43FB2C82" w:rsidR="00F508EE" w:rsidRPr="004729ED" w:rsidRDefault="003B51C9" w:rsidP="009822E7">
      <w:pPr>
        <w:pStyle w:val="ListNumber"/>
        <w:numPr>
          <w:ilvl w:val="0"/>
          <w:numId w:val="0"/>
        </w:numPr>
      </w:pPr>
      <w:r w:rsidRPr="004729ED">
        <w:rPr>
          <w:noProof/>
          <w:lang w:eastAsia="en-AU"/>
        </w:rPr>
        <w:lastRenderedPageBreak/>
        <mc:AlternateContent>
          <mc:Choice Requires="wps">
            <w:drawing>
              <wp:anchor distT="0" distB="0" distL="114300" distR="114300" simplePos="0" relativeHeight="251658240" behindDoc="0" locked="0" layoutInCell="1" allowOverlap="1" wp14:anchorId="0808CC86" wp14:editId="3DC65367">
                <wp:simplePos x="0" y="0"/>
                <wp:positionH relativeFrom="column">
                  <wp:posOffset>1270</wp:posOffset>
                </wp:positionH>
                <wp:positionV relativeFrom="paragraph">
                  <wp:posOffset>1266190</wp:posOffset>
                </wp:positionV>
                <wp:extent cx="6229350" cy="6620510"/>
                <wp:effectExtent l="0" t="0" r="19050" b="27940"/>
                <wp:wrapTopAndBottom/>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620510"/>
                        </a:xfrm>
                        <a:prstGeom prst="rect">
                          <a:avLst/>
                        </a:prstGeom>
                        <a:solidFill>
                          <a:srgbClr val="89C3B2"/>
                        </a:solidFill>
                        <a:ln w="9525">
                          <a:solidFill>
                            <a:srgbClr val="000000"/>
                          </a:solidFill>
                          <a:miter lim="800000"/>
                          <a:headEnd/>
                          <a:tailEnd/>
                        </a:ln>
                      </wps:spPr>
                      <wps:txbx>
                        <w:txbxContent>
                          <w:p w14:paraId="52140494" w14:textId="267E11A9" w:rsidR="00825350" w:rsidRPr="001E4B8F" w:rsidRDefault="00825350" w:rsidP="00AA6544">
                            <w:pPr>
                              <w:pStyle w:val="BoxHeading"/>
                              <w:jc w:val="both"/>
                              <w:rPr>
                                <w:sz w:val="22"/>
                              </w:rPr>
                            </w:pPr>
                            <w:r>
                              <w:rPr>
                                <w:sz w:val="22"/>
                              </w:rPr>
                              <w:t xml:space="preserve">Box 4: </w:t>
                            </w:r>
                            <w:r w:rsidRPr="00C63FAA">
                              <w:rPr>
                                <w:sz w:val="22"/>
                              </w:rPr>
                              <w:t>Pacific Australia Climate Change Science and Adaptation Planning Program</w:t>
                            </w:r>
                            <w:r>
                              <w:rPr>
                                <w:sz w:val="22"/>
                              </w:rPr>
                              <w:t>—Some success in achieving climate change and resilience outcomes but potentially missed opportunities.</w:t>
                            </w:r>
                          </w:p>
                          <w:p w14:paraId="65007A67" w14:textId="5BBD2073" w:rsidR="00825350" w:rsidRPr="001E4B8F" w:rsidRDefault="00825350" w:rsidP="00AA6544">
                            <w:pPr>
                              <w:pStyle w:val="BodyText"/>
                              <w:jc w:val="both"/>
                              <w:rPr>
                                <w:rFonts w:ascii="Calibri" w:hAnsi="Calibri"/>
                                <w:sz w:val="20"/>
                                <w:szCs w:val="20"/>
                              </w:rPr>
                            </w:pPr>
                            <w:r w:rsidRPr="001E4B8F">
                              <w:rPr>
                                <w:rFonts w:ascii="Calibri" w:hAnsi="Calibri"/>
                                <w:sz w:val="20"/>
                                <w:szCs w:val="20"/>
                              </w:rPr>
                              <w:t>PACCSAP was managed by the Department of Climate Change and Energy Efficiency, and subsequently the D</w:t>
                            </w:r>
                            <w:r>
                              <w:rPr>
                                <w:rFonts w:ascii="Calibri" w:hAnsi="Calibri"/>
                                <w:sz w:val="20"/>
                                <w:szCs w:val="20"/>
                              </w:rPr>
                              <w:t>oEE</w:t>
                            </w:r>
                            <w:r w:rsidRPr="001E4B8F">
                              <w:rPr>
                                <w:rFonts w:ascii="Calibri" w:hAnsi="Calibri"/>
                                <w:sz w:val="20"/>
                                <w:szCs w:val="20"/>
                              </w:rPr>
                              <w:t>, with elements delivered by</w:t>
                            </w:r>
                            <w:r>
                              <w:rPr>
                                <w:rFonts w:ascii="Calibri" w:hAnsi="Calibri"/>
                                <w:sz w:val="20"/>
                                <w:szCs w:val="20"/>
                              </w:rPr>
                              <w:t xml:space="preserve"> </w:t>
                            </w:r>
                            <w:r w:rsidRPr="001E4B8F">
                              <w:rPr>
                                <w:rFonts w:ascii="Calibri" w:hAnsi="Calibri"/>
                                <w:sz w:val="20"/>
                                <w:szCs w:val="20"/>
                              </w:rPr>
                              <w:t>BOM</w:t>
                            </w:r>
                            <w:r>
                              <w:rPr>
                                <w:rFonts w:ascii="Calibri" w:hAnsi="Calibri"/>
                                <w:sz w:val="20"/>
                                <w:szCs w:val="20"/>
                              </w:rPr>
                              <w:t>, CSIRO</w:t>
                            </w:r>
                            <w:r w:rsidRPr="001E4B8F">
                              <w:rPr>
                                <w:rFonts w:ascii="Calibri" w:hAnsi="Calibri"/>
                                <w:sz w:val="20"/>
                                <w:szCs w:val="20"/>
                              </w:rPr>
                              <w:t xml:space="preserve"> and Geoscience Australia.</w:t>
                            </w:r>
                            <w:r>
                              <w:rPr>
                                <w:rFonts w:ascii="Calibri" w:hAnsi="Calibri"/>
                                <w:sz w:val="20"/>
                                <w:szCs w:val="20"/>
                              </w:rPr>
                              <w:t xml:space="preserve"> </w:t>
                            </w:r>
                            <w:r w:rsidRPr="001E4B8F">
                              <w:rPr>
                                <w:rFonts w:ascii="Calibri" w:hAnsi="Calibri"/>
                                <w:sz w:val="20"/>
                                <w:szCs w:val="20"/>
                              </w:rPr>
                              <w:t>The expected outcomes included increased use of climate science by national meteorological services, production of country</w:t>
                            </w:r>
                            <w:r>
                              <w:rPr>
                                <w:rFonts w:ascii="Calibri" w:hAnsi="Calibri"/>
                                <w:sz w:val="20"/>
                                <w:szCs w:val="20"/>
                              </w:rPr>
                              <w:t>-</w:t>
                            </w:r>
                            <w:r w:rsidRPr="001E4B8F">
                              <w:rPr>
                                <w:rFonts w:ascii="Calibri" w:hAnsi="Calibri"/>
                                <w:sz w:val="20"/>
                                <w:szCs w:val="20"/>
                              </w:rPr>
                              <w:t>specific climate projections and adaption planning information, and improved adaption planning and decision</w:t>
                            </w:r>
                            <w:r>
                              <w:rPr>
                                <w:rFonts w:ascii="Calibri" w:hAnsi="Calibri"/>
                                <w:sz w:val="20"/>
                                <w:szCs w:val="20"/>
                              </w:rPr>
                              <w:t xml:space="preserve"> </w:t>
                            </w:r>
                            <w:r w:rsidRPr="001E4B8F">
                              <w:rPr>
                                <w:rFonts w:ascii="Calibri" w:hAnsi="Calibri"/>
                                <w:sz w:val="20"/>
                                <w:szCs w:val="20"/>
                              </w:rPr>
                              <w:t>making based on climate science.</w:t>
                            </w:r>
                            <w:r>
                              <w:rPr>
                                <w:rFonts w:ascii="Calibri" w:hAnsi="Calibri"/>
                                <w:sz w:val="20"/>
                                <w:szCs w:val="20"/>
                              </w:rPr>
                              <w:t xml:space="preserve"> The program had two key areas of work</w:t>
                            </w:r>
                            <w:r>
                              <w:t>—</w:t>
                            </w:r>
                            <w:r>
                              <w:rPr>
                                <w:rFonts w:ascii="Calibri" w:hAnsi="Calibri"/>
                                <w:sz w:val="20"/>
                                <w:szCs w:val="20"/>
                              </w:rPr>
                              <w:t>a climate change science stream largely implemented by CSIRO and BOM, and an adaptation planning component implemented by DoEE (with inputs from other whole-of-government agencies). While under one program umbrella, these effectively operated as two separate streams of work.</w:t>
                            </w:r>
                          </w:p>
                          <w:p w14:paraId="5E64BD0C" w14:textId="2CEBDC62" w:rsidR="00825350" w:rsidRDefault="00825350" w:rsidP="00AA6544">
                            <w:pPr>
                              <w:pStyle w:val="BodyText"/>
                              <w:jc w:val="both"/>
                              <w:rPr>
                                <w:rFonts w:ascii="Calibri" w:hAnsi="Calibri"/>
                                <w:sz w:val="20"/>
                                <w:szCs w:val="20"/>
                              </w:rPr>
                            </w:pPr>
                            <w:r w:rsidRPr="001E4B8F">
                              <w:rPr>
                                <w:rFonts w:ascii="Calibri" w:hAnsi="Calibri"/>
                                <w:sz w:val="20"/>
                                <w:szCs w:val="20"/>
                              </w:rPr>
                              <w:t xml:space="preserve">The evaluation found </w:t>
                            </w:r>
                            <w:r>
                              <w:rPr>
                                <w:rFonts w:ascii="Calibri" w:hAnsi="Calibri"/>
                                <w:sz w:val="20"/>
                                <w:szCs w:val="20"/>
                              </w:rPr>
                              <w:t xml:space="preserve">that the climate change science component delivered several substantive outcomes that have made a lasting contribution to the Pacific region. Key outcomes included: a significantly improved understanding of climate change science and processes at work in the Pacific, the production of detailed climate change projections for the Pacific islands region that informs future adaptation planning, and increased uptake and use of climate science across the Pacific (especially by regional met service agencies). BOM and CSIRO also made, and continue to make, a significant contribution to building the human and technical capacity of Pacific meteorological agencies. These will have sustained benefits for the Pacific region over coming years. In the adaptation planning stream there is less evidence of </w:t>
                            </w:r>
                            <w:r w:rsidRPr="001E4B8F">
                              <w:rPr>
                                <w:rFonts w:ascii="Calibri" w:hAnsi="Calibri"/>
                                <w:sz w:val="20"/>
                                <w:szCs w:val="20"/>
                              </w:rPr>
                              <w:t>substantive outcomes delivered through PACCSAP</w:t>
                            </w:r>
                            <w:r>
                              <w:rPr>
                                <w:rFonts w:ascii="Calibri" w:hAnsi="Calibri"/>
                                <w:sz w:val="20"/>
                                <w:szCs w:val="20"/>
                              </w:rPr>
                              <w:t xml:space="preserve"> (and its precursor PASAP)</w:t>
                            </w:r>
                            <w:r w:rsidRPr="001E4B8F">
                              <w:rPr>
                                <w:rFonts w:ascii="Calibri" w:hAnsi="Calibri"/>
                                <w:sz w:val="20"/>
                                <w:szCs w:val="20"/>
                              </w:rPr>
                              <w:t>. This is also consistent with the findings of the 2013 independent review</w:t>
                            </w:r>
                            <w:r>
                              <w:rPr>
                                <w:rFonts w:ascii="Calibri" w:hAnsi="Calibri"/>
                                <w:sz w:val="20"/>
                                <w:szCs w:val="20"/>
                              </w:rPr>
                              <w:t xml:space="preserve"> which highlighted several areas of weakness in terms of program impact</w:t>
                            </w:r>
                            <w:r w:rsidRPr="001E4B8F">
                              <w:rPr>
                                <w:rFonts w:ascii="Calibri" w:hAnsi="Calibri"/>
                                <w:sz w:val="20"/>
                                <w:szCs w:val="20"/>
                              </w:rPr>
                              <w:t>.</w:t>
                            </w:r>
                            <w:r>
                              <w:rPr>
                                <w:rFonts w:ascii="Calibri" w:hAnsi="Calibri"/>
                                <w:sz w:val="20"/>
                                <w:szCs w:val="20"/>
                              </w:rPr>
                              <w:t xml:space="preserve"> The work undertaken was heavily project-based and piecemeal, not well integrated with national and/or regional climate change adaptation planning processes, and not well integrated with other Australian climate change investments at country and regional program levels. </w:t>
                            </w:r>
                            <w:r w:rsidRPr="001E4B8F">
                              <w:rPr>
                                <w:rFonts w:ascii="Calibri" w:hAnsi="Calibri"/>
                                <w:sz w:val="20"/>
                                <w:szCs w:val="20"/>
                              </w:rPr>
                              <w:t xml:space="preserve">The </w:t>
                            </w:r>
                            <w:r>
                              <w:rPr>
                                <w:rFonts w:ascii="Calibri" w:hAnsi="Calibri"/>
                                <w:sz w:val="20"/>
                                <w:szCs w:val="20"/>
                              </w:rPr>
                              <w:t xml:space="preserve">review also </w:t>
                            </w:r>
                            <w:r w:rsidRPr="001E4B8F">
                              <w:rPr>
                                <w:rFonts w:ascii="Calibri" w:hAnsi="Calibri"/>
                                <w:sz w:val="20"/>
                                <w:szCs w:val="20"/>
                              </w:rPr>
                              <w:t>noted that PACCSAP investments were not seen as high priority by participating countries, indicating a relatively low level of alignment with national priorities and reflecting the supply</w:t>
                            </w:r>
                            <w:r>
                              <w:rPr>
                                <w:rFonts w:ascii="Calibri" w:hAnsi="Calibri"/>
                                <w:sz w:val="20"/>
                                <w:szCs w:val="20"/>
                              </w:rPr>
                              <w:t>-</w:t>
                            </w:r>
                            <w:r w:rsidRPr="001E4B8F">
                              <w:rPr>
                                <w:rFonts w:ascii="Calibri" w:hAnsi="Calibri"/>
                                <w:sz w:val="20"/>
                                <w:szCs w:val="20"/>
                              </w:rPr>
                              <w:t>driven nature of the Fast</w:t>
                            </w:r>
                            <w:r>
                              <w:rPr>
                                <w:rFonts w:ascii="Calibri" w:hAnsi="Calibri"/>
                                <w:sz w:val="20"/>
                                <w:szCs w:val="20"/>
                              </w:rPr>
                              <w:t>-s</w:t>
                            </w:r>
                            <w:r w:rsidRPr="001E4B8F">
                              <w:rPr>
                                <w:rFonts w:ascii="Calibri" w:hAnsi="Calibri"/>
                                <w:sz w:val="20"/>
                                <w:szCs w:val="20"/>
                              </w:rPr>
                              <w:t>tart Finance</w:t>
                            </w:r>
                            <w:r>
                              <w:rPr>
                                <w:rFonts w:ascii="Calibri" w:hAnsi="Calibri"/>
                                <w:sz w:val="20"/>
                                <w:szCs w:val="20"/>
                              </w:rPr>
                              <w:t xml:space="preserve"> funding</w:t>
                            </w:r>
                            <w:r w:rsidRPr="001E4B8F">
                              <w:rPr>
                                <w:rFonts w:ascii="Calibri" w:hAnsi="Calibri"/>
                                <w:sz w:val="20"/>
                                <w:szCs w:val="20"/>
                              </w:rPr>
                              <w:t>.</w:t>
                            </w:r>
                          </w:p>
                          <w:p w14:paraId="59B56A52" w14:textId="43438F01" w:rsidR="00825350" w:rsidRPr="001E4B8F" w:rsidRDefault="00825350" w:rsidP="00AA6544">
                            <w:pPr>
                              <w:pStyle w:val="BodyText"/>
                              <w:jc w:val="both"/>
                              <w:rPr>
                                <w:rFonts w:ascii="Calibri" w:hAnsi="Calibri"/>
                                <w:sz w:val="20"/>
                                <w:szCs w:val="20"/>
                              </w:rPr>
                            </w:pPr>
                            <w:r>
                              <w:rPr>
                                <w:rFonts w:ascii="Calibri" w:hAnsi="Calibri"/>
                                <w:sz w:val="20"/>
                                <w:szCs w:val="20"/>
                              </w:rPr>
                              <w:t>Although many of the adaptation planning stream projects were useful in their own right, and delivered meaningful outputs in a project sense, there is little evidence that they have had any sustained outcome in terms of improved resilience, scale-up and replication, or an impact on adaptation planning and policies. T</w:t>
                            </w:r>
                            <w:r w:rsidRPr="001E4B8F">
                              <w:rPr>
                                <w:rFonts w:ascii="Calibri" w:hAnsi="Calibri"/>
                                <w:sz w:val="20"/>
                                <w:szCs w:val="20"/>
                              </w:rPr>
                              <w:t xml:space="preserve">he climate science </w:t>
                            </w:r>
                            <w:r>
                              <w:rPr>
                                <w:rFonts w:ascii="Calibri" w:hAnsi="Calibri"/>
                                <w:sz w:val="20"/>
                                <w:szCs w:val="20"/>
                              </w:rPr>
                              <w:t xml:space="preserve">stream produced high-quality climate science information that could inform a range of end users across different sectors, </w:t>
                            </w:r>
                            <w:r w:rsidRPr="001E4B8F">
                              <w:rPr>
                                <w:rFonts w:ascii="Calibri" w:hAnsi="Calibri"/>
                                <w:sz w:val="20"/>
                                <w:szCs w:val="20"/>
                              </w:rPr>
                              <w:t>however</w:t>
                            </w:r>
                            <w:r>
                              <w:rPr>
                                <w:rFonts w:ascii="Calibri" w:hAnsi="Calibri"/>
                                <w:sz w:val="20"/>
                                <w:szCs w:val="20"/>
                              </w:rPr>
                              <w:t xml:space="preserve"> </w:t>
                            </w:r>
                            <w:r w:rsidRPr="001E4B8F">
                              <w:rPr>
                                <w:rFonts w:ascii="Calibri" w:hAnsi="Calibri"/>
                                <w:sz w:val="20"/>
                                <w:szCs w:val="20"/>
                              </w:rPr>
                              <w:t xml:space="preserve">there was no clear mechanism to support its use in </w:t>
                            </w:r>
                            <w:r>
                              <w:rPr>
                                <w:rFonts w:ascii="Calibri" w:hAnsi="Calibri"/>
                                <w:sz w:val="20"/>
                                <w:szCs w:val="20"/>
                              </w:rPr>
                              <w:t xml:space="preserve">the </w:t>
                            </w:r>
                            <w:r w:rsidRPr="001E4B8F">
                              <w:rPr>
                                <w:rFonts w:ascii="Calibri" w:hAnsi="Calibri"/>
                                <w:sz w:val="20"/>
                                <w:szCs w:val="20"/>
                              </w:rPr>
                              <w:t>adaptation planning</w:t>
                            </w:r>
                            <w:r>
                              <w:rPr>
                                <w:rFonts w:ascii="Calibri" w:hAnsi="Calibri"/>
                                <w:sz w:val="20"/>
                                <w:szCs w:val="20"/>
                              </w:rPr>
                              <w:t xml:space="preserve"> stream. There are few</w:t>
                            </w:r>
                            <w:r w:rsidRPr="001E4B8F">
                              <w:rPr>
                                <w:rFonts w:ascii="Calibri" w:hAnsi="Calibri"/>
                                <w:sz w:val="20"/>
                                <w:szCs w:val="20"/>
                              </w:rPr>
                              <w:t xml:space="preserve"> examples </w:t>
                            </w:r>
                            <w:r>
                              <w:rPr>
                                <w:rFonts w:ascii="Calibri" w:hAnsi="Calibri"/>
                                <w:sz w:val="20"/>
                                <w:szCs w:val="20"/>
                              </w:rPr>
                              <w:t>of efforts to apply the new science knowledge across the key impact sectors (for example, agriculture, fisheries and health). This is viewed as a potential missed opportunity that limited the overall impact and usefulness of PACCSAP in terms of future adaptation planning frameworks and policies. Linking science and technical work with core development and economic livelihood outcomes is critical to building climate resilience.</w:t>
                            </w:r>
                          </w:p>
                          <w:p w14:paraId="26471F57" w14:textId="11D1F754" w:rsidR="00825350" w:rsidRPr="00C54444" w:rsidRDefault="00825350" w:rsidP="00AA6544">
                            <w:pPr>
                              <w:pStyle w:val="BodyText"/>
                              <w:jc w:val="both"/>
                              <w:rPr>
                                <w:rFonts w:ascii="Calibri" w:hAnsi="Calibri"/>
                                <w:sz w:val="20"/>
                                <w:szCs w:val="20"/>
                              </w:rPr>
                            </w:pPr>
                            <w:r w:rsidRPr="00C54444">
                              <w:rPr>
                                <w:rFonts w:ascii="Calibri" w:hAnsi="Calibri"/>
                                <w:sz w:val="20"/>
                                <w:szCs w:val="20"/>
                              </w:rPr>
                              <w:t>PACCSAP was primarily science</w:t>
                            </w:r>
                            <w:r>
                              <w:rPr>
                                <w:rFonts w:ascii="Calibri" w:hAnsi="Calibri"/>
                                <w:sz w:val="20"/>
                                <w:szCs w:val="20"/>
                              </w:rPr>
                              <w:t xml:space="preserve"> </w:t>
                            </w:r>
                            <w:r w:rsidRPr="00C54444">
                              <w:rPr>
                                <w:rFonts w:ascii="Calibri" w:hAnsi="Calibri"/>
                                <w:sz w:val="20"/>
                                <w:szCs w:val="20"/>
                              </w:rPr>
                              <w:t>focused, and there appeared to be an assumption that use in adaptation planning would follow. Recognising that climate change is a highly technical area for which science is essential, skills and knowledge in both development and science</w:t>
                            </w:r>
                            <w:r>
                              <w:rPr>
                                <w:rFonts w:ascii="Calibri" w:hAnsi="Calibri"/>
                                <w:sz w:val="20"/>
                                <w:szCs w:val="20"/>
                              </w:rPr>
                              <w:t xml:space="preserve"> are required, and </w:t>
                            </w:r>
                            <w:r w:rsidRPr="00C54444">
                              <w:rPr>
                                <w:rFonts w:ascii="Calibri" w:hAnsi="Calibri"/>
                                <w:sz w:val="20"/>
                                <w:szCs w:val="20"/>
                              </w:rPr>
                              <w:t xml:space="preserve">knowledge needs to be applied at the sector level to be relevant.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808CC86" id="_x0000_s1034" type="#_x0000_t202" style="position:absolute;margin-left:.1pt;margin-top:99.7pt;width:490.5pt;height:521.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" fillcolor="#89c3b2">
                <v:textbox>
                  <w:txbxContent>
                    <w:p w14:paraId="52140494" w14:textId="267E11A9" w:rsidR="00825350" w:rsidRPr="001E4B8F" w:rsidRDefault="00825350" w:rsidP="00AA6544">
                      <w:pPr>
                        <w:pStyle w:val="BoxHeading"/>
                        <w:jc w:val="both"/>
                        <w:rPr>
                          <w:sz w:val="22"/>
                        </w:rPr>
                      </w:pPr>
                      <w:r>
                        <w:rPr>
                          <w:sz w:val="22"/>
                        </w:rPr>
                        <w:t xml:space="preserve">Box 4: </w:t>
                      </w:r>
                      <w:r w:rsidRPr="00C63FAA">
                        <w:rPr>
                          <w:sz w:val="22"/>
                        </w:rPr>
                        <w:t>Pacific Australia Climate Change Science and Adaptation Planning Program</w:t>
                      </w:r>
                      <w:r>
                        <w:rPr>
                          <w:sz w:val="22"/>
                        </w:rPr>
                        <w:t>—Some success in achieving climate change and resilience outcomes but potentially missed opportunities.</w:t>
                      </w:r>
                    </w:p>
                    <w:p w14:paraId="65007A67" w14:textId="5BBD2073" w:rsidR="00825350" w:rsidRPr="001E4B8F" w:rsidRDefault="00825350" w:rsidP="00AA6544">
                      <w:pPr>
                        <w:pStyle w:val="BodyText"/>
                        <w:jc w:val="both"/>
                        <w:rPr>
                          <w:rFonts w:ascii="Calibri" w:hAnsi="Calibri"/>
                          <w:sz w:val="20"/>
                          <w:szCs w:val="20"/>
                        </w:rPr>
                      </w:pPr>
                      <w:r w:rsidRPr="001E4B8F">
                        <w:rPr>
                          <w:rFonts w:ascii="Calibri" w:hAnsi="Calibri"/>
                          <w:sz w:val="20"/>
                          <w:szCs w:val="20"/>
                        </w:rPr>
                        <w:t>PACCSAP was managed by the Department of Climate Change and Energy Efficiency, and subsequently the D</w:t>
                      </w:r>
                      <w:r>
                        <w:rPr>
                          <w:rFonts w:ascii="Calibri" w:hAnsi="Calibri"/>
                          <w:sz w:val="20"/>
                          <w:szCs w:val="20"/>
                        </w:rPr>
                        <w:t>oEE</w:t>
                      </w:r>
                      <w:r w:rsidRPr="001E4B8F">
                        <w:rPr>
                          <w:rFonts w:ascii="Calibri" w:hAnsi="Calibri"/>
                          <w:sz w:val="20"/>
                          <w:szCs w:val="20"/>
                        </w:rPr>
                        <w:t>, with elements delivered by</w:t>
                      </w:r>
                      <w:r>
                        <w:rPr>
                          <w:rFonts w:ascii="Calibri" w:hAnsi="Calibri"/>
                          <w:sz w:val="20"/>
                          <w:szCs w:val="20"/>
                        </w:rPr>
                        <w:t xml:space="preserve"> </w:t>
                      </w:r>
                      <w:r w:rsidRPr="001E4B8F">
                        <w:rPr>
                          <w:rFonts w:ascii="Calibri" w:hAnsi="Calibri"/>
                          <w:sz w:val="20"/>
                          <w:szCs w:val="20"/>
                        </w:rPr>
                        <w:t>BOM</w:t>
                      </w:r>
                      <w:r>
                        <w:rPr>
                          <w:rFonts w:ascii="Calibri" w:hAnsi="Calibri"/>
                          <w:sz w:val="20"/>
                          <w:szCs w:val="20"/>
                        </w:rPr>
                        <w:t>, CSIRO</w:t>
                      </w:r>
                      <w:r w:rsidRPr="001E4B8F">
                        <w:rPr>
                          <w:rFonts w:ascii="Calibri" w:hAnsi="Calibri"/>
                          <w:sz w:val="20"/>
                          <w:szCs w:val="20"/>
                        </w:rPr>
                        <w:t xml:space="preserve"> and Geoscience Australia.</w:t>
                      </w:r>
                      <w:r>
                        <w:rPr>
                          <w:rFonts w:ascii="Calibri" w:hAnsi="Calibri"/>
                          <w:sz w:val="20"/>
                          <w:szCs w:val="20"/>
                        </w:rPr>
                        <w:t xml:space="preserve"> </w:t>
                      </w:r>
                      <w:r w:rsidRPr="001E4B8F">
                        <w:rPr>
                          <w:rFonts w:ascii="Calibri" w:hAnsi="Calibri"/>
                          <w:sz w:val="20"/>
                          <w:szCs w:val="20"/>
                        </w:rPr>
                        <w:t>The expected outcomes included increased use of climate science by national meteorological services, production of country</w:t>
                      </w:r>
                      <w:r>
                        <w:rPr>
                          <w:rFonts w:ascii="Calibri" w:hAnsi="Calibri"/>
                          <w:sz w:val="20"/>
                          <w:szCs w:val="20"/>
                        </w:rPr>
                        <w:t>-</w:t>
                      </w:r>
                      <w:r w:rsidRPr="001E4B8F">
                        <w:rPr>
                          <w:rFonts w:ascii="Calibri" w:hAnsi="Calibri"/>
                          <w:sz w:val="20"/>
                          <w:szCs w:val="20"/>
                        </w:rPr>
                        <w:t>specific climate projections and adaption planning information, and improved adaption planning and decision</w:t>
                      </w:r>
                      <w:r>
                        <w:rPr>
                          <w:rFonts w:ascii="Calibri" w:hAnsi="Calibri"/>
                          <w:sz w:val="20"/>
                          <w:szCs w:val="20"/>
                        </w:rPr>
                        <w:t xml:space="preserve"> </w:t>
                      </w:r>
                      <w:r w:rsidRPr="001E4B8F">
                        <w:rPr>
                          <w:rFonts w:ascii="Calibri" w:hAnsi="Calibri"/>
                          <w:sz w:val="20"/>
                          <w:szCs w:val="20"/>
                        </w:rPr>
                        <w:t>making based on climate science.</w:t>
                      </w:r>
                      <w:r>
                        <w:rPr>
                          <w:rFonts w:ascii="Calibri" w:hAnsi="Calibri"/>
                          <w:sz w:val="20"/>
                          <w:szCs w:val="20"/>
                        </w:rPr>
                        <w:t xml:space="preserve"> The program had two key areas of work</w:t>
                      </w:r>
                      <w:r>
                        <w:t>—</w:t>
                      </w:r>
                      <w:r>
                        <w:rPr>
                          <w:rFonts w:ascii="Calibri" w:hAnsi="Calibri"/>
                          <w:sz w:val="20"/>
                          <w:szCs w:val="20"/>
                        </w:rPr>
                        <w:t>a climate change science stream largely implemented by CSIRO and BOM, and an adaptation planning component implemented by DoEE (with inputs from other whole-of-government agencies). While under one program umbrella, these effectively operated as two separate streams of work.</w:t>
                      </w:r>
                    </w:p>
                    <w:p w14:paraId="5E64BD0C" w14:textId="2CEBDC62" w:rsidR="00825350" w:rsidRDefault="00825350" w:rsidP="00AA6544">
                      <w:pPr>
                        <w:pStyle w:val="BodyText"/>
                        <w:jc w:val="both"/>
                        <w:rPr>
                          <w:rFonts w:ascii="Calibri" w:hAnsi="Calibri"/>
                          <w:sz w:val="20"/>
                          <w:szCs w:val="20"/>
                        </w:rPr>
                      </w:pPr>
                      <w:r w:rsidRPr="001E4B8F">
                        <w:rPr>
                          <w:rFonts w:ascii="Calibri" w:hAnsi="Calibri"/>
                          <w:sz w:val="20"/>
                          <w:szCs w:val="20"/>
                        </w:rPr>
                        <w:t xml:space="preserve">The evaluation found </w:t>
                      </w:r>
                      <w:r>
                        <w:rPr>
                          <w:rFonts w:ascii="Calibri" w:hAnsi="Calibri"/>
                          <w:sz w:val="20"/>
                          <w:szCs w:val="20"/>
                        </w:rPr>
                        <w:t xml:space="preserve">that the climate change science component delivered several substantive outcomes that have made a lasting contribution to the Pacific region. Key outcomes included: a significantly improved understanding of climate change science and processes at work in the Pacific, the production of detailed climate change projections for the Pacific islands region that informs future adaptation planning, and increased uptake and use of climate science across the Pacific (especially by regional met service agencies). BOM and CSIRO also made, and continue to make, a significant contribution to building the human and technical capacity of Pacific meteorological agencies. These will have sustained benefits for the Pacific region over coming years. In the adaptation planning stream there is less evidence of </w:t>
                      </w:r>
                      <w:r w:rsidRPr="001E4B8F">
                        <w:rPr>
                          <w:rFonts w:ascii="Calibri" w:hAnsi="Calibri"/>
                          <w:sz w:val="20"/>
                          <w:szCs w:val="20"/>
                        </w:rPr>
                        <w:t>substantive outcomes delivered through PACCSAP</w:t>
                      </w:r>
                      <w:r>
                        <w:rPr>
                          <w:rFonts w:ascii="Calibri" w:hAnsi="Calibri"/>
                          <w:sz w:val="20"/>
                          <w:szCs w:val="20"/>
                        </w:rPr>
                        <w:t xml:space="preserve"> (and its precursor PASAP)</w:t>
                      </w:r>
                      <w:r w:rsidRPr="001E4B8F">
                        <w:rPr>
                          <w:rFonts w:ascii="Calibri" w:hAnsi="Calibri"/>
                          <w:sz w:val="20"/>
                          <w:szCs w:val="20"/>
                        </w:rPr>
                        <w:t>. This is also consistent with the findings of the 2013 independent review</w:t>
                      </w:r>
                      <w:r>
                        <w:rPr>
                          <w:rFonts w:ascii="Calibri" w:hAnsi="Calibri"/>
                          <w:sz w:val="20"/>
                          <w:szCs w:val="20"/>
                        </w:rPr>
                        <w:t xml:space="preserve"> which highlighted several areas of weakness in terms of program impact</w:t>
                      </w:r>
                      <w:r w:rsidRPr="001E4B8F">
                        <w:rPr>
                          <w:rFonts w:ascii="Calibri" w:hAnsi="Calibri"/>
                          <w:sz w:val="20"/>
                          <w:szCs w:val="20"/>
                        </w:rPr>
                        <w:t>.</w:t>
                      </w:r>
                      <w:r>
                        <w:rPr>
                          <w:rFonts w:ascii="Calibri" w:hAnsi="Calibri"/>
                          <w:sz w:val="20"/>
                          <w:szCs w:val="20"/>
                        </w:rPr>
                        <w:t xml:space="preserve"> The work undertaken was heavily project-based and piecemeal, not well integrated with national and/or regional climate change adaptation planning processes, and not well integrated with other Australian climate change investments at country and regional program levels. </w:t>
                      </w:r>
                      <w:r w:rsidRPr="001E4B8F">
                        <w:rPr>
                          <w:rFonts w:ascii="Calibri" w:hAnsi="Calibri"/>
                          <w:sz w:val="20"/>
                          <w:szCs w:val="20"/>
                        </w:rPr>
                        <w:t xml:space="preserve">The </w:t>
                      </w:r>
                      <w:r>
                        <w:rPr>
                          <w:rFonts w:ascii="Calibri" w:hAnsi="Calibri"/>
                          <w:sz w:val="20"/>
                          <w:szCs w:val="20"/>
                        </w:rPr>
                        <w:t xml:space="preserve">review also </w:t>
                      </w:r>
                      <w:r w:rsidRPr="001E4B8F">
                        <w:rPr>
                          <w:rFonts w:ascii="Calibri" w:hAnsi="Calibri"/>
                          <w:sz w:val="20"/>
                          <w:szCs w:val="20"/>
                        </w:rPr>
                        <w:t>noted that PACCSAP investments were not seen as high priority by participating countries, indicating a relatively low level of alignment with national priorities and reflecting the supply</w:t>
                      </w:r>
                      <w:r>
                        <w:rPr>
                          <w:rFonts w:ascii="Calibri" w:hAnsi="Calibri"/>
                          <w:sz w:val="20"/>
                          <w:szCs w:val="20"/>
                        </w:rPr>
                        <w:t>-</w:t>
                      </w:r>
                      <w:r w:rsidRPr="001E4B8F">
                        <w:rPr>
                          <w:rFonts w:ascii="Calibri" w:hAnsi="Calibri"/>
                          <w:sz w:val="20"/>
                          <w:szCs w:val="20"/>
                        </w:rPr>
                        <w:t>driven nature of the Fast</w:t>
                      </w:r>
                      <w:r>
                        <w:rPr>
                          <w:rFonts w:ascii="Calibri" w:hAnsi="Calibri"/>
                          <w:sz w:val="20"/>
                          <w:szCs w:val="20"/>
                        </w:rPr>
                        <w:t>-s</w:t>
                      </w:r>
                      <w:r w:rsidRPr="001E4B8F">
                        <w:rPr>
                          <w:rFonts w:ascii="Calibri" w:hAnsi="Calibri"/>
                          <w:sz w:val="20"/>
                          <w:szCs w:val="20"/>
                        </w:rPr>
                        <w:t>tart Finance</w:t>
                      </w:r>
                      <w:r>
                        <w:rPr>
                          <w:rFonts w:ascii="Calibri" w:hAnsi="Calibri"/>
                          <w:sz w:val="20"/>
                          <w:szCs w:val="20"/>
                        </w:rPr>
                        <w:t xml:space="preserve"> funding</w:t>
                      </w:r>
                      <w:r w:rsidRPr="001E4B8F">
                        <w:rPr>
                          <w:rFonts w:ascii="Calibri" w:hAnsi="Calibri"/>
                          <w:sz w:val="20"/>
                          <w:szCs w:val="20"/>
                        </w:rPr>
                        <w:t>.</w:t>
                      </w:r>
                    </w:p>
                    <w:p w14:paraId="59B56A52" w14:textId="43438F01" w:rsidR="00825350" w:rsidRPr="001E4B8F" w:rsidRDefault="00825350" w:rsidP="00AA6544">
                      <w:pPr>
                        <w:pStyle w:val="BodyText"/>
                        <w:jc w:val="both"/>
                        <w:rPr>
                          <w:rFonts w:ascii="Calibri" w:hAnsi="Calibri"/>
                          <w:sz w:val="20"/>
                          <w:szCs w:val="20"/>
                        </w:rPr>
                      </w:pPr>
                      <w:r>
                        <w:rPr>
                          <w:rFonts w:ascii="Calibri" w:hAnsi="Calibri"/>
                          <w:sz w:val="20"/>
                          <w:szCs w:val="20"/>
                        </w:rPr>
                        <w:t>Although many of the adaptation planning stream projects were useful in their own right, and delivered meaningful outputs in a project sense, there is little evidence that they have had any sustained outcome in terms of improved resilience, scale-up and replication, or an impact on adaptation planning and policies. T</w:t>
                      </w:r>
                      <w:r w:rsidRPr="001E4B8F">
                        <w:rPr>
                          <w:rFonts w:ascii="Calibri" w:hAnsi="Calibri"/>
                          <w:sz w:val="20"/>
                          <w:szCs w:val="20"/>
                        </w:rPr>
                        <w:t xml:space="preserve">he climate science </w:t>
                      </w:r>
                      <w:r>
                        <w:rPr>
                          <w:rFonts w:ascii="Calibri" w:hAnsi="Calibri"/>
                          <w:sz w:val="20"/>
                          <w:szCs w:val="20"/>
                        </w:rPr>
                        <w:t xml:space="preserve">stream produced high-quality climate science information that could inform a range of end users across different sectors, </w:t>
                      </w:r>
                      <w:r w:rsidRPr="001E4B8F">
                        <w:rPr>
                          <w:rFonts w:ascii="Calibri" w:hAnsi="Calibri"/>
                          <w:sz w:val="20"/>
                          <w:szCs w:val="20"/>
                        </w:rPr>
                        <w:t>however</w:t>
                      </w:r>
                      <w:r>
                        <w:rPr>
                          <w:rFonts w:ascii="Calibri" w:hAnsi="Calibri"/>
                          <w:sz w:val="20"/>
                          <w:szCs w:val="20"/>
                        </w:rPr>
                        <w:t xml:space="preserve"> </w:t>
                      </w:r>
                      <w:r w:rsidRPr="001E4B8F">
                        <w:rPr>
                          <w:rFonts w:ascii="Calibri" w:hAnsi="Calibri"/>
                          <w:sz w:val="20"/>
                          <w:szCs w:val="20"/>
                        </w:rPr>
                        <w:t xml:space="preserve">there was no clear mechanism to support its use in </w:t>
                      </w:r>
                      <w:r>
                        <w:rPr>
                          <w:rFonts w:ascii="Calibri" w:hAnsi="Calibri"/>
                          <w:sz w:val="20"/>
                          <w:szCs w:val="20"/>
                        </w:rPr>
                        <w:t xml:space="preserve">the </w:t>
                      </w:r>
                      <w:r w:rsidRPr="001E4B8F">
                        <w:rPr>
                          <w:rFonts w:ascii="Calibri" w:hAnsi="Calibri"/>
                          <w:sz w:val="20"/>
                          <w:szCs w:val="20"/>
                        </w:rPr>
                        <w:t>adaptation planning</w:t>
                      </w:r>
                      <w:r>
                        <w:rPr>
                          <w:rFonts w:ascii="Calibri" w:hAnsi="Calibri"/>
                          <w:sz w:val="20"/>
                          <w:szCs w:val="20"/>
                        </w:rPr>
                        <w:t xml:space="preserve"> stream. There are few</w:t>
                      </w:r>
                      <w:r w:rsidRPr="001E4B8F">
                        <w:rPr>
                          <w:rFonts w:ascii="Calibri" w:hAnsi="Calibri"/>
                          <w:sz w:val="20"/>
                          <w:szCs w:val="20"/>
                        </w:rPr>
                        <w:t xml:space="preserve"> examples </w:t>
                      </w:r>
                      <w:r>
                        <w:rPr>
                          <w:rFonts w:ascii="Calibri" w:hAnsi="Calibri"/>
                          <w:sz w:val="20"/>
                          <w:szCs w:val="20"/>
                        </w:rPr>
                        <w:t>of efforts to apply the new science knowledge across the key impact sectors (for example, agriculture, fisheries and health). This is viewed as a potential missed opportunity that limited the overall impact and usefulness of PACCSAP in terms of future adaptation planning frameworks and policies. Linking science and technical work with core development and economic livelihood outcomes is critical to building climate resilience.</w:t>
                      </w:r>
                    </w:p>
                    <w:p w14:paraId="26471F57" w14:textId="11D1F754" w:rsidR="00825350" w:rsidRPr="00C54444" w:rsidRDefault="00825350" w:rsidP="00AA6544">
                      <w:pPr>
                        <w:pStyle w:val="BodyText"/>
                        <w:jc w:val="both"/>
                        <w:rPr>
                          <w:rFonts w:ascii="Calibri" w:hAnsi="Calibri"/>
                          <w:sz w:val="20"/>
                          <w:szCs w:val="20"/>
                        </w:rPr>
                      </w:pPr>
                      <w:r w:rsidRPr="00C54444">
                        <w:rPr>
                          <w:rFonts w:ascii="Calibri" w:hAnsi="Calibri"/>
                          <w:sz w:val="20"/>
                          <w:szCs w:val="20"/>
                        </w:rPr>
                        <w:t>PACCSAP was primarily science</w:t>
                      </w:r>
                      <w:r>
                        <w:rPr>
                          <w:rFonts w:ascii="Calibri" w:hAnsi="Calibri"/>
                          <w:sz w:val="20"/>
                          <w:szCs w:val="20"/>
                        </w:rPr>
                        <w:t xml:space="preserve"> </w:t>
                      </w:r>
                      <w:r w:rsidRPr="00C54444">
                        <w:rPr>
                          <w:rFonts w:ascii="Calibri" w:hAnsi="Calibri"/>
                          <w:sz w:val="20"/>
                          <w:szCs w:val="20"/>
                        </w:rPr>
                        <w:t>focused, and there appeared to be an assumption that use in adaptation planning would follow. Recognising that climate change is a highly technical area for which science is essential, skills and knowledge in both development and science</w:t>
                      </w:r>
                      <w:r>
                        <w:rPr>
                          <w:rFonts w:ascii="Calibri" w:hAnsi="Calibri"/>
                          <w:sz w:val="20"/>
                          <w:szCs w:val="20"/>
                        </w:rPr>
                        <w:t xml:space="preserve"> are required, and </w:t>
                      </w:r>
                      <w:r w:rsidRPr="00C54444">
                        <w:rPr>
                          <w:rFonts w:ascii="Calibri" w:hAnsi="Calibri"/>
                          <w:sz w:val="20"/>
                          <w:szCs w:val="20"/>
                        </w:rPr>
                        <w:t xml:space="preserve">knowledge needs to be applied at the sector level to be relevant. </w:t>
                      </w:r>
                    </w:p>
                  </w:txbxContent>
                </v:textbox>
                <w10:wrap type="topAndBottom"/>
              </v:shape>
            </w:pict>
          </mc:Fallback>
        </mc:AlternateContent>
      </w:r>
      <w:r w:rsidR="00716951">
        <w:t>Conversely</w:t>
      </w:r>
      <w:r w:rsidR="002C4266">
        <w:t>,</w:t>
      </w:r>
      <w:r w:rsidR="00716951">
        <w:t xml:space="preserve"> </w:t>
      </w:r>
      <w:r w:rsidR="0021356D">
        <w:t xml:space="preserve">some </w:t>
      </w:r>
      <w:r w:rsidR="00F17ECD">
        <w:t xml:space="preserve">of the less successful </w:t>
      </w:r>
      <w:r w:rsidR="0021356D" w:rsidRPr="00A779C1">
        <w:t xml:space="preserve">elements of </w:t>
      </w:r>
      <w:r w:rsidR="005177E2" w:rsidRPr="00A779C1">
        <w:t xml:space="preserve">the </w:t>
      </w:r>
      <w:bookmarkStart w:id="66" w:name="_Hlk518599574"/>
      <w:r w:rsidR="005177E2" w:rsidRPr="00A779C1">
        <w:t>Pacific Australia Climate Change Science and Adaptation Planning Program (</w:t>
      </w:r>
      <w:r w:rsidR="00716951" w:rsidRPr="00A779C1">
        <w:t>PACCSAP</w:t>
      </w:r>
      <w:r w:rsidR="005177E2" w:rsidRPr="00A779C1">
        <w:t>)</w:t>
      </w:r>
      <w:bookmarkEnd w:id="66"/>
      <w:r w:rsidR="009F3963" w:rsidRPr="00A779C1">
        <w:t>—</w:t>
      </w:r>
      <w:r w:rsidR="006A4C8D" w:rsidRPr="00A779C1">
        <w:t>Box</w:t>
      </w:r>
      <w:r w:rsidR="000D2599" w:rsidRPr="00A779C1">
        <w:t xml:space="preserve"> </w:t>
      </w:r>
      <w:r w:rsidR="00D04A94" w:rsidRPr="00A779C1">
        <w:t>4</w:t>
      </w:r>
      <w:r w:rsidR="009F3963" w:rsidRPr="00A779C1">
        <w:t>—</w:t>
      </w:r>
      <w:r w:rsidR="00716951" w:rsidRPr="00A779C1">
        <w:t>lacked clear</w:t>
      </w:r>
      <w:r w:rsidR="00716951">
        <w:t xml:space="preserve"> outcomes</w:t>
      </w:r>
      <w:r w:rsidR="001E3951">
        <w:t>. A</w:t>
      </w:r>
      <w:r w:rsidR="00716951">
        <w:t>n independent review</w:t>
      </w:r>
      <w:r w:rsidR="00F25ECF">
        <w:rPr>
          <w:rStyle w:val="FootnoteReference"/>
        </w:rPr>
        <w:footnoteReference w:id="17"/>
      </w:r>
      <w:r w:rsidR="00716951">
        <w:t xml:space="preserve"> found weak linkages to Pacific Island climate change policies and plans.</w:t>
      </w:r>
      <w:r w:rsidR="00110D83">
        <w:t xml:space="preserve"> </w:t>
      </w:r>
      <w:r w:rsidR="0021356D">
        <w:t xml:space="preserve">A greater emphasis on </w:t>
      </w:r>
      <w:r w:rsidR="0021356D" w:rsidRPr="004729ED">
        <w:t xml:space="preserve">integrating the climate science work to adaptation policy and planning at the sector level would have increased the </w:t>
      </w:r>
      <w:r w:rsidR="00F17ECD" w:rsidRPr="004729ED">
        <w:t xml:space="preserve">overall </w:t>
      </w:r>
      <w:r w:rsidR="0021356D" w:rsidRPr="004729ED">
        <w:t>impact of PACCSAP in terms of delivering climate change resilience outcomes.</w:t>
      </w:r>
    </w:p>
    <w:p w14:paraId="299D734B" w14:textId="10C3704A" w:rsidR="00843940" w:rsidRDefault="00843940" w:rsidP="00470DD2">
      <w:pPr>
        <w:pStyle w:val="ListNumber"/>
        <w:rPr>
          <w:b/>
        </w:rPr>
      </w:pPr>
      <w:r w:rsidRPr="0091164A">
        <w:rPr>
          <w:b/>
        </w:rPr>
        <w:t xml:space="preserve">Strong internal </w:t>
      </w:r>
      <w:r w:rsidR="0009787B">
        <w:rPr>
          <w:b/>
        </w:rPr>
        <w:t>climate c</w:t>
      </w:r>
      <w:r w:rsidR="00C458A3">
        <w:rPr>
          <w:b/>
        </w:rPr>
        <w:t>hange technical expertise used to ensure designs were appropriate</w:t>
      </w:r>
    </w:p>
    <w:p w14:paraId="185CD266" w14:textId="6606CBE1" w:rsidR="00C458A3" w:rsidRDefault="00C458A3" w:rsidP="00843940">
      <w:r>
        <w:t xml:space="preserve">The majority of the investments </w:t>
      </w:r>
      <w:r w:rsidR="00E05D5C">
        <w:t xml:space="preserve">that were successful </w:t>
      </w:r>
      <w:r>
        <w:t xml:space="preserve">benefited from </w:t>
      </w:r>
      <w:r w:rsidR="0021356D">
        <w:t xml:space="preserve">at least some </w:t>
      </w:r>
      <w:r w:rsidR="00E17661">
        <w:t>access to internal</w:t>
      </w:r>
      <w:r>
        <w:t xml:space="preserve"> climate </w:t>
      </w:r>
      <w:r w:rsidR="00761C84">
        <w:t>technical advice</w:t>
      </w:r>
      <w:r>
        <w:t xml:space="preserve"> (2010–14).</w:t>
      </w:r>
      <w:r w:rsidR="00110D83">
        <w:t xml:space="preserve"> </w:t>
      </w:r>
      <w:r>
        <w:t xml:space="preserve">In a number of the investments that had significant climate </w:t>
      </w:r>
      <w:r w:rsidR="00761C84">
        <w:t>outcomes</w:t>
      </w:r>
      <w:r>
        <w:t xml:space="preserve">, there was evidence of </w:t>
      </w:r>
      <w:r w:rsidR="00A221B8">
        <w:t>c</w:t>
      </w:r>
      <w:r>
        <w:t xml:space="preserve">limate </w:t>
      </w:r>
      <w:r w:rsidR="00A221B8">
        <w:t>a</w:t>
      </w:r>
      <w:r>
        <w:t>dvisers</w:t>
      </w:r>
      <w:r w:rsidR="00802BD1">
        <w:t xml:space="preserve"> prov</w:t>
      </w:r>
      <w:r w:rsidR="00621066">
        <w:t>id</w:t>
      </w:r>
      <w:r w:rsidR="00802BD1">
        <w:t>ing</w:t>
      </w:r>
      <w:r>
        <w:t xml:space="preserve"> input into designs</w:t>
      </w:r>
      <w:r w:rsidR="00621066">
        <w:t xml:space="preserve"> and providing </w:t>
      </w:r>
      <w:r>
        <w:t>advice during</w:t>
      </w:r>
      <w:r w:rsidR="00E4476D">
        <w:t xml:space="preserve"> </w:t>
      </w:r>
      <w:r w:rsidR="002C0CFA">
        <w:t xml:space="preserve">various </w:t>
      </w:r>
      <w:r w:rsidR="00E4476D">
        <w:t xml:space="preserve">stages of </w:t>
      </w:r>
      <w:r>
        <w:lastRenderedPageBreak/>
        <w:t>program implementation.</w:t>
      </w:r>
      <w:r w:rsidR="00110D83">
        <w:t xml:space="preserve"> </w:t>
      </w:r>
      <w:r w:rsidR="0021356D">
        <w:t xml:space="preserve">Although the level of technical support available to managers has been relatively limited to date </w:t>
      </w:r>
      <w:r w:rsidR="008745F7">
        <w:t>(especially post</w:t>
      </w:r>
      <w:r w:rsidR="009F3963">
        <w:t>-</w:t>
      </w:r>
      <w:r w:rsidR="008745F7">
        <w:t>2013)</w:t>
      </w:r>
      <w:r w:rsidR="00A221B8">
        <w:t>,</w:t>
      </w:r>
      <w:r w:rsidR="008745F7">
        <w:t xml:space="preserve"> there is evidence that where it did exist it contribute</w:t>
      </w:r>
      <w:r w:rsidR="00761C84">
        <w:t>d</w:t>
      </w:r>
      <w:r w:rsidR="008745F7">
        <w:t xml:space="preserve"> to improved design and investment outcomes. Several investments have drawn more extensively on external contracted expertise</w:t>
      </w:r>
      <w:r w:rsidR="00571242">
        <w:t>,</w:t>
      </w:r>
      <w:r w:rsidR="008745F7">
        <w:t xml:space="preserve"> and this has also provided important support to program managers and project design processes.</w:t>
      </w:r>
      <w:r w:rsidR="00E4476D">
        <w:t xml:space="preserve"> Programs that had less success, such as the Kalimantan Forest Carbon Project, suffered</w:t>
      </w:r>
      <w:r w:rsidR="00731A4A">
        <w:t xml:space="preserve"> when the </w:t>
      </w:r>
      <w:r w:rsidR="00802BD1">
        <w:t xml:space="preserve">staff managing the program </w:t>
      </w:r>
      <w:r w:rsidR="00731A4A">
        <w:t xml:space="preserve">lacked the technical capacity to identify weaknesses in the </w:t>
      </w:r>
      <w:r w:rsidR="00C25361">
        <w:t xml:space="preserve">external </w:t>
      </w:r>
      <w:r w:rsidR="00731A4A">
        <w:t xml:space="preserve">advisory support they </w:t>
      </w:r>
      <w:r w:rsidR="00802BD1">
        <w:t>received</w:t>
      </w:r>
      <w:r>
        <w:t>.</w:t>
      </w:r>
      <w:r w:rsidR="00802BD1">
        <w:t xml:space="preserve"> </w:t>
      </w:r>
      <w:r w:rsidR="00493901">
        <w:t>Whil</w:t>
      </w:r>
      <w:r w:rsidR="00571242">
        <w:t>e</w:t>
      </w:r>
      <w:r w:rsidR="00493901">
        <w:t xml:space="preserve"> delivery of the individual commitments within </w:t>
      </w:r>
      <w:r w:rsidR="00493901" w:rsidRPr="00AD3BA3">
        <w:t xml:space="preserve">the </w:t>
      </w:r>
      <w:r w:rsidR="005177E2" w:rsidRPr="00D04A94">
        <w:rPr>
          <w:i/>
        </w:rPr>
        <w:t xml:space="preserve">Australia </w:t>
      </w:r>
      <w:r w:rsidR="00807C6F" w:rsidRPr="00D04A94">
        <w:rPr>
          <w:i/>
        </w:rPr>
        <w:t>–</w:t>
      </w:r>
      <w:r w:rsidR="005177E2" w:rsidRPr="00D04A94">
        <w:rPr>
          <w:i/>
        </w:rPr>
        <w:t xml:space="preserve"> </w:t>
      </w:r>
      <w:r w:rsidR="00493901" w:rsidRPr="00D04A94">
        <w:rPr>
          <w:i/>
        </w:rPr>
        <w:t xml:space="preserve">Vietnam </w:t>
      </w:r>
      <w:r w:rsidR="005177E2" w:rsidRPr="00D04A94">
        <w:rPr>
          <w:i/>
        </w:rPr>
        <w:t>Climate Change Delivery Strategy (201</w:t>
      </w:r>
      <w:r w:rsidR="00F508EE" w:rsidRPr="00D04A94">
        <w:rPr>
          <w:i/>
        </w:rPr>
        <w:t>1–2</w:t>
      </w:r>
      <w:r w:rsidR="005177E2" w:rsidRPr="00D04A94">
        <w:rPr>
          <w:i/>
        </w:rPr>
        <w:t>016)</w:t>
      </w:r>
      <w:r w:rsidR="00F508EE" w:rsidRPr="00AD3BA3">
        <w:t xml:space="preserve"> </w:t>
      </w:r>
      <w:r w:rsidR="00493901" w:rsidRPr="00AD3BA3">
        <w:t>continued beyond 2014</w:t>
      </w:r>
      <w:r w:rsidR="00C54444" w:rsidRPr="00AD3BA3">
        <w:t>,</w:t>
      </w:r>
      <w:r w:rsidR="00493901" w:rsidRPr="000A37D0">
        <w:t xml:space="preserve"> th</w:t>
      </w:r>
      <w:r w:rsidR="00493901">
        <w:t xml:space="preserve">e limited access to </w:t>
      </w:r>
      <w:r w:rsidR="00761C84">
        <w:t xml:space="preserve">technical </w:t>
      </w:r>
      <w:r w:rsidR="00493901">
        <w:t xml:space="preserve">support was a constraint in terms of the momentum of </w:t>
      </w:r>
      <w:r w:rsidR="003E07DF">
        <w:t xml:space="preserve">projects. </w:t>
      </w:r>
      <w:r w:rsidR="00621066">
        <w:t xml:space="preserve">Investment managers </w:t>
      </w:r>
      <w:r w:rsidR="00761C84">
        <w:t>placed</w:t>
      </w:r>
      <w:r w:rsidR="00621066">
        <w:t xml:space="preserve"> significant </w:t>
      </w:r>
      <w:r w:rsidR="00761C84">
        <w:t>value o</w:t>
      </w:r>
      <w:r w:rsidR="00802BD1">
        <w:t xml:space="preserve">n having </w:t>
      </w:r>
      <w:r w:rsidR="00AA6404">
        <w:t xml:space="preserve">access to </w:t>
      </w:r>
      <w:r w:rsidR="00604DDB">
        <w:t xml:space="preserve">either internal or external </w:t>
      </w:r>
      <w:r w:rsidR="00802BD1">
        <w:t xml:space="preserve">expertise </w:t>
      </w:r>
      <w:r w:rsidR="008745F7">
        <w:t xml:space="preserve">to support </w:t>
      </w:r>
      <w:r w:rsidR="00604DDB">
        <w:t>more generalist program managers</w:t>
      </w:r>
      <w:r w:rsidR="008745F7">
        <w:t xml:space="preserve">. They </w:t>
      </w:r>
      <w:r w:rsidR="00F17ECD">
        <w:t xml:space="preserve">were found to be </w:t>
      </w:r>
      <w:r w:rsidR="008745F7">
        <w:t>useful</w:t>
      </w:r>
      <w:r w:rsidR="00604DDB">
        <w:t xml:space="preserve"> to </w:t>
      </w:r>
      <w:r w:rsidR="00761C84">
        <w:t>test ideas</w:t>
      </w:r>
      <w:r w:rsidR="00F508EE">
        <w:t>,</w:t>
      </w:r>
      <w:r w:rsidR="00802BD1">
        <w:t xml:space="preserve"> and to </w:t>
      </w:r>
      <w:r w:rsidR="008745F7">
        <w:t>provide advic</w:t>
      </w:r>
      <w:r w:rsidR="00802BD1">
        <w:t xml:space="preserve">e </w:t>
      </w:r>
      <w:r w:rsidR="008745F7">
        <w:t>on climate</w:t>
      </w:r>
      <w:r w:rsidR="00571242">
        <w:t>-</w:t>
      </w:r>
      <w:r w:rsidR="008745F7">
        <w:t xml:space="preserve">related </w:t>
      </w:r>
      <w:r w:rsidR="00802BD1">
        <w:t xml:space="preserve">issues </w:t>
      </w:r>
      <w:r w:rsidR="008745F7">
        <w:t xml:space="preserve">associated with their planned investments, </w:t>
      </w:r>
      <w:r w:rsidR="00D0666E">
        <w:t xml:space="preserve">thus enhancing the ability to deliver </w:t>
      </w:r>
      <w:r w:rsidR="003456F0">
        <w:t>climate change</w:t>
      </w:r>
      <w:r w:rsidR="00571242">
        <w:t>-</w:t>
      </w:r>
      <w:r w:rsidR="003456F0">
        <w:t>related benefits.</w:t>
      </w:r>
    </w:p>
    <w:p w14:paraId="3C0057D7" w14:textId="0D95AD75" w:rsidR="004B4A31" w:rsidRDefault="004B4A31" w:rsidP="00C54444">
      <w:pPr>
        <w:pStyle w:val="Heading4"/>
      </w:pPr>
      <w:r>
        <w:t>Finding</w:t>
      </w:r>
      <w:r w:rsidR="0044694D">
        <w:t>s</w:t>
      </w:r>
    </w:p>
    <w:p w14:paraId="7436A333" w14:textId="77777777" w:rsidR="00F508EE" w:rsidRDefault="00621066" w:rsidP="00164BA9">
      <w:pPr>
        <w:spacing w:after="120"/>
      </w:pPr>
      <w:r>
        <w:t>Investments more likely to produce significant climate benefits:</w:t>
      </w:r>
    </w:p>
    <w:p w14:paraId="6F1FE265" w14:textId="77777777" w:rsidR="00F508EE" w:rsidRDefault="00571242" w:rsidP="00941B04">
      <w:pPr>
        <w:pStyle w:val="ListBullet"/>
      </w:pPr>
      <w:r>
        <w:t>are l</w:t>
      </w:r>
      <w:r w:rsidR="004B4A31" w:rsidRPr="00024E51">
        <w:t>onger</w:t>
      </w:r>
      <w:r>
        <w:t>-</w:t>
      </w:r>
      <w:r w:rsidR="004B4A31" w:rsidRPr="00024E51">
        <w:t>term engagements (</w:t>
      </w:r>
      <w:r w:rsidR="00E05D5C">
        <w:t xml:space="preserve">greater than </w:t>
      </w:r>
      <w:r w:rsidR="009526B5">
        <w:t>five years</w:t>
      </w:r>
      <w:r w:rsidR="004B4A31" w:rsidRPr="00024E51">
        <w:t xml:space="preserve">), that </w:t>
      </w:r>
      <w:r w:rsidR="00621066" w:rsidRPr="00024E51">
        <w:t xml:space="preserve">facilitate </w:t>
      </w:r>
      <w:r w:rsidR="000F20CB" w:rsidRPr="00024E51">
        <w:t xml:space="preserve">and support </w:t>
      </w:r>
      <w:r w:rsidR="004B4A31" w:rsidRPr="00024E51">
        <w:t>longer</w:t>
      </w:r>
      <w:r>
        <w:t>-</w:t>
      </w:r>
      <w:r w:rsidR="004B4A31" w:rsidRPr="00024E51">
        <w:t>term partnerships and relationships</w:t>
      </w:r>
    </w:p>
    <w:p w14:paraId="353D3B19" w14:textId="216499A1" w:rsidR="00621066" w:rsidRPr="00024E51" w:rsidRDefault="00571242" w:rsidP="008F69D3">
      <w:pPr>
        <w:pStyle w:val="ListBullet"/>
      </w:pPr>
      <w:r>
        <w:t>u</w:t>
      </w:r>
      <w:r w:rsidR="00621066" w:rsidRPr="00024E51">
        <w:t>se a development-first approach to climate and disaster risk management</w:t>
      </w:r>
      <w:r w:rsidR="008F69D3">
        <w:t xml:space="preserve"> (rather than a hazard-first approach)</w:t>
      </w:r>
      <w:r w:rsidR="00621066" w:rsidRPr="00024E51">
        <w:t xml:space="preserve">, </w:t>
      </w:r>
      <w:r w:rsidR="001E3951">
        <w:t xml:space="preserve">and </w:t>
      </w:r>
      <w:r w:rsidR="008F69D3" w:rsidRPr="008F69D3">
        <w:t>mainstream climate considerations into existing development priorities and associated planning and decision</w:t>
      </w:r>
      <w:r w:rsidR="00807C6F">
        <w:t xml:space="preserve"> </w:t>
      </w:r>
      <w:r w:rsidR="008F69D3" w:rsidRPr="008F69D3">
        <w:t>making</w:t>
      </w:r>
    </w:p>
    <w:p w14:paraId="0910F20C" w14:textId="77777777" w:rsidR="00F508EE" w:rsidRDefault="00571242" w:rsidP="00941B04">
      <w:pPr>
        <w:pStyle w:val="ListBullet"/>
      </w:pPr>
      <w:r>
        <w:t>a</w:t>
      </w:r>
      <w:r w:rsidR="00621066" w:rsidRPr="00024E51">
        <w:t xml:space="preserve">re implemented by partners with strong experience </w:t>
      </w:r>
      <w:r>
        <w:t>in</w:t>
      </w:r>
      <w:r w:rsidRPr="00024E51">
        <w:t xml:space="preserve"> </w:t>
      </w:r>
      <w:r w:rsidR="00621066" w:rsidRPr="00024E51">
        <w:t>using science to drive development outcomes</w:t>
      </w:r>
    </w:p>
    <w:p w14:paraId="6A22602B" w14:textId="2B666691" w:rsidR="00621066" w:rsidRPr="00024E51" w:rsidRDefault="00571242" w:rsidP="00941B04">
      <w:pPr>
        <w:pStyle w:val="ListBullet"/>
      </w:pPr>
      <w:r>
        <w:t>a</w:t>
      </w:r>
      <w:r w:rsidR="00621066" w:rsidRPr="00024E51">
        <w:t xml:space="preserve">re explicitly linked to partner country </w:t>
      </w:r>
      <w:r w:rsidR="003347B7">
        <w:t xml:space="preserve">needs </w:t>
      </w:r>
      <w:r w:rsidR="00621066" w:rsidRPr="00024E51">
        <w:t xml:space="preserve">and have explicit </w:t>
      </w:r>
      <w:r w:rsidR="00DF4071">
        <w:t>c</w:t>
      </w:r>
      <w:r w:rsidR="00621066" w:rsidRPr="00024E51">
        <w:t xml:space="preserve">limate or </w:t>
      </w:r>
      <w:r w:rsidR="00DF4071">
        <w:t>d</w:t>
      </w:r>
      <w:r w:rsidR="00621066" w:rsidRPr="00024E51">
        <w:t>isaster</w:t>
      </w:r>
      <w:r>
        <w:t>-</w:t>
      </w:r>
      <w:r w:rsidR="00621066" w:rsidRPr="00024E51">
        <w:t>related outcomes</w:t>
      </w:r>
    </w:p>
    <w:p w14:paraId="43D03919" w14:textId="1279A18B" w:rsidR="00F508EE" w:rsidRDefault="00571242" w:rsidP="00941B04">
      <w:pPr>
        <w:pStyle w:val="ListBullet"/>
      </w:pPr>
      <w:r>
        <w:t>a</w:t>
      </w:r>
      <w:r w:rsidR="00621066" w:rsidRPr="00024E51">
        <w:t xml:space="preserve">re supported by appropriate technical expertise </w:t>
      </w:r>
      <w:r w:rsidR="00E05D5C">
        <w:t>(</w:t>
      </w:r>
      <w:r w:rsidR="008745F7">
        <w:t xml:space="preserve">mix of </w:t>
      </w:r>
      <w:r w:rsidR="00E05D5C">
        <w:t xml:space="preserve">internal </w:t>
      </w:r>
      <w:r w:rsidR="008745F7">
        <w:t xml:space="preserve">and </w:t>
      </w:r>
      <w:r w:rsidR="00E05D5C">
        <w:t xml:space="preserve">external) during the </w:t>
      </w:r>
      <w:r w:rsidR="00761C84">
        <w:t>whole</w:t>
      </w:r>
      <w:r w:rsidR="00E05D5C">
        <w:t xml:space="preserve"> project investment cycle</w:t>
      </w:r>
      <w:r w:rsidR="00F17ECD">
        <w:t>.</w:t>
      </w:r>
    </w:p>
    <w:p w14:paraId="262B4801" w14:textId="5B269259" w:rsidR="00F508EE" w:rsidRDefault="00B91226" w:rsidP="009F3963">
      <w:r>
        <w:t xml:space="preserve">Investments where </w:t>
      </w:r>
      <w:r w:rsidR="00761C84">
        <w:t>the evaluation</w:t>
      </w:r>
      <w:r>
        <w:t xml:space="preserve"> found no (or very limited) evidence of progress towards climate change outcomes were characterised by </w:t>
      </w:r>
      <w:r w:rsidR="00761C84">
        <w:t xml:space="preserve">having </w:t>
      </w:r>
      <w:r>
        <w:t xml:space="preserve">climate change </w:t>
      </w:r>
      <w:r w:rsidR="00761C84">
        <w:t>as</w:t>
      </w:r>
      <w:r>
        <w:t xml:space="preserve"> a secondary objective and with no associated definition of an outcome to be pursued and/or tracked.</w:t>
      </w:r>
    </w:p>
    <w:p w14:paraId="6576129F" w14:textId="77777777" w:rsidR="00BA10BB" w:rsidRDefault="00BA10BB">
      <w:pPr>
        <w:tabs>
          <w:tab w:val="clear" w:pos="992"/>
          <w:tab w:val="clear" w:pos="1418"/>
        </w:tabs>
        <w:spacing w:after="0" w:line="240" w:lineRule="auto"/>
        <w:rPr>
          <w:rFonts w:eastAsia="SimSun"/>
          <w:spacing w:val="2"/>
          <w:sz w:val="38"/>
          <w:szCs w:val="26"/>
        </w:rPr>
      </w:pPr>
      <w:r>
        <w:br w:type="page"/>
      </w:r>
    </w:p>
    <w:p w14:paraId="7DB549CE" w14:textId="77777777" w:rsidR="007F3368" w:rsidRDefault="00DA2E8F" w:rsidP="00DA2E8F">
      <w:pPr>
        <w:pStyle w:val="Heading2"/>
        <w:numPr>
          <w:ilvl w:val="0"/>
          <w:numId w:val="0"/>
        </w:numPr>
        <w:ind w:left="432" w:hanging="432"/>
      </w:pPr>
      <w:bookmarkStart w:id="67" w:name="_Toc510771925"/>
      <w:r w:rsidRPr="00A4465E">
        <w:lastRenderedPageBreak/>
        <w:t>3.3</w:t>
      </w:r>
      <w:r>
        <w:tab/>
      </w:r>
      <w:r w:rsidR="007F3368">
        <w:t xml:space="preserve">Engagement with strategic </w:t>
      </w:r>
      <w:r w:rsidR="005B562F">
        <w:t xml:space="preserve">Australian </w:t>
      </w:r>
      <w:r w:rsidR="00FF61B1">
        <w:t>g</w:t>
      </w:r>
      <w:r w:rsidR="005B562F">
        <w:t xml:space="preserve">overnment </w:t>
      </w:r>
      <w:r w:rsidR="007F3368">
        <w:t>partners</w:t>
      </w:r>
      <w:bookmarkEnd w:id="67"/>
    </w:p>
    <w:p w14:paraId="2EDD6131" w14:textId="425A28AB" w:rsidR="00F508EE" w:rsidRDefault="001F2D65" w:rsidP="009F3963">
      <w:r w:rsidRPr="00C76A22">
        <w:t>Many Australian government agencies are involved directly in the delivery of climate</w:t>
      </w:r>
      <w:r w:rsidR="00571242">
        <w:t>-</w:t>
      </w:r>
      <w:r w:rsidRPr="00C76A22">
        <w:t>related development assistance.</w:t>
      </w:r>
      <w:r w:rsidR="00110D83">
        <w:t xml:space="preserve"> </w:t>
      </w:r>
      <w:r w:rsidRPr="00C76A22">
        <w:t>Of the 26 investments reviewed, 11 were delivered by, or had significant input from</w:t>
      </w:r>
      <w:r w:rsidR="00807C6F">
        <w:t>,</w:t>
      </w:r>
      <w:r w:rsidRPr="00C76A22">
        <w:t xml:space="preserve"> other Australian </w:t>
      </w:r>
      <w:r w:rsidR="00FF61B1">
        <w:t>g</w:t>
      </w:r>
      <w:r w:rsidRPr="00C76A22">
        <w:t xml:space="preserve">overnment </w:t>
      </w:r>
      <w:r w:rsidR="00571242">
        <w:t>a</w:t>
      </w:r>
      <w:r w:rsidRPr="00C76A22">
        <w:t>gencies</w:t>
      </w:r>
      <w:r w:rsidR="00571242">
        <w:t>—</w:t>
      </w:r>
      <w:r w:rsidRPr="00C76A22">
        <w:t xml:space="preserve">predominantly </w:t>
      </w:r>
      <w:r w:rsidR="00D94A0B">
        <w:t>ACIAR</w:t>
      </w:r>
      <w:r w:rsidRPr="00C76A22">
        <w:t xml:space="preserve">, </w:t>
      </w:r>
      <w:r w:rsidR="00D94A0B">
        <w:t xml:space="preserve">CSIRO, </w:t>
      </w:r>
      <w:r w:rsidRPr="00C76A22">
        <w:t>B</w:t>
      </w:r>
      <w:r w:rsidR="00484BCE">
        <w:t>O</w:t>
      </w:r>
      <w:r w:rsidRPr="00C76A22">
        <w:t xml:space="preserve">M, </w:t>
      </w:r>
      <w:r w:rsidR="00D94A0B">
        <w:t xml:space="preserve">DoEE and </w:t>
      </w:r>
      <w:r w:rsidRPr="00C76A22">
        <w:t>Geoscience Australia.</w:t>
      </w:r>
    </w:p>
    <w:p w14:paraId="7DE66A4A" w14:textId="09C11BE9" w:rsidR="001F2D65" w:rsidRPr="00C76A22" w:rsidRDefault="001F2D65" w:rsidP="009F3963">
      <w:r w:rsidRPr="00C76A22">
        <w:t xml:space="preserve">The cluster of investments selected from the </w:t>
      </w:r>
      <w:r w:rsidR="00494903">
        <w:t>P</w:t>
      </w:r>
      <w:r w:rsidRPr="00C76A22">
        <w:t xml:space="preserve">acific regional program lent themselves to analysis of DFAT’s engagement with strategic partners, as four of the five investments </w:t>
      </w:r>
      <w:r w:rsidR="00761C84">
        <w:t>involved</w:t>
      </w:r>
      <w:r w:rsidRPr="00C76A22">
        <w:t xml:space="preserve"> Australian government organisations working with Pacific </w:t>
      </w:r>
      <w:r w:rsidR="00BD6351">
        <w:t>r</w:t>
      </w:r>
      <w:r w:rsidRPr="00C76A22">
        <w:t>egional organisations to deliver development outcomes under a variety of arrangements. Some of the findings are particular to the Pacific, while others may provide lessons for engaging with partners in other contexts.</w:t>
      </w:r>
    </w:p>
    <w:p w14:paraId="0B88A2C1" w14:textId="1A5699C1" w:rsidR="001F2D65" w:rsidRPr="00C76A22" w:rsidRDefault="001F2D65" w:rsidP="009F3963">
      <w:r w:rsidRPr="00C76A22">
        <w:t xml:space="preserve">Australian government organisations possess a wealth of technical and scientific knowledge </w:t>
      </w:r>
      <w:r w:rsidR="00FF61B1" w:rsidRPr="00C76A22">
        <w:t>regarding</w:t>
      </w:r>
      <w:r w:rsidRPr="00C76A22">
        <w:t xml:space="preserve"> climate change and the environment. DFAT’s engagement with these organisations for the delivery </w:t>
      </w:r>
      <w:r w:rsidR="00C81BFA" w:rsidRPr="00C76A22">
        <w:t xml:space="preserve">of </w:t>
      </w:r>
      <w:r w:rsidRPr="00C76A22">
        <w:t>the aid program offers a number of benefits for the quality of investment outcomes and for Australia’s broader policy interests in comparison to delivery through a commercial partner. In addition to world-class technical capability, staff of Australian government organisations have long-standing relationships with their Pacific peers. A 2016 ODE evaluation of the partnership between Australia and the SPC</w:t>
      </w:r>
      <w:r w:rsidRPr="00C76A22">
        <w:rPr>
          <w:rStyle w:val="FootnoteReference"/>
          <w:color w:val="auto"/>
        </w:rPr>
        <w:footnoteReference w:id="18"/>
      </w:r>
      <w:r w:rsidRPr="00C76A22">
        <w:t>, for example, found that there were well established, collaborative relationships between other Australian government agenc</w:t>
      </w:r>
      <w:r w:rsidR="00CE49DE">
        <w:t>ies</w:t>
      </w:r>
      <w:r w:rsidRPr="00C76A22">
        <w:t xml:space="preserve"> and SPC staff. A factor identified was greater continuity of staff compared with DFAT, allowing them to invest in relationships over the long term. Some technical staff had moved between the Australian </w:t>
      </w:r>
      <w:r w:rsidR="00FF61B1">
        <w:t>G</w:t>
      </w:r>
      <w:r w:rsidRPr="00C76A22">
        <w:t>overnment and SPC over the course of their careers. These relationships are an asset. Their Australian government identity and the branding of their work make Australia’s assistance more visible and enhance Australia’s reputation.</w:t>
      </w:r>
    </w:p>
    <w:p w14:paraId="13D881FC" w14:textId="17D6F36D" w:rsidR="001F2D65" w:rsidRPr="00C76A22" w:rsidRDefault="001F2D65" w:rsidP="009F3963">
      <w:r w:rsidRPr="00C76A22">
        <w:t>Some Australian government agencies have a direct mandate to conduct international work. B</w:t>
      </w:r>
      <w:r w:rsidR="00FF61B1">
        <w:t>O</w:t>
      </w:r>
      <w:r w:rsidRPr="00C76A22">
        <w:t>M has obligations to support capacity in developing countries in the South Pacific and parts of South</w:t>
      </w:r>
      <w:r w:rsidR="00FF61B1">
        <w:t>e</w:t>
      </w:r>
      <w:r w:rsidRPr="00C76A22">
        <w:t>ast Asia as a member of the World Meteorological Organi</w:t>
      </w:r>
      <w:r w:rsidR="00F0034F">
        <w:t>z</w:t>
      </w:r>
      <w:r w:rsidRPr="00C76A22">
        <w:t>ation</w:t>
      </w:r>
      <w:r w:rsidR="002A2CE8">
        <w:t xml:space="preserve">. </w:t>
      </w:r>
      <w:r w:rsidRPr="00C76A22">
        <w:t xml:space="preserve">Geoscience Australia </w:t>
      </w:r>
      <w:r w:rsidR="002A2CE8">
        <w:t xml:space="preserve">supports regional capacity development through the </w:t>
      </w:r>
      <w:r w:rsidRPr="00C76A22">
        <w:t>United Nations Global Geospatial Information Management Committee. Due to Australia’s international obligations under the S</w:t>
      </w:r>
      <w:r w:rsidR="00052967">
        <w:t>DGs</w:t>
      </w:r>
      <w:r w:rsidRPr="00C76A22">
        <w:t xml:space="preserve">, increasingly DFAT and other government organisations are required to engage in capacity development or </w:t>
      </w:r>
      <w:r w:rsidR="005349CE">
        <w:t xml:space="preserve">provide </w:t>
      </w:r>
      <w:r w:rsidRPr="00C76A22">
        <w:t>other assistance to less advanced countries in their field</w:t>
      </w:r>
      <w:r w:rsidR="00761C84">
        <w:t>s</w:t>
      </w:r>
      <w:r w:rsidRPr="00C76A22">
        <w:t xml:space="preserve"> of expertise.</w:t>
      </w:r>
    </w:p>
    <w:p w14:paraId="73FF590A" w14:textId="13192E95" w:rsidR="00F508EE" w:rsidRDefault="001F2D65" w:rsidP="009F3963">
      <w:r w:rsidRPr="00C76A22">
        <w:t xml:space="preserve">Additionally, being able to work on funded development programs helps </w:t>
      </w:r>
      <w:r w:rsidR="00761C84">
        <w:t xml:space="preserve">Australian government organisations </w:t>
      </w:r>
      <w:r w:rsidRPr="00C76A22">
        <w:t xml:space="preserve">build skills in new areas of work. The Philippines Disaster Management program enabled Geoscience Australia to </w:t>
      </w:r>
      <w:r w:rsidR="00761C84">
        <w:t>develop</w:t>
      </w:r>
      <w:r w:rsidRPr="00C76A22">
        <w:t xml:space="preserve"> a multi</w:t>
      </w:r>
      <w:r w:rsidR="001C4864">
        <w:t>-hazard</w:t>
      </w:r>
      <w:r w:rsidRPr="00C76A22">
        <w:t xml:space="preserve"> risk assessment of critical infrastructure, and work undertaken in Indonesia improved Geoscience Australia’s inundation modelling. Tools developed under funded development programs have </w:t>
      </w:r>
      <w:r w:rsidR="00C81BFA" w:rsidRPr="00C76A22">
        <w:t xml:space="preserve">to some extent </w:t>
      </w:r>
      <w:r w:rsidRPr="00C76A22">
        <w:t>been brought back to Australia and used in domestic work.</w:t>
      </w:r>
    </w:p>
    <w:p w14:paraId="2607D330" w14:textId="53C79146" w:rsidR="00F508EE" w:rsidRDefault="001F2D65" w:rsidP="009F3963">
      <w:r w:rsidRPr="00C76A22">
        <w:t xml:space="preserve">The evaluation </w:t>
      </w:r>
      <w:r w:rsidRPr="00AE6914">
        <w:t xml:space="preserve">identified some challenges with </w:t>
      </w:r>
      <w:r w:rsidR="00FF61B1">
        <w:t>w</w:t>
      </w:r>
      <w:r w:rsidRPr="00AE6914">
        <w:t>hole-of-</w:t>
      </w:r>
      <w:r w:rsidR="00FF61B1">
        <w:t>g</w:t>
      </w:r>
      <w:r w:rsidRPr="00AE6914">
        <w:t>overnment delivery. For aid investments delivered through, or with, whole</w:t>
      </w:r>
      <w:r w:rsidR="00FF61B1">
        <w:t>-</w:t>
      </w:r>
      <w:r w:rsidRPr="00AE6914">
        <w:t>of</w:t>
      </w:r>
      <w:r w:rsidR="00FF61B1">
        <w:t>-</w:t>
      </w:r>
      <w:r w:rsidRPr="00AE6914">
        <w:t>government partners it is important that DFAT</w:t>
      </w:r>
      <w:r w:rsidRPr="00C76A22">
        <w:t xml:space="preserve"> clearly articulate</w:t>
      </w:r>
      <w:r w:rsidR="00FF61B1">
        <w:t>s</w:t>
      </w:r>
      <w:r w:rsidRPr="00C76A22">
        <w:t xml:space="preserve"> its strategic </w:t>
      </w:r>
      <w:r w:rsidRPr="00C76A22">
        <w:lastRenderedPageBreak/>
        <w:t xml:space="preserve">goals. Informants in other Australian government organisations indicated that they were not aware of DFAT’s </w:t>
      </w:r>
      <w:r w:rsidR="004857E5">
        <w:t>strategic objectives</w:t>
      </w:r>
      <w:r w:rsidRPr="00C76A22">
        <w:t xml:space="preserve"> for climate change investments in the Pacific. </w:t>
      </w:r>
      <w:r w:rsidR="00052967">
        <w:t>W</w:t>
      </w:r>
      <w:r w:rsidR="00761C84">
        <w:t>ithout</w:t>
      </w:r>
      <w:r w:rsidRPr="00C76A22">
        <w:t xml:space="preserve"> an understanding of the policy context in which to frame their perspectives about risks and opportunities, </w:t>
      </w:r>
      <w:r w:rsidR="00052967">
        <w:t xml:space="preserve">it is difficult for partners to contribute fully </w:t>
      </w:r>
      <w:r w:rsidRPr="00C76A22">
        <w:t>or to respond flexibly to changing circumstances while staying relevant to strategic goals.</w:t>
      </w:r>
    </w:p>
    <w:p w14:paraId="153DAA56" w14:textId="4F6123E0" w:rsidR="00F508EE" w:rsidRDefault="001F2D65" w:rsidP="009F3963">
      <w:r w:rsidRPr="00C76A22">
        <w:t xml:space="preserve">Related to this, a number of informants expressed a desire for better partnering with DFAT, including greater involvement in investment design and governance, as they believed DFAT still largely interacted with them as service providers. DFAT is not alone in this, however. The evaluation found instances of parallel support by different </w:t>
      </w:r>
      <w:r w:rsidR="00562B24">
        <w:t>Australian government organisations</w:t>
      </w:r>
      <w:r w:rsidR="00562B24" w:rsidRPr="00C76A22">
        <w:t xml:space="preserve"> </w:t>
      </w:r>
      <w:r w:rsidRPr="00C76A22">
        <w:t>and of sub</w:t>
      </w:r>
      <w:r w:rsidR="001C4864">
        <w:t>contracting</w:t>
      </w:r>
      <w:r w:rsidRPr="00C76A22">
        <w:t xml:space="preserve"> behaviour among </w:t>
      </w:r>
      <w:r w:rsidR="00604057">
        <w:t>that group</w:t>
      </w:r>
      <w:r w:rsidRPr="00C76A22">
        <w:t>.</w:t>
      </w:r>
      <w:r w:rsidR="00110D83">
        <w:t xml:space="preserve"> </w:t>
      </w:r>
      <w:r w:rsidRPr="00C76A22">
        <w:t>At times there was poor coordination and some elements of inter</w:t>
      </w:r>
      <w:r w:rsidR="006A6368">
        <w:t>agency</w:t>
      </w:r>
      <w:r w:rsidRPr="00C76A22">
        <w:t xml:space="preserve"> rivalry for ODA budget.</w:t>
      </w:r>
    </w:p>
    <w:p w14:paraId="79BC6D2C" w14:textId="429479B7" w:rsidR="007E000D" w:rsidRPr="001405A5" w:rsidRDefault="001F2D65" w:rsidP="009F3963">
      <w:r w:rsidRPr="00C76A22">
        <w:t xml:space="preserve">There are clear advantages to good partnership between DFAT </w:t>
      </w:r>
      <w:r w:rsidR="00CE49DE">
        <w:t xml:space="preserve">and </w:t>
      </w:r>
      <w:r w:rsidRPr="00C76A22">
        <w:t xml:space="preserve">other government agencies for the delivery </w:t>
      </w:r>
      <w:r w:rsidRPr="003E07DF">
        <w:t xml:space="preserve">of </w:t>
      </w:r>
      <w:r w:rsidR="003E07DF" w:rsidRPr="003E07DF">
        <w:t>climate change</w:t>
      </w:r>
      <w:r w:rsidR="00BD6F37">
        <w:t>-</w:t>
      </w:r>
      <w:r w:rsidR="003E07DF" w:rsidRPr="003E07DF">
        <w:t>related aid</w:t>
      </w:r>
      <w:r w:rsidRPr="00C76A22">
        <w:t>. The level of collaboration among Australian government agencies and with DFAT has been inconsistent and is made harder by the lack of a common policy framework or joint country planning processes</w:t>
      </w:r>
      <w:r w:rsidR="00A4633E" w:rsidRPr="00C76A22">
        <w:t xml:space="preserve"> and robust monitoring arrangements that enable tracking of the whole engagement</w:t>
      </w:r>
      <w:r w:rsidRPr="00C76A22">
        <w:t>. This leads to fragmented programming and less f</w:t>
      </w:r>
      <w:r w:rsidR="00A4633E" w:rsidRPr="00C76A22">
        <w:t xml:space="preserve">ocus on development outcomes. </w:t>
      </w:r>
      <w:r w:rsidRPr="00C76A22">
        <w:t xml:space="preserve">This analysis resonates with </w:t>
      </w:r>
      <w:r w:rsidR="00562B24">
        <w:t xml:space="preserve">findings from </w:t>
      </w:r>
      <w:r w:rsidRPr="00C76A22">
        <w:t xml:space="preserve">a 2012 ODE assessment of </w:t>
      </w:r>
      <w:r w:rsidR="00BD6F37">
        <w:t>w</w:t>
      </w:r>
      <w:r w:rsidRPr="00C76A22">
        <w:t>hole</w:t>
      </w:r>
      <w:r w:rsidR="00BD6F37">
        <w:t>-</w:t>
      </w:r>
      <w:r w:rsidRPr="00C76A22">
        <w:t>of</w:t>
      </w:r>
      <w:r w:rsidR="00BD6F37">
        <w:t>-g</w:t>
      </w:r>
      <w:r w:rsidRPr="00C76A22">
        <w:t xml:space="preserve">overnment delivery </w:t>
      </w:r>
      <w:r w:rsidR="00604057">
        <w:t>of</w:t>
      </w:r>
      <w:r w:rsidRPr="00C76A22">
        <w:t xml:space="preserve"> international development programs in the law and justice sector</w:t>
      </w:r>
      <w:r w:rsidR="00052967">
        <w:t>.</w:t>
      </w:r>
      <w:r w:rsidRPr="00D91929">
        <w:rPr>
          <w:vertAlign w:val="superscript"/>
        </w:rPr>
        <w:footnoteReference w:id="19"/>
      </w:r>
    </w:p>
    <w:p w14:paraId="4CB51936" w14:textId="77777777" w:rsidR="001F2D65" w:rsidRPr="00D91929" w:rsidRDefault="001F2D65" w:rsidP="0087589A">
      <w:pPr>
        <w:pStyle w:val="Heading4"/>
      </w:pPr>
      <w:r w:rsidRPr="00D91929">
        <w:t>Finding</w:t>
      </w:r>
    </w:p>
    <w:p w14:paraId="5A94F991" w14:textId="0B425CEF" w:rsidR="00F508EE" w:rsidRDefault="001F2D65" w:rsidP="009F3963">
      <w:r w:rsidRPr="00D91929">
        <w:t>Australian technical, research and policy bodies have highly regarded skills</w:t>
      </w:r>
      <w:r w:rsidR="00DD4AA1">
        <w:t>, institutional capacity</w:t>
      </w:r>
      <w:r w:rsidRPr="00D91929">
        <w:t xml:space="preserve"> and strong regional relationships to offer, which </w:t>
      </w:r>
      <w:r w:rsidR="00562B24">
        <w:t>are</w:t>
      </w:r>
      <w:r w:rsidRPr="00D91929">
        <w:t xml:space="preserve"> essential for climate change ac</w:t>
      </w:r>
      <w:r w:rsidR="00A4633E" w:rsidRPr="00D91929">
        <w:t xml:space="preserve">tion in the aid program. </w:t>
      </w:r>
      <w:r w:rsidRPr="00D91929">
        <w:t>There is opportunity to strengthen a whole</w:t>
      </w:r>
      <w:r w:rsidR="00BD6F37">
        <w:t>-</w:t>
      </w:r>
      <w:r w:rsidRPr="00D91929">
        <w:t>of</w:t>
      </w:r>
      <w:r w:rsidR="00BD6F37">
        <w:t>-</w:t>
      </w:r>
      <w:r w:rsidRPr="00D91929">
        <w:t xml:space="preserve">government approach to climate change, </w:t>
      </w:r>
      <w:r w:rsidR="00A4633E" w:rsidRPr="00D91929">
        <w:t xml:space="preserve">underpinned </w:t>
      </w:r>
      <w:r w:rsidR="00562B24">
        <w:t xml:space="preserve">by clear strategic goals </w:t>
      </w:r>
      <w:r w:rsidR="00D0666E" w:rsidRPr="00D91929">
        <w:t xml:space="preserve">and framed </w:t>
      </w:r>
      <w:r w:rsidR="00A4633E" w:rsidRPr="00D91929">
        <w:t xml:space="preserve">by </w:t>
      </w:r>
      <w:r w:rsidR="00D0666E" w:rsidRPr="00D91929">
        <w:t xml:space="preserve">a </w:t>
      </w:r>
      <w:r w:rsidR="00207EDF" w:rsidRPr="00D91929">
        <w:t>DFAT</w:t>
      </w:r>
      <w:r w:rsidR="00BD6F37">
        <w:t>-</w:t>
      </w:r>
      <w:r w:rsidR="00207EDF" w:rsidRPr="00D91929">
        <w:t>led</w:t>
      </w:r>
      <w:r w:rsidR="00D0666E" w:rsidRPr="00D91929">
        <w:t xml:space="preserve"> </w:t>
      </w:r>
      <w:r w:rsidR="00A4633E" w:rsidRPr="00D91929">
        <w:t>monitoring</w:t>
      </w:r>
      <w:r w:rsidR="00DF4071">
        <w:t xml:space="preserve"> framework</w:t>
      </w:r>
      <w:r w:rsidR="00A4633E" w:rsidRPr="00D91929">
        <w:t xml:space="preserve">, </w:t>
      </w:r>
      <w:r w:rsidRPr="00D91929">
        <w:t>ensuring technical and development agencies work in partnership towards a common policy framework.</w:t>
      </w:r>
    </w:p>
    <w:p w14:paraId="20371E6C" w14:textId="77777777" w:rsidR="007F3368" w:rsidRDefault="00DA2E8F" w:rsidP="001405A5">
      <w:pPr>
        <w:pStyle w:val="Heading2"/>
        <w:numPr>
          <w:ilvl w:val="0"/>
          <w:numId w:val="0"/>
        </w:numPr>
        <w:spacing w:before="0"/>
        <w:ind w:left="432" w:hanging="432"/>
      </w:pPr>
      <w:bookmarkStart w:id="68" w:name="_Toc510771926"/>
      <w:r>
        <w:t>3.4</w:t>
      </w:r>
      <w:r>
        <w:tab/>
      </w:r>
      <w:r w:rsidR="007F3368">
        <w:t>Gender and disability inclusion</w:t>
      </w:r>
      <w:bookmarkEnd w:id="68"/>
    </w:p>
    <w:p w14:paraId="7D96DA8A" w14:textId="3A32C2BF" w:rsidR="00F82B06" w:rsidRDefault="00DA2855" w:rsidP="0087589A">
      <w:r>
        <w:t>Six of the 26 investments (23</w:t>
      </w:r>
      <w:r w:rsidR="005951DE">
        <w:t xml:space="preserve"> per cent</w:t>
      </w:r>
      <w:r>
        <w:t xml:space="preserve">) demonstrated </w:t>
      </w:r>
      <w:r w:rsidR="00F82B06">
        <w:t xml:space="preserve">evidence of </w:t>
      </w:r>
      <w:r>
        <w:t>gender-related outcomes.</w:t>
      </w:r>
      <w:r w:rsidR="00BB4BE1">
        <w:t xml:space="preserve"> </w:t>
      </w:r>
      <w:r w:rsidR="003347B7">
        <w:t xml:space="preserve">Sixteen </w:t>
      </w:r>
      <w:r w:rsidR="00BB4BE1">
        <w:t xml:space="preserve">investments had climate change as a principal objective, </w:t>
      </w:r>
      <w:r w:rsidR="003347B7">
        <w:t xml:space="preserve">of which </w:t>
      </w:r>
      <w:r w:rsidR="00BB4BE1">
        <w:t>five (31</w:t>
      </w:r>
      <w:r w:rsidR="005951DE">
        <w:t xml:space="preserve"> per cent</w:t>
      </w:r>
      <w:r w:rsidR="00BB4BE1">
        <w:t>) demonstrated gender-related outcomes.</w:t>
      </w:r>
      <w:r w:rsidR="00110D83">
        <w:t xml:space="preserve"> </w:t>
      </w:r>
      <w:r w:rsidR="00185E48">
        <w:t>This suggests a significant missed opportunity for greater impact and relevance.</w:t>
      </w:r>
      <w:r w:rsidR="00110D83">
        <w:t xml:space="preserve"> </w:t>
      </w:r>
      <w:r w:rsidR="00185E48">
        <w:t>A number of the investments that did</w:t>
      </w:r>
      <w:r w:rsidR="00E65560">
        <w:t xml:space="preserve"> not</w:t>
      </w:r>
      <w:r w:rsidR="00185E48">
        <w:t xml:space="preserve"> demonstrate gender</w:t>
      </w:r>
      <w:r w:rsidR="009272FC">
        <w:t>-</w:t>
      </w:r>
      <w:r w:rsidR="00185E48">
        <w:t xml:space="preserve">related outcomes </w:t>
      </w:r>
      <w:r w:rsidR="00C15ED4">
        <w:t xml:space="preserve">had </w:t>
      </w:r>
      <w:r w:rsidR="00185E48">
        <w:t xml:space="preserve">gender explicitly in the </w:t>
      </w:r>
      <w:r w:rsidR="0032016B">
        <w:t>design,</w:t>
      </w:r>
      <w:r w:rsidR="00185E48">
        <w:t xml:space="preserve"> but these features were </w:t>
      </w:r>
      <w:r>
        <w:t>not implemented</w:t>
      </w:r>
      <w:r w:rsidR="00661030">
        <w:t xml:space="preserve"> </w:t>
      </w:r>
      <w:r w:rsidR="00667978">
        <w:t>(</w:t>
      </w:r>
      <w:r w:rsidR="009272FC">
        <w:t>for example,</w:t>
      </w:r>
      <w:r w:rsidR="00F82B06">
        <w:t xml:space="preserve"> the initial </w:t>
      </w:r>
      <w:r>
        <w:t xml:space="preserve">gender analysis </w:t>
      </w:r>
      <w:r w:rsidR="00F82B06">
        <w:t>was not conducted</w:t>
      </w:r>
      <w:r w:rsidR="00C15ED4">
        <w:t xml:space="preserve"> or</w:t>
      </w:r>
      <w:r w:rsidR="002F0152">
        <w:t xml:space="preserve"> was</w:t>
      </w:r>
      <w:r w:rsidR="00C15ED4">
        <w:t xml:space="preserve"> </w:t>
      </w:r>
      <w:r w:rsidR="00667978">
        <w:t xml:space="preserve">inadequate, or appropriate resourcing </w:t>
      </w:r>
      <w:r w:rsidR="00C15ED4">
        <w:t xml:space="preserve">in line with the gender action plan was not </w:t>
      </w:r>
      <w:r w:rsidR="00667978">
        <w:t>provided)</w:t>
      </w:r>
      <w:r w:rsidR="002F0152">
        <w:t>,</w:t>
      </w:r>
      <w:r w:rsidR="00185E48">
        <w:t xml:space="preserve"> or the </w:t>
      </w:r>
      <w:r w:rsidR="00DC4E78">
        <w:t>M&amp;E</w:t>
      </w:r>
      <w:r w:rsidR="00185E48">
        <w:t xml:space="preserve"> was not set up to adequately explain </w:t>
      </w:r>
      <w:r w:rsidR="00EE2B68">
        <w:t xml:space="preserve">and support continuous reflection on the </w:t>
      </w:r>
      <w:r w:rsidR="00185E48">
        <w:t>gender and inclusion dimensions</w:t>
      </w:r>
      <w:r w:rsidR="00F82B06">
        <w:t xml:space="preserve">. </w:t>
      </w:r>
      <w:r w:rsidR="00661030">
        <w:t xml:space="preserve">Two </w:t>
      </w:r>
      <w:r w:rsidR="00185E48">
        <w:t xml:space="preserve">examples of </w:t>
      </w:r>
      <w:r w:rsidR="00661030">
        <w:t xml:space="preserve">improved </w:t>
      </w:r>
      <w:r w:rsidR="00185E48">
        <w:t xml:space="preserve">gender </w:t>
      </w:r>
      <w:r w:rsidR="00661030">
        <w:t xml:space="preserve">outcomes are outlined </w:t>
      </w:r>
      <w:r w:rsidR="00052967">
        <w:t>here</w:t>
      </w:r>
      <w:r w:rsidR="00F82B06">
        <w:t>:</w:t>
      </w:r>
    </w:p>
    <w:p w14:paraId="1F4AE103" w14:textId="224EE4D3" w:rsidR="00DA2855" w:rsidRDefault="00667978" w:rsidP="0087589A">
      <w:pPr>
        <w:pStyle w:val="ListBullet"/>
        <w:spacing w:line="240" w:lineRule="auto"/>
      </w:pPr>
      <w:r>
        <w:t>T</w:t>
      </w:r>
      <w:r w:rsidR="00F82B06">
        <w:t xml:space="preserve">hrough DFAT advocacy and processes, all seven partners </w:t>
      </w:r>
      <w:r>
        <w:t>in the S</w:t>
      </w:r>
      <w:r w:rsidR="00E82C6D">
        <w:t>DIP</w:t>
      </w:r>
      <w:r>
        <w:t xml:space="preserve"> </w:t>
      </w:r>
      <w:r w:rsidR="00F82B06">
        <w:t>were supported to focus on gender equality.</w:t>
      </w:r>
      <w:r w:rsidR="00110D83">
        <w:t xml:space="preserve"> </w:t>
      </w:r>
      <w:r w:rsidR="00F82B06">
        <w:t xml:space="preserve">This includes gender being built into all indicators, reporting requirements, investment strategies, the </w:t>
      </w:r>
      <w:r w:rsidR="00052967">
        <w:t>a</w:t>
      </w:r>
      <w:r w:rsidR="00F82B06">
        <w:t xml:space="preserve">nnual </w:t>
      </w:r>
      <w:r w:rsidR="00052967">
        <w:t>d</w:t>
      </w:r>
      <w:r w:rsidR="00F82B06">
        <w:t xml:space="preserve">ialogue process and through </w:t>
      </w:r>
      <w:r w:rsidR="005B562F">
        <w:t xml:space="preserve">engagement </w:t>
      </w:r>
      <w:r w:rsidR="00F82B06">
        <w:t xml:space="preserve">with desk and </w:t>
      </w:r>
      <w:r w:rsidR="00E65560">
        <w:t>P</w:t>
      </w:r>
      <w:r w:rsidR="00F82B06">
        <w:t xml:space="preserve">ost. </w:t>
      </w:r>
      <w:r w:rsidR="008A6D43">
        <w:t xml:space="preserve">Interviews and reports suggest a </w:t>
      </w:r>
      <w:r w:rsidR="00F82B06">
        <w:t xml:space="preserve">cultural shift within CSIRO </w:t>
      </w:r>
      <w:r w:rsidR="008A6D43">
        <w:t xml:space="preserve">about how the organisation considers gender in their </w:t>
      </w:r>
      <w:r w:rsidR="008A6D43">
        <w:lastRenderedPageBreak/>
        <w:t>modelling approaches.</w:t>
      </w:r>
      <w:r w:rsidR="00110D83">
        <w:t xml:space="preserve"> </w:t>
      </w:r>
      <w:r w:rsidR="008A6D43">
        <w:t xml:space="preserve">Additionally, DFAT, CSIRO and </w:t>
      </w:r>
      <w:r w:rsidR="00BA4264">
        <w:t xml:space="preserve">the </w:t>
      </w:r>
      <w:bookmarkStart w:id="69" w:name="_Hlk518605635"/>
      <w:r w:rsidR="00BA4264">
        <w:t xml:space="preserve">International Centre for Integrated Mountain Development (ICIMOD) </w:t>
      </w:r>
      <w:bookmarkEnd w:id="69"/>
      <w:r w:rsidR="008A6D43">
        <w:t xml:space="preserve">are collaborating on the design, development and trialling of a gender-sensitive and socially inclusive approach to program </w:t>
      </w:r>
      <w:r w:rsidR="00DC4E78">
        <w:t>M&amp;E</w:t>
      </w:r>
      <w:r w:rsidR="008A6D43">
        <w:t xml:space="preserve"> that will enhance how change for </w:t>
      </w:r>
      <w:r w:rsidR="006454A8">
        <w:t>those of different gender</w:t>
      </w:r>
      <w:r w:rsidR="00A409A9">
        <w:t>s</w:t>
      </w:r>
      <w:r w:rsidR="006454A8">
        <w:t xml:space="preserve"> </w:t>
      </w:r>
      <w:r w:rsidR="008A6D43">
        <w:t>in South Asia is captured, understood and reported.</w:t>
      </w:r>
    </w:p>
    <w:p w14:paraId="16A6F3C1" w14:textId="4F8A3CBF" w:rsidR="00F508EE" w:rsidRDefault="008A6D43" w:rsidP="0087589A">
      <w:pPr>
        <w:pStyle w:val="ListBullet"/>
        <w:spacing w:line="240" w:lineRule="auto"/>
      </w:pPr>
      <w:r>
        <w:t>The C</w:t>
      </w:r>
      <w:r w:rsidR="00D75FC3">
        <w:t>BDRM p</w:t>
      </w:r>
      <w:r>
        <w:t>rogram helped to shift Vietnam’s approach to building resilience at community level using both a bottom</w:t>
      </w:r>
      <w:r w:rsidR="002F0152">
        <w:t>-</w:t>
      </w:r>
      <w:r>
        <w:t>up and top</w:t>
      </w:r>
      <w:r w:rsidR="002F0152">
        <w:t>-</w:t>
      </w:r>
      <w:r>
        <w:t>down approach.</w:t>
      </w:r>
      <w:r w:rsidR="00110D83">
        <w:t xml:space="preserve"> </w:t>
      </w:r>
      <w:r>
        <w:t xml:space="preserve">The program was instrumental in brokering the new Vietnam Disaster Risk Management Law (Decree) that clearly sets out a gender-sensitive process of community engagement and </w:t>
      </w:r>
      <w:r w:rsidR="006C4993">
        <w:t>disaster risk management</w:t>
      </w:r>
      <w:r>
        <w:t xml:space="preserve"> planning.</w:t>
      </w:r>
    </w:p>
    <w:p w14:paraId="1DE1E76A" w14:textId="4E0B4C64" w:rsidR="00F508EE" w:rsidRDefault="00661030" w:rsidP="008C723A">
      <w:r>
        <w:t xml:space="preserve">DFAT </w:t>
      </w:r>
      <w:r w:rsidR="00C15ED4">
        <w:t>is recognised by the OECD as a leader in gender mainstreaming</w:t>
      </w:r>
      <w:r w:rsidR="00DC4E78">
        <w:t>.</w:t>
      </w:r>
      <w:r w:rsidR="00C15ED4">
        <w:rPr>
          <w:rStyle w:val="FootnoteReference"/>
        </w:rPr>
        <w:footnoteReference w:id="20"/>
      </w:r>
      <w:r w:rsidR="00C15ED4">
        <w:t xml:space="preserve"> Its </w:t>
      </w:r>
      <w:r>
        <w:t>strong stance on gender as a cross-cutting issue</w:t>
      </w:r>
      <w:r w:rsidR="00D767C6">
        <w:t>,</w:t>
      </w:r>
      <w:r>
        <w:t xml:space="preserve"> through </w:t>
      </w:r>
      <w:r w:rsidR="005B562F">
        <w:t xml:space="preserve">strong </w:t>
      </w:r>
      <w:r w:rsidR="00A07ED6" w:rsidRPr="00AD3BA3">
        <w:t>m</w:t>
      </w:r>
      <w:r w:rsidRPr="00AD3BA3">
        <w:t xml:space="preserve">inisterial </w:t>
      </w:r>
      <w:r w:rsidR="00E243A1" w:rsidRPr="000A37D0">
        <w:t>leadership</w:t>
      </w:r>
      <w:r w:rsidR="00D767C6">
        <w:t>, specific gender integration targets that are monitored annually</w:t>
      </w:r>
      <w:r w:rsidR="00BD4DC0">
        <w:t>,</w:t>
      </w:r>
      <w:r>
        <w:t xml:space="preserve"> and in-house technical expertise </w:t>
      </w:r>
      <w:r w:rsidR="00C15ED4">
        <w:t xml:space="preserve">have enabled </w:t>
      </w:r>
      <w:r w:rsidR="00E65560">
        <w:t>DFAT</w:t>
      </w:r>
      <w:r w:rsidR="00C15ED4">
        <w:t xml:space="preserve"> to </w:t>
      </w:r>
      <w:r w:rsidR="00E243A1">
        <w:t xml:space="preserve">make progress on </w:t>
      </w:r>
      <w:r w:rsidR="00C15ED4">
        <w:t>consistently rais</w:t>
      </w:r>
      <w:r w:rsidR="00E243A1">
        <w:t>ing</w:t>
      </w:r>
      <w:r w:rsidR="00C15ED4">
        <w:t xml:space="preserve"> and address</w:t>
      </w:r>
      <w:r w:rsidR="00D767C6">
        <w:t>ing</w:t>
      </w:r>
      <w:r w:rsidR="00C15ED4">
        <w:t xml:space="preserve"> gender disparities.</w:t>
      </w:r>
      <w:r w:rsidR="00110D83">
        <w:t xml:space="preserve"> </w:t>
      </w:r>
      <w:r w:rsidR="00C15ED4">
        <w:t>However, th</w:t>
      </w:r>
      <w:r w:rsidR="00A077A5">
        <w:t>e</w:t>
      </w:r>
      <w:r w:rsidR="00C15ED4">
        <w:t xml:space="preserve"> </w:t>
      </w:r>
      <w:r w:rsidR="0032016B">
        <w:t>evaluation</w:t>
      </w:r>
      <w:r w:rsidR="00C15ED4">
        <w:t xml:space="preserve"> finds that whil</w:t>
      </w:r>
      <w:r w:rsidR="00BD4DC0">
        <w:t>e</w:t>
      </w:r>
      <w:r w:rsidR="00C15ED4">
        <w:t xml:space="preserve"> the DFAT processes are good prompts for considering gender outcomes, they are less likely to be considered when DFAT is</w:t>
      </w:r>
      <w:r w:rsidR="00A07ED6">
        <w:t xml:space="preserve"> not</w:t>
      </w:r>
      <w:r w:rsidR="00C15ED4">
        <w:t xml:space="preserve"> actively involved in the management of </w:t>
      </w:r>
      <w:r w:rsidR="00964A66">
        <w:t>the investment.</w:t>
      </w:r>
      <w:r w:rsidR="00110D83">
        <w:t xml:space="preserve"> </w:t>
      </w:r>
      <w:r w:rsidR="00964A66">
        <w:t>For example, w</w:t>
      </w:r>
      <w:r w:rsidR="00C15ED4">
        <w:t>h</w:t>
      </w:r>
      <w:r w:rsidR="00964A66">
        <w:t>e</w:t>
      </w:r>
      <w:r w:rsidR="00C15ED4">
        <w:t>re there is only periodic engagement with multilateral partners on a steering committee, or where other government departments are leading the investments and DFAT is not meaningfully engaged in managing delivery.</w:t>
      </w:r>
    </w:p>
    <w:p w14:paraId="7E779F1A" w14:textId="227E6D13" w:rsidR="00F508EE" w:rsidRDefault="008C723A" w:rsidP="001405A5">
      <w:pPr>
        <w:spacing w:after="120"/>
      </w:pPr>
      <w:r>
        <w:t xml:space="preserve">There was less evidence of </w:t>
      </w:r>
      <w:r w:rsidR="00BB4BE1">
        <w:t>investments considering disability-inclusive approaches to development.</w:t>
      </w:r>
      <w:r w:rsidR="00110D83">
        <w:t xml:space="preserve"> </w:t>
      </w:r>
      <w:r w:rsidR="00BB4BE1">
        <w:t xml:space="preserve">There were isolated examples </w:t>
      </w:r>
      <w:r w:rsidR="00A409A9">
        <w:t>such as</w:t>
      </w:r>
      <w:r w:rsidR="00CB4C71">
        <w:t xml:space="preserve"> the Solomon Islands Education P</w:t>
      </w:r>
      <w:r w:rsidR="00BB4BE1">
        <w:t xml:space="preserve">rogram </w:t>
      </w:r>
      <w:r w:rsidR="00A409A9">
        <w:t xml:space="preserve">where </w:t>
      </w:r>
      <w:r w:rsidR="00BB4BE1">
        <w:t>classrooms were built to be disability</w:t>
      </w:r>
      <w:r w:rsidR="00A07ED6">
        <w:t xml:space="preserve"> </w:t>
      </w:r>
      <w:r w:rsidR="00BB4BE1">
        <w:t>inclusive.</w:t>
      </w:r>
      <w:r w:rsidR="00110D83">
        <w:t xml:space="preserve"> </w:t>
      </w:r>
      <w:r w:rsidR="00BB4BE1">
        <w:t>The lack of evidence is perhaps not surprising as disability inclusion became a</w:t>
      </w:r>
      <w:r w:rsidR="00012AB9">
        <w:t xml:space="preserve"> development priority </w:t>
      </w:r>
      <w:r w:rsidR="00BB4BE1">
        <w:t>in 2015</w:t>
      </w:r>
      <w:r w:rsidR="00A409A9">
        <w:t xml:space="preserve"> (subsequent to the commencement of all the investments included in the evaluation)</w:t>
      </w:r>
      <w:r w:rsidR="00CB4C71">
        <w:t xml:space="preserve"> and is </w:t>
      </w:r>
      <w:r w:rsidR="00012AB9">
        <w:t xml:space="preserve">not </w:t>
      </w:r>
      <w:r w:rsidR="00C6386E">
        <w:t xml:space="preserve">yet </w:t>
      </w:r>
      <w:r w:rsidR="00CB4C71">
        <w:t xml:space="preserve">comprehensively </w:t>
      </w:r>
      <w:r w:rsidR="00C6386E">
        <w:t>mainstreamed</w:t>
      </w:r>
      <w:r w:rsidR="00CB4C71">
        <w:t>.</w:t>
      </w:r>
    </w:p>
    <w:p w14:paraId="4E1FA13B" w14:textId="77777777" w:rsidR="008C723A" w:rsidRDefault="008C723A" w:rsidP="0087589A">
      <w:pPr>
        <w:pStyle w:val="Heading4"/>
      </w:pPr>
      <w:r>
        <w:t>Finding</w:t>
      </w:r>
    </w:p>
    <w:p w14:paraId="78D19208" w14:textId="0902C0A8" w:rsidR="007F2E0B" w:rsidRDefault="00BB4BE1" w:rsidP="0087589A">
      <w:r>
        <w:t xml:space="preserve">Gender outcomes were evident in around </w:t>
      </w:r>
      <w:r w:rsidR="00A07ED6">
        <w:t>one-</w:t>
      </w:r>
      <w:r w:rsidR="00A077A5">
        <w:t>third of investments that had climate-related</w:t>
      </w:r>
      <w:r w:rsidR="00AB1DE7">
        <w:t xml:space="preserve"> objectives</w:t>
      </w:r>
      <w:r w:rsidR="00A077A5">
        <w:t>.</w:t>
      </w:r>
      <w:r w:rsidR="00110D83">
        <w:t xml:space="preserve"> </w:t>
      </w:r>
      <w:r w:rsidR="00A077A5">
        <w:t>Whil</w:t>
      </w:r>
      <w:r w:rsidR="00BD4DC0">
        <w:t>e</w:t>
      </w:r>
      <w:r w:rsidR="00A077A5">
        <w:t xml:space="preserve"> gender may have been in the design, it was either not implemented or monitored appropriately to describe or demonstrate outcomes.</w:t>
      </w:r>
      <w:r w:rsidR="00110D83">
        <w:t xml:space="preserve"> </w:t>
      </w:r>
      <w:r w:rsidR="00A077A5">
        <w:t>Gender outcomes were stronger in investments where DFAT was actively involved in the management and governance</w:t>
      </w:r>
      <w:r w:rsidR="005177E2">
        <w:t xml:space="preserve"> of the investments and it was </w:t>
      </w:r>
      <w:r w:rsidR="00A077A5">
        <w:t xml:space="preserve">hardwired into program design, review and reporting processes. There </w:t>
      </w:r>
      <w:r w:rsidR="0032016B">
        <w:t xml:space="preserve">is </w:t>
      </w:r>
      <w:r w:rsidR="00A077A5">
        <w:t>little evidence of disability-inclusive development outcomes in investments</w:t>
      </w:r>
      <w:r w:rsidR="0081631C">
        <w:t xml:space="preserve"> where climate </w:t>
      </w:r>
      <w:r w:rsidR="00DC7E07">
        <w:t xml:space="preserve">change action </w:t>
      </w:r>
      <w:r w:rsidR="0081631C">
        <w:t>is a primary objective</w:t>
      </w:r>
      <w:r w:rsidR="00A077A5">
        <w:t>.</w:t>
      </w:r>
    </w:p>
    <w:p w14:paraId="1ADC32C5" w14:textId="77777777" w:rsidR="007F3368" w:rsidRDefault="00DA2E8F" w:rsidP="00DA2E8F">
      <w:pPr>
        <w:pStyle w:val="Heading2"/>
        <w:numPr>
          <w:ilvl w:val="0"/>
          <w:numId w:val="0"/>
        </w:numPr>
        <w:ind w:left="720" w:hanging="720"/>
      </w:pPr>
      <w:bookmarkStart w:id="70" w:name="_Toc510771927"/>
      <w:r>
        <w:t>3.5</w:t>
      </w:r>
      <w:r>
        <w:tab/>
      </w:r>
      <w:r w:rsidR="007F3368">
        <w:t>Relationship between climate change investments and security, trade, economic and diplomatic interests</w:t>
      </w:r>
      <w:bookmarkEnd w:id="70"/>
    </w:p>
    <w:p w14:paraId="0C947EC5" w14:textId="3BE0E13D" w:rsidR="00F508EE" w:rsidRDefault="008A39A0" w:rsidP="008A39A0">
      <w:pPr>
        <w:rPr>
          <w:lang w:val="en-GB" w:eastAsia="en-GB"/>
        </w:rPr>
      </w:pPr>
      <w:r w:rsidRPr="00164BA9">
        <w:rPr>
          <w:lang w:val="en-GB" w:eastAsia="en-GB"/>
        </w:rPr>
        <w:t xml:space="preserve">As part of a broader perspective on effectiveness, </w:t>
      </w:r>
      <w:r w:rsidRPr="002D0E15">
        <w:rPr>
          <w:lang w:val="en-GB" w:eastAsia="en-GB"/>
        </w:rPr>
        <w:t xml:space="preserve">the evaluation sought examples </w:t>
      </w:r>
      <w:r w:rsidRPr="00164BA9">
        <w:rPr>
          <w:lang w:val="en-GB" w:eastAsia="en-GB"/>
        </w:rPr>
        <w:t xml:space="preserve">of interactions between climate change investments and </w:t>
      </w:r>
      <w:r>
        <w:rPr>
          <w:lang w:val="en-GB" w:eastAsia="en-GB"/>
        </w:rPr>
        <w:t>other national policy interests. The presence of any synergies or tensions was intended to be for illustrative purposes and was not considered part of the assessments regarding investment performance, as all investments included in the evaluation commenced prior to the integration of AusAID and DFAT. As such, they were unlikely to have explicit outcomes relating to broader DFAT policy interests.</w:t>
      </w:r>
      <w:r w:rsidR="00110D83">
        <w:rPr>
          <w:lang w:val="en-GB" w:eastAsia="en-GB"/>
        </w:rPr>
        <w:t xml:space="preserve"> </w:t>
      </w:r>
      <w:r w:rsidR="005B562F">
        <w:rPr>
          <w:lang w:val="en-GB" w:eastAsia="en-GB"/>
        </w:rPr>
        <w:t>Some e</w:t>
      </w:r>
      <w:r>
        <w:rPr>
          <w:lang w:val="en-GB" w:eastAsia="en-GB"/>
        </w:rPr>
        <w:t xml:space="preserve">xamples </w:t>
      </w:r>
      <w:r w:rsidR="005B562F">
        <w:rPr>
          <w:lang w:val="en-GB" w:eastAsia="en-GB"/>
        </w:rPr>
        <w:t>where the climate change investments may have delivered outcomes</w:t>
      </w:r>
      <w:r w:rsidR="00F508EE">
        <w:rPr>
          <w:lang w:val="en-GB" w:eastAsia="en-GB"/>
        </w:rPr>
        <w:t>—</w:t>
      </w:r>
      <w:r w:rsidR="00EB18EF">
        <w:rPr>
          <w:lang w:val="en-GB" w:eastAsia="en-GB"/>
        </w:rPr>
        <w:t xml:space="preserve">intended </w:t>
      </w:r>
      <w:r w:rsidR="00EB18EF">
        <w:rPr>
          <w:lang w:val="en-GB" w:eastAsia="en-GB"/>
        </w:rPr>
        <w:lastRenderedPageBreak/>
        <w:t>and unintended</w:t>
      </w:r>
      <w:r w:rsidR="00F34CE3">
        <w:rPr>
          <w:lang w:val="en-GB" w:eastAsia="en-GB"/>
        </w:rPr>
        <w:t>—</w:t>
      </w:r>
      <w:r w:rsidR="005B562F">
        <w:rPr>
          <w:lang w:val="en-GB" w:eastAsia="en-GB"/>
        </w:rPr>
        <w:t xml:space="preserve">relevant to </w:t>
      </w:r>
      <w:r>
        <w:rPr>
          <w:lang w:val="en-GB" w:eastAsia="en-GB"/>
        </w:rPr>
        <w:t>Australia’s development, trade and diplomacy objectives are outlined</w:t>
      </w:r>
      <w:r w:rsidR="00460BC9">
        <w:rPr>
          <w:lang w:val="en-GB" w:eastAsia="en-GB"/>
        </w:rPr>
        <w:t xml:space="preserve"> in this section</w:t>
      </w:r>
      <w:r>
        <w:rPr>
          <w:lang w:val="en-GB" w:eastAsia="en-GB"/>
        </w:rPr>
        <w:t>.</w:t>
      </w:r>
      <w:r w:rsidR="00110D83">
        <w:rPr>
          <w:lang w:val="en-GB" w:eastAsia="en-GB"/>
        </w:rPr>
        <w:t xml:space="preserve"> </w:t>
      </w:r>
      <w:r w:rsidR="005B562F">
        <w:rPr>
          <w:lang w:val="en-GB" w:eastAsia="en-GB"/>
        </w:rPr>
        <w:t xml:space="preserve">However, based on the finding of the </w:t>
      </w:r>
      <w:r w:rsidR="00DF4071">
        <w:rPr>
          <w:lang w:val="en-GB" w:eastAsia="en-GB"/>
        </w:rPr>
        <w:t>evaluation</w:t>
      </w:r>
      <w:r w:rsidR="005B562F">
        <w:rPr>
          <w:lang w:val="en-GB" w:eastAsia="en-GB"/>
        </w:rPr>
        <w:t xml:space="preserve"> there was no clear link identified with broader trade and diplomacy issues in the in</w:t>
      </w:r>
      <w:r w:rsidR="00526D40">
        <w:rPr>
          <w:lang w:val="en-GB" w:eastAsia="en-GB"/>
        </w:rPr>
        <w:t>vestments reviewed.</w:t>
      </w:r>
      <w:r w:rsidR="00110D83">
        <w:rPr>
          <w:lang w:val="en-GB" w:eastAsia="en-GB"/>
        </w:rPr>
        <w:t xml:space="preserve"> </w:t>
      </w:r>
      <w:r w:rsidR="00526D40">
        <w:rPr>
          <w:lang w:val="en-GB" w:eastAsia="en-GB"/>
        </w:rPr>
        <w:t>This is an area that nee</w:t>
      </w:r>
      <w:r w:rsidR="002F7598">
        <w:rPr>
          <w:lang w:val="en-GB" w:eastAsia="en-GB"/>
        </w:rPr>
        <w:t xml:space="preserve">ds to be strengthened in future given that economic growth, trade and regional security </w:t>
      </w:r>
      <w:r w:rsidR="002C1492">
        <w:rPr>
          <w:lang w:val="en-GB" w:eastAsia="en-GB"/>
        </w:rPr>
        <w:t xml:space="preserve">will be affected </w:t>
      </w:r>
      <w:r w:rsidR="002F7598">
        <w:rPr>
          <w:lang w:val="en-GB" w:eastAsia="en-GB"/>
        </w:rPr>
        <w:t>as the impacts of climate change build over time. This has potentially significant implications for Australia’s future trade prospects (both positive and negative) and regional security (especially in relation to climate events that impact on food, water and energy security, human displacement and losses from disasters, and adverse changes to economic livelihoods</w:t>
      </w:r>
      <w:r w:rsidR="0032016B">
        <w:rPr>
          <w:lang w:val="en-GB" w:eastAsia="en-GB"/>
        </w:rPr>
        <w:t>)</w:t>
      </w:r>
      <w:r w:rsidR="002F7598">
        <w:rPr>
          <w:lang w:val="en-GB" w:eastAsia="en-GB"/>
        </w:rPr>
        <w:t xml:space="preserve">. These broader economic and security considerations </w:t>
      </w:r>
      <w:r w:rsidR="002F7598" w:rsidRPr="00E37089">
        <w:rPr>
          <w:lang w:val="en-GB" w:eastAsia="en-GB"/>
        </w:rPr>
        <w:t>will become</w:t>
      </w:r>
      <w:r w:rsidR="002F7598">
        <w:rPr>
          <w:lang w:val="en-GB" w:eastAsia="en-GB"/>
        </w:rPr>
        <w:t xml:space="preserve"> increasing</w:t>
      </w:r>
      <w:r w:rsidR="002C1492">
        <w:rPr>
          <w:lang w:val="en-GB" w:eastAsia="en-GB"/>
        </w:rPr>
        <w:t>ly</w:t>
      </w:r>
      <w:r w:rsidR="002F7598">
        <w:rPr>
          <w:lang w:val="en-GB" w:eastAsia="en-GB"/>
        </w:rPr>
        <w:t xml:space="preserve"> importan</w:t>
      </w:r>
      <w:r w:rsidR="002C1492">
        <w:rPr>
          <w:lang w:val="en-GB" w:eastAsia="en-GB"/>
        </w:rPr>
        <w:t xml:space="preserve">t </w:t>
      </w:r>
      <w:r w:rsidR="002F7598">
        <w:rPr>
          <w:lang w:val="en-GB" w:eastAsia="en-GB"/>
        </w:rPr>
        <w:t>in aid programming.</w:t>
      </w:r>
    </w:p>
    <w:p w14:paraId="37CFFED1" w14:textId="1CA2B53D" w:rsidR="00F508EE" w:rsidRDefault="008A39A0" w:rsidP="008A39A0">
      <w:pPr>
        <w:rPr>
          <w:lang w:val="en-GB" w:eastAsia="en-GB"/>
        </w:rPr>
      </w:pPr>
      <w:r>
        <w:rPr>
          <w:b/>
          <w:lang w:val="en-GB" w:eastAsia="en-GB"/>
        </w:rPr>
        <w:t xml:space="preserve">Australia’s diplomacy role shepherded an important economic project through early turbulent waters: </w:t>
      </w:r>
      <w:r>
        <w:rPr>
          <w:lang w:val="en-GB" w:eastAsia="en-GB"/>
        </w:rPr>
        <w:t>For the last eight years, Australia has supported the design of the Tina River Hydro project in the Solomon Islands.</w:t>
      </w:r>
      <w:r w:rsidR="00110D83">
        <w:rPr>
          <w:lang w:val="en-GB" w:eastAsia="en-GB"/>
        </w:rPr>
        <w:t xml:space="preserve"> </w:t>
      </w:r>
      <w:r>
        <w:rPr>
          <w:lang w:val="en-GB" w:eastAsia="en-GB"/>
        </w:rPr>
        <w:t xml:space="preserve">The purpose of this flagship project is to reduce </w:t>
      </w:r>
      <w:r w:rsidR="00A53F27">
        <w:rPr>
          <w:lang w:val="en-GB" w:eastAsia="en-GB"/>
        </w:rPr>
        <w:t>electricity supply costs and reliance on diesel</w:t>
      </w:r>
      <w:r w:rsidR="00F33FA3">
        <w:rPr>
          <w:lang w:val="en-GB" w:eastAsia="en-GB"/>
        </w:rPr>
        <w:t>. This</w:t>
      </w:r>
      <w:r w:rsidR="00A53F27">
        <w:rPr>
          <w:lang w:val="en-GB" w:eastAsia="en-GB"/>
        </w:rPr>
        <w:t xml:space="preserve"> has a number of benefits including a more attractive investment environment and cheaper </w:t>
      </w:r>
      <w:r w:rsidR="005177E2">
        <w:rPr>
          <w:lang w:val="en-GB" w:eastAsia="en-GB"/>
        </w:rPr>
        <w:t xml:space="preserve">domestic </w:t>
      </w:r>
      <w:r w:rsidR="00A53F27">
        <w:rPr>
          <w:lang w:val="en-GB" w:eastAsia="en-GB"/>
        </w:rPr>
        <w:t>electricity.</w:t>
      </w:r>
      <w:r w:rsidR="00110D83">
        <w:rPr>
          <w:lang w:val="en-GB" w:eastAsia="en-GB"/>
        </w:rPr>
        <w:t xml:space="preserve"> </w:t>
      </w:r>
      <w:r>
        <w:rPr>
          <w:lang w:val="en-GB" w:eastAsia="en-GB"/>
        </w:rPr>
        <w:t>It will also have climate</w:t>
      </w:r>
      <w:r w:rsidR="002B281B">
        <w:rPr>
          <w:lang w:val="en-GB" w:eastAsia="en-GB"/>
        </w:rPr>
        <w:t>-</w:t>
      </w:r>
      <w:r>
        <w:rPr>
          <w:lang w:val="en-GB" w:eastAsia="en-GB"/>
        </w:rPr>
        <w:t>related benefits</w:t>
      </w:r>
      <w:r w:rsidR="00A675CF">
        <w:rPr>
          <w:lang w:val="en-GB" w:eastAsia="en-GB"/>
        </w:rPr>
        <w:t xml:space="preserve"> in the longer term</w:t>
      </w:r>
      <w:r>
        <w:rPr>
          <w:lang w:val="en-GB" w:eastAsia="en-GB"/>
        </w:rPr>
        <w:t>, significantly reducing greenhouse gas emissions</w:t>
      </w:r>
      <w:r w:rsidR="00706619">
        <w:rPr>
          <w:lang w:val="en-GB" w:eastAsia="en-GB"/>
        </w:rPr>
        <w:t>.</w:t>
      </w:r>
      <w:r w:rsidR="00110D83">
        <w:rPr>
          <w:lang w:val="en-GB" w:eastAsia="en-GB"/>
        </w:rPr>
        <w:t xml:space="preserve"> </w:t>
      </w:r>
      <w:r w:rsidR="00706619">
        <w:rPr>
          <w:lang w:val="en-GB" w:eastAsia="en-GB"/>
        </w:rPr>
        <w:t xml:space="preserve">Greenhouse </w:t>
      </w:r>
      <w:r w:rsidR="00374FC5">
        <w:rPr>
          <w:lang w:val="en-GB" w:eastAsia="en-GB"/>
        </w:rPr>
        <w:t xml:space="preserve">gas </w:t>
      </w:r>
      <w:r w:rsidR="00706619">
        <w:rPr>
          <w:lang w:val="en-GB" w:eastAsia="en-GB"/>
        </w:rPr>
        <w:t xml:space="preserve">emission </w:t>
      </w:r>
      <w:r w:rsidR="00374FC5">
        <w:rPr>
          <w:lang w:val="en-GB" w:eastAsia="en-GB"/>
        </w:rPr>
        <w:t>reductions are not a major driver for the investment</w:t>
      </w:r>
      <w:r w:rsidR="000F0956">
        <w:rPr>
          <w:lang w:val="en-GB" w:eastAsia="en-GB"/>
        </w:rPr>
        <w:t>,</w:t>
      </w:r>
      <w:r w:rsidR="00374FC5">
        <w:rPr>
          <w:lang w:val="en-GB" w:eastAsia="en-GB"/>
        </w:rPr>
        <w:t xml:space="preserve"> but a useful secondary benefit</w:t>
      </w:r>
      <w:r>
        <w:rPr>
          <w:lang w:val="en-GB" w:eastAsia="en-GB"/>
        </w:rPr>
        <w:t>.</w:t>
      </w:r>
      <w:r w:rsidR="00110D83">
        <w:rPr>
          <w:lang w:val="en-GB" w:eastAsia="en-GB"/>
        </w:rPr>
        <w:t xml:space="preserve"> </w:t>
      </w:r>
      <w:r>
        <w:rPr>
          <w:lang w:val="en-GB" w:eastAsia="en-GB"/>
        </w:rPr>
        <w:t xml:space="preserve">In the early days, the World Bank </w:t>
      </w:r>
      <w:r w:rsidR="00AE6914">
        <w:rPr>
          <w:lang w:val="en-GB" w:eastAsia="en-GB"/>
        </w:rPr>
        <w:t>was</w:t>
      </w:r>
      <w:r>
        <w:rPr>
          <w:lang w:val="en-GB" w:eastAsia="en-GB"/>
        </w:rPr>
        <w:t xml:space="preserve"> considering other investment options after local landowners raised concerns over the process and outcomes of the initial feasibility study.</w:t>
      </w:r>
      <w:r w:rsidR="00110D83">
        <w:rPr>
          <w:lang w:val="en-GB" w:eastAsia="en-GB"/>
        </w:rPr>
        <w:t xml:space="preserve"> </w:t>
      </w:r>
      <w:r>
        <w:rPr>
          <w:lang w:val="en-GB" w:eastAsia="en-GB"/>
        </w:rPr>
        <w:t>DFAT used its diplomacy role to help broker a solution between the World Bank and the Solomon Islands Government that would satisfy local landowners.</w:t>
      </w:r>
      <w:r w:rsidR="00110D83">
        <w:rPr>
          <w:lang w:val="en-GB" w:eastAsia="en-GB"/>
        </w:rPr>
        <w:t xml:space="preserve"> </w:t>
      </w:r>
      <w:r>
        <w:rPr>
          <w:lang w:val="en-GB" w:eastAsia="en-GB"/>
        </w:rPr>
        <w:t xml:space="preserve">This led to a successful process of landowner negotiations resulting in the first compulsory land acquisition by the Solomon Islands Government. The project has recently received </w:t>
      </w:r>
      <w:r w:rsidR="00A97E30">
        <w:rPr>
          <w:lang w:val="en-GB" w:eastAsia="en-GB"/>
        </w:rPr>
        <w:t>US</w:t>
      </w:r>
      <w:r w:rsidR="00853C16">
        <w:rPr>
          <w:lang w:val="en-GB" w:eastAsia="en-GB"/>
        </w:rPr>
        <w:t>D</w:t>
      </w:r>
      <w:r>
        <w:rPr>
          <w:lang w:val="en-GB" w:eastAsia="en-GB"/>
        </w:rPr>
        <w:t>86</w:t>
      </w:r>
      <w:r w:rsidR="00853C16">
        <w:rPr>
          <w:lang w:val="en-GB" w:eastAsia="en-GB"/>
        </w:rPr>
        <w:t xml:space="preserve"> </w:t>
      </w:r>
      <w:r>
        <w:rPr>
          <w:lang w:val="en-GB" w:eastAsia="en-GB"/>
        </w:rPr>
        <w:t>m</w:t>
      </w:r>
      <w:r w:rsidR="00853C16">
        <w:rPr>
          <w:lang w:val="en-GB" w:eastAsia="en-GB"/>
        </w:rPr>
        <w:t>illion</w:t>
      </w:r>
      <w:r>
        <w:rPr>
          <w:lang w:val="en-GB" w:eastAsia="en-GB"/>
        </w:rPr>
        <w:t xml:space="preserve"> through the G</w:t>
      </w:r>
      <w:r w:rsidR="00695DE5">
        <w:rPr>
          <w:lang w:val="en-GB" w:eastAsia="en-GB"/>
        </w:rPr>
        <w:t>reen Climate Fund</w:t>
      </w:r>
      <w:r>
        <w:rPr>
          <w:lang w:val="en-GB" w:eastAsia="en-GB"/>
        </w:rPr>
        <w:t xml:space="preserve"> to support construction costs. Australia also supported this application process.</w:t>
      </w:r>
    </w:p>
    <w:p w14:paraId="416F7B0E" w14:textId="56C4125C" w:rsidR="00F508EE" w:rsidRDefault="008A39A0" w:rsidP="008A39A0">
      <w:pPr>
        <w:rPr>
          <w:lang w:val="en-GB" w:eastAsia="en-GB"/>
        </w:rPr>
      </w:pPr>
      <w:r>
        <w:rPr>
          <w:b/>
          <w:lang w:val="en-GB" w:eastAsia="en-GB"/>
        </w:rPr>
        <w:t xml:space="preserve">Trade benefits in </w:t>
      </w:r>
      <w:r w:rsidR="000F0956">
        <w:rPr>
          <w:b/>
          <w:lang w:val="en-GB" w:eastAsia="en-GB"/>
        </w:rPr>
        <w:t>t</w:t>
      </w:r>
      <w:r>
        <w:rPr>
          <w:b/>
          <w:lang w:val="en-GB" w:eastAsia="en-GB"/>
        </w:rPr>
        <w:t xml:space="preserve">aro evident in the Pacific: </w:t>
      </w:r>
      <w:r w:rsidR="00F061B9" w:rsidRPr="00FA6566">
        <w:rPr>
          <w:lang w:val="en-GB" w:eastAsia="en-GB"/>
        </w:rPr>
        <w:t>Wetter conditions</w:t>
      </w:r>
      <w:r w:rsidR="00F061B9">
        <w:rPr>
          <w:lang w:val="en-GB" w:eastAsia="en-GB"/>
        </w:rPr>
        <w:t xml:space="preserve"> lead to increased incidence of taro leaf blight, a crop disease. Samoa’s taro crop was badly affected by this disease</w:t>
      </w:r>
      <w:r w:rsidR="003E07DF">
        <w:rPr>
          <w:lang w:val="en-GB" w:eastAsia="en-GB"/>
        </w:rPr>
        <w:t>.</w:t>
      </w:r>
      <w:r w:rsidR="00110D83">
        <w:rPr>
          <w:lang w:val="en-GB" w:eastAsia="en-GB"/>
        </w:rPr>
        <w:t xml:space="preserve"> </w:t>
      </w:r>
      <w:r w:rsidR="007460BC">
        <w:rPr>
          <w:lang w:val="en-GB" w:eastAsia="en-GB"/>
        </w:rPr>
        <w:t>Under the SPC Climate Change Program</w:t>
      </w:r>
      <w:r w:rsidR="000F0956">
        <w:rPr>
          <w:lang w:val="en-GB" w:eastAsia="en-GB"/>
        </w:rPr>
        <w:t>,</w:t>
      </w:r>
      <w:r w:rsidR="00F061B9">
        <w:rPr>
          <w:lang w:val="en-GB" w:eastAsia="en-GB"/>
        </w:rPr>
        <w:t xml:space="preserve"> CePaCT developed a number of resistant varieties that it was able to test and distribute throughout the Pacific.</w:t>
      </w:r>
      <w:r w:rsidR="00110D83">
        <w:rPr>
          <w:lang w:val="en-GB" w:eastAsia="en-GB"/>
        </w:rPr>
        <w:t xml:space="preserve"> </w:t>
      </w:r>
      <w:r w:rsidR="007460BC">
        <w:rPr>
          <w:lang w:val="en-GB" w:eastAsia="en-GB"/>
        </w:rPr>
        <w:t xml:space="preserve">While this helped the Samoan </w:t>
      </w:r>
      <w:r w:rsidR="00C44324">
        <w:rPr>
          <w:lang w:val="en-GB" w:eastAsia="en-GB"/>
        </w:rPr>
        <w:t>agriculture,</w:t>
      </w:r>
      <w:r w:rsidR="007460BC">
        <w:rPr>
          <w:lang w:val="en-GB" w:eastAsia="en-GB"/>
        </w:rPr>
        <w:t xml:space="preserve"> sector recover and re-establish this important food crop, it had another </w:t>
      </w:r>
      <w:r w:rsidR="006B2147">
        <w:rPr>
          <w:lang w:val="en-GB" w:eastAsia="en-GB"/>
        </w:rPr>
        <w:t>flow-on benefit</w:t>
      </w:r>
      <w:r w:rsidR="007460BC">
        <w:rPr>
          <w:lang w:val="en-GB" w:eastAsia="en-GB"/>
        </w:rPr>
        <w:t xml:space="preserve">. </w:t>
      </w:r>
      <w:r w:rsidR="006B2147">
        <w:rPr>
          <w:lang w:val="en-GB" w:eastAsia="en-GB"/>
        </w:rPr>
        <w:t xml:space="preserve">The new varieties also had improved export potential, and </w:t>
      </w:r>
      <w:r w:rsidR="00604057">
        <w:rPr>
          <w:lang w:val="en-GB" w:eastAsia="en-GB"/>
        </w:rPr>
        <w:t xml:space="preserve">the volume of monthly </w:t>
      </w:r>
      <w:r w:rsidR="000F0956">
        <w:rPr>
          <w:lang w:val="en-GB" w:eastAsia="en-GB"/>
        </w:rPr>
        <w:t>t</w:t>
      </w:r>
      <w:r w:rsidRPr="00D26160">
        <w:rPr>
          <w:lang w:val="en-GB" w:eastAsia="en-GB"/>
        </w:rPr>
        <w:t>aro exports</w:t>
      </w:r>
      <w:r>
        <w:rPr>
          <w:lang w:val="en-GB" w:eastAsia="en-GB"/>
        </w:rPr>
        <w:t xml:space="preserve"> from Samoa to New Zealand and the </w:t>
      </w:r>
      <w:r w:rsidR="000F0956" w:rsidRPr="000F0956">
        <w:rPr>
          <w:lang w:val="en-GB" w:eastAsia="en-GB"/>
        </w:rPr>
        <w:t>United States</w:t>
      </w:r>
      <w:r>
        <w:rPr>
          <w:lang w:val="en-GB" w:eastAsia="en-GB"/>
        </w:rPr>
        <w:t xml:space="preserve"> increas</w:t>
      </w:r>
      <w:r w:rsidRPr="00AD3BA3">
        <w:rPr>
          <w:lang w:val="en-GB" w:eastAsia="en-GB"/>
        </w:rPr>
        <w:t xml:space="preserve">ed </w:t>
      </w:r>
      <w:r w:rsidR="00604057" w:rsidRPr="00AD3BA3">
        <w:rPr>
          <w:lang w:val="en-GB" w:eastAsia="en-GB"/>
        </w:rPr>
        <w:t>four</w:t>
      </w:r>
      <w:r w:rsidR="00F33FA3" w:rsidRPr="00D04A94">
        <w:rPr>
          <w:lang w:val="en-GB" w:eastAsia="en-GB"/>
        </w:rPr>
        <w:t>-</w:t>
      </w:r>
      <w:r w:rsidR="00604057" w:rsidRPr="00AD3BA3">
        <w:rPr>
          <w:lang w:val="en-GB" w:eastAsia="en-GB"/>
        </w:rPr>
        <w:t>fold</w:t>
      </w:r>
      <w:r w:rsidRPr="00AD3BA3">
        <w:rPr>
          <w:lang w:val="en-GB" w:eastAsia="en-GB"/>
        </w:rPr>
        <w:t xml:space="preserve"> following</w:t>
      </w:r>
      <w:r>
        <w:rPr>
          <w:lang w:val="en-GB" w:eastAsia="en-GB"/>
        </w:rPr>
        <w:t xml:space="preserve"> the launch of blight</w:t>
      </w:r>
      <w:r w:rsidR="000F0956">
        <w:rPr>
          <w:lang w:val="en-GB" w:eastAsia="en-GB"/>
        </w:rPr>
        <w:t>-</w:t>
      </w:r>
      <w:r>
        <w:rPr>
          <w:lang w:val="en-GB" w:eastAsia="en-GB"/>
        </w:rPr>
        <w:t>resistant and drought</w:t>
      </w:r>
      <w:r w:rsidR="000F0956">
        <w:rPr>
          <w:lang w:val="en-GB" w:eastAsia="en-GB"/>
        </w:rPr>
        <w:t>-</w:t>
      </w:r>
      <w:r>
        <w:rPr>
          <w:lang w:val="en-GB" w:eastAsia="en-GB"/>
        </w:rPr>
        <w:t>resistant taro varieties</w:t>
      </w:r>
      <w:r w:rsidR="004901E7">
        <w:rPr>
          <w:lang w:val="en-GB" w:eastAsia="en-GB"/>
        </w:rPr>
        <w:t>.</w:t>
      </w:r>
      <w:r>
        <w:rPr>
          <w:rStyle w:val="FootnoteReference"/>
          <w:b/>
          <w:lang w:val="en-GB" w:eastAsia="en-GB"/>
        </w:rPr>
        <w:footnoteReference w:id="21"/>
      </w:r>
    </w:p>
    <w:p w14:paraId="6CD0ADD6" w14:textId="50F6301B" w:rsidR="00F508EE" w:rsidRDefault="00D46BEA" w:rsidP="008A39A0">
      <w:pPr>
        <w:rPr>
          <w:lang w:val="en-GB" w:eastAsia="en-GB"/>
        </w:rPr>
      </w:pPr>
      <w:r>
        <w:rPr>
          <w:b/>
          <w:lang w:val="en-GB" w:eastAsia="en-GB"/>
        </w:rPr>
        <w:t>Trade rationale</w:t>
      </w:r>
      <w:r w:rsidR="008A39A0">
        <w:rPr>
          <w:b/>
          <w:lang w:val="en-GB" w:eastAsia="en-GB"/>
        </w:rPr>
        <w:t xml:space="preserve"> for investing in Indonesia’s National Carbon Accounting System: </w:t>
      </w:r>
      <w:r w:rsidR="008A39A0" w:rsidRPr="00D26160">
        <w:rPr>
          <w:lang w:val="en-GB" w:eastAsia="en-GB"/>
        </w:rPr>
        <w:t>Australia’s</w:t>
      </w:r>
      <w:r w:rsidR="008A39A0">
        <w:rPr>
          <w:b/>
          <w:lang w:val="en-GB" w:eastAsia="en-GB"/>
        </w:rPr>
        <w:t xml:space="preserve"> </w:t>
      </w:r>
      <w:r w:rsidR="00BE1E3C">
        <w:rPr>
          <w:lang w:val="en-GB" w:eastAsia="en-GB"/>
        </w:rPr>
        <w:t>s</w:t>
      </w:r>
      <w:r w:rsidR="008A39A0">
        <w:rPr>
          <w:lang w:val="en-GB" w:eastAsia="en-GB"/>
        </w:rPr>
        <w:t xml:space="preserve">upport to Indonesia’s National Carbon Accounting System under the </w:t>
      </w:r>
      <w:r w:rsidR="008A39A0" w:rsidRPr="00C44324">
        <w:rPr>
          <w:lang w:val="en-GB" w:eastAsia="en-GB"/>
        </w:rPr>
        <w:t>Australia</w:t>
      </w:r>
      <w:r w:rsidR="00D7147D">
        <w:rPr>
          <w:lang w:val="en-GB" w:eastAsia="en-GB"/>
        </w:rPr>
        <w:t xml:space="preserve"> </w:t>
      </w:r>
      <w:r w:rsidR="004901E7" w:rsidRPr="00C44324">
        <w:rPr>
          <w:lang w:val="en-GB" w:eastAsia="en-GB"/>
        </w:rPr>
        <w:t>–</w:t>
      </w:r>
      <w:r w:rsidR="00D7147D">
        <w:rPr>
          <w:lang w:val="en-GB" w:eastAsia="en-GB"/>
        </w:rPr>
        <w:t xml:space="preserve"> </w:t>
      </w:r>
      <w:r w:rsidR="008A39A0" w:rsidRPr="00C44324">
        <w:rPr>
          <w:lang w:val="en-GB" w:eastAsia="en-GB"/>
        </w:rPr>
        <w:t>Indone</w:t>
      </w:r>
      <w:r w:rsidR="008A39A0">
        <w:rPr>
          <w:lang w:val="en-GB" w:eastAsia="en-GB"/>
        </w:rPr>
        <w:t xml:space="preserve">sia </w:t>
      </w:r>
      <w:r w:rsidR="00374FC5">
        <w:rPr>
          <w:lang w:val="en-GB" w:eastAsia="en-GB"/>
        </w:rPr>
        <w:t xml:space="preserve">Forest </w:t>
      </w:r>
      <w:r w:rsidR="008A39A0">
        <w:rPr>
          <w:lang w:val="en-GB" w:eastAsia="en-GB"/>
        </w:rPr>
        <w:t>Carbon Partnership, was partially driven by Australia foreseeing a need</w:t>
      </w:r>
      <w:r w:rsidR="00F33FA3">
        <w:rPr>
          <w:lang w:val="en-GB" w:eastAsia="en-GB"/>
        </w:rPr>
        <w:t xml:space="preserve"> </w:t>
      </w:r>
      <w:r w:rsidR="008A39A0">
        <w:rPr>
          <w:lang w:val="en-GB" w:eastAsia="en-GB"/>
        </w:rPr>
        <w:t xml:space="preserve">to </w:t>
      </w:r>
      <w:r w:rsidR="00374FC5">
        <w:rPr>
          <w:lang w:val="en-GB" w:eastAsia="en-GB"/>
        </w:rPr>
        <w:t xml:space="preserve">access </w:t>
      </w:r>
      <w:r w:rsidR="00104866">
        <w:rPr>
          <w:lang w:val="en-GB" w:eastAsia="en-GB"/>
        </w:rPr>
        <w:t xml:space="preserve">forest carbon </w:t>
      </w:r>
      <w:r w:rsidR="00374FC5">
        <w:rPr>
          <w:lang w:val="en-GB" w:eastAsia="en-GB"/>
        </w:rPr>
        <w:t>credits from Indonesia under the UNFCC</w:t>
      </w:r>
      <w:r w:rsidR="0032016B">
        <w:rPr>
          <w:lang w:val="en-GB" w:eastAsia="en-GB"/>
        </w:rPr>
        <w:t>C</w:t>
      </w:r>
      <w:r w:rsidR="00374FC5">
        <w:rPr>
          <w:lang w:val="en-GB" w:eastAsia="en-GB"/>
        </w:rPr>
        <w:t xml:space="preserve"> international emissions trading facility.</w:t>
      </w:r>
      <w:r w:rsidR="00110D83">
        <w:rPr>
          <w:lang w:val="en-GB" w:eastAsia="en-GB"/>
        </w:rPr>
        <w:t xml:space="preserve"> </w:t>
      </w:r>
      <w:r w:rsidR="00F33FA3">
        <w:rPr>
          <w:lang w:val="en-GB" w:eastAsia="en-GB"/>
        </w:rPr>
        <w:t xml:space="preserve">This subsequently struggled to materialise. </w:t>
      </w:r>
      <w:r w:rsidR="008A39A0">
        <w:rPr>
          <w:lang w:val="en-GB" w:eastAsia="en-GB"/>
        </w:rPr>
        <w:t>Australia was aware it might struggle to meet its own carbon targets and therefore wanted a system in Indonesia</w:t>
      </w:r>
      <w:r w:rsidR="00F33FA3">
        <w:rPr>
          <w:lang w:val="en-GB" w:eastAsia="en-GB"/>
        </w:rPr>
        <w:t xml:space="preserve">, </w:t>
      </w:r>
      <w:r w:rsidR="008A39A0">
        <w:rPr>
          <w:lang w:val="en-GB" w:eastAsia="en-GB"/>
        </w:rPr>
        <w:t xml:space="preserve">a source of carbon credits given its vast forest resources, </w:t>
      </w:r>
      <w:r w:rsidR="00DB5D57">
        <w:rPr>
          <w:lang w:val="en-GB" w:eastAsia="en-GB"/>
        </w:rPr>
        <w:t>which</w:t>
      </w:r>
      <w:r w:rsidR="008A39A0">
        <w:rPr>
          <w:lang w:val="en-GB" w:eastAsia="en-GB"/>
        </w:rPr>
        <w:t xml:space="preserve"> would be compatible with Australia’s carbon accounting system.</w:t>
      </w:r>
    </w:p>
    <w:p w14:paraId="3BBE6DA6" w14:textId="2EC79F29" w:rsidR="00645DA7" w:rsidRDefault="00E56056" w:rsidP="0087589A">
      <w:pPr>
        <w:spacing w:after="0"/>
      </w:pPr>
      <w:r w:rsidRPr="007A05FB">
        <w:rPr>
          <w:rStyle w:val="Strong"/>
        </w:rPr>
        <w:lastRenderedPageBreak/>
        <w:t>Climate</w:t>
      </w:r>
      <w:r w:rsidR="003F1B64" w:rsidRPr="007A05FB">
        <w:rPr>
          <w:rStyle w:val="Strong"/>
        </w:rPr>
        <w:t xml:space="preserve"> data from the Pacific</w:t>
      </w:r>
      <w:r w:rsidR="00BE1E3C">
        <w:rPr>
          <w:rStyle w:val="Strong"/>
        </w:rPr>
        <w:t>,</w:t>
      </w:r>
      <w:r w:rsidR="00B74109" w:rsidRPr="007A05FB">
        <w:rPr>
          <w:rStyle w:val="Strong"/>
        </w:rPr>
        <w:t xml:space="preserve"> c</w:t>
      </w:r>
      <w:r w:rsidR="003F1B64" w:rsidRPr="007A05FB">
        <w:rPr>
          <w:rStyle w:val="Strong"/>
        </w:rPr>
        <w:t xml:space="preserve">ollected under COSPPac, </w:t>
      </w:r>
      <w:r w:rsidR="00D46BEA" w:rsidRPr="007A05FB">
        <w:rPr>
          <w:rStyle w:val="Strong"/>
        </w:rPr>
        <w:t>improves the</w:t>
      </w:r>
      <w:r w:rsidR="00DB5D57">
        <w:rPr>
          <w:rStyle w:val="Strong"/>
        </w:rPr>
        <w:t xml:space="preserve"> accuracy of Australian climate </w:t>
      </w:r>
      <w:r w:rsidR="00D46BEA" w:rsidRPr="00DB5D57">
        <w:rPr>
          <w:rStyle w:val="Strong"/>
        </w:rPr>
        <w:t>modelling</w:t>
      </w:r>
      <w:r w:rsidR="00B74109" w:rsidRPr="00DB5D57">
        <w:t xml:space="preserve"> (Box</w:t>
      </w:r>
      <w:r w:rsidR="00A07ED6" w:rsidRPr="00DB5D57">
        <w:t xml:space="preserve"> </w:t>
      </w:r>
      <w:r w:rsidR="00D04A94" w:rsidRPr="00DB5D57">
        <w:t>5</w:t>
      </w:r>
      <w:r w:rsidR="00B74109" w:rsidRPr="00DB5D57">
        <w:t>)</w:t>
      </w:r>
      <w:r w:rsidR="00D46BEA" w:rsidRPr="00DB5D57">
        <w:t>.</w:t>
      </w:r>
    </w:p>
    <w:p w14:paraId="5545499E" w14:textId="77777777" w:rsidR="0087589A" w:rsidRDefault="0087589A" w:rsidP="008A39A0">
      <w:pPr>
        <w:rPr>
          <w:lang w:val="en-GB" w:eastAsia="en-GB"/>
        </w:rPr>
      </w:pPr>
    </w:p>
    <w:tbl>
      <w:tblPr>
        <w:tblpPr w:leftFromText="180" w:rightFromText="180" w:vertAnchor="text" w:horzAnchor="margin" w:tblpY="-56"/>
        <w:tblW w:w="10319" w:type="dxa"/>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Pr>
      <w:tblGrid>
        <w:gridCol w:w="10319"/>
      </w:tblGrid>
      <w:tr w:rsidR="0087589A" w:rsidRPr="009E0AE0" w14:paraId="5491265C" w14:textId="77777777" w:rsidTr="00EA363D">
        <w:trPr>
          <w:cantSplit/>
        </w:trPr>
        <w:tc>
          <w:tcPr>
            <w:tcW w:w="10319" w:type="dxa"/>
            <w:tcBorders>
              <w:top w:val="nil"/>
              <w:left w:val="nil"/>
              <w:bottom w:val="nil"/>
              <w:right w:val="nil"/>
              <w:tl2br w:val="nil"/>
              <w:tr2bl w:val="nil"/>
            </w:tcBorders>
            <w:shd w:val="clear" w:color="auto" w:fill="007C89"/>
          </w:tcPr>
          <w:p w14:paraId="3813397C" w14:textId="00B78F5A" w:rsidR="0087589A" w:rsidRPr="00D63E38" w:rsidRDefault="00D04A94" w:rsidP="00EA363D">
            <w:pPr>
              <w:pStyle w:val="TableText"/>
              <w:rPr>
                <w:b/>
                <w:color w:val="FFFFFF"/>
                <w:sz w:val="22"/>
              </w:rPr>
            </w:pPr>
            <w:r>
              <w:rPr>
                <w:b/>
                <w:color w:val="FFFFFF"/>
                <w:sz w:val="22"/>
              </w:rPr>
              <w:t xml:space="preserve">Box 5: </w:t>
            </w:r>
            <w:r w:rsidR="0087589A" w:rsidRPr="00D63E38">
              <w:rPr>
                <w:b/>
                <w:color w:val="FFFFFF"/>
                <w:sz w:val="22"/>
              </w:rPr>
              <w:t>C</w:t>
            </w:r>
            <w:r w:rsidR="00F33FA3">
              <w:rPr>
                <w:b/>
                <w:color w:val="FFFFFF"/>
                <w:sz w:val="22"/>
              </w:rPr>
              <w:t>limate and Oceans Support Program in the Pacific</w:t>
            </w:r>
            <w:r w:rsidR="0087589A" w:rsidRPr="00BE1E3C">
              <w:rPr>
                <w:b/>
                <w:color w:val="FFFFFF"/>
                <w:sz w:val="22"/>
              </w:rPr>
              <w:t>—</w:t>
            </w:r>
            <w:r w:rsidR="0087589A" w:rsidRPr="00D63E38">
              <w:rPr>
                <w:b/>
                <w:color w:val="FFFFFF"/>
                <w:sz w:val="22"/>
              </w:rPr>
              <w:t>Geoscience Australia perspectives on the link between aid and other policy interests</w:t>
            </w:r>
          </w:p>
        </w:tc>
      </w:tr>
      <w:tr w:rsidR="0087589A" w:rsidRPr="009E0AE0" w14:paraId="41C3BE83" w14:textId="77777777" w:rsidTr="0087589A">
        <w:trPr>
          <w:cantSplit/>
          <w:trHeight w:val="4465"/>
        </w:trPr>
        <w:tc>
          <w:tcPr>
            <w:tcW w:w="10319" w:type="dxa"/>
            <w:tcBorders>
              <w:top w:val="nil"/>
              <w:bottom w:val="nil"/>
            </w:tcBorders>
            <w:shd w:val="clear" w:color="auto" w:fill="D8DBDA"/>
          </w:tcPr>
          <w:p w14:paraId="5F7968DE" w14:textId="1A5B1854" w:rsidR="0087589A" w:rsidRPr="0087589A" w:rsidRDefault="0087589A" w:rsidP="00EA363D">
            <w:pPr>
              <w:pStyle w:val="BodyText"/>
              <w:jc w:val="both"/>
              <w:rPr>
                <w:rFonts w:ascii="Calibri" w:hAnsi="Calibri"/>
                <w:sz w:val="20"/>
                <w:szCs w:val="20"/>
              </w:rPr>
            </w:pPr>
            <w:r w:rsidRPr="0087589A">
              <w:rPr>
                <w:rFonts w:ascii="Calibri" w:hAnsi="Calibri"/>
                <w:sz w:val="20"/>
                <w:szCs w:val="20"/>
              </w:rPr>
              <w:t>Pacific sea level monitoring operates under the COSPPac. One of the program’s aims is to provide information on the effects of absolute sea level change and variability of extreme events on South Pacific communities.</w:t>
            </w:r>
          </w:p>
          <w:p w14:paraId="05FB9DBB" w14:textId="77777777" w:rsidR="0087589A" w:rsidRPr="0087589A" w:rsidRDefault="0087589A" w:rsidP="00EA363D">
            <w:pPr>
              <w:pStyle w:val="BodyText"/>
              <w:jc w:val="both"/>
              <w:rPr>
                <w:rFonts w:ascii="Calibri" w:hAnsi="Calibri"/>
                <w:sz w:val="20"/>
                <w:szCs w:val="20"/>
              </w:rPr>
            </w:pPr>
            <w:r w:rsidRPr="0087589A">
              <w:rPr>
                <w:rFonts w:ascii="Calibri" w:hAnsi="Calibri"/>
                <w:sz w:val="20"/>
                <w:szCs w:val="20"/>
              </w:rPr>
              <w:t xml:space="preserve">Sea level change is determined using levelling surveys of data from earth monitoring stations and tide gauge sensors. The earth monitoring stations, implemented and maintained by Geoscience Australia, provide </w:t>
            </w:r>
            <w:bookmarkStart w:id="71" w:name="_Hlk518606901"/>
            <w:r w:rsidRPr="0087589A">
              <w:rPr>
                <w:rFonts w:ascii="Calibri" w:hAnsi="Calibri"/>
                <w:sz w:val="20"/>
                <w:szCs w:val="20"/>
              </w:rPr>
              <w:t>Global Navigation Satellite System (GNSS)</w:t>
            </w:r>
            <w:bookmarkEnd w:id="71"/>
            <w:r w:rsidRPr="0087589A">
              <w:rPr>
                <w:rFonts w:ascii="Calibri" w:hAnsi="Calibri"/>
                <w:sz w:val="20"/>
                <w:szCs w:val="20"/>
              </w:rPr>
              <w:t xml:space="preserve"> measurements and therefore function as geospatial reference sites.</w:t>
            </w:r>
          </w:p>
          <w:p w14:paraId="1A8D8212" w14:textId="4FB13B8F" w:rsidR="0087589A" w:rsidRPr="009E0AE0" w:rsidRDefault="0087589A" w:rsidP="00A779C1">
            <w:pPr>
              <w:pStyle w:val="BodyText"/>
              <w:jc w:val="both"/>
              <w:rPr>
                <w:sz w:val="22"/>
              </w:rPr>
            </w:pPr>
            <w:r w:rsidRPr="0087589A">
              <w:rPr>
                <w:rFonts w:ascii="Calibri" w:hAnsi="Calibri"/>
                <w:sz w:val="20"/>
                <w:szCs w:val="20"/>
              </w:rPr>
              <w:t>A global network of monitoring stations is needed for satellite missions</w:t>
            </w:r>
            <w:r w:rsidR="00F33FA3">
              <w:rPr>
                <w:rFonts w:ascii="Calibri" w:hAnsi="Calibri"/>
                <w:sz w:val="20"/>
                <w:szCs w:val="20"/>
              </w:rPr>
              <w:t>. T</w:t>
            </w:r>
            <w:r w:rsidRPr="0087589A">
              <w:rPr>
                <w:rFonts w:ascii="Calibri" w:hAnsi="Calibri"/>
                <w:sz w:val="20"/>
                <w:szCs w:val="20"/>
              </w:rPr>
              <w:t>he Pacific network of monitoring stations</w:t>
            </w:r>
            <w:r w:rsidR="004901E7">
              <w:rPr>
                <w:rFonts w:ascii="Calibri" w:hAnsi="Calibri"/>
                <w:sz w:val="20"/>
                <w:szCs w:val="20"/>
              </w:rPr>
              <w:t>,</w:t>
            </w:r>
            <w:r w:rsidRPr="0087589A">
              <w:rPr>
                <w:rFonts w:ascii="Calibri" w:hAnsi="Calibri"/>
                <w:sz w:val="20"/>
                <w:szCs w:val="20"/>
              </w:rPr>
              <w:t xml:space="preserve"> combined with those in Australia and Australia’s Antarctic network</w:t>
            </w:r>
            <w:r w:rsidR="004901E7">
              <w:rPr>
                <w:rFonts w:ascii="Calibri" w:hAnsi="Calibri"/>
                <w:sz w:val="20"/>
                <w:szCs w:val="20"/>
              </w:rPr>
              <w:t>,</w:t>
            </w:r>
            <w:r w:rsidRPr="0087589A">
              <w:rPr>
                <w:rFonts w:ascii="Calibri" w:hAnsi="Calibri"/>
                <w:sz w:val="20"/>
                <w:szCs w:val="20"/>
              </w:rPr>
              <w:t xml:space="preserve"> provide coverage for around 25 per cent of the globe. This network has given Australia a seat at the table in a number of regional and international forums, including </w:t>
            </w:r>
            <w:r w:rsidR="00A779C1">
              <w:rPr>
                <w:rFonts w:ascii="Calibri" w:hAnsi="Calibri"/>
                <w:sz w:val="20"/>
                <w:szCs w:val="20"/>
              </w:rPr>
              <w:t xml:space="preserve">the </w:t>
            </w:r>
            <w:r w:rsidR="00A779C1" w:rsidRPr="00A779C1">
              <w:rPr>
                <w:rFonts w:ascii="Calibri" w:hAnsi="Calibri"/>
                <w:sz w:val="20"/>
                <w:szCs w:val="20"/>
              </w:rPr>
              <w:t>United Nations Committee of Experts on Global Geospatial Information Management</w:t>
            </w:r>
            <w:r w:rsidR="004901E7">
              <w:rPr>
                <w:rFonts w:ascii="Calibri" w:hAnsi="Calibri"/>
                <w:sz w:val="20"/>
                <w:szCs w:val="20"/>
              </w:rPr>
              <w:t>.</w:t>
            </w:r>
            <w:r w:rsidRPr="0087589A">
              <w:rPr>
                <w:rFonts w:ascii="Calibri" w:hAnsi="Calibri"/>
                <w:sz w:val="20"/>
                <w:szCs w:val="20"/>
              </w:rPr>
              <w:t xml:space="preserve"> Additionally, Geoscience Australia was able to negotiate for involvement in a Japan Aerospace Exploration Agency satellite mission in exchange for access to GNSS data, in effect gaining </w:t>
            </w:r>
            <w:r w:rsidR="00604057">
              <w:rPr>
                <w:rFonts w:ascii="Calibri" w:hAnsi="Calibri"/>
                <w:sz w:val="20"/>
                <w:szCs w:val="20"/>
              </w:rPr>
              <w:t xml:space="preserve">some </w:t>
            </w:r>
            <w:r w:rsidRPr="0087589A">
              <w:rPr>
                <w:rFonts w:ascii="Calibri" w:hAnsi="Calibri"/>
                <w:sz w:val="20"/>
                <w:szCs w:val="20"/>
              </w:rPr>
              <w:t xml:space="preserve">influence over the mission’s policies, implementation and data quality, and </w:t>
            </w:r>
            <w:r w:rsidR="00604057">
              <w:rPr>
                <w:rFonts w:ascii="Calibri" w:hAnsi="Calibri"/>
                <w:sz w:val="20"/>
                <w:szCs w:val="20"/>
              </w:rPr>
              <w:t>gaining access to the</w:t>
            </w:r>
            <w:r w:rsidRPr="0087589A">
              <w:rPr>
                <w:rFonts w:ascii="Calibri" w:hAnsi="Calibri"/>
                <w:sz w:val="20"/>
                <w:szCs w:val="20"/>
              </w:rPr>
              <w:t xml:space="preserve"> data from this multibillion-dollar constellation of satellites. The Pacific monitoring stations also serve to improve the accuracy of satellite positioning in Australia as they support improved orbit determination of GNSS which benefits from a complete global coverage of stations. The information derived from the COSPPac stations then supports the aviation, construction, maritime, mining, rail, road, spatial, utilities and consumer sectors in Australia.</w:t>
            </w:r>
          </w:p>
        </w:tc>
      </w:tr>
    </w:tbl>
    <w:p w14:paraId="6B2673AF" w14:textId="3444901F" w:rsidR="00F508EE" w:rsidRDefault="008A39A0" w:rsidP="00B3375C">
      <w:pPr>
        <w:rPr>
          <w:rFonts w:eastAsia="Times New Roman" w:cs="Calibri"/>
          <w:color w:val="000000"/>
          <w:sz w:val="22"/>
          <w:lang w:val="en-GB" w:eastAsia="en-GB"/>
        </w:rPr>
      </w:pPr>
      <w:r>
        <w:rPr>
          <w:lang w:val="en-GB" w:eastAsia="en-GB"/>
        </w:rPr>
        <w:t>At times the linkages between Australia’s development, trade and diplomacy interests have been complementary</w:t>
      </w:r>
      <w:r w:rsidR="003F1B64" w:rsidRPr="00431F71">
        <w:t>.</w:t>
      </w:r>
      <w:r w:rsidR="00110D83" w:rsidRPr="00431F71">
        <w:t xml:space="preserve"> </w:t>
      </w:r>
      <w:r w:rsidR="00431F71" w:rsidRPr="00431F71">
        <w:t>However, i</w:t>
      </w:r>
      <w:r w:rsidR="00AE6914">
        <w:t xml:space="preserve">n some countries </w:t>
      </w:r>
      <w:r w:rsidR="0039464A">
        <w:t xml:space="preserve">there is </w:t>
      </w:r>
      <w:r w:rsidR="00ED6F18">
        <w:t xml:space="preserve">some </w:t>
      </w:r>
      <w:r w:rsidR="00AE6914">
        <w:t xml:space="preserve">perceived </w:t>
      </w:r>
      <w:r w:rsidR="008701C8">
        <w:t>inconsistency</w:t>
      </w:r>
      <w:r w:rsidR="00AE6914">
        <w:t xml:space="preserve"> between climate change as an international development priority and </w:t>
      </w:r>
      <w:r w:rsidR="00AE6914" w:rsidRPr="00EC59EF">
        <w:t xml:space="preserve">Australia’s </w:t>
      </w:r>
      <w:r w:rsidR="00AE6914">
        <w:t>domestic policies on</w:t>
      </w:r>
      <w:r w:rsidR="005829FD">
        <w:t xml:space="preserve"> trade and energy</w:t>
      </w:r>
      <w:r w:rsidR="0039464A">
        <w:t xml:space="preserve">, as raised </w:t>
      </w:r>
      <w:r w:rsidR="00431F71">
        <w:t>during</w:t>
      </w:r>
      <w:r w:rsidR="0039464A">
        <w:t xml:space="preserve"> the evaluation by representatives of partner governments, other donors and DFAT overseas posts</w:t>
      </w:r>
      <w:r w:rsidR="005829FD">
        <w:rPr>
          <w:lang w:val="en-GB" w:eastAsia="en-GB"/>
        </w:rPr>
        <w:t>.</w:t>
      </w:r>
      <w:r>
        <w:rPr>
          <w:lang w:val="en-GB" w:eastAsia="en-GB"/>
        </w:rPr>
        <w:t xml:space="preserve"> </w:t>
      </w:r>
      <w:r w:rsidR="002610BC">
        <w:t xml:space="preserve">Informants noted that this sometimes made it difficult for </w:t>
      </w:r>
      <w:r w:rsidR="005829FD">
        <w:t xml:space="preserve">Australia to present itself as a credible development partner in climate change </w:t>
      </w:r>
      <w:r w:rsidR="0039464A">
        <w:t>action</w:t>
      </w:r>
      <w:r w:rsidR="005829FD">
        <w:t>.</w:t>
      </w:r>
    </w:p>
    <w:p w14:paraId="3D30E1E8" w14:textId="77777777" w:rsidR="00040935" w:rsidRPr="00EC59EF" w:rsidRDefault="00AB1DE7" w:rsidP="002610BC">
      <w:pPr>
        <w:pStyle w:val="Heading4"/>
      </w:pPr>
      <w:r w:rsidRPr="00EC59EF">
        <w:t>Finding</w:t>
      </w:r>
    </w:p>
    <w:p w14:paraId="17575953" w14:textId="1498C8CD" w:rsidR="00040935" w:rsidRPr="00EC59EF" w:rsidRDefault="00B62B5E" w:rsidP="007A05FB">
      <w:r w:rsidRPr="00EC59EF">
        <w:t xml:space="preserve">There </w:t>
      </w:r>
      <w:r w:rsidR="006200CB">
        <w:t xml:space="preserve">are a few evident cases </w:t>
      </w:r>
      <w:r w:rsidRPr="00EC59EF">
        <w:t>of intersections, both compl</w:t>
      </w:r>
      <w:r w:rsidR="00E359FA">
        <w:t>e</w:t>
      </w:r>
      <w:r w:rsidRPr="00EC59EF">
        <w:t xml:space="preserve">mentary and </w:t>
      </w:r>
      <w:r w:rsidR="00332241">
        <w:t>conflicting</w:t>
      </w:r>
      <w:r w:rsidRPr="00EC59EF">
        <w:t xml:space="preserve">, between Australia’s </w:t>
      </w:r>
      <w:r w:rsidR="005021F4">
        <w:t>climate change investments and other national policy interests</w:t>
      </w:r>
      <w:r w:rsidRPr="00EC59EF">
        <w:t>.</w:t>
      </w:r>
      <w:r w:rsidR="00110D83">
        <w:t xml:space="preserve"> </w:t>
      </w:r>
      <w:r w:rsidR="006200CB">
        <w:t>This is perhaps not surprising, a</w:t>
      </w:r>
      <w:r w:rsidR="00706619">
        <w:t xml:space="preserve">s investments in the review period </w:t>
      </w:r>
      <w:r w:rsidR="006200CB">
        <w:t xml:space="preserve">commenced </w:t>
      </w:r>
      <w:r w:rsidR="00706619">
        <w:t xml:space="preserve">prior to </w:t>
      </w:r>
      <w:r w:rsidR="00AC006F">
        <w:t>DFAT’</w:t>
      </w:r>
      <w:r w:rsidR="00706619">
        <w:t>s integration of the foreign policy, trade and aid functions.</w:t>
      </w:r>
      <w:r w:rsidR="00110D83">
        <w:t xml:space="preserve"> </w:t>
      </w:r>
      <w:r w:rsidRPr="00EC59EF">
        <w:t>There</w:t>
      </w:r>
      <w:r w:rsidR="00A97E30">
        <w:t xml:space="preserve"> are significant opportunities </w:t>
      </w:r>
      <w:r w:rsidR="00706619">
        <w:t xml:space="preserve">in the integrated department to explicitly consider </w:t>
      </w:r>
      <w:r w:rsidR="006200CB">
        <w:t xml:space="preserve">how </w:t>
      </w:r>
      <w:r w:rsidR="00706619">
        <w:t>trade and foreign policy can be furthered through climate</w:t>
      </w:r>
      <w:r w:rsidR="00AC006F">
        <w:t>-</w:t>
      </w:r>
      <w:r w:rsidR="00706619">
        <w:t>related investments</w:t>
      </w:r>
      <w:r w:rsidR="00301224">
        <w:t>, and vice-versa</w:t>
      </w:r>
      <w:r w:rsidR="009B40D4">
        <w:t>.</w:t>
      </w:r>
    </w:p>
    <w:p w14:paraId="0D0A890A" w14:textId="77777777" w:rsidR="00A47376" w:rsidRDefault="007F3368" w:rsidP="00DA2E8F">
      <w:pPr>
        <w:pStyle w:val="Heading2"/>
        <w:numPr>
          <w:ilvl w:val="0"/>
          <w:numId w:val="0"/>
        </w:numPr>
        <w:ind w:left="432" w:hanging="432"/>
      </w:pPr>
      <w:bookmarkStart w:id="72" w:name="_Toc510771928"/>
      <w:r>
        <w:t>3.6</w:t>
      </w:r>
      <w:r w:rsidR="00DA2E8F">
        <w:tab/>
      </w:r>
      <w:r w:rsidR="00A97E30">
        <w:t>Enduring benefits</w:t>
      </w:r>
      <w:bookmarkEnd w:id="72"/>
    </w:p>
    <w:p w14:paraId="68380DD6" w14:textId="1629253B" w:rsidR="00F631E9" w:rsidRDefault="0047502F" w:rsidP="00F96896">
      <w:r>
        <w:t xml:space="preserve">The evaluation found mixed evidence of sustainability of </w:t>
      </w:r>
      <w:r w:rsidR="00264634">
        <w:t>c</w:t>
      </w:r>
      <w:r>
        <w:t xml:space="preserve">limate </w:t>
      </w:r>
      <w:r w:rsidR="00264634">
        <w:t>c</w:t>
      </w:r>
      <w:r>
        <w:t>hange investments.</w:t>
      </w:r>
      <w:r w:rsidR="00110D83">
        <w:t xml:space="preserve"> </w:t>
      </w:r>
      <w:r w:rsidR="001F123F">
        <w:t xml:space="preserve">Where the evaluation found evidence of enduring benefits, the key factor appears to be where </w:t>
      </w:r>
      <w:r w:rsidR="001E0D4A">
        <w:t xml:space="preserve">the program had sufficient </w:t>
      </w:r>
      <w:r w:rsidR="00264634">
        <w:t xml:space="preserve">engagement </w:t>
      </w:r>
      <w:r w:rsidR="001E0D4A">
        <w:t>(</w:t>
      </w:r>
      <w:r w:rsidR="00264634">
        <w:t>that is, at least five</w:t>
      </w:r>
      <w:r w:rsidR="001E0D4A">
        <w:t xml:space="preserve"> years)</w:t>
      </w:r>
      <w:r w:rsidR="00264634">
        <w:t>,</w:t>
      </w:r>
      <w:r w:rsidR="001E0D4A">
        <w:t xml:space="preserve"> and </w:t>
      </w:r>
      <w:r w:rsidR="00264634">
        <w:t xml:space="preserve">where it </w:t>
      </w:r>
      <w:r w:rsidR="001E0D4A">
        <w:t>built on longer</w:t>
      </w:r>
      <w:r w:rsidR="00264634">
        <w:t>-</w:t>
      </w:r>
      <w:r w:rsidR="001E0D4A">
        <w:t>term and enduring relationships.</w:t>
      </w:r>
      <w:r w:rsidR="00110D83">
        <w:t xml:space="preserve"> </w:t>
      </w:r>
      <w:r w:rsidR="00622841">
        <w:t>Additionally,</w:t>
      </w:r>
      <w:r w:rsidR="001E0D4A">
        <w:t xml:space="preserve"> the investments that demonstrated sustainable</w:t>
      </w:r>
      <w:r w:rsidR="00A65A93">
        <w:t xml:space="preserve"> outcomes</w:t>
      </w:r>
      <w:r w:rsidR="001E0D4A">
        <w:t xml:space="preserve"> (or </w:t>
      </w:r>
      <w:r w:rsidR="00A65A93">
        <w:t xml:space="preserve">those </w:t>
      </w:r>
      <w:r w:rsidR="001E0D4A">
        <w:t xml:space="preserve">highly likely to be sustainable) </w:t>
      </w:r>
      <w:r w:rsidR="00264634">
        <w:t xml:space="preserve">involved </w:t>
      </w:r>
      <w:r w:rsidR="001E0D4A">
        <w:t xml:space="preserve">working with </w:t>
      </w:r>
      <w:r w:rsidR="007037DB">
        <w:t>different areas</w:t>
      </w:r>
      <w:r w:rsidR="001E0D4A">
        <w:t xml:space="preserve"> of government, not solely with climate change ministries</w:t>
      </w:r>
      <w:r w:rsidR="00AC76D5">
        <w:t xml:space="preserve"> </w:t>
      </w:r>
      <w:r w:rsidR="00AC76D5">
        <w:lastRenderedPageBreak/>
        <w:t>or scientific or research divisions.</w:t>
      </w:r>
      <w:r w:rsidR="00110D83">
        <w:t xml:space="preserve"> </w:t>
      </w:r>
      <w:r w:rsidR="00AC76D5">
        <w:t xml:space="preserve">They generally engaged with </w:t>
      </w:r>
      <w:r w:rsidR="007037DB">
        <w:t xml:space="preserve">a range of </w:t>
      </w:r>
      <w:r w:rsidR="001E0D4A">
        <w:t>sectoral agencies</w:t>
      </w:r>
      <w:r w:rsidR="00AC76D5">
        <w:t xml:space="preserve"> and ensured that there was a clear link to policy</w:t>
      </w:r>
      <w:r w:rsidR="006A6368">
        <w:t>making</w:t>
      </w:r>
      <w:r w:rsidR="00AC76D5">
        <w:t xml:space="preserve"> sections of governments</w:t>
      </w:r>
      <w:r w:rsidR="001E0D4A">
        <w:t>.</w:t>
      </w:r>
    </w:p>
    <w:p w14:paraId="4977B657" w14:textId="3E681C4A" w:rsidR="001C231D" w:rsidRDefault="001E0D4A" w:rsidP="001C231D">
      <w:pPr>
        <w:rPr>
          <w:color w:val="FF0000"/>
        </w:rPr>
      </w:pPr>
      <w:r>
        <w:t xml:space="preserve">As the discussion on effectiveness highlights, climate change benefits can take a long time to </w:t>
      </w:r>
      <w:r w:rsidR="00FB541C">
        <w:t>emerge</w:t>
      </w:r>
      <w:r>
        <w:t xml:space="preserve">, often </w:t>
      </w:r>
      <w:r w:rsidR="00A65A93">
        <w:t>three</w:t>
      </w:r>
      <w:r w:rsidR="004901E7">
        <w:t xml:space="preserve"> to </w:t>
      </w:r>
      <w:r w:rsidR="00A65A93">
        <w:t>five</w:t>
      </w:r>
      <w:r>
        <w:t xml:space="preserve"> years after </w:t>
      </w:r>
      <w:r w:rsidR="002F675D">
        <w:t xml:space="preserve">an </w:t>
      </w:r>
      <w:r>
        <w:t>investment has been completed.</w:t>
      </w:r>
      <w:r w:rsidR="00110D83">
        <w:t xml:space="preserve"> </w:t>
      </w:r>
      <w:r w:rsidR="00AC76D5">
        <w:t>N</w:t>
      </w:r>
      <w:r>
        <w:t xml:space="preserve">o post-program evaluations of climate change investments </w:t>
      </w:r>
      <w:r w:rsidR="00AC76D5">
        <w:t xml:space="preserve">were identified, </w:t>
      </w:r>
      <w:r>
        <w:t>which made it difficult to accurately determine sustainability</w:t>
      </w:r>
      <w:r w:rsidR="00AC76D5">
        <w:t xml:space="preserve"> and valuable lessons about how to best design sustainable climate investments</w:t>
      </w:r>
      <w:r>
        <w:t xml:space="preserve">. </w:t>
      </w:r>
      <w:r w:rsidR="001C231D" w:rsidRPr="007A05FB">
        <w:t xml:space="preserve">As climate change is an emerging </w:t>
      </w:r>
      <w:r w:rsidR="00502ACA" w:rsidRPr="007A05FB">
        <w:t>policy area</w:t>
      </w:r>
      <w:r w:rsidR="001C231D" w:rsidRPr="007A05FB">
        <w:t xml:space="preserve">, the potential pay back </w:t>
      </w:r>
      <w:r w:rsidR="000D5DBA" w:rsidRPr="007A05FB">
        <w:t xml:space="preserve">in terms of stronger results </w:t>
      </w:r>
      <w:r w:rsidR="001C231D" w:rsidRPr="007A05FB">
        <w:t xml:space="preserve">from evaluation </w:t>
      </w:r>
      <w:r w:rsidR="000D5DBA" w:rsidRPr="007A05FB">
        <w:t xml:space="preserve">work </w:t>
      </w:r>
      <w:r w:rsidR="00BD0819" w:rsidRPr="007A05FB">
        <w:t>in this area</w:t>
      </w:r>
      <w:r w:rsidR="007E7085" w:rsidRPr="007A05FB">
        <w:t xml:space="preserve"> (</w:t>
      </w:r>
      <w:r w:rsidR="000D5DBA" w:rsidRPr="007A05FB">
        <w:t>formative, summative and ex-post impact assessment</w:t>
      </w:r>
      <w:r w:rsidR="007E7085" w:rsidRPr="007A05FB">
        <w:t xml:space="preserve">, </w:t>
      </w:r>
      <w:r w:rsidR="000D5DBA" w:rsidRPr="007A05FB">
        <w:t>and at individual investment, country portfolio and organisation</w:t>
      </w:r>
      <w:r w:rsidR="00264634">
        <w:t>-</w:t>
      </w:r>
      <w:r w:rsidR="000D5DBA" w:rsidRPr="007A05FB">
        <w:t xml:space="preserve">wide strategy level) is likely to </w:t>
      </w:r>
      <w:r w:rsidR="00502ACA" w:rsidRPr="007A05FB">
        <w:t xml:space="preserve">be </w:t>
      </w:r>
      <w:r w:rsidR="001C231D" w:rsidRPr="007A05FB">
        <w:t>higher than in more mature fields and sectors.</w:t>
      </w:r>
    </w:p>
    <w:p w14:paraId="109AFB27" w14:textId="31ECD8B1" w:rsidR="007A05FB" w:rsidRDefault="00FD3380" w:rsidP="007A05FB">
      <w:r w:rsidRPr="007A05FB">
        <w:t>A</w:t>
      </w:r>
      <w:r w:rsidR="00502ACA" w:rsidRPr="007A05FB">
        <w:t xml:space="preserve">lignment between DFAT investments and </w:t>
      </w:r>
      <w:r w:rsidR="00101E5E">
        <w:t>national action plans</w:t>
      </w:r>
      <w:r w:rsidRPr="007A05FB">
        <w:t xml:space="preserve"> varied </w:t>
      </w:r>
      <w:r w:rsidR="00264634">
        <w:t>across</w:t>
      </w:r>
      <w:r w:rsidRPr="007A05FB">
        <w:t xml:space="preserve"> locations</w:t>
      </w:r>
      <w:r w:rsidR="00502ACA" w:rsidRPr="007A05FB">
        <w:t>.</w:t>
      </w:r>
      <w:r w:rsidR="00110D83" w:rsidRPr="007A05FB">
        <w:t xml:space="preserve"> </w:t>
      </w:r>
      <w:r w:rsidR="00502ACA" w:rsidRPr="007A05FB">
        <w:t>In Vietnam</w:t>
      </w:r>
      <w:r w:rsidR="00264634">
        <w:t>,</w:t>
      </w:r>
      <w:r w:rsidR="00FB541C" w:rsidRPr="007A05FB">
        <w:t xml:space="preserve"> there was significant and intentional alignment of the </w:t>
      </w:r>
      <w:r w:rsidR="00264634">
        <w:t>c</w:t>
      </w:r>
      <w:r w:rsidR="00FB541C" w:rsidRPr="007A05FB">
        <w:t xml:space="preserve">limate </w:t>
      </w:r>
      <w:r w:rsidR="00264634">
        <w:t>c</w:t>
      </w:r>
      <w:r w:rsidR="00FB541C" w:rsidRPr="007A05FB">
        <w:t>hange portfolio of work (</w:t>
      </w:r>
      <w:r w:rsidR="00FB541C" w:rsidRPr="00431F71">
        <w:t>Vietnam C</w:t>
      </w:r>
      <w:r w:rsidR="007E7085" w:rsidRPr="00431F71">
        <w:t xml:space="preserve">limate Change </w:t>
      </w:r>
      <w:r w:rsidR="00FB541C" w:rsidRPr="00431F71">
        <w:t xml:space="preserve">NGO partnership, </w:t>
      </w:r>
      <w:bookmarkStart w:id="73" w:name="_Hlk518607318"/>
      <w:r w:rsidR="00FB541C" w:rsidRPr="00431F71">
        <w:t>S</w:t>
      </w:r>
      <w:r w:rsidR="007E7085" w:rsidRPr="00431F71">
        <w:t xml:space="preserve">upport Program to </w:t>
      </w:r>
      <w:r w:rsidR="004901E7">
        <w:t>R</w:t>
      </w:r>
      <w:r w:rsidR="007E7085" w:rsidRPr="00431F71">
        <w:t>espond to Climate Change (S</w:t>
      </w:r>
      <w:r w:rsidR="00FB541C" w:rsidRPr="00431F71">
        <w:t>PRCC</w:t>
      </w:r>
      <w:r w:rsidR="007E7085" w:rsidRPr="00431F71">
        <w:t>)</w:t>
      </w:r>
      <w:bookmarkEnd w:id="73"/>
      <w:r w:rsidR="00FB541C" w:rsidRPr="00431F71">
        <w:t xml:space="preserve">, </w:t>
      </w:r>
      <w:bookmarkStart w:id="74" w:name="_Hlk518607489"/>
      <w:r w:rsidR="00FB541C" w:rsidRPr="00431F71">
        <w:t>Vietnam CBDRM</w:t>
      </w:r>
      <w:bookmarkEnd w:id="74"/>
      <w:r w:rsidR="002F675D">
        <w:t>)</w:t>
      </w:r>
      <w:r w:rsidR="00FB541C" w:rsidRPr="007A05FB">
        <w:t xml:space="preserve"> with the Government of Vietnam’s </w:t>
      </w:r>
      <w:r w:rsidR="00264634">
        <w:t>c</w:t>
      </w:r>
      <w:r w:rsidR="00FB541C" w:rsidRPr="007A05FB">
        <w:t xml:space="preserve">limate </w:t>
      </w:r>
      <w:r w:rsidR="00264634">
        <w:t>c</w:t>
      </w:r>
      <w:r w:rsidR="00FB541C" w:rsidRPr="007A05FB">
        <w:t>hange strategy</w:t>
      </w:r>
      <w:r w:rsidR="00D53A51" w:rsidRPr="007A05FB">
        <w:t>.</w:t>
      </w:r>
      <w:r w:rsidR="00A05826" w:rsidRPr="007A05FB">
        <w:t xml:space="preserve"> There was also an intentional linkage between </w:t>
      </w:r>
      <w:r w:rsidR="00952E59">
        <w:t>DRR</w:t>
      </w:r>
      <w:r w:rsidR="00A05826" w:rsidRPr="007A05FB">
        <w:t xml:space="preserve"> and climate change. This was a priority policy objective for the Government of Vietnam and Australia’s bilateral climate change investments aligned well with national climate change and DRR </w:t>
      </w:r>
      <w:r w:rsidR="00A05826" w:rsidRPr="00A779C1">
        <w:t>policies</w:t>
      </w:r>
      <w:r w:rsidR="00645DA7" w:rsidRPr="00A779C1">
        <w:t xml:space="preserve"> (Box </w:t>
      </w:r>
      <w:r w:rsidR="00D04A94" w:rsidRPr="00A779C1">
        <w:t>6</w:t>
      </w:r>
      <w:r w:rsidR="00645DA7" w:rsidRPr="00A779C1">
        <w:t>)</w:t>
      </w:r>
      <w:r w:rsidR="00110D83" w:rsidRPr="00A779C1">
        <w:t>.</w:t>
      </w:r>
    </w:p>
    <w:p w14:paraId="6E8D1A90" w14:textId="77777777" w:rsidR="007A05FB" w:rsidRDefault="007A05FB">
      <w:r>
        <w:br w:type="page"/>
      </w:r>
    </w:p>
    <w:tbl>
      <w:tblPr>
        <w:tblW w:w="0" w:type="auto"/>
        <w:tblInd w:w="113" w:type="dxa"/>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Pr>
      <w:tblGrid>
        <w:gridCol w:w="10080"/>
      </w:tblGrid>
      <w:tr w:rsidR="00533ED2" w:rsidRPr="009E0AE0" w14:paraId="76EEAFC5" w14:textId="77777777" w:rsidTr="001907DA">
        <w:tc>
          <w:tcPr>
            <w:tcW w:w="10080" w:type="dxa"/>
            <w:tcBorders>
              <w:top w:val="nil"/>
              <w:left w:val="nil"/>
              <w:bottom w:val="nil"/>
              <w:right w:val="nil"/>
              <w:tl2br w:val="nil"/>
              <w:tr2bl w:val="nil"/>
            </w:tcBorders>
            <w:shd w:val="clear" w:color="auto" w:fill="007C89"/>
          </w:tcPr>
          <w:p w14:paraId="364101CC" w14:textId="03C094C7" w:rsidR="00533ED2" w:rsidRPr="00D63E38" w:rsidRDefault="00D04A94" w:rsidP="001907DA">
            <w:pPr>
              <w:pStyle w:val="TableText"/>
              <w:rPr>
                <w:b/>
                <w:color w:val="FFFFFF"/>
                <w:sz w:val="22"/>
              </w:rPr>
            </w:pPr>
            <w:r>
              <w:rPr>
                <w:b/>
                <w:color w:val="FFFFFF"/>
                <w:sz w:val="22"/>
              </w:rPr>
              <w:lastRenderedPageBreak/>
              <w:t xml:space="preserve">Box 6: </w:t>
            </w:r>
            <w:r w:rsidR="00533ED2" w:rsidRPr="00AD3BA3">
              <w:rPr>
                <w:b/>
                <w:color w:val="FFFFFF"/>
                <w:sz w:val="22"/>
              </w:rPr>
              <w:t>S</w:t>
            </w:r>
            <w:r w:rsidR="002F675D">
              <w:rPr>
                <w:b/>
                <w:color w:val="FFFFFF"/>
                <w:sz w:val="22"/>
              </w:rPr>
              <w:t>upport Program to Respond to Climate Change</w:t>
            </w:r>
            <w:r w:rsidR="00F508EE">
              <w:rPr>
                <w:b/>
                <w:color w:val="FFFFFF"/>
                <w:sz w:val="22"/>
              </w:rPr>
              <w:t>—</w:t>
            </w:r>
            <w:r w:rsidR="002F675D">
              <w:rPr>
                <w:b/>
                <w:color w:val="FFFFFF"/>
                <w:sz w:val="22"/>
              </w:rPr>
              <w:t>s</w:t>
            </w:r>
            <w:r w:rsidR="00533ED2" w:rsidRPr="00D63E38">
              <w:rPr>
                <w:b/>
                <w:color w:val="FFFFFF"/>
                <w:sz w:val="22"/>
              </w:rPr>
              <w:t xml:space="preserve">trategic </w:t>
            </w:r>
            <w:r w:rsidR="00533ED2">
              <w:rPr>
                <w:b/>
                <w:color w:val="FFFFFF"/>
                <w:sz w:val="22"/>
              </w:rPr>
              <w:t>engagement in the national dialogue and agenda setting on climate change action</w:t>
            </w:r>
            <w:r w:rsidR="00533ED2" w:rsidRPr="009E0AE0">
              <w:rPr>
                <w:b/>
                <w:color w:val="FFFFFF"/>
                <w:sz w:val="22"/>
              </w:rPr>
              <w:t xml:space="preserve"> </w:t>
            </w:r>
          </w:p>
        </w:tc>
      </w:tr>
      <w:tr w:rsidR="00533ED2" w:rsidRPr="009E0AE0" w14:paraId="55724A08" w14:textId="77777777" w:rsidTr="00533ED2">
        <w:trPr>
          <w:trHeight w:val="4176"/>
        </w:trPr>
        <w:tc>
          <w:tcPr>
            <w:tcW w:w="10080" w:type="dxa"/>
            <w:tcBorders>
              <w:top w:val="nil"/>
              <w:bottom w:val="nil"/>
            </w:tcBorders>
            <w:shd w:val="clear" w:color="auto" w:fill="D8DBDA"/>
          </w:tcPr>
          <w:p w14:paraId="3DDA0F67" w14:textId="737D69AE" w:rsidR="00F508EE" w:rsidRDefault="00496488" w:rsidP="001907DA">
            <w:pPr>
              <w:pStyle w:val="TableText"/>
              <w:rPr>
                <w:sz w:val="22"/>
              </w:rPr>
            </w:pPr>
            <w:r>
              <w:rPr>
                <w:sz w:val="22"/>
              </w:rPr>
              <w:t>In Viet</w:t>
            </w:r>
            <w:r w:rsidR="00ED6FE3">
              <w:rPr>
                <w:sz w:val="22"/>
              </w:rPr>
              <w:t>nam</w:t>
            </w:r>
            <w:r w:rsidR="00177C23">
              <w:rPr>
                <w:sz w:val="22"/>
              </w:rPr>
              <w:t>,</w:t>
            </w:r>
            <w:r w:rsidR="00ED6FE3">
              <w:rPr>
                <w:sz w:val="22"/>
              </w:rPr>
              <w:t xml:space="preserve"> Australia partnered with the World Bank and sev</w:t>
            </w:r>
            <w:r>
              <w:rPr>
                <w:sz w:val="22"/>
              </w:rPr>
              <w:t>eral other donors to</w:t>
            </w:r>
            <w:r w:rsidR="00ED6FE3">
              <w:rPr>
                <w:sz w:val="22"/>
              </w:rPr>
              <w:t xml:space="preserve"> implement the SPRCC. The </w:t>
            </w:r>
            <w:r w:rsidR="002F675D">
              <w:rPr>
                <w:sz w:val="22"/>
              </w:rPr>
              <w:t>program aimed</w:t>
            </w:r>
            <w:r w:rsidR="00ED6FE3">
              <w:rPr>
                <w:sz w:val="22"/>
              </w:rPr>
              <w:t xml:space="preserve"> to assist the Government of Vietnam to take a more </w:t>
            </w:r>
            <w:r w:rsidR="002B0A46">
              <w:rPr>
                <w:sz w:val="22"/>
              </w:rPr>
              <w:t xml:space="preserve">integrated and </w:t>
            </w:r>
            <w:r w:rsidR="00ED6FE3">
              <w:rPr>
                <w:sz w:val="22"/>
              </w:rPr>
              <w:t xml:space="preserve">strategic approach to climate change adaptation and mitigation </w:t>
            </w:r>
            <w:r w:rsidR="002B0A46">
              <w:rPr>
                <w:sz w:val="22"/>
              </w:rPr>
              <w:t>policy implement</w:t>
            </w:r>
            <w:r w:rsidR="009A2ECC">
              <w:rPr>
                <w:sz w:val="22"/>
              </w:rPr>
              <w:t>ation</w:t>
            </w:r>
            <w:r w:rsidR="00ED6FE3">
              <w:rPr>
                <w:sz w:val="22"/>
              </w:rPr>
              <w:t xml:space="preserve">, mobilise climate change finance </w:t>
            </w:r>
            <w:r w:rsidR="002B0A46">
              <w:rPr>
                <w:sz w:val="22"/>
              </w:rPr>
              <w:t xml:space="preserve">to help Vietnam </w:t>
            </w:r>
            <w:r w:rsidR="009A2ECC">
              <w:rPr>
                <w:sz w:val="22"/>
              </w:rPr>
              <w:t>build resilience and reduce emissions</w:t>
            </w:r>
            <w:r w:rsidR="002B0A46">
              <w:rPr>
                <w:sz w:val="22"/>
              </w:rPr>
              <w:t xml:space="preserve">, </w:t>
            </w:r>
            <w:r w:rsidR="00ED6FE3">
              <w:rPr>
                <w:sz w:val="22"/>
              </w:rPr>
              <w:t xml:space="preserve">and </w:t>
            </w:r>
            <w:r w:rsidR="009A2ECC">
              <w:rPr>
                <w:sz w:val="22"/>
              </w:rPr>
              <w:t>establish</w:t>
            </w:r>
            <w:r w:rsidR="00ED6FE3">
              <w:rPr>
                <w:sz w:val="22"/>
              </w:rPr>
              <w:t xml:space="preserve"> a </w:t>
            </w:r>
            <w:r w:rsidR="002B0A46">
              <w:rPr>
                <w:sz w:val="22"/>
              </w:rPr>
              <w:t xml:space="preserve">consistent framework for prioritising </w:t>
            </w:r>
            <w:r w:rsidR="007528EA">
              <w:rPr>
                <w:sz w:val="22"/>
              </w:rPr>
              <w:t xml:space="preserve">the use of climate change funds provided by key donors. The investment formed </w:t>
            </w:r>
            <w:r w:rsidR="00377058">
              <w:rPr>
                <w:sz w:val="22"/>
              </w:rPr>
              <w:t xml:space="preserve">a key </w:t>
            </w:r>
            <w:r w:rsidR="009A2ECC">
              <w:rPr>
                <w:sz w:val="22"/>
              </w:rPr>
              <w:t>elem</w:t>
            </w:r>
            <w:r w:rsidR="00377058">
              <w:rPr>
                <w:sz w:val="22"/>
              </w:rPr>
              <w:t>ent o</w:t>
            </w:r>
            <w:r w:rsidR="007528EA">
              <w:rPr>
                <w:sz w:val="22"/>
              </w:rPr>
              <w:t xml:space="preserve">f the </w:t>
            </w:r>
            <w:bookmarkStart w:id="75" w:name="_Hlk518607686"/>
            <w:r w:rsidR="007528EA" w:rsidRPr="00D04A94">
              <w:rPr>
                <w:i/>
                <w:sz w:val="22"/>
              </w:rPr>
              <w:t>Australia</w:t>
            </w:r>
            <w:r w:rsidR="00A63C77" w:rsidRPr="00D04A94">
              <w:rPr>
                <w:i/>
                <w:sz w:val="22"/>
              </w:rPr>
              <w:t>–</w:t>
            </w:r>
            <w:r w:rsidR="007528EA" w:rsidRPr="00D04A94">
              <w:rPr>
                <w:i/>
                <w:sz w:val="22"/>
              </w:rPr>
              <w:t>Vietnam</w:t>
            </w:r>
            <w:bookmarkEnd w:id="75"/>
            <w:r w:rsidR="007528EA" w:rsidRPr="00D04A94">
              <w:rPr>
                <w:i/>
                <w:sz w:val="22"/>
              </w:rPr>
              <w:t xml:space="preserve"> Climate Change Delivery Strategy 201</w:t>
            </w:r>
            <w:r w:rsidR="00F508EE" w:rsidRPr="00D04A94">
              <w:rPr>
                <w:i/>
                <w:sz w:val="22"/>
              </w:rPr>
              <w:t>1–2</w:t>
            </w:r>
            <w:r w:rsidR="007528EA" w:rsidRPr="00D04A94">
              <w:rPr>
                <w:i/>
                <w:sz w:val="22"/>
              </w:rPr>
              <w:t>016</w:t>
            </w:r>
            <w:r w:rsidR="002F675D">
              <w:rPr>
                <w:sz w:val="22"/>
              </w:rPr>
              <w:t xml:space="preserve"> </w:t>
            </w:r>
            <w:r w:rsidR="00377058">
              <w:rPr>
                <w:sz w:val="22"/>
              </w:rPr>
              <w:t xml:space="preserve">and provided an overarching policy dimension to Australia’s </w:t>
            </w:r>
            <w:r w:rsidR="009A2ECC">
              <w:rPr>
                <w:sz w:val="22"/>
              </w:rPr>
              <w:t xml:space="preserve">other </w:t>
            </w:r>
            <w:r w:rsidR="00377058">
              <w:rPr>
                <w:sz w:val="22"/>
              </w:rPr>
              <w:t xml:space="preserve">climate change </w:t>
            </w:r>
            <w:r w:rsidR="009A2ECC">
              <w:rPr>
                <w:sz w:val="22"/>
              </w:rPr>
              <w:t>investments</w:t>
            </w:r>
            <w:r w:rsidR="007528EA">
              <w:rPr>
                <w:sz w:val="22"/>
              </w:rPr>
              <w:t>.</w:t>
            </w:r>
            <w:r w:rsidR="006D66CA">
              <w:rPr>
                <w:sz w:val="22"/>
              </w:rPr>
              <w:t xml:space="preserve"> In total</w:t>
            </w:r>
            <w:r w:rsidR="00A63C77">
              <w:rPr>
                <w:sz w:val="22"/>
              </w:rPr>
              <w:t>,</w:t>
            </w:r>
            <w:r w:rsidR="006D66CA">
              <w:rPr>
                <w:sz w:val="22"/>
              </w:rPr>
              <w:t xml:space="preserve"> the SPRCC mobilised </w:t>
            </w:r>
            <w:r w:rsidR="005D18E5">
              <w:rPr>
                <w:sz w:val="22"/>
              </w:rPr>
              <w:t xml:space="preserve">more than </w:t>
            </w:r>
            <w:r w:rsidR="006D66CA">
              <w:rPr>
                <w:sz w:val="22"/>
              </w:rPr>
              <w:t>US</w:t>
            </w:r>
            <w:r w:rsidR="00853C16">
              <w:rPr>
                <w:sz w:val="22"/>
              </w:rPr>
              <w:t>D</w:t>
            </w:r>
            <w:r w:rsidR="006D66CA">
              <w:rPr>
                <w:sz w:val="22"/>
              </w:rPr>
              <w:t>1 billion in climate change finance for climate change adaptation and emissions mitigation investments.</w:t>
            </w:r>
          </w:p>
          <w:p w14:paraId="718DBF8D" w14:textId="77777777" w:rsidR="00A63C77" w:rsidRDefault="00A63C77" w:rsidP="001907DA">
            <w:pPr>
              <w:pStyle w:val="TableText"/>
              <w:rPr>
                <w:sz w:val="22"/>
              </w:rPr>
            </w:pPr>
          </w:p>
          <w:p w14:paraId="65FA7BF5" w14:textId="5F7653C1" w:rsidR="00ED6FE3" w:rsidRPr="00D63E38" w:rsidRDefault="00ED6FE3" w:rsidP="006D66CA">
            <w:pPr>
              <w:pStyle w:val="TableText"/>
            </w:pPr>
            <w:r>
              <w:rPr>
                <w:sz w:val="22"/>
              </w:rPr>
              <w:t>The SPRCC is a</w:t>
            </w:r>
            <w:r w:rsidR="009A2ECC">
              <w:rPr>
                <w:sz w:val="22"/>
              </w:rPr>
              <w:t xml:space="preserve"> good</w:t>
            </w:r>
            <w:r>
              <w:rPr>
                <w:sz w:val="22"/>
              </w:rPr>
              <w:t xml:space="preserve"> example of </w:t>
            </w:r>
            <w:r w:rsidR="002B0A46">
              <w:rPr>
                <w:sz w:val="22"/>
              </w:rPr>
              <w:t xml:space="preserve">an </w:t>
            </w:r>
            <w:r>
              <w:rPr>
                <w:sz w:val="22"/>
              </w:rPr>
              <w:t xml:space="preserve">Australian climate change </w:t>
            </w:r>
            <w:r w:rsidR="002B0A46">
              <w:rPr>
                <w:sz w:val="22"/>
              </w:rPr>
              <w:t xml:space="preserve">investment </w:t>
            </w:r>
            <w:r>
              <w:rPr>
                <w:sz w:val="22"/>
              </w:rPr>
              <w:t xml:space="preserve">that moved beyond </w:t>
            </w:r>
            <w:r w:rsidR="009A2ECC">
              <w:rPr>
                <w:sz w:val="22"/>
              </w:rPr>
              <w:t xml:space="preserve">the </w:t>
            </w:r>
            <w:r>
              <w:rPr>
                <w:sz w:val="22"/>
              </w:rPr>
              <w:t>specific project</w:t>
            </w:r>
            <w:r w:rsidR="009A2ECC">
              <w:rPr>
                <w:sz w:val="22"/>
              </w:rPr>
              <w:t xml:space="preserve"> level</w:t>
            </w:r>
            <w:r w:rsidR="00377058">
              <w:rPr>
                <w:sz w:val="22"/>
              </w:rPr>
              <w:t xml:space="preserve"> to </w:t>
            </w:r>
            <w:r w:rsidR="009A2ECC">
              <w:rPr>
                <w:sz w:val="22"/>
              </w:rPr>
              <w:t xml:space="preserve">adopt a more </w:t>
            </w:r>
            <w:r w:rsidR="00377058">
              <w:rPr>
                <w:sz w:val="22"/>
              </w:rPr>
              <w:t>strategic en</w:t>
            </w:r>
            <w:r w:rsidR="009A2ECC">
              <w:rPr>
                <w:sz w:val="22"/>
              </w:rPr>
              <w:t xml:space="preserve">try point </w:t>
            </w:r>
            <w:r w:rsidR="00416C47">
              <w:rPr>
                <w:sz w:val="22"/>
              </w:rPr>
              <w:t xml:space="preserve">at the national </w:t>
            </w:r>
            <w:r w:rsidR="009A2ECC">
              <w:rPr>
                <w:sz w:val="22"/>
              </w:rPr>
              <w:t xml:space="preserve">policy </w:t>
            </w:r>
            <w:r w:rsidR="00416C47">
              <w:rPr>
                <w:sz w:val="22"/>
              </w:rPr>
              <w:t xml:space="preserve">level. The </w:t>
            </w:r>
            <w:r w:rsidR="009A2ECC">
              <w:rPr>
                <w:sz w:val="22"/>
              </w:rPr>
              <w:t xml:space="preserve">investment enabled Australia to gain a seat at the policy table and be part of the broader </w:t>
            </w:r>
            <w:r w:rsidR="00633213">
              <w:rPr>
                <w:sz w:val="22"/>
              </w:rPr>
              <w:t xml:space="preserve">national climate change </w:t>
            </w:r>
            <w:r w:rsidR="009A2ECC">
              <w:rPr>
                <w:sz w:val="22"/>
              </w:rPr>
              <w:t>policy dialogue alongside other key donors providing climate change finance to Vietnam</w:t>
            </w:r>
            <w:r w:rsidR="00DC0FD6">
              <w:rPr>
                <w:sz w:val="22"/>
              </w:rPr>
              <w:t xml:space="preserve">. The program delivered a range of </w:t>
            </w:r>
            <w:r w:rsidR="009A2ECC">
              <w:rPr>
                <w:sz w:val="22"/>
              </w:rPr>
              <w:t>significant public diplomacy outcomes</w:t>
            </w:r>
            <w:r w:rsidR="00633213">
              <w:rPr>
                <w:sz w:val="22"/>
              </w:rPr>
              <w:t xml:space="preserve"> </w:t>
            </w:r>
            <w:r w:rsidR="00A63C77">
              <w:rPr>
                <w:sz w:val="22"/>
              </w:rPr>
              <w:t xml:space="preserve">and </w:t>
            </w:r>
            <w:r w:rsidR="00DC0FD6">
              <w:rPr>
                <w:sz w:val="22"/>
              </w:rPr>
              <w:t xml:space="preserve">increased public </w:t>
            </w:r>
            <w:r w:rsidR="009A2ECC">
              <w:rPr>
                <w:sz w:val="22"/>
              </w:rPr>
              <w:t xml:space="preserve">exposure </w:t>
            </w:r>
            <w:r w:rsidR="00633213">
              <w:rPr>
                <w:sz w:val="22"/>
              </w:rPr>
              <w:t xml:space="preserve">for Australia </w:t>
            </w:r>
            <w:r w:rsidR="009A2ECC">
              <w:rPr>
                <w:sz w:val="22"/>
              </w:rPr>
              <w:t>at the national level</w:t>
            </w:r>
            <w:r w:rsidR="00633213">
              <w:rPr>
                <w:sz w:val="22"/>
              </w:rPr>
              <w:t>.</w:t>
            </w:r>
            <w:r w:rsidR="00DC0FD6">
              <w:rPr>
                <w:sz w:val="22"/>
              </w:rPr>
              <w:t xml:space="preserve"> Working </w:t>
            </w:r>
            <w:r w:rsidR="00633213">
              <w:rPr>
                <w:sz w:val="22"/>
              </w:rPr>
              <w:t xml:space="preserve">in partnership </w:t>
            </w:r>
            <w:r w:rsidR="00DC0FD6">
              <w:rPr>
                <w:sz w:val="22"/>
              </w:rPr>
              <w:t xml:space="preserve">with other donors </w:t>
            </w:r>
            <w:r w:rsidR="00633213">
              <w:rPr>
                <w:sz w:val="22"/>
              </w:rPr>
              <w:t xml:space="preserve">created a more coherent and consistent approach to donor community climate change support and investment </w:t>
            </w:r>
            <w:r w:rsidR="006D66CA">
              <w:rPr>
                <w:sz w:val="22"/>
              </w:rPr>
              <w:t xml:space="preserve">in Vietnam, </w:t>
            </w:r>
            <w:r w:rsidR="009A2ECC">
              <w:rPr>
                <w:sz w:val="22"/>
              </w:rPr>
              <w:t>enabl</w:t>
            </w:r>
            <w:r w:rsidR="00A63C77">
              <w:rPr>
                <w:sz w:val="22"/>
              </w:rPr>
              <w:t>ing</w:t>
            </w:r>
            <w:r w:rsidR="009A2ECC">
              <w:rPr>
                <w:sz w:val="22"/>
              </w:rPr>
              <w:t xml:space="preserve"> Australia to</w:t>
            </w:r>
            <w:r w:rsidR="006D66CA">
              <w:rPr>
                <w:sz w:val="22"/>
              </w:rPr>
              <w:t xml:space="preserve"> exert some influence on V</w:t>
            </w:r>
            <w:r w:rsidR="009A2ECC">
              <w:rPr>
                <w:sz w:val="22"/>
              </w:rPr>
              <w:t xml:space="preserve">ietnam’s </w:t>
            </w:r>
            <w:r w:rsidR="006D66CA">
              <w:rPr>
                <w:sz w:val="22"/>
              </w:rPr>
              <w:t xml:space="preserve">future </w:t>
            </w:r>
            <w:r w:rsidR="009A2ECC">
              <w:rPr>
                <w:sz w:val="22"/>
              </w:rPr>
              <w:t>climate change policies and strategies</w:t>
            </w:r>
            <w:r w:rsidR="00EA56C2">
              <w:rPr>
                <w:sz w:val="22"/>
              </w:rPr>
              <w:t>.</w:t>
            </w:r>
          </w:p>
        </w:tc>
      </w:tr>
    </w:tbl>
    <w:p w14:paraId="1C8F018E" w14:textId="77777777" w:rsidR="00B42DE8" w:rsidRDefault="00B42DE8" w:rsidP="00D91929">
      <w:pPr>
        <w:spacing w:after="160" w:line="259" w:lineRule="auto"/>
      </w:pPr>
    </w:p>
    <w:p w14:paraId="353B6699" w14:textId="485F30EA" w:rsidR="00F508EE" w:rsidRDefault="00197662" w:rsidP="00431F71">
      <w:r>
        <w:t xml:space="preserve">Experience from the </w:t>
      </w:r>
      <w:r w:rsidR="00FB541C">
        <w:t>Pacific</w:t>
      </w:r>
      <w:r>
        <w:t xml:space="preserve"> suggests </w:t>
      </w:r>
      <w:r w:rsidR="00545B93">
        <w:t xml:space="preserve">alignment to national planning </w:t>
      </w:r>
      <w:r w:rsidR="00AA7969">
        <w:t>was more mixed. There was a significant number of climate</w:t>
      </w:r>
      <w:r w:rsidR="0027487E">
        <w:t>-</w:t>
      </w:r>
      <w:r w:rsidR="00AA7969">
        <w:t>related investments made in the Pacific region over the past 10 years, with multiple entry points</w:t>
      </w:r>
      <w:r w:rsidR="002F675D">
        <w:t>. These were</w:t>
      </w:r>
      <w:r w:rsidR="00AA7969">
        <w:t xml:space="preserve"> implemented by a range of agencies. While many of these investments delivered useful outputs and some significant outcomes (for example, climate change science)</w:t>
      </w:r>
      <w:r w:rsidR="0027487E">
        <w:t>,</w:t>
      </w:r>
      <w:r w:rsidR="00AA7969">
        <w:t xml:space="preserve"> on the whole the investments were somewhat fragmented and not integrated into a cohesive overall aid delivery strategy or plan.</w:t>
      </w:r>
      <w:r w:rsidR="00110D83">
        <w:t xml:space="preserve"> </w:t>
      </w:r>
      <w:r w:rsidR="00AA7969">
        <w:t xml:space="preserve">Some investments were clearly linked to government </w:t>
      </w:r>
      <w:r w:rsidR="00101E5E">
        <w:t>national action plans</w:t>
      </w:r>
      <w:r w:rsidR="00AA7969">
        <w:t xml:space="preserve"> and priorities, whil</w:t>
      </w:r>
      <w:r w:rsidR="0027487E">
        <w:t>e</w:t>
      </w:r>
      <w:r w:rsidR="00AA7969">
        <w:t xml:space="preserve"> other</w:t>
      </w:r>
      <w:r w:rsidR="00A65A93">
        <w:t>s</w:t>
      </w:r>
      <w:r w:rsidR="00AA7969">
        <w:t xml:space="preserve"> were only loosely aligned with national</w:t>
      </w:r>
      <w:r w:rsidR="00A07ED6">
        <w:t xml:space="preserve"> and</w:t>
      </w:r>
      <w:r w:rsidR="00AA7969">
        <w:t>/</w:t>
      </w:r>
      <w:r w:rsidR="00A07ED6">
        <w:t xml:space="preserve">or </w:t>
      </w:r>
      <w:r w:rsidR="00AA7969">
        <w:t>regional priorities. It is recognised (based on the 201</w:t>
      </w:r>
      <w:r w:rsidR="00F508EE">
        <w:t>6–1</w:t>
      </w:r>
      <w:r w:rsidR="00AA7969">
        <w:t xml:space="preserve">7 Pacific climate change stocktakes undertaken by DFAT) that effective investment program alignment with national priorities makes investment challenging. Most Pacific </w:t>
      </w:r>
      <w:r w:rsidR="0027487E">
        <w:t>I</w:t>
      </w:r>
      <w:r w:rsidR="00AA7969">
        <w:t xml:space="preserve">sland countries have adaptation plans and policies in place, but few have clearly articulated lists of prioritised investment and technical assistance needs. This, when combined with the significant climate change investment of other donors, tends to give rise to a general </w:t>
      </w:r>
      <w:r w:rsidR="00431F71">
        <w:t xml:space="preserve">situation </w:t>
      </w:r>
      <w:r w:rsidR="00AA7969">
        <w:t xml:space="preserve">characterised </w:t>
      </w:r>
      <w:r w:rsidR="00431F71">
        <w:t>by short</w:t>
      </w:r>
      <w:r w:rsidR="002150D9">
        <w:t>-</w:t>
      </w:r>
      <w:r w:rsidR="00431F71">
        <w:t>term projects</w:t>
      </w:r>
      <w:r w:rsidR="00AA7969">
        <w:t xml:space="preserve"> rather than strategic </w:t>
      </w:r>
      <w:r w:rsidR="00431F71">
        <w:t>programming</w:t>
      </w:r>
      <w:r w:rsidR="00C74CDA">
        <w:t>.</w:t>
      </w:r>
    </w:p>
    <w:p w14:paraId="42DBD665" w14:textId="3377C7F7" w:rsidR="00AA7969" w:rsidRDefault="00AA7969" w:rsidP="00431F71">
      <w:r>
        <w:t xml:space="preserve">Australia also plays an important role in terms of donor coordination and leadership in the Pacific. There has been a significant injection of climate change funding from a range of donors in the Pacific in recent years and </w:t>
      </w:r>
      <w:r w:rsidR="00C74CDA">
        <w:t xml:space="preserve">this </w:t>
      </w:r>
      <w:r>
        <w:t>is set to increase</w:t>
      </w:r>
      <w:r w:rsidR="00C74CDA">
        <w:t xml:space="preserve">. </w:t>
      </w:r>
      <w:r w:rsidR="00604057">
        <w:t>However</w:t>
      </w:r>
      <w:r w:rsidR="003D5DE7">
        <w:t>,</w:t>
      </w:r>
      <w:r>
        <w:t xml:space="preserve"> the overall level of donor coordination and alignment remains relatively weak. While active donor coordination mechanisms exist (such as the Development Partners on Climate Change mechanism and the Heptagon Donor Forum)</w:t>
      </w:r>
      <w:r w:rsidR="0027487E">
        <w:t>,</w:t>
      </w:r>
      <w:r>
        <w:t xml:space="preserve"> further strengthening of donor cooperation and alignment is needed. Australia is well placed to </w:t>
      </w:r>
      <w:r w:rsidR="005177E2">
        <w:t xml:space="preserve">provide </w:t>
      </w:r>
      <w:r>
        <w:t>stronger leadership in terms of donor coordination with the aim of maximising the impact of external donor assistance. The magnitude of Australia’s investment in the region</w:t>
      </w:r>
      <w:r w:rsidR="00604057">
        <w:t xml:space="preserve"> and </w:t>
      </w:r>
      <w:r>
        <w:t>its long-term role as a membe</w:t>
      </w:r>
      <w:r w:rsidR="003923BC">
        <w:t>r of key regional organisations</w:t>
      </w:r>
      <w:r>
        <w:t xml:space="preserve"> </w:t>
      </w:r>
      <w:r w:rsidR="003923BC">
        <w:t>suggests</w:t>
      </w:r>
      <w:r>
        <w:t xml:space="preserve"> that Australia </w:t>
      </w:r>
      <w:r w:rsidR="003923BC">
        <w:t>could</w:t>
      </w:r>
      <w:r w:rsidR="005177E2">
        <w:t xml:space="preserve"> </w:t>
      </w:r>
      <w:r>
        <w:t xml:space="preserve">drive a more strategic approach to climate change in the Pacific. There is an emerging opportunity through </w:t>
      </w:r>
      <w:r>
        <w:lastRenderedPageBreak/>
        <w:t xml:space="preserve">the </w:t>
      </w:r>
      <w:bookmarkStart w:id="76" w:name="_Hlk518608555"/>
      <w:r>
        <w:t>Framework for Resilient Development in the Pacific</w:t>
      </w:r>
      <w:r w:rsidR="0027487E">
        <w:t xml:space="preserve"> (FRDP</w:t>
      </w:r>
      <w:bookmarkEnd w:id="76"/>
      <w:r w:rsidR="0027487E">
        <w:t>)</w:t>
      </w:r>
      <w:r w:rsidR="003C5368">
        <w:rPr>
          <w:rStyle w:val="FootnoteReference"/>
        </w:rPr>
        <w:footnoteReference w:id="22"/>
      </w:r>
      <w:r>
        <w:t xml:space="preserve"> process to enhance alignment.</w:t>
      </w:r>
      <w:r w:rsidR="00110D83">
        <w:t xml:space="preserve"> </w:t>
      </w:r>
      <w:r>
        <w:t>Whil</w:t>
      </w:r>
      <w:r w:rsidR="00E35157">
        <w:t>e</w:t>
      </w:r>
      <w:r>
        <w:t xml:space="preserve"> Pacific Island </w:t>
      </w:r>
      <w:r w:rsidR="00E35157">
        <w:t>c</w:t>
      </w:r>
      <w:r>
        <w:t>ountries support this approach, implementation of the FRDP is only just commencing</w:t>
      </w:r>
      <w:r w:rsidR="00E35157">
        <w:t>.</w:t>
      </w:r>
      <w:r>
        <w:t xml:space="preserve"> Australia is strategically placed to make a major contribution to sup</w:t>
      </w:r>
      <w:r w:rsidR="004739BF">
        <w:t>porting the achievement of the F</w:t>
      </w:r>
      <w:r>
        <w:t>RDP</w:t>
      </w:r>
      <w:r w:rsidR="00E35157">
        <w:t>’</w:t>
      </w:r>
      <w:r>
        <w:t>s goals and objectives, consistent with national priorities, and help drive the climate change</w:t>
      </w:r>
      <w:r w:rsidR="003923BC">
        <w:t xml:space="preserve">, </w:t>
      </w:r>
      <w:r>
        <w:t>DRR</w:t>
      </w:r>
      <w:r w:rsidR="003923BC">
        <w:t xml:space="preserve"> and </w:t>
      </w:r>
      <w:r>
        <w:t>resilience agenda</w:t>
      </w:r>
      <w:r w:rsidR="00B6685F">
        <w:t>.</w:t>
      </w:r>
    </w:p>
    <w:p w14:paraId="06BCC03B" w14:textId="544B8412" w:rsidR="00B6685F" w:rsidRDefault="00B6685F" w:rsidP="00431F71">
      <w:r>
        <w:t xml:space="preserve">Australia’s contribution of climate data and climate data projections to Pacific Island </w:t>
      </w:r>
      <w:r w:rsidR="00E35157">
        <w:t>c</w:t>
      </w:r>
      <w:r>
        <w:t>ountries has provided a significant foundation for countries to use in their future climate change adaptation work. This is an important indirect example of an enduring benefit from a number of investments.</w:t>
      </w:r>
    </w:p>
    <w:p w14:paraId="12273B41" w14:textId="77777777" w:rsidR="00C74CDA" w:rsidRDefault="00D17E4F" w:rsidP="00431F71">
      <w:pPr>
        <w:pStyle w:val="Heading4"/>
      </w:pPr>
      <w:r w:rsidRPr="00C76A22">
        <w:t>Finding</w:t>
      </w:r>
    </w:p>
    <w:p w14:paraId="0618D959" w14:textId="690A0B9D" w:rsidR="00F508EE" w:rsidRDefault="00ED391E" w:rsidP="00716964">
      <w:r>
        <w:t xml:space="preserve">The strongest </w:t>
      </w:r>
      <w:r w:rsidR="00012698">
        <w:t>evidence</w:t>
      </w:r>
      <w:r w:rsidR="00431F71">
        <w:t xml:space="preserve"> </w:t>
      </w:r>
      <w:r w:rsidR="00012698">
        <w:t xml:space="preserve">of sustainable </w:t>
      </w:r>
      <w:r w:rsidR="005F16C2">
        <w:t xml:space="preserve">and strategic </w:t>
      </w:r>
      <w:r w:rsidR="00182A90">
        <w:t xml:space="preserve">climate change </w:t>
      </w:r>
      <w:r w:rsidR="00012698">
        <w:t xml:space="preserve">outcomes </w:t>
      </w:r>
      <w:r w:rsidR="00182A90">
        <w:t>was</w:t>
      </w:r>
      <w:r w:rsidR="00012698">
        <w:t xml:space="preserve"> found in Vietnam</w:t>
      </w:r>
      <w:r w:rsidR="003D5DE7">
        <w:t>.</w:t>
      </w:r>
      <w:r w:rsidR="00431F71">
        <w:rPr>
          <w:rStyle w:val="FootnoteReference"/>
        </w:rPr>
        <w:footnoteReference w:id="23"/>
      </w:r>
      <w:r w:rsidR="003D5DE7">
        <w:t xml:space="preserve"> </w:t>
      </w:r>
      <w:r w:rsidR="00182A90">
        <w:t xml:space="preserve">Key attributes were the </w:t>
      </w:r>
      <w:r w:rsidR="00012698">
        <w:t>alignment to Vietnam</w:t>
      </w:r>
      <w:r w:rsidR="00E83604">
        <w:t>’</w:t>
      </w:r>
      <w:r w:rsidR="00012698">
        <w:t xml:space="preserve">s </w:t>
      </w:r>
      <w:r w:rsidR="00E35157">
        <w:t>c</w:t>
      </w:r>
      <w:r w:rsidR="00884B56">
        <w:t xml:space="preserve">limate </w:t>
      </w:r>
      <w:r w:rsidR="00E35157">
        <w:t>p</w:t>
      </w:r>
      <w:r w:rsidR="00884B56">
        <w:t xml:space="preserve">olicy, </w:t>
      </w:r>
      <w:r w:rsidR="00182A90">
        <w:t>strong engagement in the climate change po</w:t>
      </w:r>
      <w:r w:rsidR="00C74CDA">
        <w:t>licy dialogue process with the Vietnamese Government</w:t>
      </w:r>
      <w:r w:rsidR="00182A90">
        <w:t xml:space="preserve"> (along with other donors), </w:t>
      </w:r>
      <w:r w:rsidR="00884B56">
        <w:t xml:space="preserve">and </w:t>
      </w:r>
      <w:r w:rsidR="00182A90">
        <w:t xml:space="preserve">good </w:t>
      </w:r>
      <w:r w:rsidR="00884B56">
        <w:t xml:space="preserve">integration of </w:t>
      </w:r>
      <w:r w:rsidR="00E35157">
        <w:t>c</w:t>
      </w:r>
      <w:r w:rsidR="00884B56">
        <w:t>limate and DRR approaches</w:t>
      </w:r>
      <w:r w:rsidR="00182A90">
        <w:t xml:space="preserve"> under a single implementation strategy</w:t>
      </w:r>
      <w:r w:rsidR="00884B56">
        <w:t>.</w:t>
      </w:r>
      <w:r w:rsidR="00110D83">
        <w:t xml:space="preserve"> </w:t>
      </w:r>
      <w:r w:rsidR="00182A90">
        <w:t>Beyond Vietnam</w:t>
      </w:r>
      <w:r w:rsidR="00E35157">
        <w:t>,</w:t>
      </w:r>
      <w:r w:rsidR="00182A90">
        <w:t xml:space="preserve"> no </w:t>
      </w:r>
      <w:r w:rsidR="00B85324">
        <w:t xml:space="preserve">post-investment evaluations </w:t>
      </w:r>
      <w:r w:rsidR="00182A90">
        <w:t>providing strong insights in</w:t>
      </w:r>
      <w:r w:rsidR="00B85324">
        <w:t>to impacts and sustainability</w:t>
      </w:r>
      <w:r w:rsidR="00182A90">
        <w:t xml:space="preserve"> were found</w:t>
      </w:r>
      <w:r w:rsidR="00B85324">
        <w:t>.</w:t>
      </w:r>
      <w:r w:rsidR="00110D83">
        <w:t xml:space="preserve"> </w:t>
      </w:r>
      <w:r w:rsidR="00D17E4F">
        <w:t>Where evaluation</w:t>
      </w:r>
      <w:r w:rsidR="00182A90">
        <w:t>s</w:t>
      </w:r>
      <w:r w:rsidR="00D17E4F">
        <w:t xml:space="preserve"> </w:t>
      </w:r>
      <w:r w:rsidR="00B85324">
        <w:t xml:space="preserve">did </w:t>
      </w:r>
      <w:r w:rsidR="00182A90">
        <w:t xml:space="preserve">indicate </w:t>
      </w:r>
      <w:r w:rsidR="00D17E4F">
        <w:t>evidence of enduring benefi</w:t>
      </w:r>
      <w:r w:rsidR="00B85324">
        <w:t>ts, the common factors appeared</w:t>
      </w:r>
      <w:r w:rsidR="00D17E4F">
        <w:t xml:space="preserve"> to be</w:t>
      </w:r>
      <w:r w:rsidR="00726575">
        <w:t>:</w:t>
      </w:r>
      <w:r w:rsidR="00D17E4F">
        <w:t xml:space="preserve"> sufficient time for delivery (</w:t>
      </w:r>
      <w:r w:rsidR="003E278F">
        <w:t xml:space="preserve">that is, over five </w:t>
      </w:r>
      <w:r w:rsidR="00D9247D">
        <w:t>years of engagement)</w:t>
      </w:r>
      <w:r w:rsidR="003E278F">
        <w:t>;</w:t>
      </w:r>
      <w:r w:rsidR="00D9247D">
        <w:t xml:space="preserve"> </w:t>
      </w:r>
      <w:r w:rsidR="003E278F">
        <w:t xml:space="preserve">the </w:t>
      </w:r>
      <w:r w:rsidR="00D9247D">
        <w:t>building</w:t>
      </w:r>
      <w:r w:rsidR="00D17E4F">
        <w:t xml:space="preserve"> </w:t>
      </w:r>
      <w:r w:rsidR="003E278F">
        <w:t xml:space="preserve">of </w:t>
      </w:r>
      <w:r w:rsidR="00D17E4F">
        <w:t>longer</w:t>
      </w:r>
      <w:r w:rsidR="003E278F">
        <w:t>-</w:t>
      </w:r>
      <w:r w:rsidR="00D17E4F">
        <w:t>term, enduring relationships</w:t>
      </w:r>
      <w:r w:rsidR="003E278F">
        <w:t xml:space="preserve">; </w:t>
      </w:r>
      <w:r w:rsidR="00D17E4F">
        <w:t>and working across the right parts of government</w:t>
      </w:r>
      <w:r w:rsidR="002E5CEA">
        <w:t>.</w:t>
      </w:r>
      <w:r w:rsidR="00110D83">
        <w:t xml:space="preserve"> </w:t>
      </w:r>
      <w:r w:rsidR="007F5245">
        <w:t xml:space="preserve">Alignment with </w:t>
      </w:r>
      <w:r w:rsidR="00101E5E">
        <w:t>national action plans</w:t>
      </w:r>
      <w:r w:rsidR="007F5245">
        <w:t xml:space="preserve"> and integrating DRR and </w:t>
      </w:r>
      <w:r w:rsidR="003E278F">
        <w:t>c</w:t>
      </w:r>
      <w:r w:rsidR="007F5245">
        <w:t xml:space="preserve">limate </w:t>
      </w:r>
      <w:r w:rsidR="003E278F">
        <w:t>c</w:t>
      </w:r>
      <w:r w:rsidR="007F5245">
        <w:t>hange approaches are likely to enhance ongoing policy engagement and support more sustainable approaches.</w:t>
      </w:r>
    </w:p>
    <w:p w14:paraId="0256EFAC" w14:textId="76F4570B" w:rsidR="00105752" w:rsidRDefault="00DA2E8F" w:rsidP="00533ED2">
      <w:pPr>
        <w:pStyle w:val="Heading2"/>
        <w:numPr>
          <w:ilvl w:val="0"/>
          <w:numId w:val="0"/>
        </w:numPr>
      </w:pPr>
      <w:bookmarkStart w:id="77" w:name="_Toc510771929"/>
      <w:r>
        <w:t>3.7</w:t>
      </w:r>
      <w:r>
        <w:tab/>
      </w:r>
      <w:r w:rsidR="00105752">
        <w:t>Value</w:t>
      </w:r>
      <w:r w:rsidR="003D5DE7">
        <w:t>-</w:t>
      </w:r>
      <w:r w:rsidR="00105752">
        <w:t>for</w:t>
      </w:r>
      <w:r w:rsidR="003D5DE7">
        <w:t>-</w:t>
      </w:r>
      <w:r w:rsidR="00177C23">
        <w:t>m</w:t>
      </w:r>
      <w:r w:rsidR="00105752">
        <w:t>oney</w:t>
      </w:r>
      <w:bookmarkEnd w:id="77"/>
    </w:p>
    <w:p w14:paraId="5C353FC5" w14:textId="7E6C31C0" w:rsidR="00F508EE" w:rsidRDefault="00B11463" w:rsidP="007A05FB">
      <w:r w:rsidRPr="00AA6D6D">
        <w:t>Looking across the investments</w:t>
      </w:r>
      <w:r w:rsidR="00726575">
        <w:t>,</w:t>
      </w:r>
      <w:r w:rsidRPr="00AA6D6D">
        <w:t xml:space="preserve"> </w:t>
      </w:r>
      <w:r w:rsidR="00182A90">
        <w:t xml:space="preserve">determining </w:t>
      </w:r>
      <w:r w:rsidR="00240168" w:rsidRPr="00AA6D6D">
        <w:t>value</w:t>
      </w:r>
      <w:r w:rsidR="00101E5E">
        <w:t>-</w:t>
      </w:r>
      <w:r w:rsidR="00240168" w:rsidRPr="00AA6D6D">
        <w:t>for</w:t>
      </w:r>
      <w:r w:rsidR="00101E5E">
        <w:t>-</w:t>
      </w:r>
      <w:r w:rsidR="00240168" w:rsidRPr="00AA6D6D">
        <w:t xml:space="preserve">money </w:t>
      </w:r>
      <w:r w:rsidRPr="00AA6D6D">
        <w:t>has been</w:t>
      </w:r>
      <w:r w:rsidR="008A628E" w:rsidRPr="00AA6D6D">
        <w:t>,</w:t>
      </w:r>
      <w:r w:rsidRPr="00AA6D6D">
        <w:t xml:space="preserve"> and remains</w:t>
      </w:r>
      <w:r w:rsidR="008A628E" w:rsidRPr="00AA6D6D">
        <w:t>,</w:t>
      </w:r>
      <w:r w:rsidRPr="00AA6D6D">
        <w:t xml:space="preserve"> a weak area of attention for DFAT. The evaluation found no evidence of an explicit </w:t>
      </w:r>
      <w:r w:rsidR="00101E5E">
        <w:t>value-for-money</w:t>
      </w:r>
      <w:r w:rsidRPr="00AA6D6D">
        <w:t xml:space="preserve"> case being made within the design stage of the investments</w:t>
      </w:r>
      <w:r w:rsidR="003923BC">
        <w:t xml:space="preserve">; that is, </w:t>
      </w:r>
      <w:r w:rsidRPr="00AA6D6D">
        <w:t xml:space="preserve">an articulation of the value in potential development outcome terms and consideration of the projected costs to achieve this. Within investment design there are examples of a much more limited conception of </w:t>
      </w:r>
      <w:r w:rsidR="00101E5E">
        <w:t>value-for-money</w:t>
      </w:r>
      <w:r w:rsidRPr="00AA6D6D">
        <w:t xml:space="preserve"> in terms of the administrative load on DFAT for delivery.</w:t>
      </w:r>
    </w:p>
    <w:p w14:paraId="01DC61CF" w14:textId="36B4EC6F" w:rsidR="00F508EE" w:rsidRDefault="00B11463" w:rsidP="007A05FB">
      <w:r w:rsidRPr="00AA6D6D">
        <w:t xml:space="preserve">The absence of a </w:t>
      </w:r>
      <w:r w:rsidR="003923BC">
        <w:t>well-developed</w:t>
      </w:r>
      <w:r w:rsidRPr="00AA6D6D">
        <w:t xml:space="preserve"> </w:t>
      </w:r>
      <w:r w:rsidR="00101E5E">
        <w:t>value-for-money</w:t>
      </w:r>
      <w:r w:rsidRPr="00AA6D6D">
        <w:t xml:space="preserve"> argument being made upfront is a feature of both the Fast</w:t>
      </w:r>
      <w:r w:rsidR="00645DA7" w:rsidRPr="00AA6D6D">
        <w:t>-s</w:t>
      </w:r>
      <w:r w:rsidRPr="00AA6D6D">
        <w:t>tart investments</w:t>
      </w:r>
      <w:r w:rsidR="00F508EE">
        <w:t>—</w:t>
      </w:r>
      <w:r w:rsidRPr="00AA6D6D">
        <w:t>where there was a recognised supply</w:t>
      </w:r>
      <w:r w:rsidR="00A5594F">
        <w:t>-</w:t>
      </w:r>
      <w:r w:rsidRPr="00AA6D6D">
        <w:t>driven rationale for investment</w:t>
      </w:r>
      <w:r w:rsidR="00F508EE">
        <w:t>—</w:t>
      </w:r>
      <w:r w:rsidRPr="00AA6D6D">
        <w:t xml:space="preserve">and the more recently designed investments. This suggests that </w:t>
      </w:r>
      <w:r w:rsidR="00101E5E">
        <w:t>value-for-money</w:t>
      </w:r>
      <w:r w:rsidRPr="00AA6D6D">
        <w:t xml:space="preserve"> assessment is a systemic challenge for DFAT to address. The problem is compounded by the fact that there are only limited requirements </w:t>
      </w:r>
      <w:r w:rsidR="00182A90">
        <w:t xml:space="preserve">to </w:t>
      </w:r>
      <w:r w:rsidR="00240168" w:rsidRPr="00AA6D6D">
        <w:t xml:space="preserve">assess and report </w:t>
      </w:r>
      <w:r w:rsidRPr="00AA6D6D">
        <w:t xml:space="preserve">on </w:t>
      </w:r>
      <w:r w:rsidR="00101E5E">
        <w:t>value-for-money</w:t>
      </w:r>
      <w:r w:rsidRPr="00AA6D6D">
        <w:t xml:space="preserve"> during the project cycle and no guidance on defining </w:t>
      </w:r>
      <w:r w:rsidR="00101E5E">
        <w:t>value-for-money</w:t>
      </w:r>
      <w:r w:rsidRPr="00AA6D6D">
        <w:t xml:space="preserve"> for climate change adaptation</w:t>
      </w:r>
      <w:r w:rsidR="00A5594F">
        <w:t xml:space="preserve"> and</w:t>
      </w:r>
      <w:r w:rsidRPr="00AA6D6D">
        <w:t xml:space="preserve"> mitigation actions. Any such interpretation would need an element of careful nuancing in terms of investments with climate change benefits. For </w:t>
      </w:r>
      <w:r w:rsidR="008D4A4B" w:rsidRPr="00AA6D6D">
        <w:t>example,</w:t>
      </w:r>
      <w:r w:rsidRPr="00AA6D6D">
        <w:t xml:space="preserve"> the decision on a delivery choice of working through whole</w:t>
      </w:r>
      <w:r w:rsidR="002A509B">
        <w:t>-</w:t>
      </w:r>
      <w:r w:rsidRPr="00AA6D6D">
        <w:t>of</w:t>
      </w:r>
      <w:r w:rsidR="002A509B">
        <w:t>-</w:t>
      </w:r>
      <w:r w:rsidRPr="00AA6D6D">
        <w:t>government partners is also influenced by the particular technical expertise and wider relationship benefits they are expected to bring.</w:t>
      </w:r>
      <w:r w:rsidR="00110D83">
        <w:t xml:space="preserve"> </w:t>
      </w:r>
      <w:r w:rsidRPr="00AA6D6D">
        <w:t xml:space="preserve">That said, the absence of a </w:t>
      </w:r>
      <w:r w:rsidR="00101E5E">
        <w:t>value-for-money</w:t>
      </w:r>
      <w:r w:rsidRPr="00AA6D6D">
        <w:t xml:space="preserve"> approach prevented explicit consideration of other ways of achieving outcomes with a </w:t>
      </w:r>
      <w:r w:rsidRPr="00AA6D6D">
        <w:lastRenderedPageBreak/>
        <w:t>strong</w:t>
      </w:r>
      <w:r w:rsidR="003923BC">
        <w:t xml:space="preserve"> science </w:t>
      </w:r>
      <w:r w:rsidRPr="00AA6D6D">
        <w:t>base (</w:t>
      </w:r>
      <w:r w:rsidR="002A509B">
        <w:t>for example,</w:t>
      </w:r>
      <w:r w:rsidRPr="00AA6D6D">
        <w:t xml:space="preserve"> </w:t>
      </w:r>
      <w:r w:rsidRPr="007A05FB">
        <w:t>COSPPac</w:t>
      </w:r>
      <w:r w:rsidR="00726575">
        <w:t xml:space="preserve"> and </w:t>
      </w:r>
      <w:r w:rsidR="00726575" w:rsidRPr="007A05FB">
        <w:t>PACSSAP</w:t>
      </w:r>
      <w:r w:rsidR="008D4A4B" w:rsidRPr="007A05FB">
        <w:t>) through</w:t>
      </w:r>
      <w:r w:rsidRPr="00AA6D6D">
        <w:t xml:space="preserve"> different </w:t>
      </w:r>
      <w:r w:rsidR="00645DA7" w:rsidRPr="00AA6D6D">
        <w:t xml:space="preserve">possible </w:t>
      </w:r>
      <w:r w:rsidRPr="00AA6D6D">
        <w:t>configurations of Australian and nationally</w:t>
      </w:r>
      <w:r w:rsidR="00726575">
        <w:t xml:space="preserve"> </w:t>
      </w:r>
      <w:r w:rsidRPr="00AA6D6D">
        <w:t>based human resources and supporting infrastructure.</w:t>
      </w:r>
    </w:p>
    <w:p w14:paraId="7EA0E244" w14:textId="6279497B" w:rsidR="00F508EE" w:rsidRDefault="00B11463" w:rsidP="00C70306">
      <w:r w:rsidRPr="00AA6D6D">
        <w:t>The absence of solid monitoring data</w:t>
      </w:r>
      <w:r w:rsidR="009541CF">
        <w:t>,</w:t>
      </w:r>
      <w:r w:rsidRPr="00AA6D6D">
        <w:t xml:space="preserve"> particularly at the outcome</w:t>
      </w:r>
      <w:r w:rsidR="006A6368">
        <w:t xml:space="preserve"> level</w:t>
      </w:r>
      <w:r w:rsidR="009541CF">
        <w:t>,</w:t>
      </w:r>
      <w:r w:rsidRPr="00AA6D6D">
        <w:t xml:space="preserve"> is a fundamental challenge to developing a consistent approach to assessing </w:t>
      </w:r>
      <w:r w:rsidR="00101E5E">
        <w:t>value-for-money</w:t>
      </w:r>
      <w:r w:rsidRPr="00AA6D6D">
        <w:t xml:space="preserve"> (cost to achieve outcomes) at key points in an investment cycle. This has foster</w:t>
      </w:r>
      <w:r w:rsidR="009541CF">
        <w:t>ed</w:t>
      </w:r>
      <w:r w:rsidRPr="00AA6D6D">
        <w:t xml:space="preserve"> an environment in which </w:t>
      </w:r>
      <w:r w:rsidR="00101E5E">
        <w:t>value-for-money</w:t>
      </w:r>
      <w:r w:rsidRPr="00AA6D6D">
        <w:t xml:space="preserve"> is equated with administrative efficiency.</w:t>
      </w:r>
      <w:r w:rsidR="00110D83">
        <w:t xml:space="preserve"> </w:t>
      </w:r>
      <w:r w:rsidRPr="00AA6D6D">
        <w:t xml:space="preserve">Only in 2017 did the </w:t>
      </w:r>
      <w:r w:rsidR="00AA1555">
        <w:t>aid quality check</w:t>
      </w:r>
      <w:r w:rsidRPr="00AA6D6D">
        <w:t xml:space="preserve"> process shift its reporting requirement for investments from efficiency to </w:t>
      </w:r>
      <w:r w:rsidR="00101E5E">
        <w:t>value-for-money</w:t>
      </w:r>
      <w:r w:rsidRPr="00AA6D6D">
        <w:t>. The portfolio</w:t>
      </w:r>
      <w:r w:rsidR="00CE6854">
        <w:t>-</w:t>
      </w:r>
      <w:r w:rsidRPr="00AA6D6D">
        <w:t>level engagement of DFAT on climate change and environmental sustainability within the bilateral aid program in Vietnam ha</w:t>
      </w:r>
      <w:r w:rsidR="003923BC">
        <w:t>d many positive characteristics</w:t>
      </w:r>
      <w:r w:rsidR="00726575">
        <w:t>. This included</w:t>
      </w:r>
      <w:r w:rsidRPr="00AA6D6D">
        <w:t xml:space="preserve"> a good sense of what the program could deliver in terms of individ</w:t>
      </w:r>
      <w:r w:rsidR="00AA6D6D">
        <w:t>ual investment elements</w:t>
      </w:r>
      <w:r w:rsidR="00726575">
        <w:t>. It</w:t>
      </w:r>
      <w:r w:rsidR="00AA6D6D">
        <w:t xml:space="preserve"> </w:t>
      </w:r>
      <w:r w:rsidR="00726575">
        <w:t>did not have a</w:t>
      </w:r>
      <w:r w:rsidR="00AA6D6D">
        <w:t xml:space="preserve"> </w:t>
      </w:r>
      <w:r w:rsidRPr="00AA6D6D">
        <w:t>prior case for the value as a whole</w:t>
      </w:r>
      <w:r w:rsidR="003D5DE7">
        <w:t>-</w:t>
      </w:r>
      <w:r w:rsidR="005177E2">
        <w:t>of</w:t>
      </w:r>
      <w:r w:rsidR="003D5DE7">
        <w:t>-</w:t>
      </w:r>
      <w:r w:rsidR="005177E2">
        <w:t xml:space="preserve">the portfolio </w:t>
      </w:r>
      <w:r w:rsidRPr="00AA6D6D">
        <w:t>versus money to be spent.</w:t>
      </w:r>
    </w:p>
    <w:p w14:paraId="7D154104" w14:textId="2E6EF301" w:rsidR="00F508EE" w:rsidRDefault="00B11463" w:rsidP="00C70306">
      <w:pPr>
        <w:rPr>
          <w:lang w:val="en-GB" w:eastAsia="en-GB"/>
        </w:rPr>
      </w:pPr>
      <w:r w:rsidRPr="00AA6D6D">
        <w:t xml:space="preserve">The challenge of assessing </w:t>
      </w:r>
      <w:r w:rsidR="00101E5E">
        <w:t>value-for-money</w:t>
      </w:r>
      <w:r w:rsidRPr="00AA6D6D">
        <w:t xml:space="preserve"> for climate change investments is compounded by the fact that </w:t>
      </w:r>
      <w:r w:rsidR="00645DA7" w:rsidRPr="00AA6D6D">
        <w:t xml:space="preserve">most </w:t>
      </w:r>
      <w:r w:rsidR="00645DA7" w:rsidRPr="00AA6D6D">
        <w:rPr>
          <w:lang w:val="en-GB" w:eastAsia="en-GB"/>
        </w:rPr>
        <w:t>adaptation</w:t>
      </w:r>
      <w:r w:rsidRPr="00AA6D6D">
        <w:rPr>
          <w:lang w:val="en-GB" w:eastAsia="en-GB"/>
        </w:rPr>
        <w:t xml:space="preserve"> results do</w:t>
      </w:r>
      <w:r w:rsidR="00BD559A">
        <w:rPr>
          <w:lang w:val="en-GB" w:eastAsia="en-GB"/>
        </w:rPr>
        <w:t xml:space="preserve"> not</w:t>
      </w:r>
      <w:r w:rsidRPr="00AA6D6D">
        <w:rPr>
          <w:lang w:val="en-GB" w:eastAsia="en-GB"/>
        </w:rPr>
        <w:t xml:space="preserve"> occur until well after </w:t>
      </w:r>
      <w:r w:rsidR="00BD559A">
        <w:rPr>
          <w:lang w:val="en-GB" w:eastAsia="en-GB"/>
        </w:rPr>
        <w:t>project</w:t>
      </w:r>
      <w:r w:rsidR="00BD559A" w:rsidRPr="00AA6D6D">
        <w:rPr>
          <w:lang w:val="en-GB" w:eastAsia="en-GB"/>
        </w:rPr>
        <w:t xml:space="preserve"> </w:t>
      </w:r>
      <w:r w:rsidRPr="00AA6D6D">
        <w:rPr>
          <w:lang w:val="en-GB" w:eastAsia="en-GB"/>
        </w:rPr>
        <w:t>end.</w:t>
      </w:r>
      <w:r w:rsidR="00110D83">
        <w:rPr>
          <w:lang w:val="en-GB" w:eastAsia="en-GB"/>
        </w:rPr>
        <w:t xml:space="preserve"> </w:t>
      </w:r>
      <w:r w:rsidR="00645DA7" w:rsidRPr="00AA6D6D">
        <w:rPr>
          <w:lang w:val="en-GB" w:eastAsia="en-GB"/>
        </w:rPr>
        <w:t>Moreover,</w:t>
      </w:r>
      <w:r w:rsidRPr="00AA6D6D">
        <w:rPr>
          <w:lang w:val="en-GB" w:eastAsia="en-GB"/>
        </w:rPr>
        <w:t xml:space="preserve"> there is no established practice within the Australian aid program of post</w:t>
      </w:r>
      <w:r w:rsidR="00C461FA">
        <w:rPr>
          <w:lang w:val="en-GB" w:eastAsia="en-GB"/>
        </w:rPr>
        <w:t>-</w:t>
      </w:r>
      <w:r w:rsidRPr="00AA6D6D">
        <w:rPr>
          <w:lang w:val="en-GB" w:eastAsia="en-GB"/>
        </w:rPr>
        <w:t>project evaluations to determine the longer</w:t>
      </w:r>
      <w:r w:rsidR="00C461FA">
        <w:rPr>
          <w:lang w:val="en-GB" w:eastAsia="en-GB"/>
        </w:rPr>
        <w:t>-</w:t>
      </w:r>
      <w:r w:rsidRPr="00AA6D6D">
        <w:rPr>
          <w:lang w:val="en-GB" w:eastAsia="en-GB"/>
        </w:rPr>
        <w:t xml:space="preserve">term sustained effects and impacts. This learning is a critical element in developing an informed approach </w:t>
      </w:r>
      <w:r w:rsidR="003923BC">
        <w:rPr>
          <w:lang w:val="en-GB" w:eastAsia="en-GB"/>
        </w:rPr>
        <w:t xml:space="preserve">to </w:t>
      </w:r>
      <w:r w:rsidR="00101E5E">
        <w:rPr>
          <w:lang w:val="en-GB" w:eastAsia="en-GB"/>
        </w:rPr>
        <w:t>value-for-money</w:t>
      </w:r>
      <w:r w:rsidRPr="00AA6D6D">
        <w:rPr>
          <w:lang w:val="en-GB" w:eastAsia="en-GB"/>
        </w:rPr>
        <w:t xml:space="preserve"> assessments.</w:t>
      </w:r>
    </w:p>
    <w:p w14:paraId="336C2007" w14:textId="77777777" w:rsidR="00F508EE" w:rsidRDefault="00B11463" w:rsidP="00C70306">
      <w:pPr>
        <w:pStyle w:val="Heading4"/>
      </w:pPr>
      <w:r w:rsidRPr="00AA6D6D">
        <w:t>Finding</w:t>
      </w:r>
    </w:p>
    <w:p w14:paraId="561583D5" w14:textId="036D8C6D" w:rsidR="007F2E0B" w:rsidRPr="000D275D" w:rsidRDefault="00B11463" w:rsidP="00C70306">
      <w:r w:rsidRPr="00AA6D6D">
        <w:t>There is no established approach or practice within DFAT of assessing value</w:t>
      </w:r>
      <w:r w:rsidR="003D5DE7">
        <w:t>-</w:t>
      </w:r>
      <w:r w:rsidRPr="00AA6D6D">
        <w:t>for</w:t>
      </w:r>
      <w:r w:rsidR="003D5DE7">
        <w:t>-</w:t>
      </w:r>
      <w:r w:rsidRPr="00AA6D6D">
        <w:t xml:space="preserve">money of investments and/or portfolios of activity with climate change benefits. There is </w:t>
      </w:r>
      <w:r w:rsidR="008D7C02">
        <w:t>no strong</w:t>
      </w:r>
      <w:r w:rsidRPr="00AA6D6D">
        <w:t xml:space="preserve"> body of monitoring information and post</w:t>
      </w:r>
      <w:r w:rsidR="00C461FA">
        <w:t>-</w:t>
      </w:r>
      <w:r w:rsidRPr="00AA6D6D">
        <w:t>project evaluation experience to draw on to inform the shaping of an approach and development of subsequent guidance.</w:t>
      </w:r>
    </w:p>
    <w:p w14:paraId="126F73AC" w14:textId="287D118E" w:rsidR="00F508EE" w:rsidRDefault="004402B0" w:rsidP="004402B0">
      <w:pPr>
        <w:pStyle w:val="Heading2"/>
        <w:numPr>
          <w:ilvl w:val="0"/>
          <w:numId w:val="0"/>
        </w:numPr>
        <w:rPr>
          <w:color w:val="auto"/>
        </w:rPr>
      </w:pPr>
      <w:bookmarkStart w:id="78" w:name="_Toc510771930"/>
      <w:r w:rsidRPr="001C35C4">
        <w:rPr>
          <w:color w:val="auto"/>
        </w:rPr>
        <w:t>3.8</w:t>
      </w:r>
      <w:r w:rsidRPr="001C35C4">
        <w:rPr>
          <w:color w:val="auto"/>
        </w:rPr>
        <w:tab/>
        <w:t xml:space="preserve">Establishing </w:t>
      </w:r>
      <w:r w:rsidR="00177C23">
        <w:rPr>
          <w:color w:val="auto"/>
        </w:rPr>
        <w:t>e</w:t>
      </w:r>
      <w:r w:rsidR="00322FAA" w:rsidRPr="001C35C4">
        <w:rPr>
          <w:color w:val="auto"/>
        </w:rPr>
        <w:t xml:space="preserve">ffective </w:t>
      </w:r>
      <w:r w:rsidR="00177C23">
        <w:rPr>
          <w:color w:val="auto"/>
        </w:rPr>
        <w:t>p</w:t>
      </w:r>
      <w:r w:rsidRPr="001C35C4">
        <w:rPr>
          <w:color w:val="auto"/>
        </w:rPr>
        <w:t xml:space="preserve">ortfolio </w:t>
      </w:r>
      <w:r w:rsidR="00177C23">
        <w:rPr>
          <w:color w:val="auto"/>
        </w:rPr>
        <w:t>a</w:t>
      </w:r>
      <w:r w:rsidRPr="001C35C4">
        <w:rPr>
          <w:color w:val="auto"/>
        </w:rPr>
        <w:t>pproaches</w:t>
      </w:r>
      <w:bookmarkEnd w:id="78"/>
    </w:p>
    <w:p w14:paraId="58B55989" w14:textId="33318F80" w:rsidR="00F508EE" w:rsidRDefault="00847904" w:rsidP="00C70306">
      <w:r w:rsidRPr="001C35C4">
        <w:t>The evaluation team assessed the country</w:t>
      </w:r>
      <w:r w:rsidR="00BD559A">
        <w:t xml:space="preserve"> and </w:t>
      </w:r>
      <w:r w:rsidRPr="001C35C4">
        <w:t>regional cases</w:t>
      </w:r>
      <w:r w:rsidR="00BD559A">
        <w:t>—</w:t>
      </w:r>
      <w:r w:rsidRPr="001C35C4">
        <w:t>Solomon Islands</w:t>
      </w:r>
      <w:r w:rsidR="00BD559A">
        <w:t>,</w:t>
      </w:r>
      <w:r w:rsidRPr="001C35C4">
        <w:t xml:space="preserve"> Vietnam</w:t>
      </w:r>
      <w:r w:rsidR="00BD559A">
        <w:t xml:space="preserve"> and the Pacific region</w:t>
      </w:r>
      <w:r w:rsidRPr="001C35C4">
        <w:t xml:space="preserve">, in relation to how </w:t>
      </w:r>
      <w:r w:rsidR="00C23D85" w:rsidRPr="001C35C4">
        <w:t xml:space="preserve">well </w:t>
      </w:r>
      <w:r w:rsidRPr="001C35C4">
        <w:t>the portfolio of work has been positioned to strategically engage with efforts in partner countries to deliver on their NDCs.</w:t>
      </w:r>
    </w:p>
    <w:p w14:paraId="4038C49F" w14:textId="27B0C107" w:rsidR="00F508EE" w:rsidRDefault="000D275D" w:rsidP="00C70306">
      <w:r>
        <w:t>For a country</w:t>
      </w:r>
      <w:r w:rsidR="00DB5D57">
        <w:t xml:space="preserve"> or </w:t>
      </w:r>
      <w:r w:rsidR="00C23D85" w:rsidRPr="001C35C4">
        <w:t>region to confidently move forward on its NDC commitments there needs to be a supportive</w:t>
      </w:r>
      <w:r w:rsidR="002A7354">
        <w:t>,</w:t>
      </w:r>
      <w:r w:rsidR="00C23D85" w:rsidRPr="001C35C4">
        <w:t xml:space="preserve"> enabling environment. Each country</w:t>
      </w:r>
      <w:r w:rsidR="007E58CB">
        <w:t xml:space="preserve"> and </w:t>
      </w:r>
      <w:r w:rsidR="00C23D85" w:rsidRPr="001C35C4">
        <w:t xml:space="preserve">regional context is unique and as </w:t>
      </w:r>
      <w:r w:rsidR="00F508EE" w:rsidRPr="00D04A94">
        <w:t>a</w:t>
      </w:r>
      <w:r w:rsidR="00F508EE" w:rsidRPr="001C35C4">
        <w:rPr>
          <w:i/>
        </w:rPr>
        <w:t xml:space="preserve"> system</w:t>
      </w:r>
      <w:r w:rsidR="00C23D85" w:rsidRPr="001C35C4">
        <w:t xml:space="preserve"> presents different entry points and opportunities for external support to effectively contribute to climate change action.</w:t>
      </w:r>
    </w:p>
    <w:p w14:paraId="5CDBD829" w14:textId="54B59E24" w:rsidR="00F508EE" w:rsidRDefault="009603AF" w:rsidP="00C70306">
      <w:r>
        <w:t xml:space="preserve">Five </w:t>
      </w:r>
      <w:r w:rsidR="00C23D85" w:rsidRPr="001C35C4">
        <w:t xml:space="preserve">different </w:t>
      </w:r>
      <w:r w:rsidR="004402B0" w:rsidRPr="001C35C4">
        <w:t>dimensions</w:t>
      </w:r>
      <w:r>
        <w:rPr>
          <w:rStyle w:val="FootnoteReference"/>
          <w:color w:val="auto"/>
          <w:szCs w:val="23"/>
        </w:rPr>
        <w:footnoteReference w:id="24"/>
      </w:r>
      <w:r w:rsidR="004402B0" w:rsidRPr="001C35C4">
        <w:t xml:space="preserve"> which shape a country context for climate change action</w:t>
      </w:r>
      <w:r w:rsidR="002A7354">
        <w:t>,</w:t>
      </w:r>
      <w:r w:rsidR="004402B0" w:rsidRPr="001C35C4">
        <w:t xml:space="preserve"> and</w:t>
      </w:r>
      <w:r w:rsidR="00C23D85" w:rsidRPr="001C35C4">
        <w:t xml:space="preserve"> signal </w:t>
      </w:r>
      <w:r w:rsidR="004402B0" w:rsidRPr="001C35C4">
        <w:t>entry points for external support</w:t>
      </w:r>
      <w:r w:rsidR="008B5444" w:rsidRPr="009603AF">
        <w:t xml:space="preserve"> </w:t>
      </w:r>
      <w:r>
        <w:t>are:</w:t>
      </w:r>
    </w:p>
    <w:p w14:paraId="790072E9" w14:textId="0B7C5748" w:rsidR="00F508EE" w:rsidRDefault="002A7354" w:rsidP="00C70306">
      <w:pPr>
        <w:pStyle w:val="ListBullet"/>
      </w:pPr>
      <w:r>
        <w:lastRenderedPageBreak/>
        <w:t>i</w:t>
      </w:r>
      <w:r w:rsidR="004402B0" w:rsidRPr="001C35C4">
        <w:t>nstitutional architecture to marshal and channel international climate finance as part of a country</w:t>
      </w:r>
      <w:r w:rsidR="00C474B2">
        <w:t>-</w:t>
      </w:r>
      <w:r w:rsidR="004402B0" w:rsidRPr="001C35C4">
        <w:t>led drive for addressing climate change within development planning</w:t>
      </w:r>
    </w:p>
    <w:p w14:paraId="21454291" w14:textId="1C0DE6BD" w:rsidR="004402B0" w:rsidRPr="001C35C4" w:rsidRDefault="002A7354" w:rsidP="00C70306">
      <w:pPr>
        <w:pStyle w:val="ListBullet"/>
      </w:pPr>
      <w:r>
        <w:t>c</w:t>
      </w:r>
      <w:r w:rsidR="004402B0" w:rsidRPr="001C35C4">
        <w:t xml:space="preserve">apacity within and across </w:t>
      </w:r>
      <w:r w:rsidR="00C474B2">
        <w:t>g</w:t>
      </w:r>
      <w:r w:rsidR="004402B0" w:rsidRPr="001C35C4">
        <w:t>overnment at different levels for climate change action</w:t>
      </w:r>
    </w:p>
    <w:p w14:paraId="79177A22" w14:textId="7460EB34" w:rsidR="004402B0" w:rsidRPr="001C35C4" w:rsidRDefault="002A7354" w:rsidP="00C70306">
      <w:pPr>
        <w:pStyle w:val="ListBullet"/>
      </w:pPr>
      <w:r>
        <w:t>c</w:t>
      </w:r>
      <w:r w:rsidR="004402B0" w:rsidRPr="001C35C4">
        <w:t>oordinated donor environment for external support to climate change action</w:t>
      </w:r>
    </w:p>
    <w:p w14:paraId="14B552CE" w14:textId="64C11ED4" w:rsidR="004402B0" w:rsidRPr="001C35C4" w:rsidRDefault="002A7354" w:rsidP="00C70306">
      <w:pPr>
        <w:pStyle w:val="ListBullet"/>
      </w:pPr>
      <w:r>
        <w:t>c</w:t>
      </w:r>
      <w:r w:rsidR="004402B0" w:rsidRPr="001C35C4">
        <w:t>lear, comprehensive and balanced national agenda for tackling climate change</w:t>
      </w:r>
      <w:r w:rsidR="00BD559A">
        <w:t xml:space="preserve">, </w:t>
      </w:r>
      <w:r w:rsidR="003923BC" w:rsidRPr="001C35C4">
        <w:t>endorsed by stakeholders</w:t>
      </w:r>
      <w:r w:rsidR="00BD559A">
        <w:t xml:space="preserve"> and </w:t>
      </w:r>
      <w:r w:rsidR="004402B0" w:rsidRPr="001C35C4">
        <w:t>delivering on the NDCs</w:t>
      </w:r>
    </w:p>
    <w:p w14:paraId="0B366468" w14:textId="0FD916D2" w:rsidR="004402B0" w:rsidRPr="001C35C4" w:rsidRDefault="002A7354" w:rsidP="00C70306">
      <w:pPr>
        <w:pStyle w:val="ListBullet"/>
      </w:pPr>
      <w:r>
        <w:t>f</w:t>
      </w:r>
      <w:r w:rsidR="004402B0" w:rsidRPr="001C35C4">
        <w:t xml:space="preserve">unctional </w:t>
      </w:r>
      <w:r w:rsidR="00C474B2">
        <w:t>p</w:t>
      </w:r>
      <w:r w:rsidR="004402B0" w:rsidRPr="001C35C4">
        <w:t xml:space="preserve">olicy and </w:t>
      </w:r>
      <w:r w:rsidR="00C474B2">
        <w:t>s</w:t>
      </w:r>
      <w:r w:rsidR="004402B0" w:rsidRPr="001C35C4">
        <w:t>trategy framework guiding domestically and internationally supported action on climate change.</w:t>
      </w:r>
    </w:p>
    <w:p w14:paraId="3B0EC3E1" w14:textId="34D7410B" w:rsidR="007761DB" w:rsidRPr="001C35C4" w:rsidRDefault="004B287E" w:rsidP="00C70306">
      <w:pPr>
        <w:sectPr w:rsidR="007761DB" w:rsidRPr="001C35C4" w:rsidSect="00CA055E">
          <w:pgSz w:w="11906" w:h="16838" w:code="9"/>
          <w:pgMar w:top="1152" w:right="850" w:bottom="1531" w:left="851" w:header="510" w:footer="510" w:gutter="0"/>
          <w:cols w:space="708"/>
          <w:docGrid w:linePitch="360"/>
        </w:sectPr>
      </w:pPr>
      <w:r>
        <w:fldChar w:fldCharType="begin"/>
      </w:r>
      <w:r>
        <w:instrText xml:space="preserve"> REF _Ref499737906 \h </w:instrText>
      </w:r>
      <w:r>
        <w:fldChar w:fldCharType="separate"/>
      </w:r>
      <w:r w:rsidR="00825350">
        <w:t xml:space="preserve">Table </w:t>
      </w:r>
      <w:r w:rsidR="00825350">
        <w:rPr>
          <w:noProof/>
        </w:rPr>
        <w:t>4</w:t>
      </w:r>
      <w:r>
        <w:fldChar w:fldCharType="end"/>
      </w:r>
      <w:r w:rsidR="00604351">
        <w:t xml:space="preserve"> </w:t>
      </w:r>
      <w:r w:rsidR="00B56229">
        <w:t xml:space="preserve">illustrates the nature of the </w:t>
      </w:r>
      <w:r w:rsidR="00604351" w:rsidRPr="00604351">
        <w:t>opportunities for strategic engagement</w:t>
      </w:r>
      <w:r w:rsidR="00BD559A">
        <w:t xml:space="preserve">, </w:t>
      </w:r>
      <w:r w:rsidR="00C74CDA">
        <w:t>taking a systems perspective</w:t>
      </w:r>
      <w:r w:rsidR="00BD559A">
        <w:t xml:space="preserve">, </w:t>
      </w:r>
      <w:r w:rsidR="00B56229">
        <w:t>at a portfolio level</w:t>
      </w:r>
      <w:r w:rsidR="00BD559A">
        <w:t>. It uses</w:t>
      </w:r>
      <w:r w:rsidR="00C474B2">
        <w:t xml:space="preserve"> the evidence from the three country</w:t>
      </w:r>
      <w:r w:rsidR="007E58CB">
        <w:t xml:space="preserve"> and </w:t>
      </w:r>
      <w:r w:rsidR="00C474B2">
        <w:t>regional cases</w:t>
      </w:r>
      <w:r w:rsidR="00C74CDA">
        <w:t xml:space="preserve">. </w:t>
      </w:r>
      <w:r w:rsidR="003923BC">
        <w:t>E</w:t>
      </w:r>
      <w:r w:rsidR="00B56229">
        <w:t xml:space="preserve">xamples </w:t>
      </w:r>
      <w:r w:rsidR="003923BC">
        <w:t>of possible</w:t>
      </w:r>
      <w:r w:rsidR="00604351" w:rsidRPr="00604351">
        <w:t xml:space="preserve"> future</w:t>
      </w:r>
      <w:r w:rsidR="00B56229">
        <w:t xml:space="preserve"> engagement in </w:t>
      </w:r>
      <w:r w:rsidR="007E58CB">
        <w:t xml:space="preserve">the Pacific region, </w:t>
      </w:r>
      <w:r w:rsidR="00B56229">
        <w:t>Solomon Islands</w:t>
      </w:r>
      <w:r w:rsidR="007E58CB">
        <w:t xml:space="preserve"> and</w:t>
      </w:r>
      <w:r w:rsidR="00B56229">
        <w:t xml:space="preserve"> Vietnam</w:t>
      </w:r>
      <w:r w:rsidR="00BD559A">
        <w:t xml:space="preserve"> are provided</w:t>
      </w:r>
      <w:r w:rsidR="00B56229">
        <w:t>.</w:t>
      </w:r>
    </w:p>
    <w:p w14:paraId="407D5F10" w14:textId="24A42F7A" w:rsidR="004402B0" w:rsidRPr="00F508EE" w:rsidRDefault="004402B0" w:rsidP="004402B0">
      <w:pPr>
        <w:pStyle w:val="TableHeading"/>
        <w:rPr>
          <w:i/>
          <w:color w:val="auto"/>
        </w:rPr>
      </w:pPr>
    </w:p>
    <w:p w14:paraId="24B4B7DD" w14:textId="625AF230" w:rsidR="004B287E" w:rsidRDefault="004B287E" w:rsidP="00C70306">
      <w:pPr>
        <w:pStyle w:val="Caption"/>
        <w:keepNext/>
      </w:pPr>
      <w:bookmarkStart w:id="79" w:name="_Ref499737906"/>
      <w:bookmarkStart w:id="80" w:name="_Toc510591528"/>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4</w:t>
      </w:r>
      <w:r w:rsidR="00E7543E">
        <w:rPr>
          <w:noProof/>
        </w:rPr>
        <w:fldChar w:fldCharType="end"/>
      </w:r>
      <w:bookmarkEnd w:id="79"/>
      <w:r>
        <w:t xml:space="preserve">: </w:t>
      </w:r>
      <w:r w:rsidRPr="00DE302D">
        <w:t>Australia’s country</w:t>
      </w:r>
      <w:r w:rsidR="00BD559A">
        <w:t xml:space="preserve"> and </w:t>
      </w:r>
      <w:r w:rsidRPr="00DE302D">
        <w:t>regional level engagement through a systems lens</w:t>
      </w:r>
      <w:bookmarkEnd w:id="80"/>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Australia's country and regional engagement through a systems lens"/>
        <w:tblDescription w:val="The table summarises charachteristic of Australia's engagement in the Solomon Islands, Vietnam and Pacific Regional contexts, base on the three case studies."/>
      </w:tblPr>
      <w:tblGrid>
        <w:gridCol w:w="943"/>
        <w:gridCol w:w="1974"/>
        <w:gridCol w:w="2018"/>
        <w:gridCol w:w="1963"/>
        <w:gridCol w:w="1913"/>
        <w:gridCol w:w="1986"/>
        <w:gridCol w:w="1966"/>
        <w:gridCol w:w="1694"/>
      </w:tblGrid>
      <w:tr w:rsidR="00AD1D7C" w:rsidRPr="001C35C4" w14:paraId="681F44E6" w14:textId="77777777" w:rsidTr="00C70306">
        <w:trPr>
          <w:tblHeader/>
        </w:trPr>
        <w:tc>
          <w:tcPr>
            <w:tcW w:w="943" w:type="dxa"/>
            <w:tcBorders>
              <w:top w:val="nil"/>
              <w:left w:val="nil"/>
              <w:bottom w:val="single" w:sz="12" w:space="0" w:color="FFFFFF"/>
              <w:right w:val="nil"/>
              <w:tl2br w:val="nil"/>
              <w:tr2bl w:val="nil"/>
            </w:tcBorders>
            <w:shd w:val="clear" w:color="auto" w:fill="007C89"/>
          </w:tcPr>
          <w:p w14:paraId="43FE64F6" w14:textId="77777777" w:rsidR="00AD1D7C" w:rsidRPr="001C35C4" w:rsidRDefault="00AD1D7C" w:rsidP="00482C3B">
            <w:pPr>
              <w:rPr>
                <w:color w:val="auto"/>
              </w:rPr>
            </w:pPr>
          </w:p>
        </w:tc>
        <w:tc>
          <w:tcPr>
            <w:tcW w:w="9854" w:type="dxa"/>
            <w:gridSpan w:val="5"/>
            <w:tcBorders>
              <w:top w:val="nil"/>
              <w:left w:val="nil"/>
              <w:bottom w:val="single" w:sz="8" w:space="0" w:color="auto"/>
              <w:right w:val="nil"/>
              <w:tl2br w:val="nil"/>
              <w:tr2bl w:val="nil"/>
            </w:tcBorders>
            <w:shd w:val="clear" w:color="auto" w:fill="70AD47" w:themeFill="accent6"/>
          </w:tcPr>
          <w:p w14:paraId="11741CBE" w14:textId="675ADBDE" w:rsidR="00AD1D7C" w:rsidRPr="001C35C4" w:rsidRDefault="00AD1D7C" w:rsidP="00AD1D7C">
            <w:pPr>
              <w:pStyle w:val="TableText"/>
              <w:jc w:val="center"/>
            </w:pPr>
            <w:r w:rsidRPr="001C35C4">
              <w:t>Assessment of country</w:t>
            </w:r>
            <w:r w:rsidR="00BD559A">
              <w:t xml:space="preserve"> and </w:t>
            </w:r>
            <w:r w:rsidRPr="001C35C4">
              <w:t>regional operating environment</w:t>
            </w:r>
          </w:p>
        </w:tc>
        <w:tc>
          <w:tcPr>
            <w:tcW w:w="3660" w:type="dxa"/>
            <w:gridSpan w:val="2"/>
            <w:tcBorders>
              <w:top w:val="nil"/>
              <w:left w:val="nil"/>
              <w:bottom w:val="single" w:sz="8" w:space="0" w:color="auto"/>
              <w:right w:val="nil"/>
              <w:tl2br w:val="nil"/>
              <w:tr2bl w:val="nil"/>
            </w:tcBorders>
            <w:shd w:val="clear" w:color="auto" w:fill="007C89"/>
          </w:tcPr>
          <w:p w14:paraId="2E7F63AA" w14:textId="77777777" w:rsidR="00AD1D7C" w:rsidRPr="003923BC" w:rsidRDefault="00AD1D7C" w:rsidP="00AD1D7C">
            <w:pPr>
              <w:pStyle w:val="TableText"/>
              <w:jc w:val="center"/>
              <w:rPr>
                <w:color w:val="FFFFFF" w:themeColor="background1"/>
              </w:rPr>
            </w:pPr>
            <w:r w:rsidRPr="003923BC">
              <w:rPr>
                <w:color w:val="FFFFFF" w:themeColor="background1"/>
              </w:rPr>
              <w:t>Australia’s strategic approach</w:t>
            </w:r>
          </w:p>
        </w:tc>
      </w:tr>
      <w:tr w:rsidR="007761DB" w:rsidRPr="001C35C4" w14:paraId="3363BC9F" w14:textId="77777777" w:rsidTr="00C70306">
        <w:trPr>
          <w:tblHeader/>
        </w:trPr>
        <w:tc>
          <w:tcPr>
            <w:tcW w:w="943" w:type="dxa"/>
            <w:tcBorders>
              <w:top w:val="nil"/>
              <w:left w:val="nil"/>
              <w:bottom w:val="single" w:sz="12" w:space="0" w:color="FFFFFF"/>
              <w:right w:val="nil"/>
              <w:tl2br w:val="nil"/>
              <w:tr2bl w:val="nil"/>
            </w:tcBorders>
            <w:shd w:val="clear" w:color="auto" w:fill="007C89"/>
          </w:tcPr>
          <w:p w14:paraId="12A32B16" w14:textId="77777777" w:rsidR="00AD1D7C" w:rsidRPr="001C35C4" w:rsidRDefault="00AD1D7C" w:rsidP="00482C3B">
            <w:pPr>
              <w:rPr>
                <w:color w:val="auto"/>
              </w:rPr>
            </w:pPr>
          </w:p>
        </w:tc>
        <w:tc>
          <w:tcPr>
            <w:tcW w:w="1974" w:type="dxa"/>
            <w:tcBorders>
              <w:top w:val="nil"/>
              <w:left w:val="nil"/>
              <w:bottom w:val="single" w:sz="8" w:space="0" w:color="auto"/>
              <w:right w:val="nil"/>
              <w:tl2br w:val="nil"/>
              <w:tr2bl w:val="nil"/>
            </w:tcBorders>
            <w:shd w:val="clear" w:color="auto" w:fill="70AD47" w:themeFill="accent6"/>
          </w:tcPr>
          <w:p w14:paraId="18B8A451" w14:textId="77777777" w:rsidR="00AD1D7C" w:rsidRPr="001C35C4" w:rsidRDefault="00AD1D7C" w:rsidP="00482C3B">
            <w:pPr>
              <w:pStyle w:val="TableText"/>
            </w:pPr>
            <w:r w:rsidRPr="001C35C4">
              <w:t>Institutional architecture</w:t>
            </w:r>
          </w:p>
        </w:tc>
        <w:tc>
          <w:tcPr>
            <w:tcW w:w="2018" w:type="dxa"/>
            <w:tcBorders>
              <w:top w:val="nil"/>
              <w:left w:val="nil"/>
              <w:bottom w:val="single" w:sz="8" w:space="0" w:color="auto"/>
              <w:right w:val="nil"/>
              <w:tl2br w:val="nil"/>
              <w:tr2bl w:val="nil"/>
            </w:tcBorders>
            <w:shd w:val="clear" w:color="auto" w:fill="70AD47" w:themeFill="accent6"/>
          </w:tcPr>
          <w:p w14:paraId="7E84692D" w14:textId="49BE1A2F" w:rsidR="00AD1D7C" w:rsidRPr="001C35C4" w:rsidRDefault="00AD1D7C" w:rsidP="00482C3B">
            <w:pPr>
              <w:pStyle w:val="TableText"/>
            </w:pPr>
            <w:r w:rsidRPr="001C35C4">
              <w:t xml:space="preserve">Capacity within and across </w:t>
            </w:r>
            <w:r w:rsidR="00E700FB">
              <w:t>g</w:t>
            </w:r>
            <w:r w:rsidRPr="001C35C4">
              <w:t>overnment</w:t>
            </w:r>
          </w:p>
        </w:tc>
        <w:tc>
          <w:tcPr>
            <w:tcW w:w="1963" w:type="dxa"/>
            <w:tcBorders>
              <w:top w:val="nil"/>
              <w:left w:val="nil"/>
              <w:bottom w:val="single" w:sz="8" w:space="0" w:color="auto"/>
              <w:right w:val="nil"/>
              <w:tl2br w:val="nil"/>
              <w:tr2bl w:val="nil"/>
            </w:tcBorders>
            <w:shd w:val="clear" w:color="auto" w:fill="70AD47" w:themeFill="accent6"/>
          </w:tcPr>
          <w:p w14:paraId="38C3D491" w14:textId="77777777" w:rsidR="00AD1D7C" w:rsidRPr="001C35C4" w:rsidRDefault="00AD1D7C" w:rsidP="00482C3B">
            <w:pPr>
              <w:pStyle w:val="TableText"/>
            </w:pPr>
            <w:r w:rsidRPr="001C35C4">
              <w:t>Coordinated donor environment</w:t>
            </w:r>
          </w:p>
        </w:tc>
        <w:tc>
          <w:tcPr>
            <w:tcW w:w="1913" w:type="dxa"/>
            <w:tcBorders>
              <w:top w:val="nil"/>
              <w:left w:val="nil"/>
              <w:bottom w:val="single" w:sz="8" w:space="0" w:color="auto"/>
              <w:right w:val="nil"/>
              <w:tl2br w:val="nil"/>
              <w:tr2bl w:val="nil"/>
            </w:tcBorders>
            <w:shd w:val="clear" w:color="auto" w:fill="70AD47" w:themeFill="accent6"/>
          </w:tcPr>
          <w:p w14:paraId="4BBE83D6" w14:textId="77777777" w:rsidR="00AD1D7C" w:rsidRPr="001C35C4" w:rsidRDefault="00AD1D7C" w:rsidP="00482C3B">
            <w:pPr>
              <w:pStyle w:val="TableText"/>
            </w:pPr>
            <w:r w:rsidRPr="001C35C4">
              <w:t>National agenda for tackling climate change</w:t>
            </w:r>
          </w:p>
        </w:tc>
        <w:tc>
          <w:tcPr>
            <w:tcW w:w="1986" w:type="dxa"/>
            <w:tcBorders>
              <w:top w:val="nil"/>
              <w:left w:val="nil"/>
              <w:bottom w:val="single" w:sz="8" w:space="0" w:color="auto"/>
              <w:right w:val="nil"/>
              <w:tl2br w:val="nil"/>
              <w:tr2bl w:val="nil"/>
            </w:tcBorders>
            <w:shd w:val="clear" w:color="auto" w:fill="70AD47" w:themeFill="accent6"/>
          </w:tcPr>
          <w:p w14:paraId="66D47551" w14:textId="79E68467" w:rsidR="00AD1D7C" w:rsidRPr="001C35C4" w:rsidRDefault="00AD1D7C" w:rsidP="00482C3B">
            <w:pPr>
              <w:pStyle w:val="TableText"/>
            </w:pPr>
            <w:r w:rsidRPr="001C35C4">
              <w:t xml:space="preserve">Functional </w:t>
            </w:r>
            <w:r w:rsidR="00E700FB">
              <w:t>p</w:t>
            </w:r>
            <w:r w:rsidRPr="001C35C4">
              <w:t xml:space="preserve">olicy and </w:t>
            </w:r>
            <w:r w:rsidR="00E700FB">
              <w:t>s</w:t>
            </w:r>
            <w:r w:rsidRPr="001C35C4">
              <w:t xml:space="preserve">trategy </w:t>
            </w:r>
            <w:r w:rsidR="00E700FB">
              <w:t>f</w:t>
            </w:r>
            <w:r w:rsidRPr="001C35C4">
              <w:t>ramework</w:t>
            </w:r>
          </w:p>
        </w:tc>
        <w:tc>
          <w:tcPr>
            <w:tcW w:w="1966" w:type="dxa"/>
            <w:tcBorders>
              <w:top w:val="nil"/>
              <w:left w:val="nil"/>
              <w:bottom w:val="single" w:sz="8" w:space="0" w:color="auto"/>
              <w:right w:val="nil"/>
              <w:tl2br w:val="nil"/>
              <w:tr2bl w:val="nil"/>
            </w:tcBorders>
            <w:shd w:val="clear" w:color="auto" w:fill="007C89"/>
          </w:tcPr>
          <w:p w14:paraId="7FA596B0" w14:textId="23B1B296" w:rsidR="00AD1D7C" w:rsidRPr="003923BC" w:rsidRDefault="00AD1D7C" w:rsidP="007761DB">
            <w:pPr>
              <w:pStyle w:val="TableText"/>
              <w:rPr>
                <w:color w:val="FFFFFF" w:themeColor="background1"/>
              </w:rPr>
            </w:pPr>
            <w:r w:rsidRPr="003923BC">
              <w:rPr>
                <w:color w:val="FFFFFF" w:themeColor="background1"/>
              </w:rPr>
              <w:t xml:space="preserve">Australia’s </w:t>
            </w:r>
            <w:r w:rsidR="007761DB" w:rsidRPr="003923BC">
              <w:rPr>
                <w:color w:val="FFFFFF" w:themeColor="background1"/>
              </w:rPr>
              <w:t>country</w:t>
            </w:r>
            <w:r w:rsidR="00BD559A">
              <w:rPr>
                <w:color w:val="FFFFFF" w:themeColor="background1"/>
              </w:rPr>
              <w:t xml:space="preserve"> and </w:t>
            </w:r>
            <w:r w:rsidR="007761DB" w:rsidRPr="003923BC">
              <w:rPr>
                <w:color w:val="FFFFFF" w:themeColor="background1"/>
              </w:rPr>
              <w:t xml:space="preserve">regional approach to climate change </w:t>
            </w:r>
            <w:r w:rsidRPr="003923BC">
              <w:rPr>
                <w:color w:val="FFFFFF" w:themeColor="background1"/>
              </w:rPr>
              <w:t>engagement</w:t>
            </w:r>
          </w:p>
        </w:tc>
        <w:tc>
          <w:tcPr>
            <w:tcW w:w="1694" w:type="dxa"/>
            <w:tcBorders>
              <w:top w:val="nil"/>
              <w:left w:val="nil"/>
              <w:bottom w:val="single" w:sz="8" w:space="0" w:color="auto"/>
              <w:right w:val="nil"/>
              <w:tl2br w:val="nil"/>
              <w:tr2bl w:val="nil"/>
            </w:tcBorders>
            <w:shd w:val="clear" w:color="auto" w:fill="007C89"/>
          </w:tcPr>
          <w:p w14:paraId="0E92DE38" w14:textId="1B725756" w:rsidR="00AD1D7C" w:rsidRPr="003923BC" w:rsidRDefault="007761DB" w:rsidP="00AD1D7C">
            <w:pPr>
              <w:pStyle w:val="TableText"/>
              <w:rPr>
                <w:color w:val="FFFFFF" w:themeColor="background1"/>
              </w:rPr>
            </w:pPr>
            <w:r w:rsidRPr="003923BC">
              <w:rPr>
                <w:color w:val="FFFFFF" w:themeColor="background1"/>
              </w:rPr>
              <w:t>Examples of s</w:t>
            </w:r>
            <w:r w:rsidR="009F7254" w:rsidRPr="003923BC">
              <w:rPr>
                <w:color w:val="FFFFFF" w:themeColor="background1"/>
              </w:rPr>
              <w:t>trategic o</w:t>
            </w:r>
            <w:r w:rsidR="00AD1D7C" w:rsidRPr="003923BC">
              <w:rPr>
                <w:color w:val="FFFFFF" w:themeColor="background1"/>
              </w:rPr>
              <w:t>pportunities, given the country context</w:t>
            </w:r>
          </w:p>
        </w:tc>
      </w:tr>
      <w:tr w:rsidR="007761DB" w:rsidRPr="001C35C4" w14:paraId="4A04822C" w14:textId="77777777" w:rsidTr="00C70306">
        <w:trPr>
          <w:trHeight w:val="3275"/>
        </w:trPr>
        <w:tc>
          <w:tcPr>
            <w:tcW w:w="943" w:type="dxa"/>
            <w:shd w:val="clear" w:color="auto" w:fill="D8DBDA"/>
          </w:tcPr>
          <w:p w14:paraId="1447F508" w14:textId="77777777" w:rsidR="00AD1D7C" w:rsidRPr="001C35C4" w:rsidRDefault="00AD1D7C" w:rsidP="00482C3B">
            <w:pPr>
              <w:pStyle w:val="TableText"/>
            </w:pPr>
            <w:r w:rsidRPr="001C35C4">
              <w:t>Solomon Islands</w:t>
            </w:r>
          </w:p>
        </w:tc>
        <w:tc>
          <w:tcPr>
            <w:tcW w:w="1974" w:type="dxa"/>
            <w:tcBorders>
              <w:top w:val="single" w:sz="8" w:space="0" w:color="auto"/>
              <w:bottom w:val="single" w:sz="8" w:space="0" w:color="auto"/>
              <w:right w:val="dotted" w:sz="4" w:space="0" w:color="auto"/>
            </w:tcBorders>
            <w:shd w:val="clear" w:color="auto" w:fill="auto"/>
          </w:tcPr>
          <w:p w14:paraId="27900282" w14:textId="6AADC8AC" w:rsidR="00AD1D7C" w:rsidRPr="001C35C4" w:rsidRDefault="004857E5" w:rsidP="004857E5">
            <w:pPr>
              <w:rPr>
                <w:color w:val="auto"/>
                <w:sz w:val="18"/>
                <w:szCs w:val="18"/>
              </w:rPr>
            </w:pPr>
            <w:r>
              <w:rPr>
                <w:color w:val="auto"/>
                <w:sz w:val="18"/>
                <w:szCs w:val="18"/>
              </w:rPr>
              <w:t>Emergent</w:t>
            </w:r>
            <w:r w:rsidR="00B6685F">
              <w:rPr>
                <w:color w:val="auto"/>
                <w:sz w:val="18"/>
                <w:szCs w:val="18"/>
              </w:rPr>
              <w:t>. S</w:t>
            </w:r>
            <w:r w:rsidR="00AD1D7C" w:rsidRPr="001C35C4">
              <w:rPr>
                <w:color w:val="auto"/>
                <w:sz w:val="18"/>
                <w:szCs w:val="18"/>
              </w:rPr>
              <w:t xml:space="preserve">iloed </w:t>
            </w:r>
            <w:r w:rsidR="006D61B9">
              <w:rPr>
                <w:color w:val="auto"/>
                <w:sz w:val="18"/>
                <w:szCs w:val="18"/>
              </w:rPr>
              <w:t>d</w:t>
            </w:r>
            <w:r w:rsidR="00AD1D7C" w:rsidRPr="001C35C4">
              <w:rPr>
                <w:color w:val="auto"/>
                <w:sz w:val="18"/>
                <w:szCs w:val="18"/>
              </w:rPr>
              <w:t>epartme</w:t>
            </w:r>
            <w:r w:rsidR="00B6685F">
              <w:rPr>
                <w:color w:val="auto"/>
                <w:sz w:val="18"/>
                <w:szCs w:val="18"/>
              </w:rPr>
              <w:t>nt</w:t>
            </w:r>
            <w:r w:rsidR="006D61B9">
              <w:rPr>
                <w:color w:val="auto"/>
                <w:sz w:val="18"/>
                <w:szCs w:val="18"/>
              </w:rPr>
              <w:t>s</w:t>
            </w:r>
            <w:r w:rsidR="00B6685F">
              <w:rPr>
                <w:color w:val="auto"/>
                <w:sz w:val="18"/>
                <w:szCs w:val="18"/>
              </w:rPr>
              <w:t xml:space="preserve"> working on climate change despite </w:t>
            </w:r>
            <w:r w:rsidR="006D61B9">
              <w:rPr>
                <w:color w:val="auto"/>
                <w:sz w:val="18"/>
                <w:szCs w:val="18"/>
              </w:rPr>
              <w:t xml:space="preserve">the fact </w:t>
            </w:r>
            <w:r w:rsidR="00BD559A">
              <w:rPr>
                <w:color w:val="auto"/>
                <w:sz w:val="18"/>
                <w:szCs w:val="18"/>
              </w:rPr>
              <w:t xml:space="preserve">that </w:t>
            </w:r>
            <w:r w:rsidR="00B6685F">
              <w:rPr>
                <w:color w:val="auto"/>
                <w:sz w:val="18"/>
                <w:szCs w:val="18"/>
              </w:rPr>
              <w:t xml:space="preserve">climate change, </w:t>
            </w:r>
            <w:r w:rsidR="0043677C">
              <w:rPr>
                <w:color w:val="auto"/>
                <w:sz w:val="18"/>
                <w:szCs w:val="18"/>
              </w:rPr>
              <w:t>disaster risk management</w:t>
            </w:r>
            <w:r w:rsidR="00B6685F">
              <w:rPr>
                <w:color w:val="auto"/>
                <w:sz w:val="18"/>
                <w:szCs w:val="18"/>
              </w:rPr>
              <w:t xml:space="preserve"> and environment</w:t>
            </w:r>
            <w:r w:rsidR="006D61B9">
              <w:rPr>
                <w:color w:val="auto"/>
                <w:sz w:val="18"/>
                <w:szCs w:val="18"/>
              </w:rPr>
              <w:t xml:space="preserve"> are</w:t>
            </w:r>
            <w:r w:rsidR="00B6685F">
              <w:rPr>
                <w:color w:val="auto"/>
                <w:sz w:val="18"/>
                <w:szCs w:val="18"/>
              </w:rPr>
              <w:t xml:space="preserve"> in one </w:t>
            </w:r>
            <w:r w:rsidR="00C244A0">
              <w:rPr>
                <w:color w:val="auto"/>
                <w:sz w:val="18"/>
                <w:szCs w:val="18"/>
              </w:rPr>
              <w:t>m</w:t>
            </w:r>
            <w:r w:rsidR="00B6685F">
              <w:rPr>
                <w:color w:val="auto"/>
                <w:sz w:val="18"/>
                <w:szCs w:val="18"/>
              </w:rPr>
              <w:t>inistry.</w:t>
            </w:r>
            <w:r w:rsidR="00AD1D7C" w:rsidRPr="001C35C4">
              <w:rPr>
                <w:color w:val="auto"/>
                <w:sz w:val="18"/>
                <w:szCs w:val="18"/>
              </w:rPr>
              <w:t xml:space="preserve"> No culture of mainstreaming </w:t>
            </w:r>
            <w:r w:rsidR="006D61B9">
              <w:rPr>
                <w:color w:val="auto"/>
                <w:sz w:val="18"/>
                <w:szCs w:val="18"/>
              </w:rPr>
              <w:t>or working</w:t>
            </w:r>
            <w:r w:rsidR="00AD1D7C" w:rsidRPr="001C35C4">
              <w:rPr>
                <w:color w:val="auto"/>
                <w:sz w:val="18"/>
                <w:szCs w:val="18"/>
              </w:rPr>
              <w:t xml:space="preserve"> collaborative</w:t>
            </w:r>
            <w:r w:rsidR="006D61B9">
              <w:rPr>
                <w:color w:val="auto"/>
                <w:sz w:val="18"/>
                <w:szCs w:val="18"/>
              </w:rPr>
              <w:t>ly</w:t>
            </w:r>
            <w:r w:rsidR="00AD1D7C" w:rsidRPr="001C35C4">
              <w:rPr>
                <w:color w:val="auto"/>
                <w:sz w:val="18"/>
                <w:szCs w:val="18"/>
              </w:rPr>
              <w:t xml:space="preserve"> across </w:t>
            </w:r>
            <w:r w:rsidR="006D61B9">
              <w:rPr>
                <w:color w:val="auto"/>
                <w:sz w:val="18"/>
                <w:szCs w:val="18"/>
              </w:rPr>
              <w:t>g</w:t>
            </w:r>
            <w:r w:rsidR="00AD1D7C" w:rsidRPr="001C35C4">
              <w:rPr>
                <w:color w:val="auto"/>
                <w:sz w:val="18"/>
                <w:szCs w:val="18"/>
              </w:rPr>
              <w:t>overnment on climate change.</w:t>
            </w:r>
          </w:p>
        </w:tc>
        <w:tc>
          <w:tcPr>
            <w:tcW w:w="2018" w:type="dxa"/>
            <w:tcBorders>
              <w:top w:val="single" w:sz="8" w:space="0" w:color="auto"/>
              <w:left w:val="dotted" w:sz="4" w:space="0" w:color="auto"/>
              <w:bottom w:val="single" w:sz="8" w:space="0" w:color="auto"/>
              <w:right w:val="dotted" w:sz="4" w:space="0" w:color="auto"/>
            </w:tcBorders>
            <w:shd w:val="clear" w:color="auto" w:fill="auto"/>
          </w:tcPr>
          <w:p w14:paraId="5ABCFD75" w14:textId="77777777" w:rsidR="00AD1D7C" w:rsidRPr="001C35C4" w:rsidRDefault="00AD1D7C" w:rsidP="00482C3B">
            <w:pPr>
              <w:rPr>
                <w:color w:val="auto"/>
                <w:sz w:val="18"/>
                <w:szCs w:val="18"/>
              </w:rPr>
            </w:pPr>
            <w:r w:rsidRPr="001C35C4">
              <w:rPr>
                <w:color w:val="auto"/>
                <w:sz w:val="18"/>
                <w:szCs w:val="18"/>
              </w:rPr>
              <w:t>Very limited capacity and not making best use of what is there.</w:t>
            </w:r>
          </w:p>
          <w:p w14:paraId="1F544F3E" w14:textId="129D4317" w:rsidR="00AD1D7C" w:rsidRPr="001C35C4" w:rsidRDefault="00AD1D7C" w:rsidP="00482C3B">
            <w:pPr>
              <w:rPr>
                <w:color w:val="auto"/>
                <w:sz w:val="18"/>
                <w:szCs w:val="18"/>
              </w:rPr>
            </w:pPr>
            <w:r w:rsidRPr="001C35C4">
              <w:rPr>
                <w:color w:val="auto"/>
                <w:sz w:val="18"/>
                <w:szCs w:val="18"/>
              </w:rPr>
              <w:t xml:space="preserve">Major gaps at </w:t>
            </w:r>
            <w:r w:rsidR="006D61B9">
              <w:rPr>
                <w:color w:val="auto"/>
                <w:sz w:val="18"/>
                <w:szCs w:val="18"/>
              </w:rPr>
              <w:t>p</w:t>
            </w:r>
            <w:r w:rsidRPr="001C35C4">
              <w:rPr>
                <w:color w:val="auto"/>
                <w:sz w:val="18"/>
                <w:szCs w:val="18"/>
              </w:rPr>
              <w:t>rovincial level.</w:t>
            </w:r>
          </w:p>
        </w:tc>
        <w:tc>
          <w:tcPr>
            <w:tcW w:w="1963" w:type="dxa"/>
            <w:tcBorders>
              <w:top w:val="single" w:sz="8" w:space="0" w:color="auto"/>
              <w:left w:val="dotted" w:sz="4" w:space="0" w:color="auto"/>
              <w:bottom w:val="single" w:sz="8" w:space="0" w:color="auto"/>
              <w:right w:val="dotted" w:sz="4" w:space="0" w:color="auto"/>
            </w:tcBorders>
            <w:shd w:val="clear" w:color="auto" w:fill="auto"/>
          </w:tcPr>
          <w:p w14:paraId="0070B9EB" w14:textId="77777777" w:rsidR="00F508EE" w:rsidRDefault="00AD1D7C" w:rsidP="00482C3B">
            <w:pPr>
              <w:rPr>
                <w:color w:val="auto"/>
                <w:sz w:val="18"/>
                <w:szCs w:val="18"/>
              </w:rPr>
            </w:pPr>
            <w:r w:rsidRPr="001C35C4">
              <w:rPr>
                <w:color w:val="auto"/>
                <w:sz w:val="18"/>
                <w:szCs w:val="18"/>
              </w:rPr>
              <w:t>Some limited and unsuccessful attempts.</w:t>
            </w:r>
          </w:p>
          <w:p w14:paraId="7F992F47" w14:textId="692108A7" w:rsidR="00AD1D7C" w:rsidRPr="001C35C4" w:rsidRDefault="00AD1D7C" w:rsidP="00482C3B">
            <w:pPr>
              <w:rPr>
                <w:color w:val="auto"/>
                <w:sz w:val="18"/>
                <w:szCs w:val="18"/>
              </w:rPr>
            </w:pPr>
            <w:r w:rsidRPr="001C35C4">
              <w:rPr>
                <w:color w:val="auto"/>
                <w:sz w:val="18"/>
                <w:szCs w:val="18"/>
              </w:rPr>
              <w:t xml:space="preserve">Donors </w:t>
            </w:r>
            <w:r w:rsidR="004857E5">
              <w:rPr>
                <w:color w:val="auto"/>
                <w:sz w:val="18"/>
                <w:szCs w:val="18"/>
              </w:rPr>
              <w:t>actively looking</w:t>
            </w:r>
            <w:r w:rsidRPr="001C35C4">
              <w:rPr>
                <w:color w:val="auto"/>
                <w:sz w:val="18"/>
                <w:szCs w:val="18"/>
              </w:rPr>
              <w:t xml:space="preserve"> for places to put money.</w:t>
            </w:r>
          </w:p>
          <w:p w14:paraId="32B7BEDD" w14:textId="77777777" w:rsidR="00AD1D7C" w:rsidRPr="001C35C4" w:rsidRDefault="00AD1D7C" w:rsidP="00482C3B">
            <w:pPr>
              <w:rPr>
                <w:color w:val="auto"/>
                <w:sz w:val="18"/>
                <w:szCs w:val="18"/>
              </w:rPr>
            </w:pPr>
          </w:p>
        </w:tc>
        <w:tc>
          <w:tcPr>
            <w:tcW w:w="1913" w:type="dxa"/>
            <w:tcBorders>
              <w:top w:val="single" w:sz="8" w:space="0" w:color="auto"/>
              <w:left w:val="dotted" w:sz="4" w:space="0" w:color="auto"/>
              <w:bottom w:val="single" w:sz="8" w:space="0" w:color="auto"/>
              <w:right w:val="dotted" w:sz="4" w:space="0" w:color="auto"/>
            </w:tcBorders>
            <w:shd w:val="clear" w:color="auto" w:fill="auto"/>
          </w:tcPr>
          <w:p w14:paraId="4E220445" w14:textId="651185D7" w:rsidR="00AD1D7C" w:rsidRPr="001C35C4" w:rsidRDefault="004857E5" w:rsidP="004857E5">
            <w:pPr>
              <w:rPr>
                <w:color w:val="auto"/>
                <w:sz w:val="18"/>
                <w:szCs w:val="18"/>
              </w:rPr>
            </w:pPr>
            <w:r>
              <w:rPr>
                <w:color w:val="auto"/>
                <w:sz w:val="18"/>
                <w:szCs w:val="18"/>
              </w:rPr>
              <w:t xml:space="preserve">An </w:t>
            </w:r>
            <w:r w:rsidR="00AD1D7C" w:rsidRPr="001C35C4">
              <w:rPr>
                <w:color w:val="auto"/>
                <w:sz w:val="18"/>
                <w:szCs w:val="18"/>
              </w:rPr>
              <w:t xml:space="preserve">agenda that focuses on DRR but </w:t>
            </w:r>
            <w:r>
              <w:rPr>
                <w:color w:val="auto"/>
                <w:sz w:val="18"/>
                <w:szCs w:val="18"/>
              </w:rPr>
              <w:t>does to attend to</w:t>
            </w:r>
            <w:r w:rsidR="00AD1D7C" w:rsidRPr="001C35C4">
              <w:rPr>
                <w:color w:val="auto"/>
                <w:sz w:val="18"/>
                <w:szCs w:val="18"/>
              </w:rPr>
              <w:t xml:space="preserve"> </w:t>
            </w:r>
            <w:r>
              <w:rPr>
                <w:color w:val="auto"/>
                <w:sz w:val="18"/>
                <w:szCs w:val="18"/>
              </w:rPr>
              <w:t xml:space="preserve">the </w:t>
            </w:r>
            <w:r w:rsidR="00AD1D7C" w:rsidRPr="001C35C4">
              <w:rPr>
                <w:color w:val="auto"/>
                <w:sz w:val="18"/>
                <w:szCs w:val="18"/>
              </w:rPr>
              <w:t xml:space="preserve">sensitive area of logging practices. </w:t>
            </w:r>
          </w:p>
        </w:tc>
        <w:tc>
          <w:tcPr>
            <w:tcW w:w="1986" w:type="dxa"/>
            <w:tcBorders>
              <w:top w:val="single" w:sz="8" w:space="0" w:color="auto"/>
              <w:left w:val="dotted" w:sz="4" w:space="0" w:color="auto"/>
              <w:bottom w:val="single" w:sz="8" w:space="0" w:color="auto"/>
              <w:right w:val="dotted" w:sz="4" w:space="0" w:color="auto"/>
            </w:tcBorders>
            <w:shd w:val="clear" w:color="auto" w:fill="auto"/>
          </w:tcPr>
          <w:p w14:paraId="0A0A98B2" w14:textId="127B94E8" w:rsidR="00AD1D7C" w:rsidRPr="001C35C4" w:rsidRDefault="00AD1D7C" w:rsidP="00482C3B">
            <w:pPr>
              <w:rPr>
                <w:color w:val="auto"/>
                <w:sz w:val="18"/>
                <w:szCs w:val="18"/>
              </w:rPr>
            </w:pPr>
            <w:r w:rsidRPr="001C35C4">
              <w:rPr>
                <w:color w:val="auto"/>
                <w:sz w:val="18"/>
                <w:szCs w:val="18"/>
              </w:rPr>
              <w:t>Documentation exists but has limited traction. Work underway on a new climate change policy. Recognition of the FRDP</w:t>
            </w:r>
            <w:r w:rsidR="006D61B9">
              <w:rPr>
                <w:color w:val="auto"/>
                <w:sz w:val="18"/>
                <w:szCs w:val="18"/>
              </w:rPr>
              <w:t>.</w:t>
            </w:r>
          </w:p>
        </w:tc>
        <w:tc>
          <w:tcPr>
            <w:tcW w:w="1966" w:type="dxa"/>
            <w:tcBorders>
              <w:top w:val="single" w:sz="8" w:space="0" w:color="auto"/>
              <w:left w:val="dotted" w:sz="4" w:space="0" w:color="auto"/>
              <w:bottom w:val="single" w:sz="8" w:space="0" w:color="auto"/>
              <w:right w:val="dotted" w:sz="4" w:space="0" w:color="auto"/>
            </w:tcBorders>
          </w:tcPr>
          <w:p w14:paraId="53909F08" w14:textId="77777777" w:rsidR="004D1DF0" w:rsidRPr="001C35C4" w:rsidRDefault="004D1DF0" w:rsidP="004663CE">
            <w:pPr>
              <w:rPr>
                <w:color w:val="auto"/>
                <w:sz w:val="18"/>
                <w:szCs w:val="18"/>
              </w:rPr>
            </w:pPr>
            <w:r w:rsidRPr="001C35C4">
              <w:rPr>
                <w:color w:val="auto"/>
                <w:sz w:val="18"/>
                <w:szCs w:val="18"/>
              </w:rPr>
              <w:t xml:space="preserve">No strategic </w:t>
            </w:r>
            <w:r w:rsidR="002013B4" w:rsidRPr="001C35C4">
              <w:rPr>
                <w:color w:val="auto"/>
                <w:sz w:val="18"/>
                <w:szCs w:val="18"/>
              </w:rPr>
              <w:t>portfolio approach.</w:t>
            </w:r>
          </w:p>
          <w:p w14:paraId="6E31E2D9" w14:textId="5CACDA60" w:rsidR="00F508EE" w:rsidRDefault="004663CE" w:rsidP="004663CE">
            <w:pPr>
              <w:rPr>
                <w:color w:val="auto"/>
                <w:sz w:val="18"/>
                <w:szCs w:val="18"/>
              </w:rPr>
            </w:pPr>
            <w:r w:rsidRPr="001C35C4">
              <w:rPr>
                <w:color w:val="auto"/>
                <w:sz w:val="18"/>
                <w:szCs w:val="18"/>
              </w:rPr>
              <w:t xml:space="preserve">Stronger in DRR than </w:t>
            </w:r>
            <w:r w:rsidR="00BD559A">
              <w:rPr>
                <w:color w:val="auto"/>
                <w:sz w:val="18"/>
                <w:szCs w:val="18"/>
              </w:rPr>
              <w:t xml:space="preserve">in </w:t>
            </w:r>
            <w:r w:rsidRPr="001C35C4">
              <w:rPr>
                <w:color w:val="auto"/>
                <w:sz w:val="18"/>
                <w:szCs w:val="18"/>
              </w:rPr>
              <w:t>climate change.</w:t>
            </w:r>
          </w:p>
          <w:p w14:paraId="0AD8A316" w14:textId="77777777" w:rsidR="002013B4" w:rsidRPr="001C35C4" w:rsidRDefault="004663CE" w:rsidP="00D57705">
            <w:pPr>
              <w:rPr>
                <w:color w:val="auto"/>
                <w:sz w:val="18"/>
                <w:szCs w:val="18"/>
              </w:rPr>
            </w:pPr>
            <w:r w:rsidRPr="001C35C4">
              <w:rPr>
                <w:color w:val="auto"/>
                <w:sz w:val="18"/>
                <w:szCs w:val="18"/>
              </w:rPr>
              <w:t>Not visible in climate change dialogue</w:t>
            </w:r>
            <w:r w:rsidR="002013B4" w:rsidRPr="001C35C4">
              <w:rPr>
                <w:color w:val="auto"/>
                <w:sz w:val="18"/>
                <w:szCs w:val="18"/>
              </w:rPr>
              <w:t>.</w:t>
            </w:r>
          </w:p>
          <w:p w14:paraId="33F52709" w14:textId="0AC7D57F" w:rsidR="00D57705" w:rsidRPr="001C35C4" w:rsidRDefault="002013B4" w:rsidP="001767BD">
            <w:pPr>
              <w:rPr>
                <w:color w:val="auto"/>
                <w:sz w:val="18"/>
                <w:szCs w:val="18"/>
              </w:rPr>
            </w:pPr>
            <w:r w:rsidRPr="001C35C4">
              <w:rPr>
                <w:color w:val="auto"/>
                <w:sz w:val="18"/>
                <w:szCs w:val="18"/>
              </w:rPr>
              <w:t>Australia is largest donor in</w:t>
            </w:r>
            <w:r w:rsidR="006A6368">
              <w:rPr>
                <w:color w:val="auto"/>
                <w:sz w:val="18"/>
                <w:szCs w:val="18"/>
              </w:rPr>
              <w:t>-country</w:t>
            </w:r>
            <w:r w:rsidR="004663CE" w:rsidRPr="001C35C4">
              <w:rPr>
                <w:color w:val="auto"/>
                <w:sz w:val="18"/>
                <w:szCs w:val="18"/>
              </w:rPr>
              <w:t>.</w:t>
            </w:r>
            <w:r w:rsidR="00110D83">
              <w:rPr>
                <w:color w:val="auto"/>
                <w:sz w:val="18"/>
                <w:szCs w:val="18"/>
              </w:rPr>
              <w:t xml:space="preserve"> </w:t>
            </w:r>
          </w:p>
        </w:tc>
        <w:tc>
          <w:tcPr>
            <w:tcW w:w="1694" w:type="dxa"/>
            <w:tcBorders>
              <w:top w:val="single" w:sz="8" w:space="0" w:color="auto"/>
              <w:left w:val="dotted" w:sz="4" w:space="0" w:color="auto"/>
              <w:bottom w:val="single" w:sz="8" w:space="0" w:color="auto"/>
            </w:tcBorders>
          </w:tcPr>
          <w:p w14:paraId="5EE745E8" w14:textId="2F563125" w:rsidR="00F508EE" w:rsidRDefault="004663CE" w:rsidP="004663CE">
            <w:pPr>
              <w:rPr>
                <w:color w:val="auto"/>
                <w:sz w:val="18"/>
                <w:szCs w:val="18"/>
              </w:rPr>
            </w:pPr>
            <w:r w:rsidRPr="001C35C4">
              <w:rPr>
                <w:color w:val="auto"/>
                <w:sz w:val="18"/>
                <w:szCs w:val="18"/>
              </w:rPr>
              <w:t>Support</w:t>
            </w:r>
            <w:r w:rsidR="00AD1D7C" w:rsidRPr="001C35C4">
              <w:rPr>
                <w:color w:val="auto"/>
                <w:sz w:val="18"/>
                <w:szCs w:val="18"/>
              </w:rPr>
              <w:t xml:space="preserve"> national and sub-national </w:t>
            </w:r>
            <w:r w:rsidRPr="001C35C4">
              <w:rPr>
                <w:color w:val="auto"/>
                <w:sz w:val="18"/>
                <w:szCs w:val="18"/>
              </w:rPr>
              <w:t xml:space="preserve">architecture to deliver </w:t>
            </w:r>
            <w:r w:rsidR="006D61B9">
              <w:rPr>
                <w:color w:val="auto"/>
                <w:sz w:val="18"/>
                <w:szCs w:val="18"/>
              </w:rPr>
              <w:t>climate change</w:t>
            </w:r>
            <w:r w:rsidR="006D61B9" w:rsidRPr="001C35C4">
              <w:rPr>
                <w:color w:val="auto"/>
                <w:sz w:val="18"/>
                <w:szCs w:val="18"/>
              </w:rPr>
              <w:t xml:space="preserve"> </w:t>
            </w:r>
            <w:r w:rsidRPr="001C35C4">
              <w:rPr>
                <w:color w:val="auto"/>
                <w:sz w:val="18"/>
                <w:szCs w:val="18"/>
              </w:rPr>
              <w:t>and DRR priorities</w:t>
            </w:r>
            <w:r w:rsidR="006D61B9">
              <w:rPr>
                <w:color w:val="auto"/>
                <w:sz w:val="18"/>
                <w:szCs w:val="18"/>
              </w:rPr>
              <w:t>.</w:t>
            </w:r>
          </w:p>
          <w:p w14:paraId="6971B39D" w14:textId="35A78D42" w:rsidR="004663CE" w:rsidRPr="001C35C4" w:rsidRDefault="007761DB" w:rsidP="002013B4">
            <w:pPr>
              <w:tabs>
                <w:tab w:val="left" w:pos="720"/>
              </w:tabs>
              <w:rPr>
                <w:color w:val="auto"/>
                <w:highlight w:val="lightGray"/>
              </w:rPr>
            </w:pPr>
            <w:r w:rsidRPr="001C35C4">
              <w:rPr>
                <w:color w:val="auto"/>
                <w:sz w:val="18"/>
                <w:szCs w:val="18"/>
              </w:rPr>
              <w:t>E</w:t>
            </w:r>
            <w:r w:rsidR="001767BD" w:rsidRPr="001C35C4">
              <w:rPr>
                <w:color w:val="auto"/>
                <w:sz w:val="18"/>
                <w:szCs w:val="18"/>
              </w:rPr>
              <w:t xml:space="preserve">ncouraging </w:t>
            </w:r>
            <w:r w:rsidR="004663CE" w:rsidRPr="001C35C4">
              <w:rPr>
                <w:color w:val="auto"/>
                <w:sz w:val="18"/>
                <w:szCs w:val="18"/>
              </w:rPr>
              <w:t xml:space="preserve">discussion on </w:t>
            </w:r>
            <w:r w:rsidR="00BD559A">
              <w:rPr>
                <w:color w:val="auto"/>
                <w:sz w:val="18"/>
                <w:szCs w:val="18"/>
              </w:rPr>
              <w:t xml:space="preserve">the </w:t>
            </w:r>
            <w:r w:rsidR="004663CE" w:rsidRPr="001C35C4">
              <w:rPr>
                <w:color w:val="auto"/>
                <w:sz w:val="18"/>
                <w:szCs w:val="18"/>
              </w:rPr>
              <w:t>wider</w:t>
            </w:r>
            <w:r w:rsidR="002013B4" w:rsidRPr="001C35C4">
              <w:rPr>
                <w:color w:val="auto"/>
                <w:sz w:val="18"/>
                <w:szCs w:val="18"/>
              </w:rPr>
              <w:t xml:space="preserve"> </w:t>
            </w:r>
            <w:r w:rsidR="006D61B9">
              <w:rPr>
                <w:color w:val="auto"/>
                <w:sz w:val="18"/>
                <w:szCs w:val="18"/>
              </w:rPr>
              <w:t>climate change</w:t>
            </w:r>
            <w:r w:rsidR="006D61B9" w:rsidRPr="001C35C4">
              <w:rPr>
                <w:color w:val="auto"/>
                <w:sz w:val="18"/>
                <w:szCs w:val="18"/>
              </w:rPr>
              <w:t xml:space="preserve"> </w:t>
            </w:r>
            <w:r w:rsidR="004663CE" w:rsidRPr="001C35C4">
              <w:rPr>
                <w:color w:val="auto"/>
                <w:sz w:val="18"/>
                <w:szCs w:val="18"/>
              </w:rPr>
              <w:t>challenges</w:t>
            </w:r>
            <w:r w:rsidR="00BD559A">
              <w:rPr>
                <w:color w:val="auto"/>
                <w:sz w:val="18"/>
                <w:szCs w:val="18"/>
              </w:rPr>
              <w:t xml:space="preserve"> of </w:t>
            </w:r>
            <w:r w:rsidR="004663CE" w:rsidRPr="001C35C4">
              <w:rPr>
                <w:color w:val="auto"/>
                <w:sz w:val="18"/>
                <w:szCs w:val="18"/>
              </w:rPr>
              <w:t>logging, inter-island migration</w:t>
            </w:r>
            <w:r w:rsidR="00BD559A">
              <w:rPr>
                <w:color w:val="auto"/>
                <w:sz w:val="18"/>
                <w:szCs w:val="18"/>
              </w:rPr>
              <w:t xml:space="preserve"> and</w:t>
            </w:r>
            <w:r w:rsidR="004663CE" w:rsidRPr="001C35C4">
              <w:rPr>
                <w:color w:val="auto"/>
                <w:sz w:val="18"/>
                <w:szCs w:val="18"/>
              </w:rPr>
              <w:t xml:space="preserve"> security. </w:t>
            </w:r>
          </w:p>
        </w:tc>
      </w:tr>
      <w:tr w:rsidR="007761DB" w:rsidRPr="001C35C4" w14:paraId="3BA3ECA2" w14:textId="77777777" w:rsidTr="00C70306">
        <w:tc>
          <w:tcPr>
            <w:tcW w:w="943" w:type="dxa"/>
            <w:shd w:val="clear" w:color="auto" w:fill="D8DBDA"/>
          </w:tcPr>
          <w:p w14:paraId="2A02C0A8" w14:textId="77777777" w:rsidR="00AD1D7C" w:rsidRPr="001C35C4" w:rsidRDefault="00AD1D7C" w:rsidP="00482C3B">
            <w:pPr>
              <w:pStyle w:val="TableText"/>
            </w:pPr>
            <w:r w:rsidRPr="001C35C4">
              <w:t>Vietnam</w:t>
            </w:r>
          </w:p>
        </w:tc>
        <w:tc>
          <w:tcPr>
            <w:tcW w:w="1974" w:type="dxa"/>
            <w:tcBorders>
              <w:top w:val="single" w:sz="8" w:space="0" w:color="auto"/>
              <w:bottom w:val="single" w:sz="8" w:space="0" w:color="auto"/>
              <w:right w:val="dotted" w:sz="4" w:space="0" w:color="auto"/>
            </w:tcBorders>
            <w:shd w:val="clear" w:color="auto" w:fill="auto"/>
          </w:tcPr>
          <w:p w14:paraId="46A5AB5F" w14:textId="77E2E428" w:rsidR="00AD1D7C" w:rsidRPr="001C35C4" w:rsidRDefault="00AD1D7C" w:rsidP="00482C3B">
            <w:pPr>
              <w:rPr>
                <w:color w:val="auto"/>
                <w:sz w:val="18"/>
                <w:szCs w:val="18"/>
              </w:rPr>
            </w:pPr>
            <w:r w:rsidRPr="001C35C4">
              <w:rPr>
                <w:color w:val="auto"/>
                <w:sz w:val="18"/>
                <w:szCs w:val="18"/>
              </w:rPr>
              <w:t xml:space="preserve">Strong centre with maturing of MONRE and MARD. Other </w:t>
            </w:r>
            <w:r w:rsidR="00C244A0">
              <w:rPr>
                <w:color w:val="auto"/>
                <w:sz w:val="18"/>
                <w:szCs w:val="18"/>
              </w:rPr>
              <w:t>m</w:t>
            </w:r>
            <w:r w:rsidRPr="001C35C4">
              <w:rPr>
                <w:color w:val="auto"/>
                <w:sz w:val="18"/>
                <w:szCs w:val="18"/>
              </w:rPr>
              <w:t xml:space="preserve">inistries still marginal in terms of concerted action on climate change. Competitive funding environment at </w:t>
            </w:r>
            <w:r w:rsidR="005C2AA1">
              <w:rPr>
                <w:color w:val="auto"/>
                <w:sz w:val="18"/>
                <w:szCs w:val="18"/>
              </w:rPr>
              <w:t>p</w:t>
            </w:r>
            <w:r w:rsidRPr="001C35C4">
              <w:rPr>
                <w:color w:val="auto"/>
                <w:sz w:val="18"/>
                <w:szCs w:val="18"/>
              </w:rPr>
              <w:t xml:space="preserve">rovincial level </w:t>
            </w:r>
            <w:r w:rsidRPr="001C35C4">
              <w:rPr>
                <w:color w:val="auto"/>
                <w:sz w:val="18"/>
                <w:szCs w:val="18"/>
              </w:rPr>
              <w:lastRenderedPageBreak/>
              <w:t xml:space="preserve">constrains effective collaboration on shared challenges. </w:t>
            </w:r>
          </w:p>
        </w:tc>
        <w:tc>
          <w:tcPr>
            <w:tcW w:w="2018" w:type="dxa"/>
            <w:tcBorders>
              <w:top w:val="single" w:sz="8" w:space="0" w:color="auto"/>
              <w:left w:val="dotted" w:sz="4" w:space="0" w:color="auto"/>
              <w:bottom w:val="single" w:sz="8" w:space="0" w:color="auto"/>
              <w:right w:val="dotted" w:sz="4" w:space="0" w:color="auto"/>
            </w:tcBorders>
            <w:shd w:val="clear" w:color="auto" w:fill="auto"/>
          </w:tcPr>
          <w:p w14:paraId="5CAC3A25" w14:textId="7FB2A545" w:rsidR="00AD1D7C" w:rsidRPr="001C35C4" w:rsidRDefault="00AD1D7C" w:rsidP="00482C3B">
            <w:pPr>
              <w:rPr>
                <w:color w:val="auto"/>
                <w:sz w:val="18"/>
                <w:szCs w:val="18"/>
              </w:rPr>
            </w:pPr>
            <w:r w:rsidRPr="001C35C4">
              <w:rPr>
                <w:color w:val="auto"/>
                <w:sz w:val="18"/>
                <w:szCs w:val="18"/>
              </w:rPr>
              <w:lastRenderedPageBreak/>
              <w:t>Some significant progress in recent years at the centre. More mixed</w:t>
            </w:r>
            <w:r w:rsidR="00BD559A">
              <w:rPr>
                <w:color w:val="auto"/>
                <w:sz w:val="18"/>
                <w:szCs w:val="18"/>
              </w:rPr>
              <w:t xml:space="preserve">, </w:t>
            </w:r>
            <w:r w:rsidRPr="001C35C4">
              <w:rPr>
                <w:color w:val="auto"/>
                <w:sz w:val="18"/>
                <w:szCs w:val="18"/>
              </w:rPr>
              <w:t>but improving</w:t>
            </w:r>
            <w:r w:rsidR="00BD559A">
              <w:rPr>
                <w:color w:val="auto"/>
                <w:sz w:val="18"/>
                <w:szCs w:val="18"/>
              </w:rPr>
              <w:t xml:space="preserve">, </w:t>
            </w:r>
            <w:r w:rsidRPr="001C35C4">
              <w:rPr>
                <w:color w:val="auto"/>
                <w:sz w:val="18"/>
                <w:szCs w:val="18"/>
              </w:rPr>
              <w:t xml:space="preserve">picture at sub-national level. Technical assistance links with externals that brings capacity development </w:t>
            </w:r>
            <w:r w:rsidRPr="001C35C4">
              <w:rPr>
                <w:color w:val="auto"/>
                <w:sz w:val="18"/>
                <w:szCs w:val="18"/>
              </w:rPr>
              <w:lastRenderedPageBreak/>
              <w:t>through joint action favoured.</w:t>
            </w:r>
          </w:p>
        </w:tc>
        <w:tc>
          <w:tcPr>
            <w:tcW w:w="1963" w:type="dxa"/>
            <w:tcBorders>
              <w:top w:val="single" w:sz="8" w:space="0" w:color="auto"/>
              <w:left w:val="dotted" w:sz="4" w:space="0" w:color="auto"/>
              <w:bottom w:val="single" w:sz="8" w:space="0" w:color="auto"/>
              <w:right w:val="dotted" w:sz="4" w:space="0" w:color="auto"/>
            </w:tcBorders>
            <w:shd w:val="clear" w:color="auto" w:fill="auto"/>
          </w:tcPr>
          <w:p w14:paraId="563F8717" w14:textId="22CB2C47" w:rsidR="00AD1D7C" w:rsidRPr="001C35C4" w:rsidRDefault="00AD1D7C" w:rsidP="00482C3B">
            <w:pPr>
              <w:rPr>
                <w:color w:val="auto"/>
                <w:sz w:val="18"/>
                <w:szCs w:val="18"/>
              </w:rPr>
            </w:pPr>
            <w:r w:rsidRPr="001C35C4">
              <w:rPr>
                <w:color w:val="auto"/>
                <w:sz w:val="18"/>
                <w:szCs w:val="18"/>
              </w:rPr>
              <w:lastRenderedPageBreak/>
              <w:t>Fast</w:t>
            </w:r>
            <w:r w:rsidR="002E5F86">
              <w:rPr>
                <w:color w:val="auto"/>
                <w:sz w:val="18"/>
                <w:szCs w:val="18"/>
              </w:rPr>
              <w:t>-</w:t>
            </w:r>
            <w:r w:rsidRPr="001C35C4">
              <w:rPr>
                <w:color w:val="auto"/>
                <w:sz w:val="18"/>
                <w:szCs w:val="18"/>
              </w:rPr>
              <w:t xml:space="preserve">changing donor landscape with continued shift away from grant funding to loan finance. Mature aid coordination structures have struggled to adjust. National </w:t>
            </w:r>
            <w:r w:rsidR="002E5F86">
              <w:rPr>
                <w:color w:val="auto"/>
                <w:sz w:val="18"/>
                <w:szCs w:val="18"/>
              </w:rPr>
              <w:t>g</w:t>
            </w:r>
            <w:r w:rsidRPr="001C35C4">
              <w:rPr>
                <w:color w:val="auto"/>
                <w:sz w:val="18"/>
                <w:szCs w:val="18"/>
              </w:rPr>
              <w:t xml:space="preserve">overnment remains </w:t>
            </w:r>
            <w:r w:rsidRPr="001C35C4">
              <w:rPr>
                <w:color w:val="auto"/>
                <w:sz w:val="18"/>
                <w:szCs w:val="18"/>
              </w:rPr>
              <w:lastRenderedPageBreak/>
              <w:t>concerned over donors (non-traditional channels) pushing their own agenda.</w:t>
            </w:r>
          </w:p>
        </w:tc>
        <w:tc>
          <w:tcPr>
            <w:tcW w:w="1913" w:type="dxa"/>
            <w:tcBorders>
              <w:top w:val="single" w:sz="8" w:space="0" w:color="auto"/>
              <w:left w:val="dotted" w:sz="4" w:space="0" w:color="auto"/>
              <w:bottom w:val="single" w:sz="8" w:space="0" w:color="auto"/>
              <w:right w:val="dotted" w:sz="4" w:space="0" w:color="auto"/>
            </w:tcBorders>
            <w:shd w:val="clear" w:color="auto" w:fill="auto"/>
          </w:tcPr>
          <w:p w14:paraId="5E2E5B8A" w14:textId="77777777" w:rsidR="00AD1D7C" w:rsidRPr="001C35C4" w:rsidRDefault="00AD1D7C" w:rsidP="00482C3B">
            <w:pPr>
              <w:rPr>
                <w:color w:val="auto"/>
                <w:sz w:val="18"/>
                <w:szCs w:val="18"/>
              </w:rPr>
            </w:pPr>
            <w:r w:rsidRPr="001C35C4">
              <w:rPr>
                <w:color w:val="auto"/>
                <w:sz w:val="18"/>
                <w:szCs w:val="18"/>
              </w:rPr>
              <w:lastRenderedPageBreak/>
              <w:t xml:space="preserve">Green growth agenda is central. Greater practical application needed. Key challenges to this include economic policies which are not conducive to investments in </w:t>
            </w:r>
            <w:r w:rsidRPr="001C35C4">
              <w:rPr>
                <w:color w:val="auto"/>
                <w:sz w:val="18"/>
                <w:szCs w:val="18"/>
              </w:rPr>
              <w:lastRenderedPageBreak/>
              <w:t>measures that support adaptation and mitigation.</w:t>
            </w:r>
          </w:p>
        </w:tc>
        <w:tc>
          <w:tcPr>
            <w:tcW w:w="1986" w:type="dxa"/>
            <w:tcBorders>
              <w:top w:val="single" w:sz="8" w:space="0" w:color="auto"/>
              <w:left w:val="dotted" w:sz="4" w:space="0" w:color="auto"/>
              <w:bottom w:val="single" w:sz="8" w:space="0" w:color="auto"/>
              <w:right w:val="dotted" w:sz="4" w:space="0" w:color="auto"/>
            </w:tcBorders>
            <w:shd w:val="clear" w:color="auto" w:fill="auto"/>
          </w:tcPr>
          <w:p w14:paraId="337AA356" w14:textId="2EBA67FA" w:rsidR="00AD1D7C" w:rsidRPr="001C35C4" w:rsidRDefault="00AD1D7C" w:rsidP="006C32C6">
            <w:pPr>
              <w:rPr>
                <w:color w:val="auto"/>
                <w:sz w:val="18"/>
                <w:szCs w:val="18"/>
              </w:rPr>
            </w:pPr>
            <w:r w:rsidRPr="001C35C4">
              <w:rPr>
                <w:color w:val="auto"/>
                <w:sz w:val="18"/>
                <w:szCs w:val="18"/>
              </w:rPr>
              <w:lastRenderedPageBreak/>
              <w:t>Rapidly maturing policy</w:t>
            </w:r>
            <w:r w:rsidR="006C32C6">
              <w:rPr>
                <w:color w:val="auto"/>
                <w:sz w:val="18"/>
                <w:szCs w:val="18"/>
              </w:rPr>
              <w:t xml:space="preserve"> and </w:t>
            </w:r>
            <w:r w:rsidRPr="001C35C4">
              <w:rPr>
                <w:color w:val="auto"/>
                <w:sz w:val="18"/>
                <w:szCs w:val="18"/>
              </w:rPr>
              <w:t xml:space="preserve">strategy framework (to which DFAT </w:t>
            </w:r>
            <w:r w:rsidR="00BD559A">
              <w:rPr>
                <w:color w:val="auto"/>
                <w:sz w:val="18"/>
                <w:szCs w:val="18"/>
              </w:rPr>
              <w:t xml:space="preserve">and </w:t>
            </w:r>
            <w:r w:rsidRPr="001C35C4">
              <w:rPr>
                <w:color w:val="auto"/>
                <w:sz w:val="18"/>
                <w:szCs w:val="18"/>
              </w:rPr>
              <w:t>other donors have made an important contribution).</w:t>
            </w:r>
          </w:p>
        </w:tc>
        <w:tc>
          <w:tcPr>
            <w:tcW w:w="1966" w:type="dxa"/>
            <w:tcBorders>
              <w:top w:val="single" w:sz="8" w:space="0" w:color="auto"/>
              <w:left w:val="dotted" w:sz="4" w:space="0" w:color="auto"/>
              <w:bottom w:val="single" w:sz="8" w:space="0" w:color="auto"/>
              <w:right w:val="dotted" w:sz="4" w:space="0" w:color="auto"/>
            </w:tcBorders>
          </w:tcPr>
          <w:p w14:paraId="02D8EACB" w14:textId="676E6DB7" w:rsidR="00F508EE" w:rsidRDefault="001767BD" w:rsidP="001767BD">
            <w:pPr>
              <w:tabs>
                <w:tab w:val="left" w:pos="720"/>
              </w:tabs>
              <w:rPr>
                <w:color w:val="auto"/>
                <w:sz w:val="18"/>
                <w:szCs w:val="18"/>
              </w:rPr>
            </w:pPr>
            <w:r w:rsidRPr="00D04A94">
              <w:rPr>
                <w:i/>
                <w:color w:val="auto"/>
                <w:sz w:val="18"/>
                <w:szCs w:val="18"/>
              </w:rPr>
              <w:t>Integrated Climate Change Investment Strategy 201</w:t>
            </w:r>
            <w:r w:rsidR="00F508EE" w:rsidRPr="00D04A94">
              <w:rPr>
                <w:i/>
                <w:color w:val="auto"/>
                <w:sz w:val="18"/>
                <w:szCs w:val="18"/>
              </w:rPr>
              <w:t>0–2</w:t>
            </w:r>
            <w:r w:rsidRPr="00D04A94">
              <w:rPr>
                <w:i/>
                <w:color w:val="auto"/>
                <w:sz w:val="18"/>
                <w:szCs w:val="18"/>
              </w:rPr>
              <w:t>017</w:t>
            </w:r>
            <w:r w:rsidRPr="001C35C4">
              <w:rPr>
                <w:color w:val="auto"/>
                <w:sz w:val="18"/>
                <w:szCs w:val="18"/>
              </w:rPr>
              <w:t xml:space="preserve"> aligned to </w:t>
            </w:r>
            <w:r w:rsidR="00110242">
              <w:rPr>
                <w:color w:val="auto"/>
                <w:sz w:val="18"/>
                <w:szCs w:val="18"/>
              </w:rPr>
              <w:t>government</w:t>
            </w:r>
            <w:r w:rsidR="00110242" w:rsidRPr="001C35C4">
              <w:rPr>
                <w:color w:val="auto"/>
                <w:sz w:val="18"/>
                <w:szCs w:val="18"/>
              </w:rPr>
              <w:t xml:space="preserve"> </w:t>
            </w:r>
            <w:r w:rsidRPr="001C35C4">
              <w:rPr>
                <w:color w:val="auto"/>
                <w:sz w:val="18"/>
                <w:szCs w:val="18"/>
              </w:rPr>
              <w:t>priorities.</w:t>
            </w:r>
          </w:p>
          <w:p w14:paraId="56B42B56" w14:textId="3A6D723B" w:rsidR="001767BD" w:rsidRPr="001C35C4" w:rsidRDefault="001767BD" w:rsidP="001767BD">
            <w:pPr>
              <w:tabs>
                <w:tab w:val="left" w:pos="720"/>
              </w:tabs>
              <w:rPr>
                <w:color w:val="auto"/>
                <w:sz w:val="18"/>
                <w:szCs w:val="18"/>
              </w:rPr>
            </w:pPr>
            <w:r w:rsidRPr="001C35C4">
              <w:rPr>
                <w:color w:val="auto"/>
                <w:sz w:val="18"/>
                <w:szCs w:val="18"/>
              </w:rPr>
              <w:lastRenderedPageBreak/>
              <w:t>Good practice approach building strong relationships.</w:t>
            </w:r>
          </w:p>
          <w:p w14:paraId="58EF67EC" w14:textId="77777777" w:rsidR="001767BD" w:rsidRPr="001C35C4" w:rsidRDefault="001767BD" w:rsidP="006354D0">
            <w:pPr>
              <w:tabs>
                <w:tab w:val="left" w:pos="720"/>
              </w:tabs>
              <w:rPr>
                <w:color w:val="auto"/>
                <w:sz w:val="18"/>
                <w:szCs w:val="18"/>
              </w:rPr>
            </w:pPr>
            <w:r w:rsidRPr="001C35C4">
              <w:rPr>
                <w:color w:val="auto"/>
                <w:sz w:val="18"/>
                <w:szCs w:val="18"/>
              </w:rPr>
              <w:t xml:space="preserve">Supported by technical resources, funding and </w:t>
            </w:r>
            <w:r w:rsidR="006354D0" w:rsidRPr="001C35C4">
              <w:rPr>
                <w:color w:val="auto"/>
                <w:sz w:val="18"/>
                <w:szCs w:val="18"/>
              </w:rPr>
              <w:t xml:space="preserve">as an </w:t>
            </w:r>
            <w:r w:rsidR="00FB62D1" w:rsidRPr="001C35C4">
              <w:rPr>
                <w:color w:val="auto"/>
                <w:sz w:val="18"/>
                <w:szCs w:val="18"/>
              </w:rPr>
              <w:t>aid priority</w:t>
            </w:r>
            <w:r w:rsidRPr="001C35C4">
              <w:rPr>
                <w:color w:val="auto"/>
                <w:sz w:val="18"/>
                <w:szCs w:val="18"/>
              </w:rPr>
              <w:t xml:space="preserve"> until </w:t>
            </w:r>
            <w:r w:rsidR="006354D0" w:rsidRPr="001C35C4">
              <w:rPr>
                <w:color w:val="auto"/>
                <w:sz w:val="18"/>
                <w:szCs w:val="18"/>
              </w:rPr>
              <w:t>late 2013</w:t>
            </w:r>
            <w:r w:rsidRPr="001C35C4">
              <w:rPr>
                <w:color w:val="auto"/>
                <w:sz w:val="18"/>
                <w:szCs w:val="18"/>
              </w:rPr>
              <w:t>.</w:t>
            </w:r>
          </w:p>
        </w:tc>
        <w:tc>
          <w:tcPr>
            <w:tcW w:w="1694" w:type="dxa"/>
            <w:tcBorders>
              <w:top w:val="single" w:sz="8" w:space="0" w:color="auto"/>
              <w:left w:val="dotted" w:sz="4" w:space="0" w:color="auto"/>
              <w:bottom w:val="single" w:sz="8" w:space="0" w:color="auto"/>
            </w:tcBorders>
          </w:tcPr>
          <w:p w14:paraId="7372A5DE" w14:textId="77777777" w:rsidR="00F508EE" w:rsidRDefault="009F7254" w:rsidP="009F7254">
            <w:pPr>
              <w:tabs>
                <w:tab w:val="left" w:pos="720"/>
              </w:tabs>
              <w:rPr>
                <w:color w:val="auto"/>
                <w:sz w:val="18"/>
                <w:szCs w:val="18"/>
              </w:rPr>
            </w:pPr>
            <w:r w:rsidRPr="001C35C4">
              <w:rPr>
                <w:color w:val="auto"/>
                <w:sz w:val="18"/>
                <w:szCs w:val="18"/>
              </w:rPr>
              <w:lastRenderedPageBreak/>
              <w:t>Engage with the Vietnamese authorities on major challenge it faces.</w:t>
            </w:r>
          </w:p>
          <w:p w14:paraId="10522D63" w14:textId="77777777" w:rsidR="00AD1D7C" w:rsidRPr="001C35C4" w:rsidRDefault="009F7254" w:rsidP="009F7254">
            <w:pPr>
              <w:tabs>
                <w:tab w:val="left" w:pos="720"/>
              </w:tabs>
              <w:rPr>
                <w:color w:val="auto"/>
                <w:sz w:val="18"/>
                <w:szCs w:val="18"/>
                <w:highlight w:val="lightGray"/>
              </w:rPr>
            </w:pPr>
            <w:r w:rsidRPr="001C35C4">
              <w:rPr>
                <w:color w:val="auto"/>
                <w:sz w:val="18"/>
                <w:szCs w:val="18"/>
              </w:rPr>
              <w:t xml:space="preserve">Support capacity to be developed and used within the Vietnamese system </w:t>
            </w:r>
            <w:r w:rsidRPr="001C35C4">
              <w:rPr>
                <w:color w:val="auto"/>
                <w:sz w:val="18"/>
                <w:szCs w:val="18"/>
              </w:rPr>
              <w:lastRenderedPageBreak/>
              <w:t xml:space="preserve">(within and outside of government). </w:t>
            </w:r>
          </w:p>
        </w:tc>
      </w:tr>
      <w:tr w:rsidR="007761DB" w:rsidRPr="001C35C4" w14:paraId="6F33A4DE" w14:textId="77777777" w:rsidTr="00C70306">
        <w:tc>
          <w:tcPr>
            <w:tcW w:w="943" w:type="dxa"/>
            <w:shd w:val="clear" w:color="auto" w:fill="D8DBDA"/>
          </w:tcPr>
          <w:p w14:paraId="1AB9C923" w14:textId="77777777" w:rsidR="00AD1D7C" w:rsidRPr="001C35C4" w:rsidRDefault="00AD1D7C" w:rsidP="00482C3B">
            <w:pPr>
              <w:pStyle w:val="TableText"/>
            </w:pPr>
            <w:r w:rsidRPr="001C35C4">
              <w:lastRenderedPageBreak/>
              <w:t>Pacific region</w:t>
            </w:r>
          </w:p>
        </w:tc>
        <w:tc>
          <w:tcPr>
            <w:tcW w:w="1974" w:type="dxa"/>
            <w:tcBorders>
              <w:top w:val="single" w:sz="8" w:space="0" w:color="auto"/>
              <w:right w:val="dotted" w:sz="4" w:space="0" w:color="auto"/>
            </w:tcBorders>
            <w:shd w:val="clear" w:color="auto" w:fill="auto"/>
          </w:tcPr>
          <w:p w14:paraId="646605BA" w14:textId="66D28D07" w:rsidR="00F508EE" w:rsidRDefault="00AD1D7C" w:rsidP="00482C3B">
            <w:pPr>
              <w:rPr>
                <w:color w:val="auto"/>
                <w:sz w:val="18"/>
                <w:szCs w:val="18"/>
              </w:rPr>
            </w:pPr>
            <w:r w:rsidRPr="001C35C4">
              <w:rPr>
                <w:color w:val="auto"/>
                <w:sz w:val="18"/>
                <w:szCs w:val="18"/>
              </w:rPr>
              <w:t xml:space="preserve">A limited number of key regional agencies with discrete roles </w:t>
            </w:r>
            <w:r w:rsidR="00C244A0">
              <w:rPr>
                <w:color w:val="auto"/>
                <w:sz w:val="18"/>
                <w:szCs w:val="18"/>
              </w:rPr>
              <w:t xml:space="preserve">in relation </w:t>
            </w:r>
            <w:r w:rsidR="00C244A0" w:rsidRPr="00C244A0">
              <w:rPr>
                <w:color w:val="auto"/>
                <w:sz w:val="18"/>
                <w:szCs w:val="18"/>
              </w:rPr>
              <w:t>t</w:t>
            </w:r>
            <w:r w:rsidR="00C244A0">
              <w:rPr>
                <w:color w:val="auto"/>
                <w:sz w:val="18"/>
                <w:szCs w:val="18"/>
              </w:rPr>
              <w:t>o</w:t>
            </w:r>
            <w:r w:rsidRPr="001C35C4">
              <w:rPr>
                <w:color w:val="auto"/>
                <w:sz w:val="18"/>
                <w:szCs w:val="18"/>
              </w:rPr>
              <w:t xml:space="preserve"> climate change action (roles which need to be upheld and not conflated). Some important work underway on national financial system strengthening.</w:t>
            </w:r>
          </w:p>
          <w:p w14:paraId="38F68B62" w14:textId="77777777" w:rsidR="00AD1D7C" w:rsidRPr="001C35C4" w:rsidRDefault="00AD1D7C" w:rsidP="00482C3B">
            <w:pPr>
              <w:rPr>
                <w:color w:val="auto"/>
                <w:sz w:val="18"/>
                <w:szCs w:val="18"/>
              </w:rPr>
            </w:pPr>
          </w:p>
        </w:tc>
        <w:tc>
          <w:tcPr>
            <w:tcW w:w="2018" w:type="dxa"/>
            <w:tcBorders>
              <w:top w:val="single" w:sz="8" w:space="0" w:color="auto"/>
              <w:left w:val="dotted" w:sz="4" w:space="0" w:color="auto"/>
              <w:right w:val="dotted" w:sz="4" w:space="0" w:color="auto"/>
            </w:tcBorders>
            <w:shd w:val="clear" w:color="auto" w:fill="auto"/>
          </w:tcPr>
          <w:p w14:paraId="654E0E22" w14:textId="1BD0064A" w:rsidR="00F508EE" w:rsidRDefault="00AD1D7C" w:rsidP="00482C3B">
            <w:pPr>
              <w:rPr>
                <w:color w:val="auto"/>
                <w:sz w:val="18"/>
                <w:szCs w:val="18"/>
              </w:rPr>
            </w:pPr>
            <w:r w:rsidRPr="001C35C4">
              <w:rPr>
                <w:color w:val="auto"/>
                <w:sz w:val="18"/>
                <w:szCs w:val="18"/>
              </w:rPr>
              <w:t>Good</w:t>
            </w:r>
            <w:r w:rsidR="00F508EE">
              <w:rPr>
                <w:color w:val="auto"/>
                <w:sz w:val="18"/>
                <w:szCs w:val="18"/>
              </w:rPr>
              <w:t>—</w:t>
            </w:r>
            <w:r w:rsidRPr="001C35C4">
              <w:rPr>
                <w:color w:val="auto"/>
                <w:sz w:val="18"/>
                <w:szCs w:val="18"/>
              </w:rPr>
              <w:t>not fully utilised technical capacity within regional organisations (risk that capacity gets diverted to chasing finance).</w:t>
            </w:r>
          </w:p>
          <w:p w14:paraId="7E811EE4" w14:textId="77777777" w:rsidR="00AD1D7C" w:rsidRPr="001C35C4" w:rsidRDefault="00AD1D7C" w:rsidP="00482C3B">
            <w:pPr>
              <w:rPr>
                <w:color w:val="auto"/>
                <w:sz w:val="18"/>
                <w:szCs w:val="18"/>
              </w:rPr>
            </w:pPr>
            <w:r w:rsidRPr="001C35C4">
              <w:rPr>
                <w:color w:val="auto"/>
                <w:sz w:val="18"/>
                <w:szCs w:val="18"/>
              </w:rPr>
              <w:t>Need to understand the limits of capacity in the region and where and when supplementation rather than capacity building is optimum.</w:t>
            </w:r>
            <w:r w:rsidR="00110D83">
              <w:rPr>
                <w:color w:val="auto"/>
                <w:sz w:val="18"/>
                <w:szCs w:val="18"/>
              </w:rPr>
              <w:t xml:space="preserve"> </w:t>
            </w:r>
          </w:p>
        </w:tc>
        <w:tc>
          <w:tcPr>
            <w:tcW w:w="1963" w:type="dxa"/>
            <w:tcBorders>
              <w:top w:val="single" w:sz="8" w:space="0" w:color="auto"/>
              <w:left w:val="dotted" w:sz="4" w:space="0" w:color="auto"/>
              <w:right w:val="dotted" w:sz="4" w:space="0" w:color="auto"/>
            </w:tcBorders>
            <w:shd w:val="clear" w:color="auto" w:fill="auto"/>
          </w:tcPr>
          <w:p w14:paraId="3A8B0A4A" w14:textId="77777777" w:rsidR="00AD1D7C" w:rsidRPr="001C35C4" w:rsidRDefault="00AD1D7C" w:rsidP="00482C3B">
            <w:pPr>
              <w:rPr>
                <w:color w:val="auto"/>
                <w:sz w:val="18"/>
                <w:szCs w:val="18"/>
              </w:rPr>
            </w:pPr>
            <w:r w:rsidRPr="001C35C4">
              <w:rPr>
                <w:color w:val="auto"/>
                <w:sz w:val="18"/>
                <w:szCs w:val="18"/>
              </w:rPr>
              <w:t>The FRDP has potential as an effective coordinating mechanism for donor engagement and financing. Still messy but improving picture on donor co-funding.</w:t>
            </w:r>
          </w:p>
        </w:tc>
        <w:tc>
          <w:tcPr>
            <w:tcW w:w="1913" w:type="dxa"/>
            <w:tcBorders>
              <w:top w:val="single" w:sz="8" w:space="0" w:color="auto"/>
              <w:left w:val="dotted" w:sz="4" w:space="0" w:color="auto"/>
              <w:right w:val="dotted" w:sz="4" w:space="0" w:color="auto"/>
            </w:tcBorders>
            <w:shd w:val="clear" w:color="auto" w:fill="auto"/>
          </w:tcPr>
          <w:p w14:paraId="03167D4C" w14:textId="645BCEBB" w:rsidR="00AD1D7C" w:rsidRPr="001C35C4" w:rsidRDefault="00AD1D7C" w:rsidP="00482C3B">
            <w:pPr>
              <w:rPr>
                <w:color w:val="auto"/>
                <w:sz w:val="18"/>
                <w:szCs w:val="18"/>
              </w:rPr>
            </w:pPr>
            <w:r w:rsidRPr="001C35C4">
              <w:rPr>
                <w:color w:val="auto"/>
                <w:sz w:val="18"/>
                <w:szCs w:val="18"/>
              </w:rPr>
              <w:t>A confusing picture</w:t>
            </w:r>
            <w:r w:rsidR="00BD559A">
              <w:rPr>
                <w:color w:val="auto"/>
                <w:sz w:val="18"/>
                <w:szCs w:val="18"/>
              </w:rPr>
              <w:t>. The</w:t>
            </w:r>
            <w:r w:rsidRPr="001C35C4">
              <w:rPr>
                <w:color w:val="auto"/>
                <w:sz w:val="18"/>
                <w:szCs w:val="18"/>
              </w:rPr>
              <w:t xml:space="preserve"> region </w:t>
            </w:r>
            <w:r w:rsidR="00BD559A">
              <w:rPr>
                <w:color w:val="auto"/>
                <w:sz w:val="18"/>
                <w:szCs w:val="18"/>
              </w:rPr>
              <w:t xml:space="preserve">is </w:t>
            </w:r>
            <w:r w:rsidRPr="001C35C4">
              <w:rPr>
                <w:color w:val="auto"/>
                <w:sz w:val="18"/>
                <w:szCs w:val="18"/>
              </w:rPr>
              <w:t>chasing renewable energy support (benefits are more economic than global good) whil</w:t>
            </w:r>
            <w:r w:rsidR="00110242">
              <w:rPr>
                <w:color w:val="auto"/>
                <w:sz w:val="18"/>
                <w:szCs w:val="18"/>
              </w:rPr>
              <w:t>e</w:t>
            </w:r>
            <w:r w:rsidRPr="001C35C4">
              <w:rPr>
                <w:color w:val="auto"/>
                <w:sz w:val="18"/>
                <w:szCs w:val="18"/>
              </w:rPr>
              <w:t xml:space="preserve"> adaptation agenda remains under-developed. </w:t>
            </w:r>
          </w:p>
        </w:tc>
        <w:tc>
          <w:tcPr>
            <w:tcW w:w="1986" w:type="dxa"/>
            <w:tcBorders>
              <w:top w:val="single" w:sz="8" w:space="0" w:color="auto"/>
              <w:left w:val="dotted" w:sz="4" w:space="0" w:color="auto"/>
              <w:right w:val="dotted" w:sz="4" w:space="0" w:color="auto"/>
            </w:tcBorders>
            <w:shd w:val="clear" w:color="auto" w:fill="auto"/>
          </w:tcPr>
          <w:p w14:paraId="10D179DF" w14:textId="11CCBEED" w:rsidR="00AD1D7C" w:rsidRPr="001C35C4" w:rsidRDefault="00AD1D7C" w:rsidP="00482C3B">
            <w:pPr>
              <w:rPr>
                <w:color w:val="auto"/>
                <w:sz w:val="18"/>
                <w:szCs w:val="18"/>
              </w:rPr>
            </w:pPr>
            <w:r w:rsidRPr="001C35C4">
              <w:rPr>
                <w:color w:val="auto"/>
                <w:sz w:val="18"/>
                <w:szCs w:val="18"/>
              </w:rPr>
              <w:t xml:space="preserve">FRDP has strong potential to unify a regional approach, integrate </w:t>
            </w:r>
            <w:r w:rsidR="00367408">
              <w:rPr>
                <w:color w:val="auto"/>
                <w:sz w:val="18"/>
                <w:szCs w:val="18"/>
              </w:rPr>
              <w:t>disaster risk management</w:t>
            </w:r>
            <w:r w:rsidRPr="001C35C4">
              <w:rPr>
                <w:color w:val="auto"/>
                <w:sz w:val="18"/>
                <w:szCs w:val="18"/>
              </w:rPr>
              <w:t xml:space="preserve"> and climate change.</w:t>
            </w:r>
          </w:p>
        </w:tc>
        <w:tc>
          <w:tcPr>
            <w:tcW w:w="1966" w:type="dxa"/>
            <w:tcBorders>
              <w:top w:val="single" w:sz="8" w:space="0" w:color="auto"/>
              <w:left w:val="dotted" w:sz="4" w:space="0" w:color="auto"/>
              <w:right w:val="dotted" w:sz="4" w:space="0" w:color="auto"/>
            </w:tcBorders>
          </w:tcPr>
          <w:p w14:paraId="4F3D0866" w14:textId="77777777" w:rsidR="00441C88" w:rsidRPr="001C35C4" w:rsidRDefault="00441C88" w:rsidP="00482C3B">
            <w:pPr>
              <w:rPr>
                <w:color w:val="auto"/>
                <w:sz w:val="18"/>
                <w:szCs w:val="18"/>
              </w:rPr>
            </w:pPr>
            <w:r w:rsidRPr="001C35C4">
              <w:rPr>
                <w:color w:val="auto"/>
                <w:sz w:val="18"/>
                <w:szCs w:val="18"/>
              </w:rPr>
              <w:t>Climate change a key objective of regional strategies</w:t>
            </w:r>
            <w:r w:rsidR="00110242">
              <w:rPr>
                <w:color w:val="auto"/>
                <w:sz w:val="18"/>
                <w:szCs w:val="18"/>
              </w:rPr>
              <w:t>.</w:t>
            </w:r>
          </w:p>
          <w:p w14:paraId="73781E39" w14:textId="77777777" w:rsidR="00AD1D7C" w:rsidRPr="001C35C4" w:rsidRDefault="00441C88" w:rsidP="00482C3B">
            <w:pPr>
              <w:rPr>
                <w:color w:val="auto"/>
                <w:sz w:val="18"/>
                <w:szCs w:val="18"/>
              </w:rPr>
            </w:pPr>
            <w:r w:rsidRPr="001C35C4">
              <w:rPr>
                <w:color w:val="auto"/>
                <w:sz w:val="18"/>
                <w:szCs w:val="18"/>
              </w:rPr>
              <w:t>Portfolio heavily weighted toward</w:t>
            </w:r>
            <w:r w:rsidR="00F0034F">
              <w:rPr>
                <w:color w:val="auto"/>
                <w:sz w:val="18"/>
                <w:szCs w:val="18"/>
              </w:rPr>
              <w:t>s</w:t>
            </w:r>
            <w:r w:rsidRPr="001C35C4">
              <w:rPr>
                <w:color w:val="auto"/>
                <w:sz w:val="18"/>
                <w:szCs w:val="18"/>
              </w:rPr>
              <w:t xml:space="preserve"> climate science investments to inform adaptation planning.</w:t>
            </w:r>
          </w:p>
          <w:p w14:paraId="622C637F" w14:textId="184848E3" w:rsidR="00441C88" w:rsidRPr="001C35C4" w:rsidRDefault="004857E5" w:rsidP="00441C88">
            <w:pPr>
              <w:rPr>
                <w:color w:val="auto"/>
                <w:sz w:val="18"/>
                <w:szCs w:val="18"/>
              </w:rPr>
            </w:pPr>
            <w:r>
              <w:rPr>
                <w:color w:val="auto"/>
                <w:sz w:val="18"/>
                <w:szCs w:val="18"/>
              </w:rPr>
              <w:t>Engagement in</w:t>
            </w:r>
            <w:r w:rsidR="00441C88" w:rsidRPr="001C35C4">
              <w:rPr>
                <w:color w:val="auto"/>
                <w:sz w:val="18"/>
                <w:szCs w:val="18"/>
              </w:rPr>
              <w:t xml:space="preserve"> G</w:t>
            </w:r>
            <w:r w:rsidR="00695DE5">
              <w:rPr>
                <w:color w:val="auto"/>
                <w:sz w:val="18"/>
                <w:szCs w:val="18"/>
              </w:rPr>
              <w:t>reen Climate Fund</w:t>
            </w:r>
            <w:r w:rsidR="00441C88" w:rsidRPr="001C35C4">
              <w:rPr>
                <w:color w:val="auto"/>
                <w:sz w:val="18"/>
                <w:szCs w:val="18"/>
              </w:rPr>
              <w:t xml:space="preserve"> </w:t>
            </w:r>
            <w:r>
              <w:rPr>
                <w:color w:val="auto"/>
                <w:sz w:val="18"/>
                <w:szCs w:val="18"/>
              </w:rPr>
              <w:t>can support</w:t>
            </w:r>
            <w:r w:rsidR="00441C88" w:rsidRPr="001C35C4">
              <w:rPr>
                <w:color w:val="auto"/>
                <w:sz w:val="18"/>
                <w:szCs w:val="18"/>
              </w:rPr>
              <w:t xml:space="preserve"> Pacific</w:t>
            </w:r>
            <w:r>
              <w:rPr>
                <w:color w:val="auto"/>
                <w:sz w:val="18"/>
                <w:szCs w:val="18"/>
              </w:rPr>
              <w:t xml:space="preserve"> </w:t>
            </w:r>
            <w:r w:rsidR="0050107C">
              <w:rPr>
                <w:color w:val="auto"/>
                <w:sz w:val="18"/>
                <w:szCs w:val="18"/>
              </w:rPr>
              <w:t xml:space="preserve">engagement and </w:t>
            </w:r>
            <w:r>
              <w:rPr>
                <w:color w:val="auto"/>
                <w:sz w:val="18"/>
                <w:szCs w:val="18"/>
              </w:rPr>
              <w:t>access to funds</w:t>
            </w:r>
            <w:r w:rsidR="00441C88" w:rsidRPr="001C35C4">
              <w:rPr>
                <w:color w:val="auto"/>
                <w:sz w:val="18"/>
                <w:szCs w:val="18"/>
              </w:rPr>
              <w:t>.</w:t>
            </w:r>
          </w:p>
          <w:p w14:paraId="5BF1E377" w14:textId="77777777" w:rsidR="00441C88" w:rsidRPr="001C35C4" w:rsidRDefault="00441C88" w:rsidP="00441C88">
            <w:pPr>
              <w:rPr>
                <w:color w:val="auto"/>
                <w:sz w:val="18"/>
                <w:szCs w:val="18"/>
              </w:rPr>
            </w:pPr>
          </w:p>
        </w:tc>
        <w:tc>
          <w:tcPr>
            <w:tcW w:w="1694" w:type="dxa"/>
            <w:tcBorders>
              <w:top w:val="single" w:sz="8" w:space="0" w:color="auto"/>
              <w:left w:val="dotted" w:sz="4" w:space="0" w:color="auto"/>
            </w:tcBorders>
          </w:tcPr>
          <w:p w14:paraId="69B02E62" w14:textId="77777777" w:rsidR="00F508EE" w:rsidRDefault="004663CE" w:rsidP="004663CE">
            <w:pPr>
              <w:rPr>
                <w:color w:val="auto"/>
                <w:sz w:val="18"/>
                <w:szCs w:val="18"/>
              </w:rPr>
            </w:pPr>
            <w:r w:rsidRPr="001C35C4">
              <w:rPr>
                <w:color w:val="auto"/>
                <w:sz w:val="18"/>
                <w:szCs w:val="18"/>
              </w:rPr>
              <w:t>Act as broker between actors in climate change</w:t>
            </w:r>
            <w:r w:rsidR="004D1DF0" w:rsidRPr="001C35C4">
              <w:rPr>
                <w:color w:val="auto"/>
                <w:sz w:val="18"/>
                <w:szCs w:val="18"/>
              </w:rPr>
              <w:t xml:space="preserve"> with a focus on improving donor coordination and </w:t>
            </w:r>
            <w:r w:rsidR="009F7254" w:rsidRPr="001C35C4">
              <w:rPr>
                <w:color w:val="auto"/>
                <w:sz w:val="18"/>
                <w:szCs w:val="18"/>
              </w:rPr>
              <w:t>enhancing aid effectiveness</w:t>
            </w:r>
            <w:r w:rsidR="006354D0" w:rsidRPr="001C35C4">
              <w:rPr>
                <w:color w:val="auto"/>
                <w:sz w:val="18"/>
                <w:szCs w:val="18"/>
              </w:rPr>
              <w:t xml:space="preserve"> (development impact)</w:t>
            </w:r>
            <w:r w:rsidR="009F7254" w:rsidRPr="001C35C4">
              <w:rPr>
                <w:color w:val="auto"/>
                <w:sz w:val="18"/>
                <w:szCs w:val="18"/>
              </w:rPr>
              <w:t>.</w:t>
            </w:r>
          </w:p>
          <w:p w14:paraId="26F063DC" w14:textId="7178A4C9" w:rsidR="004D1DF0" w:rsidRPr="001C35C4" w:rsidRDefault="004663CE" w:rsidP="009F7254">
            <w:pPr>
              <w:rPr>
                <w:color w:val="auto"/>
                <w:sz w:val="18"/>
                <w:szCs w:val="18"/>
              </w:rPr>
            </w:pPr>
            <w:r w:rsidRPr="001C35C4">
              <w:rPr>
                <w:color w:val="auto"/>
                <w:sz w:val="18"/>
                <w:szCs w:val="18"/>
              </w:rPr>
              <w:t xml:space="preserve">Leading role in accelerating the maturing of national responses guided by the regionally </w:t>
            </w:r>
            <w:r w:rsidRPr="001C35C4">
              <w:rPr>
                <w:color w:val="auto"/>
                <w:sz w:val="18"/>
                <w:szCs w:val="18"/>
              </w:rPr>
              <w:lastRenderedPageBreak/>
              <w:t>agreed FRDP frameworks</w:t>
            </w:r>
            <w:r w:rsidR="0043027E">
              <w:rPr>
                <w:color w:val="auto"/>
                <w:sz w:val="18"/>
                <w:szCs w:val="18"/>
              </w:rPr>
              <w:t>.</w:t>
            </w:r>
          </w:p>
        </w:tc>
      </w:tr>
    </w:tbl>
    <w:p w14:paraId="2B48D076" w14:textId="77777777" w:rsidR="004402B0" w:rsidRPr="001C35C4" w:rsidRDefault="004402B0" w:rsidP="004402B0">
      <w:pPr>
        <w:rPr>
          <w:color w:val="auto"/>
        </w:rPr>
      </w:pPr>
    </w:p>
    <w:p w14:paraId="2372036E" w14:textId="77777777" w:rsidR="00F11664" w:rsidRDefault="00F11664" w:rsidP="004402B0">
      <w:pPr>
        <w:rPr>
          <w:color w:val="7030A0"/>
        </w:rPr>
        <w:sectPr w:rsidR="00F11664" w:rsidSect="00CA055E">
          <w:pgSz w:w="16838" w:h="11906" w:orient="landscape" w:code="9"/>
          <w:pgMar w:top="1152" w:right="850" w:bottom="851" w:left="1531" w:header="510" w:footer="510" w:gutter="0"/>
          <w:cols w:space="708"/>
          <w:docGrid w:linePitch="360"/>
        </w:sectPr>
      </w:pPr>
    </w:p>
    <w:p w14:paraId="67FA4E27" w14:textId="0FFFD15D" w:rsidR="00F508EE" w:rsidRDefault="00C93D9E" w:rsidP="004B287E">
      <w:r>
        <w:lastRenderedPageBreak/>
        <w:t>A</w:t>
      </w:r>
      <w:r w:rsidR="00322FAA" w:rsidRPr="001C35C4">
        <w:t xml:space="preserve"> diagnostic, similar to </w:t>
      </w:r>
      <w:r w:rsidR="0043027E">
        <w:t>Table 4</w:t>
      </w:r>
      <w:r w:rsidR="00322FAA" w:rsidRPr="001C35C4">
        <w:t>, that analyse</w:t>
      </w:r>
      <w:r w:rsidR="00AD6E68" w:rsidRPr="001C35C4">
        <w:t>s</w:t>
      </w:r>
      <w:r w:rsidR="00322FAA" w:rsidRPr="001C35C4">
        <w:t xml:space="preserve"> the system that shapes and controls a </w:t>
      </w:r>
      <w:r w:rsidR="00322FAA" w:rsidRPr="00AD3BA3">
        <w:t>nationally</w:t>
      </w:r>
      <w:r w:rsidR="00726575" w:rsidRPr="00D04A94">
        <w:t xml:space="preserve"> </w:t>
      </w:r>
      <w:r w:rsidR="00322FAA" w:rsidRPr="00AD3BA3">
        <w:t>led</w:t>
      </w:r>
      <w:r w:rsidR="00322FAA" w:rsidRPr="001C35C4">
        <w:t xml:space="preserve"> </w:t>
      </w:r>
      <w:r w:rsidR="00675127">
        <w:t>climate change response</w:t>
      </w:r>
      <w:r w:rsidR="00322FAA" w:rsidRPr="001C35C4">
        <w:t xml:space="preserve"> may be useful as part of the analysis that underpins A</w:t>
      </w:r>
      <w:r w:rsidR="00952E59">
        <w:t>IP</w:t>
      </w:r>
      <w:r w:rsidR="00675127">
        <w:t>s</w:t>
      </w:r>
      <w:r w:rsidR="00322FAA" w:rsidRPr="001C35C4">
        <w:t xml:space="preserve">. </w:t>
      </w:r>
      <w:r w:rsidR="00C74CDA">
        <w:t xml:space="preserve">The Interim Support Unit </w:t>
      </w:r>
      <w:r w:rsidR="0070517F">
        <w:t xml:space="preserve">for the Pacific </w:t>
      </w:r>
      <w:r w:rsidR="00675127">
        <w:t>has</w:t>
      </w:r>
      <w:r w:rsidR="00C74CDA">
        <w:t xml:space="preserve"> been using a similar diagnostic</w:t>
      </w:r>
      <w:r w:rsidR="0043027E">
        <w:t xml:space="preserve"> </w:t>
      </w:r>
      <w:r w:rsidR="00C74CDA">
        <w:t>in recent work</w:t>
      </w:r>
      <w:r w:rsidR="0070517F">
        <w:t xml:space="preserve"> for the regional program</w:t>
      </w:r>
      <w:r w:rsidR="00C74CDA">
        <w:t xml:space="preserve">. </w:t>
      </w:r>
      <w:r w:rsidR="00322FAA" w:rsidRPr="001C35C4">
        <w:t xml:space="preserve">By </w:t>
      </w:r>
      <w:r w:rsidR="006354D0" w:rsidRPr="001C35C4">
        <w:t xml:space="preserve">strategically positioning Australia’s support in this way, its impact is likely to be </w:t>
      </w:r>
      <w:r w:rsidR="00322FAA" w:rsidRPr="001C35C4">
        <w:t>bigger than the sum of its parts.</w:t>
      </w:r>
    </w:p>
    <w:p w14:paraId="08951B0B" w14:textId="754EE4DE" w:rsidR="00C53177" w:rsidRDefault="00C53177" w:rsidP="004B287E">
      <w:r>
        <w:t>One of the investments sampled by the evaluation</w:t>
      </w:r>
      <w:r w:rsidR="00F508EE">
        <w:t>—</w:t>
      </w:r>
      <w:r>
        <w:t xml:space="preserve">the </w:t>
      </w:r>
      <w:r w:rsidRPr="00E37089">
        <w:t xml:space="preserve">SDIP under the South Asia </w:t>
      </w:r>
      <w:r w:rsidRPr="00DB5D57">
        <w:t xml:space="preserve">Regional Program (Box </w:t>
      </w:r>
      <w:r w:rsidR="00D04A94" w:rsidRPr="00DB5D57">
        <w:t>7</w:t>
      </w:r>
      <w:r w:rsidRPr="00DB5D57">
        <w:t>)</w:t>
      </w:r>
      <w:r w:rsidR="00C93D9E" w:rsidRPr="00DB5D57">
        <w:t>—</w:t>
      </w:r>
      <w:r w:rsidRPr="00DB5D57">
        <w:t>provides an investment</w:t>
      </w:r>
      <w:r w:rsidR="00C93D9E" w:rsidRPr="00DB5D57">
        <w:t>-</w:t>
      </w:r>
      <w:r w:rsidRPr="00DB5D57">
        <w:t>level example of an innovative approach being taken, focused o</w:t>
      </w:r>
      <w:r>
        <w:t>n contributing to systemic change.</w:t>
      </w:r>
    </w:p>
    <w:tbl>
      <w:tblPr>
        <w:tblW w:w="0" w:type="auto"/>
        <w:tblInd w:w="203" w:type="dxa"/>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Pr>
      <w:tblGrid>
        <w:gridCol w:w="9900"/>
      </w:tblGrid>
      <w:tr w:rsidR="00C53177" w:rsidRPr="007C3E73" w14:paraId="071C60AD" w14:textId="77777777" w:rsidTr="003D54A6">
        <w:tc>
          <w:tcPr>
            <w:tcW w:w="9900" w:type="dxa"/>
            <w:tcBorders>
              <w:top w:val="nil"/>
              <w:left w:val="nil"/>
              <w:bottom w:val="single" w:sz="12" w:space="0" w:color="FFFFFF"/>
              <w:right w:val="nil"/>
              <w:tl2br w:val="nil"/>
              <w:tr2bl w:val="nil"/>
            </w:tcBorders>
            <w:shd w:val="clear" w:color="auto" w:fill="007C89"/>
          </w:tcPr>
          <w:p w14:paraId="5B3B258C" w14:textId="6EAF1E18" w:rsidR="00C53177" w:rsidRPr="007C3E73" w:rsidRDefault="00D04A94" w:rsidP="003D54A6">
            <w:pPr>
              <w:pStyle w:val="ListParagraph"/>
              <w:spacing w:after="160" w:line="259" w:lineRule="auto"/>
              <w:ind w:left="0"/>
              <w:rPr>
                <w:b/>
                <w:color w:val="FFFFFF"/>
              </w:rPr>
            </w:pPr>
            <w:r>
              <w:rPr>
                <w:b/>
                <w:color w:val="FFFFFF"/>
              </w:rPr>
              <w:t xml:space="preserve">Box 7: </w:t>
            </w:r>
            <w:r w:rsidR="00C53177" w:rsidRPr="007C3E73">
              <w:rPr>
                <w:b/>
                <w:color w:val="FFFFFF"/>
              </w:rPr>
              <w:t>S</w:t>
            </w:r>
            <w:r w:rsidR="0043027E">
              <w:rPr>
                <w:b/>
                <w:color w:val="FFFFFF"/>
              </w:rPr>
              <w:t>ustainable Development Investment Portfolio</w:t>
            </w:r>
            <w:r w:rsidR="00F508EE">
              <w:rPr>
                <w:b/>
                <w:color w:val="FFFFFF"/>
              </w:rPr>
              <w:t>—</w:t>
            </w:r>
            <w:r w:rsidR="00C53177">
              <w:rPr>
                <w:b/>
                <w:color w:val="FFFFFF"/>
              </w:rPr>
              <w:t>contributing to systemic change through positioning and the confluence of partner influence</w:t>
            </w:r>
          </w:p>
        </w:tc>
      </w:tr>
      <w:tr w:rsidR="00C53177" w:rsidRPr="007147C6" w14:paraId="45647E7B" w14:textId="77777777" w:rsidTr="003D54A6">
        <w:trPr>
          <w:trHeight w:val="4134"/>
        </w:trPr>
        <w:tc>
          <w:tcPr>
            <w:tcW w:w="9900" w:type="dxa"/>
            <w:shd w:val="clear" w:color="auto" w:fill="D8DBDA"/>
          </w:tcPr>
          <w:p w14:paraId="66B58724" w14:textId="7691D654" w:rsidR="00F508EE" w:rsidRDefault="00C53177" w:rsidP="003D54A6">
            <w:pPr>
              <w:pStyle w:val="ListParagraph"/>
              <w:tabs>
                <w:tab w:val="left" w:pos="2777"/>
              </w:tabs>
              <w:spacing w:after="160" w:line="259" w:lineRule="auto"/>
              <w:ind w:left="0"/>
            </w:pPr>
            <w:r>
              <w:t>The S</w:t>
            </w:r>
            <w:r w:rsidR="0043027E">
              <w:t>DIP</w:t>
            </w:r>
            <w:r>
              <w:t xml:space="preserve"> was designed as a </w:t>
            </w:r>
            <w:r w:rsidR="00E56056">
              <w:t>12-year</w:t>
            </w:r>
            <w:r>
              <w:t xml:space="preserve"> strategy with three </w:t>
            </w:r>
            <w:r w:rsidR="00196FA4">
              <w:t>four-</w:t>
            </w:r>
            <w:r>
              <w:t>year investment cycles. The complexity of improving water, food and energy security across three major South Asian river basins</w:t>
            </w:r>
            <w:r w:rsidR="00F508EE">
              <w:t>—</w:t>
            </w:r>
            <w:r>
              <w:t>all affected by climate change</w:t>
            </w:r>
            <w:r w:rsidR="00F508EE">
              <w:t>—</w:t>
            </w:r>
            <w:r>
              <w:t>through the strengthening of transboundary cooperation, was recognised at the start.</w:t>
            </w:r>
            <w:r w:rsidR="00110D83">
              <w:t xml:space="preserve"> </w:t>
            </w:r>
            <w:r w:rsidR="00B06994">
              <w:t>Addressing climate change is explicitly mentioned as a strategy objective and the effectiveness of Australian aid in delivering climate action and building climate resilience is tracked and assessed.</w:t>
            </w:r>
          </w:p>
          <w:p w14:paraId="5D0E560E" w14:textId="77777777" w:rsidR="00196FA4" w:rsidRDefault="00196FA4" w:rsidP="003D54A6">
            <w:pPr>
              <w:pStyle w:val="ListParagraph"/>
              <w:tabs>
                <w:tab w:val="left" w:pos="2777"/>
              </w:tabs>
              <w:spacing w:after="160" w:line="259" w:lineRule="auto"/>
              <w:ind w:left="0"/>
            </w:pPr>
          </w:p>
          <w:p w14:paraId="0A083919" w14:textId="302771BF" w:rsidR="00F508EE" w:rsidRDefault="00C53177" w:rsidP="003D54A6">
            <w:pPr>
              <w:pStyle w:val="ListParagraph"/>
              <w:tabs>
                <w:tab w:val="left" w:pos="2777"/>
              </w:tabs>
              <w:spacing w:after="160" w:line="259" w:lineRule="auto"/>
              <w:ind w:left="0"/>
            </w:pPr>
            <w:r>
              <w:t xml:space="preserve">The program has a narrative that </w:t>
            </w:r>
            <w:r w:rsidR="00BC5446">
              <w:t>clearly</w:t>
            </w:r>
            <w:r>
              <w:t xml:space="preserve"> seeks to contribute to sustainable</w:t>
            </w:r>
            <w:r w:rsidR="00196FA4">
              <w:t>,</w:t>
            </w:r>
            <w:r>
              <w:t xml:space="preserve"> long</w:t>
            </w:r>
            <w:r w:rsidR="00196FA4">
              <w:t>-</w:t>
            </w:r>
            <w:r>
              <w:t>term systemic change</w:t>
            </w:r>
            <w:r w:rsidR="0003786C">
              <w:t xml:space="preserve">. This </w:t>
            </w:r>
            <w:r w:rsidR="00C44324">
              <w:t>is through</w:t>
            </w:r>
            <w:r>
              <w:t xml:space="preserve"> DFAT partnering with established actors in the region</w:t>
            </w:r>
            <w:r w:rsidR="0003786C">
              <w:t>—</w:t>
            </w:r>
            <w:r>
              <w:t xml:space="preserve">CSIRO, </w:t>
            </w:r>
            <w:r w:rsidR="0043027E" w:rsidRPr="0043027E">
              <w:t>International Finance Corporation</w:t>
            </w:r>
            <w:r>
              <w:t xml:space="preserve">, ACIAR, ICIMOD, </w:t>
            </w:r>
            <w:r w:rsidR="0043027E">
              <w:t>International Centre of Excellence in Water Resources Management</w:t>
            </w:r>
            <w:r>
              <w:t xml:space="preserve">, </w:t>
            </w:r>
            <w:r w:rsidR="0043027E" w:rsidRPr="0043027E">
              <w:t>South Asia Water Initiative</w:t>
            </w:r>
            <w:r>
              <w:t xml:space="preserve">, </w:t>
            </w:r>
            <w:r w:rsidR="0043027E">
              <w:t>The Asia Foundation</w:t>
            </w:r>
            <w:r w:rsidR="0003786C">
              <w:t>. It is also through</w:t>
            </w:r>
            <w:r>
              <w:t xml:space="preserve"> ways that evolve and opportunistically focus on areas where the portfolio of investments finds traction towards program objectives.</w:t>
            </w:r>
          </w:p>
          <w:p w14:paraId="788317AB" w14:textId="77777777" w:rsidR="00196FA4" w:rsidRDefault="00196FA4" w:rsidP="003D54A6">
            <w:pPr>
              <w:pStyle w:val="ListParagraph"/>
              <w:tabs>
                <w:tab w:val="left" w:pos="2777"/>
              </w:tabs>
              <w:spacing w:after="160" w:line="259" w:lineRule="auto"/>
              <w:ind w:left="0"/>
            </w:pPr>
          </w:p>
          <w:p w14:paraId="58300609" w14:textId="3F4447D1" w:rsidR="00C53177" w:rsidRPr="007147C6" w:rsidRDefault="00C53177" w:rsidP="00C70306">
            <w:pPr>
              <w:pStyle w:val="ListParagraph"/>
              <w:tabs>
                <w:tab w:val="left" w:pos="2777"/>
              </w:tabs>
              <w:spacing w:after="120" w:line="259" w:lineRule="auto"/>
              <w:ind w:left="0"/>
            </w:pPr>
            <w:r>
              <w:t>Key to this is an approach to monitoring that looks at outcome</w:t>
            </w:r>
            <w:r w:rsidR="00196FA4">
              <w:t>-</w:t>
            </w:r>
            <w:r>
              <w:t>level change from a portfolio perspective</w:t>
            </w:r>
            <w:r w:rsidR="0003786C">
              <w:t>. This approach</w:t>
            </w:r>
            <w:r>
              <w:t xml:space="preserve"> uses th</w:t>
            </w:r>
            <w:r w:rsidR="0003786C">
              <w:t>e</w:t>
            </w:r>
            <w:r>
              <w:t xml:space="preserve"> monitoring information to inform reflection by partners</w:t>
            </w:r>
            <w:r w:rsidR="00F508EE">
              <w:t>—</w:t>
            </w:r>
            <w:r>
              <w:t>collectively and individually</w:t>
            </w:r>
            <w:r w:rsidR="00F508EE">
              <w:t>—</w:t>
            </w:r>
            <w:r>
              <w:t>on where and how they can adapt their respective engagement in ways that can enhance factors for a positive change within the system</w:t>
            </w:r>
            <w:r w:rsidR="0003786C">
              <w:t>. This leads</w:t>
            </w:r>
            <w:r>
              <w:t xml:space="preserve"> to a wider reach of benefits. </w:t>
            </w:r>
            <w:r w:rsidR="00E61870">
              <w:t>In addition to c</w:t>
            </w:r>
            <w:r>
              <w:t>limate change</w:t>
            </w:r>
            <w:r w:rsidR="00E61870">
              <w:t>,</w:t>
            </w:r>
            <w:r>
              <w:t xml:space="preserve"> gender equality and women’s empowerment are fundamental concerns that are hardwired into the delivery and monitoring frameworks of SDIP.</w:t>
            </w:r>
          </w:p>
        </w:tc>
      </w:tr>
    </w:tbl>
    <w:p w14:paraId="3B550E26" w14:textId="3894C4A5" w:rsidR="006354D0" w:rsidRPr="001C35C4" w:rsidRDefault="004B287E" w:rsidP="00C70306">
      <w:r>
        <w:br/>
      </w:r>
      <w:r w:rsidR="006354D0" w:rsidRPr="001C35C4">
        <w:t xml:space="preserve">In Vietnam, the design, strategic positioning and early implementation of the </w:t>
      </w:r>
      <w:r w:rsidR="00C74CDA">
        <w:t xml:space="preserve">portfolio </w:t>
      </w:r>
      <w:r w:rsidR="006354D0" w:rsidRPr="001C35C4">
        <w:t xml:space="preserve">approach was </w:t>
      </w:r>
      <w:r w:rsidR="00E61870">
        <w:t xml:space="preserve">of a </w:t>
      </w:r>
      <w:r w:rsidR="006354D0" w:rsidRPr="001C35C4">
        <w:t>high quality and contributed to important progress in Vietnam’s efforts to plan for and address climate change.</w:t>
      </w:r>
      <w:r w:rsidR="00110D83">
        <w:t xml:space="preserve"> </w:t>
      </w:r>
      <w:r w:rsidR="006354D0" w:rsidRPr="001C35C4">
        <w:t>The opportunity for the portfolio to have a stronger, more</w:t>
      </w:r>
      <w:r w:rsidR="00961D1B" w:rsidRPr="001C35C4">
        <w:t xml:space="preserve"> wide-</w:t>
      </w:r>
      <w:r w:rsidR="006354D0" w:rsidRPr="001C35C4">
        <w:t xml:space="preserve">ranging and deeper effect within </w:t>
      </w:r>
      <w:r w:rsidR="00E61870">
        <w:t>g</w:t>
      </w:r>
      <w:r w:rsidR="006354D0" w:rsidRPr="001C35C4">
        <w:t xml:space="preserve">overnment systems was compromised by the downscaling of resources, </w:t>
      </w:r>
      <w:r w:rsidR="00EE3911">
        <w:t xml:space="preserve">and the </w:t>
      </w:r>
      <w:r w:rsidR="00E61870">
        <w:t>dec</w:t>
      </w:r>
      <w:r w:rsidR="007B5326">
        <w:t>r</w:t>
      </w:r>
      <w:r w:rsidR="00E61870">
        <w:t>ease</w:t>
      </w:r>
      <w:r w:rsidR="00EE3911">
        <w:t xml:space="preserve"> in</w:t>
      </w:r>
      <w:r w:rsidR="00E61870">
        <w:t xml:space="preserve"> </w:t>
      </w:r>
      <w:r w:rsidR="006354D0" w:rsidRPr="001C35C4">
        <w:t xml:space="preserve">profile and attention given to the Australian strategy following the decision </w:t>
      </w:r>
      <w:r w:rsidR="00E61870">
        <w:t xml:space="preserve">in late 2013 </w:t>
      </w:r>
      <w:r w:rsidR="006354D0" w:rsidRPr="001C35C4">
        <w:t>to move away from supporting action on climate change.</w:t>
      </w:r>
    </w:p>
    <w:p w14:paraId="490C9CFF" w14:textId="77777777" w:rsidR="00F508EE" w:rsidRDefault="00851396" w:rsidP="00C70306">
      <w:pPr>
        <w:pStyle w:val="Heading4"/>
      </w:pPr>
      <w:r w:rsidRPr="001C35C4">
        <w:t>Finding</w:t>
      </w:r>
    </w:p>
    <w:p w14:paraId="03EFD0A3" w14:textId="1E9EA491" w:rsidR="00F508EE" w:rsidRDefault="00851396" w:rsidP="004B287E">
      <w:r w:rsidRPr="001C35C4">
        <w:t xml:space="preserve">One of </w:t>
      </w:r>
      <w:r w:rsidR="007E3010">
        <w:t xml:space="preserve">the </w:t>
      </w:r>
      <w:r w:rsidRPr="001C35C4">
        <w:t xml:space="preserve">three </w:t>
      </w:r>
      <w:r w:rsidR="00BC5446">
        <w:t>programs</w:t>
      </w:r>
      <w:r w:rsidR="00047252" w:rsidRPr="001C35C4">
        <w:t xml:space="preserve"> reviewed</w:t>
      </w:r>
      <w:r w:rsidR="00013239">
        <w:t>, Vietnam,</w:t>
      </w:r>
      <w:r w:rsidR="00047252" w:rsidRPr="001C35C4">
        <w:t xml:space="preserve"> had a strategy underpinned by a </w:t>
      </w:r>
      <w:r w:rsidRPr="001C35C4">
        <w:t>system</w:t>
      </w:r>
      <w:r w:rsidR="00E61870">
        <w:t>-</w:t>
      </w:r>
      <w:r w:rsidRPr="001C35C4">
        <w:t xml:space="preserve">based analysis to identify how </w:t>
      </w:r>
      <w:r w:rsidR="00047252" w:rsidRPr="001C35C4">
        <w:t xml:space="preserve">Australia could best </w:t>
      </w:r>
      <w:r w:rsidR="00675127">
        <w:t>contribute</w:t>
      </w:r>
      <w:r w:rsidR="00351CF0" w:rsidRPr="001C35C4">
        <w:t xml:space="preserve"> to climate change </w:t>
      </w:r>
      <w:r w:rsidR="00E61870">
        <w:t xml:space="preserve">action </w:t>
      </w:r>
      <w:r w:rsidR="00351CF0" w:rsidRPr="001C35C4">
        <w:t xml:space="preserve">in </w:t>
      </w:r>
      <w:r w:rsidR="00E61870">
        <w:t xml:space="preserve">the national </w:t>
      </w:r>
      <w:r w:rsidR="00047252" w:rsidRPr="001C35C4">
        <w:t>context</w:t>
      </w:r>
      <w:r w:rsidRPr="001C35C4">
        <w:t>.</w:t>
      </w:r>
      <w:r w:rsidR="00110D83">
        <w:t xml:space="preserve"> </w:t>
      </w:r>
      <w:r w:rsidRPr="001C35C4">
        <w:t xml:space="preserve">When </w:t>
      </w:r>
      <w:r w:rsidR="00635493" w:rsidRPr="001C35C4">
        <w:t xml:space="preserve">delivered with </w:t>
      </w:r>
      <w:r w:rsidRPr="001C35C4">
        <w:t>adequate technical, financial and leadership</w:t>
      </w:r>
      <w:r w:rsidR="00635493" w:rsidRPr="001C35C4">
        <w:t xml:space="preserve"> support</w:t>
      </w:r>
      <w:r w:rsidRPr="001C35C4">
        <w:t xml:space="preserve">, this </w:t>
      </w:r>
      <w:r w:rsidR="00351CF0" w:rsidRPr="001C35C4">
        <w:t xml:space="preserve">approach showed </w:t>
      </w:r>
      <w:r w:rsidR="00D13DC3" w:rsidRPr="001C35C4">
        <w:t xml:space="preserve">strong signs </w:t>
      </w:r>
      <w:r w:rsidR="00013239">
        <w:t xml:space="preserve">of </w:t>
      </w:r>
      <w:r w:rsidRPr="001C35C4">
        <w:t>tangible</w:t>
      </w:r>
      <w:r w:rsidR="00D13DC3" w:rsidRPr="001C35C4">
        <w:t xml:space="preserve"> </w:t>
      </w:r>
      <w:r w:rsidRPr="001C35C4">
        <w:t>climate change benefits</w:t>
      </w:r>
      <w:r w:rsidR="00351CF0" w:rsidRPr="001C35C4">
        <w:t>,</w:t>
      </w:r>
      <w:r w:rsidR="00D13DC3" w:rsidRPr="001C35C4">
        <w:t xml:space="preserve"> directly aligned to partner country priorities</w:t>
      </w:r>
      <w:r w:rsidR="00013239">
        <w:t>. It also</w:t>
      </w:r>
      <w:r w:rsidR="00351CF0" w:rsidRPr="001C35C4">
        <w:t xml:space="preserve"> enabled Australia to be seen as a partner with expertise and skills </w:t>
      </w:r>
      <w:r w:rsidR="00675127">
        <w:t xml:space="preserve">of value </w:t>
      </w:r>
      <w:r w:rsidR="00351CF0" w:rsidRPr="001C35C4">
        <w:t xml:space="preserve">to the Vietnamese </w:t>
      </w:r>
      <w:r w:rsidR="00E77E6A">
        <w:t>G</w:t>
      </w:r>
      <w:r w:rsidR="00351CF0" w:rsidRPr="001C35C4">
        <w:t>overnment</w:t>
      </w:r>
      <w:r w:rsidRPr="001C35C4">
        <w:t>.</w:t>
      </w:r>
    </w:p>
    <w:p w14:paraId="2223A335" w14:textId="3250F556" w:rsidR="00024E51" w:rsidRPr="00201786" w:rsidRDefault="00201786" w:rsidP="00201786">
      <w:pPr>
        <w:pStyle w:val="Heading2"/>
        <w:numPr>
          <w:ilvl w:val="0"/>
          <w:numId w:val="0"/>
        </w:numPr>
        <w:rPr>
          <w:color w:val="auto"/>
        </w:rPr>
      </w:pPr>
      <w:bookmarkStart w:id="81" w:name="_Toc510771931"/>
      <w:r>
        <w:rPr>
          <w:color w:val="auto"/>
        </w:rPr>
        <w:lastRenderedPageBreak/>
        <w:t xml:space="preserve">3.9 </w:t>
      </w:r>
      <w:r>
        <w:rPr>
          <w:color w:val="auto"/>
        </w:rPr>
        <w:tab/>
      </w:r>
      <w:r w:rsidRPr="00AD3BA3">
        <w:rPr>
          <w:color w:val="auto"/>
        </w:rPr>
        <w:t>Conclusions and recommendations for improving investment quality and impact</w:t>
      </w:r>
      <w:bookmarkEnd w:id="81"/>
    </w:p>
    <w:p w14:paraId="4C38DF40" w14:textId="2B0795D9" w:rsidR="00645DA7" w:rsidRDefault="00024E51" w:rsidP="00EA363D">
      <w:r>
        <w:t>The five key evaluation questions</w:t>
      </w:r>
      <w:r w:rsidR="000C51DB">
        <w:t>,</w:t>
      </w:r>
      <w:r>
        <w:t xml:space="preserve"> covering aspects of effectiveness, sustainability and value</w:t>
      </w:r>
      <w:r w:rsidR="003D5DE7">
        <w:t>-</w:t>
      </w:r>
      <w:r>
        <w:t>for</w:t>
      </w:r>
      <w:r w:rsidR="003D5DE7">
        <w:t>-</w:t>
      </w:r>
      <w:r>
        <w:t>money</w:t>
      </w:r>
      <w:r w:rsidR="000C51DB">
        <w:t>,</w:t>
      </w:r>
      <w:r>
        <w:t xml:space="preserve"> provide a basis for drawing </w:t>
      </w:r>
      <w:r w:rsidR="00645DA7">
        <w:t xml:space="preserve">a number of </w:t>
      </w:r>
      <w:r>
        <w:t>conclusions</w:t>
      </w:r>
      <w:r w:rsidR="000C51DB">
        <w:t xml:space="preserve"> on and recommendations for</w:t>
      </w:r>
      <w:r w:rsidR="00450F9C">
        <w:t xml:space="preserve"> </w:t>
      </w:r>
      <w:r>
        <w:t>DFAT</w:t>
      </w:r>
      <w:r w:rsidR="000D275D">
        <w:t>’</w:t>
      </w:r>
      <w:r>
        <w:t xml:space="preserve">s experience </w:t>
      </w:r>
      <w:r w:rsidR="00991D7F">
        <w:t>in achieving results through investments with climate change objectives</w:t>
      </w:r>
      <w:r w:rsidR="00645DA7">
        <w:t>. These are:</w:t>
      </w:r>
    </w:p>
    <w:p w14:paraId="3CD98087" w14:textId="602A6791" w:rsidR="00F508EE" w:rsidRDefault="00024E51" w:rsidP="00EA363D">
      <w:pPr>
        <w:pStyle w:val="ListBullet"/>
      </w:pPr>
      <w:r w:rsidRPr="00EA363D">
        <w:rPr>
          <w:rStyle w:val="Strong"/>
        </w:rPr>
        <w:t>There are contextually important examples of where Australia’s investments with a targeted climate change objective has reduced vulnerability to climate change.</w:t>
      </w:r>
      <w:r w:rsidR="00F508EE" w:rsidRPr="005841BE">
        <w:rPr>
          <w:i/>
        </w:rPr>
        <w:t xml:space="preserve"> </w:t>
      </w:r>
      <w:r>
        <w:t xml:space="preserve">A good proportion of the individual targeted investments proved to be good at delivering outputs but overall </w:t>
      </w:r>
      <w:r w:rsidR="00BC5446">
        <w:t>they were weak in</w:t>
      </w:r>
      <w:r>
        <w:t xml:space="preserve"> translating to results (or promising results) at the outcome level</w:t>
      </w:r>
      <w:r w:rsidR="000C51DB">
        <w:t xml:space="preserve">, which was </w:t>
      </w:r>
      <w:r>
        <w:t>the focus of th</w:t>
      </w:r>
      <w:r w:rsidR="007E3010">
        <w:t>e</w:t>
      </w:r>
      <w:r>
        <w:t xml:space="preserve"> evaluation. There were</w:t>
      </w:r>
      <w:r w:rsidR="00363663">
        <w:t>,</w:t>
      </w:r>
      <w:r>
        <w:t xml:space="preserve"> however</w:t>
      </w:r>
      <w:r w:rsidR="00363663">
        <w:t>,</w:t>
      </w:r>
      <w:r>
        <w:t xml:space="preserve"> some notable examples of investments delivering in ways that </w:t>
      </w:r>
      <w:r w:rsidR="007E3010">
        <w:t xml:space="preserve">had </w:t>
      </w:r>
      <w:r w:rsidR="003D4FF0">
        <w:t>resulted in</w:t>
      </w:r>
      <w:r w:rsidR="000C51DB">
        <w:t>,</w:t>
      </w:r>
      <w:r w:rsidR="003D4FF0">
        <w:t xml:space="preserve"> </w:t>
      </w:r>
      <w:r w:rsidR="007E3010">
        <w:t xml:space="preserve">or </w:t>
      </w:r>
      <w:r>
        <w:t>promise</w:t>
      </w:r>
      <w:r w:rsidR="000C51DB">
        <w:t>d,</w:t>
      </w:r>
      <w:r>
        <w:t xml:space="preserve"> significant outcomes over time. The design of effective investments utilised internal design </w:t>
      </w:r>
      <w:r w:rsidR="00E05495">
        <w:t xml:space="preserve">and technical support </w:t>
      </w:r>
      <w:r>
        <w:t>capabilities in place up until 2013.</w:t>
      </w:r>
    </w:p>
    <w:p w14:paraId="7F24928E" w14:textId="55D404D5" w:rsidR="00024E51" w:rsidRPr="00C731E0" w:rsidRDefault="00675127" w:rsidP="000904EE">
      <w:pPr>
        <w:pStyle w:val="ListBullet"/>
      </w:pPr>
      <w:r>
        <w:rPr>
          <w:rStyle w:val="Strong"/>
        </w:rPr>
        <w:t xml:space="preserve">The only known case of </w:t>
      </w:r>
      <w:r w:rsidR="00024E51" w:rsidRPr="004B287E">
        <w:rPr>
          <w:rStyle w:val="Strong"/>
        </w:rPr>
        <w:t>portfolio</w:t>
      </w:r>
      <w:r w:rsidR="00EE3911">
        <w:rPr>
          <w:rStyle w:val="Strong"/>
        </w:rPr>
        <w:t>-</w:t>
      </w:r>
      <w:r w:rsidR="00980602" w:rsidRPr="004B287E">
        <w:rPr>
          <w:rStyle w:val="Strong"/>
        </w:rPr>
        <w:t xml:space="preserve">wide </w:t>
      </w:r>
      <w:r w:rsidR="00024E51" w:rsidRPr="004B287E">
        <w:rPr>
          <w:rStyle w:val="Strong"/>
        </w:rPr>
        <w:t>engagement on climate change action is the bilateral aid program for Vietnam</w:t>
      </w:r>
      <w:r w:rsidR="00F508EE" w:rsidRPr="004B287E">
        <w:rPr>
          <w:rStyle w:val="Strong"/>
        </w:rPr>
        <w:t>.</w:t>
      </w:r>
      <w:r w:rsidR="00F508EE">
        <w:rPr>
          <w:i/>
        </w:rPr>
        <w:t xml:space="preserve"> </w:t>
      </w:r>
      <w:r w:rsidR="00024E51">
        <w:t>The design, strategic positioning and early implementation of this approach was high quality and contributed to some important areas of progress in Vietnam’s efforts to plan for and address climate change.</w:t>
      </w:r>
      <w:r w:rsidR="00110D83">
        <w:t xml:space="preserve"> </w:t>
      </w:r>
      <w:r w:rsidR="00980602">
        <w:t xml:space="preserve">It developed a portfolio of investments and engagement points within the frame of a strategic view. </w:t>
      </w:r>
      <w:r w:rsidR="00024E51">
        <w:t>The opportunity for the portfolio to have a s</w:t>
      </w:r>
      <w:r w:rsidR="009766B5">
        <w:t xml:space="preserve">tronger, </w:t>
      </w:r>
      <w:r w:rsidR="00024E51">
        <w:t>more wide</w:t>
      </w:r>
      <w:r w:rsidR="000D275D">
        <w:t>-</w:t>
      </w:r>
      <w:r w:rsidR="00024E51">
        <w:t xml:space="preserve">ranging and deeper effect within </w:t>
      </w:r>
      <w:r w:rsidR="00EE3911">
        <w:t>g</w:t>
      </w:r>
      <w:r w:rsidR="00024E51">
        <w:t xml:space="preserve">overnment systems was compromised by the downscaling of resources </w:t>
      </w:r>
      <w:r w:rsidR="00EE3911">
        <w:t>and dec</w:t>
      </w:r>
      <w:r w:rsidR="000904EE">
        <w:t>r</w:t>
      </w:r>
      <w:r w:rsidR="00EE3911">
        <w:t xml:space="preserve">ease in </w:t>
      </w:r>
      <w:r w:rsidR="00024E51">
        <w:t>profile and attention given to the Australian strategy following the decision</w:t>
      </w:r>
      <w:r w:rsidR="00EE3911">
        <w:t xml:space="preserve"> in late 2013</w:t>
      </w:r>
      <w:r w:rsidR="00024E51">
        <w:t xml:space="preserve"> to move away from supporting action on climate change.</w:t>
      </w:r>
    </w:p>
    <w:p w14:paraId="391757C9" w14:textId="46590091" w:rsidR="00024E51" w:rsidRDefault="00024E51" w:rsidP="008F69D3">
      <w:pPr>
        <w:pStyle w:val="ListBullet"/>
      </w:pPr>
      <w:r w:rsidRPr="004B287E">
        <w:rPr>
          <w:rStyle w:val="Strong"/>
        </w:rPr>
        <w:t>There are a number of success factors characterising those investments assessed to be more likely to produce significant climate benefits.</w:t>
      </w:r>
      <w:r>
        <w:t xml:space="preserve"> These relate to the longevity of the engagement and the strength of the partnering and relationships engendered between organisations; taking a development-first approach to climate and disaster risk management (</w:t>
      </w:r>
      <w:r w:rsidR="008F69D3" w:rsidRPr="008F69D3">
        <w:t>mainstream</w:t>
      </w:r>
      <w:r w:rsidR="008F69D3">
        <w:t>ing</w:t>
      </w:r>
      <w:r w:rsidR="008F69D3" w:rsidRPr="008F69D3">
        <w:t xml:space="preserve"> climate considerations into existing development priorities and associated planning and decision</w:t>
      </w:r>
      <w:r w:rsidR="000C51DB">
        <w:t xml:space="preserve"> </w:t>
      </w:r>
      <w:r w:rsidR="008F69D3" w:rsidRPr="008F69D3">
        <w:t>making</w:t>
      </w:r>
      <w:r>
        <w:t>); and, through strong institutional buy-in, being explicitly linked to partner country priorities with explicit climate or disaster</w:t>
      </w:r>
      <w:r w:rsidR="00EE3911">
        <w:t>-</w:t>
      </w:r>
      <w:r>
        <w:t>related outcomes.</w:t>
      </w:r>
    </w:p>
    <w:p w14:paraId="4F8F79C8" w14:textId="0786D4C7" w:rsidR="00F508EE" w:rsidRDefault="00024E51" w:rsidP="00EA363D">
      <w:pPr>
        <w:pStyle w:val="ListBullet"/>
      </w:pPr>
      <w:r w:rsidRPr="004B287E">
        <w:rPr>
          <w:rStyle w:val="Strong"/>
        </w:rPr>
        <w:t xml:space="preserve">Experience points to some important detracting factors. </w:t>
      </w:r>
      <w:r>
        <w:t xml:space="preserve">These </w:t>
      </w:r>
      <w:r w:rsidR="003E07DF">
        <w:t>include</w:t>
      </w:r>
      <w:r w:rsidR="00110D83">
        <w:t xml:space="preserve"> </w:t>
      </w:r>
      <w:r>
        <w:t>the partial view</w:t>
      </w:r>
      <w:r w:rsidR="000C51DB">
        <w:t>,</w:t>
      </w:r>
      <w:r>
        <w:t xml:space="preserve"> and often inconsequential position</w:t>
      </w:r>
      <w:r w:rsidR="000C51DB">
        <w:t>,</w:t>
      </w:r>
      <w:r>
        <w:t xml:space="preserve"> that comes from climate change objectives being added to an already very objective</w:t>
      </w:r>
      <w:r w:rsidR="00EE3911">
        <w:t>-</w:t>
      </w:r>
      <w:r w:rsidR="00B42DE8">
        <w:t>congested project</w:t>
      </w:r>
      <w:r w:rsidR="003E07DF">
        <w:t xml:space="preserve">; projects with </w:t>
      </w:r>
      <w:r w:rsidR="00944320">
        <w:t>u</w:t>
      </w:r>
      <w:r>
        <w:t xml:space="preserve">nclear </w:t>
      </w:r>
      <w:r w:rsidRPr="00B25F97">
        <w:t>objectives and</w:t>
      </w:r>
      <w:r w:rsidR="00645DA7">
        <w:t>/or</w:t>
      </w:r>
      <w:r w:rsidRPr="00B25F97">
        <w:t xml:space="preserve"> lack of cl</w:t>
      </w:r>
      <w:r>
        <w:t xml:space="preserve">arity on parameters of success </w:t>
      </w:r>
      <w:r w:rsidRPr="00B25F97">
        <w:t xml:space="preserve">in terms of </w:t>
      </w:r>
      <w:r>
        <w:t>climate change; and weak she</w:t>
      </w:r>
      <w:r w:rsidRPr="00B25F97">
        <w:t>pherding of a pilot</w:t>
      </w:r>
      <w:r>
        <w:t xml:space="preserve"> in a politically sensitive and complex governance setting.</w:t>
      </w:r>
    </w:p>
    <w:p w14:paraId="4E3FDD99" w14:textId="3DBF136A" w:rsidR="00F508EE" w:rsidRDefault="00024E51" w:rsidP="00EA363D">
      <w:pPr>
        <w:pStyle w:val="ListBullet"/>
      </w:pPr>
      <w:r w:rsidRPr="00EA363D">
        <w:rPr>
          <w:rStyle w:val="Strong"/>
        </w:rPr>
        <w:t>Technical assistance that is blended, experienced and strategically positioned in support</w:t>
      </w:r>
      <w:r w:rsidR="00B42DE8" w:rsidRPr="00EA363D">
        <w:rPr>
          <w:rStyle w:val="Strong"/>
        </w:rPr>
        <w:t>ing climate change planning and</w:t>
      </w:r>
      <w:r w:rsidRPr="00EA363D">
        <w:rPr>
          <w:rStyle w:val="Strong"/>
        </w:rPr>
        <w:t xml:space="preserve"> implementation makes a difference</w:t>
      </w:r>
      <w:r w:rsidR="00F508EE" w:rsidRPr="00EA363D">
        <w:rPr>
          <w:rStyle w:val="Strong"/>
        </w:rPr>
        <w:t>.</w:t>
      </w:r>
      <w:r w:rsidR="00F508EE">
        <w:rPr>
          <w:i/>
        </w:rPr>
        <w:t xml:space="preserve"> </w:t>
      </w:r>
      <w:r w:rsidRPr="00A16D7E">
        <w:t xml:space="preserve">Technical assistance </w:t>
      </w:r>
      <w:r>
        <w:t xml:space="preserve">which uses skills and knowledge in both development and science to drive development outcomes </w:t>
      </w:r>
      <w:r w:rsidR="00675127">
        <w:t>is important</w:t>
      </w:r>
      <w:r>
        <w:t xml:space="preserve">. Australian technical, research and policy bodies have highly regarded skills and strong regional relationships to offer, which </w:t>
      </w:r>
      <w:r w:rsidR="00675127">
        <w:t>are</w:t>
      </w:r>
      <w:r>
        <w:t xml:space="preserve"> essential for climate change action in the aid program</w:t>
      </w:r>
      <w:r w:rsidR="000C51DB">
        <w:t xml:space="preserve">. These, however, </w:t>
      </w:r>
      <w:r w:rsidR="00675127">
        <w:t>must be balanced with skills and knowledge in development programming</w:t>
      </w:r>
      <w:r>
        <w:t>.</w:t>
      </w:r>
    </w:p>
    <w:p w14:paraId="68880ADF" w14:textId="77777777" w:rsidR="003A48E2" w:rsidRDefault="003A48E2" w:rsidP="003A48E2">
      <w:pPr>
        <w:pStyle w:val="ListBullet"/>
      </w:pPr>
      <w:r w:rsidRPr="00100570">
        <w:rPr>
          <w:rStyle w:val="Strong"/>
        </w:rPr>
        <w:lastRenderedPageBreak/>
        <w:t xml:space="preserve">There is scope for a </w:t>
      </w:r>
      <w:r>
        <w:rPr>
          <w:rStyle w:val="Strong"/>
        </w:rPr>
        <w:t>stronger</w:t>
      </w:r>
      <w:r w:rsidRPr="00100570">
        <w:rPr>
          <w:rStyle w:val="Strong"/>
        </w:rPr>
        <w:t xml:space="preserve"> whole</w:t>
      </w:r>
      <w:r>
        <w:rPr>
          <w:rStyle w:val="Strong"/>
        </w:rPr>
        <w:t>-</w:t>
      </w:r>
      <w:r w:rsidRPr="00100570">
        <w:rPr>
          <w:rStyle w:val="Strong"/>
        </w:rPr>
        <w:t>of</w:t>
      </w:r>
      <w:r>
        <w:rPr>
          <w:rStyle w:val="Strong"/>
        </w:rPr>
        <w:t>-</w:t>
      </w:r>
      <w:r w:rsidRPr="00100570">
        <w:rPr>
          <w:rStyle w:val="Strong"/>
        </w:rPr>
        <w:t>government approach to climate change in international development.</w:t>
      </w:r>
      <w:r>
        <w:t xml:space="preserve"> </w:t>
      </w:r>
      <w:r w:rsidRPr="00D91929">
        <w:t>Australian technical, research and policy bodies have highly regarded skills</w:t>
      </w:r>
      <w:r>
        <w:t>, institutional capacity</w:t>
      </w:r>
      <w:r w:rsidRPr="00D91929">
        <w:t xml:space="preserve"> and strong regional relationships to offer, which </w:t>
      </w:r>
      <w:r>
        <w:t>are</w:t>
      </w:r>
      <w:r w:rsidRPr="00D91929">
        <w:t xml:space="preserve"> essential for climate change action in the aid program. There is opportunity to strengthen a whole</w:t>
      </w:r>
      <w:r>
        <w:t>-</w:t>
      </w:r>
      <w:r w:rsidRPr="00D91929">
        <w:t>of</w:t>
      </w:r>
      <w:r>
        <w:t>-</w:t>
      </w:r>
      <w:r w:rsidRPr="00D91929">
        <w:t xml:space="preserve">government approach to climate change, underpinned </w:t>
      </w:r>
      <w:r>
        <w:t xml:space="preserve">by clear strategic goals </w:t>
      </w:r>
      <w:r w:rsidRPr="00D91929">
        <w:t>and framed by a DFAT</w:t>
      </w:r>
      <w:r>
        <w:t>-</w:t>
      </w:r>
      <w:r w:rsidRPr="00D91929">
        <w:t>led monitoring</w:t>
      </w:r>
      <w:r>
        <w:t xml:space="preserve"> framework</w:t>
      </w:r>
      <w:r w:rsidRPr="00D91929">
        <w:t>, ensuring technical and development agencies work in partnership towards a common policy framework to deliver effective climate change programs</w:t>
      </w:r>
      <w:r>
        <w:t>.</w:t>
      </w:r>
    </w:p>
    <w:p w14:paraId="461602B9" w14:textId="66589AF4" w:rsidR="003A48E2" w:rsidRDefault="003A48E2" w:rsidP="003A48E2">
      <w:pPr>
        <w:pStyle w:val="ListBullet"/>
      </w:pPr>
      <w:r w:rsidRPr="00100570">
        <w:rPr>
          <w:rStyle w:val="Strong"/>
        </w:rPr>
        <w:t xml:space="preserve">Gender and broader social inclusion dimensions to climate change action could </w:t>
      </w:r>
      <w:r>
        <w:rPr>
          <w:rStyle w:val="Strong"/>
        </w:rPr>
        <w:t xml:space="preserve">be </w:t>
      </w:r>
      <w:r w:rsidRPr="00100570">
        <w:rPr>
          <w:rStyle w:val="Strong"/>
        </w:rPr>
        <w:t>more effectively followed through.</w:t>
      </w:r>
      <w:r>
        <w:rPr>
          <w:b/>
          <w:i/>
        </w:rPr>
        <w:t xml:space="preserve"> </w:t>
      </w:r>
      <w:r>
        <w:t xml:space="preserve">Gender outcomes were evident in around </w:t>
      </w:r>
      <w:r w:rsidR="00A07ED6">
        <w:t>one--</w:t>
      </w:r>
      <w:r>
        <w:t>third of investments that had climate-related objectives. While gender may have been in the design, in many cases it was neither implemented nor monitored appropriately to describe or demonstrate outcomes. Gender outcomes were stronger in investments where DFAT was actively involved. There is little evidence of disability-inclusive development outcomes in investments where climate is a primary objective.</w:t>
      </w:r>
    </w:p>
    <w:p w14:paraId="55735AC2" w14:textId="703D6D7C" w:rsidR="003A48E2" w:rsidRPr="00EC59EF" w:rsidRDefault="003A48E2" w:rsidP="003A48E2">
      <w:pPr>
        <w:pStyle w:val="ListBullet"/>
      </w:pPr>
      <w:r w:rsidRPr="00100570">
        <w:rPr>
          <w:rStyle w:val="Strong"/>
        </w:rPr>
        <w:t>Past investments show a tentative relationship between climate change and Australian security, trade, economic and diplomatic interests.</w:t>
      </w:r>
      <w:r>
        <w:rPr>
          <w:i/>
        </w:rPr>
        <w:t xml:space="preserve"> </w:t>
      </w:r>
      <w:r>
        <w:t>The</w:t>
      </w:r>
      <w:r w:rsidRPr="00EC59EF">
        <w:t>re is evidence of intersections, both compl</w:t>
      </w:r>
      <w:r w:rsidR="00363663">
        <w:t>e</w:t>
      </w:r>
      <w:r w:rsidRPr="00EC59EF">
        <w:t xml:space="preserve">mentary and </w:t>
      </w:r>
      <w:r>
        <w:t>conflicting</w:t>
      </w:r>
      <w:r w:rsidRPr="00EC59EF">
        <w:t xml:space="preserve">, between Australia’s </w:t>
      </w:r>
      <w:r>
        <w:t xml:space="preserve">climate change investments and other national policy interests, and of missed </w:t>
      </w:r>
      <w:r w:rsidRPr="00EC59EF">
        <w:t>opportunities</w:t>
      </w:r>
      <w:r>
        <w:t>. There are significant opportunities in the integrated department to explicitly consider how trade and foreign policy can be furthered through climate change investments, and vice-versa.</w:t>
      </w:r>
    </w:p>
    <w:p w14:paraId="66628B3C" w14:textId="727DDDB3" w:rsidR="00F508EE" w:rsidRDefault="00736D75" w:rsidP="00EA363D">
      <w:pPr>
        <w:pStyle w:val="ListBullet"/>
        <w:rPr>
          <w:i/>
        </w:rPr>
      </w:pPr>
      <w:r>
        <w:rPr>
          <w:b/>
        </w:rPr>
        <w:t>T</w:t>
      </w:r>
      <w:r w:rsidR="00024E51" w:rsidRPr="00EA363D">
        <w:rPr>
          <w:b/>
        </w:rPr>
        <w:t xml:space="preserve">he </w:t>
      </w:r>
      <w:r w:rsidR="00B6685F" w:rsidRPr="00EA363D">
        <w:rPr>
          <w:b/>
        </w:rPr>
        <w:t xml:space="preserve">direct </w:t>
      </w:r>
      <w:r w:rsidR="00024E51" w:rsidRPr="00EA363D">
        <w:rPr>
          <w:b/>
        </w:rPr>
        <w:t xml:space="preserve">benefits of Australia’s climate change action </w:t>
      </w:r>
      <w:r>
        <w:rPr>
          <w:b/>
        </w:rPr>
        <w:t xml:space="preserve">are </w:t>
      </w:r>
      <w:r w:rsidR="00024E51" w:rsidRPr="00EA363D">
        <w:rPr>
          <w:b/>
        </w:rPr>
        <w:t>likely to continue beyond the life of the investments</w:t>
      </w:r>
      <w:r>
        <w:rPr>
          <w:b/>
        </w:rPr>
        <w:t xml:space="preserve"> </w:t>
      </w:r>
      <w:r w:rsidRPr="00432444">
        <w:rPr>
          <w:b/>
        </w:rPr>
        <w:t xml:space="preserve">to </w:t>
      </w:r>
      <w:r w:rsidR="00A00CAB">
        <w:rPr>
          <w:b/>
        </w:rPr>
        <w:t xml:space="preserve">only </w:t>
      </w:r>
      <w:r w:rsidRPr="00432444">
        <w:rPr>
          <w:b/>
        </w:rPr>
        <w:t>a limited extent</w:t>
      </w:r>
      <w:r w:rsidR="00024E51" w:rsidRPr="00B93A9D">
        <w:t>.</w:t>
      </w:r>
      <w:r w:rsidR="00F508EE">
        <w:rPr>
          <w:i/>
        </w:rPr>
        <w:t xml:space="preserve"> </w:t>
      </w:r>
      <w:r w:rsidR="00024E51">
        <w:t xml:space="preserve">The anchoring of the investments within a broader appreciation of the </w:t>
      </w:r>
      <w:r w:rsidR="007E3010">
        <w:t>long-term</w:t>
      </w:r>
      <w:r w:rsidR="00024E51">
        <w:t xml:space="preserve"> challenges </w:t>
      </w:r>
      <w:r w:rsidR="00A00CAB">
        <w:t>to</w:t>
      </w:r>
      <w:r w:rsidR="00024E51">
        <w:t xml:space="preserve"> improvements in government systems is limited to a number of specific cases. </w:t>
      </w:r>
      <w:r w:rsidR="00024E51" w:rsidRPr="00B93A9D">
        <w:t xml:space="preserve">DFAT has no </w:t>
      </w:r>
      <w:r w:rsidR="00A00CAB">
        <w:t>well-developed approach</w:t>
      </w:r>
      <w:r w:rsidR="00024E51" w:rsidRPr="00B93A9D">
        <w:t xml:space="preserve"> to establish </w:t>
      </w:r>
      <w:r w:rsidR="009766B5">
        <w:t xml:space="preserve">or determine </w:t>
      </w:r>
      <w:r w:rsidR="00024E51" w:rsidRPr="00B93A9D">
        <w:t>value</w:t>
      </w:r>
      <w:r w:rsidR="003D5DE7">
        <w:t>-</w:t>
      </w:r>
      <w:r w:rsidR="00024E51" w:rsidRPr="00B93A9D">
        <w:t>for</w:t>
      </w:r>
      <w:r w:rsidR="003D5DE7">
        <w:t>-</w:t>
      </w:r>
      <w:r w:rsidR="00024E51" w:rsidRPr="00B93A9D">
        <w:t>money for climate change investments</w:t>
      </w:r>
      <w:r w:rsidR="00F508EE">
        <w:rPr>
          <w:i/>
        </w:rPr>
        <w:t>.</w:t>
      </w:r>
    </w:p>
    <w:p w14:paraId="6D847B46" w14:textId="77777777" w:rsidR="0012518E" w:rsidRPr="00AD3BA3" w:rsidRDefault="0012518E" w:rsidP="0012518E">
      <w:pPr>
        <w:pStyle w:val="Heading3"/>
        <w:rPr>
          <w:color w:val="auto"/>
        </w:rPr>
      </w:pPr>
      <w:r w:rsidRPr="00AD3BA3">
        <w:rPr>
          <w:color w:val="auto"/>
        </w:rPr>
        <w:t>Recommendations</w:t>
      </w:r>
      <w:r w:rsidR="00635493" w:rsidRPr="00AD3BA3">
        <w:rPr>
          <w:color w:val="auto"/>
        </w:rPr>
        <w:t xml:space="preserve"> for improving investment quality and impact</w:t>
      </w:r>
    </w:p>
    <w:p w14:paraId="1EC05A43" w14:textId="2875F4C9" w:rsidR="00F31C9C" w:rsidRPr="00AD3BA3" w:rsidRDefault="00F31C9C" w:rsidP="00AF5EBB">
      <w:pPr>
        <w:pStyle w:val="ListParagraph"/>
        <w:numPr>
          <w:ilvl w:val="0"/>
          <w:numId w:val="15"/>
        </w:numPr>
        <w:spacing w:after="0"/>
        <w:rPr>
          <w:b/>
        </w:rPr>
      </w:pPr>
      <w:r w:rsidRPr="00AD3BA3">
        <w:rPr>
          <w:b/>
        </w:rPr>
        <w:t xml:space="preserve">Position Australia’s efforts strategically in </w:t>
      </w:r>
      <w:r w:rsidR="00AD3BA3" w:rsidRPr="00D04A94">
        <w:rPr>
          <w:b/>
        </w:rPr>
        <w:t>a</w:t>
      </w:r>
      <w:r w:rsidRPr="00AD3BA3">
        <w:rPr>
          <w:b/>
        </w:rPr>
        <w:t xml:space="preserve">id </w:t>
      </w:r>
      <w:r w:rsidR="00AD3BA3" w:rsidRPr="00D04A94">
        <w:rPr>
          <w:b/>
        </w:rPr>
        <w:t>i</w:t>
      </w:r>
      <w:r w:rsidRPr="00AD3BA3">
        <w:rPr>
          <w:b/>
        </w:rPr>
        <w:t xml:space="preserve">nvestment </w:t>
      </w:r>
      <w:r w:rsidR="00AD3BA3" w:rsidRPr="00D04A94">
        <w:rPr>
          <w:b/>
        </w:rPr>
        <w:t>p</w:t>
      </w:r>
      <w:r w:rsidRPr="00AD3BA3">
        <w:rPr>
          <w:b/>
        </w:rPr>
        <w:t xml:space="preserve">lans. AIPs should use a systems approach to identify opportunities to engage on climate change. </w:t>
      </w:r>
      <w:r w:rsidRPr="00AD3BA3">
        <w:t xml:space="preserve">The </w:t>
      </w:r>
      <w:r w:rsidR="00AD3BA3">
        <w:t>AIP</w:t>
      </w:r>
      <w:r w:rsidRPr="00AD3BA3">
        <w:t xml:space="preserve"> process could usefully analyse and consider:</w:t>
      </w:r>
    </w:p>
    <w:p w14:paraId="54537D87" w14:textId="77777777" w:rsidR="00F31C9C" w:rsidRPr="00AD3BA3" w:rsidRDefault="00F31C9C" w:rsidP="00AF5EBB">
      <w:pPr>
        <w:pStyle w:val="ListParagraph"/>
        <w:numPr>
          <w:ilvl w:val="1"/>
          <w:numId w:val="9"/>
        </w:numPr>
        <w:rPr>
          <w:color w:val="434343"/>
        </w:rPr>
      </w:pPr>
      <w:r w:rsidRPr="00AD3BA3">
        <w:rPr>
          <w:color w:val="434343"/>
        </w:rPr>
        <w:t>the effect of climate change on development priorities</w:t>
      </w:r>
    </w:p>
    <w:p w14:paraId="22037EEF" w14:textId="77777777" w:rsidR="00F31C9C" w:rsidRPr="00AD3BA3" w:rsidRDefault="00F31C9C" w:rsidP="00AF5EBB">
      <w:pPr>
        <w:pStyle w:val="ListParagraph"/>
        <w:numPr>
          <w:ilvl w:val="1"/>
          <w:numId w:val="9"/>
        </w:numPr>
        <w:rPr>
          <w:color w:val="434343"/>
        </w:rPr>
      </w:pPr>
      <w:r w:rsidRPr="00AD3BA3">
        <w:rPr>
          <w:color w:val="434343"/>
        </w:rPr>
        <w:t>where Australia can best engage with the partner country on climate change issues</w:t>
      </w:r>
    </w:p>
    <w:p w14:paraId="7B2956F6" w14:textId="503C7885" w:rsidR="00F31C9C" w:rsidRPr="00AD3BA3" w:rsidRDefault="00F31C9C" w:rsidP="00AF5EBB">
      <w:pPr>
        <w:pStyle w:val="ListParagraph"/>
        <w:numPr>
          <w:ilvl w:val="1"/>
          <w:numId w:val="9"/>
        </w:numPr>
        <w:rPr>
          <w:b/>
          <w:color w:val="434343"/>
          <w:szCs w:val="23"/>
        </w:rPr>
      </w:pPr>
      <w:r w:rsidRPr="00AD3BA3">
        <w:rPr>
          <w:color w:val="434343"/>
        </w:rPr>
        <w:t>how to best integrate climate change and DRR efforts into National Adaptation Plans</w:t>
      </w:r>
      <w:r w:rsidR="00D0433B">
        <w:rPr>
          <w:color w:val="434343"/>
        </w:rPr>
        <w:t xml:space="preserve"> or </w:t>
      </w:r>
      <w:r w:rsidRPr="00AD3BA3">
        <w:rPr>
          <w:color w:val="434343"/>
        </w:rPr>
        <w:t>NDC delivery, thereby reducing the burden on partner countries and supporting a partner-led approach.</w:t>
      </w:r>
    </w:p>
    <w:p w14:paraId="7BFA07C9" w14:textId="3AE85451" w:rsidR="00F31C9C" w:rsidRPr="008B4096" w:rsidRDefault="00F31C9C" w:rsidP="00AF5EBB">
      <w:pPr>
        <w:pStyle w:val="ListParagraph"/>
        <w:numPr>
          <w:ilvl w:val="0"/>
          <w:numId w:val="15"/>
        </w:numPr>
        <w:spacing w:after="0"/>
        <w:rPr>
          <w:b/>
        </w:rPr>
      </w:pPr>
      <w:r w:rsidRPr="008B4096">
        <w:rPr>
          <w:b/>
        </w:rPr>
        <w:t xml:space="preserve">The Sustainability and Climate Change Branch should provide </w:t>
      </w:r>
      <w:r>
        <w:rPr>
          <w:b/>
        </w:rPr>
        <w:t xml:space="preserve">further </w:t>
      </w:r>
      <w:r w:rsidRPr="008B4096">
        <w:rPr>
          <w:b/>
        </w:rPr>
        <w:t>guidance for mainstreaming climate change investments</w:t>
      </w:r>
      <w:r>
        <w:rPr>
          <w:b/>
        </w:rPr>
        <w:t>, focusing</w:t>
      </w:r>
      <w:r w:rsidRPr="008B4096">
        <w:rPr>
          <w:b/>
        </w:rPr>
        <w:t xml:space="preserve"> on sectors that will benefit most</w:t>
      </w:r>
      <w:r>
        <w:rPr>
          <w:b/>
        </w:rPr>
        <w:t xml:space="preserve"> from early efforts</w:t>
      </w:r>
      <w:r w:rsidRPr="008B4096">
        <w:rPr>
          <w:b/>
        </w:rPr>
        <w:t>:</w:t>
      </w:r>
    </w:p>
    <w:p w14:paraId="4209A3EE" w14:textId="7DF784A2" w:rsidR="00F31C9C" w:rsidRDefault="00F31C9C" w:rsidP="00AF5EBB">
      <w:pPr>
        <w:pStyle w:val="ListParagraph"/>
        <w:numPr>
          <w:ilvl w:val="1"/>
          <w:numId w:val="9"/>
        </w:numPr>
        <w:rPr>
          <w:color w:val="434343"/>
        </w:rPr>
      </w:pPr>
      <w:r w:rsidRPr="00AF189C">
        <w:rPr>
          <w:color w:val="434343"/>
        </w:rPr>
        <w:t xml:space="preserve">Mainstreamed climate change </w:t>
      </w:r>
      <w:r>
        <w:rPr>
          <w:color w:val="434343"/>
        </w:rPr>
        <w:t>i</w:t>
      </w:r>
      <w:r w:rsidRPr="00AF189C">
        <w:rPr>
          <w:color w:val="434343"/>
        </w:rPr>
        <w:t xml:space="preserve">nvestments need explicit climate change outcomes, clearly defined at </w:t>
      </w:r>
      <w:r>
        <w:rPr>
          <w:color w:val="434343"/>
        </w:rPr>
        <w:t xml:space="preserve">the </w:t>
      </w:r>
      <w:r w:rsidRPr="00AF189C">
        <w:rPr>
          <w:color w:val="434343"/>
        </w:rPr>
        <w:t xml:space="preserve">design stage and tracked through meaningful indicators and </w:t>
      </w:r>
      <w:r w:rsidR="00D0433B">
        <w:rPr>
          <w:color w:val="434343"/>
        </w:rPr>
        <w:t>sound</w:t>
      </w:r>
      <w:r w:rsidR="00D0433B" w:rsidRPr="00AF189C">
        <w:rPr>
          <w:color w:val="434343"/>
        </w:rPr>
        <w:t xml:space="preserve"> </w:t>
      </w:r>
      <w:r w:rsidRPr="00AF189C">
        <w:rPr>
          <w:color w:val="434343"/>
        </w:rPr>
        <w:t>monitoring.</w:t>
      </w:r>
    </w:p>
    <w:p w14:paraId="06E2A952" w14:textId="310388E1" w:rsidR="00F31C9C" w:rsidRDefault="00F31C9C" w:rsidP="00AF5EBB">
      <w:pPr>
        <w:pStyle w:val="ListParagraph"/>
        <w:numPr>
          <w:ilvl w:val="1"/>
          <w:numId w:val="9"/>
        </w:numPr>
        <w:rPr>
          <w:color w:val="434343"/>
        </w:rPr>
      </w:pPr>
      <w:r w:rsidRPr="00AF189C">
        <w:rPr>
          <w:color w:val="434343"/>
        </w:rPr>
        <w:t>Where climate change is a secondary objective, the climate</w:t>
      </w:r>
      <w:r>
        <w:rPr>
          <w:color w:val="434343"/>
        </w:rPr>
        <w:t>-</w:t>
      </w:r>
      <w:r w:rsidRPr="00AF189C">
        <w:rPr>
          <w:color w:val="434343"/>
        </w:rPr>
        <w:t>relevant outcomes should be explicit in the design, accompanied by suggested implementation strategies and approaches to measurement.</w:t>
      </w:r>
    </w:p>
    <w:p w14:paraId="408669AF" w14:textId="77777777" w:rsidR="00F31C9C" w:rsidRPr="008B4096" w:rsidRDefault="00F31C9C" w:rsidP="00AF5EBB">
      <w:pPr>
        <w:pStyle w:val="ListParagraph"/>
        <w:numPr>
          <w:ilvl w:val="0"/>
          <w:numId w:val="15"/>
        </w:numPr>
        <w:spacing w:after="0"/>
        <w:rPr>
          <w:b/>
        </w:rPr>
      </w:pPr>
      <w:r w:rsidRPr="008B4096">
        <w:rPr>
          <w:b/>
        </w:rPr>
        <w:t>Guidance for targeted climate change investments should:</w:t>
      </w:r>
    </w:p>
    <w:p w14:paraId="7F912F91" w14:textId="77777777" w:rsidR="00F31C9C" w:rsidRPr="008F69D3" w:rsidRDefault="00F31C9C" w:rsidP="00AF5EBB">
      <w:pPr>
        <w:pStyle w:val="ListParagraph"/>
        <w:numPr>
          <w:ilvl w:val="1"/>
          <w:numId w:val="9"/>
        </w:numPr>
        <w:rPr>
          <w:color w:val="434343"/>
        </w:rPr>
      </w:pPr>
      <w:r w:rsidRPr="008F69D3">
        <w:rPr>
          <w:b/>
          <w:color w:val="434343"/>
        </w:rPr>
        <w:lastRenderedPageBreak/>
        <w:t>support a ‘development-first’ approach</w:t>
      </w:r>
      <w:r w:rsidRPr="008F69D3">
        <w:rPr>
          <w:color w:val="434343"/>
        </w:rPr>
        <w:t xml:space="preserve"> by mainstreaming climate considerations into existing development priorities and associated planning and decision-making</w:t>
      </w:r>
    </w:p>
    <w:p w14:paraId="7FDADB70" w14:textId="77777777" w:rsidR="00F31C9C" w:rsidRPr="00F91A31" w:rsidRDefault="00F31C9C" w:rsidP="00AF5EBB">
      <w:pPr>
        <w:pStyle w:val="ListParagraph"/>
        <w:numPr>
          <w:ilvl w:val="1"/>
          <w:numId w:val="9"/>
        </w:numPr>
        <w:rPr>
          <w:b/>
          <w:color w:val="434343"/>
        </w:rPr>
      </w:pPr>
      <w:r w:rsidRPr="008F69D3">
        <w:rPr>
          <w:b/>
          <w:color w:val="434343"/>
        </w:rPr>
        <w:t>consider a minimum timeframe of five years</w:t>
      </w:r>
      <w:r w:rsidRPr="00F91A31">
        <w:rPr>
          <w:color w:val="434343"/>
        </w:rPr>
        <w:t>—this is critical to the building of trusted relationships, and for climate-related outcomes to emerge</w:t>
      </w:r>
    </w:p>
    <w:p w14:paraId="0A214B01" w14:textId="77777777" w:rsidR="00F31C9C" w:rsidRPr="0056068D" w:rsidRDefault="00F31C9C" w:rsidP="00AF5EBB">
      <w:pPr>
        <w:pStyle w:val="ListParagraph"/>
        <w:numPr>
          <w:ilvl w:val="1"/>
          <w:numId w:val="9"/>
        </w:numPr>
        <w:rPr>
          <w:color w:val="434343"/>
          <w:szCs w:val="23"/>
        </w:rPr>
      </w:pPr>
      <w:r w:rsidRPr="008F69D3">
        <w:rPr>
          <w:b/>
          <w:color w:val="434343"/>
        </w:rPr>
        <w:t>explicitly consider gender and disability at design</w:t>
      </w:r>
      <w:r w:rsidRPr="00AF189C">
        <w:rPr>
          <w:color w:val="434343"/>
        </w:rPr>
        <w:t>.</w:t>
      </w:r>
    </w:p>
    <w:p w14:paraId="6520C9E9" w14:textId="77777777" w:rsidR="0056068D" w:rsidRPr="0056068D" w:rsidRDefault="0056068D" w:rsidP="0056068D">
      <w:pPr>
        <w:rPr>
          <w:szCs w:val="23"/>
        </w:rPr>
      </w:pPr>
    </w:p>
    <w:p w14:paraId="35EEE416" w14:textId="77777777" w:rsidR="00402448" w:rsidRDefault="00402448" w:rsidP="00402448">
      <w:pPr>
        <w:pStyle w:val="BodyText"/>
        <w:sectPr w:rsidR="00402448" w:rsidSect="0056068D">
          <w:headerReference w:type="default" r:id="rId42"/>
          <w:pgSz w:w="11906" w:h="16838"/>
          <w:pgMar w:top="1151" w:right="851" w:bottom="851" w:left="851" w:header="510" w:footer="510" w:gutter="0"/>
          <w:cols w:space="708"/>
          <w:docGrid w:linePitch="360"/>
        </w:sectPr>
      </w:pPr>
    </w:p>
    <w:p w14:paraId="28B0DDCF" w14:textId="77777777" w:rsidR="00402448" w:rsidRDefault="00402448">
      <w:pPr>
        <w:tabs>
          <w:tab w:val="clear" w:pos="992"/>
          <w:tab w:val="clear" w:pos="1418"/>
        </w:tabs>
        <w:spacing w:after="0" w:line="240" w:lineRule="auto"/>
        <w:rPr>
          <w:rFonts w:ascii="Franklin Gothic Book" w:eastAsia="Times New Roman" w:hAnsi="Franklin Gothic Book" w:cs="Times New Roman"/>
          <w:color w:val="auto"/>
          <w:sz w:val="21"/>
          <w:szCs w:val="24"/>
          <w:lang w:eastAsia="en-AU"/>
        </w:rPr>
      </w:pPr>
      <w:r>
        <w:br w:type="page"/>
      </w:r>
    </w:p>
    <w:p w14:paraId="243A226C" w14:textId="77777777" w:rsidR="00402448" w:rsidRPr="00AF189C" w:rsidRDefault="00402448" w:rsidP="00402448">
      <w:pPr>
        <w:pStyle w:val="BodyText"/>
      </w:pPr>
    </w:p>
    <w:p w14:paraId="65474301" w14:textId="77777777" w:rsidR="00402448" w:rsidRDefault="00402448" w:rsidP="00201786">
      <w:pPr>
        <w:pStyle w:val="Heading2"/>
        <w:numPr>
          <w:ilvl w:val="0"/>
          <w:numId w:val="0"/>
        </w:numPr>
        <w:ind w:left="720" w:hanging="720"/>
        <w:rPr>
          <w:color w:val="auto"/>
        </w:rPr>
      </w:pPr>
    </w:p>
    <w:p w14:paraId="79E258EC" w14:textId="77777777" w:rsidR="00402448" w:rsidRPr="00402448" w:rsidRDefault="00402448" w:rsidP="00402448">
      <w:pPr>
        <w:sectPr w:rsidR="00402448" w:rsidRPr="00402448" w:rsidSect="00402448">
          <w:type w:val="continuous"/>
          <w:pgSz w:w="11906" w:h="16838"/>
          <w:pgMar w:top="1152" w:right="850" w:bottom="851" w:left="851" w:header="510" w:footer="510" w:gutter="0"/>
          <w:cols w:space="708"/>
          <w:docGrid w:linePitch="360"/>
        </w:sectPr>
      </w:pPr>
    </w:p>
    <w:p w14:paraId="7B7A5496" w14:textId="2D0A9E18" w:rsidR="00F508EE" w:rsidRDefault="00F520B8" w:rsidP="007F2E0B">
      <w:pPr>
        <w:pStyle w:val="Heading1"/>
      </w:pPr>
      <w:bookmarkStart w:id="82" w:name="_Toc496273859"/>
      <w:r>
        <w:t xml:space="preserve"> </w:t>
      </w:r>
      <w:bookmarkStart w:id="83" w:name="_Toc510771932"/>
      <w:r w:rsidR="00A37CB9" w:rsidRPr="00A37CB9">
        <w:t>4.0 Climate change integration</w:t>
      </w:r>
      <w:bookmarkEnd w:id="82"/>
      <w:bookmarkEnd w:id="83"/>
    </w:p>
    <w:p w14:paraId="1F0BEC44" w14:textId="1FB4DC6C" w:rsidR="00F508EE" w:rsidRDefault="00A37CB9" w:rsidP="00A37CB9">
      <w:r w:rsidRPr="00A37CB9">
        <w:t xml:space="preserve">An international literature review was undertaken as part of the evaluation to determine the key </w:t>
      </w:r>
      <w:r w:rsidR="00AA27E5">
        <w:t>domains</w:t>
      </w:r>
      <w:r w:rsidRPr="00A37CB9">
        <w:t xml:space="preserve"> that facilitate effective climate change integration within international development assistance. The aim of the review was to identify a range of </w:t>
      </w:r>
      <w:r w:rsidR="005F7398">
        <w:t xml:space="preserve">good </w:t>
      </w:r>
      <w:r w:rsidRPr="00A37CB9">
        <w:t>practice</w:t>
      </w:r>
      <w:r w:rsidR="009F4129">
        <w:t>s</w:t>
      </w:r>
      <w:r w:rsidRPr="00A37CB9">
        <w:t xml:space="preserve"> </w:t>
      </w:r>
      <w:r w:rsidR="00B41024">
        <w:t>from which DFAT could benefit to inform its approach</w:t>
      </w:r>
      <w:r w:rsidRPr="00A37CB9">
        <w:t xml:space="preserve">. The literature review also provided valuable insights into </w:t>
      </w:r>
      <w:r w:rsidR="00D3419F">
        <w:t xml:space="preserve">the </w:t>
      </w:r>
      <w:r w:rsidRPr="00A37CB9">
        <w:t xml:space="preserve">processes and approaches adopted by other OECD DAC members </w:t>
      </w:r>
      <w:r w:rsidR="009F4129">
        <w:t xml:space="preserve">that are </w:t>
      </w:r>
      <w:r w:rsidRPr="00A37CB9">
        <w:t>Australia’s bilateral peers. Given the scope of the evaluation, and time and resources available, it was not possible to undertake a comprehensive assessment of all OECD donors. While the evaluation drew on the findings of several OECD</w:t>
      </w:r>
      <w:r w:rsidR="00CF5971">
        <w:t>-</w:t>
      </w:r>
      <w:r w:rsidRPr="00A37CB9">
        <w:t xml:space="preserve">wide assessments, a representative subset of 11 OECD donors (including small, medium and large </w:t>
      </w:r>
      <w:r w:rsidR="003B0C6E" w:rsidRPr="00A37CB9">
        <w:t>high-income</w:t>
      </w:r>
      <w:r w:rsidRPr="00A37CB9">
        <w:t xml:space="preserve"> countries) was selected for more detailed assessment.</w:t>
      </w:r>
    </w:p>
    <w:p w14:paraId="2773A43A" w14:textId="13A36614" w:rsidR="00F508EE" w:rsidRPr="00CF5971" w:rsidRDefault="005F7398" w:rsidP="00CF5971">
      <w:r>
        <w:t>C</w:t>
      </w:r>
      <w:r w:rsidR="00A37CB9" w:rsidRPr="00CF5971">
        <w:t xml:space="preserve">onsiderable diversity exists across the donor community </w:t>
      </w:r>
      <w:r w:rsidR="00363663">
        <w:t>on</w:t>
      </w:r>
      <w:r w:rsidR="00363663" w:rsidRPr="00CF5971">
        <w:t xml:space="preserve"> </w:t>
      </w:r>
      <w:r w:rsidR="00A37CB9" w:rsidRPr="00CF5971">
        <w:t>how they have integrated climate change into aid programs, the relative importance they attach to mitigation and adaptation, and the level of climate change financing provided. There is no single model</w:t>
      </w:r>
      <w:r w:rsidR="00BF3AF0">
        <w:t xml:space="preserve"> or</w:t>
      </w:r>
      <w:r w:rsidR="00A37CB9" w:rsidRPr="00CF5971">
        <w:t xml:space="preserve"> a universally agreed set of benchmarks that define best practice. As such</w:t>
      </w:r>
      <w:r w:rsidR="00A63992" w:rsidRPr="00CF5971">
        <w:t>,</w:t>
      </w:r>
      <w:r w:rsidR="00A37CB9" w:rsidRPr="00CF5971">
        <w:t xml:space="preserve"> direct comparisons between donors </w:t>
      </w:r>
      <w:r w:rsidR="00CF5971">
        <w:t>are</w:t>
      </w:r>
      <w:r w:rsidR="00A37CB9" w:rsidRPr="00CF5971">
        <w:t xml:space="preserve"> not always </w:t>
      </w:r>
      <w:r w:rsidR="009F4129">
        <w:t>valid</w:t>
      </w:r>
      <w:r w:rsidR="00A37CB9" w:rsidRPr="00CF5971">
        <w:t xml:space="preserve">, although they can provide useful indications of where DFAT may </w:t>
      </w:r>
      <w:r w:rsidR="00B41024">
        <w:t>be able</w:t>
      </w:r>
      <w:r w:rsidR="00A37CB9" w:rsidRPr="00CF5971">
        <w:t xml:space="preserve"> to strengthen existing policies, processes and systems to progress climate change integration. DFAT is at a relatively early stage in the process of </w:t>
      </w:r>
      <w:r w:rsidR="007E3010" w:rsidRPr="00CF5971">
        <w:t xml:space="preserve">this integration </w:t>
      </w:r>
      <w:r w:rsidR="00A37CB9" w:rsidRPr="00CF5971">
        <w:t xml:space="preserve">and has commenced a program of work aimed at strengthening its internal </w:t>
      </w:r>
      <w:r w:rsidR="009F4129">
        <w:t>capability</w:t>
      </w:r>
      <w:r w:rsidR="00A37CB9" w:rsidRPr="00CF5971">
        <w:t>.</w:t>
      </w:r>
    </w:p>
    <w:p w14:paraId="1A700F67" w14:textId="32C996F2" w:rsidR="00CF5971" w:rsidRDefault="00A37CB9" w:rsidP="00A37CB9">
      <w:r w:rsidRPr="00A37CB9">
        <w:t xml:space="preserve">This section provides an overview of the findings of the evaluation </w:t>
      </w:r>
      <w:r w:rsidR="009C0385">
        <w:t>in relation to</w:t>
      </w:r>
      <w:r w:rsidRPr="00A37CB9">
        <w:t xml:space="preserve"> five key integration performance areas:</w:t>
      </w:r>
    </w:p>
    <w:p w14:paraId="580B9D16" w14:textId="70ECF007" w:rsidR="00CF5971" w:rsidRDefault="00A37CB9" w:rsidP="00CF5971">
      <w:pPr>
        <w:pStyle w:val="ListBullet"/>
      </w:pPr>
      <w:r w:rsidRPr="00A37CB9">
        <w:t xml:space="preserve">ODA </w:t>
      </w:r>
      <w:r w:rsidR="000D577D">
        <w:t>strategic clarity</w:t>
      </w:r>
    </w:p>
    <w:p w14:paraId="2DDA042E" w14:textId="19E87B87" w:rsidR="00CF5971" w:rsidRDefault="00A37CB9" w:rsidP="00CF5971">
      <w:pPr>
        <w:pStyle w:val="ListBullet"/>
      </w:pPr>
      <w:r w:rsidRPr="00A37CB9">
        <w:t>internal climate change screening processes, technic</w:t>
      </w:r>
      <w:r w:rsidR="00C53177">
        <w:t>al support and staff capacity</w:t>
      </w:r>
    </w:p>
    <w:p w14:paraId="1FDF248A" w14:textId="1152FF12" w:rsidR="00CF5971" w:rsidRDefault="00C53177" w:rsidP="00CF5971">
      <w:pPr>
        <w:pStyle w:val="ListBullet"/>
      </w:pPr>
      <w:r>
        <w:t xml:space="preserve">monitoring, evaluation and </w:t>
      </w:r>
      <w:r w:rsidR="00A37CB9" w:rsidRPr="00A37CB9">
        <w:t>reporting</w:t>
      </w:r>
    </w:p>
    <w:p w14:paraId="09EE2541" w14:textId="77777777" w:rsidR="009F4129" w:rsidRDefault="009F4129" w:rsidP="009F4129">
      <w:pPr>
        <w:pStyle w:val="ListBullet"/>
      </w:pPr>
      <w:r w:rsidRPr="00A37CB9">
        <w:t>climate change finance</w:t>
      </w:r>
    </w:p>
    <w:p w14:paraId="4E899514" w14:textId="755DA0C2" w:rsidR="00CF5971" w:rsidRDefault="00110185" w:rsidP="00CF5971">
      <w:pPr>
        <w:pStyle w:val="ListBullet"/>
      </w:pPr>
      <w:r>
        <w:t>policy</w:t>
      </w:r>
      <w:r w:rsidR="00A37CB9" w:rsidRPr="00A37CB9">
        <w:t xml:space="preserve"> commitment and leadership.</w:t>
      </w:r>
    </w:p>
    <w:p w14:paraId="0F28FD08" w14:textId="1E8C3F6F" w:rsidR="00A37CB9" w:rsidRPr="00A37CB9" w:rsidRDefault="00A37CB9" w:rsidP="00CF5971">
      <w:r w:rsidRPr="00A37CB9">
        <w:t xml:space="preserve">It also </w:t>
      </w:r>
      <w:r w:rsidR="007E3010">
        <w:t xml:space="preserve">identifies </w:t>
      </w:r>
      <w:r w:rsidRPr="00A37CB9">
        <w:t xml:space="preserve">a range of actions that DFAT may wish </w:t>
      </w:r>
      <w:r w:rsidR="00C53177">
        <w:t xml:space="preserve">to </w:t>
      </w:r>
      <w:r w:rsidRPr="00A37CB9">
        <w:t xml:space="preserve">consider taking </w:t>
      </w:r>
      <w:r w:rsidR="00A63992">
        <w:t xml:space="preserve">to </w:t>
      </w:r>
      <w:r w:rsidRPr="00A37CB9">
        <w:t>position itself within the ‘good practice domain</w:t>
      </w:r>
      <w:r w:rsidR="005F7398">
        <w:t>’.</w:t>
      </w:r>
      <w:r w:rsidRPr="00A37CB9">
        <w:t xml:space="preserve"> Detail on the practices and systems adopted by other selected OECD countries, including links to documents that can provide illustrative examples of </w:t>
      </w:r>
      <w:r w:rsidR="00F90793">
        <w:t>good</w:t>
      </w:r>
      <w:r w:rsidRPr="00A37CB9">
        <w:t xml:space="preserve"> practice across the five domains, is contained in the international literature review prepared as part of the evaluation. DFAT may wish to draw </w:t>
      </w:r>
      <w:r w:rsidR="001B08D0">
        <w:t>on the</w:t>
      </w:r>
      <w:r w:rsidRPr="00A37CB9">
        <w:t xml:space="preserve"> review</w:t>
      </w:r>
      <w:r w:rsidR="00C53177">
        <w:rPr>
          <w:rStyle w:val="FootnoteReference"/>
        </w:rPr>
        <w:footnoteReference w:id="25"/>
      </w:r>
      <w:r w:rsidRPr="00A37CB9">
        <w:t xml:space="preserve"> to support its climate change integration work.</w:t>
      </w:r>
    </w:p>
    <w:p w14:paraId="327FCA70" w14:textId="40D78858" w:rsidR="00F508EE" w:rsidRDefault="00A37CB9" w:rsidP="00AF5EBB">
      <w:pPr>
        <w:pStyle w:val="Heading2"/>
        <w:numPr>
          <w:ilvl w:val="1"/>
          <w:numId w:val="10"/>
        </w:numPr>
      </w:pPr>
      <w:bookmarkStart w:id="84" w:name="_Toc496273860"/>
      <w:bookmarkStart w:id="85" w:name="_Toc510771933"/>
      <w:r w:rsidRPr="00A37CB9">
        <w:lastRenderedPageBreak/>
        <w:t xml:space="preserve">Climate </w:t>
      </w:r>
      <w:r w:rsidR="00EF1B3E">
        <w:t>c</w:t>
      </w:r>
      <w:r w:rsidRPr="00A37CB9">
        <w:t xml:space="preserve">hange and ODA </w:t>
      </w:r>
      <w:r w:rsidR="000D577D">
        <w:t>strategic clarity</w:t>
      </w:r>
      <w:bookmarkEnd w:id="84"/>
      <w:bookmarkEnd w:id="85"/>
    </w:p>
    <w:p w14:paraId="6B85FCCE" w14:textId="2021DF4F" w:rsidR="0060386E" w:rsidRDefault="0060386E" w:rsidP="005F7398">
      <w:pPr>
        <w:pStyle w:val="Caption"/>
        <w:keepNext/>
      </w:pPr>
      <w:bookmarkStart w:id="86" w:name="_Toc510591529"/>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5</w:t>
      </w:r>
      <w:r w:rsidR="00E7543E">
        <w:rPr>
          <w:noProof/>
        </w:rPr>
        <w:fldChar w:fldCharType="end"/>
      </w:r>
      <w:r>
        <w:t xml:space="preserve">: </w:t>
      </w:r>
      <w:r w:rsidR="005F7398">
        <w:t>Excerpt from Table 2</w:t>
      </w:r>
      <w:r w:rsidR="00982E7D">
        <w:t>—</w:t>
      </w:r>
      <w:r w:rsidR="005F7398">
        <w:t>Domains of good practice climate change integration</w:t>
      </w:r>
      <w:bookmarkEnd w:id="8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limate change and ODA strategic clarity"/>
        <w:tblDescription w:val="Table details elements of strategic clarity:  Clear goals, objectives and outcomes for climate change exist within the agency; The agency goals include clear mainstreaming objectives; Goals, objectives and outcomes are supported by a clear, feasible implementation plan; and Climate change and DRR policy agendas are closely aligned or integrated&#10;There is a long-term commitment (including funding) to integrate climate change &#10;"/>
      </w:tblPr>
      <w:tblGrid>
        <w:gridCol w:w="1560"/>
        <w:gridCol w:w="8646"/>
      </w:tblGrid>
      <w:tr w:rsidR="00A5027D" w:rsidRPr="00E968E5" w14:paraId="5EE86539" w14:textId="77777777" w:rsidTr="000904EE">
        <w:trPr>
          <w:trHeight w:val="469"/>
        </w:trPr>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00A400"/>
            <w:vAlign w:val="center"/>
          </w:tcPr>
          <w:p w14:paraId="0E406E0A" w14:textId="35D21A95" w:rsidR="00A5027D" w:rsidRPr="00E968E5" w:rsidRDefault="00A5027D" w:rsidP="00110185">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 xml:space="preserve">Climate change and ODA </w:t>
            </w:r>
            <w:r w:rsidR="00110185">
              <w:rPr>
                <w:rFonts w:ascii="Franklin Gothic Book" w:eastAsia="Times New Roman" w:hAnsi="Franklin Gothic Book" w:cs="Times New Roman"/>
                <w:b/>
                <w:color w:val="auto"/>
                <w:sz w:val="21"/>
                <w:szCs w:val="24"/>
                <w:lang w:eastAsia="en-AU"/>
              </w:rPr>
              <w:t>strategic clarity</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58CA2B35" w14:textId="437C3823" w:rsidR="00A5027D" w:rsidRPr="00E968E5" w:rsidRDefault="00A5027D" w:rsidP="00871AD8">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Clear goals</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objectives and outcomes for climate change exist within the agency</w:t>
            </w:r>
          </w:p>
        </w:tc>
      </w:tr>
      <w:tr w:rsidR="00A5027D" w:rsidRPr="00E968E5" w14:paraId="7F01B0E3" w14:textId="77777777" w:rsidTr="000904EE">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148014CD" w14:textId="77777777" w:rsidR="00A5027D" w:rsidRPr="00E968E5" w:rsidRDefault="00A5027D" w:rsidP="00871AD8">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0AAAED4" w14:textId="788B4422" w:rsidR="00A5027D" w:rsidRPr="00E968E5" w:rsidRDefault="00982E7D" w:rsidP="00871AD8">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A</w:t>
            </w:r>
            <w:r w:rsidR="00A5027D" w:rsidRPr="00E968E5">
              <w:rPr>
                <w:rFonts w:ascii="Franklin Gothic Book" w:eastAsia="Times New Roman" w:hAnsi="Franklin Gothic Book" w:cs="Times New Roman"/>
                <w:color w:val="auto"/>
                <w:sz w:val="21"/>
                <w:szCs w:val="24"/>
                <w:lang w:eastAsia="en-AU"/>
              </w:rPr>
              <w:t>gency goals include clear mainstreaming objectives</w:t>
            </w:r>
          </w:p>
        </w:tc>
      </w:tr>
      <w:tr w:rsidR="00A5027D" w:rsidRPr="00E968E5" w14:paraId="44F1DA5E" w14:textId="77777777" w:rsidTr="000904EE">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7EEBE54E" w14:textId="77777777" w:rsidR="00A5027D" w:rsidRPr="00E968E5" w:rsidRDefault="00A5027D" w:rsidP="00871AD8">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AC8D075" w14:textId="1B83797C" w:rsidR="00A5027D" w:rsidRPr="00E968E5" w:rsidRDefault="00A5027D" w:rsidP="00871AD8">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Goals, objectives and outcomes are supported by a clear</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feasible implementation plan</w:t>
            </w:r>
          </w:p>
        </w:tc>
      </w:tr>
      <w:tr w:rsidR="00A5027D" w:rsidRPr="00E968E5" w14:paraId="735F766E" w14:textId="77777777" w:rsidTr="000904EE">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A400"/>
            <w:vAlign w:val="center"/>
          </w:tcPr>
          <w:p w14:paraId="0D531507" w14:textId="77777777" w:rsidR="00A5027D" w:rsidRPr="00E968E5" w:rsidRDefault="00A5027D" w:rsidP="00871AD8">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75A6EF5" w14:textId="1DD83908" w:rsidR="00A5027D" w:rsidRPr="00E968E5" w:rsidRDefault="00A5027D" w:rsidP="00871AD8">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Climate change and DRR policy agendas are closely aligned or integrated</w:t>
            </w:r>
          </w:p>
        </w:tc>
      </w:tr>
      <w:tr w:rsidR="00A5027D" w:rsidRPr="00E968E5" w14:paraId="2A25E149" w14:textId="77777777" w:rsidTr="000904EE">
        <w:trPr>
          <w:trHeight w:val="226"/>
        </w:trPr>
        <w:tc>
          <w:tcPr>
            <w:tcW w:w="1560" w:type="dxa"/>
            <w:vMerge/>
            <w:tcBorders>
              <w:top w:val="dashSmallGap" w:sz="4" w:space="0" w:color="auto"/>
              <w:left w:val="single" w:sz="12" w:space="0" w:color="auto"/>
              <w:bottom w:val="single" w:sz="12" w:space="0" w:color="auto"/>
              <w:right w:val="dashSmallGap" w:sz="4" w:space="0" w:color="auto"/>
            </w:tcBorders>
            <w:shd w:val="clear" w:color="auto" w:fill="00A400"/>
            <w:vAlign w:val="center"/>
          </w:tcPr>
          <w:p w14:paraId="304F5A77" w14:textId="77777777" w:rsidR="00A5027D" w:rsidRPr="00E968E5" w:rsidRDefault="00A5027D" w:rsidP="00871AD8">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6F4E4E7C" w14:textId="11C1C8F6" w:rsidR="00A5027D" w:rsidRPr="00E968E5" w:rsidRDefault="00A5027D" w:rsidP="00871AD8">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There is a long-term commitment (including funding) to integrate climate change</w:t>
            </w:r>
          </w:p>
        </w:tc>
      </w:tr>
    </w:tbl>
    <w:p w14:paraId="0A407947" w14:textId="77777777" w:rsidR="00A5027D" w:rsidRDefault="00A5027D" w:rsidP="00A37CB9"/>
    <w:p w14:paraId="66793E68" w14:textId="5FDD37F1" w:rsidR="00F508EE" w:rsidRDefault="00A37CB9" w:rsidP="00A37CB9">
      <w:r w:rsidRPr="00A37CB9">
        <w:t xml:space="preserve">The international literature review findings suggest that an important prerequisite to effective integration is a clearly articulated set of climate change goals and objectives of the aid program, with a guiding theory of change and </w:t>
      </w:r>
      <w:r w:rsidR="00690B7F">
        <w:t xml:space="preserve">an </w:t>
      </w:r>
      <w:r w:rsidRPr="00A37CB9">
        <w:t>implementation plan. This policy statement or strategy provides a clear indication to program managers, and the broader community, of what Australia hopes to achieve through its aid investments in terms of building climate resilience, reducing climate</w:t>
      </w:r>
      <w:r w:rsidR="00A5027D">
        <w:t>-</w:t>
      </w:r>
      <w:r w:rsidRPr="00A37CB9">
        <w:t>related disaster risk</w:t>
      </w:r>
      <w:r w:rsidR="00A5027D">
        <w:t>,</w:t>
      </w:r>
      <w:r w:rsidRPr="00A37CB9">
        <w:t xml:space="preserve"> and promoting less carbon</w:t>
      </w:r>
      <w:r w:rsidR="00A5027D">
        <w:t>-</w:t>
      </w:r>
      <w:r w:rsidRPr="00A37CB9">
        <w:t>intensive development.</w:t>
      </w:r>
    </w:p>
    <w:p w14:paraId="7FEA50C4" w14:textId="27C68A89" w:rsidR="00D37640" w:rsidRDefault="00E106D0" w:rsidP="00D37640">
      <w:r w:rsidRPr="00A37CB9">
        <w:t>In December 2016</w:t>
      </w:r>
      <w:r>
        <w:t>,</w:t>
      </w:r>
      <w:r w:rsidRPr="00A37CB9">
        <w:t xml:space="preserve"> DFAT issued an </w:t>
      </w:r>
      <w:r w:rsidR="009F4129">
        <w:t xml:space="preserve">internal </w:t>
      </w:r>
      <w:r w:rsidRPr="00A37CB9">
        <w:t>administrative circular highlighting the importance of integrating climate change considerations into Australian aid investments and announcing the intention to develop a climate change</w:t>
      </w:r>
      <w:r w:rsidR="00B36C88">
        <w:t xml:space="preserve"> and</w:t>
      </w:r>
      <w:r w:rsidRPr="00A37CB9">
        <w:t xml:space="preserve"> </w:t>
      </w:r>
      <w:r w:rsidR="00B36C88">
        <w:t xml:space="preserve">development </w:t>
      </w:r>
      <w:r w:rsidRPr="00A37CB9">
        <w:t>strategy</w:t>
      </w:r>
      <w:r w:rsidR="00B36C88">
        <w:t xml:space="preserve">, integration and implementation toolkit </w:t>
      </w:r>
      <w:r w:rsidRPr="00A37CB9">
        <w:t>to guide future investments.</w:t>
      </w:r>
      <w:r>
        <w:t xml:space="preserve"> </w:t>
      </w:r>
      <w:r w:rsidR="00D37640" w:rsidRPr="00A37CB9">
        <w:t xml:space="preserve">DFAT is in the process of developing </w:t>
      </w:r>
      <w:r w:rsidR="00D37640">
        <w:t>this</w:t>
      </w:r>
      <w:r w:rsidR="00D37640" w:rsidRPr="00A37CB9">
        <w:t xml:space="preserve"> strategy </w:t>
      </w:r>
      <w:r w:rsidR="00D37640">
        <w:t>and it</w:t>
      </w:r>
      <w:r w:rsidR="00D37640" w:rsidRPr="00A37CB9">
        <w:t xml:space="preserve"> is expected to </w:t>
      </w:r>
      <w:r w:rsidR="00D37640">
        <w:t>be endorsed</w:t>
      </w:r>
      <w:r w:rsidR="00D37640" w:rsidRPr="00A37CB9">
        <w:t xml:space="preserve"> in 2018. This signifies intent on DFAT</w:t>
      </w:r>
      <w:r w:rsidR="00D37640">
        <w:t>’</w:t>
      </w:r>
      <w:r w:rsidR="00D37640" w:rsidRPr="00A37CB9">
        <w:t xml:space="preserve">s part to raise the profile of climate change across the portfolio and provide greater clarity on how climate change can be better integrated into the aid program. </w:t>
      </w:r>
      <w:r w:rsidR="00D37640">
        <w:t>Many of DFAT’s peers (for example, France, United Kingdom</w:t>
      </w:r>
      <w:r w:rsidR="00982E7D">
        <w:t>, United States</w:t>
      </w:r>
      <w:r w:rsidR="00D37640">
        <w:t xml:space="preserve">) have </w:t>
      </w:r>
      <w:r w:rsidR="00D37640" w:rsidRPr="00E37089">
        <w:t xml:space="preserve">clear policy statements and strategies on climate change that may </w:t>
      </w:r>
      <w:r w:rsidR="00D37640">
        <w:t xml:space="preserve">provide a useful reference point </w:t>
      </w:r>
      <w:r w:rsidR="00BF3AF0">
        <w:t xml:space="preserve">for </w:t>
      </w:r>
      <w:r w:rsidR="00D37640" w:rsidRPr="00E37089">
        <w:t>DFAT</w:t>
      </w:r>
      <w:r w:rsidR="00D37640">
        <w:t>’</w:t>
      </w:r>
      <w:r w:rsidR="00D37640" w:rsidRPr="00E37089">
        <w:t>s ongoing stra</w:t>
      </w:r>
      <w:r w:rsidR="00D37640">
        <w:t>tegy development work</w:t>
      </w:r>
      <w:r w:rsidR="00D37640" w:rsidRPr="00E37089">
        <w:t>.</w:t>
      </w:r>
      <w:r w:rsidR="00D37640" w:rsidRPr="00A37CB9">
        <w:t xml:space="preserve"> Interviews suggest that </w:t>
      </w:r>
      <w:r w:rsidR="00110185">
        <w:t>greater</w:t>
      </w:r>
      <w:r w:rsidR="00D37640" w:rsidRPr="00A37CB9">
        <w:t xml:space="preserve"> clarity and visibility of climate change in the overarching aid strategy </w:t>
      </w:r>
      <w:r w:rsidR="00110185">
        <w:t>would assist</w:t>
      </w:r>
      <w:r w:rsidR="00D37640" w:rsidRPr="00A37CB9">
        <w:t xml:space="preserve"> staff </w:t>
      </w:r>
      <w:r w:rsidR="00110185">
        <w:t>to be</w:t>
      </w:r>
      <w:r w:rsidR="00D37640" w:rsidRPr="00A37CB9">
        <w:t xml:space="preserve"> fully aware of, and conversant with, climate change in relation to development objectives, and from them taking initiatives in this regard.</w:t>
      </w:r>
    </w:p>
    <w:p w14:paraId="545BFCAA" w14:textId="53602FBE" w:rsidR="00F508EE" w:rsidRDefault="00A37CB9" w:rsidP="00A37CB9">
      <w:r w:rsidRPr="00A37CB9">
        <w:t xml:space="preserve">Australia has made several policy statements over the past decade on climate change financing commitments and, at times, has highlighted specific objectives and target areas for Australia’s climate change investments. However, in comparison to many other </w:t>
      </w:r>
      <w:r w:rsidR="00690B7F">
        <w:t>donors,</w:t>
      </w:r>
      <w:r w:rsidRPr="00A37CB9">
        <w:t xml:space="preserve"> climate change does not feature strongly in Australia’s aid policy.</w:t>
      </w:r>
      <w:r w:rsidR="00110D83">
        <w:t xml:space="preserve"> </w:t>
      </w:r>
      <w:r w:rsidR="00696B37">
        <w:t>In November 2017</w:t>
      </w:r>
      <w:r w:rsidR="00982E7D">
        <w:t>,</w:t>
      </w:r>
      <w:r w:rsidR="00696B37">
        <w:t xml:space="preserve"> the </w:t>
      </w:r>
      <w:r w:rsidR="008F5B1C">
        <w:t xml:space="preserve">Australian </w:t>
      </w:r>
      <w:r w:rsidR="00696B37" w:rsidRPr="008F5B1C">
        <w:t>Government re</w:t>
      </w:r>
      <w:r w:rsidR="00696B37">
        <w:t>leased a new Foreign Policy White Paper, which notes climate change is a priority for development assistance and reiterates the $1 billion</w:t>
      </w:r>
      <w:r w:rsidR="00F5408D">
        <w:t xml:space="preserve"> commitment over five years to support emissions reduction and </w:t>
      </w:r>
      <w:r w:rsidR="00254EB2">
        <w:t>r</w:t>
      </w:r>
      <w:r w:rsidR="00F5408D">
        <w:t>esilience</w:t>
      </w:r>
      <w:r w:rsidR="00254EB2">
        <w:t>-building</w:t>
      </w:r>
      <w:r w:rsidR="00F5408D">
        <w:t xml:space="preserve">. </w:t>
      </w:r>
      <w:r w:rsidRPr="00F5408D">
        <w:t xml:space="preserve">Australia’s </w:t>
      </w:r>
      <w:r w:rsidR="00F5408D" w:rsidRPr="00F5408D">
        <w:t>previous</w:t>
      </w:r>
      <w:r w:rsidRPr="00F5408D">
        <w:t xml:space="preserve"> aid policy</w:t>
      </w:r>
      <w:r w:rsidR="00982E7D">
        <w:t>,</w:t>
      </w:r>
      <w:r w:rsidRPr="00F5408D">
        <w:t xml:space="preserve"> </w:t>
      </w:r>
      <w:r w:rsidR="00F508EE" w:rsidRPr="008F5B1C">
        <w:rPr>
          <w:i/>
        </w:rPr>
        <w:t>Australian aid: promoting prosperity, reducing policy, enhancing stability</w:t>
      </w:r>
      <w:r w:rsidR="008F5B1C">
        <w:t xml:space="preserve">, </w:t>
      </w:r>
      <w:r w:rsidR="00F5408D" w:rsidRPr="00F5408D">
        <w:t xml:space="preserve">released in 2014 </w:t>
      </w:r>
      <w:r w:rsidR="00BA1786">
        <w:t>mentions climate change impacts</w:t>
      </w:r>
      <w:r w:rsidRPr="00F5408D">
        <w:t xml:space="preserve"> </w:t>
      </w:r>
      <w:r w:rsidR="009646D9">
        <w:t>in relation to</w:t>
      </w:r>
      <w:r w:rsidRPr="00F5408D">
        <w:t xml:space="preserve"> building resilience to weather</w:t>
      </w:r>
      <w:r w:rsidR="00A5027D" w:rsidRPr="00F5408D">
        <w:t>-</w:t>
      </w:r>
      <w:r w:rsidRPr="00F5408D">
        <w:t>related disasters.</w:t>
      </w:r>
      <w:r w:rsidR="00110D83">
        <w:t xml:space="preserve"> </w:t>
      </w:r>
      <w:r w:rsidRPr="00A37CB9">
        <w:t>While DFAT</w:t>
      </w:r>
      <w:r w:rsidR="00A5027D">
        <w:t>’</w:t>
      </w:r>
      <w:r w:rsidRPr="00A37CB9">
        <w:t>s Humanitarian Strategy</w:t>
      </w:r>
      <w:r w:rsidR="00D04A94">
        <w:rPr>
          <w:rStyle w:val="FootnoteReference"/>
        </w:rPr>
        <w:footnoteReference w:id="26"/>
      </w:r>
      <w:r w:rsidRPr="00A37CB9">
        <w:t xml:space="preserve"> highlights the importance of integrating climate change and disaster risk into aid investments</w:t>
      </w:r>
      <w:r w:rsidR="00A5027D">
        <w:t>,</w:t>
      </w:r>
      <w:r w:rsidRPr="00A37CB9">
        <w:t xml:space="preserve"> no substantive overarching climate change strategy</w:t>
      </w:r>
      <w:r w:rsidR="00A5027D">
        <w:t xml:space="preserve"> or </w:t>
      </w:r>
      <w:r w:rsidRPr="00A37CB9">
        <w:t>policy clearly articulates Australia’s climate change goals</w:t>
      </w:r>
      <w:r w:rsidR="00982E7D">
        <w:t>,</w:t>
      </w:r>
      <w:r w:rsidRPr="00A37CB9">
        <w:t xml:space="preserve"> objectives or specific targets against which performance can be assessed.</w:t>
      </w:r>
    </w:p>
    <w:p w14:paraId="50DAAB6F" w14:textId="51C46CFC" w:rsidR="00F508EE" w:rsidRDefault="00A37CB9" w:rsidP="00A37CB9">
      <w:r w:rsidRPr="00A37CB9">
        <w:lastRenderedPageBreak/>
        <w:t xml:space="preserve">A close alignment of climate change, DRR and emergency response is often used as an indicator of aid </w:t>
      </w:r>
      <w:r w:rsidR="000D577D">
        <w:t>strategic clarity</w:t>
      </w:r>
      <w:r w:rsidRPr="00A37CB9">
        <w:t>. DRR is clearly an important pillar of Australia’s current aid policies and priorities, which can also contribute to improved climate change resilience. While it is mentioned to some extent in existing aid policy documents</w:t>
      </w:r>
      <w:r w:rsidR="00367408">
        <w:t>,</w:t>
      </w:r>
      <w:r w:rsidRPr="00A37CB9">
        <w:t xml:space="preserve"> the importance of integrating climate change and </w:t>
      </w:r>
      <w:r w:rsidR="00AA27E5">
        <w:t>disaster risk management</w:t>
      </w:r>
      <w:r w:rsidRPr="00A37CB9">
        <w:t xml:space="preserve"> approaches does not appear to be given much prominence</w:t>
      </w:r>
      <w:r w:rsidR="00690B7F">
        <w:t xml:space="preserve">. At </w:t>
      </w:r>
      <w:r w:rsidRPr="00A37CB9">
        <w:t>present</w:t>
      </w:r>
      <w:r w:rsidR="00896877">
        <w:t>,</w:t>
      </w:r>
      <w:r w:rsidRPr="00A37CB9">
        <w:t xml:space="preserve"> the DRR</w:t>
      </w:r>
      <w:r w:rsidR="00896877">
        <w:t xml:space="preserve"> and </w:t>
      </w:r>
      <w:r w:rsidRPr="00A37CB9">
        <w:t xml:space="preserve">climate elements of the policy mainly target existing extreme weather and climate </w:t>
      </w:r>
      <w:r w:rsidR="00C44324" w:rsidRPr="00A37CB9">
        <w:t>variability and</w:t>
      </w:r>
      <w:r w:rsidRPr="00A37CB9">
        <w:t xml:space="preserve"> </w:t>
      </w:r>
      <w:r w:rsidR="008F5B1C">
        <w:t>are</w:t>
      </w:r>
      <w:r w:rsidRPr="00A37CB9">
        <w:t xml:space="preserve"> only loosely connected to future climate change (although future climate change is given some recognition in the Humanitarian Strategy).</w:t>
      </w:r>
    </w:p>
    <w:p w14:paraId="6FEFB2C3" w14:textId="24650E69" w:rsidR="00F508EE" w:rsidRDefault="00A37CB9" w:rsidP="00A37CB9">
      <w:r w:rsidRPr="00A37CB9">
        <w:t xml:space="preserve">From a review of the documents and discussions with program staff it is </w:t>
      </w:r>
      <w:r w:rsidR="003074F4">
        <w:t xml:space="preserve">evident </w:t>
      </w:r>
      <w:r w:rsidRPr="00A37CB9">
        <w:t>that DFAT</w:t>
      </w:r>
      <w:r w:rsidR="003074F4">
        <w:t xml:space="preserve"> </w:t>
      </w:r>
      <w:r w:rsidR="008F5B1C">
        <w:t>intends</w:t>
      </w:r>
      <w:r w:rsidR="003074F4">
        <w:t xml:space="preserve"> to adopt </w:t>
      </w:r>
      <w:r w:rsidRPr="00A37CB9">
        <w:t>an integrated approach to climate change and disaster risk management. At the investment level</w:t>
      </w:r>
      <w:r w:rsidR="00367408">
        <w:t>,</w:t>
      </w:r>
      <w:r w:rsidRPr="00A37CB9">
        <w:t xml:space="preserve"> there is evidence of DFAT efforts to integrate climate change and DRR in past and present investments, and many DRR</w:t>
      </w:r>
      <w:r w:rsidR="00896877">
        <w:t xml:space="preserve"> and </w:t>
      </w:r>
      <w:r w:rsidRPr="00A37CB9">
        <w:t>climate change projects appear to have been viewed and designed through an integrated DRR</w:t>
      </w:r>
      <w:r w:rsidR="00896877">
        <w:t xml:space="preserve"> and </w:t>
      </w:r>
      <w:r w:rsidRPr="00A37CB9">
        <w:t>climate change lens</w:t>
      </w:r>
      <w:r w:rsidR="00896877">
        <w:t xml:space="preserve">, </w:t>
      </w:r>
      <w:r w:rsidRPr="00A37CB9">
        <w:t xml:space="preserve">in line with </w:t>
      </w:r>
      <w:r w:rsidR="00D37640">
        <w:t>good</w:t>
      </w:r>
      <w:r w:rsidRPr="00A37CB9">
        <w:t xml:space="preserve"> practice. </w:t>
      </w:r>
      <w:r w:rsidR="00D37640">
        <w:t>J</w:t>
      </w:r>
      <w:r w:rsidRPr="00A37CB9">
        <w:t>oint programming between climate change and the DRR</w:t>
      </w:r>
      <w:r w:rsidR="00896877">
        <w:t xml:space="preserve"> and </w:t>
      </w:r>
      <w:r w:rsidRPr="00A37CB9">
        <w:t>humanitarian areas of DFAT</w:t>
      </w:r>
      <w:r w:rsidR="00D37640">
        <w:t xml:space="preserve"> would strengthen this practice</w:t>
      </w:r>
      <w:r w:rsidRPr="00A37CB9">
        <w:t xml:space="preserve"> (noting that the recent statement on Australia’s </w:t>
      </w:r>
      <w:r w:rsidR="00896877">
        <w:t xml:space="preserve">$ </w:t>
      </w:r>
      <w:r w:rsidRPr="00A37CB9">
        <w:t>300</w:t>
      </w:r>
      <w:r w:rsidR="00896877">
        <w:t xml:space="preserve"> </w:t>
      </w:r>
      <w:r w:rsidR="001B08D0">
        <w:t>m</w:t>
      </w:r>
      <w:r w:rsidR="00896877">
        <w:t>illion</w:t>
      </w:r>
      <w:r w:rsidRPr="00A37CB9">
        <w:t xml:space="preserve"> climate change commitment to the Pacific </w:t>
      </w:r>
      <w:r w:rsidR="00D61904">
        <w:t>suggests</w:t>
      </w:r>
      <w:r w:rsidRPr="00A37CB9">
        <w:t xml:space="preserve"> an integrated DRR</w:t>
      </w:r>
      <w:r w:rsidR="00896877">
        <w:t xml:space="preserve"> and </w:t>
      </w:r>
      <w:r w:rsidRPr="00A37CB9">
        <w:t>climate change approach).</w:t>
      </w:r>
    </w:p>
    <w:p w14:paraId="59A9E331" w14:textId="22FC428F" w:rsidR="00F508EE" w:rsidRDefault="00D61904" w:rsidP="00A37CB9">
      <w:r>
        <w:t>C</w:t>
      </w:r>
      <w:r w:rsidR="00A37CB9" w:rsidRPr="00A37CB9">
        <w:t xml:space="preserve">oherence </w:t>
      </w:r>
      <w:r>
        <w:t xml:space="preserve">between DRR and climate change </w:t>
      </w:r>
      <w:r w:rsidR="00A37CB9" w:rsidRPr="00A37CB9">
        <w:t>at the</w:t>
      </w:r>
      <w:r w:rsidR="00AA27E5">
        <w:t xml:space="preserve"> organisational level </w:t>
      </w:r>
      <w:r w:rsidR="009646D9">
        <w:t>could be strengthened</w:t>
      </w:r>
      <w:r w:rsidR="00AA27E5">
        <w:t xml:space="preserve">. </w:t>
      </w:r>
      <w:r w:rsidR="00A37CB9" w:rsidRPr="00A37CB9">
        <w:t xml:space="preserve">For example, climate change and DRR are well integrated </w:t>
      </w:r>
      <w:r w:rsidR="00E106D0">
        <w:t xml:space="preserve">in DFAT’s Humanitarian Strategy and </w:t>
      </w:r>
      <w:r w:rsidR="00A37CB9" w:rsidRPr="00A37CB9">
        <w:t xml:space="preserve">in </w:t>
      </w:r>
      <w:r w:rsidR="00E106D0">
        <w:t xml:space="preserve">internal </w:t>
      </w:r>
      <w:r w:rsidR="00A37CB9" w:rsidRPr="00A37CB9">
        <w:t xml:space="preserve">guidance on infrastructure programming, but DRR is not reflected in the </w:t>
      </w:r>
      <w:r w:rsidR="00984CD3">
        <w:t>g</w:t>
      </w:r>
      <w:r w:rsidR="00A37CB9" w:rsidRPr="00A37CB9">
        <w:t xml:space="preserve">uiding </w:t>
      </w:r>
      <w:r w:rsidR="00984CD3">
        <w:t>p</w:t>
      </w:r>
      <w:r w:rsidR="00A37CB9" w:rsidRPr="00A37CB9">
        <w:t>rinciples for climate change integration.</w:t>
      </w:r>
    </w:p>
    <w:p w14:paraId="219BA32A" w14:textId="77777777" w:rsidR="00A37CB9" w:rsidRPr="00A37CB9" w:rsidRDefault="00A37CB9" w:rsidP="00DA49D4">
      <w:pPr>
        <w:pStyle w:val="Heading4"/>
      </w:pPr>
      <w:r w:rsidRPr="00A37CB9">
        <w:t>Finding</w:t>
      </w:r>
    </w:p>
    <w:p w14:paraId="6ACF4D1C" w14:textId="5E0A7914" w:rsidR="00D61904" w:rsidRDefault="00DA49D4" w:rsidP="00201786">
      <w:r w:rsidRPr="00A37CB9">
        <w:t>The climate change strategy</w:t>
      </w:r>
      <w:r w:rsidR="001533D8">
        <w:t>,</w:t>
      </w:r>
      <w:r w:rsidRPr="00A37CB9">
        <w:t xml:space="preserve"> under development</w:t>
      </w:r>
      <w:r w:rsidR="001533D8">
        <w:t>,</w:t>
      </w:r>
      <w:r w:rsidRPr="00A37CB9">
        <w:t xml:space="preserve"> provides a good opportunity to add greater clarity and</w:t>
      </w:r>
      <w:r w:rsidR="001533D8">
        <w:t xml:space="preserve"> direction across the portfolio</w:t>
      </w:r>
      <w:r w:rsidR="00A37CB9" w:rsidRPr="00A37CB9">
        <w:t>.</w:t>
      </w:r>
      <w:r w:rsidR="00110D83">
        <w:t xml:space="preserve"> </w:t>
      </w:r>
      <w:r w:rsidR="00A37CB9" w:rsidRPr="00A37CB9">
        <w:t>Climate change does not feature strongly in Australia’s aid policy</w:t>
      </w:r>
      <w:r w:rsidR="00564592">
        <w:t>. T</w:t>
      </w:r>
      <w:r w:rsidR="00A37CB9" w:rsidRPr="00A37CB9">
        <w:t xml:space="preserve">here is no publicly available document that clearly articulates Australia’s climate change goals and objectives in relation to the aid program </w:t>
      </w:r>
      <w:r w:rsidR="001533D8">
        <w:t>beyond the spending commitment</w:t>
      </w:r>
      <w:r w:rsidR="00A37CB9" w:rsidRPr="00A37CB9">
        <w:t xml:space="preserve">, nor any guiding climate change strategy or implementation plan. The existence of a clear and comprehensive policy statement and strategy would greatly </w:t>
      </w:r>
      <w:r w:rsidR="00E106D0">
        <w:t xml:space="preserve">assist </w:t>
      </w:r>
      <w:r w:rsidR="00A37CB9" w:rsidRPr="00A37CB9">
        <w:t>country and regional A</w:t>
      </w:r>
      <w:r w:rsidR="00952E59">
        <w:t>IP</w:t>
      </w:r>
      <w:r w:rsidR="00D61904">
        <w:t>s</w:t>
      </w:r>
      <w:r w:rsidR="003074F4">
        <w:t xml:space="preserve"> </w:t>
      </w:r>
      <w:r w:rsidR="00A37CB9" w:rsidRPr="00A37CB9">
        <w:t>going forward, as well as driv</w:t>
      </w:r>
      <w:r w:rsidR="00EF1B3E">
        <w:t>ing</w:t>
      </w:r>
      <w:r w:rsidR="00A37CB9" w:rsidRPr="00A37CB9">
        <w:t xml:space="preserve"> integration across the portfolio.</w:t>
      </w:r>
      <w:bookmarkStart w:id="87" w:name="_Toc496273861"/>
    </w:p>
    <w:p w14:paraId="4C86AF06" w14:textId="77777777" w:rsidR="00D61904" w:rsidRDefault="00D61904">
      <w:pPr>
        <w:tabs>
          <w:tab w:val="clear" w:pos="992"/>
          <w:tab w:val="clear" w:pos="1418"/>
        </w:tabs>
        <w:spacing w:after="0" w:line="240" w:lineRule="auto"/>
      </w:pPr>
      <w:r>
        <w:br w:type="page"/>
      </w:r>
    </w:p>
    <w:p w14:paraId="0635292B" w14:textId="77777777" w:rsidR="00A37CB9" w:rsidRPr="00A37CB9" w:rsidRDefault="00A37CB9" w:rsidP="00AF5EBB">
      <w:pPr>
        <w:pStyle w:val="Heading2"/>
        <w:numPr>
          <w:ilvl w:val="1"/>
          <w:numId w:val="10"/>
        </w:numPr>
      </w:pPr>
      <w:bookmarkStart w:id="88" w:name="_Toc496273862"/>
      <w:bookmarkStart w:id="89" w:name="_Toc510771934"/>
      <w:bookmarkEnd w:id="87"/>
      <w:r w:rsidRPr="00A37CB9">
        <w:lastRenderedPageBreak/>
        <w:t xml:space="preserve">Internal design and approval processes and staff </w:t>
      </w:r>
      <w:bookmarkEnd w:id="88"/>
      <w:r w:rsidRPr="00A37CB9">
        <w:t>capacity</w:t>
      </w:r>
      <w:bookmarkEnd w:id="89"/>
    </w:p>
    <w:p w14:paraId="4079053A" w14:textId="58A0B5F3" w:rsidR="00FE41F2" w:rsidRDefault="00FE41F2" w:rsidP="00E1289A">
      <w:pPr>
        <w:pStyle w:val="Caption"/>
        <w:keepNext/>
      </w:pPr>
      <w:bookmarkStart w:id="90" w:name="_Toc510591530"/>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6</w:t>
      </w:r>
      <w:r w:rsidR="00E7543E">
        <w:rPr>
          <w:noProof/>
        </w:rPr>
        <w:fldChar w:fldCharType="end"/>
      </w:r>
      <w:r>
        <w:t xml:space="preserve">: </w:t>
      </w:r>
      <w:r w:rsidR="00E1289A">
        <w:t>Excerpt from Table 2</w:t>
      </w:r>
      <w:r w:rsidR="00564592">
        <w:t>—</w:t>
      </w:r>
      <w:r w:rsidR="00E1289A">
        <w:t>Domains of good practice climate change integration</w:t>
      </w:r>
      <w:bookmarkEnd w:id="90"/>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ternal design &amp; approval processes"/>
        <w:tblDescription w:val="Mandatory climate change screening occurs for all projects (design/approval)&#10;Climate change impact assessments are undertaken for major projects with an identified climate change focus or link&#10;Guidance documents and support tool exist to help program staff to integrate climate change at the design stage&#10;Staff have access to climate change specialists, support units/helpdesks and focal points&#10;Climate change integration training is available to staff "/>
      </w:tblPr>
      <w:tblGrid>
        <w:gridCol w:w="1560"/>
        <w:gridCol w:w="8520"/>
      </w:tblGrid>
      <w:tr w:rsidR="00A37CB9" w:rsidRPr="00A37CB9" w14:paraId="6EFEED1F" w14:textId="77777777" w:rsidTr="00E1289A">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00B0F0"/>
            <w:vAlign w:val="center"/>
          </w:tcPr>
          <w:p w14:paraId="7DCA5B28" w14:textId="00051051"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A37CB9">
              <w:rPr>
                <w:rFonts w:ascii="Franklin Gothic Book" w:eastAsia="Times New Roman" w:hAnsi="Franklin Gothic Book" w:cs="Times New Roman"/>
                <w:b/>
                <w:color w:val="auto"/>
                <w:sz w:val="21"/>
                <w:szCs w:val="24"/>
                <w:lang w:eastAsia="en-AU"/>
              </w:rPr>
              <w:t xml:space="preserve">Internal design </w:t>
            </w:r>
            <w:r w:rsidR="00564592">
              <w:rPr>
                <w:rFonts w:ascii="Franklin Gothic Book" w:eastAsia="Times New Roman" w:hAnsi="Franklin Gothic Book" w:cs="Times New Roman"/>
                <w:b/>
                <w:color w:val="auto"/>
                <w:sz w:val="21"/>
                <w:szCs w:val="24"/>
                <w:lang w:eastAsia="en-AU"/>
              </w:rPr>
              <w:t>and</w:t>
            </w:r>
            <w:r w:rsidRPr="00A37CB9">
              <w:rPr>
                <w:rFonts w:ascii="Franklin Gothic Book" w:eastAsia="Times New Roman" w:hAnsi="Franklin Gothic Book" w:cs="Times New Roman"/>
                <w:b/>
                <w:color w:val="auto"/>
                <w:sz w:val="21"/>
                <w:szCs w:val="24"/>
                <w:lang w:eastAsia="en-AU"/>
              </w:rPr>
              <w:t xml:space="preserve"> approval processes</w:t>
            </w:r>
          </w:p>
          <w:p w14:paraId="57180C9C"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A37CB9">
              <w:rPr>
                <w:rFonts w:ascii="Franklin Gothic Book" w:eastAsia="Times New Roman" w:hAnsi="Franklin Gothic Book" w:cs="Times New Roman"/>
                <w:b/>
                <w:color w:val="auto"/>
                <w:sz w:val="21"/>
                <w:szCs w:val="24"/>
                <w:lang w:eastAsia="en-AU"/>
              </w:rPr>
              <w:t>and staff capacity</w:t>
            </w:r>
          </w:p>
        </w:tc>
        <w:tc>
          <w:tcPr>
            <w:tcW w:w="8520"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50A898E8" w14:textId="5D4F9FDB"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Mandatory climate change screening occurs for all projects (</w:t>
            </w:r>
            <w:r w:rsidR="00A30A67">
              <w:rPr>
                <w:rFonts w:ascii="Franklin Gothic Book" w:eastAsia="Times New Roman" w:hAnsi="Franklin Gothic Book" w:cs="Times New Roman"/>
                <w:color w:val="auto"/>
                <w:sz w:val="21"/>
                <w:szCs w:val="24"/>
                <w:lang w:eastAsia="en-AU"/>
              </w:rPr>
              <w:t>d</w:t>
            </w:r>
            <w:r w:rsidRPr="00A37CB9">
              <w:rPr>
                <w:rFonts w:ascii="Franklin Gothic Book" w:eastAsia="Times New Roman" w:hAnsi="Franklin Gothic Book" w:cs="Times New Roman"/>
                <w:color w:val="auto"/>
                <w:sz w:val="21"/>
                <w:szCs w:val="24"/>
                <w:lang w:eastAsia="en-AU"/>
              </w:rPr>
              <w:t>esign</w:t>
            </w:r>
            <w:r w:rsidR="008F5B1C">
              <w:rPr>
                <w:rFonts w:ascii="Franklin Gothic Book" w:eastAsia="Times New Roman" w:hAnsi="Franklin Gothic Book" w:cs="Times New Roman"/>
                <w:color w:val="auto"/>
                <w:sz w:val="21"/>
                <w:szCs w:val="24"/>
                <w:lang w:eastAsia="en-AU"/>
              </w:rPr>
              <w:t xml:space="preserve"> and </w:t>
            </w:r>
            <w:r w:rsidR="00A30A67">
              <w:rPr>
                <w:rFonts w:ascii="Franklin Gothic Book" w:eastAsia="Times New Roman" w:hAnsi="Franklin Gothic Book" w:cs="Times New Roman"/>
                <w:color w:val="auto"/>
                <w:sz w:val="21"/>
                <w:szCs w:val="24"/>
                <w:lang w:eastAsia="en-AU"/>
              </w:rPr>
              <w:t>a</w:t>
            </w:r>
            <w:r w:rsidRPr="00A37CB9">
              <w:rPr>
                <w:rFonts w:ascii="Franklin Gothic Book" w:eastAsia="Times New Roman" w:hAnsi="Franklin Gothic Book" w:cs="Times New Roman"/>
                <w:color w:val="auto"/>
                <w:sz w:val="21"/>
                <w:szCs w:val="24"/>
                <w:lang w:eastAsia="en-AU"/>
              </w:rPr>
              <w:t>pproval)</w:t>
            </w:r>
          </w:p>
        </w:tc>
      </w:tr>
      <w:tr w:rsidR="00A37CB9" w:rsidRPr="00A37CB9" w14:paraId="7C83B052" w14:textId="77777777" w:rsidTr="00E1289A">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44DBAD3B"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52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A918AB9" w14:textId="7F579AFC"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Climate change impact assessments are undertaken for major projects with an identified climate change focus</w:t>
            </w:r>
            <w:r w:rsidR="00A30A67">
              <w:rPr>
                <w:rFonts w:ascii="Franklin Gothic Book" w:eastAsia="Times New Roman" w:hAnsi="Franklin Gothic Book" w:cs="Times New Roman"/>
                <w:color w:val="auto"/>
                <w:sz w:val="21"/>
                <w:szCs w:val="24"/>
                <w:lang w:eastAsia="en-AU"/>
              </w:rPr>
              <w:t xml:space="preserve"> or </w:t>
            </w:r>
            <w:r w:rsidRPr="00A37CB9">
              <w:rPr>
                <w:rFonts w:ascii="Franklin Gothic Book" w:eastAsia="Times New Roman" w:hAnsi="Franklin Gothic Book" w:cs="Times New Roman"/>
                <w:color w:val="auto"/>
                <w:sz w:val="21"/>
                <w:szCs w:val="24"/>
                <w:lang w:eastAsia="en-AU"/>
              </w:rPr>
              <w:t>link</w:t>
            </w:r>
          </w:p>
        </w:tc>
      </w:tr>
      <w:tr w:rsidR="00A37CB9" w:rsidRPr="00A37CB9" w14:paraId="235047EF" w14:textId="77777777" w:rsidTr="00E1289A">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6310472D"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52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2878043" w14:textId="13DE1A4F"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Guidance documents and support tool</w:t>
            </w:r>
            <w:r w:rsidR="008F5B1C">
              <w:rPr>
                <w:rFonts w:ascii="Franklin Gothic Book" w:eastAsia="Times New Roman" w:hAnsi="Franklin Gothic Book" w:cs="Times New Roman"/>
                <w:color w:val="auto"/>
                <w:sz w:val="21"/>
                <w:szCs w:val="24"/>
                <w:lang w:eastAsia="en-AU"/>
              </w:rPr>
              <w:t>s</w:t>
            </w:r>
            <w:r w:rsidRPr="00A37CB9">
              <w:rPr>
                <w:rFonts w:ascii="Franklin Gothic Book" w:eastAsia="Times New Roman" w:hAnsi="Franklin Gothic Book" w:cs="Times New Roman"/>
                <w:color w:val="auto"/>
                <w:sz w:val="21"/>
                <w:szCs w:val="24"/>
                <w:lang w:eastAsia="en-AU"/>
              </w:rPr>
              <w:t xml:space="preserve"> exist to help program staff to integrate climate change at the design stage</w:t>
            </w:r>
          </w:p>
        </w:tc>
      </w:tr>
      <w:tr w:rsidR="00A37CB9" w:rsidRPr="00A37CB9" w14:paraId="36FD7C5A" w14:textId="77777777" w:rsidTr="00E1289A">
        <w:tc>
          <w:tcPr>
            <w:tcW w:w="1560"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59E45B24"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52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8895137" w14:textId="52B489BF"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Staff have access to climate change specialists, support units</w:t>
            </w:r>
            <w:r w:rsidR="008F5B1C">
              <w:rPr>
                <w:rFonts w:ascii="Franklin Gothic Book" w:eastAsia="Times New Roman" w:hAnsi="Franklin Gothic Book" w:cs="Times New Roman"/>
                <w:color w:val="auto"/>
                <w:sz w:val="21"/>
                <w:szCs w:val="24"/>
                <w:lang w:eastAsia="en-AU"/>
              </w:rPr>
              <w:t xml:space="preserve"> and </w:t>
            </w:r>
            <w:r w:rsidRPr="00A37CB9">
              <w:rPr>
                <w:rFonts w:ascii="Franklin Gothic Book" w:eastAsia="Times New Roman" w:hAnsi="Franklin Gothic Book" w:cs="Times New Roman"/>
                <w:color w:val="auto"/>
                <w:sz w:val="21"/>
                <w:szCs w:val="24"/>
                <w:lang w:eastAsia="en-AU"/>
              </w:rPr>
              <w:t>helpdesks</w:t>
            </w:r>
            <w:r w:rsidR="00A30A67">
              <w:rPr>
                <w:rFonts w:ascii="Franklin Gothic Book" w:eastAsia="Times New Roman" w:hAnsi="Franklin Gothic Book" w:cs="Times New Roman"/>
                <w:color w:val="auto"/>
                <w:sz w:val="21"/>
                <w:szCs w:val="24"/>
                <w:lang w:eastAsia="en-AU"/>
              </w:rPr>
              <w:t xml:space="preserve"> and</w:t>
            </w:r>
            <w:r w:rsidRPr="00A37CB9">
              <w:rPr>
                <w:rFonts w:ascii="Franklin Gothic Book" w:eastAsia="Times New Roman" w:hAnsi="Franklin Gothic Book" w:cs="Times New Roman"/>
                <w:color w:val="auto"/>
                <w:sz w:val="21"/>
                <w:szCs w:val="24"/>
                <w:lang w:eastAsia="en-AU"/>
              </w:rPr>
              <w:t xml:space="preserve"> focal points</w:t>
            </w:r>
          </w:p>
        </w:tc>
      </w:tr>
      <w:tr w:rsidR="00A37CB9" w:rsidRPr="00A37CB9" w14:paraId="554B7CCA" w14:textId="77777777" w:rsidTr="00E1289A">
        <w:tc>
          <w:tcPr>
            <w:tcW w:w="1560" w:type="dxa"/>
            <w:vMerge/>
            <w:tcBorders>
              <w:top w:val="dashSmallGap" w:sz="4" w:space="0" w:color="auto"/>
              <w:left w:val="single" w:sz="12" w:space="0" w:color="auto"/>
              <w:bottom w:val="single" w:sz="12" w:space="0" w:color="auto"/>
              <w:right w:val="dashSmallGap" w:sz="4" w:space="0" w:color="auto"/>
            </w:tcBorders>
            <w:shd w:val="clear" w:color="auto" w:fill="00B0F0"/>
            <w:vAlign w:val="center"/>
          </w:tcPr>
          <w:p w14:paraId="35986C93"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color w:val="auto"/>
                <w:sz w:val="21"/>
                <w:szCs w:val="24"/>
                <w:lang w:eastAsia="en-AU"/>
              </w:rPr>
            </w:pPr>
          </w:p>
        </w:tc>
        <w:tc>
          <w:tcPr>
            <w:tcW w:w="8520"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338A221D" w14:textId="07D5CA92"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 xml:space="preserve">Climate change integration training </w:t>
            </w:r>
            <w:r w:rsidR="00A30A67">
              <w:rPr>
                <w:rFonts w:ascii="Franklin Gothic Book" w:eastAsia="Times New Roman" w:hAnsi="Franklin Gothic Book" w:cs="Times New Roman"/>
                <w:color w:val="auto"/>
                <w:sz w:val="21"/>
                <w:szCs w:val="24"/>
                <w:lang w:eastAsia="en-AU"/>
              </w:rPr>
              <w:t xml:space="preserve">is </w:t>
            </w:r>
            <w:r w:rsidRPr="00A37CB9">
              <w:rPr>
                <w:rFonts w:ascii="Franklin Gothic Book" w:eastAsia="Times New Roman" w:hAnsi="Franklin Gothic Book" w:cs="Times New Roman"/>
                <w:color w:val="auto"/>
                <w:sz w:val="21"/>
                <w:szCs w:val="24"/>
                <w:lang w:eastAsia="en-AU"/>
              </w:rPr>
              <w:t xml:space="preserve">available to staff </w:t>
            </w:r>
          </w:p>
        </w:tc>
      </w:tr>
    </w:tbl>
    <w:p w14:paraId="4DD39E89" w14:textId="77777777" w:rsidR="008F5B1C" w:rsidRDefault="008F5B1C" w:rsidP="00A37CB9"/>
    <w:p w14:paraId="1EA7D10F" w14:textId="4DEB527A" w:rsidR="008F5B1C" w:rsidRDefault="00A37CB9" w:rsidP="00A37CB9">
      <w:r w:rsidRPr="00A37CB9">
        <w:t>For effective climate change integration, adequate procedures should be in place to ensure that any climate</w:t>
      </w:r>
      <w:r w:rsidR="00A30A67">
        <w:t>-</w:t>
      </w:r>
      <w:r w:rsidRPr="00A37CB9">
        <w:t xml:space="preserve">related impacts associated with aid investments (positive or negative) are identified and appropriate </w:t>
      </w:r>
      <w:r w:rsidRPr="00A37CB9">
        <w:rPr>
          <w:color w:val="auto"/>
        </w:rPr>
        <w:t>measures</w:t>
      </w:r>
      <w:r w:rsidRPr="00A37CB9">
        <w:t xml:space="preserve"> implemented to address adverse impacts. It is also important to ensure that individual investments are consistent with the climate change goals and objectives of the aid program. The procedures employed by OECD countries to ensure that investments are climate friendly (do not contribute to increased greenhouse gas emissions) and climate risk aware (do not increase vulnerability to climate change impacts) vary, but most follow internationally accepted screening and monitoring methodologies. </w:t>
      </w:r>
    </w:p>
    <w:p w14:paraId="17329AFE" w14:textId="76F7E20C" w:rsidR="00F508EE" w:rsidRDefault="00A37CB9" w:rsidP="00A37CB9">
      <w:r w:rsidRPr="00A37CB9">
        <w:t>Good practice features that emerged from the international literature review included:</w:t>
      </w:r>
    </w:p>
    <w:p w14:paraId="0B70CF4E" w14:textId="57C7F6A6" w:rsidR="00A37CB9" w:rsidRPr="00A37CB9" w:rsidRDefault="00A30A67" w:rsidP="00284B12">
      <w:pPr>
        <w:pStyle w:val="ListBullet"/>
      </w:pPr>
      <w:r>
        <w:t>e</w:t>
      </w:r>
      <w:r w:rsidR="00A37CB9" w:rsidRPr="00A37CB9">
        <w:t>xistence of mandatory climate change screening procedures for all projects (at design and approval stages), with more detailed climate change impact assessment for all major projects that have an identified climate change link or risk (often above a specified financial threshold)</w:t>
      </w:r>
    </w:p>
    <w:p w14:paraId="01CD8C53" w14:textId="294026C3" w:rsidR="00F508EE" w:rsidRDefault="00A30A67" w:rsidP="00284B12">
      <w:pPr>
        <w:pStyle w:val="ListBullet"/>
      </w:pPr>
      <w:r>
        <w:t>a</w:t>
      </w:r>
      <w:r w:rsidR="00A37CB9" w:rsidRPr="00A37CB9">
        <w:t>dequate guidance documents and support tools to assist program staff to screen and assess potential climate</w:t>
      </w:r>
      <w:r>
        <w:t>-</w:t>
      </w:r>
      <w:r w:rsidR="00A37CB9" w:rsidRPr="00A37CB9">
        <w:t>related impacts of investments (at design and implementation stage</w:t>
      </w:r>
      <w:r w:rsidR="008F5B1C">
        <w:t>s)</w:t>
      </w:r>
    </w:p>
    <w:p w14:paraId="458D0D57" w14:textId="4C2662D4" w:rsidR="00F508EE" w:rsidRDefault="00A30A67" w:rsidP="00284B12">
      <w:pPr>
        <w:pStyle w:val="ListBullet"/>
      </w:pPr>
      <w:r>
        <w:t>s</w:t>
      </w:r>
      <w:r w:rsidR="00A37CB9" w:rsidRPr="00A37CB9">
        <w:t>pecialist in-house climate change expertise (usually in the</w:t>
      </w:r>
      <w:r w:rsidR="00E1289A">
        <w:t xml:space="preserve"> form of advisory support units or </w:t>
      </w:r>
      <w:r w:rsidR="00A37CB9" w:rsidRPr="00A37CB9">
        <w:t>technical helpdesks at H</w:t>
      </w:r>
      <w:r w:rsidR="00DC4E78">
        <w:t>eadquarters</w:t>
      </w:r>
      <w:r w:rsidR="00A37CB9" w:rsidRPr="00A37CB9">
        <w:t xml:space="preserve"> and regional program hubs) that can provide technical support to program staff and build climate change competencies through training and awareness raising.</w:t>
      </w:r>
    </w:p>
    <w:p w14:paraId="4F459D7F" w14:textId="5AE07DDF" w:rsidR="00F508EE" w:rsidRDefault="00A37CB9" w:rsidP="00A37CB9">
      <w:r w:rsidRPr="00A37CB9">
        <w:t xml:space="preserve">The evaluation found that DFAT has </w:t>
      </w:r>
      <w:r w:rsidR="00081A05">
        <w:t xml:space="preserve">some </w:t>
      </w:r>
      <w:r w:rsidRPr="00A37CB9">
        <w:t xml:space="preserve">climate change screening processes in place, but that these are generally less rigorous and limited in scope (mainly at the design stage) than appears to be common practice elsewhere. As a </w:t>
      </w:r>
      <w:r w:rsidR="003D5944" w:rsidRPr="00A37CB9">
        <w:t>result,</w:t>
      </w:r>
      <w:r w:rsidRPr="00A37CB9">
        <w:t xml:space="preserve"> the Australian aid program faces a greater risk that climate change impacts associated with investments go undetected.</w:t>
      </w:r>
      <w:r w:rsidR="00110D83">
        <w:t xml:space="preserve"> </w:t>
      </w:r>
      <w:r w:rsidRPr="00A37CB9">
        <w:t xml:space="preserve">The safeguards screening tool </w:t>
      </w:r>
      <w:r w:rsidR="003C5368">
        <w:t>under</w:t>
      </w:r>
      <w:r w:rsidR="00A30A67">
        <w:t xml:space="preserve"> </w:t>
      </w:r>
      <w:r w:rsidR="003C5368">
        <w:t xml:space="preserve">development </w:t>
      </w:r>
      <w:r w:rsidRPr="00A37CB9">
        <w:t>may help ensure more effective screening at the design stage, though little emphasis is given to climate change impact assessment during other stages of the project cycle. Evidence from the investments reviewed in this evaluation indicates that DFAT has made efforts to screen for climate change risks for major infrastructure investments</w:t>
      </w:r>
      <w:r w:rsidR="00E1289A">
        <w:t xml:space="preserve">, </w:t>
      </w:r>
      <w:r w:rsidRPr="00A37CB9">
        <w:t xml:space="preserve">though </w:t>
      </w:r>
      <w:r w:rsidR="00E1289A">
        <w:t>screening</w:t>
      </w:r>
      <w:r w:rsidRPr="00A37CB9">
        <w:t xml:space="preserve"> primarily focus</w:t>
      </w:r>
      <w:r w:rsidR="00E1289A">
        <w:t>ed</w:t>
      </w:r>
      <w:r w:rsidRPr="00A37CB9">
        <w:t xml:space="preserve"> on adaptation</w:t>
      </w:r>
      <w:r w:rsidR="00E1289A">
        <w:t xml:space="preserve"> and </w:t>
      </w:r>
      <w:r w:rsidRPr="00A37CB9">
        <w:t xml:space="preserve">resilience building elements and not </w:t>
      </w:r>
      <w:r w:rsidR="00E1289A">
        <w:t xml:space="preserve">on </w:t>
      </w:r>
      <w:r w:rsidRPr="00A37CB9">
        <w:t xml:space="preserve">the potential </w:t>
      </w:r>
      <w:r w:rsidRPr="00A37CB9">
        <w:lastRenderedPageBreak/>
        <w:t>emissions impact of the investment</w:t>
      </w:r>
      <w:r w:rsidR="00E1289A">
        <w:t>s</w:t>
      </w:r>
      <w:r w:rsidRPr="00A37CB9">
        <w:t>. The financial threshold</w:t>
      </w:r>
      <w:r w:rsidRPr="00A37CB9">
        <w:rPr>
          <w:vertAlign w:val="superscript"/>
        </w:rPr>
        <w:footnoteReference w:id="27"/>
      </w:r>
      <w:r w:rsidRPr="00A37CB9">
        <w:t xml:space="preserve"> that triggers more substantive impact assessment is also high relative to other donors.</w:t>
      </w:r>
    </w:p>
    <w:p w14:paraId="3CB7E847" w14:textId="6E962CAA" w:rsidR="00F508EE" w:rsidRDefault="00A37CB9" w:rsidP="00A37CB9">
      <w:r w:rsidRPr="00A37CB9">
        <w:t xml:space="preserve">The availability of technical guidance documents and online support tools to assist DFAT program staff to integrate climate impacts in project design, assessment and monitoring (especially at the sector level) was found to be limited. </w:t>
      </w:r>
      <w:r w:rsidR="00E1289A" w:rsidRPr="00A37CB9">
        <w:t>DFAT</w:t>
      </w:r>
      <w:r w:rsidR="00E1289A">
        <w:t>’</w:t>
      </w:r>
      <w:r w:rsidR="00E1289A" w:rsidRPr="00A37CB9">
        <w:t xml:space="preserve">s recent efforts to develop new and additional guidance material is likely </w:t>
      </w:r>
      <w:r w:rsidR="00E1289A">
        <w:t xml:space="preserve">to </w:t>
      </w:r>
      <w:r w:rsidR="00E1289A" w:rsidRPr="00A37CB9">
        <w:t>assist DFAT</w:t>
      </w:r>
      <w:r w:rsidR="00E1289A">
        <w:t>’</w:t>
      </w:r>
      <w:r w:rsidR="00E1289A" w:rsidRPr="00A37CB9">
        <w:t xml:space="preserve">s climate change integration efforts. </w:t>
      </w:r>
      <w:r w:rsidR="00D61904">
        <w:t>M</w:t>
      </w:r>
      <w:r w:rsidRPr="00A37CB9">
        <w:t>ost OECD countries</w:t>
      </w:r>
      <w:r w:rsidR="003D5944">
        <w:t xml:space="preserve"> </w:t>
      </w:r>
      <w:r w:rsidR="00946F52">
        <w:t xml:space="preserve">included in the literature review </w:t>
      </w:r>
      <w:r w:rsidR="00BB7259">
        <w:t>have</w:t>
      </w:r>
      <w:r w:rsidRPr="00A37CB9">
        <w:t xml:space="preserve"> technical guidance and support tools covering mitigation, adaptation and broader disaster resilience</w:t>
      </w:r>
      <w:r w:rsidR="00E1289A">
        <w:t>.</w:t>
      </w:r>
    </w:p>
    <w:p w14:paraId="7656CF25" w14:textId="053EFAA1" w:rsidR="00A37CB9" w:rsidRPr="00A37CB9" w:rsidRDefault="00A37CB9" w:rsidP="00A37CB9">
      <w:r w:rsidRPr="00A37CB9">
        <w:t xml:space="preserve">The availability of specialist climate change technical expertise that can support program staff is also </w:t>
      </w:r>
      <w:r w:rsidR="003D5944">
        <w:t xml:space="preserve">recognised </w:t>
      </w:r>
      <w:r w:rsidRPr="00A37CB9">
        <w:t>as an important prerequisite to effective climate change integration and internal capacity building. Based on the evidence gathered dur</w:t>
      </w:r>
      <w:r w:rsidR="003D5944">
        <w:t xml:space="preserve">ing </w:t>
      </w:r>
      <w:r w:rsidRPr="00A37CB9">
        <w:t>the evaluation</w:t>
      </w:r>
      <w:r w:rsidR="004E4D39">
        <w:t>,</w:t>
      </w:r>
      <w:r w:rsidRPr="00A37CB9">
        <w:t xml:space="preserve"> DFAT’s internal capacity to provide climate change technical support across the aid program</w:t>
      </w:r>
      <w:r w:rsidR="00D61904">
        <w:t>,</w:t>
      </w:r>
      <w:r w:rsidRPr="00A37CB9">
        <w:t xml:space="preserve"> and the broader DFAT portfolio, is assessed as limited and under</w:t>
      </w:r>
      <w:r w:rsidR="00A87F16">
        <w:t>-</w:t>
      </w:r>
      <w:r w:rsidRPr="00A37CB9">
        <w:t xml:space="preserve">resourced. The level of resources dedicated to internal climate change technical support capacity has declined since 2014, </w:t>
      </w:r>
      <w:r w:rsidR="00A87F16">
        <w:t>and</w:t>
      </w:r>
      <w:r w:rsidRPr="00A37CB9">
        <w:t xml:space="preserve"> </w:t>
      </w:r>
      <w:r w:rsidR="00D61904">
        <w:t xml:space="preserve">the </w:t>
      </w:r>
      <w:r w:rsidRPr="00A37CB9">
        <w:t xml:space="preserve">role and capacity of climate change focal points at Post also appears to have diminished in recent years. Several informants expressed a concern that </w:t>
      </w:r>
      <w:r w:rsidR="00BB7259">
        <w:t xml:space="preserve">a </w:t>
      </w:r>
      <w:r w:rsidRPr="00A37CB9">
        <w:t xml:space="preserve">lack of access to specialist internal climate change technical support at the investment design stage made the task of </w:t>
      </w:r>
      <w:r w:rsidR="00A87F16">
        <w:t>climate-aware programming</w:t>
      </w:r>
      <w:r w:rsidR="00A87F16" w:rsidRPr="00A37CB9">
        <w:t xml:space="preserve"> </w:t>
      </w:r>
      <w:r w:rsidRPr="00A37CB9">
        <w:t>more difficult. At present</w:t>
      </w:r>
      <w:r w:rsidR="007A2489">
        <w:t>,</w:t>
      </w:r>
      <w:r w:rsidRPr="00A37CB9">
        <w:t xml:space="preserve"> only limited resources </w:t>
      </w:r>
      <w:r w:rsidR="00666840">
        <w:t xml:space="preserve">in the Sustainability and Climate Change Branch </w:t>
      </w:r>
      <w:r w:rsidRPr="00A37CB9">
        <w:t xml:space="preserve">are </w:t>
      </w:r>
      <w:r w:rsidR="00B36C88">
        <w:t xml:space="preserve">available </w:t>
      </w:r>
      <w:r w:rsidR="00081A05">
        <w:t xml:space="preserve">for </w:t>
      </w:r>
      <w:r w:rsidRPr="00A37CB9">
        <w:t xml:space="preserve">climate change mainstreaming and technical support </w:t>
      </w:r>
      <w:r w:rsidR="00E02E5A">
        <w:t>to aid program staff</w:t>
      </w:r>
      <w:r w:rsidR="00360027">
        <w:t>.</w:t>
      </w:r>
    </w:p>
    <w:p w14:paraId="7B55B919" w14:textId="2EF23925" w:rsidR="00A37CB9" w:rsidRPr="00A37CB9" w:rsidRDefault="00A37CB9" w:rsidP="00A37CB9">
      <w:r w:rsidRPr="00A37CB9">
        <w:t xml:space="preserve">Increased use of externally sourced climate change technical experts is </w:t>
      </w:r>
      <w:r w:rsidR="00577B31">
        <w:t>another</w:t>
      </w:r>
      <w:r w:rsidR="003D5944">
        <w:t xml:space="preserve"> </w:t>
      </w:r>
      <w:r w:rsidRPr="00A37CB9">
        <w:t>means of servicing climate change technical needs, especially at the project design stage. The Pacific Branch has established an Interim Support Unit (staffed by contractors) and is progressing plans to establish a more permanent mechanism for accessing external technical expertise. The South Asia</w:t>
      </w:r>
      <w:r w:rsidR="00B06994">
        <w:t xml:space="preserve"> Regional Program’s </w:t>
      </w:r>
      <w:r w:rsidRPr="00A37CB9">
        <w:t>SDIP also contracts specialist long</w:t>
      </w:r>
      <w:r w:rsidR="007A2489">
        <w:t>-</w:t>
      </w:r>
      <w:r w:rsidRPr="00A37CB9">
        <w:t xml:space="preserve">term climate change technical support as part of </w:t>
      </w:r>
      <w:r w:rsidR="00380FCB">
        <w:t>its</w:t>
      </w:r>
      <w:r w:rsidRPr="00A37CB9">
        <w:t xml:space="preserve"> contracted advisor</w:t>
      </w:r>
      <w:r w:rsidR="003D5944">
        <w:t>y support team</w:t>
      </w:r>
      <w:r w:rsidR="00564592">
        <w:t>.</w:t>
      </w:r>
      <w:r w:rsidR="003D5944">
        <w:rPr>
          <w:rStyle w:val="FootnoteReference"/>
        </w:rPr>
        <w:footnoteReference w:id="28"/>
      </w:r>
      <w:r w:rsidR="00F508EE">
        <w:t xml:space="preserve"> </w:t>
      </w:r>
    </w:p>
    <w:p w14:paraId="22AADB43" w14:textId="6172C010" w:rsidR="00F508EE" w:rsidRDefault="00A37CB9" w:rsidP="00A37CB9">
      <w:r w:rsidRPr="00A37CB9">
        <w:t xml:space="preserve">Program staff </w:t>
      </w:r>
      <w:r w:rsidR="006973C1">
        <w:t>require</w:t>
      </w:r>
      <w:r w:rsidRPr="00A37CB9">
        <w:t xml:space="preserve"> a basic understanding of climate change for integration to be effective. At present</w:t>
      </w:r>
      <w:r w:rsidR="00E90F17">
        <w:t>,</w:t>
      </w:r>
      <w:r w:rsidRPr="00A37CB9">
        <w:t xml:space="preserve"> no in-house climate change training is provided</w:t>
      </w:r>
      <w:r w:rsidR="00564592">
        <w:t>,</w:t>
      </w:r>
      <w:r w:rsidRPr="00A37CB9">
        <w:t xml:space="preserve"> and climate change is not covered in staff induction training or in posting pre-departure training. The evaluation found that the level of climate change awareness and expertise among program staff was generally low, although several </w:t>
      </w:r>
      <w:r w:rsidR="00577B31">
        <w:t>informants</w:t>
      </w:r>
      <w:r w:rsidR="00577B31" w:rsidRPr="00A37CB9">
        <w:t xml:space="preserve"> </w:t>
      </w:r>
      <w:r w:rsidRPr="00A37CB9">
        <w:t xml:space="preserve">indicated a strong interest in building a better understanding and increasing their capacity to identify, monitor and report on climate change </w:t>
      </w:r>
      <w:r w:rsidR="00D61904">
        <w:t>outcomes</w:t>
      </w:r>
      <w:r w:rsidRPr="00A37CB9">
        <w:t>.</w:t>
      </w:r>
    </w:p>
    <w:p w14:paraId="0FAA5177" w14:textId="77777777" w:rsidR="00A37CB9" w:rsidRPr="00A37CB9" w:rsidRDefault="00A37CB9" w:rsidP="00215C34">
      <w:pPr>
        <w:pStyle w:val="Heading4"/>
      </w:pPr>
      <w:r w:rsidRPr="00A37CB9">
        <w:t>Finding</w:t>
      </w:r>
    </w:p>
    <w:p w14:paraId="1403F795" w14:textId="521BA431" w:rsidR="00BB1F54" w:rsidRDefault="00A37CB9" w:rsidP="00BB1F54">
      <w:r w:rsidRPr="00A37CB9">
        <w:t>DFAT</w:t>
      </w:r>
      <w:r w:rsidR="00886883">
        <w:t>’</w:t>
      </w:r>
      <w:r w:rsidRPr="00A37CB9">
        <w:t>s existing climate change screening, internal technical support</w:t>
      </w:r>
      <w:r w:rsidR="00215C34">
        <w:t>, guidance materials</w:t>
      </w:r>
      <w:r w:rsidRPr="00A37CB9">
        <w:t xml:space="preserve"> and staff training </w:t>
      </w:r>
      <w:r w:rsidR="00577B31">
        <w:t xml:space="preserve">are </w:t>
      </w:r>
      <w:r w:rsidRPr="00A37CB9">
        <w:t xml:space="preserve">less developed and resourced relative to other major OECD donors. </w:t>
      </w:r>
      <w:r w:rsidR="00215C34">
        <w:t>These</w:t>
      </w:r>
      <w:r w:rsidRPr="00A37CB9">
        <w:t xml:space="preserve"> are critical building blocks for effective climate change integration. The international literature review identified links to </w:t>
      </w:r>
      <w:r w:rsidR="002F1C5F">
        <w:t>good</w:t>
      </w:r>
      <w:r w:rsidR="002F1C5F" w:rsidRPr="00A37CB9">
        <w:t xml:space="preserve"> </w:t>
      </w:r>
      <w:r w:rsidRPr="00A37CB9">
        <w:t xml:space="preserve">practice approaches other OECD donors have adopted for screening, program guidance materials and technical </w:t>
      </w:r>
      <w:r w:rsidRPr="00A37CB9">
        <w:lastRenderedPageBreak/>
        <w:t xml:space="preserve">support. DFAT may wish to access and </w:t>
      </w:r>
      <w:r w:rsidR="00215C34">
        <w:t>review</w:t>
      </w:r>
      <w:r w:rsidRPr="00A37CB9">
        <w:t xml:space="preserve"> these approaches in more detail to guide </w:t>
      </w:r>
      <w:r w:rsidR="00D61904">
        <w:t xml:space="preserve">its </w:t>
      </w:r>
      <w:r w:rsidRPr="00A37CB9">
        <w:t xml:space="preserve">efforts </w:t>
      </w:r>
      <w:r w:rsidR="00D61904">
        <w:t>to build</w:t>
      </w:r>
      <w:r w:rsidRPr="00A37CB9">
        <w:t xml:space="preserve"> internal systems and capacity.</w:t>
      </w:r>
    </w:p>
    <w:p w14:paraId="773DCF31" w14:textId="77777777" w:rsidR="00BB1F54" w:rsidRPr="00A37CB9" w:rsidRDefault="00BB1F54" w:rsidP="00AF5EBB">
      <w:pPr>
        <w:pStyle w:val="Heading2"/>
        <w:numPr>
          <w:ilvl w:val="1"/>
          <w:numId w:val="10"/>
        </w:numPr>
      </w:pPr>
      <w:bookmarkStart w:id="91" w:name="_Toc510771935"/>
      <w:r w:rsidRPr="00BB1F54">
        <w:t>Monitoring, evaluation and reporting</w:t>
      </w:r>
      <w:bookmarkEnd w:id="91"/>
    </w:p>
    <w:p w14:paraId="19427042" w14:textId="18D4AD00" w:rsidR="00FE41F2" w:rsidRDefault="00FE41F2" w:rsidP="00215C34">
      <w:pPr>
        <w:pStyle w:val="Caption"/>
        <w:keepNext/>
      </w:pPr>
      <w:bookmarkStart w:id="92" w:name="_Toc510591531"/>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7</w:t>
      </w:r>
      <w:r w:rsidR="00E7543E">
        <w:rPr>
          <w:noProof/>
        </w:rPr>
        <w:fldChar w:fldCharType="end"/>
      </w:r>
      <w:r>
        <w:t xml:space="preserve">: </w:t>
      </w:r>
      <w:r w:rsidR="00215C34">
        <w:t>Excerpt from Table 2</w:t>
      </w:r>
      <w:r w:rsidR="00380FCB">
        <w:t>—</w:t>
      </w:r>
      <w:r w:rsidR="00215C34">
        <w:t>Domains of good practice climate change integration</w:t>
      </w:r>
      <w:bookmarkEnd w:id="9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onitoring, evaluation and reporting"/>
        <w:tblDescription w:val="Robust monitoring and evaluation systems, using appropriate adaptation and/or mitigation indicators&#10;Climate change indicators are part of DFAT’s core ODA reporting at organisational level and part of a mandatory annual reporting process&#10;Departmental measures (indicators) and reports on how climate change has been mainstreamed across the portfolio&#10;Tools and guidance on how to set up appropriate monitoring and evaluation systems for climate impacts exist&#10;Staff are adequately ‘climate aware’ and have the skills to apply guidance and tools&#10;Reports document climate change impacts providing an insight into value for money, providing meaningful lessons learned, and guiding future programming&#10;Evaluation reports systematically incorporate/consider climate change&#10;"/>
      </w:tblPr>
      <w:tblGrid>
        <w:gridCol w:w="1560"/>
        <w:gridCol w:w="8646"/>
      </w:tblGrid>
      <w:tr w:rsidR="00215C34" w:rsidRPr="00E968E5" w14:paraId="1AE69EE0" w14:textId="77777777" w:rsidTr="002610BC">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B469FF"/>
            <w:vAlign w:val="center"/>
          </w:tcPr>
          <w:p w14:paraId="2AEAE567"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Monitoring, evaluation and reporting</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106F5A44" w14:textId="1187FEE5"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Robust </w:t>
            </w:r>
            <w:r w:rsidR="00DC4E78">
              <w:rPr>
                <w:rFonts w:ascii="Franklin Gothic Book" w:eastAsia="Times New Roman" w:hAnsi="Franklin Gothic Book" w:cs="Times New Roman"/>
                <w:color w:val="auto"/>
                <w:sz w:val="21"/>
                <w:szCs w:val="24"/>
                <w:lang w:eastAsia="en-AU"/>
              </w:rPr>
              <w:t>M&amp;E</w:t>
            </w:r>
            <w:r w:rsidRPr="00E968E5">
              <w:rPr>
                <w:rFonts w:ascii="Franklin Gothic Book" w:eastAsia="Times New Roman" w:hAnsi="Franklin Gothic Book" w:cs="Times New Roman"/>
                <w:color w:val="auto"/>
                <w:sz w:val="21"/>
                <w:szCs w:val="24"/>
                <w:lang w:eastAsia="en-AU"/>
              </w:rPr>
              <w:t xml:space="preserve"> systems, using appropriate adaptation and/or mitigation indicators</w:t>
            </w:r>
            <w:r w:rsidR="007F66E5">
              <w:rPr>
                <w:rFonts w:ascii="Franklin Gothic Book" w:eastAsia="Times New Roman" w:hAnsi="Franklin Gothic Book" w:cs="Times New Roman"/>
                <w:color w:val="auto"/>
                <w:sz w:val="21"/>
                <w:szCs w:val="24"/>
                <w:lang w:eastAsia="en-AU"/>
              </w:rPr>
              <w:t>.</w:t>
            </w:r>
          </w:p>
        </w:tc>
      </w:tr>
      <w:tr w:rsidR="00215C34" w:rsidRPr="00E968E5" w14:paraId="70807204"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1C69A562"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BFA684F" w14:textId="07807E70"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C</w:t>
            </w:r>
            <w:r>
              <w:rPr>
                <w:rFonts w:ascii="Franklin Gothic Book" w:eastAsia="Times New Roman" w:hAnsi="Franklin Gothic Book" w:cs="Times New Roman"/>
                <w:color w:val="auto"/>
                <w:sz w:val="21"/>
                <w:szCs w:val="24"/>
                <w:lang w:eastAsia="en-AU"/>
              </w:rPr>
              <w:t>limate change</w:t>
            </w:r>
            <w:r w:rsidRPr="00E968E5">
              <w:rPr>
                <w:rFonts w:ascii="Franklin Gothic Book" w:eastAsia="Times New Roman" w:hAnsi="Franklin Gothic Book" w:cs="Times New Roman"/>
                <w:color w:val="auto"/>
                <w:sz w:val="21"/>
                <w:szCs w:val="24"/>
                <w:lang w:eastAsia="en-AU"/>
              </w:rPr>
              <w:t xml:space="preserve"> indicators are part of DFAT’s core</w:t>
            </w:r>
            <w:r>
              <w:rPr>
                <w:rFonts w:ascii="Franklin Gothic Book" w:eastAsia="Times New Roman" w:hAnsi="Franklin Gothic Book" w:cs="Times New Roman"/>
                <w:color w:val="auto"/>
                <w:sz w:val="21"/>
                <w:szCs w:val="24"/>
                <w:lang w:eastAsia="en-AU"/>
              </w:rPr>
              <w:t xml:space="preserve"> ODA reporting at organisational level</w:t>
            </w:r>
            <w:r w:rsidRPr="00E968E5">
              <w:rPr>
                <w:rFonts w:ascii="Franklin Gothic Book" w:eastAsia="Times New Roman" w:hAnsi="Franklin Gothic Book" w:cs="Times New Roman"/>
                <w:color w:val="auto"/>
                <w:sz w:val="21"/>
                <w:szCs w:val="24"/>
                <w:lang w:eastAsia="en-AU"/>
              </w:rPr>
              <w:t xml:space="preserve"> and part of a mandatory annual reporting process</w:t>
            </w:r>
            <w:r w:rsidR="007F66E5">
              <w:rPr>
                <w:rFonts w:ascii="Franklin Gothic Book" w:eastAsia="Times New Roman" w:hAnsi="Franklin Gothic Book" w:cs="Times New Roman"/>
                <w:color w:val="auto"/>
                <w:sz w:val="21"/>
                <w:szCs w:val="24"/>
                <w:lang w:eastAsia="en-AU"/>
              </w:rPr>
              <w:t>.</w:t>
            </w:r>
          </w:p>
        </w:tc>
      </w:tr>
      <w:tr w:rsidR="00215C34" w:rsidRPr="00E968E5" w14:paraId="19AD0487"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0AA3030F"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AB916D0" w14:textId="677F4A8E"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Departmental measures (indicators) and reports on how </w:t>
            </w:r>
            <w:r>
              <w:rPr>
                <w:rFonts w:ascii="Franklin Gothic Book" w:eastAsia="Times New Roman" w:hAnsi="Franklin Gothic Book" w:cs="Times New Roman"/>
                <w:color w:val="auto"/>
                <w:sz w:val="21"/>
                <w:szCs w:val="24"/>
                <w:lang w:eastAsia="en-AU"/>
              </w:rPr>
              <w:t xml:space="preserve">climate change </w:t>
            </w:r>
            <w:r w:rsidRPr="00E968E5">
              <w:rPr>
                <w:rFonts w:ascii="Franklin Gothic Book" w:eastAsia="Times New Roman" w:hAnsi="Franklin Gothic Book" w:cs="Times New Roman"/>
                <w:color w:val="auto"/>
                <w:sz w:val="21"/>
                <w:szCs w:val="24"/>
                <w:lang w:eastAsia="en-AU"/>
              </w:rPr>
              <w:t>has been mainstreamed across the portfolio</w:t>
            </w:r>
            <w:r w:rsidR="007F66E5">
              <w:rPr>
                <w:rFonts w:ascii="Franklin Gothic Book" w:eastAsia="Times New Roman" w:hAnsi="Franklin Gothic Book" w:cs="Times New Roman"/>
                <w:color w:val="auto"/>
                <w:sz w:val="21"/>
                <w:szCs w:val="24"/>
                <w:lang w:eastAsia="en-AU"/>
              </w:rPr>
              <w:t>.</w:t>
            </w:r>
          </w:p>
        </w:tc>
      </w:tr>
      <w:tr w:rsidR="00215C34" w:rsidRPr="00E968E5" w14:paraId="549477A7"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1D937627"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D28781B" w14:textId="294A504A"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Tools and guidance on how to set up appropriate </w:t>
            </w:r>
            <w:r w:rsidR="00DC4E78">
              <w:rPr>
                <w:rFonts w:ascii="Franklin Gothic Book" w:eastAsia="Times New Roman" w:hAnsi="Franklin Gothic Book" w:cs="Times New Roman"/>
                <w:color w:val="auto"/>
                <w:sz w:val="21"/>
                <w:szCs w:val="24"/>
                <w:lang w:eastAsia="en-AU"/>
              </w:rPr>
              <w:t>M&amp;E</w:t>
            </w:r>
            <w:r>
              <w:rPr>
                <w:rFonts w:ascii="Franklin Gothic Book" w:eastAsia="Times New Roman" w:hAnsi="Franklin Gothic Book" w:cs="Times New Roman"/>
                <w:color w:val="auto"/>
                <w:sz w:val="21"/>
                <w:szCs w:val="24"/>
                <w:lang w:eastAsia="en-AU"/>
              </w:rPr>
              <w:t xml:space="preserve"> </w:t>
            </w:r>
            <w:r w:rsidRPr="00E968E5">
              <w:rPr>
                <w:rFonts w:ascii="Franklin Gothic Book" w:eastAsia="Times New Roman" w:hAnsi="Franklin Gothic Book" w:cs="Times New Roman"/>
                <w:color w:val="auto"/>
                <w:sz w:val="21"/>
                <w:szCs w:val="24"/>
                <w:lang w:eastAsia="en-AU"/>
              </w:rPr>
              <w:t>systems for climate impacts exist</w:t>
            </w:r>
            <w:r w:rsidR="007F66E5">
              <w:rPr>
                <w:rFonts w:ascii="Franklin Gothic Book" w:eastAsia="Times New Roman" w:hAnsi="Franklin Gothic Book" w:cs="Times New Roman"/>
                <w:color w:val="auto"/>
                <w:sz w:val="21"/>
                <w:szCs w:val="24"/>
                <w:lang w:eastAsia="en-AU"/>
              </w:rPr>
              <w:t>.</w:t>
            </w:r>
          </w:p>
        </w:tc>
      </w:tr>
      <w:tr w:rsidR="00215C34" w:rsidRPr="00E968E5" w14:paraId="4F364F9F"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5EBF2552"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607AAF4" w14:textId="7ABCD59A" w:rsidR="00215C34" w:rsidRPr="00E968E5" w:rsidRDefault="00215C34" w:rsidP="007E12E1">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Staff are adequately </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climate aware</w:t>
            </w:r>
            <w:r>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 xml:space="preserve"> and have the skills to </w:t>
            </w:r>
            <w:r w:rsidR="007E12E1">
              <w:rPr>
                <w:rFonts w:ascii="Franklin Gothic Book" w:eastAsia="Times New Roman" w:hAnsi="Franklin Gothic Book" w:cs="Times New Roman"/>
                <w:color w:val="auto"/>
                <w:sz w:val="21"/>
                <w:szCs w:val="24"/>
                <w:lang w:eastAsia="en-AU"/>
              </w:rPr>
              <w:t>apply guidance and tools</w:t>
            </w:r>
            <w:r w:rsidR="007F66E5">
              <w:rPr>
                <w:rFonts w:ascii="Franklin Gothic Book" w:eastAsia="Times New Roman" w:hAnsi="Franklin Gothic Book" w:cs="Times New Roman"/>
                <w:color w:val="auto"/>
                <w:sz w:val="21"/>
                <w:szCs w:val="24"/>
                <w:lang w:eastAsia="en-AU"/>
              </w:rPr>
              <w:t>.</w:t>
            </w:r>
          </w:p>
        </w:tc>
      </w:tr>
      <w:tr w:rsidR="00215C34" w:rsidRPr="00E968E5" w14:paraId="2D2C211A"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B469FF"/>
            <w:vAlign w:val="center"/>
          </w:tcPr>
          <w:p w14:paraId="71995FB3"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3F9472C" w14:textId="757F71EF"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Reports document climate change impacts providing an insight into value</w:t>
            </w:r>
            <w:r w:rsidR="003D5DE7">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for</w:t>
            </w:r>
            <w:r w:rsidR="003D5DE7">
              <w:rPr>
                <w:rFonts w:ascii="Franklin Gothic Book" w:eastAsia="Times New Roman" w:hAnsi="Franklin Gothic Book" w:cs="Times New Roman"/>
                <w:color w:val="auto"/>
                <w:sz w:val="21"/>
                <w:szCs w:val="24"/>
                <w:lang w:eastAsia="en-AU"/>
              </w:rPr>
              <w:t>-</w:t>
            </w:r>
            <w:r w:rsidRPr="00E968E5">
              <w:rPr>
                <w:rFonts w:ascii="Franklin Gothic Book" w:eastAsia="Times New Roman" w:hAnsi="Franklin Gothic Book" w:cs="Times New Roman"/>
                <w:color w:val="auto"/>
                <w:sz w:val="21"/>
                <w:szCs w:val="24"/>
                <w:lang w:eastAsia="en-AU"/>
              </w:rPr>
              <w:t>money, providing meaningful lessons learn</w:t>
            </w:r>
            <w:r>
              <w:rPr>
                <w:rFonts w:ascii="Franklin Gothic Book" w:eastAsia="Times New Roman" w:hAnsi="Franklin Gothic Book" w:cs="Times New Roman"/>
                <w:color w:val="auto"/>
                <w:sz w:val="21"/>
                <w:szCs w:val="24"/>
                <w:lang w:eastAsia="en-AU"/>
              </w:rPr>
              <w:t>ed</w:t>
            </w:r>
            <w:r w:rsidRPr="00E968E5">
              <w:rPr>
                <w:rFonts w:ascii="Franklin Gothic Book" w:eastAsia="Times New Roman" w:hAnsi="Franklin Gothic Book" w:cs="Times New Roman"/>
                <w:color w:val="auto"/>
                <w:sz w:val="21"/>
                <w:szCs w:val="24"/>
                <w:lang w:eastAsia="en-AU"/>
              </w:rPr>
              <w:t>, and guiding future programming</w:t>
            </w:r>
            <w:r w:rsidR="007F66E5">
              <w:rPr>
                <w:rFonts w:ascii="Franklin Gothic Book" w:eastAsia="Times New Roman" w:hAnsi="Franklin Gothic Book" w:cs="Times New Roman"/>
                <w:color w:val="auto"/>
                <w:sz w:val="21"/>
                <w:szCs w:val="24"/>
                <w:lang w:eastAsia="en-AU"/>
              </w:rPr>
              <w:t>.</w:t>
            </w:r>
          </w:p>
        </w:tc>
      </w:tr>
      <w:tr w:rsidR="00215C34" w:rsidRPr="00E968E5" w14:paraId="092C58B4" w14:textId="77777777" w:rsidTr="002610BC">
        <w:trPr>
          <w:trHeight w:val="364"/>
        </w:trPr>
        <w:tc>
          <w:tcPr>
            <w:tcW w:w="1560" w:type="dxa"/>
            <w:vMerge/>
            <w:tcBorders>
              <w:top w:val="dashSmallGap" w:sz="4" w:space="0" w:color="auto"/>
              <w:left w:val="single" w:sz="12" w:space="0" w:color="auto"/>
              <w:bottom w:val="single" w:sz="12" w:space="0" w:color="auto"/>
              <w:right w:val="dashSmallGap" w:sz="4" w:space="0" w:color="auto"/>
            </w:tcBorders>
            <w:shd w:val="clear" w:color="auto" w:fill="B469FF"/>
            <w:vAlign w:val="center"/>
          </w:tcPr>
          <w:p w14:paraId="10FEAC2E" w14:textId="77777777" w:rsidR="00215C34" w:rsidRPr="00E968E5" w:rsidRDefault="00215C34"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15200A00" w14:textId="03767252" w:rsidR="00215C34" w:rsidRPr="00E968E5" w:rsidRDefault="00215C34"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 xml:space="preserve">Evaluation </w:t>
            </w:r>
            <w:r>
              <w:rPr>
                <w:rFonts w:ascii="Franklin Gothic Book" w:eastAsia="Times New Roman" w:hAnsi="Franklin Gothic Book" w:cs="Times New Roman"/>
                <w:color w:val="auto"/>
                <w:sz w:val="21"/>
                <w:szCs w:val="24"/>
                <w:lang w:eastAsia="en-AU"/>
              </w:rPr>
              <w:t>r</w:t>
            </w:r>
            <w:r w:rsidRPr="00E968E5">
              <w:rPr>
                <w:rFonts w:ascii="Franklin Gothic Book" w:eastAsia="Times New Roman" w:hAnsi="Franklin Gothic Book" w:cs="Times New Roman"/>
                <w:color w:val="auto"/>
                <w:sz w:val="21"/>
                <w:szCs w:val="24"/>
                <w:lang w:eastAsia="en-AU"/>
              </w:rPr>
              <w:t>eports systematically incorporate/consider climate change</w:t>
            </w:r>
            <w:r w:rsidR="007F66E5">
              <w:rPr>
                <w:rFonts w:ascii="Franklin Gothic Book" w:eastAsia="Times New Roman" w:hAnsi="Franklin Gothic Book" w:cs="Times New Roman"/>
                <w:color w:val="auto"/>
                <w:sz w:val="21"/>
                <w:szCs w:val="24"/>
                <w:lang w:eastAsia="en-AU"/>
              </w:rPr>
              <w:t>.</w:t>
            </w:r>
          </w:p>
        </w:tc>
      </w:tr>
    </w:tbl>
    <w:p w14:paraId="37D61435" w14:textId="77777777" w:rsidR="00A37CB9" w:rsidRPr="00A37CB9" w:rsidRDefault="00A37CB9" w:rsidP="00A37CB9"/>
    <w:p w14:paraId="2AD1F791" w14:textId="02C4EF97" w:rsidR="00A37CB9" w:rsidRPr="00A37CB9" w:rsidRDefault="00A37CB9" w:rsidP="00A37CB9">
      <w:r w:rsidRPr="00A37CB9">
        <w:t>Monitoring</w:t>
      </w:r>
      <w:r w:rsidR="003B3C4F">
        <w:t>, evaluation</w:t>
      </w:r>
      <w:r w:rsidRPr="00A37CB9">
        <w:t xml:space="preserve"> and reporting on climate change impact and the results of </w:t>
      </w:r>
      <w:r w:rsidR="002F1C5F">
        <w:t>aid</w:t>
      </w:r>
      <w:r w:rsidRPr="00A37CB9">
        <w:t xml:space="preserve"> investments is important for future </w:t>
      </w:r>
      <w:r w:rsidR="002F1C5F">
        <w:t>programming</w:t>
      </w:r>
      <w:r w:rsidRPr="00A37CB9">
        <w:t xml:space="preserve">, ensuring transparency </w:t>
      </w:r>
      <w:r w:rsidR="004815EE">
        <w:t>in</w:t>
      </w:r>
      <w:r w:rsidRPr="00A37CB9">
        <w:t xml:space="preserve"> the use of taxpayers’ funds, and identifying key lessons learn</w:t>
      </w:r>
      <w:r w:rsidR="00F0034F">
        <w:t>ed</w:t>
      </w:r>
      <w:r w:rsidRPr="00A37CB9">
        <w:t xml:space="preserve"> about what works and what does not.</w:t>
      </w:r>
    </w:p>
    <w:p w14:paraId="541345FF" w14:textId="072B232C" w:rsidR="00F508EE" w:rsidRDefault="00A37CB9" w:rsidP="00A37CB9">
      <w:r w:rsidRPr="00A37CB9">
        <w:t xml:space="preserve">A robust </w:t>
      </w:r>
      <w:r w:rsidR="002F1C5F">
        <w:t>monitoring</w:t>
      </w:r>
      <w:r w:rsidRPr="00A37CB9">
        <w:t xml:space="preserve"> system</w:t>
      </w:r>
      <w:r w:rsidR="007E12E1">
        <w:t xml:space="preserve"> for development outcomes in </w:t>
      </w:r>
      <w:r w:rsidR="007E12E1" w:rsidRPr="00A37CB9">
        <w:t>climate change</w:t>
      </w:r>
      <w:r w:rsidRPr="00A37CB9">
        <w:t>, supported by appropriate and consistently applied indicators across the whole portfolio, a</w:t>
      </w:r>
      <w:r w:rsidR="007F66E5">
        <w:t>s well as</w:t>
      </w:r>
      <w:r w:rsidRPr="00A37CB9">
        <w:t xml:space="preserve"> open and transparent public reporting</w:t>
      </w:r>
      <w:r w:rsidR="007F66E5">
        <w:t>,</w:t>
      </w:r>
      <w:r w:rsidRPr="00A37CB9">
        <w:t xml:space="preserve"> are characteristics of </w:t>
      </w:r>
      <w:r w:rsidR="002F1C5F">
        <w:t>donor</w:t>
      </w:r>
      <w:r w:rsidRPr="00A37CB9">
        <w:t xml:space="preserve"> agencies that have effectively integrated climate change</w:t>
      </w:r>
      <w:r w:rsidR="007E2F64">
        <w:t>. T</w:t>
      </w:r>
      <w:r w:rsidRPr="00A37CB9">
        <w:t xml:space="preserve">he evaluation found that DFAT has limited capacity to systematically monitor and report on the climate change </w:t>
      </w:r>
      <w:r w:rsidR="002F1C5F">
        <w:t>outcomes</w:t>
      </w:r>
      <w:r w:rsidRPr="00A37CB9">
        <w:t xml:space="preserve"> </w:t>
      </w:r>
      <w:r w:rsidR="007E12E1">
        <w:t>at a whole-of-aid</w:t>
      </w:r>
      <w:r w:rsidRPr="00A37CB9">
        <w:t xml:space="preserve"> level. There is no systematic reporting system</w:t>
      </w:r>
      <w:r w:rsidR="007E12E1">
        <w:t xml:space="preserve"> for development outcomes</w:t>
      </w:r>
      <w:r w:rsidRPr="00A37CB9">
        <w:t>, no consistent and commonly applied set of indicators that program managers can use to monitor investment performance, and few mechanisms in p</w:t>
      </w:r>
      <w:r w:rsidR="002F1C5F">
        <w:t>l</w:t>
      </w:r>
      <w:r w:rsidRPr="00A37CB9">
        <w:t xml:space="preserve">ace to ensure consistency of reporting. This </w:t>
      </w:r>
      <w:r w:rsidR="00C44324" w:rsidRPr="00A37CB9">
        <w:t>contrasts with</w:t>
      </w:r>
      <w:r w:rsidRPr="00A37CB9">
        <w:t xml:space="preserve"> Australia’s OECD peers</w:t>
      </w:r>
      <w:r w:rsidR="00C44324">
        <w:t>,</w:t>
      </w:r>
      <w:r w:rsidR="000340A2">
        <w:t xml:space="preserve"> which h</w:t>
      </w:r>
      <w:r w:rsidRPr="00A37CB9">
        <w:t>ave well</w:t>
      </w:r>
      <w:r w:rsidR="004815EE">
        <w:t>-</w:t>
      </w:r>
      <w:r w:rsidRPr="00A37CB9">
        <w:t xml:space="preserve">developed internal tracking and monitoring systems, can report against </w:t>
      </w:r>
      <w:r w:rsidR="00D61904">
        <w:t>common</w:t>
      </w:r>
      <w:r w:rsidRPr="00A37CB9">
        <w:t xml:space="preserve"> internal indicators, and have established tracking and quantification methodologies for identifying the results of adaptation and mitigation investments.</w:t>
      </w:r>
    </w:p>
    <w:p w14:paraId="02713D0E" w14:textId="1CF0F86C" w:rsidR="00F508EE" w:rsidRDefault="00A37CB9" w:rsidP="00A37CB9">
      <w:r w:rsidRPr="00A37CB9">
        <w:t xml:space="preserve">It </w:t>
      </w:r>
      <w:r w:rsidR="007E2F64">
        <w:t xml:space="preserve">is </w:t>
      </w:r>
      <w:r w:rsidRPr="00A37CB9">
        <w:t xml:space="preserve">evident that climate change information is collected and reported </w:t>
      </w:r>
      <w:r w:rsidR="00D61904">
        <w:t>by some parts of</w:t>
      </w:r>
      <w:r w:rsidRPr="00A37CB9">
        <w:t xml:space="preserve"> the aid program, particularly at the individual investment level, but these results are not </w:t>
      </w:r>
      <w:r w:rsidR="007E12E1">
        <w:t>able to be</w:t>
      </w:r>
      <w:r w:rsidRPr="00A37CB9">
        <w:t xml:space="preserve"> aggregated at the program or </w:t>
      </w:r>
      <w:r w:rsidR="007E12E1">
        <w:t>whole-of-aid level</w:t>
      </w:r>
      <w:r w:rsidR="00D61904">
        <w:t>. In 2017</w:t>
      </w:r>
      <w:r w:rsidRPr="00A37CB9">
        <w:t xml:space="preserve"> a climate change question, with supporting guidance, was added to the A</w:t>
      </w:r>
      <w:r w:rsidR="006702BE">
        <w:t>QC</w:t>
      </w:r>
      <w:r w:rsidRPr="00A37CB9">
        <w:t xml:space="preserve"> template, requiring staff to describe how climate and disaster risk are being managed in investments over </w:t>
      </w:r>
      <w:r w:rsidR="007F66E5">
        <w:t>$</w:t>
      </w:r>
      <w:r w:rsidRPr="00A37CB9">
        <w:t>3</w:t>
      </w:r>
      <w:r w:rsidR="009106FB">
        <w:t> </w:t>
      </w:r>
      <w:r w:rsidRPr="00A37CB9">
        <w:t>m</w:t>
      </w:r>
      <w:r w:rsidR="00853C16">
        <w:t>illion</w:t>
      </w:r>
      <w:r w:rsidRPr="00A37CB9">
        <w:t xml:space="preserve">. </w:t>
      </w:r>
      <w:r w:rsidR="002F1C5F">
        <w:t>While t</w:t>
      </w:r>
      <w:r w:rsidRPr="00A37CB9">
        <w:t>his is a useful annual prompt</w:t>
      </w:r>
      <w:r w:rsidR="002F1C5F">
        <w:t>,</w:t>
      </w:r>
      <w:r w:rsidRPr="00A37CB9">
        <w:t xml:space="preserve"> the process does not have sufficient architecture (agency</w:t>
      </w:r>
      <w:r w:rsidR="004815EE">
        <w:t>-</w:t>
      </w:r>
      <w:r w:rsidRPr="00A37CB9">
        <w:t>wide measures and detailed reporting) to generate robust performance information that can be tracked over time</w:t>
      </w:r>
      <w:r w:rsidR="007E12E1">
        <w:t xml:space="preserve"> or aggregated</w:t>
      </w:r>
      <w:r w:rsidRPr="00A37CB9">
        <w:t>.</w:t>
      </w:r>
    </w:p>
    <w:p w14:paraId="4D3FE766" w14:textId="33CD9113" w:rsidR="00F508EE" w:rsidRDefault="00A37CB9" w:rsidP="00A37CB9">
      <w:r w:rsidRPr="00A37CB9">
        <w:t>Furthermore, results reporting was found to be heavily output</w:t>
      </w:r>
      <w:r w:rsidR="004815EE">
        <w:t>-</w:t>
      </w:r>
      <w:r w:rsidRPr="00A37CB9">
        <w:t>focus</w:t>
      </w:r>
      <w:r w:rsidR="00F0034F">
        <w:t>ed</w:t>
      </w:r>
      <w:r w:rsidRPr="00A37CB9">
        <w:t>, rather than outcome</w:t>
      </w:r>
      <w:r w:rsidR="004815EE">
        <w:t>-</w:t>
      </w:r>
      <w:r w:rsidRPr="00A37CB9">
        <w:t>focus</w:t>
      </w:r>
      <w:r w:rsidR="00F0034F">
        <w:t>ed</w:t>
      </w:r>
      <w:r w:rsidRPr="00A37CB9">
        <w:t xml:space="preserve">, which reduces the ability to identify investment impact and sustainability, or </w:t>
      </w:r>
      <w:r w:rsidR="007E2F64">
        <w:t xml:space="preserve">to determine </w:t>
      </w:r>
      <w:r w:rsidRPr="00A37CB9">
        <w:t>whether the investments represent value</w:t>
      </w:r>
      <w:r w:rsidR="003D5DE7">
        <w:t>-</w:t>
      </w:r>
      <w:r w:rsidRPr="00A37CB9">
        <w:t>for</w:t>
      </w:r>
      <w:r w:rsidR="003D5DE7">
        <w:t>-</w:t>
      </w:r>
      <w:r w:rsidRPr="00A37CB9">
        <w:t xml:space="preserve"> money. An illustrative example is the Vietnam case study, undertaken as </w:t>
      </w:r>
      <w:r w:rsidRPr="00A37CB9">
        <w:lastRenderedPageBreak/>
        <w:t>part of the evaluation</w:t>
      </w:r>
      <w:r w:rsidR="002C761D">
        <w:t xml:space="preserve">. The Vietnam program </w:t>
      </w:r>
      <w:r w:rsidRPr="00A37CB9">
        <w:t>clearly adopted an integrated portfolio management approach (</w:t>
      </w:r>
      <w:r w:rsidR="002C761D">
        <w:t>an</w:t>
      </w:r>
      <w:r w:rsidRPr="00A37CB9">
        <w:t xml:space="preserve"> example of </w:t>
      </w:r>
      <w:r w:rsidR="002C761D">
        <w:t>good</w:t>
      </w:r>
      <w:r w:rsidRPr="00A37CB9">
        <w:t xml:space="preserve"> practice management) and made considerable effort to integrate climate change across the country program investments but lacked an overall PAF. Even though the program achieved some impressive results, reporting was largely confined to project</w:t>
      </w:r>
      <w:r w:rsidR="004815EE">
        <w:t>-</w:t>
      </w:r>
      <w:r w:rsidRPr="00A37CB9">
        <w:t xml:space="preserve">specific outputs (in AQCs and APPRs) and not aggregated into overall </w:t>
      </w:r>
      <w:r w:rsidR="002C761D">
        <w:t>program</w:t>
      </w:r>
      <w:r w:rsidR="008771F7">
        <w:t>-</w:t>
      </w:r>
      <w:r w:rsidRPr="00A37CB9">
        <w:t>level impact. An opportunity for developing a positive and compelling climate change narrative was missed.</w:t>
      </w:r>
    </w:p>
    <w:p w14:paraId="279D1F6E" w14:textId="70434763" w:rsidR="00F508EE" w:rsidRDefault="001B6DC2" w:rsidP="00A37CB9">
      <w:r w:rsidRPr="00A37CB9">
        <w:t>There is evidence of an increased focus on climate change reporting in some program areas, although these have not been driven by any reporting requirement</w:t>
      </w:r>
      <w:r w:rsidR="004815EE">
        <w:t xml:space="preserve"> at the </w:t>
      </w:r>
      <w:r w:rsidR="004815EE" w:rsidRPr="00A37CB9">
        <w:t>corporate level</w:t>
      </w:r>
      <w:r w:rsidRPr="00A37CB9">
        <w:t>. For ex</w:t>
      </w:r>
      <w:r w:rsidR="00D61904">
        <w:t xml:space="preserve">ample, in 2017 the SDIP issued </w:t>
      </w:r>
      <w:r w:rsidRPr="00A37CB9">
        <w:t>climate change reporting guidance to the program</w:t>
      </w:r>
      <w:r w:rsidR="004815EE">
        <w:t>’</w:t>
      </w:r>
      <w:r w:rsidRPr="00A37CB9">
        <w:t>s s</w:t>
      </w:r>
      <w:r>
        <w:t xml:space="preserve">even </w:t>
      </w:r>
      <w:r w:rsidRPr="00A37CB9">
        <w:t>investment partners which requires reporting on the specific mitigation and adaptation outcomes in their annual reports from 2017 onwards (climate change and gender are two cross</w:t>
      </w:r>
      <w:r w:rsidR="004815EE">
        <w:t>-</w:t>
      </w:r>
      <w:r w:rsidRPr="00A37CB9">
        <w:t>cutting issues that are subject to mandatory reporting under SDIP). The reporting framework will enable the program to develop a strong evidence</w:t>
      </w:r>
      <w:r w:rsidR="004815EE">
        <w:t>-</w:t>
      </w:r>
      <w:r w:rsidRPr="00A37CB9">
        <w:t>based climate change narrative, deliver specific data on the adaptation and mitigation achievements of SDIP, and assist partner organisations to better integrate climate change into investments and operations.</w:t>
      </w:r>
    </w:p>
    <w:p w14:paraId="51CB949A" w14:textId="5AFD38C8" w:rsidR="00AA27E5" w:rsidRPr="00A37CB9" w:rsidRDefault="00A37CB9" w:rsidP="00A37CB9">
      <w:r w:rsidRPr="00A37CB9">
        <w:t xml:space="preserve">Overall, </w:t>
      </w:r>
      <w:r w:rsidR="00D61904">
        <w:t>considering</w:t>
      </w:r>
      <w:r w:rsidRPr="00A37CB9">
        <w:t xml:space="preserve"> the </w:t>
      </w:r>
      <w:r w:rsidR="001B6DC2">
        <w:t>monitoring</w:t>
      </w:r>
      <w:r w:rsidRPr="00A37CB9">
        <w:t xml:space="preserve"> systems currently in place, </w:t>
      </w:r>
      <w:r w:rsidR="007E2F64">
        <w:t xml:space="preserve">DFAT </w:t>
      </w:r>
      <w:r w:rsidRPr="00A37CB9">
        <w:t xml:space="preserve">does not have a sufficiently robust architecture to enable timely and accurate reporting </w:t>
      </w:r>
      <w:r w:rsidR="007E2F64">
        <w:t xml:space="preserve">on </w:t>
      </w:r>
      <w:r w:rsidRPr="00A37CB9">
        <w:t xml:space="preserve">what it has achieved through its climate change </w:t>
      </w:r>
      <w:r w:rsidR="002C761D">
        <w:t xml:space="preserve">ODA </w:t>
      </w:r>
      <w:r w:rsidRPr="00A37CB9">
        <w:t>investments, or the overall impact on climate change vulnerability and low carbon development. This constrains DFAT</w:t>
      </w:r>
      <w:r w:rsidR="001B6DC2">
        <w:t>’</w:t>
      </w:r>
      <w:r w:rsidRPr="00A37CB9">
        <w:t>s ability to construct a clear</w:t>
      </w:r>
      <w:r w:rsidR="001B6DC2">
        <w:t>,</w:t>
      </w:r>
      <w:r w:rsidRPr="00A37CB9">
        <w:t xml:space="preserve"> evidence</w:t>
      </w:r>
      <w:r w:rsidR="001B6DC2">
        <w:t>-</w:t>
      </w:r>
      <w:r w:rsidRPr="00A37CB9">
        <w:t xml:space="preserve">based </w:t>
      </w:r>
      <w:r w:rsidR="007E2F64">
        <w:t xml:space="preserve">performance </w:t>
      </w:r>
      <w:r w:rsidRPr="00A37CB9">
        <w:t>narrative</w:t>
      </w:r>
      <w:r w:rsidR="00E55C30">
        <w:t>, and</w:t>
      </w:r>
      <w:r w:rsidRPr="00A37CB9">
        <w:t xml:space="preserve"> limits the ability of th</w:t>
      </w:r>
      <w:r w:rsidR="00E55C30">
        <w:t>e organisation</w:t>
      </w:r>
      <w:r w:rsidRPr="00A37CB9">
        <w:t xml:space="preserve"> (at different levels) to </w:t>
      </w:r>
      <w:r w:rsidR="00E55C30">
        <w:t>improve programming based on lessons of what was most effective</w:t>
      </w:r>
      <w:r w:rsidR="00AA27E5" w:rsidRPr="00A37CB9">
        <w:t>.</w:t>
      </w:r>
    </w:p>
    <w:p w14:paraId="0A10C964" w14:textId="30A87F84" w:rsidR="00F508EE" w:rsidRDefault="00A37CB9" w:rsidP="00A37CB9">
      <w:r w:rsidRPr="00A37CB9">
        <w:t xml:space="preserve">Clear and transparent reporting on climate change results from aid investments is </w:t>
      </w:r>
      <w:r w:rsidR="00DD5DAE">
        <w:t>good</w:t>
      </w:r>
      <w:r w:rsidRPr="00A37CB9">
        <w:t xml:space="preserve"> practice and is an important means of communicating to the government and the taxpayer what has been achieved. Many of Australia’s OECD peers produce regular </w:t>
      </w:r>
      <w:r w:rsidR="00DD5DAE">
        <w:t>whole-of-aid</w:t>
      </w:r>
      <w:r w:rsidRPr="00A37CB9">
        <w:t xml:space="preserve"> climate change results reports (for example</w:t>
      </w:r>
      <w:r w:rsidR="00B6670E">
        <w:t>,</w:t>
      </w:r>
      <w:r w:rsidRPr="00A37CB9">
        <w:t xml:space="preserve"> the literature review identified the U</w:t>
      </w:r>
      <w:r w:rsidR="00B6670E">
        <w:t xml:space="preserve">nited </w:t>
      </w:r>
      <w:r w:rsidRPr="00A37CB9">
        <w:t>S</w:t>
      </w:r>
      <w:r w:rsidR="00B6670E">
        <w:t>tates</w:t>
      </w:r>
      <w:r w:rsidRPr="00A37CB9">
        <w:t xml:space="preserve"> as an example of </w:t>
      </w:r>
      <w:r w:rsidR="00DD5DAE">
        <w:t>good</w:t>
      </w:r>
      <w:r w:rsidRPr="00A37CB9">
        <w:t xml:space="preserve"> practice climate change reporting</w:t>
      </w:r>
      <w:r w:rsidR="00B6670E">
        <w:t>—</w:t>
      </w:r>
      <w:r w:rsidRPr="00A37CB9">
        <w:t>the U</w:t>
      </w:r>
      <w:r w:rsidR="00394DAA">
        <w:t xml:space="preserve">nited </w:t>
      </w:r>
      <w:r w:rsidRPr="00A37CB9">
        <w:t>K</w:t>
      </w:r>
      <w:r w:rsidR="00394DAA">
        <w:t>ingdom</w:t>
      </w:r>
      <w:r w:rsidRPr="00A37CB9">
        <w:t xml:space="preserve"> and France also produce reports identifying progress against a set of </w:t>
      </w:r>
      <w:r w:rsidR="00DD5DAE">
        <w:t>high</w:t>
      </w:r>
      <w:r w:rsidR="006F3B20">
        <w:t>-</w:t>
      </w:r>
      <w:r w:rsidR="00DD5DAE">
        <w:t>level</w:t>
      </w:r>
      <w:r w:rsidRPr="00A37CB9">
        <w:t xml:space="preserve"> indicators).</w:t>
      </w:r>
      <w:r w:rsidR="00110D83">
        <w:t xml:space="preserve"> </w:t>
      </w:r>
      <w:r w:rsidRPr="00A37CB9">
        <w:t>The evaluation team was unable to identify any substantive portfolio</w:t>
      </w:r>
      <w:r w:rsidR="00B6670E">
        <w:t>-</w:t>
      </w:r>
      <w:r w:rsidRPr="00A37CB9">
        <w:t>level reporting to government and/or the general public on the climate</w:t>
      </w:r>
      <w:r w:rsidR="00B6670E">
        <w:t>-</w:t>
      </w:r>
      <w:r w:rsidRPr="00A37CB9">
        <w:t>related impacts of its aid investments</w:t>
      </w:r>
      <w:r w:rsidR="00DD5DAE">
        <w:t xml:space="preserve">; </w:t>
      </w:r>
      <w:r w:rsidRPr="00A37CB9">
        <w:t>it is given only limited atten</w:t>
      </w:r>
      <w:r w:rsidR="00DD5DAE">
        <w:t>tion in the DFAT annual reports</w:t>
      </w:r>
      <w:r w:rsidRPr="00A37CB9">
        <w:t>. The absence of a consistent whole</w:t>
      </w:r>
      <w:r w:rsidR="007F66E5">
        <w:t>-</w:t>
      </w:r>
      <w:r w:rsidRPr="00A37CB9">
        <w:t>of</w:t>
      </w:r>
      <w:r w:rsidR="007F66E5">
        <w:t>-</w:t>
      </w:r>
      <w:r w:rsidR="00D61904">
        <w:t>aid</w:t>
      </w:r>
      <w:r w:rsidRPr="00A37CB9">
        <w:t xml:space="preserve"> mechanism for tracking and reporting results constrains DFAT</w:t>
      </w:r>
      <w:r w:rsidR="00B6670E">
        <w:t>’</w:t>
      </w:r>
      <w:r w:rsidRPr="00A37CB9">
        <w:t>s ability to craft a strong evidence</w:t>
      </w:r>
      <w:r w:rsidR="00B6670E">
        <w:t>-</w:t>
      </w:r>
      <w:r w:rsidRPr="00A37CB9">
        <w:t>based narrative.</w:t>
      </w:r>
    </w:p>
    <w:p w14:paraId="410AB4F4" w14:textId="77777777" w:rsidR="00A37CB9" w:rsidRPr="00A37CB9" w:rsidRDefault="00A37CB9" w:rsidP="00DD5DAE">
      <w:pPr>
        <w:pStyle w:val="Heading4"/>
      </w:pPr>
      <w:r w:rsidRPr="00A37CB9">
        <w:t>Finding</w:t>
      </w:r>
    </w:p>
    <w:p w14:paraId="0678F168" w14:textId="4B30A6F8" w:rsidR="00E1289A" w:rsidRDefault="00B92618" w:rsidP="00A37CB9">
      <w:r w:rsidRPr="00A37CB9">
        <w:t xml:space="preserve">At present Australia’s public reporting is largely dominated by the amount of climate change finance it is providing, rather than what </w:t>
      </w:r>
      <w:r>
        <w:t>outcomes have been</w:t>
      </w:r>
      <w:r w:rsidRPr="00A37CB9">
        <w:t xml:space="preserve"> achieved</w:t>
      </w:r>
      <w:r>
        <w:t xml:space="preserve"> </w:t>
      </w:r>
      <w:r w:rsidRPr="00A37CB9">
        <w:t>from the aid investment portfolio.</w:t>
      </w:r>
      <w:r>
        <w:t xml:space="preserve"> </w:t>
      </w:r>
      <w:r w:rsidR="00A37CB9" w:rsidRPr="00A37CB9">
        <w:t>DFAT</w:t>
      </w:r>
      <w:r w:rsidR="00B6670E">
        <w:t>’</w:t>
      </w:r>
      <w:r w:rsidR="00A37CB9" w:rsidRPr="00A37CB9">
        <w:t xml:space="preserve">s climate change </w:t>
      </w:r>
      <w:r w:rsidR="001B6DC2">
        <w:t>monitoring</w:t>
      </w:r>
      <w:r w:rsidR="00A37CB9" w:rsidRPr="00A37CB9">
        <w:t xml:space="preserve"> and public reporting systems </w:t>
      </w:r>
      <w:r w:rsidR="000340A2">
        <w:t xml:space="preserve">need to be strengthened </w:t>
      </w:r>
      <w:r w:rsidR="00A37CB9" w:rsidRPr="00A37CB9">
        <w:t xml:space="preserve">to </w:t>
      </w:r>
      <w:r w:rsidR="000340A2">
        <w:t>better</w:t>
      </w:r>
      <w:r w:rsidR="00A37CB9" w:rsidRPr="00A37CB9">
        <w:t xml:space="preserve"> report on </w:t>
      </w:r>
      <w:r w:rsidR="00832704">
        <w:t xml:space="preserve">Australia’s contribution to the efforts of </w:t>
      </w:r>
      <w:r w:rsidR="00A37CB9" w:rsidRPr="00A37CB9">
        <w:t>developing countries to adapt to climate change and adopt less carbon</w:t>
      </w:r>
      <w:r w:rsidR="007145B8">
        <w:t>-</w:t>
      </w:r>
      <w:r w:rsidR="00A37CB9" w:rsidRPr="00A37CB9">
        <w:t>intensive development pathways</w:t>
      </w:r>
      <w:r w:rsidR="00F508EE">
        <w:t>—</w:t>
      </w:r>
      <w:r w:rsidR="00A37CB9" w:rsidRPr="00A37CB9">
        <w:t>in line with Australia’s commitments under the Paris Agreement.</w:t>
      </w:r>
    </w:p>
    <w:p w14:paraId="580971A2" w14:textId="77777777" w:rsidR="00E1289A" w:rsidRPr="00201786" w:rsidRDefault="00E1289A" w:rsidP="00AF5EBB">
      <w:pPr>
        <w:pStyle w:val="Heading2"/>
        <w:numPr>
          <w:ilvl w:val="1"/>
          <w:numId w:val="10"/>
        </w:numPr>
      </w:pPr>
      <w:bookmarkStart w:id="93" w:name="_Toc510771936"/>
      <w:r w:rsidRPr="00201786">
        <w:lastRenderedPageBreak/>
        <w:t xml:space="preserve">Climate </w:t>
      </w:r>
      <w:r>
        <w:t>f</w:t>
      </w:r>
      <w:r w:rsidRPr="00201786">
        <w:t>inancing</w:t>
      </w:r>
      <w:bookmarkEnd w:id="93"/>
    </w:p>
    <w:p w14:paraId="7D5949EF" w14:textId="65A363D3" w:rsidR="00E1289A" w:rsidRDefault="00E1289A" w:rsidP="00E1289A">
      <w:pPr>
        <w:pStyle w:val="Caption"/>
        <w:keepNext/>
      </w:pPr>
      <w:bookmarkStart w:id="94" w:name="_Toc510591532"/>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8</w:t>
      </w:r>
      <w:r w:rsidR="00E7543E">
        <w:rPr>
          <w:noProof/>
        </w:rPr>
        <w:fldChar w:fldCharType="end"/>
      </w:r>
      <w:r>
        <w:t>: Excerpt from Table 2</w:t>
      </w:r>
      <w:r w:rsidR="007F66E5">
        <w:t>—</w:t>
      </w:r>
      <w:r>
        <w:t>Domains of good practice climate change integration</w:t>
      </w:r>
      <w:bookmarkEnd w:id="9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nancing"/>
        <w:tblDescription w:val="Average share of total ODA funds tagged as climate change finance increasing (as an indicator of improved mainstreaming)&#10;Balance of bilateral expenditure between adaptation and mitigation (around 50 per cent) &#10;Balance of multilateral vs bilateral expenditure (maximum of 25–30 per cent multilateral)&#10;"/>
      </w:tblPr>
      <w:tblGrid>
        <w:gridCol w:w="1560"/>
        <w:gridCol w:w="8646"/>
      </w:tblGrid>
      <w:tr w:rsidR="00E1289A" w:rsidRPr="00E968E5" w14:paraId="44E5645F" w14:textId="77777777" w:rsidTr="002610BC">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FFFF00"/>
            <w:vAlign w:val="center"/>
          </w:tcPr>
          <w:p w14:paraId="65766037" w14:textId="77777777" w:rsidR="00E1289A" w:rsidRPr="00E968E5" w:rsidRDefault="00E1289A"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r w:rsidRPr="00E968E5">
              <w:rPr>
                <w:rFonts w:ascii="Franklin Gothic Book" w:eastAsia="Times New Roman" w:hAnsi="Franklin Gothic Book" w:cs="Times New Roman"/>
                <w:b/>
                <w:color w:val="auto"/>
                <w:sz w:val="21"/>
                <w:szCs w:val="24"/>
                <w:lang w:eastAsia="en-AU"/>
              </w:rPr>
              <w:t>Financing</w:t>
            </w:r>
          </w:p>
        </w:tc>
        <w:tc>
          <w:tcPr>
            <w:tcW w:w="8646"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09560AB5" w14:textId="4B5F229B" w:rsidR="00E1289A" w:rsidRPr="00E968E5" w:rsidRDefault="00E1289A" w:rsidP="00CA4B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E968E5">
              <w:rPr>
                <w:rFonts w:ascii="Franklin Gothic Book" w:eastAsia="Times New Roman" w:hAnsi="Franklin Gothic Book" w:cs="Times New Roman"/>
                <w:color w:val="auto"/>
                <w:sz w:val="21"/>
                <w:szCs w:val="24"/>
                <w:lang w:eastAsia="en-AU"/>
              </w:rPr>
              <w:t>Average share of total ODA funds tagged as climate change finance increasing (</w:t>
            </w:r>
            <w:r w:rsidR="00CA4BBC">
              <w:rPr>
                <w:rFonts w:ascii="Franklin Gothic Book" w:eastAsia="Times New Roman" w:hAnsi="Franklin Gothic Book" w:cs="Times New Roman"/>
                <w:color w:val="auto"/>
                <w:sz w:val="21"/>
                <w:szCs w:val="24"/>
                <w:lang w:eastAsia="en-AU"/>
              </w:rPr>
              <w:t>as an indicator of improved</w:t>
            </w:r>
            <w:r w:rsidR="002D17D3">
              <w:rPr>
                <w:rFonts w:ascii="Franklin Gothic Book" w:eastAsia="Times New Roman" w:hAnsi="Franklin Gothic Book" w:cs="Times New Roman"/>
                <w:color w:val="auto"/>
                <w:sz w:val="21"/>
                <w:szCs w:val="24"/>
                <w:lang w:eastAsia="en-AU"/>
              </w:rPr>
              <w:t xml:space="preserve"> mainstreaming</w:t>
            </w:r>
            <w:r w:rsidRPr="00E968E5">
              <w:rPr>
                <w:rFonts w:ascii="Franklin Gothic Book" w:eastAsia="Times New Roman" w:hAnsi="Franklin Gothic Book" w:cs="Times New Roman"/>
                <w:color w:val="auto"/>
                <w:sz w:val="21"/>
                <w:szCs w:val="24"/>
                <w:lang w:eastAsia="en-AU"/>
              </w:rPr>
              <w:t>)</w:t>
            </w:r>
          </w:p>
        </w:tc>
      </w:tr>
      <w:tr w:rsidR="00E1289A" w:rsidRPr="00E968E5" w14:paraId="6FCD2021" w14:textId="77777777" w:rsidTr="002610BC">
        <w:tc>
          <w:tcPr>
            <w:tcW w:w="1560" w:type="dxa"/>
            <w:vMerge/>
            <w:tcBorders>
              <w:top w:val="dashSmallGap" w:sz="4" w:space="0" w:color="auto"/>
              <w:left w:val="single" w:sz="12" w:space="0" w:color="auto"/>
              <w:bottom w:val="dashSmallGap" w:sz="4" w:space="0" w:color="auto"/>
              <w:right w:val="dashSmallGap" w:sz="4" w:space="0" w:color="auto"/>
            </w:tcBorders>
            <w:shd w:val="clear" w:color="auto" w:fill="FFFF00"/>
            <w:vAlign w:val="center"/>
          </w:tcPr>
          <w:p w14:paraId="2F486735" w14:textId="77777777" w:rsidR="00E1289A" w:rsidRPr="00E968E5" w:rsidRDefault="00E1289A"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7AC15CD" w14:textId="757F1904" w:rsidR="00E1289A" w:rsidRPr="00E968E5" w:rsidRDefault="00380FCB"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B</w:t>
            </w:r>
            <w:r w:rsidR="00E1289A" w:rsidRPr="00E968E5">
              <w:rPr>
                <w:rFonts w:ascii="Franklin Gothic Book" w:eastAsia="Times New Roman" w:hAnsi="Franklin Gothic Book" w:cs="Times New Roman"/>
                <w:color w:val="auto"/>
                <w:sz w:val="21"/>
                <w:szCs w:val="24"/>
                <w:lang w:eastAsia="en-AU"/>
              </w:rPr>
              <w:t>ilateral expenditure between adaptation and mitigation (around 50</w:t>
            </w:r>
            <w:r w:rsidR="00E1289A">
              <w:rPr>
                <w:rFonts w:ascii="Franklin Gothic Book" w:eastAsia="Times New Roman" w:hAnsi="Franklin Gothic Book" w:cs="Times New Roman"/>
                <w:color w:val="auto"/>
                <w:sz w:val="21"/>
                <w:szCs w:val="24"/>
                <w:lang w:eastAsia="en-AU"/>
              </w:rPr>
              <w:t xml:space="preserve"> per cent</w:t>
            </w:r>
            <w:r w:rsidR="00E1289A" w:rsidRPr="00E968E5">
              <w:rPr>
                <w:rFonts w:ascii="Franklin Gothic Book" w:eastAsia="Times New Roman" w:hAnsi="Franklin Gothic Book" w:cs="Times New Roman"/>
                <w:color w:val="auto"/>
                <w:sz w:val="21"/>
                <w:szCs w:val="24"/>
                <w:lang w:eastAsia="en-AU"/>
              </w:rPr>
              <w:t>)</w:t>
            </w:r>
            <w:r>
              <w:rPr>
                <w:rFonts w:ascii="Franklin Gothic Book" w:eastAsia="Times New Roman" w:hAnsi="Franklin Gothic Book" w:cs="Times New Roman"/>
                <w:color w:val="auto"/>
                <w:sz w:val="21"/>
                <w:szCs w:val="24"/>
                <w:lang w:eastAsia="en-AU"/>
              </w:rPr>
              <w:t xml:space="preserve"> is balanced</w:t>
            </w:r>
            <w:r w:rsidR="00E1289A" w:rsidRPr="00E968E5">
              <w:rPr>
                <w:rFonts w:ascii="Franklin Gothic Book" w:eastAsia="Times New Roman" w:hAnsi="Franklin Gothic Book" w:cs="Times New Roman"/>
                <w:color w:val="auto"/>
                <w:sz w:val="21"/>
                <w:szCs w:val="24"/>
                <w:lang w:eastAsia="en-AU"/>
              </w:rPr>
              <w:t xml:space="preserve"> </w:t>
            </w:r>
          </w:p>
        </w:tc>
      </w:tr>
      <w:tr w:rsidR="00E1289A" w:rsidRPr="00E968E5" w14:paraId="13E58842" w14:textId="77777777" w:rsidTr="002610BC">
        <w:trPr>
          <w:trHeight w:val="544"/>
        </w:trPr>
        <w:tc>
          <w:tcPr>
            <w:tcW w:w="1560" w:type="dxa"/>
            <w:vMerge/>
            <w:tcBorders>
              <w:top w:val="dashSmallGap" w:sz="4" w:space="0" w:color="auto"/>
              <w:left w:val="single" w:sz="12" w:space="0" w:color="auto"/>
              <w:bottom w:val="single" w:sz="12" w:space="0" w:color="auto"/>
              <w:right w:val="dashSmallGap" w:sz="4" w:space="0" w:color="auto"/>
            </w:tcBorders>
            <w:shd w:val="clear" w:color="auto" w:fill="FFFF00"/>
            <w:vAlign w:val="center"/>
          </w:tcPr>
          <w:p w14:paraId="2B5676D8" w14:textId="77777777" w:rsidR="00E1289A" w:rsidRPr="00E968E5" w:rsidRDefault="00E1289A" w:rsidP="002610BC">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64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2F1A02AE" w14:textId="46249C4B" w:rsidR="00E1289A" w:rsidRPr="00E968E5" w:rsidRDefault="00380FCB" w:rsidP="002610BC">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M</w:t>
            </w:r>
            <w:r w:rsidR="00E1289A" w:rsidRPr="00E968E5">
              <w:rPr>
                <w:rFonts w:ascii="Franklin Gothic Book" w:eastAsia="Times New Roman" w:hAnsi="Franklin Gothic Book" w:cs="Times New Roman"/>
                <w:color w:val="auto"/>
                <w:sz w:val="21"/>
                <w:szCs w:val="24"/>
                <w:lang w:eastAsia="en-AU"/>
              </w:rPr>
              <w:t xml:space="preserve">ultilateral </w:t>
            </w:r>
            <w:r w:rsidR="00E1289A">
              <w:rPr>
                <w:rFonts w:ascii="Franklin Gothic Book" w:eastAsia="Times New Roman" w:hAnsi="Franklin Gothic Book" w:cs="Times New Roman"/>
                <w:color w:val="auto"/>
                <w:sz w:val="21"/>
                <w:szCs w:val="24"/>
                <w:lang w:eastAsia="en-AU"/>
              </w:rPr>
              <w:t>v</w:t>
            </w:r>
            <w:r w:rsidR="007F66E5">
              <w:rPr>
                <w:rFonts w:ascii="Franklin Gothic Book" w:eastAsia="Times New Roman" w:hAnsi="Franklin Gothic Book" w:cs="Times New Roman"/>
                <w:color w:val="auto"/>
                <w:sz w:val="21"/>
                <w:szCs w:val="24"/>
                <w:lang w:eastAsia="en-AU"/>
              </w:rPr>
              <w:t>ersus</w:t>
            </w:r>
            <w:r w:rsidR="00E1289A" w:rsidRPr="00E968E5">
              <w:rPr>
                <w:rFonts w:ascii="Franklin Gothic Book" w:eastAsia="Times New Roman" w:hAnsi="Franklin Gothic Book" w:cs="Times New Roman"/>
                <w:color w:val="auto"/>
                <w:sz w:val="21"/>
                <w:szCs w:val="24"/>
                <w:lang w:eastAsia="en-AU"/>
              </w:rPr>
              <w:t xml:space="preserve"> bilateral expenditure (</w:t>
            </w:r>
            <w:r w:rsidR="00E1289A">
              <w:rPr>
                <w:rFonts w:ascii="Franklin Gothic Book" w:eastAsia="Times New Roman" w:hAnsi="Franklin Gothic Book" w:cs="Times New Roman"/>
                <w:color w:val="auto"/>
                <w:sz w:val="21"/>
                <w:szCs w:val="24"/>
                <w:lang w:eastAsia="en-AU"/>
              </w:rPr>
              <w:t xml:space="preserve">maximum of </w:t>
            </w:r>
            <w:r w:rsidR="00E1289A" w:rsidRPr="00E968E5">
              <w:rPr>
                <w:rFonts w:ascii="Franklin Gothic Book" w:eastAsia="Times New Roman" w:hAnsi="Franklin Gothic Book" w:cs="Times New Roman"/>
                <w:color w:val="auto"/>
                <w:sz w:val="21"/>
                <w:szCs w:val="24"/>
                <w:lang w:eastAsia="en-AU"/>
              </w:rPr>
              <w:t>25</w:t>
            </w:r>
            <w:r w:rsidR="007F66E5">
              <w:rPr>
                <w:rFonts w:ascii="Franklin Gothic Book" w:eastAsia="Times New Roman" w:hAnsi="Franklin Gothic Book" w:cs="Times New Roman"/>
                <w:color w:val="auto"/>
                <w:sz w:val="21"/>
                <w:szCs w:val="24"/>
                <w:lang w:eastAsia="en-AU"/>
              </w:rPr>
              <w:t xml:space="preserve"> to </w:t>
            </w:r>
            <w:r w:rsidR="00E1289A" w:rsidRPr="00E968E5">
              <w:rPr>
                <w:rFonts w:ascii="Franklin Gothic Book" w:eastAsia="Times New Roman" w:hAnsi="Franklin Gothic Book" w:cs="Times New Roman"/>
                <w:color w:val="auto"/>
                <w:sz w:val="21"/>
                <w:szCs w:val="24"/>
                <w:lang w:eastAsia="en-AU"/>
              </w:rPr>
              <w:t>30</w:t>
            </w:r>
            <w:r w:rsidR="00E1289A">
              <w:rPr>
                <w:rFonts w:ascii="Franklin Gothic Book" w:eastAsia="Times New Roman" w:hAnsi="Franklin Gothic Book" w:cs="Times New Roman"/>
                <w:color w:val="auto"/>
                <w:sz w:val="21"/>
                <w:szCs w:val="24"/>
                <w:lang w:eastAsia="en-AU"/>
              </w:rPr>
              <w:t xml:space="preserve"> per cent</w:t>
            </w:r>
            <w:r w:rsidR="00E1289A" w:rsidRPr="00E968E5">
              <w:rPr>
                <w:rFonts w:ascii="Franklin Gothic Book" w:eastAsia="Times New Roman" w:hAnsi="Franklin Gothic Book" w:cs="Times New Roman"/>
                <w:color w:val="auto"/>
                <w:sz w:val="21"/>
                <w:szCs w:val="24"/>
                <w:lang w:eastAsia="en-AU"/>
              </w:rPr>
              <w:t xml:space="preserve"> multilateral)</w:t>
            </w:r>
            <w:r>
              <w:rPr>
                <w:rFonts w:ascii="Franklin Gothic Book" w:eastAsia="Times New Roman" w:hAnsi="Franklin Gothic Book" w:cs="Times New Roman"/>
                <w:color w:val="auto"/>
                <w:sz w:val="21"/>
                <w:szCs w:val="24"/>
                <w:lang w:eastAsia="en-AU"/>
              </w:rPr>
              <w:t xml:space="preserve"> is balanced</w:t>
            </w:r>
          </w:p>
        </w:tc>
      </w:tr>
    </w:tbl>
    <w:p w14:paraId="603273F7" w14:textId="77777777" w:rsidR="00380FCB" w:rsidRPr="00A37CB9" w:rsidRDefault="00380FCB" w:rsidP="00E1289A">
      <w:pPr>
        <w:spacing w:line="240" w:lineRule="auto"/>
      </w:pPr>
    </w:p>
    <w:p w14:paraId="5A204E04" w14:textId="12695579" w:rsidR="00E1289A" w:rsidRDefault="00E1289A" w:rsidP="00E1289A">
      <w:r w:rsidRPr="00A37CB9">
        <w:t xml:space="preserve">The level of commitment to climate change financing, the balance between adaptation and mitigation investments, and the proportion of total ODA funds channelled through bilateral and multilateral modalities are </w:t>
      </w:r>
      <w:r w:rsidR="00D56E72">
        <w:t>common features of climate change finance</w:t>
      </w:r>
      <w:r w:rsidRPr="00A37CB9">
        <w:t xml:space="preserve">. </w:t>
      </w:r>
      <w:r>
        <w:t>S</w:t>
      </w:r>
      <w:r w:rsidRPr="00A37CB9">
        <w:t xml:space="preserve">everal common features </w:t>
      </w:r>
      <w:r w:rsidR="00D56E72">
        <w:t xml:space="preserve">among other high-income OECD countries </w:t>
      </w:r>
      <w:r w:rsidRPr="00A37CB9">
        <w:t>emerge from the literature:</w:t>
      </w:r>
    </w:p>
    <w:p w14:paraId="245DE385" w14:textId="27ACDE51" w:rsidR="00E1289A" w:rsidRDefault="00E1289A" w:rsidP="00E1289A">
      <w:pPr>
        <w:pStyle w:val="ListBullet"/>
      </w:pPr>
      <w:r w:rsidRPr="00A37CB9">
        <w:t xml:space="preserve">there is, for most major bilateral donors, a general upward trend in climate change finance flows (in line with the commitment of the global community to mobilise </w:t>
      </w:r>
      <w:r w:rsidR="00864132">
        <w:t>US</w:t>
      </w:r>
      <w:r>
        <w:t>D</w:t>
      </w:r>
      <w:r w:rsidRPr="00A37CB9">
        <w:t>100 billion</w:t>
      </w:r>
      <w:r>
        <w:t xml:space="preserve"> per </w:t>
      </w:r>
      <w:r w:rsidRPr="00A37CB9">
        <w:t>year by 2020)</w:t>
      </w:r>
    </w:p>
    <w:p w14:paraId="40EE26A7" w14:textId="058CCCD4" w:rsidR="00E1289A" w:rsidRDefault="00E1289A" w:rsidP="00E1289A">
      <w:pPr>
        <w:pStyle w:val="ListBullet"/>
      </w:pPr>
      <w:r w:rsidRPr="00A37CB9">
        <w:t xml:space="preserve">on average most donors </w:t>
      </w:r>
      <w:r>
        <w:t>attribute</w:t>
      </w:r>
      <w:r w:rsidRPr="00A37CB9">
        <w:t xml:space="preserve"> in the range of 15</w:t>
      </w:r>
      <w:r w:rsidR="00E50402">
        <w:t xml:space="preserve"> to </w:t>
      </w:r>
      <w:r w:rsidRPr="00A37CB9">
        <w:t>25</w:t>
      </w:r>
      <w:r>
        <w:t xml:space="preserve"> per cent</w:t>
      </w:r>
      <w:r w:rsidRPr="00A37CB9">
        <w:t xml:space="preserve"> of ODA flows to climate change, and some exceed 30</w:t>
      </w:r>
      <w:r>
        <w:t xml:space="preserve"> per cent</w:t>
      </w:r>
      <w:r w:rsidRPr="00A37CB9">
        <w:t xml:space="preserve"> (on average 17</w:t>
      </w:r>
      <w:r>
        <w:t xml:space="preserve"> per cent</w:t>
      </w:r>
      <w:r w:rsidRPr="00A37CB9">
        <w:t xml:space="preserve"> of OECD bilateral ODA flows are tagged as climate change finance)</w:t>
      </w:r>
    </w:p>
    <w:p w14:paraId="0B4DBD7F" w14:textId="059AA3DB" w:rsidR="00E1289A" w:rsidRDefault="00E1289A" w:rsidP="00E1289A">
      <w:pPr>
        <w:pStyle w:val="ListBullet"/>
      </w:pPr>
      <w:r w:rsidRPr="00A37CB9">
        <w:t>investment portfolios are generally evenly balanced between mitigation and adaptation (recognising that both</w:t>
      </w:r>
      <w:r w:rsidR="00864132">
        <w:t xml:space="preserve"> </w:t>
      </w:r>
      <w:r w:rsidR="00081A05">
        <w:t>are</w:t>
      </w:r>
      <w:r w:rsidR="00081A05" w:rsidRPr="00A37CB9">
        <w:t xml:space="preserve"> </w:t>
      </w:r>
      <w:r w:rsidRPr="00A37CB9">
        <w:t>equally important)</w:t>
      </w:r>
    </w:p>
    <w:p w14:paraId="406B6909" w14:textId="77831CB6" w:rsidR="00E1289A" w:rsidRDefault="00E1289A" w:rsidP="00E1289A">
      <w:pPr>
        <w:pStyle w:val="ListBullet"/>
      </w:pPr>
      <w:r w:rsidRPr="00A37CB9">
        <w:t>on average the climate change finance modality is 75</w:t>
      </w:r>
      <w:r>
        <w:t xml:space="preserve"> per cent</w:t>
      </w:r>
      <w:r w:rsidRPr="00A37CB9">
        <w:t xml:space="preserve"> bilateral investment and 25</w:t>
      </w:r>
      <w:r>
        <w:t xml:space="preserve"> per cent</w:t>
      </w:r>
      <w:r w:rsidRPr="00A37CB9">
        <w:t xml:space="preserve"> multilateral</w:t>
      </w:r>
      <w:r w:rsidR="00380FCB">
        <w:t xml:space="preserve"> investment</w:t>
      </w:r>
      <w:r w:rsidRPr="00A37CB9">
        <w:t>.</w:t>
      </w:r>
    </w:p>
    <w:p w14:paraId="73A94513" w14:textId="77B051E1" w:rsidR="00E1289A" w:rsidRDefault="00E1289A" w:rsidP="00E1289A">
      <w:r>
        <w:t>C</w:t>
      </w:r>
      <w:r w:rsidRPr="00A37CB9">
        <w:t>onsiderable diversity exists across the donor community in terms of the level of financing tagged as climate change, the modalities they use for disbursement, and the relative emphasis countries place on mitigation and/or adaptation. The methodologies and mechanisms in place to identify and quantify climate change flows vary (for example</w:t>
      </w:r>
      <w:r>
        <w:t>,</w:t>
      </w:r>
      <w:r w:rsidRPr="00A37CB9">
        <w:t xml:space="preserve"> differences exist between the OECD and UNFCCC climate finance quantification and reporting formats), and some countries have a mixture of both grants and loans while others (for example</w:t>
      </w:r>
      <w:r>
        <w:t>,</w:t>
      </w:r>
      <w:r w:rsidRPr="00A37CB9">
        <w:t xml:space="preserve"> Australia) are largely grant</w:t>
      </w:r>
      <w:r>
        <w:t>-</w:t>
      </w:r>
      <w:r w:rsidRPr="00A37CB9">
        <w:t>based</w:t>
      </w:r>
      <w:r>
        <w:t>.</w:t>
      </w:r>
      <w:r w:rsidRPr="00A37CB9">
        <w:t xml:space="preserve"> As a result</w:t>
      </w:r>
      <w:r>
        <w:t>,</w:t>
      </w:r>
      <w:r w:rsidRPr="00A37CB9">
        <w:t xml:space="preserve"> it is not always possible to compare like with like. Nonetheless</w:t>
      </w:r>
      <w:r>
        <w:t>,</w:t>
      </w:r>
      <w:r w:rsidRPr="00A37CB9">
        <w:t xml:space="preserve"> the data presented above </w:t>
      </w:r>
      <w:r>
        <w:t>reflects</w:t>
      </w:r>
      <w:r w:rsidRPr="00A37CB9">
        <w:t xml:space="preserve"> practice across the OECD donor community</w:t>
      </w:r>
      <w:r>
        <w:t>.</w:t>
      </w:r>
    </w:p>
    <w:p w14:paraId="3FCBDCB1" w14:textId="76022B17" w:rsidR="00E1289A" w:rsidRDefault="00E1289A" w:rsidP="00E1289A">
      <w:r w:rsidRPr="00A37CB9">
        <w:t>Over the past five years</w:t>
      </w:r>
      <w:r>
        <w:t>,</w:t>
      </w:r>
      <w:r w:rsidRPr="00A37CB9">
        <w:t xml:space="preserve"> Australia</w:t>
      </w:r>
      <w:r>
        <w:t>n</w:t>
      </w:r>
      <w:r w:rsidRPr="00A37CB9">
        <w:t xml:space="preserve"> climate change finance flows ha</w:t>
      </w:r>
      <w:r>
        <w:t>ve</w:t>
      </w:r>
      <w:r w:rsidRPr="00A37CB9">
        <w:t xml:space="preserve"> generally been in the order of </w:t>
      </w:r>
      <w:r w:rsidR="00E50402">
        <w:t>$</w:t>
      </w:r>
      <w:r w:rsidRPr="00A37CB9">
        <w:t>200</w:t>
      </w:r>
      <w:r w:rsidR="00E50402">
        <w:t xml:space="preserve"> to $</w:t>
      </w:r>
      <w:r w:rsidRPr="00A37CB9">
        <w:t>250</w:t>
      </w:r>
      <w:r>
        <w:t xml:space="preserve"> </w:t>
      </w:r>
      <w:r w:rsidRPr="00A37CB9">
        <w:t>m</w:t>
      </w:r>
      <w:r>
        <w:t>illion</w:t>
      </w:r>
      <w:r w:rsidR="00E50402">
        <w:t xml:space="preserve"> a </w:t>
      </w:r>
      <w:r w:rsidRPr="00A37CB9">
        <w:t xml:space="preserve">year (with an average of </w:t>
      </w:r>
      <w:r w:rsidR="00E50402">
        <w:t>$</w:t>
      </w:r>
      <w:r w:rsidRPr="00A37CB9">
        <w:t>213</w:t>
      </w:r>
      <w:r>
        <w:t xml:space="preserve"> </w:t>
      </w:r>
      <w:r w:rsidRPr="00A37CB9">
        <w:t>m</w:t>
      </w:r>
      <w:r>
        <w:t>illion</w:t>
      </w:r>
      <w:r w:rsidR="00E50402">
        <w:t xml:space="preserve"> a </w:t>
      </w:r>
      <w:r w:rsidRPr="00A37CB9">
        <w:t>year over 2011</w:t>
      </w:r>
      <w:r>
        <w:t>–</w:t>
      </w:r>
      <w:r w:rsidRPr="00A37CB9">
        <w:t>16</w:t>
      </w:r>
      <w:r w:rsidRPr="00A37CB9">
        <w:rPr>
          <w:vertAlign w:val="superscript"/>
        </w:rPr>
        <w:footnoteReference w:id="29"/>
      </w:r>
      <w:r w:rsidRPr="00A37CB9">
        <w:t xml:space="preserve">). Australia has committed </w:t>
      </w:r>
      <w:r w:rsidR="00E50402">
        <w:t>$</w:t>
      </w:r>
      <w:r w:rsidRPr="00A37CB9">
        <w:t>1 billion (</w:t>
      </w:r>
      <w:r w:rsidR="00E50402">
        <w:t>$</w:t>
      </w:r>
      <w:r w:rsidRPr="00A37CB9">
        <w:t>200</w:t>
      </w:r>
      <w:r>
        <w:t xml:space="preserve"> </w:t>
      </w:r>
      <w:r w:rsidRPr="00A37CB9">
        <w:t>m</w:t>
      </w:r>
      <w:r>
        <w:t>illion</w:t>
      </w:r>
      <w:r w:rsidR="00E50402">
        <w:t xml:space="preserve"> a </w:t>
      </w:r>
      <w:r w:rsidRPr="00A37CB9">
        <w:t>year) to dedicated climate change finance over the period to 2020</w:t>
      </w:r>
      <w:r w:rsidR="00E50402">
        <w:t>.</w:t>
      </w:r>
      <w:r w:rsidRPr="00A37CB9">
        <w:t xml:space="preserve"> Australia is placed approximately mid-range on the spectrum of forward OECD donor commitments for the period to 2020. </w:t>
      </w:r>
    </w:p>
    <w:p w14:paraId="0ADE56A2" w14:textId="74B7ECA9" w:rsidR="00E1289A" w:rsidRDefault="00E1289A" w:rsidP="00E1289A">
      <w:r w:rsidRPr="00A37CB9">
        <w:t>The allocation of Australia’s climate change finance between mitigation and adaptation is broadly in line with other OECD countries, although with a somewhat greater focus on adaptation</w:t>
      </w:r>
      <w:r w:rsidR="00832704">
        <w:t xml:space="preserve">. This reflects </w:t>
      </w:r>
      <w:r w:rsidRPr="00A37CB9">
        <w:t xml:space="preserve">the importance of the Pacific </w:t>
      </w:r>
      <w:r>
        <w:t>I</w:t>
      </w:r>
      <w:r w:rsidRPr="00A37CB9">
        <w:t xml:space="preserve">slands region, </w:t>
      </w:r>
      <w:r w:rsidR="00832704">
        <w:t xml:space="preserve">which places a higher priority on adaptation and </w:t>
      </w:r>
      <w:r w:rsidRPr="00A37CB9">
        <w:t xml:space="preserve">where </w:t>
      </w:r>
      <w:r w:rsidR="00832704">
        <w:t xml:space="preserve">mitigation potential is </w:t>
      </w:r>
      <w:r w:rsidR="00832704">
        <w:lastRenderedPageBreak/>
        <w:t>limited</w:t>
      </w:r>
      <w:r w:rsidRPr="00A37CB9">
        <w:t>. Australia delivers more of its climate change finance through multilateral rather than bilateral modalities compared to most other OECD countries (in recent years this has tended to be in the range of 50</w:t>
      </w:r>
      <w:r w:rsidR="00E50402">
        <w:t xml:space="preserve"> to </w:t>
      </w:r>
      <w:r w:rsidRPr="00A37CB9">
        <w:t>60</w:t>
      </w:r>
      <w:r>
        <w:t xml:space="preserve"> per cent</w:t>
      </w:r>
      <w:r w:rsidRPr="00A37CB9">
        <w:t xml:space="preserve"> of climate change finance flows compare</w:t>
      </w:r>
      <w:r>
        <w:t>d to the OECD average of 25 per cent). The current balance between bilateral and multilateral channels for expending climate finance within the Australian aid program is considered problematic as the evaluation has found that—</w:t>
      </w:r>
      <w:r w:rsidR="0046064F">
        <w:t>within the range of investments assessed</w:t>
      </w:r>
      <w:r>
        <w:t xml:space="preserve">—working with and/or through the multilateral </w:t>
      </w:r>
      <w:r w:rsidR="00B92618">
        <w:t>development banks</w:t>
      </w:r>
      <w:r>
        <w:t xml:space="preserve"> has resulted in less progress on climate change outcomes than using bilateral channels</w:t>
      </w:r>
      <w:r w:rsidR="00E50402">
        <w:t>.</w:t>
      </w:r>
      <w:r w:rsidR="00B92618">
        <w:rPr>
          <w:rStyle w:val="FootnoteReference"/>
        </w:rPr>
        <w:footnoteReference w:id="30"/>
      </w:r>
    </w:p>
    <w:p w14:paraId="0EAE40A6" w14:textId="39683651" w:rsidR="00E1289A" w:rsidRDefault="00E1289A" w:rsidP="00E1289A">
      <w:r>
        <w:t>Across the aid program in general, working with</w:t>
      </w:r>
      <w:r w:rsidR="00E50402">
        <w:t xml:space="preserve"> and </w:t>
      </w:r>
      <w:r>
        <w:t xml:space="preserve">through multilateral </w:t>
      </w:r>
      <w:r w:rsidR="00A87E6E">
        <w:t xml:space="preserve">organisations </w:t>
      </w:r>
      <w:r>
        <w:t>is often characterised by long delays in start-up and significant investment by DFAT staff to both establish and then maintain an effective working partnership. The limited flow of outcome-level monitoring data from the investment level is a constraint to this. Where a partnership working with multilateral</w:t>
      </w:r>
      <w:r w:rsidR="00380FCB">
        <w:t xml:space="preserve"> organisation</w:t>
      </w:r>
      <w:r>
        <w:t xml:space="preserve">s on climate change can be most effective is in national-level forums and structures (as seen in the Vietnam case). Australia, with an engaged and well-informed presence at the table, can collaborate effectively with multilateral </w:t>
      </w:r>
      <w:r w:rsidR="00A87E6E">
        <w:t xml:space="preserve">organisations </w:t>
      </w:r>
      <w:r>
        <w:t>on a common agenda to be a powerful</w:t>
      </w:r>
      <w:r w:rsidR="0046064F">
        <w:t>,</w:t>
      </w:r>
      <w:r>
        <w:t xml:space="preserve"> positive force on system-wide developments.</w:t>
      </w:r>
    </w:p>
    <w:p w14:paraId="4DF2D1D5" w14:textId="77777777" w:rsidR="00E1289A" w:rsidRPr="00A37CB9" w:rsidRDefault="00E1289A" w:rsidP="00E1289A">
      <w:pPr>
        <w:pStyle w:val="Heading4"/>
      </w:pPr>
      <w:r w:rsidRPr="00A37CB9">
        <w:t>Finding</w:t>
      </w:r>
    </w:p>
    <w:p w14:paraId="7768B4B0" w14:textId="780D7C7C" w:rsidR="00E1289A" w:rsidRDefault="00E1289A" w:rsidP="00E1289A">
      <w:r w:rsidRPr="00A37CB9">
        <w:t>Australia is placed approximately mid-range on the spectrum of forward OECD donor commitments for the period to 2020</w:t>
      </w:r>
      <w:r>
        <w:t xml:space="preserve">. </w:t>
      </w:r>
      <w:r w:rsidRPr="00A37CB9">
        <w:t>The allocation of Australia’s climate change finance between mitigation and adaptation is broadly in line with other OECD countries, although with a somew</w:t>
      </w:r>
      <w:r>
        <w:t>hat greater focus on adaptation, r</w:t>
      </w:r>
      <w:r w:rsidRPr="00A37CB9">
        <w:t xml:space="preserve">eflecting </w:t>
      </w:r>
      <w:r>
        <w:t xml:space="preserve">the priorities of its developing partner countries. </w:t>
      </w:r>
      <w:r w:rsidRPr="00A37CB9">
        <w:t>Australia tends to channel a much greater share of its climate change finance through multilateral mechanisms relative to comparable OECD countries.</w:t>
      </w:r>
    </w:p>
    <w:p w14:paraId="52CCD440" w14:textId="5CEBC753" w:rsidR="00360027" w:rsidRDefault="00360027" w:rsidP="00A37CB9"/>
    <w:p w14:paraId="16F76C66" w14:textId="62CA8335" w:rsidR="00A37CB9" w:rsidRPr="00A37CB9" w:rsidRDefault="00110185" w:rsidP="00AF5EBB">
      <w:pPr>
        <w:pStyle w:val="Heading2"/>
        <w:numPr>
          <w:ilvl w:val="1"/>
          <w:numId w:val="10"/>
        </w:numPr>
      </w:pPr>
      <w:bookmarkStart w:id="95" w:name="_Toc496273864"/>
      <w:bookmarkStart w:id="96" w:name="_Toc510771937"/>
      <w:r>
        <w:t>Policy commitment</w:t>
      </w:r>
      <w:r w:rsidR="00A37CB9" w:rsidRPr="00A37CB9">
        <w:t xml:space="preserve"> and leadership</w:t>
      </w:r>
      <w:bookmarkEnd w:id="95"/>
      <w:bookmarkEnd w:id="96"/>
    </w:p>
    <w:p w14:paraId="66D27B9D" w14:textId="383B07E8" w:rsidR="00FE41F2" w:rsidRDefault="00FE41F2" w:rsidP="00DD5DAE">
      <w:pPr>
        <w:pStyle w:val="Caption"/>
        <w:keepNext/>
      </w:pPr>
      <w:bookmarkStart w:id="97" w:name="_Toc510591533"/>
      <w:r>
        <w:t xml:space="preserve">Table </w:t>
      </w:r>
      <w:r w:rsidR="00E7543E">
        <w:rPr>
          <w:noProof/>
        </w:rPr>
        <w:fldChar w:fldCharType="begin"/>
      </w:r>
      <w:r w:rsidR="00E7543E">
        <w:rPr>
          <w:noProof/>
        </w:rPr>
        <w:instrText xml:space="preserve"> SEQ Table \* ARABIC </w:instrText>
      </w:r>
      <w:r w:rsidR="00E7543E">
        <w:rPr>
          <w:noProof/>
        </w:rPr>
        <w:fldChar w:fldCharType="separate"/>
      </w:r>
      <w:r w:rsidR="00825350">
        <w:rPr>
          <w:noProof/>
        </w:rPr>
        <w:t>9</w:t>
      </w:r>
      <w:r w:rsidR="00E7543E">
        <w:rPr>
          <w:noProof/>
        </w:rPr>
        <w:fldChar w:fldCharType="end"/>
      </w:r>
      <w:r>
        <w:t xml:space="preserve">: </w:t>
      </w:r>
      <w:r w:rsidR="00DD5DAE">
        <w:t>Excerpt from Table 2</w:t>
      </w:r>
      <w:r w:rsidR="00E50402">
        <w:t>—</w:t>
      </w:r>
      <w:r w:rsidR="00DD5DAE">
        <w:t>Domains of good practice climate change integration</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olicy commitment and leadership"/>
        <w:tblDescription w:val="There is consistent and vocal senior management support for climate change integration&#10;Senior officials engage in policy dialogue on climate change with other development agencies and recipient countries at key entry points (for example, aid planning processes, general or sector budget support, public sector reform or other reviews)&#10;Performance, recognition and promotion system that rewards staff and leadership for effectively leading and delivering on the integration of climate change&#10;"/>
      </w:tblPr>
      <w:tblGrid>
        <w:gridCol w:w="1560"/>
        <w:gridCol w:w="8382"/>
      </w:tblGrid>
      <w:tr w:rsidR="00A37CB9" w:rsidRPr="00A37CB9" w14:paraId="5CAC1593" w14:textId="77777777" w:rsidTr="000904EE">
        <w:tc>
          <w:tcPr>
            <w:tcW w:w="1560" w:type="dxa"/>
            <w:vMerge w:val="restart"/>
            <w:tcBorders>
              <w:top w:val="single" w:sz="12" w:space="0" w:color="auto"/>
              <w:left w:val="single" w:sz="12" w:space="0" w:color="auto"/>
              <w:bottom w:val="dashSmallGap" w:sz="4" w:space="0" w:color="auto"/>
              <w:right w:val="dashSmallGap" w:sz="4" w:space="0" w:color="auto"/>
            </w:tcBorders>
            <w:shd w:val="clear" w:color="auto" w:fill="FF822D"/>
            <w:vAlign w:val="center"/>
          </w:tcPr>
          <w:p w14:paraId="33DD2588" w14:textId="55621C6F" w:rsidR="00A37CB9" w:rsidRPr="00A37CB9" w:rsidRDefault="00110185" w:rsidP="00A37CB9">
            <w:pPr>
              <w:tabs>
                <w:tab w:val="clear" w:pos="992"/>
                <w:tab w:val="clear" w:pos="1418"/>
              </w:tabs>
              <w:spacing w:after="0" w:line="240" w:lineRule="auto"/>
              <w:jc w:val="center"/>
              <w:rPr>
                <w:rFonts w:ascii="Franklin Gothic Book" w:eastAsia="Times New Roman" w:hAnsi="Franklin Gothic Book" w:cs="Times New Roman"/>
                <w:b/>
                <w:color w:val="FFFFFF"/>
                <w:sz w:val="21"/>
                <w:szCs w:val="24"/>
                <w:lang w:eastAsia="en-AU"/>
              </w:rPr>
            </w:pPr>
            <w:r>
              <w:rPr>
                <w:rFonts w:ascii="Franklin Gothic Book" w:eastAsia="Times New Roman" w:hAnsi="Franklin Gothic Book" w:cs="Times New Roman"/>
                <w:b/>
                <w:color w:val="FFFFFF"/>
                <w:sz w:val="21"/>
                <w:szCs w:val="24"/>
                <w:lang w:eastAsia="en-AU"/>
              </w:rPr>
              <w:t>Policy commitment</w:t>
            </w:r>
            <w:r w:rsidR="00A37CB9" w:rsidRPr="00A37CB9">
              <w:rPr>
                <w:rFonts w:ascii="Franklin Gothic Book" w:eastAsia="Times New Roman" w:hAnsi="Franklin Gothic Book" w:cs="Times New Roman"/>
                <w:b/>
                <w:color w:val="FFFFFF"/>
                <w:sz w:val="21"/>
                <w:szCs w:val="24"/>
                <w:lang w:eastAsia="en-AU"/>
              </w:rPr>
              <w:t xml:space="preserve"> and </w:t>
            </w:r>
            <w:r w:rsidR="00AF15D2">
              <w:rPr>
                <w:rFonts w:ascii="Franklin Gothic Book" w:eastAsia="Times New Roman" w:hAnsi="Franklin Gothic Book" w:cs="Times New Roman"/>
                <w:b/>
                <w:color w:val="FFFFFF"/>
                <w:sz w:val="21"/>
                <w:szCs w:val="24"/>
                <w:lang w:eastAsia="en-AU"/>
              </w:rPr>
              <w:t>l</w:t>
            </w:r>
            <w:r w:rsidR="00A37CB9" w:rsidRPr="00A37CB9">
              <w:rPr>
                <w:rFonts w:ascii="Franklin Gothic Book" w:eastAsia="Times New Roman" w:hAnsi="Franklin Gothic Book" w:cs="Times New Roman"/>
                <w:b/>
                <w:color w:val="FFFFFF"/>
                <w:sz w:val="21"/>
                <w:szCs w:val="24"/>
                <w:lang w:eastAsia="en-AU"/>
              </w:rPr>
              <w:t>eadership</w:t>
            </w:r>
          </w:p>
          <w:p w14:paraId="45F590AC" w14:textId="77777777" w:rsidR="00A37CB9" w:rsidRPr="00A37CB9" w:rsidRDefault="00A37CB9" w:rsidP="00A37CB9">
            <w:pPr>
              <w:tabs>
                <w:tab w:val="clear" w:pos="992"/>
                <w:tab w:val="clear" w:pos="1418"/>
              </w:tabs>
              <w:spacing w:after="0" w:line="240" w:lineRule="auto"/>
              <w:jc w:val="center"/>
              <w:rPr>
                <w:rFonts w:ascii="Franklin Gothic Book" w:eastAsia="Times New Roman" w:hAnsi="Franklin Gothic Book" w:cs="Times New Roman"/>
                <w:b/>
                <w:color w:val="auto"/>
                <w:sz w:val="21"/>
                <w:szCs w:val="24"/>
                <w:lang w:eastAsia="en-AU"/>
              </w:rPr>
            </w:pPr>
          </w:p>
        </w:tc>
        <w:tc>
          <w:tcPr>
            <w:tcW w:w="8382" w:type="dxa"/>
            <w:tcBorders>
              <w:top w:val="single" w:sz="12" w:space="0" w:color="auto"/>
              <w:left w:val="dashSmallGap" w:sz="4" w:space="0" w:color="auto"/>
              <w:bottom w:val="dashSmallGap" w:sz="4" w:space="0" w:color="auto"/>
              <w:right w:val="single" w:sz="12" w:space="0" w:color="auto"/>
            </w:tcBorders>
            <w:shd w:val="clear" w:color="auto" w:fill="auto"/>
            <w:vAlign w:val="center"/>
          </w:tcPr>
          <w:p w14:paraId="78BBEE26" w14:textId="0ED7D4C1" w:rsidR="00A37CB9" w:rsidRPr="00A37CB9" w:rsidRDefault="00380FCB"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Pr>
                <w:rFonts w:ascii="Franklin Gothic Book" w:eastAsia="Times New Roman" w:hAnsi="Franklin Gothic Book" w:cs="Times New Roman"/>
                <w:color w:val="auto"/>
                <w:sz w:val="21"/>
                <w:szCs w:val="24"/>
                <w:lang w:eastAsia="en-AU"/>
              </w:rPr>
              <w:t>C</w:t>
            </w:r>
            <w:r w:rsidR="00A37CB9" w:rsidRPr="00A37CB9">
              <w:rPr>
                <w:rFonts w:ascii="Franklin Gothic Book" w:eastAsia="Times New Roman" w:hAnsi="Franklin Gothic Book" w:cs="Times New Roman"/>
                <w:color w:val="auto"/>
                <w:sz w:val="21"/>
                <w:szCs w:val="24"/>
                <w:lang w:eastAsia="en-AU"/>
              </w:rPr>
              <w:t xml:space="preserve">onsistent and vocal senior management </w:t>
            </w:r>
            <w:r w:rsidR="00AF15D2" w:rsidRPr="00AF15D2">
              <w:rPr>
                <w:rFonts w:ascii="Franklin Gothic Book" w:eastAsia="Times New Roman" w:hAnsi="Franklin Gothic Book" w:cs="Times New Roman"/>
                <w:color w:val="auto"/>
                <w:sz w:val="21"/>
                <w:szCs w:val="24"/>
                <w:lang w:eastAsia="en-AU"/>
              </w:rPr>
              <w:t xml:space="preserve">support </w:t>
            </w:r>
            <w:r>
              <w:rPr>
                <w:rFonts w:ascii="Franklin Gothic Book" w:eastAsia="Times New Roman" w:hAnsi="Franklin Gothic Book" w:cs="Times New Roman"/>
                <w:color w:val="auto"/>
                <w:sz w:val="21"/>
                <w:szCs w:val="24"/>
                <w:lang w:eastAsia="en-AU"/>
              </w:rPr>
              <w:t xml:space="preserve">exists </w:t>
            </w:r>
            <w:r w:rsidR="00AF15D2" w:rsidRPr="00AF15D2">
              <w:rPr>
                <w:rFonts w:ascii="Franklin Gothic Book" w:eastAsia="Times New Roman" w:hAnsi="Franklin Gothic Book" w:cs="Times New Roman"/>
                <w:color w:val="auto"/>
                <w:sz w:val="21"/>
                <w:szCs w:val="24"/>
                <w:lang w:eastAsia="en-AU"/>
              </w:rPr>
              <w:t>for</w:t>
            </w:r>
            <w:r w:rsidR="00A37CB9" w:rsidRPr="00A37CB9">
              <w:rPr>
                <w:rFonts w:ascii="Franklin Gothic Book" w:eastAsia="Times New Roman" w:hAnsi="Franklin Gothic Book" w:cs="Times New Roman"/>
                <w:color w:val="auto"/>
                <w:sz w:val="21"/>
                <w:szCs w:val="24"/>
                <w:lang w:eastAsia="en-AU"/>
              </w:rPr>
              <w:t xml:space="preserve"> climate change integration</w:t>
            </w:r>
          </w:p>
        </w:tc>
      </w:tr>
      <w:tr w:rsidR="00A37CB9" w:rsidRPr="00A37CB9" w14:paraId="7962EBA5" w14:textId="77777777" w:rsidTr="000904EE">
        <w:tc>
          <w:tcPr>
            <w:tcW w:w="1560" w:type="dxa"/>
            <w:vMerge/>
            <w:tcBorders>
              <w:top w:val="dashSmallGap" w:sz="4" w:space="0" w:color="auto"/>
              <w:left w:val="single" w:sz="12" w:space="0" w:color="auto"/>
              <w:bottom w:val="dashSmallGap" w:sz="4" w:space="0" w:color="auto"/>
              <w:right w:val="dashSmallGap" w:sz="4" w:space="0" w:color="auto"/>
            </w:tcBorders>
            <w:shd w:val="clear" w:color="auto" w:fill="FF822D"/>
          </w:tcPr>
          <w:p w14:paraId="50C48649" w14:textId="77777777" w:rsidR="00A37CB9" w:rsidRPr="00A37CB9" w:rsidRDefault="00A37CB9" w:rsidP="00A37CB9">
            <w:pPr>
              <w:tabs>
                <w:tab w:val="clear" w:pos="992"/>
                <w:tab w:val="clear" w:pos="1418"/>
              </w:tabs>
              <w:spacing w:after="0" w:line="240" w:lineRule="auto"/>
              <w:rPr>
                <w:rFonts w:ascii="Franklin Gothic Book" w:eastAsia="Times New Roman" w:hAnsi="Franklin Gothic Book" w:cs="Times New Roman"/>
                <w:color w:val="auto"/>
                <w:sz w:val="21"/>
                <w:szCs w:val="24"/>
                <w:lang w:eastAsia="en-AU"/>
              </w:rPr>
            </w:pPr>
          </w:p>
        </w:tc>
        <w:tc>
          <w:tcPr>
            <w:tcW w:w="8382"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E608F37" w14:textId="5FD5EEF8" w:rsidR="00A37CB9" w:rsidRPr="00A37CB9" w:rsidRDefault="00A37CB9" w:rsidP="0046064F">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Senior officials engage in policy dialogue on climate change with other development agencies and recipient countries at key entry points (</w:t>
            </w:r>
            <w:r w:rsidR="00AF15D2">
              <w:rPr>
                <w:rFonts w:ascii="Franklin Gothic Book" w:eastAsia="Times New Roman" w:hAnsi="Franklin Gothic Book" w:cs="Times New Roman"/>
                <w:color w:val="auto"/>
                <w:sz w:val="21"/>
                <w:szCs w:val="24"/>
                <w:lang w:eastAsia="en-AU"/>
              </w:rPr>
              <w:t xml:space="preserve">for example, </w:t>
            </w:r>
            <w:r w:rsidRPr="00A37CB9">
              <w:rPr>
                <w:rFonts w:ascii="Franklin Gothic Book" w:eastAsia="Times New Roman" w:hAnsi="Franklin Gothic Book" w:cs="Times New Roman"/>
                <w:color w:val="auto"/>
                <w:sz w:val="21"/>
                <w:szCs w:val="24"/>
                <w:lang w:eastAsia="en-AU"/>
              </w:rPr>
              <w:t>aid planning processes, general or sector budget support, public sector reform or other reviews)</w:t>
            </w:r>
          </w:p>
        </w:tc>
      </w:tr>
      <w:tr w:rsidR="00A37CB9" w:rsidRPr="00A37CB9" w14:paraId="7CA9ED17" w14:textId="77777777" w:rsidTr="000904EE">
        <w:tc>
          <w:tcPr>
            <w:tcW w:w="1560" w:type="dxa"/>
            <w:vMerge/>
            <w:tcBorders>
              <w:top w:val="dashSmallGap" w:sz="4" w:space="0" w:color="auto"/>
              <w:left w:val="single" w:sz="12" w:space="0" w:color="auto"/>
              <w:bottom w:val="single" w:sz="12" w:space="0" w:color="auto"/>
              <w:right w:val="dashSmallGap" w:sz="4" w:space="0" w:color="auto"/>
            </w:tcBorders>
            <w:shd w:val="clear" w:color="auto" w:fill="FF822D"/>
          </w:tcPr>
          <w:p w14:paraId="62F721C2" w14:textId="77777777" w:rsidR="00A37CB9" w:rsidRPr="00A37CB9" w:rsidRDefault="00A37CB9" w:rsidP="00A37CB9">
            <w:pPr>
              <w:tabs>
                <w:tab w:val="clear" w:pos="992"/>
                <w:tab w:val="clear" w:pos="1418"/>
              </w:tabs>
              <w:spacing w:after="0" w:line="240" w:lineRule="auto"/>
              <w:rPr>
                <w:rFonts w:ascii="Franklin Gothic Book" w:eastAsia="Times New Roman" w:hAnsi="Franklin Gothic Book" w:cs="Times New Roman"/>
                <w:color w:val="auto"/>
                <w:sz w:val="21"/>
                <w:szCs w:val="24"/>
                <w:lang w:eastAsia="en-AU"/>
              </w:rPr>
            </w:pPr>
          </w:p>
        </w:tc>
        <w:tc>
          <w:tcPr>
            <w:tcW w:w="8382"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3DD70364" w14:textId="0CF2E1D7" w:rsidR="00A37CB9" w:rsidRPr="00A37CB9" w:rsidRDefault="00A37CB9" w:rsidP="00A37CB9">
            <w:pPr>
              <w:tabs>
                <w:tab w:val="clear" w:pos="992"/>
                <w:tab w:val="clear" w:pos="1418"/>
              </w:tabs>
              <w:spacing w:before="60" w:after="60" w:line="240" w:lineRule="auto"/>
              <w:rPr>
                <w:rFonts w:ascii="Franklin Gothic Book" w:eastAsia="Times New Roman" w:hAnsi="Franklin Gothic Book" w:cs="Times New Roman"/>
                <w:color w:val="auto"/>
                <w:sz w:val="21"/>
                <w:szCs w:val="24"/>
                <w:lang w:eastAsia="en-AU"/>
              </w:rPr>
            </w:pPr>
            <w:r w:rsidRPr="00A37CB9">
              <w:rPr>
                <w:rFonts w:ascii="Franklin Gothic Book" w:eastAsia="Times New Roman" w:hAnsi="Franklin Gothic Book" w:cs="Times New Roman"/>
                <w:color w:val="auto"/>
                <w:sz w:val="21"/>
                <w:szCs w:val="24"/>
                <w:lang w:eastAsia="en-AU"/>
              </w:rPr>
              <w:t>Performance, recognition and promotion system that rewards staff and leadership for effectively leading and delivering on the integration of climate change</w:t>
            </w:r>
            <w:r w:rsidR="00380FCB">
              <w:rPr>
                <w:rFonts w:ascii="Franklin Gothic Book" w:eastAsia="Times New Roman" w:hAnsi="Franklin Gothic Book" w:cs="Times New Roman"/>
                <w:color w:val="auto"/>
                <w:sz w:val="21"/>
                <w:szCs w:val="24"/>
                <w:lang w:eastAsia="en-AU"/>
              </w:rPr>
              <w:t xml:space="preserve"> is in place</w:t>
            </w:r>
          </w:p>
        </w:tc>
      </w:tr>
    </w:tbl>
    <w:p w14:paraId="1DF97C6D" w14:textId="5AEE0D83" w:rsidR="00A37CB9" w:rsidRDefault="00A37CB9" w:rsidP="00A37CB9">
      <w:pPr>
        <w:spacing w:after="0"/>
      </w:pPr>
    </w:p>
    <w:p w14:paraId="798951F3" w14:textId="77777777" w:rsidR="00380FCB" w:rsidRPr="00A37CB9" w:rsidRDefault="00380FCB" w:rsidP="00A37CB9">
      <w:pPr>
        <w:spacing w:after="0"/>
      </w:pPr>
    </w:p>
    <w:p w14:paraId="072718D3" w14:textId="431628D0" w:rsidR="00A37CB9" w:rsidRPr="00A37CB9" w:rsidRDefault="00A37CB9" w:rsidP="00A37CB9">
      <w:r w:rsidRPr="00A37CB9">
        <w:t xml:space="preserve">Strong leadership from government ministers and the senior executives of development assistance agencies is essential for effective climate change integration. It creates the enabling environment for aid program managers to operate and provides clarity on the level of priority given to climate change. </w:t>
      </w:r>
      <w:r w:rsidR="000A37D0">
        <w:t>A</w:t>
      </w:r>
      <w:r w:rsidRPr="00A37CB9">
        <w:t xml:space="preserve">gencies considered </w:t>
      </w:r>
      <w:r w:rsidR="001B6DC2">
        <w:t>to have good</w:t>
      </w:r>
      <w:r w:rsidR="001B6DC2" w:rsidRPr="00A37CB9">
        <w:t xml:space="preserve"> </w:t>
      </w:r>
      <w:r w:rsidRPr="00A37CB9">
        <w:t>practice in climate change integration and mainstreaming are those that have strong political leadership and support</w:t>
      </w:r>
      <w:r w:rsidR="00E50402">
        <w:t>.</w:t>
      </w:r>
      <w:r w:rsidRPr="00A37CB9">
        <w:rPr>
          <w:vertAlign w:val="superscript"/>
        </w:rPr>
        <w:footnoteReference w:id="31"/>
      </w:r>
      <w:r w:rsidRPr="00A37CB9">
        <w:t xml:space="preserve"> Australia has been cited by the OECD as a</w:t>
      </w:r>
      <w:r w:rsidR="001B6DC2">
        <w:t xml:space="preserve"> good</w:t>
      </w:r>
      <w:r w:rsidRPr="00A37CB9">
        <w:t xml:space="preserve"> example of </w:t>
      </w:r>
      <w:r w:rsidRPr="00A37CB9">
        <w:lastRenderedPageBreak/>
        <w:t xml:space="preserve">progress achieved in integrating gender in the aid program driven by strong leadership and support. Similar good practice examples exist for climate change </w:t>
      </w:r>
      <w:r w:rsidR="00F0034F">
        <w:t>among</w:t>
      </w:r>
      <w:r w:rsidRPr="00A37CB9">
        <w:t xml:space="preserve"> Australia’s OECD peers (</w:t>
      </w:r>
      <w:r w:rsidR="00E50402">
        <w:t xml:space="preserve">Denmark, </w:t>
      </w:r>
      <w:r w:rsidRPr="00A37CB9">
        <w:t>France, Germany and the U</w:t>
      </w:r>
      <w:r w:rsidR="00AF15D2">
        <w:t xml:space="preserve">nited </w:t>
      </w:r>
      <w:r w:rsidRPr="00A37CB9">
        <w:t>K</w:t>
      </w:r>
      <w:r w:rsidR="00AF15D2">
        <w:t>ingdom</w:t>
      </w:r>
      <w:r w:rsidRPr="00A37CB9">
        <w:t>).</w:t>
      </w:r>
    </w:p>
    <w:p w14:paraId="01F0051D" w14:textId="61278CB6" w:rsidR="00F508EE" w:rsidRDefault="00A37CB9" w:rsidP="00A37CB9">
      <w:r w:rsidRPr="00A37CB9">
        <w:t>Over the past decade</w:t>
      </w:r>
      <w:r w:rsidR="003A676A">
        <w:t>,</w:t>
      </w:r>
      <w:r w:rsidRPr="00A37CB9">
        <w:t xml:space="preserve"> the level of political commitment and support for climate change as an aid investment priority has varied, as has the level of dedicated climate change finance. A range of respondents interviewed during the evaluation indicated that the emphasis given to climate change </w:t>
      </w:r>
      <w:r w:rsidR="0071021A">
        <w:t>at Post</w:t>
      </w:r>
      <w:r w:rsidRPr="00A37CB9">
        <w:t xml:space="preserve">, and the internal resources devoted </w:t>
      </w:r>
      <w:r w:rsidR="007E2F64">
        <w:t xml:space="preserve">to </w:t>
      </w:r>
      <w:r w:rsidRPr="00A37CB9">
        <w:t>climate change focal points and mainstreaming activity, varied according to perceptions of Canberra’s aid policy priorities. There is evidence at country and regional program level</w:t>
      </w:r>
      <w:r w:rsidR="000A37D0">
        <w:t>s</w:t>
      </w:r>
      <w:r w:rsidRPr="00A37CB9">
        <w:t xml:space="preserve"> that the reduced emphasis placed on climate change in recent years (including its limited treatment in the aid investment policy) has resulted in </w:t>
      </w:r>
      <w:r w:rsidR="0001128B">
        <w:t xml:space="preserve">a </w:t>
      </w:r>
      <w:r w:rsidRPr="00A37CB9">
        <w:t xml:space="preserve">significant reduction in program staff interest in climate change integration and </w:t>
      </w:r>
      <w:r w:rsidR="0001128B">
        <w:t xml:space="preserve">attention to </w:t>
      </w:r>
      <w:r w:rsidRPr="00A37CB9">
        <w:t>forward program investment planning</w:t>
      </w:r>
      <w:r w:rsidR="00E50402">
        <w:t xml:space="preserve"> and </w:t>
      </w:r>
      <w:r w:rsidRPr="00A37CB9">
        <w:t xml:space="preserve">design, and that the overall level of awareness and </w:t>
      </w:r>
      <w:r w:rsidR="00832704">
        <w:t>skills</w:t>
      </w:r>
      <w:r w:rsidR="0001128B">
        <w:t xml:space="preserve"> of staff</w:t>
      </w:r>
      <w:r w:rsidRPr="00A37CB9">
        <w:t xml:space="preserve"> at </w:t>
      </w:r>
      <w:r w:rsidR="003A676A">
        <w:t>P</w:t>
      </w:r>
      <w:r w:rsidRPr="00A37CB9">
        <w:t>ost has declined accordingly.</w:t>
      </w:r>
    </w:p>
    <w:p w14:paraId="7000CE53" w14:textId="4A438230" w:rsidR="00F508EE" w:rsidRDefault="00A37CB9" w:rsidP="00A37CB9">
      <w:r w:rsidRPr="00A37CB9">
        <w:t xml:space="preserve">Australia </w:t>
      </w:r>
      <w:r w:rsidR="0071021A">
        <w:t>has recently made some significant international commitments to</w:t>
      </w:r>
      <w:r w:rsidRPr="00A37CB9">
        <w:t xml:space="preserve"> climate change </w:t>
      </w:r>
      <w:r w:rsidR="0071021A">
        <w:t>finance and other assistance</w:t>
      </w:r>
      <w:r w:rsidRPr="00A37CB9">
        <w:t>. Furthermore, the 2016 administrative circular on climate change communicated a message to agency program managers and staff that greater attention needs to be given to climate change across the aid program.</w:t>
      </w:r>
    </w:p>
    <w:p w14:paraId="69F8271C" w14:textId="5E685969" w:rsidR="00A37CB9" w:rsidRPr="00A37CB9" w:rsidRDefault="00A37CB9" w:rsidP="00A37CB9">
      <w:r w:rsidRPr="00A37CB9">
        <w:t xml:space="preserve">DFAT </w:t>
      </w:r>
      <w:r w:rsidR="0001128B">
        <w:t xml:space="preserve">is making </w:t>
      </w:r>
      <w:r w:rsidRPr="00A37CB9">
        <w:t>effo</w:t>
      </w:r>
      <w:r w:rsidR="00AA27E5">
        <w:t xml:space="preserve">rts to build stronger support </w:t>
      </w:r>
      <w:r w:rsidRPr="00A37CB9">
        <w:t>for climate change integration (</w:t>
      </w:r>
      <w:r w:rsidR="003A676A">
        <w:t xml:space="preserve">for example, </w:t>
      </w:r>
      <w:r w:rsidRPr="00A37CB9">
        <w:t xml:space="preserve">the </w:t>
      </w:r>
      <w:r w:rsidR="0081628B">
        <w:t>C</w:t>
      </w:r>
      <w:r w:rsidR="0081628B" w:rsidRPr="00A37CB9">
        <w:t xml:space="preserve">limate </w:t>
      </w:r>
      <w:r w:rsidR="0081628B">
        <w:t>C</w:t>
      </w:r>
      <w:r w:rsidR="0081628B" w:rsidRPr="00A37CB9">
        <w:t xml:space="preserve">hange </w:t>
      </w:r>
      <w:r w:rsidR="0081628B">
        <w:t>and Development Working Group</w:t>
      </w:r>
      <w:r w:rsidRPr="00A37CB9">
        <w:t xml:space="preserve">), and </w:t>
      </w:r>
      <w:r w:rsidR="0081628B">
        <w:t>there is a range of work underway</w:t>
      </w:r>
      <w:r w:rsidRPr="00A37CB9">
        <w:t xml:space="preserve">, </w:t>
      </w:r>
      <w:r w:rsidR="0081628B">
        <w:t xml:space="preserve">but </w:t>
      </w:r>
      <w:r w:rsidRPr="00A37CB9">
        <w:t>it is evident that this will take time</w:t>
      </w:r>
      <w:r w:rsidR="0081628B">
        <w:t xml:space="preserve"> given limited staff resources</w:t>
      </w:r>
      <w:r w:rsidRPr="00A37CB9">
        <w:t xml:space="preserve">. Providing strong senior management leadership </w:t>
      </w:r>
      <w:r w:rsidR="0081628B">
        <w:t xml:space="preserve">across the </w:t>
      </w:r>
      <w:r w:rsidR="00E50402">
        <w:t>d</w:t>
      </w:r>
      <w:r w:rsidR="0081628B">
        <w:t xml:space="preserve">epartment </w:t>
      </w:r>
      <w:r w:rsidRPr="00A37CB9">
        <w:t xml:space="preserve">to climate change will help drive the integration process and provide </w:t>
      </w:r>
      <w:r w:rsidR="0081628B">
        <w:t xml:space="preserve">incentives to </w:t>
      </w:r>
      <w:r w:rsidRPr="00A37CB9">
        <w:t xml:space="preserve">program managers. Considerable political attention is given </w:t>
      </w:r>
      <w:r w:rsidR="007E2F64">
        <w:t xml:space="preserve">to </w:t>
      </w:r>
      <w:r w:rsidRPr="00A37CB9">
        <w:t xml:space="preserve">UNFCCC processes </w:t>
      </w:r>
      <w:r w:rsidR="0081628B">
        <w:t>on</w:t>
      </w:r>
      <w:r w:rsidR="0081628B" w:rsidRPr="00A37CB9">
        <w:t xml:space="preserve"> </w:t>
      </w:r>
      <w:r w:rsidRPr="00A37CB9">
        <w:t>the global stage</w:t>
      </w:r>
      <w:r w:rsidR="00871AD8">
        <w:t>,</w:t>
      </w:r>
      <w:r w:rsidRPr="00A37CB9">
        <w:t xml:space="preserve"> but</w:t>
      </w:r>
      <w:r w:rsidR="0081628B">
        <w:t xml:space="preserve"> there is </w:t>
      </w:r>
      <w:r w:rsidRPr="00A37CB9">
        <w:t xml:space="preserve">less evidence </w:t>
      </w:r>
      <w:r w:rsidR="0081628B">
        <w:t xml:space="preserve">of attention </w:t>
      </w:r>
      <w:r w:rsidRPr="00A37CB9">
        <w:t xml:space="preserve">at the aid program level in terms of supporting adaptation and mitigation efforts as a core part of Australia’s engagement </w:t>
      </w:r>
      <w:r w:rsidR="0081628B">
        <w:t>with</w:t>
      </w:r>
      <w:r w:rsidR="0081628B" w:rsidRPr="00A37CB9">
        <w:t xml:space="preserve"> </w:t>
      </w:r>
      <w:r w:rsidRPr="00A37CB9">
        <w:t>partner countries.</w:t>
      </w:r>
    </w:p>
    <w:p w14:paraId="70014FBC" w14:textId="77777777" w:rsidR="00A37CB9" w:rsidRPr="00A37CB9" w:rsidRDefault="00A37CB9" w:rsidP="0001128B">
      <w:pPr>
        <w:pStyle w:val="Heading4"/>
      </w:pPr>
      <w:r w:rsidRPr="00A37CB9">
        <w:t>Finding</w:t>
      </w:r>
    </w:p>
    <w:p w14:paraId="7D5CD515" w14:textId="27AB2AA9" w:rsidR="00F508EE" w:rsidRDefault="00A37CB9" w:rsidP="00A37CB9">
      <w:r w:rsidRPr="00A37CB9">
        <w:t xml:space="preserve">The evaluation found that the level of </w:t>
      </w:r>
      <w:r w:rsidR="0046064F">
        <w:t>policy</w:t>
      </w:r>
      <w:r w:rsidRPr="00A37CB9">
        <w:t xml:space="preserve"> leadership and support for climate change integration to Australia’s aid program has increased since 2015, after several years of climate change </w:t>
      </w:r>
      <w:r w:rsidR="00871AD8">
        <w:t>being</w:t>
      </w:r>
      <w:r w:rsidR="006B0D7E" w:rsidRPr="00A37CB9">
        <w:t xml:space="preserve"> </w:t>
      </w:r>
      <w:r w:rsidRPr="00A37CB9">
        <w:t>a low priority for the aid program.</w:t>
      </w:r>
      <w:r w:rsidR="00110D83">
        <w:t xml:space="preserve"> </w:t>
      </w:r>
      <w:r w:rsidRPr="00A37CB9">
        <w:t>There</w:t>
      </w:r>
      <w:r w:rsidR="007E2F64">
        <w:t xml:space="preserve"> </w:t>
      </w:r>
      <w:r w:rsidRPr="00A37CB9">
        <w:t xml:space="preserve">is still </w:t>
      </w:r>
      <w:r w:rsidR="007E2F64">
        <w:t xml:space="preserve">a </w:t>
      </w:r>
      <w:r w:rsidRPr="00A37CB9">
        <w:t xml:space="preserve">lack of clarity on Australia’s overall aims and objectives in relation to climate change </w:t>
      </w:r>
      <w:r w:rsidR="00E56056" w:rsidRPr="00A37CB9">
        <w:t>integration.</w:t>
      </w:r>
      <w:r w:rsidR="00110D83">
        <w:t xml:space="preserve"> </w:t>
      </w:r>
      <w:r w:rsidR="009F52C8">
        <w:t>The s</w:t>
      </w:r>
      <w:r w:rsidRPr="00A37CB9">
        <w:t>trengthen</w:t>
      </w:r>
      <w:r w:rsidR="009F52C8">
        <w:t xml:space="preserve">ing </w:t>
      </w:r>
      <w:r w:rsidR="006B0D7E">
        <w:t>of</w:t>
      </w:r>
      <w:r w:rsidRPr="00A37CB9">
        <w:t xml:space="preserve"> messaging and leadership </w:t>
      </w:r>
      <w:r w:rsidR="0001128B">
        <w:t>from the highest levels of</w:t>
      </w:r>
      <w:r w:rsidRPr="00A37CB9">
        <w:t xml:space="preserve"> the organisation</w:t>
      </w:r>
      <w:r w:rsidR="009F52C8">
        <w:t xml:space="preserve"> will be </w:t>
      </w:r>
      <w:r w:rsidRPr="00A37CB9">
        <w:t>an important driver for effective integration.</w:t>
      </w:r>
    </w:p>
    <w:p w14:paraId="6D677525" w14:textId="77777777" w:rsidR="00201786" w:rsidRPr="00CA055E" w:rsidRDefault="00201786" w:rsidP="00AF5EBB">
      <w:pPr>
        <w:pStyle w:val="Heading2"/>
        <w:numPr>
          <w:ilvl w:val="1"/>
          <w:numId w:val="10"/>
        </w:numPr>
        <w:spacing w:after="200"/>
      </w:pPr>
      <w:bookmarkStart w:id="98" w:name="_Toc510771938"/>
      <w:r w:rsidRPr="00CA055E">
        <w:t>Conclusions and recommendations for strengthening organisational capacity on climate change integration</w:t>
      </w:r>
      <w:bookmarkEnd w:id="98"/>
    </w:p>
    <w:p w14:paraId="350609A6" w14:textId="5B030C23" w:rsidR="00E04E62" w:rsidRDefault="00E04E62" w:rsidP="0001128B">
      <w:pPr>
        <w:pStyle w:val="Heading4"/>
      </w:pPr>
      <w:r w:rsidRPr="009F52C8">
        <w:t>Conclusions on current standing of climate change integration capabilities in DFAT</w:t>
      </w:r>
    </w:p>
    <w:p w14:paraId="2B85449B" w14:textId="5F41FD9E" w:rsidR="00F508EE" w:rsidRDefault="00ED6F18" w:rsidP="00E04E62">
      <w:r>
        <w:rPr>
          <w:b/>
        </w:rPr>
        <w:t>The DFAT aid program is working to realise the spirit of the Paris Commitment</w:t>
      </w:r>
      <w:r w:rsidR="007D597C">
        <w:rPr>
          <w:b/>
        </w:rPr>
        <w:t xml:space="preserve">; but it has a way to go. </w:t>
      </w:r>
      <w:r w:rsidR="000D577D">
        <w:t>Strategic clarity</w:t>
      </w:r>
      <w:r w:rsidR="00E04E62" w:rsidRPr="00A37CB9">
        <w:t xml:space="preserve"> within DFAT on climate change action is tenuous</w:t>
      </w:r>
      <w:r w:rsidR="007D597C">
        <w:t xml:space="preserve">, pending the launch of </w:t>
      </w:r>
      <w:r w:rsidR="00AA27E5">
        <w:t xml:space="preserve">a </w:t>
      </w:r>
      <w:r w:rsidR="00E04E62" w:rsidRPr="00A37CB9">
        <w:t>specific</w:t>
      </w:r>
      <w:r w:rsidR="000A2084">
        <w:t>,</w:t>
      </w:r>
      <w:r w:rsidR="00E04E62" w:rsidRPr="00A37CB9">
        <w:t xml:space="preserve"> overarching climate change policy</w:t>
      </w:r>
      <w:r w:rsidR="000A2084">
        <w:t xml:space="preserve"> or </w:t>
      </w:r>
      <w:r w:rsidR="00E04E62" w:rsidRPr="00A37CB9">
        <w:t xml:space="preserve">strategy addressing climate change within the aid investment policy. While climate change is to some degree in the aid investment strategy (primarily through a disaster risk </w:t>
      </w:r>
      <w:r w:rsidR="00E04E62" w:rsidRPr="00A37CB9">
        <w:lastRenderedPageBreak/>
        <w:t>lens)</w:t>
      </w:r>
      <w:r w:rsidR="000A2084">
        <w:t>,</w:t>
      </w:r>
      <w:r w:rsidR="00E04E62" w:rsidRPr="00A37CB9">
        <w:t xml:space="preserve"> DFAT presently lacks an overarching policy document that clearly articulates </w:t>
      </w:r>
      <w:r w:rsidR="000A2084">
        <w:t xml:space="preserve">the </w:t>
      </w:r>
      <w:r w:rsidR="00E04E62" w:rsidRPr="00A37CB9">
        <w:t>specific climate change goals and objectives of the aid program, nor any internal guiding strategy on climate change.</w:t>
      </w:r>
      <w:r w:rsidR="00110D83">
        <w:t xml:space="preserve"> </w:t>
      </w:r>
      <w:r w:rsidR="00E04E62" w:rsidRPr="00A37CB9">
        <w:t>While it is noted that DFAT is in the process of addressing this issue</w:t>
      </w:r>
      <w:r w:rsidR="000A2084">
        <w:t>,</w:t>
      </w:r>
      <w:r w:rsidR="00E04E62" w:rsidRPr="00A37CB9">
        <w:t xml:space="preserve"> this policy gap needs to be filled as soon as possible </w:t>
      </w:r>
      <w:r w:rsidR="000A2084">
        <w:t>as it</w:t>
      </w:r>
      <w:r w:rsidR="000A2084" w:rsidRPr="00A37CB9">
        <w:t xml:space="preserve"> </w:t>
      </w:r>
      <w:r w:rsidR="00E04E62" w:rsidRPr="00A37CB9">
        <w:t xml:space="preserve">is an important element of climate change and ODA </w:t>
      </w:r>
      <w:r w:rsidR="000D577D">
        <w:t>strategic clarity</w:t>
      </w:r>
      <w:r w:rsidR="00E04E62" w:rsidRPr="00A37CB9">
        <w:t>.</w:t>
      </w:r>
    </w:p>
    <w:p w14:paraId="32A5ADD9" w14:textId="01AB7E41" w:rsidR="00F508EE" w:rsidRDefault="00E04E62" w:rsidP="00E04E62">
      <w:r w:rsidRPr="00A37CB9">
        <w:rPr>
          <w:b/>
        </w:rPr>
        <w:t xml:space="preserve">The internal design and approval processes and staff capacity within DFAT for supporting climate change action </w:t>
      </w:r>
      <w:r w:rsidR="00AD28AF">
        <w:rPr>
          <w:b/>
        </w:rPr>
        <w:t>require strengthening</w:t>
      </w:r>
      <w:r w:rsidRPr="00A37CB9">
        <w:rPr>
          <w:b/>
        </w:rPr>
        <w:t>.</w:t>
      </w:r>
      <w:r w:rsidR="00F508EE" w:rsidRPr="00A37CB9">
        <w:rPr>
          <w:b/>
          <w:i/>
        </w:rPr>
        <w:t xml:space="preserve"> </w:t>
      </w:r>
      <w:r w:rsidRPr="00A37CB9">
        <w:t xml:space="preserve">There is a limited approach </w:t>
      </w:r>
      <w:r w:rsidR="00832704">
        <w:t>to</w:t>
      </w:r>
      <w:r w:rsidRPr="00A37CB9">
        <w:t xml:space="preserve"> climate change design and implementation. Climate change is not currently part of the corporate pre-posting training or induction, and there is no evidence of any internal training and staff capacity building programs. The level of resources provided for internal mainstreaming and technical</w:t>
      </w:r>
      <w:r w:rsidR="0001128B">
        <w:t xml:space="preserve"> support </w:t>
      </w:r>
      <w:r w:rsidRPr="00A37CB9">
        <w:t>is limited considering the magnitude of the climat</w:t>
      </w:r>
      <w:r w:rsidR="0078248B">
        <w:t>e change integration task ahead</w:t>
      </w:r>
      <w:r w:rsidRPr="00A37CB9">
        <w:t xml:space="preserve">. These conditions </w:t>
      </w:r>
      <w:r w:rsidR="0078248B">
        <w:t>constrain</w:t>
      </w:r>
      <w:r w:rsidRPr="00A37CB9">
        <w:t xml:space="preserve"> the effective integration of climate change </w:t>
      </w:r>
      <w:r w:rsidR="000A2084">
        <w:t xml:space="preserve">action </w:t>
      </w:r>
      <w:r w:rsidRPr="00A37CB9">
        <w:t>across the aid program.</w:t>
      </w:r>
    </w:p>
    <w:p w14:paraId="190B38DF" w14:textId="483ADED5" w:rsidR="00F508EE" w:rsidRDefault="00E04E62" w:rsidP="00E04E62">
      <w:r w:rsidRPr="00A37CB9">
        <w:rPr>
          <w:b/>
        </w:rPr>
        <w:t xml:space="preserve">DFAT is not routinely collecting information to track </w:t>
      </w:r>
      <w:r w:rsidR="0078248B">
        <w:rPr>
          <w:b/>
        </w:rPr>
        <w:t xml:space="preserve">the effectiveness of </w:t>
      </w:r>
      <w:r w:rsidRPr="00A37CB9">
        <w:rPr>
          <w:b/>
        </w:rPr>
        <w:t xml:space="preserve">climate change investments in ways that service broader corporate reporting and </w:t>
      </w:r>
      <w:r w:rsidR="0001128B">
        <w:rPr>
          <w:b/>
        </w:rPr>
        <w:t>learning</w:t>
      </w:r>
      <w:r w:rsidRPr="00A37CB9">
        <w:rPr>
          <w:b/>
        </w:rPr>
        <w:t xml:space="preserve"> needs</w:t>
      </w:r>
      <w:r w:rsidR="00F508EE" w:rsidRPr="00A37CB9">
        <w:rPr>
          <w:b/>
          <w:i/>
        </w:rPr>
        <w:t>.</w:t>
      </w:r>
      <w:r w:rsidRPr="00A37CB9">
        <w:t xml:space="preserve"> Internal systems need considerable strengthening if Australia is to accurately and effectively report on what it </w:t>
      </w:r>
      <w:r w:rsidR="00832704">
        <w:t>has achieved through its assistance to</w:t>
      </w:r>
      <w:r w:rsidRPr="00A37CB9">
        <w:t xml:space="preserve"> developing countries to adapt to climate change and adopt less carbon</w:t>
      </w:r>
      <w:r w:rsidR="000A2084">
        <w:t>-</w:t>
      </w:r>
      <w:r w:rsidRPr="00A37CB9">
        <w:t>intensive development pathways</w:t>
      </w:r>
      <w:r w:rsidR="00F508EE">
        <w:t>—</w:t>
      </w:r>
      <w:r w:rsidRPr="00A37CB9">
        <w:t>in line with Australia’s commitments under the Paris Agreement.</w:t>
      </w:r>
      <w:r w:rsidR="00110D83">
        <w:t xml:space="preserve"> </w:t>
      </w:r>
      <w:r w:rsidRPr="00A37CB9">
        <w:t>Unlike many other OECD donors</w:t>
      </w:r>
      <w:r w:rsidR="000A2084">
        <w:t>,</w:t>
      </w:r>
      <w:r w:rsidRPr="00A37CB9">
        <w:t xml:space="preserve"> DFAT does not produce dedicated climate change </w:t>
      </w:r>
      <w:r w:rsidR="0078248B">
        <w:t>ODA reporting</w:t>
      </w:r>
      <w:r w:rsidR="000A2084">
        <w:t>,</w:t>
      </w:r>
      <w:r w:rsidRPr="00A37CB9">
        <w:t xml:space="preserve"> and the coverage of climate change in the annual report app</w:t>
      </w:r>
      <w:r w:rsidR="0078248B">
        <w:t xml:space="preserve">ears limited. </w:t>
      </w:r>
      <w:r w:rsidRPr="00A37CB9">
        <w:t>Furthermore</w:t>
      </w:r>
      <w:r w:rsidR="009F52C8">
        <w:t>,</w:t>
      </w:r>
      <w:r w:rsidRPr="00A37CB9">
        <w:t xml:space="preserve"> climate change does not appear to be an integral component of the aid program</w:t>
      </w:r>
      <w:r w:rsidR="000A2084">
        <w:t>’</w:t>
      </w:r>
      <w:r w:rsidRPr="00A37CB9">
        <w:t>s</w:t>
      </w:r>
      <w:r w:rsidR="00AE7BA5">
        <w:t xml:space="preserve"> PAF</w:t>
      </w:r>
      <w:r w:rsidR="000A2084">
        <w:t>,</w:t>
      </w:r>
      <w:r w:rsidRPr="00A37CB9">
        <w:t xml:space="preserve"> and there are no corporate</w:t>
      </w:r>
      <w:r w:rsidR="000A2084">
        <w:t>-</w:t>
      </w:r>
      <w:r w:rsidRPr="00A37CB9">
        <w:t xml:space="preserve">wide climate change results indicators that would enable DFAT to track and report on climate change outcomes achieved </w:t>
      </w:r>
      <w:r w:rsidR="007641A6">
        <w:t>or</w:t>
      </w:r>
      <w:r w:rsidRPr="00A37CB9">
        <w:t xml:space="preserve"> track progress on climate change integration over time.</w:t>
      </w:r>
      <w:r w:rsidR="00110D83">
        <w:t xml:space="preserve"> </w:t>
      </w:r>
      <w:r w:rsidRPr="00A37CB9">
        <w:t xml:space="preserve">At present there is a heavily reliance </w:t>
      </w:r>
      <w:r w:rsidR="008E563B">
        <w:t>on</w:t>
      </w:r>
      <w:r w:rsidR="008E563B" w:rsidRPr="00A37CB9">
        <w:t xml:space="preserve"> </w:t>
      </w:r>
      <w:r w:rsidRPr="00A37CB9">
        <w:t>case studies and reporting the success of specific programs and investments</w:t>
      </w:r>
      <w:r>
        <w:t>, rath</w:t>
      </w:r>
      <w:r w:rsidRPr="00A37CB9">
        <w:t>er than a clear picture of the aggregate impact of Australia’s ODA.</w:t>
      </w:r>
    </w:p>
    <w:p w14:paraId="5E919116" w14:textId="77777777" w:rsidR="00A37CB9" w:rsidRPr="00F31C9C" w:rsidRDefault="00A37CB9" w:rsidP="0078248B">
      <w:pPr>
        <w:pStyle w:val="Heading4"/>
      </w:pPr>
      <w:r w:rsidRPr="00F31C9C">
        <w:t>Recommendations</w:t>
      </w:r>
      <w:r w:rsidR="00E04E62" w:rsidRPr="00F31C9C">
        <w:t xml:space="preserve"> for improving organisational capacity for climate change integration</w:t>
      </w:r>
    </w:p>
    <w:p w14:paraId="1177DD2D" w14:textId="77777777" w:rsidR="00F508EE" w:rsidRDefault="00A37CB9" w:rsidP="00A37CB9">
      <w:r w:rsidRPr="00A37CB9">
        <w:t xml:space="preserve">The evaluation team has identified a number of potential actions DFAT may wish to consider </w:t>
      </w:r>
      <w:r w:rsidR="00E04E62">
        <w:t xml:space="preserve">in terms of how it organises and resources itself to </w:t>
      </w:r>
      <w:r w:rsidRPr="00A37CB9">
        <w:t>facilitate the climate change integration process</w:t>
      </w:r>
      <w:r w:rsidR="00E243A1">
        <w:t xml:space="preserve"> </w:t>
      </w:r>
      <w:r w:rsidR="0042742F">
        <w:t>within the current set of parameters</w:t>
      </w:r>
      <w:r w:rsidR="009F52C8">
        <w:t xml:space="preserve"> it is working to</w:t>
      </w:r>
      <w:r w:rsidR="0042742F">
        <w:t>.</w:t>
      </w:r>
    </w:p>
    <w:p w14:paraId="32C24E76" w14:textId="6E954AED" w:rsidR="00F31C9C" w:rsidRPr="00885EDF" w:rsidRDefault="00FD7AC2" w:rsidP="00AF5EBB">
      <w:pPr>
        <w:pStyle w:val="ListParagraph"/>
        <w:numPr>
          <w:ilvl w:val="0"/>
          <w:numId w:val="14"/>
        </w:numPr>
        <w:spacing w:after="0"/>
      </w:pPr>
      <w:r w:rsidRPr="00885EDF">
        <w:rPr>
          <w:b/>
        </w:rPr>
        <w:t xml:space="preserve">Sustainability and Climate Change Branch should engage with other divisions within DFAT to </w:t>
      </w:r>
      <w:r>
        <w:rPr>
          <w:b/>
        </w:rPr>
        <w:t>further develop</w:t>
      </w:r>
      <w:r w:rsidRPr="00885EDF">
        <w:rPr>
          <w:b/>
        </w:rPr>
        <w:t xml:space="preserve"> a set of program management </w:t>
      </w:r>
      <w:r>
        <w:rPr>
          <w:b/>
        </w:rPr>
        <w:t xml:space="preserve">practices </w:t>
      </w:r>
      <w:r w:rsidRPr="00885EDF">
        <w:rPr>
          <w:b/>
        </w:rPr>
        <w:t>that are fit</w:t>
      </w:r>
      <w:r w:rsidR="00044019">
        <w:rPr>
          <w:b/>
        </w:rPr>
        <w:t>-</w:t>
      </w:r>
      <w:r w:rsidRPr="00885EDF">
        <w:rPr>
          <w:b/>
        </w:rPr>
        <w:t>for</w:t>
      </w:r>
      <w:r w:rsidR="00044019">
        <w:rPr>
          <w:b/>
        </w:rPr>
        <w:t>-</w:t>
      </w:r>
      <w:r w:rsidRPr="00885EDF">
        <w:rPr>
          <w:b/>
        </w:rPr>
        <w:t>purpose for the demands of the forthcoming climate change</w:t>
      </w:r>
      <w:r>
        <w:rPr>
          <w:b/>
        </w:rPr>
        <w:t xml:space="preserve"> and development </w:t>
      </w:r>
      <w:r w:rsidRPr="00885EDF">
        <w:rPr>
          <w:b/>
        </w:rPr>
        <w:t>strategy</w:t>
      </w:r>
      <w:r>
        <w:rPr>
          <w:b/>
        </w:rPr>
        <w:t xml:space="preserve">, integration and implementation plan. </w:t>
      </w:r>
      <w:r w:rsidR="00F31C9C" w:rsidRPr="00885EDF">
        <w:t xml:space="preserve">This </w:t>
      </w:r>
      <w:r w:rsidR="00F31C9C">
        <w:t xml:space="preserve">process </w:t>
      </w:r>
      <w:r w:rsidR="00F31C9C" w:rsidRPr="00885EDF">
        <w:t>should address:</w:t>
      </w:r>
    </w:p>
    <w:p w14:paraId="6348DBDB" w14:textId="77777777" w:rsidR="00F31C9C" w:rsidRPr="00885EDF" w:rsidRDefault="00F31C9C" w:rsidP="00AF5EBB">
      <w:pPr>
        <w:numPr>
          <w:ilvl w:val="0"/>
          <w:numId w:val="5"/>
        </w:numPr>
        <w:tabs>
          <w:tab w:val="clear" w:pos="992"/>
          <w:tab w:val="clear" w:pos="1418"/>
        </w:tabs>
        <w:spacing w:after="0" w:line="276" w:lineRule="auto"/>
        <w:ind w:left="1418"/>
        <w:contextualSpacing/>
        <w:rPr>
          <w:b/>
          <w:color w:val="auto"/>
          <w:sz w:val="22"/>
          <w:lang w:val="en-GB"/>
        </w:rPr>
      </w:pPr>
      <w:r>
        <w:rPr>
          <w:color w:val="auto"/>
          <w:sz w:val="22"/>
          <w:lang w:val="en-GB"/>
        </w:rPr>
        <w:t>d</w:t>
      </w:r>
      <w:r w:rsidRPr="00885EDF">
        <w:rPr>
          <w:color w:val="auto"/>
          <w:sz w:val="22"/>
          <w:lang w:val="en-GB"/>
        </w:rPr>
        <w:t>eveloping and implementing mandatory climate change screening procedures (across the whole program cycle) to ensure climate change considerations are embodied in aid investments</w:t>
      </w:r>
      <w:r>
        <w:rPr>
          <w:color w:val="auto"/>
          <w:sz w:val="22"/>
          <w:lang w:val="en-GB"/>
        </w:rPr>
        <w:t xml:space="preserve"> with an early focus on priority sectors. This should include </w:t>
      </w:r>
      <w:r w:rsidRPr="00885EDF">
        <w:rPr>
          <w:color w:val="auto"/>
          <w:sz w:val="22"/>
          <w:lang w:val="en-GB"/>
        </w:rPr>
        <w:t>establishing processes within AidWorks to tag and track climate change finance flows in a more robust and systematic way</w:t>
      </w:r>
      <w:r>
        <w:rPr>
          <w:color w:val="auto"/>
          <w:sz w:val="22"/>
          <w:lang w:val="en-GB"/>
        </w:rPr>
        <w:t>.</w:t>
      </w:r>
    </w:p>
    <w:p w14:paraId="7D275C56" w14:textId="52C626BA" w:rsidR="00F31C9C" w:rsidRPr="00885EDF" w:rsidRDefault="00F31C9C" w:rsidP="00AF5EBB">
      <w:pPr>
        <w:pStyle w:val="ListParagraph"/>
        <w:numPr>
          <w:ilvl w:val="0"/>
          <w:numId w:val="5"/>
        </w:numPr>
        <w:spacing w:after="100" w:afterAutospacing="1"/>
        <w:ind w:left="1418"/>
      </w:pPr>
      <w:r w:rsidRPr="00885EDF">
        <w:t>establishing a stronger technical support capability, supplemented by greater use of external technical assistance at program and investment level</w:t>
      </w:r>
      <w:r w:rsidR="000A37D0">
        <w:t>s</w:t>
      </w:r>
      <w:r>
        <w:t xml:space="preserve">. </w:t>
      </w:r>
      <w:r w:rsidR="005F05A2">
        <w:t>Ensuring e</w:t>
      </w:r>
      <w:r w:rsidRPr="00885EDF">
        <w:t xml:space="preserve">ffective </w:t>
      </w:r>
      <w:r>
        <w:t xml:space="preserve">programming </w:t>
      </w:r>
      <w:r w:rsidR="005F05A2">
        <w:t xml:space="preserve">with </w:t>
      </w:r>
      <w:r w:rsidRPr="00885EDF">
        <w:t xml:space="preserve">a balanced mix of internal and external expertise </w:t>
      </w:r>
      <w:r>
        <w:t>to provide support</w:t>
      </w:r>
      <w:r w:rsidRPr="00885EDF">
        <w:t xml:space="preserve"> and advice during </w:t>
      </w:r>
      <w:r>
        <w:t xml:space="preserve">design, </w:t>
      </w:r>
      <w:r w:rsidRPr="00885EDF">
        <w:t>implementation</w:t>
      </w:r>
      <w:r w:rsidR="000A37D0">
        <w:t xml:space="preserve"> and</w:t>
      </w:r>
      <w:r w:rsidRPr="00885EDF">
        <w:t xml:space="preserve"> </w:t>
      </w:r>
      <w:r w:rsidR="00DC4E78">
        <w:t>M&amp;E</w:t>
      </w:r>
      <w:r>
        <w:t>.</w:t>
      </w:r>
      <w:r w:rsidRPr="00885EDF">
        <w:t xml:space="preserve"> </w:t>
      </w:r>
    </w:p>
    <w:p w14:paraId="6A0E5224" w14:textId="2541E15B" w:rsidR="00F31C9C" w:rsidRPr="00AA0EA1" w:rsidRDefault="00F31C9C" w:rsidP="00AF5EBB">
      <w:pPr>
        <w:pStyle w:val="ListParagraph"/>
        <w:numPr>
          <w:ilvl w:val="0"/>
          <w:numId w:val="5"/>
        </w:numPr>
        <w:spacing w:after="100" w:afterAutospacing="1"/>
        <w:ind w:left="1418"/>
      </w:pPr>
      <w:r w:rsidRPr="00885EDF">
        <w:t>increasing the level of climate change training and awareness across DFAT and introducing climate change as a key component of induction and pre-posting training</w:t>
      </w:r>
      <w:r>
        <w:t xml:space="preserve">. </w:t>
      </w:r>
      <w:r w:rsidRPr="0078248B">
        <w:t>Focus</w:t>
      </w:r>
      <w:r w:rsidR="005F05A2">
        <w:t>ing</w:t>
      </w:r>
      <w:r w:rsidRPr="0078248B">
        <w:t xml:space="preserve"> initially on </w:t>
      </w:r>
      <w:r w:rsidRPr="0078248B">
        <w:lastRenderedPageBreak/>
        <w:t>actions that will support the emergence of strong and visible leadership at different levels</w:t>
      </w:r>
      <w:r>
        <w:t>,</w:t>
      </w:r>
      <w:r w:rsidRPr="0078248B">
        <w:t xml:space="preserve"> and </w:t>
      </w:r>
      <w:r>
        <w:t>on changing parts of</w:t>
      </w:r>
      <w:r w:rsidRPr="0078248B">
        <w:t xml:space="preserve"> the DFAT system </w:t>
      </w:r>
      <w:r>
        <w:t xml:space="preserve">key to driving </w:t>
      </w:r>
      <w:r w:rsidRPr="0078248B">
        <w:t xml:space="preserve">integration. </w:t>
      </w:r>
      <w:r w:rsidR="000A37D0">
        <w:t>Pay</w:t>
      </w:r>
      <w:r w:rsidR="005F05A2">
        <w:t>ing</w:t>
      </w:r>
      <w:r w:rsidR="000A37D0">
        <w:t xml:space="preserve"> p</w:t>
      </w:r>
      <w:r w:rsidRPr="0078248B">
        <w:t xml:space="preserve">articular attention to </w:t>
      </w:r>
      <w:r>
        <w:t xml:space="preserve">supporting </w:t>
      </w:r>
      <w:r w:rsidRPr="0078248B">
        <w:t>Posts</w:t>
      </w:r>
      <w:r>
        <w:t>,</w:t>
      </w:r>
      <w:r w:rsidRPr="0078248B">
        <w:t xml:space="preserve"> where much of the control over the agenda and resources for supporting climate change action now lies</w:t>
      </w:r>
      <w:r>
        <w:t xml:space="preserve">. </w:t>
      </w:r>
    </w:p>
    <w:p w14:paraId="42721581" w14:textId="6B6F1687" w:rsidR="00F31C9C" w:rsidRPr="00F31C9C" w:rsidRDefault="00F31C9C" w:rsidP="00AF5EBB">
      <w:pPr>
        <w:numPr>
          <w:ilvl w:val="0"/>
          <w:numId w:val="14"/>
        </w:numPr>
        <w:tabs>
          <w:tab w:val="clear" w:pos="992"/>
          <w:tab w:val="clear" w:pos="1418"/>
        </w:tabs>
        <w:spacing w:after="0" w:line="276" w:lineRule="auto"/>
        <w:contextualSpacing/>
        <w:rPr>
          <w:color w:val="auto"/>
        </w:rPr>
      </w:pPr>
      <w:r w:rsidRPr="00F31C9C">
        <w:rPr>
          <w:b/>
          <w:color w:val="auto"/>
        </w:rPr>
        <w:t>DFAT should strengthen and expand its whole-of-aid performance monitoring and reporting systems to enable more effective and accurate tracking of climate change outcomes</w:t>
      </w:r>
      <w:r w:rsidRPr="00F31C9C">
        <w:rPr>
          <w:color w:val="auto"/>
        </w:rPr>
        <w:t>. Immediate steps to be taken are:</w:t>
      </w:r>
    </w:p>
    <w:p w14:paraId="2DAFDB51" w14:textId="2CAE9438" w:rsidR="00F31C9C" w:rsidRPr="00885EDF" w:rsidRDefault="00F31C9C" w:rsidP="00AF5EBB">
      <w:pPr>
        <w:numPr>
          <w:ilvl w:val="0"/>
          <w:numId w:val="6"/>
        </w:numPr>
        <w:tabs>
          <w:tab w:val="clear" w:pos="992"/>
          <w:tab w:val="clear" w:pos="1418"/>
        </w:tabs>
        <w:spacing w:after="0" w:line="276" w:lineRule="auto"/>
        <w:ind w:left="1418"/>
        <w:contextualSpacing/>
        <w:rPr>
          <w:color w:val="auto"/>
          <w:sz w:val="22"/>
          <w:lang w:val="en-GB"/>
        </w:rPr>
      </w:pPr>
      <w:r w:rsidRPr="00885EDF">
        <w:rPr>
          <w:color w:val="auto"/>
          <w:sz w:val="22"/>
          <w:lang w:val="en-GB"/>
        </w:rPr>
        <w:t xml:space="preserve">climate change to form an integral part of DFAT’s </w:t>
      </w:r>
      <w:r>
        <w:rPr>
          <w:color w:val="auto"/>
          <w:sz w:val="22"/>
          <w:lang w:val="en-GB"/>
        </w:rPr>
        <w:t>aid</w:t>
      </w:r>
      <w:r w:rsidRPr="00885EDF">
        <w:rPr>
          <w:color w:val="auto"/>
          <w:sz w:val="22"/>
          <w:lang w:val="en-GB"/>
        </w:rPr>
        <w:t xml:space="preserve"> performance monitoring framework. It is recommended that DFAT not establish a separate climate change monitoring and reporting system, but rather integrate climate change as a core element of </w:t>
      </w:r>
      <w:r w:rsidR="005F05A2">
        <w:rPr>
          <w:color w:val="auto"/>
          <w:sz w:val="22"/>
          <w:lang w:val="en-GB"/>
        </w:rPr>
        <w:t>its</w:t>
      </w:r>
      <w:r w:rsidR="005F05A2" w:rsidRPr="00885EDF">
        <w:rPr>
          <w:color w:val="auto"/>
          <w:sz w:val="22"/>
          <w:lang w:val="en-GB"/>
        </w:rPr>
        <w:t xml:space="preserve"> </w:t>
      </w:r>
      <w:r w:rsidRPr="00885EDF">
        <w:rPr>
          <w:color w:val="auto"/>
          <w:sz w:val="22"/>
          <w:lang w:val="en-GB"/>
        </w:rPr>
        <w:t>existing monitoring systems</w:t>
      </w:r>
      <w:r>
        <w:rPr>
          <w:color w:val="auto"/>
          <w:sz w:val="22"/>
          <w:lang w:val="en-GB"/>
        </w:rPr>
        <w:t>.</w:t>
      </w:r>
    </w:p>
    <w:p w14:paraId="4E7D8A04" w14:textId="5DB00DCE" w:rsidR="00F31C9C" w:rsidRPr="00885EDF" w:rsidRDefault="00F31C9C" w:rsidP="00AF5EBB">
      <w:pPr>
        <w:pStyle w:val="ListParagraph"/>
        <w:numPr>
          <w:ilvl w:val="0"/>
          <w:numId w:val="6"/>
        </w:numPr>
        <w:spacing w:after="0" w:line="259" w:lineRule="auto"/>
        <w:ind w:left="1418"/>
        <w:rPr>
          <w:b/>
        </w:rPr>
      </w:pPr>
      <w:r w:rsidRPr="00885EDF">
        <w:t xml:space="preserve">establish a clear set of </w:t>
      </w:r>
      <w:r>
        <w:t>high</w:t>
      </w:r>
      <w:r w:rsidR="006F3B20">
        <w:t>-</w:t>
      </w:r>
      <w:r w:rsidRPr="00885EDF">
        <w:t>level results indicators that program managers can report on and against</w:t>
      </w:r>
      <w:r w:rsidR="005F05A2">
        <w:t xml:space="preserve"> to assess</w:t>
      </w:r>
      <w:r w:rsidRPr="00885EDF">
        <w:t xml:space="preserve"> DFAT’s progress with climate change integration</w:t>
      </w:r>
      <w:r w:rsidRPr="00885EDF">
        <w:rPr>
          <w:b/>
        </w:rPr>
        <w:t xml:space="preserve">. </w:t>
      </w:r>
      <w:r w:rsidRPr="00885EDF">
        <w:t xml:space="preserve">DFAT should consider adopting similar </w:t>
      </w:r>
      <w:r>
        <w:t>high</w:t>
      </w:r>
      <w:r w:rsidR="00E50402">
        <w:t>-</w:t>
      </w:r>
      <w:r w:rsidRPr="00885EDF">
        <w:t xml:space="preserve">level mitigation and adaptation indicators </w:t>
      </w:r>
      <w:r>
        <w:t xml:space="preserve">to those </w:t>
      </w:r>
      <w:r w:rsidRPr="00885EDF">
        <w:t>used by other OECD donors.</w:t>
      </w:r>
    </w:p>
    <w:p w14:paraId="4AAF8317" w14:textId="77777777" w:rsidR="00CA055E" w:rsidRPr="00360027" w:rsidRDefault="00CA055E" w:rsidP="00AF5EBB">
      <w:pPr>
        <w:numPr>
          <w:ilvl w:val="0"/>
          <w:numId w:val="6"/>
        </w:numPr>
        <w:tabs>
          <w:tab w:val="clear" w:pos="992"/>
          <w:tab w:val="clear" w:pos="1418"/>
        </w:tabs>
        <w:spacing w:line="276" w:lineRule="auto"/>
        <w:contextualSpacing/>
        <w:rPr>
          <w:color w:val="auto"/>
          <w:sz w:val="22"/>
          <w:lang w:val="en-GB"/>
        </w:rPr>
      </w:pPr>
      <w:r w:rsidRPr="00360027">
        <w:rPr>
          <w:rFonts w:eastAsia="SimSun"/>
          <w:spacing w:val="2"/>
          <w:sz w:val="38"/>
          <w:szCs w:val="26"/>
        </w:rPr>
        <w:br w:type="page"/>
      </w:r>
    </w:p>
    <w:p w14:paraId="4A44E7FD" w14:textId="77777777" w:rsidR="0008388F" w:rsidRDefault="001907DA" w:rsidP="00360027">
      <w:pPr>
        <w:pStyle w:val="Heading1"/>
        <w:spacing w:before="240"/>
      </w:pPr>
      <w:bookmarkStart w:id="99" w:name="_Toc510771939"/>
      <w:r w:rsidRPr="00AA05B7">
        <w:lastRenderedPageBreak/>
        <w:t xml:space="preserve">5.0 </w:t>
      </w:r>
      <w:r w:rsidR="0078169B">
        <w:t>destination</w:t>
      </w:r>
      <w:r w:rsidR="00064516">
        <w:t xml:space="preserve"> setting</w:t>
      </w:r>
      <w:bookmarkEnd w:id="99"/>
    </w:p>
    <w:p w14:paraId="5084BE8F" w14:textId="28FE46F9" w:rsidR="001A589D" w:rsidRDefault="001A589D" w:rsidP="001A589D">
      <w:r>
        <w:t xml:space="preserve">The final section of the report reflects the formative nature of the evaluation. </w:t>
      </w:r>
      <w:r w:rsidR="00100726">
        <w:t xml:space="preserve">It situates the Australian experience on climate change investments and the early stage reached on climate change integration within </w:t>
      </w:r>
      <w:r w:rsidR="005855E3">
        <w:t xml:space="preserve">a </w:t>
      </w:r>
      <w:r w:rsidR="00100726">
        <w:t xml:space="preserve">bigger picture of </w:t>
      </w:r>
      <w:r w:rsidR="000E0586">
        <w:t xml:space="preserve">evolving </w:t>
      </w:r>
      <w:r w:rsidR="00100726">
        <w:t xml:space="preserve">international </w:t>
      </w:r>
      <w:r w:rsidR="0029652E">
        <w:t>efforts to support</w:t>
      </w:r>
      <w:r w:rsidR="002135B4">
        <w:t xml:space="preserve"> developing countries on climate action</w:t>
      </w:r>
      <w:r w:rsidR="00100726">
        <w:t>. From this analysis</w:t>
      </w:r>
      <w:r w:rsidR="00E50402">
        <w:t>,</w:t>
      </w:r>
      <w:r w:rsidR="00100726">
        <w:t xml:space="preserve"> </w:t>
      </w:r>
      <w:r w:rsidR="005855E3">
        <w:t xml:space="preserve">three </w:t>
      </w:r>
      <w:r w:rsidR="00100726">
        <w:t xml:space="preserve">strategic recommendations </w:t>
      </w:r>
      <w:r w:rsidR="00064516">
        <w:t>for DFAT emerge.</w:t>
      </w:r>
    </w:p>
    <w:p w14:paraId="0F8F5223" w14:textId="77777777" w:rsidR="00F508EE" w:rsidRDefault="0008388F" w:rsidP="00AA05B7">
      <w:pPr>
        <w:pStyle w:val="Heading2"/>
        <w:numPr>
          <w:ilvl w:val="0"/>
          <w:numId w:val="0"/>
        </w:numPr>
        <w:ind w:left="432" w:hanging="432"/>
      </w:pPr>
      <w:bookmarkStart w:id="100" w:name="_Toc510771940"/>
      <w:r w:rsidRPr="00AA05B7">
        <w:t xml:space="preserve">5.1 </w:t>
      </w:r>
      <w:r w:rsidR="00633917">
        <w:t xml:space="preserve">Evolving </w:t>
      </w:r>
      <w:r w:rsidR="0042742F">
        <w:t xml:space="preserve">international </w:t>
      </w:r>
      <w:r w:rsidR="00633917">
        <w:t>c</w:t>
      </w:r>
      <w:r w:rsidR="000E0586">
        <w:t>ontext</w:t>
      </w:r>
      <w:bookmarkEnd w:id="100"/>
    </w:p>
    <w:p w14:paraId="084EC88F" w14:textId="5BCE2C3C" w:rsidR="00F508EE" w:rsidRDefault="0014224E" w:rsidP="00FE41F2">
      <w:r w:rsidRPr="001C35C4">
        <w:t xml:space="preserve">Australia is committed to tackling </w:t>
      </w:r>
      <w:r w:rsidR="00FE59FE">
        <w:t>c</w:t>
      </w:r>
      <w:r w:rsidRPr="001C35C4">
        <w:t xml:space="preserve">limate </w:t>
      </w:r>
      <w:r w:rsidR="00FE59FE">
        <w:t>c</w:t>
      </w:r>
      <w:r w:rsidRPr="001C35C4">
        <w:t>hange through its development assistance efforts.</w:t>
      </w:r>
      <w:r w:rsidR="00110D83">
        <w:t xml:space="preserve"> </w:t>
      </w:r>
      <w:r w:rsidRPr="001C35C4">
        <w:t xml:space="preserve">At the UNFCCC in 2015, Prime Minister Turnbull announced at </w:t>
      </w:r>
      <w:r w:rsidRPr="001C35C4">
        <w:rPr>
          <w:lang w:val="en-US"/>
        </w:rPr>
        <w:t xml:space="preserve">least </w:t>
      </w:r>
      <w:r w:rsidR="00E50402">
        <w:rPr>
          <w:lang w:val="en-US"/>
        </w:rPr>
        <w:t>$</w:t>
      </w:r>
      <w:r w:rsidRPr="001C35C4">
        <w:rPr>
          <w:lang w:val="en-US"/>
        </w:rPr>
        <w:t xml:space="preserve">1 billion to build climate change resilience and reduce emissions in developing countries over the next five years. This includes an existing </w:t>
      </w:r>
      <w:r w:rsidR="00E50402">
        <w:rPr>
          <w:lang w:val="en-US"/>
        </w:rPr>
        <w:t>$</w:t>
      </w:r>
      <w:r w:rsidRPr="001C35C4">
        <w:rPr>
          <w:lang w:val="en-US"/>
        </w:rPr>
        <w:t>200 million commitment over four years to the G</w:t>
      </w:r>
      <w:r w:rsidR="00695DE5">
        <w:rPr>
          <w:lang w:val="en-US"/>
        </w:rPr>
        <w:t>reen Climate Fund</w:t>
      </w:r>
      <w:r w:rsidRPr="001C35C4">
        <w:rPr>
          <w:lang w:val="en-US"/>
        </w:rPr>
        <w:t xml:space="preserve"> </w:t>
      </w:r>
      <w:r w:rsidRPr="001C35C4">
        <w:t xml:space="preserve">and Australia’s </w:t>
      </w:r>
      <w:r w:rsidR="00E50402">
        <w:t>$</w:t>
      </w:r>
      <w:r w:rsidR="004C5FAD" w:rsidRPr="001C35C4">
        <w:t>300</w:t>
      </w:r>
      <w:r w:rsidR="00853C16">
        <w:t xml:space="preserve"> </w:t>
      </w:r>
      <w:r w:rsidR="004C5FAD" w:rsidRPr="001C35C4">
        <w:t>m</w:t>
      </w:r>
      <w:r w:rsidR="00853C16">
        <w:t>illion</w:t>
      </w:r>
      <w:r w:rsidR="004C5FAD" w:rsidRPr="001C35C4">
        <w:t xml:space="preserve"> </w:t>
      </w:r>
      <w:r w:rsidRPr="001C35C4">
        <w:t xml:space="preserve">pledge </w:t>
      </w:r>
      <w:r w:rsidR="004C5FAD" w:rsidRPr="001C35C4">
        <w:t xml:space="preserve">over four years </w:t>
      </w:r>
      <w:r w:rsidRPr="001C35C4">
        <w:t xml:space="preserve">to increase investment on climate change resilience in the Pacific. </w:t>
      </w:r>
      <w:r w:rsidR="004C5FAD" w:rsidRPr="001C35C4">
        <w:t xml:space="preserve">Under UNFCCC, </w:t>
      </w:r>
      <w:r w:rsidRPr="001C35C4">
        <w:t xml:space="preserve">Australia also has commitments </w:t>
      </w:r>
      <w:r w:rsidR="00AA27E5">
        <w:t xml:space="preserve">to </w:t>
      </w:r>
      <w:r w:rsidR="004C5FAD" w:rsidRPr="001C35C4">
        <w:t xml:space="preserve">build </w:t>
      </w:r>
      <w:r w:rsidRPr="001C35C4">
        <w:t xml:space="preserve">capacity and </w:t>
      </w:r>
      <w:r w:rsidR="004C5FAD" w:rsidRPr="001C35C4">
        <w:t xml:space="preserve">transfer </w:t>
      </w:r>
      <w:r w:rsidRPr="001C35C4">
        <w:t>technology to less advanced countries, to which other Australian government agencies could make a substantial contribution.</w:t>
      </w:r>
    </w:p>
    <w:p w14:paraId="5170C022" w14:textId="5FC456F9" w:rsidR="005041CE" w:rsidRPr="001C35C4" w:rsidRDefault="005041CE" w:rsidP="00FE41F2">
      <w:r w:rsidRPr="001C35C4">
        <w:t>Combat</w:t>
      </w:r>
      <w:r w:rsidR="00F0034F">
        <w:t>ing</w:t>
      </w:r>
      <w:r w:rsidRPr="001C35C4">
        <w:t xml:space="preserve"> climate change lies at the core of the S</w:t>
      </w:r>
      <w:r w:rsidR="005F05A2">
        <w:t xml:space="preserve">DGs, </w:t>
      </w:r>
      <w:r w:rsidRPr="001C35C4">
        <w:t xml:space="preserve">both as a single </w:t>
      </w:r>
      <w:r w:rsidR="00E52DD6">
        <w:t>g</w:t>
      </w:r>
      <w:r w:rsidRPr="001C35C4">
        <w:t>oal (SDG 13</w:t>
      </w:r>
      <w:r w:rsidR="00E52DD6">
        <w:t xml:space="preserve">: </w:t>
      </w:r>
      <w:r w:rsidR="00F508EE" w:rsidRPr="00D04A94">
        <w:t>Tak</w:t>
      </w:r>
      <w:r w:rsidR="00E52DD6" w:rsidRPr="00D04A94">
        <w:t>e</w:t>
      </w:r>
      <w:r w:rsidR="00F508EE" w:rsidRPr="00D04A94">
        <w:t xml:space="preserve"> urgent action to combat climate change</w:t>
      </w:r>
      <w:r w:rsidR="00E52DD6" w:rsidRPr="00D04A94">
        <w:t xml:space="preserve"> and its impacts</w:t>
      </w:r>
      <w:r w:rsidRPr="001C35C4">
        <w:t>)</w:t>
      </w:r>
      <w:r w:rsidR="005F05A2">
        <w:t xml:space="preserve"> </w:t>
      </w:r>
      <w:r w:rsidRPr="001C35C4">
        <w:t>and as a critical factor in achieving seven of the other SDGs.</w:t>
      </w:r>
      <w:r w:rsidR="00110D83">
        <w:t xml:space="preserve"> </w:t>
      </w:r>
      <w:r w:rsidRPr="001C35C4">
        <w:t xml:space="preserve">Australia </w:t>
      </w:r>
      <w:r w:rsidR="00B2580C">
        <w:t>launched</w:t>
      </w:r>
      <w:r w:rsidR="00B2580C" w:rsidRPr="00884687">
        <w:t xml:space="preserve"> its first Voluntary National Review of progress against the goals in </w:t>
      </w:r>
      <w:r w:rsidR="00B2580C">
        <w:t xml:space="preserve">June </w:t>
      </w:r>
      <w:r w:rsidR="00B2580C" w:rsidRPr="00884687">
        <w:t>2018</w:t>
      </w:r>
      <w:r w:rsidR="005F05A2">
        <w:t>. T</w:t>
      </w:r>
      <w:r w:rsidRPr="001C35C4">
        <w:t>his includes assessing efforts within Australia, and where Australia has contributed to the efforts of other countries.</w:t>
      </w:r>
      <w:r w:rsidR="00110D83">
        <w:t xml:space="preserve"> </w:t>
      </w:r>
      <w:r w:rsidRPr="001C35C4">
        <w:t xml:space="preserve">There is </w:t>
      </w:r>
      <w:r w:rsidR="005855E3">
        <w:t xml:space="preserve">a </w:t>
      </w:r>
      <w:r w:rsidRPr="001C35C4">
        <w:t>significant and growing impetus for Australian entities working internationally (businesses, government departments, civil society) to have an aligned and shared game plan to support sustainable growth in Australia and in partner countries.</w:t>
      </w:r>
    </w:p>
    <w:p w14:paraId="6D87BC4E" w14:textId="1B4EE671" w:rsidR="00F508EE" w:rsidRDefault="0029652E" w:rsidP="00FE41F2">
      <w:r>
        <w:t>Australian</w:t>
      </w:r>
      <w:r w:rsidR="0056362F" w:rsidRPr="001C35C4">
        <w:t xml:space="preserve"> agencies working in </w:t>
      </w:r>
      <w:r w:rsidR="00E52DD6">
        <w:t>c</w:t>
      </w:r>
      <w:r w:rsidR="0056362F" w:rsidRPr="001C35C4">
        <w:t xml:space="preserve">limate </w:t>
      </w:r>
      <w:r w:rsidR="00E52DD6">
        <w:t>c</w:t>
      </w:r>
      <w:r w:rsidR="0056362F" w:rsidRPr="001C35C4">
        <w:t>hange have continued to operate in a dynamic domestic and international policy environment. Whil</w:t>
      </w:r>
      <w:r w:rsidR="00E52DD6">
        <w:t>e</w:t>
      </w:r>
      <w:r w:rsidR="0056362F" w:rsidRPr="001C35C4">
        <w:t xml:space="preserve"> there has not been longer</w:t>
      </w:r>
      <w:r w:rsidR="00E52DD6">
        <w:t>-</w:t>
      </w:r>
      <w:r w:rsidR="0056362F" w:rsidRPr="001C35C4">
        <w:t xml:space="preserve">term policy certainty, there is a need </w:t>
      </w:r>
      <w:r w:rsidR="005855E3">
        <w:t xml:space="preserve">for Australian agencies </w:t>
      </w:r>
      <w:r w:rsidR="0056362F" w:rsidRPr="001C35C4">
        <w:t xml:space="preserve">to continue to support </w:t>
      </w:r>
      <w:r>
        <w:t>developing country</w:t>
      </w:r>
      <w:r w:rsidR="005855E3">
        <w:t xml:space="preserve"> p</w:t>
      </w:r>
      <w:r w:rsidR="0056362F" w:rsidRPr="001C35C4">
        <w:t>artners to respond to pressing climate challenges</w:t>
      </w:r>
      <w:r w:rsidR="001D793A" w:rsidRPr="001C35C4">
        <w:t xml:space="preserve">, </w:t>
      </w:r>
      <w:r w:rsidR="00E52DD6">
        <w:t xml:space="preserve">and to </w:t>
      </w:r>
      <w:r w:rsidR="001D793A" w:rsidRPr="001C35C4">
        <w:t xml:space="preserve">help build their capacity </w:t>
      </w:r>
      <w:r w:rsidR="00E52DD6">
        <w:t xml:space="preserve">by </w:t>
      </w:r>
      <w:r w:rsidR="001D793A" w:rsidRPr="001C35C4">
        <w:t xml:space="preserve">drawing </w:t>
      </w:r>
      <w:r w:rsidR="000E0586" w:rsidRPr="001C35C4">
        <w:t>on Australia’s</w:t>
      </w:r>
      <w:r w:rsidR="001D793A" w:rsidRPr="001C35C4">
        <w:t xml:space="preserve"> comparative advantages in climate science and technology</w:t>
      </w:r>
      <w:r w:rsidR="0056362F" w:rsidRPr="001C35C4">
        <w:t>.</w:t>
      </w:r>
      <w:r w:rsidR="00110D83">
        <w:t xml:space="preserve"> </w:t>
      </w:r>
      <w:r>
        <w:t>Developing country p</w:t>
      </w:r>
      <w:r w:rsidR="0056362F" w:rsidRPr="001C35C4">
        <w:t xml:space="preserve">artner priorities are expressed through their INDCs and </w:t>
      </w:r>
      <w:r w:rsidR="00101E5E">
        <w:t>national action plans</w:t>
      </w:r>
      <w:r w:rsidR="0056362F" w:rsidRPr="001C35C4">
        <w:t>.</w:t>
      </w:r>
      <w:r w:rsidR="00110D83">
        <w:t xml:space="preserve"> </w:t>
      </w:r>
      <w:r w:rsidR="0056362F" w:rsidRPr="001C35C4">
        <w:t>Whil</w:t>
      </w:r>
      <w:r w:rsidR="00E52DD6">
        <w:t>e</w:t>
      </w:r>
      <w:r w:rsidR="0056362F" w:rsidRPr="001C35C4">
        <w:t xml:space="preserve"> many countries have INDCs, countries vary in the extent </w:t>
      </w:r>
      <w:r w:rsidR="00E52DD6">
        <w:t xml:space="preserve">to which </w:t>
      </w:r>
      <w:r w:rsidR="005F05A2">
        <w:t>these</w:t>
      </w:r>
      <w:r w:rsidR="0056362F" w:rsidRPr="001C35C4">
        <w:t xml:space="preserve"> have been integrated into national development planning and</w:t>
      </w:r>
      <w:r w:rsidR="00E52DD6">
        <w:t>,</w:t>
      </w:r>
      <w:r w:rsidR="0056362F" w:rsidRPr="001C35C4">
        <w:t xml:space="preserve"> ultimately</w:t>
      </w:r>
      <w:r w:rsidR="00E52DD6">
        <w:t>, how well they are</w:t>
      </w:r>
      <w:r w:rsidR="0056362F" w:rsidRPr="001C35C4">
        <w:t xml:space="preserve"> implemented. Supporting countries, wherever they are in their journey on this process, provide a natural point of alignment for development partners.</w:t>
      </w:r>
    </w:p>
    <w:p w14:paraId="0B4FE204" w14:textId="5405F394" w:rsidR="00F508EE" w:rsidRDefault="005041CE" w:rsidP="00FE41F2">
      <w:r w:rsidRPr="001C35C4">
        <w:rPr>
          <w:lang w:val="en-US"/>
        </w:rPr>
        <w:t>In July 2016</w:t>
      </w:r>
      <w:r w:rsidR="00E52DD6">
        <w:rPr>
          <w:lang w:val="en-US"/>
        </w:rPr>
        <w:t>,</w:t>
      </w:r>
      <w:r w:rsidRPr="001C35C4">
        <w:rPr>
          <w:lang w:val="en-US"/>
        </w:rPr>
        <w:t xml:space="preserve"> the </w:t>
      </w:r>
      <w:r w:rsidR="0056362F" w:rsidRPr="001C35C4">
        <w:rPr>
          <w:lang w:val="en-US"/>
        </w:rPr>
        <w:t xml:space="preserve">DFAT </w:t>
      </w:r>
      <w:r w:rsidRPr="001C35C4">
        <w:rPr>
          <w:lang w:val="en-US"/>
        </w:rPr>
        <w:t xml:space="preserve">Development Policy Committee approved a </w:t>
      </w:r>
      <w:r w:rsidR="0056362F" w:rsidRPr="001C35C4">
        <w:rPr>
          <w:lang w:val="en-US"/>
        </w:rPr>
        <w:t>proposal</w:t>
      </w:r>
      <w:r w:rsidRPr="001C35C4">
        <w:rPr>
          <w:lang w:val="en-US"/>
        </w:rPr>
        <w:t xml:space="preserve"> </w:t>
      </w:r>
      <w:r w:rsidR="0056362F" w:rsidRPr="001C35C4">
        <w:rPr>
          <w:lang w:val="en-US"/>
        </w:rPr>
        <w:t xml:space="preserve">to elevate </w:t>
      </w:r>
      <w:r w:rsidRPr="001C35C4">
        <w:rPr>
          <w:lang w:val="en-US"/>
        </w:rPr>
        <w:t xml:space="preserve">climate change </w:t>
      </w:r>
      <w:r w:rsidR="006B0D7E" w:rsidRPr="006B0D7E">
        <w:rPr>
          <w:lang w:val="en-US"/>
        </w:rPr>
        <w:t>as a priority aid area</w:t>
      </w:r>
      <w:r w:rsidRPr="001C35C4">
        <w:rPr>
          <w:lang w:val="en-US"/>
        </w:rPr>
        <w:t>.</w:t>
      </w:r>
      <w:r w:rsidR="00110D83">
        <w:rPr>
          <w:lang w:val="en-US"/>
        </w:rPr>
        <w:t xml:space="preserve"> </w:t>
      </w:r>
      <w:r w:rsidR="000E0586">
        <w:t xml:space="preserve">The consequence of the </w:t>
      </w:r>
      <w:r w:rsidR="00740CA3">
        <w:t>varied policy</w:t>
      </w:r>
      <w:r w:rsidR="000E0586">
        <w:t xml:space="preserve"> stance </w:t>
      </w:r>
      <w:r w:rsidR="00DB6296">
        <w:t xml:space="preserve">of </w:t>
      </w:r>
      <w:r w:rsidR="000E0586">
        <w:t xml:space="preserve">Australia </w:t>
      </w:r>
      <w:r w:rsidR="00DB6296">
        <w:t xml:space="preserve">in recent years </w:t>
      </w:r>
      <w:r w:rsidR="000E0586">
        <w:t xml:space="preserve">on supporting climate change action is that Australia </w:t>
      </w:r>
      <w:r w:rsidR="00BA4264">
        <w:t xml:space="preserve">has not progressed as far </w:t>
      </w:r>
      <w:r w:rsidR="000E0586">
        <w:t>in comparison to its international peers</w:t>
      </w:r>
      <w:r w:rsidR="00081A05">
        <w:t>.</w:t>
      </w:r>
      <w:r w:rsidR="000E0586">
        <w:t xml:space="preserve"> From 2013</w:t>
      </w:r>
      <w:r w:rsidR="005A7B59">
        <w:t>,</w:t>
      </w:r>
      <w:r w:rsidR="000E0586">
        <w:t xml:space="preserve"> DFAT lost capability and political attention on climate change</w:t>
      </w:r>
      <w:r w:rsidR="005F05A2">
        <w:t>. It</w:t>
      </w:r>
      <w:r w:rsidR="000E0586">
        <w:t xml:space="preserve"> takes time to rebuild from </w:t>
      </w:r>
      <w:r w:rsidR="0029652E">
        <w:t>a lowered</w:t>
      </w:r>
      <w:r w:rsidR="000E0586">
        <w:t xml:space="preserve"> base.</w:t>
      </w:r>
    </w:p>
    <w:p w14:paraId="08867C69" w14:textId="0807B3D3" w:rsidR="00F508EE" w:rsidRDefault="00F508EE" w:rsidP="0008388F">
      <w:pPr>
        <w:jc w:val="center"/>
        <w:rPr>
          <w:noProof/>
        </w:rPr>
      </w:pPr>
    </w:p>
    <w:p w14:paraId="140EE430" w14:textId="3A352520" w:rsidR="00081A05" w:rsidRDefault="00F46A58" w:rsidP="00081A05">
      <w:r>
        <w:lastRenderedPageBreak/>
        <w:t>Australia is developing a strategic approach–</w:t>
      </w:r>
      <w:r w:rsidR="00FE4860">
        <w:t>p</w:t>
      </w:r>
      <w:r>
        <w:t xml:space="preserve">ost Paris–for how it will </w:t>
      </w:r>
      <w:r w:rsidR="00E75988">
        <w:t xml:space="preserve">most effectively </w:t>
      </w:r>
      <w:r w:rsidR="00E75988" w:rsidRPr="00EB6CD3">
        <w:t xml:space="preserve">assist developing countries to </w:t>
      </w:r>
      <w:r>
        <w:t>build resilience</w:t>
      </w:r>
      <w:r w:rsidRPr="00EB6CD3">
        <w:t xml:space="preserve"> </w:t>
      </w:r>
      <w:r w:rsidR="00E75988" w:rsidRPr="00EB6CD3">
        <w:t>to climate change and adopt less carbon</w:t>
      </w:r>
      <w:r w:rsidR="005A7B59">
        <w:t>-</w:t>
      </w:r>
      <w:r w:rsidR="00E75988" w:rsidRPr="00EB6CD3">
        <w:t>intensive development pathways</w:t>
      </w:r>
      <w:r w:rsidR="00E75988">
        <w:t xml:space="preserve">. The direction and ambition </w:t>
      </w:r>
      <w:r w:rsidR="007D597C">
        <w:t xml:space="preserve">the department </w:t>
      </w:r>
      <w:r w:rsidR="00E75988">
        <w:t xml:space="preserve">sets in relation to this will in turn dictate the evolving </w:t>
      </w:r>
      <w:r w:rsidR="00E75988" w:rsidRPr="00EB6CD3">
        <w:t xml:space="preserve">nature </w:t>
      </w:r>
      <w:r w:rsidR="00E75988">
        <w:t xml:space="preserve">and scale </w:t>
      </w:r>
      <w:r w:rsidR="00E75988" w:rsidRPr="00EB6CD3">
        <w:t>of the integration challenge</w:t>
      </w:r>
      <w:r w:rsidR="00E75988">
        <w:t xml:space="preserve"> it faces</w:t>
      </w:r>
      <w:r w:rsidR="007D597C">
        <w:t xml:space="preserve">. </w:t>
      </w:r>
      <w:r>
        <w:t>This will be outlined in the climate change and development strategy, integration and implementation plan expected in 2018.</w:t>
      </w:r>
    </w:p>
    <w:p w14:paraId="2CE26B41" w14:textId="16BDCB30" w:rsidR="00F508EE" w:rsidRDefault="00E75988" w:rsidP="00081A05">
      <w:r>
        <w:rPr>
          <w:szCs w:val="23"/>
        </w:rPr>
        <w:t>Whil</w:t>
      </w:r>
      <w:r w:rsidR="005A7B59">
        <w:rPr>
          <w:szCs w:val="23"/>
        </w:rPr>
        <w:t>e</w:t>
      </w:r>
      <w:r>
        <w:rPr>
          <w:szCs w:val="23"/>
        </w:rPr>
        <w:t xml:space="preserve"> A</w:t>
      </w:r>
      <w:r>
        <w:t xml:space="preserve">ustralia </w:t>
      </w:r>
      <w:r w:rsidR="008701C8">
        <w:t>has not progressed as far as some</w:t>
      </w:r>
      <w:r>
        <w:t xml:space="preserve"> other high-income OECD countries</w:t>
      </w:r>
      <w:r w:rsidR="005A7B59">
        <w:t>,</w:t>
      </w:r>
      <w:r>
        <w:t xml:space="preserve"> it is possible for DFAT to catch up </w:t>
      </w:r>
      <w:r w:rsidR="006E5597">
        <w:t>with those countries that are further progressed</w:t>
      </w:r>
      <w:r>
        <w:t>. There has already been some hard learning by Australia’s peers as they themselves have wrestled with the challenges of integrating climate change into their own practice</w:t>
      </w:r>
      <w:r w:rsidR="005F05A2">
        <w:t>s</w:t>
      </w:r>
      <w:r>
        <w:t xml:space="preserve">. This presents opportunities for DFAT to </w:t>
      </w:r>
      <w:r w:rsidR="00787A5F">
        <w:t>learn from others and accelerate progress,</w:t>
      </w:r>
      <w:r>
        <w:t xml:space="preserve"> </w:t>
      </w:r>
      <w:r w:rsidR="00787A5F">
        <w:t>if</w:t>
      </w:r>
      <w:r>
        <w:t xml:space="preserve"> enabled by strong and visible political leadership.</w:t>
      </w:r>
    </w:p>
    <w:p w14:paraId="05395DF4" w14:textId="77777777" w:rsidR="0008388F" w:rsidRPr="00691CF7" w:rsidRDefault="00830312" w:rsidP="00691CF7">
      <w:pPr>
        <w:pStyle w:val="Heading2"/>
        <w:numPr>
          <w:ilvl w:val="0"/>
          <w:numId w:val="0"/>
        </w:numPr>
        <w:ind w:left="432" w:hanging="432"/>
      </w:pPr>
      <w:bookmarkStart w:id="101" w:name="_Toc510771941"/>
      <w:r w:rsidRPr="00691CF7">
        <w:t xml:space="preserve">5.2 </w:t>
      </w:r>
      <w:r w:rsidRPr="00C44324">
        <w:t xml:space="preserve">Recommendations </w:t>
      </w:r>
      <w:r w:rsidR="0078169B" w:rsidRPr="00C44324">
        <w:t xml:space="preserve">for setting </w:t>
      </w:r>
      <w:r w:rsidR="001A6326" w:rsidRPr="00C44324">
        <w:t xml:space="preserve">and pursuing a long-term </w:t>
      </w:r>
      <w:r w:rsidR="0078169B" w:rsidRPr="00C44324">
        <w:t>strateg</w:t>
      </w:r>
      <w:r w:rsidR="00E67DA4" w:rsidRPr="00C44324">
        <w:t>ic direction</w:t>
      </w:r>
      <w:bookmarkEnd w:id="101"/>
    </w:p>
    <w:p w14:paraId="201C2486" w14:textId="1664CCD7" w:rsidR="00F31C9C" w:rsidRPr="00885EDF" w:rsidRDefault="00F31C9C" w:rsidP="00AF5EBB">
      <w:pPr>
        <w:pStyle w:val="ListParagraph"/>
        <w:numPr>
          <w:ilvl w:val="0"/>
          <w:numId w:val="13"/>
        </w:numPr>
        <w:spacing w:after="0" w:line="240" w:lineRule="auto"/>
      </w:pPr>
      <w:r w:rsidRPr="00885EDF">
        <w:rPr>
          <w:b/>
        </w:rPr>
        <w:t xml:space="preserve">DFAT should </w:t>
      </w:r>
      <w:r w:rsidR="00FD7AC2">
        <w:rPr>
          <w:b/>
        </w:rPr>
        <w:t xml:space="preserve">further </w:t>
      </w:r>
      <w:r w:rsidRPr="00885EDF">
        <w:rPr>
          <w:b/>
        </w:rPr>
        <w:t>increase the profile of climate change in its</w:t>
      </w:r>
      <w:r>
        <w:rPr>
          <w:b/>
        </w:rPr>
        <w:t xml:space="preserve"> overarching aid narrative and </w:t>
      </w:r>
      <w:r w:rsidRPr="00885EDF">
        <w:rPr>
          <w:b/>
        </w:rPr>
        <w:t xml:space="preserve">develop a strategy that clearly articulates its vision, goals and </w:t>
      </w:r>
      <w:r>
        <w:rPr>
          <w:b/>
        </w:rPr>
        <w:t>approach to implementation</w:t>
      </w:r>
      <w:r w:rsidRPr="00885EDF">
        <w:rPr>
          <w:b/>
        </w:rPr>
        <w:t xml:space="preserve"> </w:t>
      </w:r>
      <w:r w:rsidRPr="00885EDF">
        <w:rPr>
          <w:rFonts w:eastAsia="Times New Roman"/>
          <w:b/>
        </w:rPr>
        <w:t>for climate change action across the aid program</w:t>
      </w:r>
      <w:r w:rsidRPr="00885EDF">
        <w:rPr>
          <w:rFonts w:eastAsia="Times New Roman"/>
        </w:rPr>
        <w:t xml:space="preserve">. </w:t>
      </w:r>
      <w:r w:rsidRPr="00885EDF">
        <w:t xml:space="preserve">The </w:t>
      </w:r>
      <w:r>
        <w:t>strategy</w:t>
      </w:r>
      <w:r w:rsidRPr="00885EDF">
        <w:t xml:space="preserve"> should include:</w:t>
      </w:r>
    </w:p>
    <w:p w14:paraId="72B1F0AF" w14:textId="77777777" w:rsidR="00F31C9C" w:rsidRPr="00885EDF" w:rsidRDefault="00F31C9C" w:rsidP="00AF5EBB">
      <w:pPr>
        <w:numPr>
          <w:ilvl w:val="0"/>
          <w:numId w:val="8"/>
        </w:numPr>
        <w:tabs>
          <w:tab w:val="clear" w:pos="992"/>
          <w:tab w:val="clear" w:pos="1418"/>
        </w:tabs>
        <w:spacing w:line="276" w:lineRule="auto"/>
        <w:ind w:left="1418"/>
        <w:contextualSpacing/>
        <w:rPr>
          <w:color w:val="auto"/>
          <w:sz w:val="22"/>
          <w:lang w:val="en-GB"/>
        </w:rPr>
      </w:pPr>
      <w:r w:rsidRPr="00885EDF">
        <w:rPr>
          <w:color w:val="auto"/>
          <w:sz w:val="22"/>
          <w:lang w:val="en-GB"/>
        </w:rPr>
        <w:t>a recognition of the importance of integrating climate change and DRR efforts</w:t>
      </w:r>
    </w:p>
    <w:p w14:paraId="2F6B58C5" w14:textId="77777777" w:rsidR="00F31C9C" w:rsidRPr="00885EDF" w:rsidRDefault="00F31C9C" w:rsidP="00AF5EBB">
      <w:pPr>
        <w:numPr>
          <w:ilvl w:val="0"/>
          <w:numId w:val="8"/>
        </w:numPr>
        <w:tabs>
          <w:tab w:val="clear" w:pos="992"/>
          <w:tab w:val="clear" w:pos="1418"/>
        </w:tabs>
        <w:spacing w:line="276" w:lineRule="auto"/>
        <w:ind w:left="1418"/>
        <w:contextualSpacing/>
        <w:rPr>
          <w:color w:val="auto"/>
          <w:sz w:val="22"/>
          <w:lang w:val="en-GB"/>
        </w:rPr>
      </w:pPr>
      <w:r>
        <w:rPr>
          <w:color w:val="auto"/>
          <w:sz w:val="22"/>
          <w:lang w:val="en-GB"/>
        </w:rPr>
        <w:t>clear identification of sectors likely to benefit most from early mainstreaming efforts</w:t>
      </w:r>
    </w:p>
    <w:p w14:paraId="44394652" w14:textId="77777777" w:rsidR="00F31C9C" w:rsidRPr="00885EDF" w:rsidRDefault="00F31C9C" w:rsidP="00AF5EBB">
      <w:pPr>
        <w:numPr>
          <w:ilvl w:val="0"/>
          <w:numId w:val="8"/>
        </w:numPr>
        <w:tabs>
          <w:tab w:val="clear" w:pos="992"/>
          <w:tab w:val="clear" w:pos="1418"/>
        </w:tabs>
        <w:spacing w:line="276" w:lineRule="auto"/>
        <w:ind w:left="1418"/>
        <w:contextualSpacing/>
        <w:rPr>
          <w:color w:val="auto"/>
          <w:sz w:val="22"/>
          <w:lang w:val="en-GB"/>
        </w:rPr>
      </w:pPr>
      <w:r w:rsidRPr="00885EDF">
        <w:rPr>
          <w:color w:val="auto"/>
          <w:sz w:val="22"/>
          <w:lang w:val="en-GB"/>
        </w:rPr>
        <w:t>overarching corporate-level indicators against which performance towards achieving climate change goals and objectives can be assessed over time</w:t>
      </w:r>
    </w:p>
    <w:p w14:paraId="644B9FF0" w14:textId="4EB1AB3A" w:rsidR="00F31C9C" w:rsidRDefault="00F31C9C" w:rsidP="00AF5EBB">
      <w:pPr>
        <w:numPr>
          <w:ilvl w:val="0"/>
          <w:numId w:val="8"/>
        </w:numPr>
        <w:tabs>
          <w:tab w:val="clear" w:pos="992"/>
          <w:tab w:val="clear" w:pos="1418"/>
        </w:tabs>
        <w:spacing w:after="120" w:line="276" w:lineRule="auto"/>
        <w:ind w:left="1417" w:hanging="357"/>
        <w:contextualSpacing/>
        <w:rPr>
          <w:color w:val="auto"/>
          <w:sz w:val="22"/>
          <w:lang w:val="en-GB"/>
        </w:rPr>
      </w:pPr>
      <w:r>
        <w:rPr>
          <w:color w:val="auto"/>
          <w:sz w:val="22"/>
          <w:lang w:val="en-GB"/>
        </w:rPr>
        <w:t>consideration of</w:t>
      </w:r>
      <w:r w:rsidRPr="00242AA7">
        <w:rPr>
          <w:color w:val="auto"/>
          <w:sz w:val="22"/>
          <w:lang w:val="en-GB"/>
        </w:rPr>
        <w:t xml:space="preserve"> an accompanying public</w:t>
      </w:r>
      <w:r>
        <w:rPr>
          <w:color w:val="auto"/>
          <w:sz w:val="22"/>
          <w:lang w:val="en-GB"/>
        </w:rPr>
        <w:t>,</w:t>
      </w:r>
      <w:r w:rsidRPr="00242AA7">
        <w:rPr>
          <w:color w:val="auto"/>
          <w:sz w:val="22"/>
          <w:lang w:val="en-GB"/>
        </w:rPr>
        <w:t xml:space="preserve"> annual climate change and DRR progress report that clearly identifies what Australia’s ODA investments have achieved in terms of building resilience to climate change (and natural disaster more broadly) and reducing greenhouse gas emissions in partner countries</w:t>
      </w:r>
      <w:r w:rsidRPr="00885EDF">
        <w:rPr>
          <w:color w:val="auto"/>
          <w:sz w:val="22"/>
          <w:lang w:val="en-GB"/>
        </w:rPr>
        <w:t>.</w:t>
      </w:r>
    </w:p>
    <w:p w14:paraId="28871790" w14:textId="4C1581A1" w:rsidR="00F31C9C" w:rsidRDefault="00F31C9C" w:rsidP="00AF5EBB">
      <w:pPr>
        <w:pStyle w:val="ListParagraph"/>
        <w:numPr>
          <w:ilvl w:val="0"/>
          <w:numId w:val="13"/>
        </w:numPr>
        <w:spacing w:after="120"/>
        <w:ind w:left="714" w:hanging="357"/>
        <w:contextualSpacing w:val="0"/>
      </w:pPr>
      <w:r w:rsidRPr="00FD0B84">
        <w:rPr>
          <w:b/>
        </w:rPr>
        <w:t xml:space="preserve">DFAT’s strategy for climate change in the aid program should consider </w:t>
      </w:r>
      <w:r>
        <w:rPr>
          <w:b/>
        </w:rPr>
        <w:t xml:space="preserve">strengthening </w:t>
      </w:r>
      <w:r w:rsidRPr="00FD0B84">
        <w:rPr>
          <w:b/>
        </w:rPr>
        <w:t>whole-of-government engagement</w:t>
      </w:r>
      <w:r w:rsidRPr="00564B98">
        <w:t xml:space="preserve"> (</w:t>
      </w:r>
      <w:r>
        <w:t>that is,</w:t>
      </w:r>
      <w:r w:rsidRPr="00564B98">
        <w:t xml:space="preserve"> </w:t>
      </w:r>
      <w:r>
        <w:t xml:space="preserve">through partnership based on an articulated </w:t>
      </w:r>
      <w:r w:rsidRPr="00564B98">
        <w:t>vision and game plan). In particular</w:t>
      </w:r>
      <w:r>
        <w:t>,</w:t>
      </w:r>
      <w:r w:rsidRPr="00564B98">
        <w:t xml:space="preserve"> </w:t>
      </w:r>
      <w:r w:rsidR="00636397">
        <w:t>the strategy</w:t>
      </w:r>
      <w:r w:rsidR="00636397" w:rsidRPr="00564B98">
        <w:t xml:space="preserve"> </w:t>
      </w:r>
      <w:r w:rsidRPr="00564B98">
        <w:t>should reflect</w:t>
      </w:r>
      <w:r>
        <w:t xml:space="preserve"> c</w:t>
      </w:r>
      <w:r w:rsidRPr="00564B98">
        <w:t xml:space="preserve">ontinuing support </w:t>
      </w:r>
      <w:r w:rsidRPr="00FD0B84">
        <w:t>for Australia’s strong technical, research and policy agencies to build relationships with partner countries which sustain a focus on development outcomes. Co-design of investments (as opposed to subcontracting their implementation), and active engagement</w:t>
      </w:r>
      <w:r w:rsidRPr="005951DE">
        <w:t xml:space="preserve"> of all partners in investment governance is critical</w:t>
      </w:r>
      <w:r>
        <w:t>.</w:t>
      </w:r>
    </w:p>
    <w:p w14:paraId="5998A5D7" w14:textId="77777777" w:rsidR="00636397" w:rsidRPr="00F31C9C" w:rsidRDefault="00636397" w:rsidP="00636397">
      <w:pPr>
        <w:pStyle w:val="ListParagraph"/>
        <w:numPr>
          <w:ilvl w:val="0"/>
          <w:numId w:val="13"/>
        </w:numPr>
        <w:spacing w:after="0"/>
        <w:rPr>
          <w:b/>
        </w:rPr>
      </w:pPr>
      <w:r w:rsidRPr="00F31C9C">
        <w:rPr>
          <w:b/>
        </w:rPr>
        <w:t>DFAT should invest greater effort in informing development partners of Australia’s actions to address climate change, beyond aid, as part of broader diplomatic engagement.</w:t>
      </w:r>
    </w:p>
    <w:p w14:paraId="3D110561" w14:textId="66A3EF64" w:rsidR="00F508EE" w:rsidRDefault="00F508EE" w:rsidP="00E75988">
      <w:pPr>
        <w:tabs>
          <w:tab w:val="clear" w:pos="992"/>
          <w:tab w:val="clear" w:pos="1418"/>
        </w:tabs>
        <w:spacing w:after="0" w:line="240" w:lineRule="auto"/>
        <w:rPr>
          <w:rFonts w:eastAsia="Times New Roman"/>
        </w:rPr>
      </w:pPr>
    </w:p>
    <w:p w14:paraId="1BB8DF55" w14:textId="17F729FF" w:rsidR="00F47DD6" w:rsidRPr="007C1C86" w:rsidRDefault="00F47DD6" w:rsidP="007C1C86">
      <w:pPr>
        <w:pStyle w:val="BodyText"/>
        <w:sectPr w:rsidR="00F47DD6" w:rsidRPr="007C1C86" w:rsidSect="00402448">
          <w:type w:val="continuous"/>
          <w:pgSz w:w="11906" w:h="16838"/>
          <w:pgMar w:top="1152" w:right="850" w:bottom="851" w:left="851" w:header="510" w:footer="510" w:gutter="0"/>
          <w:cols w:space="708"/>
          <w:docGrid w:linePitch="360"/>
        </w:sectPr>
      </w:pPr>
    </w:p>
    <w:p w14:paraId="1E5C874A" w14:textId="77777777" w:rsidR="00325681" w:rsidRDefault="00325681">
      <w:pPr>
        <w:tabs>
          <w:tab w:val="clear" w:pos="992"/>
          <w:tab w:val="clear" w:pos="1418"/>
        </w:tabs>
        <w:spacing w:after="160" w:line="259" w:lineRule="auto"/>
        <w:sectPr w:rsidR="00325681" w:rsidSect="00F47DD6">
          <w:type w:val="continuous"/>
          <w:pgSz w:w="11906" w:h="16838"/>
          <w:pgMar w:top="1152" w:right="850" w:bottom="851" w:left="851" w:header="510" w:footer="510" w:gutter="0"/>
          <w:cols w:space="708"/>
          <w:docGrid w:linePitch="360"/>
        </w:sectPr>
      </w:pPr>
    </w:p>
    <w:p w14:paraId="5EBEF055" w14:textId="701AC8DD" w:rsidR="00325681" w:rsidRDefault="00325681" w:rsidP="00325681">
      <w:pPr>
        <w:pStyle w:val="Heading1"/>
      </w:pPr>
      <w:bookmarkStart w:id="102" w:name="_Toc510771942"/>
      <w:r>
        <w:lastRenderedPageBreak/>
        <w:t xml:space="preserve">Annex </w:t>
      </w:r>
      <w:r w:rsidR="008446E0">
        <w:t>1</w:t>
      </w:r>
      <w:r w:rsidR="00BB0AF4">
        <w:t>—</w:t>
      </w:r>
      <w:r>
        <w:t>Investments in scope</w:t>
      </w:r>
      <w:bookmarkEnd w:id="102"/>
    </w:p>
    <w:p w14:paraId="5E16CD89" w14:textId="77777777" w:rsidR="00E35E72" w:rsidRPr="00E97658" w:rsidRDefault="00E35E72" w:rsidP="00B93A9D">
      <w:pPr>
        <w:pStyle w:val="Heading2"/>
        <w:numPr>
          <w:ilvl w:val="0"/>
          <w:numId w:val="0"/>
        </w:numPr>
      </w:pPr>
      <w:bookmarkStart w:id="103" w:name="_Toc510771943"/>
      <w:r>
        <w:t xml:space="preserve">Vietnam </w:t>
      </w:r>
      <w:r w:rsidR="00E77E6A">
        <w:t>c</w:t>
      </w:r>
      <w:r>
        <w:t>ase</w:t>
      </w:r>
      <w:bookmarkEnd w:id="103"/>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vietnam case"/>
        <w:tblDescription w:val="Table lists Vietnam investments included in the evaluation."/>
      </w:tblPr>
      <w:tblGrid>
        <w:gridCol w:w="1236"/>
        <w:gridCol w:w="4769"/>
        <w:gridCol w:w="1660"/>
        <w:gridCol w:w="1841"/>
        <w:gridCol w:w="1770"/>
        <w:gridCol w:w="1841"/>
        <w:gridCol w:w="1614"/>
      </w:tblGrid>
      <w:tr w:rsidR="003E151C" w:rsidRPr="00E968E5" w14:paraId="70472BA6" w14:textId="77777777" w:rsidTr="00E968E5">
        <w:tc>
          <w:tcPr>
            <w:tcW w:w="1236" w:type="dxa"/>
            <w:tcBorders>
              <w:top w:val="nil"/>
              <w:left w:val="nil"/>
              <w:bottom w:val="single" w:sz="12" w:space="0" w:color="FFFFFF"/>
              <w:right w:val="nil"/>
              <w:tl2br w:val="nil"/>
              <w:tr2bl w:val="nil"/>
            </w:tcBorders>
            <w:shd w:val="clear" w:color="auto" w:fill="D9D9D9"/>
          </w:tcPr>
          <w:p w14:paraId="2BD7E6C0" w14:textId="52AAC24E" w:rsidR="00E35E72" w:rsidRPr="00E968E5" w:rsidRDefault="00E35E72" w:rsidP="00E968E5">
            <w:pPr>
              <w:spacing w:after="0"/>
              <w:rPr>
                <w:sz w:val="19"/>
                <w:szCs w:val="19"/>
              </w:rPr>
            </w:pPr>
            <w:r w:rsidRPr="00E968E5">
              <w:rPr>
                <w:sz w:val="19"/>
                <w:szCs w:val="19"/>
              </w:rPr>
              <w:t xml:space="preserve">Investment </w:t>
            </w:r>
            <w:r w:rsidR="00D07ECB">
              <w:rPr>
                <w:sz w:val="19"/>
                <w:szCs w:val="19"/>
              </w:rPr>
              <w:t>n</w:t>
            </w:r>
            <w:r w:rsidRPr="00E968E5">
              <w:rPr>
                <w:sz w:val="19"/>
                <w:szCs w:val="19"/>
              </w:rPr>
              <w:t>umber</w:t>
            </w:r>
          </w:p>
        </w:tc>
        <w:tc>
          <w:tcPr>
            <w:tcW w:w="4769" w:type="dxa"/>
            <w:tcBorders>
              <w:top w:val="nil"/>
              <w:left w:val="nil"/>
              <w:bottom w:val="single" w:sz="12" w:space="0" w:color="FFFFFF"/>
              <w:right w:val="nil"/>
              <w:tl2br w:val="nil"/>
              <w:tr2bl w:val="nil"/>
            </w:tcBorders>
            <w:shd w:val="clear" w:color="auto" w:fill="D9D9D9"/>
          </w:tcPr>
          <w:p w14:paraId="14BC0F65" w14:textId="7BED1914" w:rsidR="00E35E72" w:rsidRPr="00E968E5" w:rsidRDefault="00E35E72" w:rsidP="00E968E5">
            <w:pPr>
              <w:spacing w:after="0"/>
              <w:rPr>
                <w:sz w:val="19"/>
                <w:szCs w:val="19"/>
              </w:rPr>
            </w:pPr>
            <w:r w:rsidRPr="00E968E5">
              <w:rPr>
                <w:sz w:val="19"/>
                <w:szCs w:val="19"/>
              </w:rPr>
              <w:t xml:space="preserve">Investment </w:t>
            </w:r>
            <w:r w:rsidR="00D07ECB">
              <w:rPr>
                <w:sz w:val="19"/>
                <w:szCs w:val="19"/>
              </w:rPr>
              <w:t>n</w:t>
            </w:r>
            <w:r w:rsidRPr="00E968E5">
              <w:rPr>
                <w:sz w:val="19"/>
                <w:szCs w:val="19"/>
              </w:rPr>
              <w:t>ame</w:t>
            </w:r>
          </w:p>
        </w:tc>
        <w:tc>
          <w:tcPr>
            <w:tcW w:w="1660" w:type="dxa"/>
            <w:tcBorders>
              <w:top w:val="nil"/>
              <w:left w:val="nil"/>
              <w:bottom w:val="single" w:sz="12" w:space="0" w:color="FFFFFF"/>
              <w:right w:val="nil"/>
              <w:tl2br w:val="nil"/>
              <w:tr2bl w:val="nil"/>
            </w:tcBorders>
            <w:shd w:val="clear" w:color="auto" w:fill="D9D9D9"/>
          </w:tcPr>
          <w:p w14:paraId="0DA75FA6" w14:textId="51E7FFF0" w:rsidR="00E35E72" w:rsidRPr="00E968E5" w:rsidRDefault="00E35E72" w:rsidP="00E968E5">
            <w:pPr>
              <w:spacing w:after="0"/>
              <w:jc w:val="center"/>
              <w:rPr>
                <w:sz w:val="19"/>
                <w:szCs w:val="19"/>
              </w:rPr>
            </w:pPr>
            <w:r w:rsidRPr="00E968E5">
              <w:rPr>
                <w:sz w:val="19"/>
                <w:szCs w:val="19"/>
              </w:rPr>
              <w:t>Aus</w:t>
            </w:r>
            <w:r w:rsidR="00D07ECB">
              <w:rPr>
                <w:sz w:val="19"/>
                <w:szCs w:val="19"/>
              </w:rPr>
              <w:t xml:space="preserve">tralian </w:t>
            </w:r>
            <w:r w:rsidR="00FE4860">
              <w:rPr>
                <w:sz w:val="19"/>
                <w:szCs w:val="19"/>
              </w:rPr>
              <w:t>g</w:t>
            </w:r>
            <w:r w:rsidR="00D07ECB">
              <w:rPr>
                <w:sz w:val="19"/>
                <w:szCs w:val="19"/>
              </w:rPr>
              <w:t>overnment p</w:t>
            </w:r>
            <w:r w:rsidRPr="00E968E5">
              <w:rPr>
                <w:sz w:val="19"/>
                <w:szCs w:val="19"/>
              </w:rPr>
              <w:t>artner</w:t>
            </w:r>
          </w:p>
        </w:tc>
        <w:tc>
          <w:tcPr>
            <w:tcW w:w="1841" w:type="dxa"/>
            <w:tcBorders>
              <w:top w:val="nil"/>
              <w:left w:val="nil"/>
              <w:bottom w:val="single" w:sz="12" w:space="0" w:color="FFFFFF"/>
              <w:right w:val="nil"/>
              <w:tl2br w:val="nil"/>
              <w:tr2bl w:val="nil"/>
            </w:tcBorders>
            <w:shd w:val="clear" w:color="auto" w:fill="D9D9D9"/>
          </w:tcPr>
          <w:p w14:paraId="690D217E" w14:textId="4C5274C6" w:rsidR="00E35E72" w:rsidRPr="00E968E5" w:rsidRDefault="00E35E72" w:rsidP="00E968E5">
            <w:pPr>
              <w:spacing w:after="0"/>
              <w:jc w:val="center"/>
              <w:rPr>
                <w:sz w:val="19"/>
                <w:szCs w:val="19"/>
              </w:rPr>
            </w:pPr>
            <w:r w:rsidRPr="00E968E5">
              <w:rPr>
                <w:sz w:val="19"/>
                <w:szCs w:val="19"/>
              </w:rPr>
              <w:t xml:space="preserve">Investment </w:t>
            </w:r>
            <w:r w:rsidR="00D07ECB">
              <w:rPr>
                <w:sz w:val="19"/>
                <w:szCs w:val="19"/>
              </w:rPr>
              <w:t>p</w:t>
            </w:r>
            <w:r w:rsidRPr="00E968E5">
              <w:rPr>
                <w:sz w:val="19"/>
                <w:szCs w:val="19"/>
              </w:rPr>
              <w:t>eriod</w:t>
            </w:r>
          </w:p>
        </w:tc>
        <w:tc>
          <w:tcPr>
            <w:tcW w:w="1770" w:type="dxa"/>
            <w:tcBorders>
              <w:top w:val="nil"/>
              <w:left w:val="nil"/>
              <w:bottom w:val="single" w:sz="12" w:space="0" w:color="FFFFFF"/>
              <w:right w:val="nil"/>
              <w:tl2br w:val="nil"/>
              <w:tr2bl w:val="nil"/>
            </w:tcBorders>
            <w:shd w:val="clear" w:color="auto" w:fill="D9D9D9"/>
          </w:tcPr>
          <w:p w14:paraId="37CAD5D6" w14:textId="1256C0ED" w:rsidR="00E35E72" w:rsidRPr="00E968E5" w:rsidRDefault="00E35E72" w:rsidP="00E968E5">
            <w:pPr>
              <w:spacing w:after="0"/>
              <w:jc w:val="center"/>
              <w:rPr>
                <w:sz w:val="19"/>
                <w:szCs w:val="19"/>
              </w:rPr>
            </w:pPr>
            <w:r w:rsidRPr="00E968E5">
              <w:rPr>
                <w:sz w:val="19"/>
                <w:szCs w:val="19"/>
              </w:rPr>
              <w:t xml:space="preserve">Investment </w:t>
            </w:r>
            <w:r w:rsidR="00D07ECB">
              <w:rPr>
                <w:sz w:val="19"/>
                <w:szCs w:val="19"/>
              </w:rPr>
              <w:t>v</w:t>
            </w:r>
            <w:r w:rsidRPr="00E968E5">
              <w:rPr>
                <w:sz w:val="19"/>
                <w:szCs w:val="19"/>
              </w:rPr>
              <w:t>alue</w:t>
            </w:r>
          </w:p>
          <w:p w14:paraId="7B7A3E44" w14:textId="1E8CC42D" w:rsidR="00E35E72" w:rsidRPr="00E968E5" w:rsidRDefault="00E35E72" w:rsidP="00E968E5">
            <w:pPr>
              <w:spacing w:after="0"/>
              <w:jc w:val="center"/>
              <w:rPr>
                <w:sz w:val="19"/>
                <w:szCs w:val="19"/>
              </w:rPr>
            </w:pPr>
            <w:r w:rsidRPr="00E968E5">
              <w:rPr>
                <w:sz w:val="19"/>
                <w:szCs w:val="19"/>
              </w:rPr>
              <w:t>(approximate</w:t>
            </w:r>
            <w:r w:rsidR="00853C16">
              <w:rPr>
                <w:sz w:val="19"/>
                <w:szCs w:val="19"/>
              </w:rPr>
              <w:t xml:space="preserve">, </w:t>
            </w:r>
            <w:r w:rsidR="00307A6D">
              <w:rPr>
                <w:sz w:val="19"/>
                <w:szCs w:val="19"/>
              </w:rPr>
              <w:br/>
            </w:r>
            <w:r w:rsidR="00853C16">
              <w:rPr>
                <w:sz w:val="19"/>
                <w:szCs w:val="19"/>
              </w:rPr>
              <w:t>AUD</w:t>
            </w:r>
            <w:r w:rsidR="00D07ECB">
              <w:rPr>
                <w:sz w:val="19"/>
                <w:szCs w:val="19"/>
              </w:rPr>
              <w:t xml:space="preserve"> million</w:t>
            </w:r>
            <w:r w:rsidRPr="00E968E5">
              <w:rPr>
                <w:sz w:val="19"/>
                <w:szCs w:val="19"/>
              </w:rPr>
              <w:t>)</w:t>
            </w:r>
          </w:p>
        </w:tc>
        <w:tc>
          <w:tcPr>
            <w:tcW w:w="1841" w:type="dxa"/>
            <w:tcBorders>
              <w:top w:val="nil"/>
              <w:left w:val="nil"/>
              <w:bottom w:val="single" w:sz="12" w:space="0" w:color="FFFFFF"/>
              <w:right w:val="nil"/>
              <w:tl2br w:val="nil"/>
              <w:tr2bl w:val="nil"/>
            </w:tcBorders>
            <w:shd w:val="clear" w:color="auto" w:fill="D9D9D9"/>
          </w:tcPr>
          <w:p w14:paraId="1BB3BA81" w14:textId="2533F447" w:rsidR="00E35E72" w:rsidRPr="00E968E5" w:rsidRDefault="00E35E72" w:rsidP="00E968E5">
            <w:pPr>
              <w:spacing w:after="0"/>
              <w:jc w:val="center"/>
              <w:rPr>
                <w:sz w:val="19"/>
                <w:szCs w:val="19"/>
              </w:rPr>
            </w:pPr>
            <w:r w:rsidRPr="00E968E5">
              <w:rPr>
                <w:sz w:val="19"/>
                <w:szCs w:val="19"/>
              </w:rPr>
              <w:t xml:space="preserve">Adaptation or </w:t>
            </w:r>
            <w:r w:rsidR="00D07ECB">
              <w:rPr>
                <w:sz w:val="19"/>
                <w:szCs w:val="19"/>
              </w:rPr>
              <w:t>m</w:t>
            </w:r>
            <w:r w:rsidRPr="00E968E5">
              <w:rPr>
                <w:sz w:val="19"/>
                <w:szCs w:val="19"/>
              </w:rPr>
              <w:t>itigation?</w:t>
            </w:r>
          </w:p>
        </w:tc>
        <w:tc>
          <w:tcPr>
            <w:tcW w:w="1614" w:type="dxa"/>
            <w:tcBorders>
              <w:top w:val="nil"/>
              <w:left w:val="nil"/>
              <w:bottom w:val="single" w:sz="12" w:space="0" w:color="FFFFFF"/>
              <w:right w:val="nil"/>
              <w:tl2br w:val="nil"/>
              <w:tr2bl w:val="nil"/>
            </w:tcBorders>
            <w:shd w:val="clear" w:color="auto" w:fill="D9D9D9"/>
          </w:tcPr>
          <w:p w14:paraId="5906ADD2" w14:textId="0AA7208E" w:rsidR="00E35E72" w:rsidRPr="00E968E5" w:rsidRDefault="00E35E72" w:rsidP="00E968E5">
            <w:pPr>
              <w:spacing w:after="0"/>
              <w:jc w:val="center"/>
              <w:rPr>
                <w:sz w:val="19"/>
                <w:szCs w:val="19"/>
              </w:rPr>
            </w:pPr>
            <w:r w:rsidRPr="00E968E5">
              <w:rPr>
                <w:sz w:val="19"/>
                <w:szCs w:val="19"/>
              </w:rPr>
              <w:t>C</w:t>
            </w:r>
            <w:r w:rsidR="00D07ECB">
              <w:rPr>
                <w:sz w:val="19"/>
                <w:szCs w:val="19"/>
              </w:rPr>
              <w:t>limate change—t</w:t>
            </w:r>
            <w:r w:rsidRPr="00E968E5">
              <w:rPr>
                <w:sz w:val="19"/>
                <w:szCs w:val="19"/>
              </w:rPr>
              <w:t xml:space="preserve">argeted or </w:t>
            </w:r>
            <w:r w:rsidR="00D07ECB">
              <w:rPr>
                <w:sz w:val="19"/>
                <w:szCs w:val="19"/>
              </w:rPr>
              <w:t>m</w:t>
            </w:r>
            <w:r w:rsidRPr="00E968E5">
              <w:rPr>
                <w:sz w:val="19"/>
                <w:szCs w:val="19"/>
              </w:rPr>
              <w:t>ainstreamed?</w:t>
            </w:r>
          </w:p>
        </w:tc>
      </w:tr>
      <w:tr w:rsidR="003E151C" w:rsidRPr="00E968E5" w14:paraId="02AF07D4" w14:textId="77777777" w:rsidTr="00E968E5">
        <w:tc>
          <w:tcPr>
            <w:tcW w:w="1236" w:type="dxa"/>
            <w:shd w:val="clear" w:color="auto" w:fill="D8DBDA"/>
          </w:tcPr>
          <w:p w14:paraId="756281C0" w14:textId="77777777" w:rsidR="00E35E72" w:rsidRPr="00E968E5" w:rsidRDefault="00E35E72" w:rsidP="00E968E5">
            <w:pPr>
              <w:spacing w:after="0"/>
              <w:rPr>
                <w:sz w:val="19"/>
                <w:szCs w:val="19"/>
              </w:rPr>
            </w:pPr>
            <w:r w:rsidRPr="00E968E5">
              <w:rPr>
                <w:sz w:val="19"/>
                <w:szCs w:val="19"/>
              </w:rPr>
              <w:t>INJ126</w:t>
            </w:r>
          </w:p>
        </w:tc>
        <w:tc>
          <w:tcPr>
            <w:tcW w:w="4769" w:type="dxa"/>
            <w:shd w:val="clear" w:color="auto" w:fill="auto"/>
          </w:tcPr>
          <w:p w14:paraId="5F18AC18" w14:textId="77777777" w:rsidR="00E35E72" w:rsidRPr="00E968E5" w:rsidRDefault="00E35E72" w:rsidP="00E968E5">
            <w:pPr>
              <w:spacing w:after="0"/>
              <w:rPr>
                <w:sz w:val="19"/>
                <w:szCs w:val="19"/>
              </w:rPr>
            </w:pPr>
            <w:r w:rsidRPr="00E968E5">
              <w:rPr>
                <w:sz w:val="19"/>
                <w:szCs w:val="19"/>
              </w:rPr>
              <w:t>Support Program to Respond to Climate Change</w:t>
            </w:r>
          </w:p>
        </w:tc>
        <w:tc>
          <w:tcPr>
            <w:tcW w:w="1660" w:type="dxa"/>
            <w:shd w:val="clear" w:color="auto" w:fill="auto"/>
          </w:tcPr>
          <w:p w14:paraId="508EEC9C" w14:textId="77777777" w:rsidR="00E35E72" w:rsidRPr="00E968E5" w:rsidRDefault="00E35E72" w:rsidP="00E968E5">
            <w:pPr>
              <w:spacing w:after="0"/>
              <w:jc w:val="center"/>
              <w:rPr>
                <w:sz w:val="19"/>
                <w:szCs w:val="19"/>
              </w:rPr>
            </w:pPr>
            <w:r w:rsidRPr="00E968E5">
              <w:rPr>
                <w:sz w:val="19"/>
                <w:szCs w:val="19"/>
              </w:rPr>
              <w:t>CSIRO</w:t>
            </w:r>
          </w:p>
        </w:tc>
        <w:tc>
          <w:tcPr>
            <w:tcW w:w="1841" w:type="dxa"/>
            <w:shd w:val="clear" w:color="auto" w:fill="auto"/>
          </w:tcPr>
          <w:p w14:paraId="1617F8FD" w14:textId="48988E79" w:rsidR="00E35E72" w:rsidRPr="00E968E5" w:rsidRDefault="00E35E72" w:rsidP="00E968E5">
            <w:pPr>
              <w:spacing w:after="0"/>
              <w:jc w:val="center"/>
              <w:rPr>
                <w:sz w:val="19"/>
                <w:szCs w:val="19"/>
              </w:rPr>
            </w:pPr>
            <w:r w:rsidRPr="00E968E5">
              <w:rPr>
                <w:sz w:val="19"/>
                <w:szCs w:val="19"/>
              </w:rPr>
              <w:t>2011</w:t>
            </w:r>
            <w:r w:rsidR="00D97AD5">
              <w:rPr>
                <w:sz w:val="19"/>
                <w:szCs w:val="19"/>
              </w:rPr>
              <w:t>—</w:t>
            </w:r>
            <w:r w:rsidRPr="00E968E5">
              <w:rPr>
                <w:sz w:val="19"/>
                <w:szCs w:val="19"/>
              </w:rPr>
              <w:t>15</w:t>
            </w:r>
          </w:p>
        </w:tc>
        <w:tc>
          <w:tcPr>
            <w:tcW w:w="1770" w:type="dxa"/>
            <w:shd w:val="clear" w:color="auto" w:fill="auto"/>
          </w:tcPr>
          <w:p w14:paraId="30B7ACFF" w14:textId="1F9E9C37" w:rsidR="00E35E72" w:rsidRPr="00E968E5" w:rsidRDefault="00E35E72" w:rsidP="00E968E5">
            <w:pPr>
              <w:spacing w:after="0"/>
              <w:jc w:val="center"/>
              <w:rPr>
                <w:sz w:val="19"/>
                <w:szCs w:val="19"/>
              </w:rPr>
            </w:pPr>
            <w:r w:rsidRPr="00E968E5">
              <w:rPr>
                <w:sz w:val="19"/>
                <w:szCs w:val="19"/>
              </w:rPr>
              <w:t>$14</w:t>
            </w:r>
          </w:p>
        </w:tc>
        <w:tc>
          <w:tcPr>
            <w:tcW w:w="1841" w:type="dxa"/>
            <w:shd w:val="clear" w:color="auto" w:fill="auto"/>
          </w:tcPr>
          <w:p w14:paraId="11747720"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3C0ABADA"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76FD2C9A" w14:textId="77777777" w:rsidTr="00E968E5">
        <w:tc>
          <w:tcPr>
            <w:tcW w:w="1236" w:type="dxa"/>
            <w:shd w:val="clear" w:color="auto" w:fill="D8DBDA"/>
          </w:tcPr>
          <w:p w14:paraId="0FCC0033" w14:textId="77777777" w:rsidR="00E35E72" w:rsidRPr="00E968E5" w:rsidRDefault="00E35E72" w:rsidP="00E968E5">
            <w:pPr>
              <w:spacing w:after="0"/>
              <w:rPr>
                <w:sz w:val="19"/>
                <w:szCs w:val="19"/>
              </w:rPr>
            </w:pPr>
            <w:r w:rsidRPr="00E968E5">
              <w:rPr>
                <w:sz w:val="19"/>
                <w:szCs w:val="19"/>
              </w:rPr>
              <w:t>INJ577</w:t>
            </w:r>
          </w:p>
        </w:tc>
        <w:tc>
          <w:tcPr>
            <w:tcW w:w="4769" w:type="dxa"/>
            <w:shd w:val="clear" w:color="auto" w:fill="auto"/>
          </w:tcPr>
          <w:p w14:paraId="20305024" w14:textId="77777777" w:rsidR="00E35E72" w:rsidRPr="00E968E5" w:rsidRDefault="00E35E72" w:rsidP="00E968E5">
            <w:pPr>
              <w:spacing w:after="0"/>
              <w:rPr>
                <w:sz w:val="19"/>
                <w:szCs w:val="19"/>
              </w:rPr>
            </w:pPr>
            <w:r w:rsidRPr="00E968E5">
              <w:rPr>
                <w:sz w:val="19"/>
                <w:szCs w:val="19"/>
              </w:rPr>
              <w:t>Integrated Coastal Management Program</w:t>
            </w:r>
          </w:p>
        </w:tc>
        <w:tc>
          <w:tcPr>
            <w:tcW w:w="1660" w:type="dxa"/>
            <w:shd w:val="clear" w:color="auto" w:fill="auto"/>
          </w:tcPr>
          <w:p w14:paraId="787F349D" w14:textId="77777777" w:rsidR="00E35E72" w:rsidRPr="00E968E5" w:rsidRDefault="00E35E72" w:rsidP="00E968E5">
            <w:pPr>
              <w:spacing w:after="0"/>
              <w:jc w:val="center"/>
              <w:rPr>
                <w:sz w:val="19"/>
                <w:szCs w:val="19"/>
              </w:rPr>
            </w:pPr>
          </w:p>
        </w:tc>
        <w:tc>
          <w:tcPr>
            <w:tcW w:w="1841" w:type="dxa"/>
            <w:shd w:val="clear" w:color="auto" w:fill="auto"/>
          </w:tcPr>
          <w:p w14:paraId="43126C70" w14:textId="22DB9ECF" w:rsidR="00E35E72" w:rsidRPr="00E968E5" w:rsidRDefault="00E35E72" w:rsidP="00E968E5">
            <w:pPr>
              <w:spacing w:after="0"/>
              <w:jc w:val="center"/>
              <w:rPr>
                <w:sz w:val="19"/>
                <w:szCs w:val="19"/>
              </w:rPr>
            </w:pPr>
            <w:r w:rsidRPr="00E968E5">
              <w:rPr>
                <w:sz w:val="19"/>
                <w:szCs w:val="19"/>
              </w:rPr>
              <w:t>2011</w:t>
            </w:r>
            <w:r w:rsidR="00D97AD5">
              <w:rPr>
                <w:sz w:val="19"/>
                <w:szCs w:val="19"/>
              </w:rPr>
              <w:t>—</w:t>
            </w:r>
            <w:r w:rsidRPr="00E968E5">
              <w:rPr>
                <w:sz w:val="19"/>
                <w:szCs w:val="19"/>
              </w:rPr>
              <w:t>18</w:t>
            </w:r>
          </w:p>
        </w:tc>
        <w:tc>
          <w:tcPr>
            <w:tcW w:w="1770" w:type="dxa"/>
            <w:shd w:val="clear" w:color="auto" w:fill="auto"/>
          </w:tcPr>
          <w:p w14:paraId="34D6D2D7" w14:textId="5E6820D9" w:rsidR="00E35E72" w:rsidRPr="00E968E5" w:rsidRDefault="00E35E72" w:rsidP="00E968E5">
            <w:pPr>
              <w:spacing w:after="0"/>
              <w:jc w:val="center"/>
              <w:rPr>
                <w:sz w:val="19"/>
                <w:szCs w:val="19"/>
              </w:rPr>
            </w:pPr>
            <w:r w:rsidRPr="00E968E5">
              <w:rPr>
                <w:sz w:val="19"/>
                <w:szCs w:val="19"/>
              </w:rPr>
              <w:t>$16</w:t>
            </w:r>
          </w:p>
        </w:tc>
        <w:tc>
          <w:tcPr>
            <w:tcW w:w="1841" w:type="dxa"/>
            <w:shd w:val="clear" w:color="auto" w:fill="auto"/>
          </w:tcPr>
          <w:p w14:paraId="306346E4"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6BA368ED"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1C547343" w14:textId="77777777" w:rsidTr="00E968E5">
        <w:tc>
          <w:tcPr>
            <w:tcW w:w="1236" w:type="dxa"/>
            <w:shd w:val="clear" w:color="auto" w:fill="D8DBDA"/>
          </w:tcPr>
          <w:p w14:paraId="69A50E59" w14:textId="77777777" w:rsidR="00E35E72" w:rsidRPr="00E968E5" w:rsidRDefault="00E35E72" w:rsidP="00E968E5">
            <w:pPr>
              <w:spacing w:after="0"/>
              <w:rPr>
                <w:sz w:val="19"/>
                <w:szCs w:val="19"/>
              </w:rPr>
            </w:pPr>
            <w:r w:rsidRPr="00E968E5">
              <w:rPr>
                <w:sz w:val="19"/>
                <w:szCs w:val="19"/>
              </w:rPr>
              <w:t>INK120</w:t>
            </w:r>
          </w:p>
        </w:tc>
        <w:tc>
          <w:tcPr>
            <w:tcW w:w="4769" w:type="dxa"/>
            <w:shd w:val="clear" w:color="auto" w:fill="auto"/>
          </w:tcPr>
          <w:p w14:paraId="7C2456A7" w14:textId="77777777" w:rsidR="00E35E72" w:rsidRPr="00E968E5" w:rsidRDefault="00E35E72" w:rsidP="00E968E5">
            <w:pPr>
              <w:spacing w:after="0"/>
              <w:rPr>
                <w:sz w:val="19"/>
                <w:szCs w:val="19"/>
              </w:rPr>
            </w:pPr>
            <w:r w:rsidRPr="00E968E5">
              <w:rPr>
                <w:sz w:val="19"/>
                <w:szCs w:val="19"/>
              </w:rPr>
              <w:t>Community</w:t>
            </w:r>
            <w:r w:rsidR="00B938E0">
              <w:rPr>
                <w:sz w:val="19"/>
                <w:szCs w:val="19"/>
              </w:rPr>
              <w:t>-b</w:t>
            </w:r>
            <w:r w:rsidRPr="00E968E5">
              <w:rPr>
                <w:sz w:val="19"/>
                <w:szCs w:val="19"/>
              </w:rPr>
              <w:t>ased Disaster Risk Management</w:t>
            </w:r>
          </w:p>
        </w:tc>
        <w:tc>
          <w:tcPr>
            <w:tcW w:w="1660" w:type="dxa"/>
            <w:shd w:val="clear" w:color="auto" w:fill="auto"/>
          </w:tcPr>
          <w:p w14:paraId="191D3B35" w14:textId="77777777" w:rsidR="00E35E72" w:rsidRPr="00E968E5" w:rsidRDefault="00E35E72" w:rsidP="00E968E5">
            <w:pPr>
              <w:spacing w:after="0"/>
              <w:jc w:val="center"/>
              <w:rPr>
                <w:sz w:val="19"/>
                <w:szCs w:val="19"/>
              </w:rPr>
            </w:pPr>
          </w:p>
        </w:tc>
        <w:tc>
          <w:tcPr>
            <w:tcW w:w="1841" w:type="dxa"/>
            <w:shd w:val="clear" w:color="auto" w:fill="auto"/>
          </w:tcPr>
          <w:p w14:paraId="11752185" w14:textId="5BC100C5" w:rsidR="00E35E72" w:rsidRPr="00E968E5" w:rsidRDefault="00E35E72" w:rsidP="00E968E5">
            <w:pPr>
              <w:spacing w:after="0"/>
              <w:jc w:val="center"/>
              <w:rPr>
                <w:sz w:val="19"/>
                <w:szCs w:val="19"/>
              </w:rPr>
            </w:pPr>
            <w:r w:rsidRPr="00E968E5">
              <w:rPr>
                <w:sz w:val="19"/>
                <w:szCs w:val="19"/>
              </w:rPr>
              <w:t>2011</w:t>
            </w:r>
            <w:r w:rsidR="00D97AD5">
              <w:rPr>
                <w:sz w:val="19"/>
                <w:szCs w:val="19"/>
              </w:rPr>
              <w:t>—</w:t>
            </w:r>
            <w:r w:rsidRPr="00E968E5">
              <w:rPr>
                <w:sz w:val="19"/>
                <w:szCs w:val="19"/>
              </w:rPr>
              <w:t>16</w:t>
            </w:r>
          </w:p>
        </w:tc>
        <w:tc>
          <w:tcPr>
            <w:tcW w:w="1770" w:type="dxa"/>
            <w:shd w:val="clear" w:color="auto" w:fill="auto"/>
          </w:tcPr>
          <w:p w14:paraId="5593A6CF" w14:textId="16475A8A" w:rsidR="00E35E72" w:rsidRPr="00E968E5" w:rsidRDefault="00E35E72" w:rsidP="00E968E5">
            <w:pPr>
              <w:spacing w:after="0"/>
              <w:jc w:val="center"/>
              <w:rPr>
                <w:sz w:val="19"/>
                <w:szCs w:val="19"/>
              </w:rPr>
            </w:pPr>
            <w:r w:rsidRPr="00E968E5">
              <w:rPr>
                <w:sz w:val="19"/>
                <w:szCs w:val="19"/>
              </w:rPr>
              <w:t>$5</w:t>
            </w:r>
          </w:p>
        </w:tc>
        <w:tc>
          <w:tcPr>
            <w:tcW w:w="1841" w:type="dxa"/>
            <w:shd w:val="clear" w:color="auto" w:fill="auto"/>
          </w:tcPr>
          <w:p w14:paraId="1C733595"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0ADB5B91"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7CD5278B" w14:textId="77777777" w:rsidTr="00E968E5">
        <w:tc>
          <w:tcPr>
            <w:tcW w:w="1236" w:type="dxa"/>
            <w:shd w:val="clear" w:color="auto" w:fill="D8DBDA"/>
          </w:tcPr>
          <w:p w14:paraId="6ED6A3E9" w14:textId="77777777" w:rsidR="00E35E72" w:rsidRPr="00E968E5" w:rsidRDefault="00E35E72" w:rsidP="00E968E5">
            <w:pPr>
              <w:spacing w:after="0"/>
              <w:rPr>
                <w:sz w:val="19"/>
                <w:szCs w:val="19"/>
              </w:rPr>
            </w:pPr>
            <w:r w:rsidRPr="00E968E5">
              <w:rPr>
                <w:sz w:val="19"/>
                <w:szCs w:val="19"/>
              </w:rPr>
              <w:t>INL081</w:t>
            </w:r>
          </w:p>
        </w:tc>
        <w:tc>
          <w:tcPr>
            <w:tcW w:w="4769" w:type="dxa"/>
            <w:shd w:val="clear" w:color="auto" w:fill="auto"/>
          </w:tcPr>
          <w:p w14:paraId="3B5B01EE" w14:textId="77777777" w:rsidR="00E35E72" w:rsidRPr="00E968E5" w:rsidRDefault="00E35E72" w:rsidP="00E968E5">
            <w:pPr>
              <w:spacing w:after="0"/>
              <w:rPr>
                <w:sz w:val="19"/>
                <w:szCs w:val="19"/>
              </w:rPr>
            </w:pPr>
            <w:r w:rsidRPr="00E968E5">
              <w:rPr>
                <w:sz w:val="19"/>
                <w:szCs w:val="19"/>
              </w:rPr>
              <w:t>Climate Innovation centre</w:t>
            </w:r>
          </w:p>
        </w:tc>
        <w:tc>
          <w:tcPr>
            <w:tcW w:w="1660" w:type="dxa"/>
            <w:shd w:val="clear" w:color="auto" w:fill="auto"/>
          </w:tcPr>
          <w:p w14:paraId="2D65CAAC" w14:textId="77777777" w:rsidR="00E35E72" w:rsidRPr="00E968E5" w:rsidRDefault="00E35E72" w:rsidP="00E968E5">
            <w:pPr>
              <w:spacing w:after="0"/>
              <w:jc w:val="center"/>
              <w:rPr>
                <w:sz w:val="19"/>
                <w:szCs w:val="19"/>
              </w:rPr>
            </w:pPr>
          </w:p>
        </w:tc>
        <w:tc>
          <w:tcPr>
            <w:tcW w:w="1841" w:type="dxa"/>
            <w:shd w:val="clear" w:color="auto" w:fill="auto"/>
          </w:tcPr>
          <w:p w14:paraId="351CFFB4" w14:textId="4A6912DC" w:rsidR="00E35E72" w:rsidRPr="00E968E5" w:rsidRDefault="00E35E72" w:rsidP="00E968E5">
            <w:pPr>
              <w:spacing w:after="0"/>
              <w:jc w:val="center"/>
              <w:rPr>
                <w:sz w:val="19"/>
                <w:szCs w:val="19"/>
              </w:rPr>
            </w:pPr>
            <w:r w:rsidRPr="00E968E5">
              <w:rPr>
                <w:sz w:val="19"/>
                <w:szCs w:val="19"/>
              </w:rPr>
              <w:t>2013</w:t>
            </w:r>
            <w:r w:rsidR="00D97AD5">
              <w:rPr>
                <w:sz w:val="19"/>
                <w:szCs w:val="19"/>
              </w:rPr>
              <w:t>—</w:t>
            </w:r>
            <w:r w:rsidRPr="00E968E5">
              <w:rPr>
                <w:sz w:val="19"/>
                <w:szCs w:val="19"/>
              </w:rPr>
              <w:t>18</w:t>
            </w:r>
          </w:p>
        </w:tc>
        <w:tc>
          <w:tcPr>
            <w:tcW w:w="1770" w:type="dxa"/>
            <w:shd w:val="clear" w:color="auto" w:fill="auto"/>
          </w:tcPr>
          <w:p w14:paraId="348A605A" w14:textId="3C055AA3" w:rsidR="00E35E72" w:rsidRPr="00E968E5" w:rsidRDefault="00E35E72" w:rsidP="00E968E5">
            <w:pPr>
              <w:spacing w:after="0"/>
              <w:jc w:val="center"/>
              <w:rPr>
                <w:sz w:val="19"/>
                <w:szCs w:val="19"/>
              </w:rPr>
            </w:pPr>
            <w:r w:rsidRPr="00E968E5">
              <w:rPr>
                <w:sz w:val="19"/>
                <w:szCs w:val="19"/>
              </w:rPr>
              <w:t>$6</w:t>
            </w:r>
          </w:p>
        </w:tc>
        <w:tc>
          <w:tcPr>
            <w:tcW w:w="1841" w:type="dxa"/>
            <w:shd w:val="clear" w:color="auto" w:fill="auto"/>
          </w:tcPr>
          <w:p w14:paraId="3B9F2CDF" w14:textId="77777777" w:rsidR="00E35E72" w:rsidRPr="00E968E5" w:rsidRDefault="00E35E72" w:rsidP="00E968E5">
            <w:pPr>
              <w:spacing w:after="0"/>
              <w:jc w:val="center"/>
              <w:rPr>
                <w:sz w:val="19"/>
                <w:szCs w:val="19"/>
              </w:rPr>
            </w:pPr>
            <w:r w:rsidRPr="00E968E5">
              <w:rPr>
                <w:sz w:val="19"/>
                <w:szCs w:val="19"/>
              </w:rPr>
              <w:t>Mitigation</w:t>
            </w:r>
          </w:p>
        </w:tc>
        <w:tc>
          <w:tcPr>
            <w:tcW w:w="1614" w:type="dxa"/>
            <w:shd w:val="clear" w:color="auto" w:fill="auto"/>
          </w:tcPr>
          <w:p w14:paraId="6489281F"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09834922" w14:textId="77777777" w:rsidTr="00E968E5">
        <w:tc>
          <w:tcPr>
            <w:tcW w:w="1236" w:type="dxa"/>
            <w:shd w:val="clear" w:color="auto" w:fill="D8DBDA"/>
          </w:tcPr>
          <w:p w14:paraId="185AEA1F" w14:textId="77777777" w:rsidR="00E35E72" w:rsidRPr="00E968E5" w:rsidRDefault="00E35E72" w:rsidP="00E968E5">
            <w:pPr>
              <w:spacing w:after="0"/>
              <w:rPr>
                <w:sz w:val="19"/>
                <w:szCs w:val="19"/>
              </w:rPr>
            </w:pPr>
            <w:r w:rsidRPr="00E968E5">
              <w:rPr>
                <w:sz w:val="19"/>
                <w:szCs w:val="19"/>
              </w:rPr>
              <w:t>INK473</w:t>
            </w:r>
          </w:p>
        </w:tc>
        <w:tc>
          <w:tcPr>
            <w:tcW w:w="4769" w:type="dxa"/>
            <w:shd w:val="clear" w:color="auto" w:fill="auto"/>
          </w:tcPr>
          <w:p w14:paraId="72D46D04" w14:textId="77777777" w:rsidR="00E35E72" w:rsidRPr="00E968E5" w:rsidRDefault="00E35E72" w:rsidP="00E968E5">
            <w:pPr>
              <w:spacing w:after="0"/>
              <w:rPr>
                <w:sz w:val="19"/>
                <w:szCs w:val="19"/>
              </w:rPr>
            </w:pPr>
            <w:r w:rsidRPr="00E968E5">
              <w:rPr>
                <w:sz w:val="19"/>
                <w:szCs w:val="19"/>
              </w:rPr>
              <w:t xml:space="preserve">Vietnam Climate Change </w:t>
            </w:r>
            <w:r w:rsidRPr="00636397">
              <w:rPr>
                <w:sz w:val="19"/>
                <w:szCs w:val="19"/>
              </w:rPr>
              <w:t>NGO</w:t>
            </w:r>
            <w:r w:rsidRPr="00E968E5">
              <w:rPr>
                <w:sz w:val="19"/>
                <w:szCs w:val="19"/>
              </w:rPr>
              <w:t xml:space="preserve"> Partnership</w:t>
            </w:r>
          </w:p>
        </w:tc>
        <w:tc>
          <w:tcPr>
            <w:tcW w:w="1660" w:type="dxa"/>
            <w:shd w:val="clear" w:color="auto" w:fill="auto"/>
          </w:tcPr>
          <w:p w14:paraId="5A6736C6" w14:textId="77777777" w:rsidR="00E35E72" w:rsidRPr="00E968E5" w:rsidRDefault="00E35E72" w:rsidP="00E968E5">
            <w:pPr>
              <w:spacing w:after="0"/>
              <w:jc w:val="center"/>
              <w:rPr>
                <w:sz w:val="19"/>
                <w:szCs w:val="19"/>
              </w:rPr>
            </w:pPr>
          </w:p>
        </w:tc>
        <w:tc>
          <w:tcPr>
            <w:tcW w:w="1841" w:type="dxa"/>
            <w:shd w:val="clear" w:color="auto" w:fill="auto"/>
          </w:tcPr>
          <w:p w14:paraId="44AD41BD" w14:textId="3472FB74" w:rsidR="00E35E72" w:rsidRPr="00E968E5" w:rsidRDefault="00E35E72" w:rsidP="00E968E5">
            <w:pPr>
              <w:spacing w:after="0"/>
              <w:jc w:val="center"/>
              <w:rPr>
                <w:sz w:val="19"/>
                <w:szCs w:val="19"/>
              </w:rPr>
            </w:pPr>
            <w:r w:rsidRPr="00E968E5">
              <w:rPr>
                <w:sz w:val="19"/>
                <w:szCs w:val="19"/>
              </w:rPr>
              <w:t>2011</w:t>
            </w:r>
            <w:r w:rsidR="00D97AD5">
              <w:rPr>
                <w:sz w:val="19"/>
                <w:szCs w:val="19"/>
              </w:rPr>
              <w:t>—</w:t>
            </w:r>
            <w:r w:rsidRPr="00E968E5">
              <w:rPr>
                <w:sz w:val="19"/>
                <w:szCs w:val="19"/>
              </w:rPr>
              <w:t>16</w:t>
            </w:r>
          </w:p>
        </w:tc>
        <w:tc>
          <w:tcPr>
            <w:tcW w:w="1770" w:type="dxa"/>
            <w:shd w:val="clear" w:color="auto" w:fill="auto"/>
          </w:tcPr>
          <w:p w14:paraId="45BFDA82" w14:textId="3A255B9F" w:rsidR="00E35E72" w:rsidRPr="00E968E5" w:rsidRDefault="00E35E72" w:rsidP="00E968E5">
            <w:pPr>
              <w:spacing w:after="0"/>
              <w:jc w:val="center"/>
              <w:rPr>
                <w:sz w:val="19"/>
                <w:szCs w:val="19"/>
              </w:rPr>
            </w:pPr>
            <w:r w:rsidRPr="00E968E5">
              <w:rPr>
                <w:sz w:val="19"/>
                <w:szCs w:val="19"/>
              </w:rPr>
              <w:t>$15</w:t>
            </w:r>
          </w:p>
        </w:tc>
        <w:tc>
          <w:tcPr>
            <w:tcW w:w="1841" w:type="dxa"/>
            <w:shd w:val="clear" w:color="auto" w:fill="auto"/>
          </w:tcPr>
          <w:p w14:paraId="6C2E87D0" w14:textId="77777777" w:rsidR="00E35E72" w:rsidRPr="00E968E5" w:rsidRDefault="00E35E72" w:rsidP="00E968E5">
            <w:pPr>
              <w:spacing w:after="0"/>
              <w:jc w:val="center"/>
              <w:rPr>
                <w:sz w:val="19"/>
                <w:szCs w:val="19"/>
              </w:rPr>
            </w:pPr>
            <w:r w:rsidRPr="00E968E5">
              <w:rPr>
                <w:sz w:val="19"/>
                <w:szCs w:val="19"/>
              </w:rPr>
              <w:t>Mixed</w:t>
            </w:r>
          </w:p>
        </w:tc>
        <w:tc>
          <w:tcPr>
            <w:tcW w:w="1614" w:type="dxa"/>
            <w:shd w:val="clear" w:color="auto" w:fill="auto"/>
          </w:tcPr>
          <w:p w14:paraId="501D278E"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47074DDF" w14:textId="77777777" w:rsidTr="00E968E5">
        <w:tc>
          <w:tcPr>
            <w:tcW w:w="1236" w:type="dxa"/>
            <w:shd w:val="clear" w:color="auto" w:fill="D8DBDA"/>
          </w:tcPr>
          <w:p w14:paraId="0C9948F7" w14:textId="77777777" w:rsidR="00E35E72" w:rsidRPr="00E968E5" w:rsidRDefault="00E35E72" w:rsidP="00E968E5">
            <w:pPr>
              <w:spacing w:after="0"/>
              <w:rPr>
                <w:sz w:val="19"/>
                <w:szCs w:val="19"/>
              </w:rPr>
            </w:pPr>
            <w:r w:rsidRPr="00E968E5">
              <w:rPr>
                <w:sz w:val="19"/>
                <w:szCs w:val="19"/>
              </w:rPr>
              <w:t>INK376</w:t>
            </w:r>
          </w:p>
        </w:tc>
        <w:tc>
          <w:tcPr>
            <w:tcW w:w="4769" w:type="dxa"/>
            <w:shd w:val="clear" w:color="auto" w:fill="auto"/>
          </w:tcPr>
          <w:p w14:paraId="6F90D444" w14:textId="77777777" w:rsidR="00E35E72" w:rsidRPr="00E968E5" w:rsidRDefault="00E35E72" w:rsidP="00E968E5">
            <w:pPr>
              <w:spacing w:after="0"/>
              <w:rPr>
                <w:sz w:val="19"/>
                <w:szCs w:val="19"/>
              </w:rPr>
            </w:pPr>
            <w:r w:rsidRPr="00E968E5">
              <w:rPr>
                <w:sz w:val="19"/>
                <w:szCs w:val="19"/>
              </w:rPr>
              <w:t>DFAT-World Bank Vietnam Partnership Trust Fund</w:t>
            </w:r>
          </w:p>
        </w:tc>
        <w:tc>
          <w:tcPr>
            <w:tcW w:w="1660" w:type="dxa"/>
            <w:shd w:val="clear" w:color="auto" w:fill="auto"/>
          </w:tcPr>
          <w:p w14:paraId="222C18CF" w14:textId="77777777" w:rsidR="00E35E72" w:rsidRPr="00E968E5" w:rsidRDefault="00E35E72" w:rsidP="00E968E5">
            <w:pPr>
              <w:spacing w:after="0"/>
              <w:jc w:val="center"/>
              <w:rPr>
                <w:sz w:val="19"/>
                <w:szCs w:val="19"/>
              </w:rPr>
            </w:pPr>
          </w:p>
        </w:tc>
        <w:tc>
          <w:tcPr>
            <w:tcW w:w="1841" w:type="dxa"/>
            <w:shd w:val="clear" w:color="auto" w:fill="auto"/>
          </w:tcPr>
          <w:p w14:paraId="10C08A74" w14:textId="4638AB5E" w:rsidR="00E35E72" w:rsidRPr="00E968E5" w:rsidRDefault="00E35E72" w:rsidP="00E968E5">
            <w:pPr>
              <w:spacing w:after="0"/>
              <w:jc w:val="center"/>
              <w:rPr>
                <w:sz w:val="19"/>
                <w:szCs w:val="19"/>
              </w:rPr>
            </w:pPr>
            <w:r w:rsidRPr="00E968E5">
              <w:rPr>
                <w:sz w:val="19"/>
                <w:szCs w:val="19"/>
              </w:rPr>
              <w:t>2012</w:t>
            </w:r>
            <w:r w:rsidR="00D97AD5">
              <w:rPr>
                <w:sz w:val="19"/>
                <w:szCs w:val="19"/>
              </w:rPr>
              <w:t>—</w:t>
            </w:r>
            <w:r w:rsidRPr="00E968E5">
              <w:rPr>
                <w:sz w:val="19"/>
                <w:szCs w:val="19"/>
              </w:rPr>
              <w:t>16</w:t>
            </w:r>
          </w:p>
        </w:tc>
        <w:tc>
          <w:tcPr>
            <w:tcW w:w="1770" w:type="dxa"/>
            <w:shd w:val="clear" w:color="auto" w:fill="auto"/>
          </w:tcPr>
          <w:p w14:paraId="458C4208" w14:textId="07130F5E" w:rsidR="00E35E72" w:rsidRPr="00E968E5" w:rsidRDefault="00E35E72" w:rsidP="00E968E5">
            <w:pPr>
              <w:spacing w:after="0"/>
              <w:jc w:val="center"/>
              <w:rPr>
                <w:sz w:val="19"/>
                <w:szCs w:val="19"/>
              </w:rPr>
            </w:pPr>
            <w:r w:rsidRPr="00E968E5">
              <w:rPr>
                <w:sz w:val="19"/>
                <w:szCs w:val="19"/>
              </w:rPr>
              <w:t>$30</w:t>
            </w:r>
          </w:p>
        </w:tc>
        <w:tc>
          <w:tcPr>
            <w:tcW w:w="1841" w:type="dxa"/>
            <w:shd w:val="clear" w:color="auto" w:fill="auto"/>
          </w:tcPr>
          <w:p w14:paraId="30CE0818"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6B195CBA" w14:textId="77777777" w:rsidR="00E35E72" w:rsidRPr="00E968E5" w:rsidRDefault="00E35E72" w:rsidP="00E968E5">
            <w:pPr>
              <w:spacing w:after="0"/>
              <w:jc w:val="center"/>
              <w:rPr>
                <w:sz w:val="19"/>
                <w:szCs w:val="19"/>
              </w:rPr>
            </w:pPr>
            <w:r w:rsidRPr="00E968E5">
              <w:rPr>
                <w:sz w:val="19"/>
                <w:szCs w:val="19"/>
              </w:rPr>
              <w:t>Mainstreamed</w:t>
            </w:r>
          </w:p>
        </w:tc>
      </w:tr>
    </w:tbl>
    <w:p w14:paraId="7E43390D" w14:textId="77777777" w:rsidR="00E35E72" w:rsidRPr="00E97658" w:rsidRDefault="00E35E72" w:rsidP="00B93A9D">
      <w:pPr>
        <w:pStyle w:val="Heading2"/>
        <w:numPr>
          <w:ilvl w:val="0"/>
          <w:numId w:val="0"/>
        </w:numPr>
        <w:ind w:left="432" w:hanging="432"/>
      </w:pPr>
      <w:bookmarkStart w:id="104" w:name="_Toc510771944"/>
      <w:r>
        <w:t xml:space="preserve">Pacific </w:t>
      </w:r>
      <w:r w:rsidR="00E77E6A">
        <w:t>r</w:t>
      </w:r>
      <w:r>
        <w:t xml:space="preserve">egional </w:t>
      </w:r>
      <w:r w:rsidR="00E77E6A">
        <w:t>c</w:t>
      </w:r>
      <w:r>
        <w:t>ase</w:t>
      </w:r>
      <w:bookmarkEnd w:id="104"/>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Pacific Regional"/>
        <w:tblDescription w:val="Table lists Pacific Regional investments included in the evaluation."/>
      </w:tblPr>
      <w:tblGrid>
        <w:gridCol w:w="1236"/>
        <w:gridCol w:w="4769"/>
        <w:gridCol w:w="1660"/>
        <w:gridCol w:w="1841"/>
        <w:gridCol w:w="1770"/>
        <w:gridCol w:w="1841"/>
        <w:gridCol w:w="1614"/>
      </w:tblGrid>
      <w:tr w:rsidR="003E151C" w:rsidRPr="00E968E5" w14:paraId="3A32369A" w14:textId="77777777" w:rsidTr="00941B04">
        <w:trPr>
          <w:tblHeader/>
        </w:trPr>
        <w:tc>
          <w:tcPr>
            <w:tcW w:w="1236" w:type="dxa"/>
            <w:tcBorders>
              <w:top w:val="nil"/>
              <w:left w:val="nil"/>
              <w:bottom w:val="single" w:sz="12" w:space="0" w:color="FFFFFF"/>
              <w:right w:val="nil"/>
              <w:tl2br w:val="nil"/>
              <w:tr2bl w:val="nil"/>
            </w:tcBorders>
            <w:shd w:val="clear" w:color="auto" w:fill="D9D9D9"/>
          </w:tcPr>
          <w:p w14:paraId="73F0AE24" w14:textId="014130F1"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umber</w:t>
            </w:r>
          </w:p>
        </w:tc>
        <w:tc>
          <w:tcPr>
            <w:tcW w:w="4769" w:type="dxa"/>
            <w:tcBorders>
              <w:top w:val="nil"/>
              <w:left w:val="nil"/>
              <w:bottom w:val="single" w:sz="12" w:space="0" w:color="FFFFFF"/>
              <w:right w:val="nil"/>
              <w:tl2br w:val="nil"/>
              <w:tr2bl w:val="nil"/>
            </w:tcBorders>
            <w:shd w:val="clear" w:color="auto" w:fill="D9D9D9"/>
          </w:tcPr>
          <w:p w14:paraId="7355962F" w14:textId="3CFF2BF9"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ame</w:t>
            </w:r>
          </w:p>
        </w:tc>
        <w:tc>
          <w:tcPr>
            <w:tcW w:w="1660" w:type="dxa"/>
            <w:tcBorders>
              <w:top w:val="nil"/>
              <w:left w:val="nil"/>
              <w:bottom w:val="single" w:sz="12" w:space="0" w:color="FFFFFF"/>
              <w:right w:val="nil"/>
              <w:tl2br w:val="nil"/>
              <w:tr2bl w:val="nil"/>
            </w:tcBorders>
            <w:shd w:val="clear" w:color="auto" w:fill="D9D9D9"/>
          </w:tcPr>
          <w:p w14:paraId="356F73B3" w14:textId="2446BF8F" w:rsidR="00E35E72" w:rsidRPr="00E968E5" w:rsidRDefault="00E35E72" w:rsidP="00E968E5">
            <w:pPr>
              <w:spacing w:after="0"/>
              <w:jc w:val="center"/>
              <w:rPr>
                <w:sz w:val="19"/>
                <w:szCs w:val="19"/>
              </w:rPr>
            </w:pPr>
            <w:r w:rsidRPr="00E968E5">
              <w:rPr>
                <w:sz w:val="19"/>
                <w:szCs w:val="19"/>
              </w:rPr>
              <w:t>Aus</w:t>
            </w:r>
            <w:r w:rsidR="00307A6D">
              <w:rPr>
                <w:sz w:val="19"/>
                <w:szCs w:val="19"/>
              </w:rPr>
              <w:t xml:space="preserve">tralian </w:t>
            </w:r>
            <w:r w:rsidR="00FE4860">
              <w:rPr>
                <w:sz w:val="19"/>
                <w:szCs w:val="19"/>
              </w:rPr>
              <w:t>g</w:t>
            </w:r>
            <w:r w:rsidR="00307A6D">
              <w:rPr>
                <w:sz w:val="19"/>
                <w:szCs w:val="19"/>
              </w:rPr>
              <w:t>overnment p</w:t>
            </w:r>
            <w:r w:rsidRPr="00E968E5">
              <w:rPr>
                <w:sz w:val="19"/>
                <w:szCs w:val="19"/>
              </w:rPr>
              <w:t>artner</w:t>
            </w:r>
          </w:p>
        </w:tc>
        <w:tc>
          <w:tcPr>
            <w:tcW w:w="1841" w:type="dxa"/>
            <w:tcBorders>
              <w:top w:val="nil"/>
              <w:left w:val="nil"/>
              <w:bottom w:val="single" w:sz="12" w:space="0" w:color="FFFFFF"/>
              <w:right w:val="nil"/>
              <w:tl2br w:val="nil"/>
              <w:tr2bl w:val="nil"/>
            </w:tcBorders>
            <w:shd w:val="clear" w:color="auto" w:fill="D9D9D9"/>
          </w:tcPr>
          <w:p w14:paraId="0FB65FCA" w14:textId="492F968F"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p</w:t>
            </w:r>
            <w:r w:rsidRPr="00E968E5">
              <w:rPr>
                <w:sz w:val="19"/>
                <w:szCs w:val="19"/>
              </w:rPr>
              <w:t>eriod</w:t>
            </w:r>
          </w:p>
        </w:tc>
        <w:tc>
          <w:tcPr>
            <w:tcW w:w="1770" w:type="dxa"/>
            <w:tcBorders>
              <w:top w:val="nil"/>
              <w:left w:val="nil"/>
              <w:bottom w:val="single" w:sz="12" w:space="0" w:color="FFFFFF"/>
              <w:right w:val="nil"/>
              <w:tl2br w:val="nil"/>
              <w:tr2bl w:val="nil"/>
            </w:tcBorders>
            <w:shd w:val="clear" w:color="auto" w:fill="D9D9D9"/>
          </w:tcPr>
          <w:p w14:paraId="62857FFA" w14:textId="41AFBBF9"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v</w:t>
            </w:r>
            <w:r w:rsidRPr="00E968E5">
              <w:rPr>
                <w:sz w:val="19"/>
                <w:szCs w:val="19"/>
              </w:rPr>
              <w:t>alue</w:t>
            </w:r>
          </w:p>
          <w:p w14:paraId="368B917B" w14:textId="71D40FAA" w:rsidR="00E35E72" w:rsidRPr="00E968E5" w:rsidRDefault="00E35E72" w:rsidP="00E968E5">
            <w:pPr>
              <w:spacing w:after="0"/>
              <w:jc w:val="center"/>
              <w:rPr>
                <w:sz w:val="19"/>
                <w:szCs w:val="19"/>
              </w:rPr>
            </w:pPr>
            <w:r w:rsidRPr="00E968E5">
              <w:rPr>
                <w:sz w:val="19"/>
                <w:szCs w:val="19"/>
              </w:rPr>
              <w:t>(approximate</w:t>
            </w:r>
            <w:r w:rsidR="00853C16">
              <w:rPr>
                <w:sz w:val="19"/>
                <w:szCs w:val="19"/>
              </w:rPr>
              <w:t xml:space="preserve">, </w:t>
            </w:r>
            <w:r w:rsidR="00307A6D">
              <w:rPr>
                <w:sz w:val="19"/>
                <w:szCs w:val="19"/>
              </w:rPr>
              <w:br/>
            </w:r>
            <w:r w:rsidR="00853C16">
              <w:rPr>
                <w:sz w:val="19"/>
                <w:szCs w:val="19"/>
              </w:rPr>
              <w:t>AUD</w:t>
            </w:r>
            <w:r w:rsidR="00307A6D">
              <w:rPr>
                <w:sz w:val="19"/>
                <w:szCs w:val="19"/>
              </w:rPr>
              <w:t xml:space="preserve"> million</w:t>
            </w:r>
            <w:r w:rsidRPr="00E968E5">
              <w:rPr>
                <w:sz w:val="19"/>
                <w:szCs w:val="19"/>
              </w:rPr>
              <w:t>)</w:t>
            </w:r>
          </w:p>
        </w:tc>
        <w:tc>
          <w:tcPr>
            <w:tcW w:w="1841" w:type="dxa"/>
            <w:tcBorders>
              <w:top w:val="nil"/>
              <w:left w:val="nil"/>
              <w:bottom w:val="single" w:sz="12" w:space="0" w:color="FFFFFF"/>
              <w:right w:val="nil"/>
              <w:tl2br w:val="nil"/>
              <w:tr2bl w:val="nil"/>
            </w:tcBorders>
            <w:shd w:val="clear" w:color="auto" w:fill="D9D9D9"/>
          </w:tcPr>
          <w:p w14:paraId="2358F899" w14:textId="0DCB1900" w:rsidR="00E35E72" w:rsidRPr="00E968E5" w:rsidRDefault="00E35E72" w:rsidP="00E968E5">
            <w:pPr>
              <w:spacing w:after="0"/>
              <w:jc w:val="center"/>
              <w:rPr>
                <w:sz w:val="19"/>
                <w:szCs w:val="19"/>
              </w:rPr>
            </w:pPr>
            <w:r w:rsidRPr="00E968E5">
              <w:rPr>
                <w:sz w:val="19"/>
                <w:szCs w:val="19"/>
              </w:rPr>
              <w:t xml:space="preserve">Adaptation or </w:t>
            </w:r>
            <w:r w:rsidR="00307A6D">
              <w:rPr>
                <w:sz w:val="19"/>
                <w:szCs w:val="19"/>
              </w:rPr>
              <w:t>m</w:t>
            </w:r>
            <w:r w:rsidRPr="00E968E5">
              <w:rPr>
                <w:sz w:val="19"/>
                <w:szCs w:val="19"/>
              </w:rPr>
              <w:t>itigation?</w:t>
            </w:r>
          </w:p>
        </w:tc>
        <w:tc>
          <w:tcPr>
            <w:tcW w:w="1614" w:type="dxa"/>
            <w:tcBorders>
              <w:top w:val="nil"/>
              <w:left w:val="nil"/>
              <w:bottom w:val="single" w:sz="12" w:space="0" w:color="FFFFFF"/>
              <w:right w:val="nil"/>
              <w:tl2br w:val="nil"/>
              <w:tr2bl w:val="nil"/>
            </w:tcBorders>
            <w:shd w:val="clear" w:color="auto" w:fill="D9D9D9"/>
          </w:tcPr>
          <w:p w14:paraId="2745C20D" w14:textId="235AD947" w:rsidR="00E35E72" w:rsidRPr="00E968E5" w:rsidRDefault="00E35E72" w:rsidP="00E968E5">
            <w:pPr>
              <w:spacing w:after="0"/>
              <w:jc w:val="center"/>
              <w:rPr>
                <w:sz w:val="19"/>
                <w:szCs w:val="19"/>
              </w:rPr>
            </w:pPr>
            <w:r w:rsidRPr="00E968E5">
              <w:rPr>
                <w:sz w:val="19"/>
                <w:szCs w:val="19"/>
              </w:rPr>
              <w:t>C</w:t>
            </w:r>
            <w:r w:rsidR="00307A6D">
              <w:rPr>
                <w:sz w:val="19"/>
                <w:szCs w:val="19"/>
              </w:rPr>
              <w:t>limate change—t</w:t>
            </w:r>
            <w:r w:rsidRPr="00E968E5">
              <w:rPr>
                <w:sz w:val="19"/>
                <w:szCs w:val="19"/>
              </w:rPr>
              <w:t xml:space="preserve">argeted or </w:t>
            </w:r>
            <w:r w:rsidR="00307A6D">
              <w:rPr>
                <w:sz w:val="19"/>
                <w:szCs w:val="19"/>
              </w:rPr>
              <w:t>m</w:t>
            </w:r>
            <w:r w:rsidRPr="00E968E5">
              <w:rPr>
                <w:sz w:val="19"/>
                <w:szCs w:val="19"/>
              </w:rPr>
              <w:t>ainstreamed?</w:t>
            </w:r>
          </w:p>
        </w:tc>
      </w:tr>
      <w:tr w:rsidR="003E151C" w:rsidRPr="00E968E5" w14:paraId="1440BBD0" w14:textId="77777777" w:rsidTr="00E968E5">
        <w:tc>
          <w:tcPr>
            <w:tcW w:w="1236" w:type="dxa"/>
            <w:shd w:val="clear" w:color="auto" w:fill="D8DBDA"/>
          </w:tcPr>
          <w:p w14:paraId="33658F88" w14:textId="77777777" w:rsidR="00E35E72" w:rsidRPr="00E968E5" w:rsidRDefault="00E35E72" w:rsidP="00E968E5">
            <w:pPr>
              <w:spacing w:after="0"/>
              <w:rPr>
                <w:sz w:val="19"/>
                <w:szCs w:val="19"/>
              </w:rPr>
            </w:pPr>
            <w:r w:rsidRPr="00E968E5">
              <w:rPr>
                <w:sz w:val="19"/>
                <w:szCs w:val="19"/>
              </w:rPr>
              <w:t>INI962</w:t>
            </w:r>
          </w:p>
        </w:tc>
        <w:tc>
          <w:tcPr>
            <w:tcW w:w="4769" w:type="dxa"/>
            <w:shd w:val="clear" w:color="auto" w:fill="auto"/>
          </w:tcPr>
          <w:p w14:paraId="5A402939" w14:textId="77777777" w:rsidR="00E35E72" w:rsidRPr="00E968E5" w:rsidRDefault="00E35E72" w:rsidP="00E968E5">
            <w:pPr>
              <w:spacing w:after="0"/>
              <w:rPr>
                <w:sz w:val="19"/>
                <w:szCs w:val="19"/>
              </w:rPr>
            </w:pPr>
            <w:r w:rsidRPr="00E968E5">
              <w:rPr>
                <w:sz w:val="19"/>
                <w:szCs w:val="19"/>
              </w:rPr>
              <w:t>SPC Climate Change</w:t>
            </w:r>
          </w:p>
        </w:tc>
        <w:tc>
          <w:tcPr>
            <w:tcW w:w="1660" w:type="dxa"/>
            <w:shd w:val="clear" w:color="auto" w:fill="auto"/>
          </w:tcPr>
          <w:p w14:paraId="6A7A6139" w14:textId="77777777" w:rsidR="00E35E72" w:rsidRPr="00E968E5" w:rsidRDefault="00E35E72" w:rsidP="00E968E5">
            <w:pPr>
              <w:spacing w:after="0"/>
              <w:jc w:val="center"/>
              <w:rPr>
                <w:sz w:val="19"/>
                <w:szCs w:val="19"/>
              </w:rPr>
            </w:pPr>
            <w:r w:rsidRPr="00E968E5">
              <w:rPr>
                <w:sz w:val="19"/>
                <w:szCs w:val="19"/>
              </w:rPr>
              <w:t>CSIRO</w:t>
            </w:r>
          </w:p>
        </w:tc>
        <w:tc>
          <w:tcPr>
            <w:tcW w:w="1841" w:type="dxa"/>
            <w:shd w:val="clear" w:color="auto" w:fill="auto"/>
          </w:tcPr>
          <w:p w14:paraId="73F0A8A9" w14:textId="6F4E2C44" w:rsidR="00E35E72" w:rsidRPr="00E968E5" w:rsidRDefault="00E35E72" w:rsidP="00E968E5">
            <w:pPr>
              <w:spacing w:after="0"/>
              <w:jc w:val="center"/>
              <w:rPr>
                <w:sz w:val="19"/>
                <w:szCs w:val="19"/>
              </w:rPr>
            </w:pPr>
            <w:r w:rsidRPr="00E968E5">
              <w:rPr>
                <w:sz w:val="19"/>
                <w:szCs w:val="19"/>
              </w:rPr>
              <w:t>2009</w:t>
            </w:r>
            <w:r w:rsidR="00307A6D">
              <w:rPr>
                <w:sz w:val="19"/>
                <w:szCs w:val="19"/>
              </w:rPr>
              <w:t>—</w:t>
            </w:r>
            <w:r w:rsidRPr="00E968E5">
              <w:rPr>
                <w:sz w:val="19"/>
                <w:szCs w:val="19"/>
              </w:rPr>
              <w:t>15</w:t>
            </w:r>
          </w:p>
        </w:tc>
        <w:tc>
          <w:tcPr>
            <w:tcW w:w="1770" w:type="dxa"/>
            <w:shd w:val="clear" w:color="auto" w:fill="auto"/>
          </w:tcPr>
          <w:p w14:paraId="72835D3E" w14:textId="250524BD" w:rsidR="00E35E72" w:rsidRPr="00E968E5" w:rsidRDefault="00E35E72" w:rsidP="00E968E5">
            <w:pPr>
              <w:spacing w:after="0"/>
              <w:jc w:val="center"/>
              <w:rPr>
                <w:sz w:val="19"/>
                <w:szCs w:val="19"/>
              </w:rPr>
            </w:pPr>
            <w:r w:rsidRPr="00E968E5">
              <w:rPr>
                <w:sz w:val="19"/>
                <w:szCs w:val="19"/>
              </w:rPr>
              <w:t>$9</w:t>
            </w:r>
          </w:p>
        </w:tc>
        <w:tc>
          <w:tcPr>
            <w:tcW w:w="1841" w:type="dxa"/>
            <w:shd w:val="clear" w:color="auto" w:fill="auto"/>
          </w:tcPr>
          <w:p w14:paraId="349D0B7C"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07CE668C"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03057DEE" w14:textId="77777777" w:rsidTr="00E968E5">
        <w:tc>
          <w:tcPr>
            <w:tcW w:w="1236" w:type="dxa"/>
            <w:shd w:val="clear" w:color="auto" w:fill="D8DBDA"/>
          </w:tcPr>
          <w:p w14:paraId="1271E1D3" w14:textId="77777777" w:rsidR="00E35E72" w:rsidRPr="00E968E5" w:rsidRDefault="00E35E72" w:rsidP="00E968E5">
            <w:pPr>
              <w:spacing w:after="0"/>
              <w:rPr>
                <w:sz w:val="19"/>
                <w:szCs w:val="19"/>
              </w:rPr>
            </w:pPr>
            <w:r w:rsidRPr="00E968E5">
              <w:rPr>
                <w:sz w:val="19"/>
                <w:szCs w:val="19"/>
              </w:rPr>
              <w:t>INJ488</w:t>
            </w:r>
          </w:p>
        </w:tc>
        <w:tc>
          <w:tcPr>
            <w:tcW w:w="4769" w:type="dxa"/>
            <w:shd w:val="clear" w:color="auto" w:fill="auto"/>
          </w:tcPr>
          <w:p w14:paraId="35F1052A" w14:textId="4E2EC0B0" w:rsidR="00E35E72" w:rsidRPr="00E968E5" w:rsidRDefault="00E35E72" w:rsidP="00E968E5">
            <w:pPr>
              <w:spacing w:after="0"/>
              <w:rPr>
                <w:sz w:val="19"/>
                <w:szCs w:val="19"/>
              </w:rPr>
            </w:pPr>
            <w:r w:rsidRPr="00E968E5">
              <w:rPr>
                <w:sz w:val="19"/>
                <w:szCs w:val="19"/>
              </w:rPr>
              <w:t>Climate and Oceans Support Program in the Pacific</w:t>
            </w:r>
          </w:p>
        </w:tc>
        <w:tc>
          <w:tcPr>
            <w:tcW w:w="1660" w:type="dxa"/>
            <w:shd w:val="clear" w:color="auto" w:fill="auto"/>
          </w:tcPr>
          <w:p w14:paraId="7A5FE7DB" w14:textId="72A309CF" w:rsidR="00E35E72" w:rsidRPr="00E968E5" w:rsidRDefault="00E35E72" w:rsidP="00E968E5">
            <w:pPr>
              <w:spacing w:after="0"/>
              <w:jc w:val="center"/>
              <w:rPr>
                <w:sz w:val="19"/>
                <w:szCs w:val="19"/>
              </w:rPr>
            </w:pPr>
            <w:r w:rsidRPr="00E968E5">
              <w:rPr>
                <w:sz w:val="19"/>
                <w:szCs w:val="19"/>
              </w:rPr>
              <w:t>B</w:t>
            </w:r>
            <w:r w:rsidR="009F1CF9">
              <w:rPr>
                <w:sz w:val="19"/>
                <w:szCs w:val="19"/>
              </w:rPr>
              <w:t>O</w:t>
            </w:r>
            <w:r w:rsidRPr="00E968E5">
              <w:rPr>
                <w:sz w:val="19"/>
                <w:szCs w:val="19"/>
              </w:rPr>
              <w:t>M, Geoscience Australia</w:t>
            </w:r>
          </w:p>
        </w:tc>
        <w:tc>
          <w:tcPr>
            <w:tcW w:w="1841" w:type="dxa"/>
            <w:shd w:val="clear" w:color="auto" w:fill="auto"/>
          </w:tcPr>
          <w:p w14:paraId="4C4EC753" w14:textId="73BC3D49" w:rsidR="00E35E72" w:rsidRPr="00E968E5" w:rsidRDefault="00E35E72" w:rsidP="00E968E5">
            <w:pPr>
              <w:spacing w:after="0"/>
              <w:jc w:val="center"/>
              <w:rPr>
                <w:sz w:val="19"/>
                <w:szCs w:val="19"/>
              </w:rPr>
            </w:pPr>
            <w:r w:rsidRPr="00E968E5">
              <w:rPr>
                <w:sz w:val="19"/>
                <w:szCs w:val="19"/>
              </w:rPr>
              <w:t>2010</w:t>
            </w:r>
            <w:r w:rsidR="00307A6D">
              <w:rPr>
                <w:sz w:val="19"/>
                <w:szCs w:val="19"/>
              </w:rPr>
              <w:t>—</w:t>
            </w:r>
            <w:r w:rsidRPr="00E968E5">
              <w:rPr>
                <w:sz w:val="19"/>
                <w:szCs w:val="19"/>
              </w:rPr>
              <w:t>18</w:t>
            </w:r>
          </w:p>
        </w:tc>
        <w:tc>
          <w:tcPr>
            <w:tcW w:w="1770" w:type="dxa"/>
            <w:shd w:val="clear" w:color="auto" w:fill="auto"/>
          </w:tcPr>
          <w:p w14:paraId="0541A448" w14:textId="178819BA" w:rsidR="00E35E72" w:rsidRPr="00E968E5" w:rsidRDefault="00E35E72" w:rsidP="00E968E5">
            <w:pPr>
              <w:spacing w:after="0"/>
              <w:jc w:val="center"/>
              <w:rPr>
                <w:sz w:val="19"/>
                <w:szCs w:val="19"/>
              </w:rPr>
            </w:pPr>
            <w:r w:rsidRPr="00E968E5">
              <w:rPr>
                <w:sz w:val="19"/>
                <w:szCs w:val="19"/>
              </w:rPr>
              <w:t>$40</w:t>
            </w:r>
          </w:p>
        </w:tc>
        <w:tc>
          <w:tcPr>
            <w:tcW w:w="1841" w:type="dxa"/>
            <w:shd w:val="clear" w:color="auto" w:fill="auto"/>
          </w:tcPr>
          <w:p w14:paraId="42480B90"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60F06FFF"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5AF945EF" w14:textId="77777777" w:rsidTr="00E968E5">
        <w:tc>
          <w:tcPr>
            <w:tcW w:w="1236" w:type="dxa"/>
            <w:shd w:val="clear" w:color="auto" w:fill="D8DBDA"/>
          </w:tcPr>
          <w:p w14:paraId="04BCC358" w14:textId="77777777" w:rsidR="00E35E72" w:rsidRPr="00E968E5" w:rsidRDefault="00E35E72" w:rsidP="00E968E5">
            <w:pPr>
              <w:spacing w:after="0"/>
              <w:rPr>
                <w:sz w:val="19"/>
                <w:szCs w:val="19"/>
              </w:rPr>
            </w:pPr>
            <w:r w:rsidRPr="00E968E5">
              <w:rPr>
                <w:sz w:val="19"/>
                <w:szCs w:val="19"/>
              </w:rPr>
              <w:t>INJ804</w:t>
            </w:r>
          </w:p>
        </w:tc>
        <w:tc>
          <w:tcPr>
            <w:tcW w:w="4769" w:type="dxa"/>
            <w:shd w:val="clear" w:color="auto" w:fill="auto"/>
          </w:tcPr>
          <w:p w14:paraId="589EBD11" w14:textId="77777777" w:rsidR="00E35E72" w:rsidRPr="00E968E5" w:rsidRDefault="00E35E72" w:rsidP="00E968E5">
            <w:pPr>
              <w:spacing w:after="0"/>
              <w:rPr>
                <w:sz w:val="19"/>
                <w:szCs w:val="19"/>
              </w:rPr>
            </w:pPr>
            <w:r w:rsidRPr="00E968E5">
              <w:rPr>
                <w:sz w:val="19"/>
                <w:szCs w:val="19"/>
              </w:rPr>
              <w:t>SPREP Partnership Agreement 201</w:t>
            </w:r>
            <w:r w:rsidR="00F508EE" w:rsidRPr="00E968E5">
              <w:rPr>
                <w:sz w:val="19"/>
                <w:szCs w:val="19"/>
              </w:rPr>
              <w:t>1</w:t>
            </w:r>
            <w:r w:rsidR="00F508EE">
              <w:rPr>
                <w:sz w:val="19"/>
                <w:szCs w:val="19"/>
              </w:rPr>
              <w:t>–</w:t>
            </w:r>
            <w:r w:rsidR="00F508EE" w:rsidRPr="00E968E5">
              <w:rPr>
                <w:sz w:val="19"/>
                <w:szCs w:val="19"/>
              </w:rPr>
              <w:t>2</w:t>
            </w:r>
            <w:r w:rsidRPr="00E968E5">
              <w:rPr>
                <w:sz w:val="19"/>
                <w:szCs w:val="19"/>
              </w:rPr>
              <w:t>016</w:t>
            </w:r>
          </w:p>
        </w:tc>
        <w:tc>
          <w:tcPr>
            <w:tcW w:w="1660" w:type="dxa"/>
            <w:shd w:val="clear" w:color="auto" w:fill="auto"/>
          </w:tcPr>
          <w:p w14:paraId="5CC82B8D" w14:textId="77777777" w:rsidR="00E35E72" w:rsidRPr="00E968E5" w:rsidRDefault="00E35E72" w:rsidP="00E968E5">
            <w:pPr>
              <w:spacing w:after="0"/>
              <w:jc w:val="center"/>
              <w:rPr>
                <w:sz w:val="19"/>
                <w:szCs w:val="19"/>
              </w:rPr>
            </w:pPr>
          </w:p>
        </w:tc>
        <w:tc>
          <w:tcPr>
            <w:tcW w:w="1841" w:type="dxa"/>
            <w:shd w:val="clear" w:color="auto" w:fill="auto"/>
          </w:tcPr>
          <w:p w14:paraId="063BB0D8" w14:textId="5B4F9FF4" w:rsidR="00E35E72" w:rsidRPr="00E968E5" w:rsidRDefault="00E35E72" w:rsidP="00E968E5">
            <w:pPr>
              <w:spacing w:after="0"/>
              <w:jc w:val="center"/>
              <w:rPr>
                <w:sz w:val="19"/>
                <w:szCs w:val="19"/>
              </w:rPr>
            </w:pPr>
            <w:r w:rsidRPr="00E968E5">
              <w:rPr>
                <w:sz w:val="19"/>
                <w:szCs w:val="19"/>
              </w:rPr>
              <w:t>2011</w:t>
            </w:r>
            <w:r w:rsidR="00307A6D">
              <w:rPr>
                <w:sz w:val="19"/>
                <w:szCs w:val="19"/>
              </w:rPr>
              <w:t>—</w:t>
            </w:r>
            <w:r w:rsidRPr="00E968E5">
              <w:rPr>
                <w:sz w:val="19"/>
                <w:szCs w:val="19"/>
              </w:rPr>
              <w:t>19</w:t>
            </w:r>
          </w:p>
        </w:tc>
        <w:tc>
          <w:tcPr>
            <w:tcW w:w="1770" w:type="dxa"/>
            <w:shd w:val="clear" w:color="auto" w:fill="auto"/>
          </w:tcPr>
          <w:p w14:paraId="3AFC022B" w14:textId="18B83400" w:rsidR="00E35E72" w:rsidRPr="00E968E5" w:rsidRDefault="00E35E72" w:rsidP="00E968E5">
            <w:pPr>
              <w:spacing w:after="0"/>
              <w:jc w:val="center"/>
              <w:rPr>
                <w:sz w:val="19"/>
                <w:szCs w:val="19"/>
              </w:rPr>
            </w:pPr>
            <w:r w:rsidRPr="00E968E5">
              <w:rPr>
                <w:sz w:val="19"/>
                <w:szCs w:val="19"/>
              </w:rPr>
              <w:t>$16</w:t>
            </w:r>
          </w:p>
        </w:tc>
        <w:tc>
          <w:tcPr>
            <w:tcW w:w="1841" w:type="dxa"/>
            <w:shd w:val="clear" w:color="auto" w:fill="auto"/>
          </w:tcPr>
          <w:p w14:paraId="70EC1232"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2B82FB8E"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5A1BB54C" w14:textId="77777777" w:rsidTr="00E968E5">
        <w:tc>
          <w:tcPr>
            <w:tcW w:w="1236" w:type="dxa"/>
            <w:shd w:val="clear" w:color="auto" w:fill="D8DBDA"/>
          </w:tcPr>
          <w:p w14:paraId="27FCC960" w14:textId="77777777" w:rsidR="00E35E72" w:rsidRPr="00E968E5" w:rsidRDefault="00E35E72" w:rsidP="00E968E5">
            <w:pPr>
              <w:spacing w:after="0"/>
              <w:rPr>
                <w:sz w:val="19"/>
                <w:szCs w:val="19"/>
              </w:rPr>
            </w:pPr>
            <w:r w:rsidRPr="00E968E5">
              <w:rPr>
                <w:sz w:val="19"/>
                <w:szCs w:val="19"/>
              </w:rPr>
              <w:t>INJ964</w:t>
            </w:r>
          </w:p>
        </w:tc>
        <w:tc>
          <w:tcPr>
            <w:tcW w:w="4769" w:type="dxa"/>
            <w:shd w:val="clear" w:color="auto" w:fill="auto"/>
          </w:tcPr>
          <w:p w14:paraId="27C642C4" w14:textId="77777777" w:rsidR="00E35E72" w:rsidRPr="00E968E5" w:rsidRDefault="00E35E72" w:rsidP="00E968E5">
            <w:pPr>
              <w:spacing w:after="0"/>
              <w:rPr>
                <w:sz w:val="19"/>
                <w:szCs w:val="19"/>
              </w:rPr>
            </w:pPr>
            <w:r w:rsidRPr="00E968E5">
              <w:rPr>
                <w:sz w:val="19"/>
                <w:szCs w:val="19"/>
              </w:rPr>
              <w:t>Pacific Risk Resilience Program</w:t>
            </w:r>
          </w:p>
        </w:tc>
        <w:tc>
          <w:tcPr>
            <w:tcW w:w="1660" w:type="dxa"/>
            <w:shd w:val="clear" w:color="auto" w:fill="auto"/>
          </w:tcPr>
          <w:p w14:paraId="7BFC1957" w14:textId="77777777" w:rsidR="00E35E72" w:rsidRPr="00E968E5" w:rsidRDefault="00E35E72" w:rsidP="00E968E5">
            <w:pPr>
              <w:spacing w:after="0"/>
              <w:jc w:val="center"/>
              <w:rPr>
                <w:sz w:val="19"/>
                <w:szCs w:val="19"/>
              </w:rPr>
            </w:pPr>
            <w:r w:rsidRPr="00E968E5">
              <w:rPr>
                <w:sz w:val="19"/>
                <w:szCs w:val="19"/>
              </w:rPr>
              <w:t>G</w:t>
            </w:r>
            <w:r w:rsidR="006A741E">
              <w:rPr>
                <w:sz w:val="19"/>
                <w:szCs w:val="19"/>
              </w:rPr>
              <w:t>riffiths University</w:t>
            </w:r>
          </w:p>
        </w:tc>
        <w:tc>
          <w:tcPr>
            <w:tcW w:w="1841" w:type="dxa"/>
            <w:shd w:val="clear" w:color="auto" w:fill="auto"/>
          </w:tcPr>
          <w:p w14:paraId="11650B08" w14:textId="6DAFAE1A" w:rsidR="00E35E72" w:rsidRPr="00E968E5" w:rsidRDefault="00E35E72" w:rsidP="00E968E5">
            <w:pPr>
              <w:spacing w:after="0"/>
              <w:jc w:val="center"/>
              <w:rPr>
                <w:sz w:val="19"/>
                <w:szCs w:val="19"/>
              </w:rPr>
            </w:pPr>
            <w:r w:rsidRPr="00E968E5">
              <w:rPr>
                <w:sz w:val="19"/>
                <w:szCs w:val="19"/>
              </w:rPr>
              <w:t>2011</w:t>
            </w:r>
            <w:r w:rsidR="00307A6D">
              <w:rPr>
                <w:sz w:val="19"/>
                <w:szCs w:val="19"/>
              </w:rPr>
              <w:t>—</w:t>
            </w:r>
            <w:r w:rsidRPr="00E968E5">
              <w:rPr>
                <w:sz w:val="19"/>
                <w:szCs w:val="19"/>
              </w:rPr>
              <w:t>18</w:t>
            </w:r>
          </w:p>
        </w:tc>
        <w:tc>
          <w:tcPr>
            <w:tcW w:w="1770" w:type="dxa"/>
            <w:shd w:val="clear" w:color="auto" w:fill="auto"/>
          </w:tcPr>
          <w:p w14:paraId="6C64DF16" w14:textId="07B70DF1" w:rsidR="00E35E72" w:rsidRPr="00E968E5" w:rsidRDefault="00E35E72" w:rsidP="00E968E5">
            <w:pPr>
              <w:spacing w:after="0"/>
              <w:jc w:val="center"/>
              <w:rPr>
                <w:sz w:val="19"/>
                <w:szCs w:val="19"/>
              </w:rPr>
            </w:pPr>
            <w:r w:rsidRPr="00E968E5">
              <w:rPr>
                <w:sz w:val="19"/>
                <w:szCs w:val="19"/>
              </w:rPr>
              <w:t>$17</w:t>
            </w:r>
          </w:p>
        </w:tc>
        <w:tc>
          <w:tcPr>
            <w:tcW w:w="1841" w:type="dxa"/>
            <w:shd w:val="clear" w:color="auto" w:fill="auto"/>
          </w:tcPr>
          <w:p w14:paraId="74CF3D22"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4D694227"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12AB3386" w14:textId="77777777" w:rsidTr="00E968E5">
        <w:tc>
          <w:tcPr>
            <w:tcW w:w="1236" w:type="dxa"/>
            <w:shd w:val="clear" w:color="auto" w:fill="D8DBDA"/>
          </w:tcPr>
          <w:p w14:paraId="74070A5C" w14:textId="77777777" w:rsidR="00E35E72" w:rsidRPr="00E968E5" w:rsidRDefault="00E35E72" w:rsidP="00E968E5">
            <w:pPr>
              <w:spacing w:after="0"/>
              <w:rPr>
                <w:sz w:val="19"/>
                <w:szCs w:val="19"/>
              </w:rPr>
            </w:pPr>
            <w:r w:rsidRPr="00E968E5">
              <w:rPr>
                <w:sz w:val="19"/>
                <w:szCs w:val="19"/>
              </w:rPr>
              <w:lastRenderedPageBreak/>
              <w:t>INK303</w:t>
            </w:r>
            <w:r w:rsidRPr="00E968E5">
              <w:rPr>
                <w:rStyle w:val="FootnoteReference"/>
                <w:sz w:val="19"/>
                <w:szCs w:val="19"/>
              </w:rPr>
              <w:footnoteReference w:id="32"/>
            </w:r>
          </w:p>
        </w:tc>
        <w:tc>
          <w:tcPr>
            <w:tcW w:w="4769" w:type="dxa"/>
            <w:shd w:val="clear" w:color="auto" w:fill="auto"/>
          </w:tcPr>
          <w:p w14:paraId="4D255EE3" w14:textId="1E871E39" w:rsidR="00E35E72" w:rsidRPr="00E968E5" w:rsidRDefault="00E35E72" w:rsidP="00E968E5">
            <w:pPr>
              <w:spacing w:after="0"/>
              <w:rPr>
                <w:sz w:val="19"/>
                <w:szCs w:val="19"/>
              </w:rPr>
            </w:pPr>
            <w:r w:rsidRPr="00E968E5">
              <w:rPr>
                <w:sz w:val="19"/>
                <w:szCs w:val="19"/>
              </w:rPr>
              <w:t>Pacific Australia Climate Change Science and Adaptation Planning Program</w:t>
            </w:r>
          </w:p>
        </w:tc>
        <w:tc>
          <w:tcPr>
            <w:tcW w:w="1660" w:type="dxa"/>
            <w:shd w:val="clear" w:color="auto" w:fill="auto"/>
          </w:tcPr>
          <w:p w14:paraId="2DB600DC" w14:textId="33B7B6B2" w:rsidR="00E35E72" w:rsidRPr="00E968E5" w:rsidRDefault="00D94A0B" w:rsidP="00E968E5">
            <w:pPr>
              <w:spacing w:after="0"/>
              <w:jc w:val="center"/>
              <w:rPr>
                <w:sz w:val="19"/>
                <w:szCs w:val="19"/>
              </w:rPr>
            </w:pPr>
            <w:r>
              <w:rPr>
                <w:sz w:val="19"/>
                <w:szCs w:val="19"/>
              </w:rPr>
              <w:t>B</w:t>
            </w:r>
            <w:r w:rsidR="009F1CF9">
              <w:rPr>
                <w:sz w:val="19"/>
                <w:szCs w:val="19"/>
              </w:rPr>
              <w:t>O</w:t>
            </w:r>
            <w:r>
              <w:rPr>
                <w:sz w:val="19"/>
                <w:szCs w:val="19"/>
              </w:rPr>
              <w:t xml:space="preserve">M, </w:t>
            </w:r>
            <w:r w:rsidR="00E35E72" w:rsidRPr="00E968E5">
              <w:rPr>
                <w:sz w:val="19"/>
                <w:szCs w:val="19"/>
              </w:rPr>
              <w:t xml:space="preserve"> CSIRO,</w:t>
            </w:r>
            <w:r>
              <w:rPr>
                <w:sz w:val="19"/>
                <w:szCs w:val="19"/>
              </w:rPr>
              <w:t xml:space="preserve"> DoEE,</w:t>
            </w:r>
            <w:r w:rsidR="00E35E72" w:rsidRPr="00E968E5">
              <w:rPr>
                <w:sz w:val="19"/>
                <w:szCs w:val="19"/>
              </w:rPr>
              <w:t xml:space="preserve"> Geoscience Australia</w:t>
            </w:r>
          </w:p>
        </w:tc>
        <w:tc>
          <w:tcPr>
            <w:tcW w:w="1841" w:type="dxa"/>
            <w:shd w:val="clear" w:color="auto" w:fill="auto"/>
          </w:tcPr>
          <w:p w14:paraId="3A4BBBF5" w14:textId="29E8A1CF" w:rsidR="00E35E72" w:rsidRPr="00E968E5" w:rsidRDefault="00E35E72" w:rsidP="00E968E5">
            <w:pPr>
              <w:spacing w:after="0"/>
              <w:jc w:val="center"/>
              <w:rPr>
                <w:sz w:val="19"/>
                <w:szCs w:val="19"/>
              </w:rPr>
            </w:pPr>
            <w:r w:rsidRPr="00E968E5">
              <w:rPr>
                <w:sz w:val="19"/>
                <w:szCs w:val="19"/>
              </w:rPr>
              <w:t>2011</w:t>
            </w:r>
            <w:r w:rsidR="00D94A0B">
              <w:rPr>
                <w:sz w:val="19"/>
                <w:szCs w:val="19"/>
              </w:rPr>
              <w:t>–</w:t>
            </w:r>
            <w:r w:rsidRPr="00E968E5">
              <w:rPr>
                <w:sz w:val="19"/>
                <w:szCs w:val="19"/>
              </w:rPr>
              <w:t>16</w:t>
            </w:r>
          </w:p>
        </w:tc>
        <w:tc>
          <w:tcPr>
            <w:tcW w:w="1770" w:type="dxa"/>
            <w:shd w:val="clear" w:color="auto" w:fill="auto"/>
          </w:tcPr>
          <w:p w14:paraId="06767D26" w14:textId="5C943F30" w:rsidR="00E35E72" w:rsidRPr="00E968E5" w:rsidRDefault="00E35E72" w:rsidP="00E968E5">
            <w:pPr>
              <w:spacing w:after="0"/>
              <w:jc w:val="center"/>
              <w:rPr>
                <w:sz w:val="19"/>
                <w:szCs w:val="19"/>
              </w:rPr>
            </w:pPr>
            <w:r w:rsidRPr="00E968E5">
              <w:rPr>
                <w:sz w:val="19"/>
                <w:szCs w:val="19"/>
              </w:rPr>
              <w:t>$32</w:t>
            </w:r>
            <w:r w:rsidR="00307A6D">
              <w:rPr>
                <w:sz w:val="19"/>
                <w:szCs w:val="19"/>
              </w:rPr>
              <w:br/>
            </w:r>
          </w:p>
        </w:tc>
        <w:tc>
          <w:tcPr>
            <w:tcW w:w="1841" w:type="dxa"/>
            <w:shd w:val="clear" w:color="auto" w:fill="auto"/>
          </w:tcPr>
          <w:p w14:paraId="0AABD7CD" w14:textId="77777777" w:rsidR="00E35E72" w:rsidRPr="00E968E5" w:rsidRDefault="00E35E72" w:rsidP="00E968E5">
            <w:pPr>
              <w:spacing w:after="0"/>
              <w:jc w:val="center"/>
              <w:rPr>
                <w:sz w:val="19"/>
                <w:szCs w:val="19"/>
              </w:rPr>
            </w:pPr>
            <w:r w:rsidRPr="00E968E5">
              <w:rPr>
                <w:sz w:val="19"/>
                <w:szCs w:val="19"/>
              </w:rPr>
              <w:t>Adaptation</w:t>
            </w:r>
          </w:p>
        </w:tc>
        <w:tc>
          <w:tcPr>
            <w:tcW w:w="1614" w:type="dxa"/>
            <w:shd w:val="clear" w:color="auto" w:fill="auto"/>
          </w:tcPr>
          <w:p w14:paraId="7D828166" w14:textId="77777777" w:rsidR="00E35E72" w:rsidRPr="00E968E5" w:rsidRDefault="00E35E72" w:rsidP="00E968E5">
            <w:pPr>
              <w:spacing w:after="0"/>
              <w:jc w:val="center"/>
              <w:rPr>
                <w:sz w:val="19"/>
                <w:szCs w:val="19"/>
              </w:rPr>
            </w:pPr>
            <w:r w:rsidRPr="00E968E5">
              <w:rPr>
                <w:sz w:val="19"/>
                <w:szCs w:val="19"/>
              </w:rPr>
              <w:t>Targeted</w:t>
            </w:r>
          </w:p>
        </w:tc>
      </w:tr>
    </w:tbl>
    <w:p w14:paraId="4CE44CC2" w14:textId="77777777" w:rsidR="00E35E72" w:rsidRDefault="00E35E72" w:rsidP="00E35E72">
      <w:pPr>
        <w:pStyle w:val="Heading3"/>
      </w:pPr>
    </w:p>
    <w:p w14:paraId="6D618757" w14:textId="77777777" w:rsidR="00E35E72" w:rsidRPr="000735A6" w:rsidRDefault="00E35E72" w:rsidP="00B93A9D">
      <w:pPr>
        <w:pStyle w:val="Heading2"/>
        <w:numPr>
          <w:ilvl w:val="0"/>
          <w:numId w:val="0"/>
        </w:numPr>
        <w:ind w:left="432" w:hanging="432"/>
      </w:pPr>
      <w:bookmarkStart w:id="105" w:name="_Toc510771945"/>
      <w:r w:rsidRPr="000735A6">
        <w:t xml:space="preserve">Solomon Islands </w:t>
      </w:r>
      <w:r w:rsidR="00E77E6A">
        <w:t>c</w:t>
      </w:r>
      <w:r w:rsidRPr="000735A6">
        <w:t>ase</w:t>
      </w:r>
      <w:bookmarkEnd w:id="105"/>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Solomon Islands"/>
        <w:tblDescription w:val="Table lists Solomon Islands investments included in the evaluation."/>
      </w:tblPr>
      <w:tblGrid>
        <w:gridCol w:w="1231"/>
        <w:gridCol w:w="4242"/>
        <w:gridCol w:w="1537"/>
        <w:gridCol w:w="1742"/>
        <w:gridCol w:w="1720"/>
        <w:gridCol w:w="1741"/>
        <w:gridCol w:w="2517"/>
      </w:tblGrid>
      <w:tr w:rsidR="003E151C" w:rsidRPr="00E968E5" w14:paraId="19CF46F9" w14:textId="77777777" w:rsidTr="00E968E5">
        <w:tc>
          <w:tcPr>
            <w:tcW w:w="1231" w:type="dxa"/>
            <w:tcBorders>
              <w:top w:val="nil"/>
              <w:left w:val="nil"/>
              <w:bottom w:val="single" w:sz="12" w:space="0" w:color="FFFFFF"/>
              <w:right w:val="nil"/>
              <w:tl2br w:val="nil"/>
              <w:tr2bl w:val="nil"/>
            </w:tcBorders>
            <w:shd w:val="clear" w:color="auto" w:fill="D9D9D9"/>
          </w:tcPr>
          <w:p w14:paraId="5191FEC7" w14:textId="3E490F18"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umber</w:t>
            </w:r>
          </w:p>
        </w:tc>
        <w:tc>
          <w:tcPr>
            <w:tcW w:w="4242" w:type="dxa"/>
            <w:tcBorders>
              <w:top w:val="nil"/>
              <w:left w:val="nil"/>
              <w:bottom w:val="single" w:sz="12" w:space="0" w:color="FFFFFF"/>
              <w:right w:val="nil"/>
              <w:tl2br w:val="nil"/>
              <w:tr2bl w:val="nil"/>
            </w:tcBorders>
            <w:shd w:val="clear" w:color="auto" w:fill="D9D9D9"/>
          </w:tcPr>
          <w:p w14:paraId="68E800F7" w14:textId="13D4F2D3"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ame</w:t>
            </w:r>
          </w:p>
        </w:tc>
        <w:tc>
          <w:tcPr>
            <w:tcW w:w="1537" w:type="dxa"/>
            <w:tcBorders>
              <w:top w:val="nil"/>
              <w:left w:val="nil"/>
              <w:bottom w:val="single" w:sz="12" w:space="0" w:color="FFFFFF"/>
              <w:right w:val="nil"/>
              <w:tl2br w:val="nil"/>
              <w:tr2bl w:val="nil"/>
            </w:tcBorders>
            <w:shd w:val="clear" w:color="auto" w:fill="D9D9D9"/>
          </w:tcPr>
          <w:p w14:paraId="2779FA6B" w14:textId="6B7439BA" w:rsidR="00E35E72" w:rsidRPr="00E968E5" w:rsidRDefault="00E35E72" w:rsidP="00E968E5">
            <w:pPr>
              <w:spacing w:after="0"/>
              <w:jc w:val="center"/>
              <w:rPr>
                <w:sz w:val="19"/>
                <w:szCs w:val="19"/>
              </w:rPr>
            </w:pPr>
            <w:r w:rsidRPr="00E968E5">
              <w:rPr>
                <w:sz w:val="19"/>
                <w:szCs w:val="19"/>
              </w:rPr>
              <w:t>Aus</w:t>
            </w:r>
            <w:r w:rsidR="00307A6D">
              <w:rPr>
                <w:sz w:val="19"/>
                <w:szCs w:val="19"/>
              </w:rPr>
              <w:t xml:space="preserve">tralian </w:t>
            </w:r>
            <w:r w:rsidR="00FE4860">
              <w:rPr>
                <w:sz w:val="19"/>
                <w:szCs w:val="19"/>
              </w:rPr>
              <w:t>g</w:t>
            </w:r>
            <w:r w:rsidR="00307A6D">
              <w:rPr>
                <w:sz w:val="19"/>
                <w:szCs w:val="19"/>
              </w:rPr>
              <w:t>overnment p</w:t>
            </w:r>
            <w:r w:rsidRPr="00E968E5">
              <w:rPr>
                <w:sz w:val="19"/>
                <w:szCs w:val="19"/>
              </w:rPr>
              <w:t>artner</w:t>
            </w:r>
          </w:p>
        </w:tc>
        <w:tc>
          <w:tcPr>
            <w:tcW w:w="1742" w:type="dxa"/>
            <w:tcBorders>
              <w:top w:val="nil"/>
              <w:left w:val="nil"/>
              <w:bottom w:val="single" w:sz="12" w:space="0" w:color="FFFFFF"/>
              <w:right w:val="nil"/>
              <w:tl2br w:val="nil"/>
              <w:tr2bl w:val="nil"/>
            </w:tcBorders>
            <w:shd w:val="clear" w:color="auto" w:fill="D9D9D9"/>
          </w:tcPr>
          <w:p w14:paraId="0D88A9ED" w14:textId="64D793CC"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p</w:t>
            </w:r>
            <w:r w:rsidRPr="00E968E5">
              <w:rPr>
                <w:sz w:val="19"/>
                <w:szCs w:val="19"/>
              </w:rPr>
              <w:t>eriod</w:t>
            </w:r>
          </w:p>
        </w:tc>
        <w:tc>
          <w:tcPr>
            <w:tcW w:w="1720" w:type="dxa"/>
            <w:tcBorders>
              <w:top w:val="nil"/>
              <w:left w:val="nil"/>
              <w:bottom w:val="single" w:sz="12" w:space="0" w:color="FFFFFF"/>
              <w:right w:val="nil"/>
              <w:tl2br w:val="nil"/>
              <w:tr2bl w:val="nil"/>
            </w:tcBorders>
            <w:shd w:val="clear" w:color="auto" w:fill="D9D9D9"/>
          </w:tcPr>
          <w:p w14:paraId="4EEB8E69" w14:textId="3D4DE36F"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v</w:t>
            </w:r>
            <w:r w:rsidRPr="00E968E5">
              <w:rPr>
                <w:sz w:val="19"/>
                <w:szCs w:val="19"/>
              </w:rPr>
              <w:t>alue</w:t>
            </w:r>
          </w:p>
          <w:p w14:paraId="3DC33D84" w14:textId="4D9FE591" w:rsidR="00E35E72" w:rsidRPr="00E968E5" w:rsidRDefault="00E35E72" w:rsidP="00E968E5">
            <w:pPr>
              <w:spacing w:after="0"/>
              <w:jc w:val="center"/>
              <w:rPr>
                <w:sz w:val="19"/>
                <w:szCs w:val="19"/>
              </w:rPr>
            </w:pPr>
            <w:r w:rsidRPr="00E968E5">
              <w:rPr>
                <w:sz w:val="19"/>
                <w:szCs w:val="19"/>
              </w:rPr>
              <w:t>(approximate</w:t>
            </w:r>
            <w:r w:rsidR="0051387F">
              <w:rPr>
                <w:sz w:val="19"/>
                <w:szCs w:val="19"/>
              </w:rPr>
              <w:t xml:space="preserve">, </w:t>
            </w:r>
            <w:r w:rsidR="00307A6D">
              <w:rPr>
                <w:sz w:val="19"/>
                <w:szCs w:val="19"/>
              </w:rPr>
              <w:br/>
            </w:r>
            <w:r w:rsidR="0051387F">
              <w:rPr>
                <w:sz w:val="19"/>
                <w:szCs w:val="19"/>
              </w:rPr>
              <w:t>AUD</w:t>
            </w:r>
            <w:r w:rsidR="00307A6D">
              <w:rPr>
                <w:sz w:val="19"/>
                <w:szCs w:val="19"/>
              </w:rPr>
              <w:t xml:space="preserve"> million</w:t>
            </w:r>
            <w:r w:rsidRPr="00E968E5">
              <w:rPr>
                <w:sz w:val="19"/>
                <w:szCs w:val="19"/>
              </w:rPr>
              <w:t>)</w:t>
            </w:r>
          </w:p>
        </w:tc>
        <w:tc>
          <w:tcPr>
            <w:tcW w:w="1741" w:type="dxa"/>
            <w:tcBorders>
              <w:top w:val="nil"/>
              <w:left w:val="nil"/>
              <w:bottom w:val="single" w:sz="12" w:space="0" w:color="FFFFFF"/>
              <w:right w:val="nil"/>
              <w:tl2br w:val="nil"/>
              <w:tr2bl w:val="nil"/>
            </w:tcBorders>
            <w:shd w:val="clear" w:color="auto" w:fill="D9D9D9"/>
          </w:tcPr>
          <w:p w14:paraId="061BD5F6" w14:textId="701AE97F" w:rsidR="00E35E72" w:rsidRPr="00E968E5" w:rsidRDefault="00E35E72" w:rsidP="00E968E5">
            <w:pPr>
              <w:spacing w:after="0"/>
              <w:jc w:val="center"/>
              <w:rPr>
                <w:sz w:val="19"/>
                <w:szCs w:val="19"/>
              </w:rPr>
            </w:pPr>
            <w:r w:rsidRPr="00E968E5">
              <w:rPr>
                <w:sz w:val="19"/>
                <w:szCs w:val="19"/>
              </w:rPr>
              <w:t xml:space="preserve">Adaptation or </w:t>
            </w:r>
            <w:r w:rsidR="00307A6D">
              <w:rPr>
                <w:sz w:val="19"/>
                <w:szCs w:val="19"/>
              </w:rPr>
              <w:t>m</w:t>
            </w:r>
            <w:r w:rsidRPr="00E968E5">
              <w:rPr>
                <w:sz w:val="19"/>
                <w:szCs w:val="19"/>
              </w:rPr>
              <w:t>itigation?</w:t>
            </w:r>
          </w:p>
        </w:tc>
        <w:tc>
          <w:tcPr>
            <w:tcW w:w="2517" w:type="dxa"/>
            <w:tcBorders>
              <w:top w:val="nil"/>
              <w:left w:val="nil"/>
              <w:bottom w:val="single" w:sz="12" w:space="0" w:color="FFFFFF"/>
              <w:right w:val="nil"/>
              <w:tl2br w:val="nil"/>
              <w:tr2bl w:val="nil"/>
            </w:tcBorders>
            <w:shd w:val="clear" w:color="auto" w:fill="D9D9D9"/>
          </w:tcPr>
          <w:p w14:paraId="74EBEC25" w14:textId="4ED94122" w:rsidR="00E35E72" w:rsidRPr="00E968E5" w:rsidRDefault="00E35E72" w:rsidP="00E968E5">
            <w:pPr>
              <w:spacing w:after="0"/>
              <w:jc w:val="center"/>
              <w:rPr>
                <w:sz w:val="19"/>
                <w:szCs w:val="19"/>
              </w:rPr>
            </w:pPr>
            <w:r w:rsidRPr="00E968E5">
              <w:rPr>
                <w:sz w:val="19"/>
                <w:szCs w:val="19"/>
              </w:rPr>
              <w:t>C</w:t>
            </w:r>
            <w:r w:rsidR="00307A6D">
              <w:rPr>
                <w:sz w:val="19"/>
                <w:szCs w:val="19"/>
              </w:rPr>
              <w:t>limate change—t</w:t>
            </w:r>
            <w:r w:rsidRPr="00E968E5">
              <w:rPr>
                <w:sz w:val="19"/>
                <w:szCs w:val="19"/>
              </w:rPr>
              <w:t xml:space="preserve">argeted or </w:t>
            </w:r>
            <w:r w:rsidR="00307A6D">
              <w:rPr>
                <w:sz w:val="19"/>
                <w:szCs w:val="19"/>
              </w:rPr>
              <w:t>m</w:t>
            </w:r>
            <w:r w:rsidRPr="00E968E5">
              <w:rPr>
                <w:sz w:val="19"/>
                <w:szCs w:val="19"/>
              </w:rPr>
              <w:t>ainstreamed?</w:t>
            </w:r>
          </w:p>
        </w:tc>
      </w:tr>
      <w:tr w:rsidR="003E151C" w:rsidRPr="00E968E5" w14:paraId="32B32861" w14:textId="77777777" w:rsidTr="00E968E5">
        <w:tc>
          <w:tcPr>
            <w:tcW w:w="1231" w:type="dxa"/>
            <w:shd w:val="clear" w:color="auto" w:fill="D8DBDA"/>
          </w:tcPr>
          <w:p w14:paraId="3FE277ED" w14:textId="77777777" w:rsidR="00E35E72" w:rsidRPr="00E968E5" w:rsidRDefault="00E35E72" w:rsidP="00E968E5">
            <w:pPr>
              <w:spacing w:after="0"/>
              <w:rPr>
                <w:sz w:val="19"/>
                <w:szCs w:val="19"/>
              </w:rPr>
            </w:pPr>
            <w:r w:rsidRPr="00E968E5">
              <w:rPr>
                <w:sz w:val="19"/>
                <w:szCs w:val="19"/>
              </w:rPr>
              <w:t>INJ485</w:t>
            </w:r>
          </w:p>
        </w:tc>
        <w:tc>
          <w:tcPr>
            <w:tcW w:w="4242" w:type="dxa"/>
            <w:shd w:val="clear" w:color="auto" w:fill="auto"/>
          </w:tcPr>
          <w:p w14:paraId="6E1FA526" w14:textId="77777777" w:rsidR="00E35E72" w:rsidRPr="00E968E5" w:rsidRDefault="00E35E72" w:rsidP="00E968E5">
            <w:pPr>
              <w:spacing w:after="0"/>
              <w:rPr>
                <w:sz w:val="19"/>
                <w:szCs w:val="19"/>
              </w:rPr>
            </w:pPr>
            <w:r w:rsidRPr="00E968E5">
              <w:rPr>
                <w:sz w:val="19"/>
                <w:szCs w:val="19"/>
              </w:rPr>
              <w:t>Solomon Islands Transport Sector Based Approach</w:t>
            </w:r>
          </w:p>
        </w:tc>
        <w:tc>
          <w:tcPr>
            <w:tcW w:w="1537" w:type="dxa"/>
            <w:shd w:val="clear" w:color="auto" w:fill="auto"/>
          </w:tcPr>
          <w:p w14:paraId="4F0F8BC7" w14:textId="77777777" w:rsidR="00E35E72" w:rsidRPr="00E968E5" w:rsidRDefault="00E35E72" w:rsidP="00E968E5">
            <w:pPr>
              <w:spacing w:after="0"/>
              <w:jc w:val="center"/>
              <w:rPr>
                <w:sz w:val="19"/>
                <w:szCs w:val="19"/>
              </w:rPr>
            </w:pPr>
          </w:p>
        </w:tc>
        <w:tc>
          <w:tcPr>
            <w:tcW w:w="1742" w:type="dxa"/>
            <w:shd w:val="clear" w:color="auto" w:fill="auto"/>
          </w:tcPr>
          <w:p w14:paraId="22723D91" w14:textId="7FA49D46" w:rsidR="00E35E72" w:rsidRPr="00E968E5" w:rsidRDefault="00E35E72" w:rsidP="00E968E5">
            <w:pPr>
              <w:spacing w:after="0"/>
              <w:jc w:val="center"/>
              <w:rPr>
                <w:sz w:val="19"/>
                <w:szCs w:val="19"/>
              </w:rPr>
            </w:pPr>
            <w:r w:rsidRPr="00E968E5">
              <w:rPr>
                <w:sz w:val="19"/>
                <w:szCs w:val="19"/>
              </w:rPr>
              <w:t>2010</w:t>
            </w:r>
            <w:r w:rsidR="00A13986">
              <w:rPr>
                <w:sz w:val="19"/>
                <w:szCs w:val="19"/>
              </w:rPr>
              <w:sym w:font="Symbol" w:char="F02D"/>
            </w:r>
            <w:r w:rsidRPr="00E968E5">
              <w:rPr>
                <w:sz w:val="19"/>
                <w:szCs w:val="19"/>
              </w:rPr>
              <w:t>16</w:t>
            </w:r>
          </w:p>
        </w:tc>
        <w:tc>
          <w:tcPr>
            <w:tcW w:w="1720" w:type="dxa"/>
            <w:shd w:val="clear" w:color="auto" w:fill="auto"/>
          </w:tcPr>
          <w:p w14:paraId="13B0A936" w14:textId="69328428" w:rsidR="00E35E72" w:rsidRPr="00E968E5" w:rsidRDefault="00E35E72" w:rsidP="00E968E5">
            <w:pPr>
              <w:spacing w:after="0"/>
              <w:jc w:val="center"/>
              <w:rPr>
                <w:sz w:val="19"/>
                <w:szCs w:val="19"/>
              </w:rPr>
            </w:pPr>
            <w:r w:rsidRPr="00E968E5">
              <w:rPr>
                <w:sz w:val="19"/>
                <w:szCs w:val="19"/>
              </w:rPr>
              <w:t>$38</w:t>
            </w:r>
          </w:p>
        </w:tc>
        <w:tc>
          <w:tcPr>
            <w:tcW w:w="1741" w:type="dxa"/>
            <w:shd w:val="clear" w:color="auto" w:fill="auto"/>
          </w:tcPr>
          <w:p w14:paraId="7B5845AB"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0475B526"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06C08DD4" w14:textId="77777777" w:rsidTr="00E968E5">
        <w:tc>
          <w:tcPr>
            <w:tcW w:w="1231" w:type="dxa"/>
            <w:shd w:val="clear" w:color="auto" w:fill="D8DBDA"/>
          </w:tcPr>
          <w:p w14:paraId="1E20E636" w14:textId="77777777" w:rsidR="00E35E72" w:rsidRPr="00E968E5" w:rsidRDefault="00E35E72" w:rsidP="00E968E5">
            <w:pPr>
              <w:spacing w:after="0"/>
              <w:rPr>
                <w:sz w:val="19"/>
                <w:szCs w:val="19"/>
              </w:rPr>
            </w:pPr>
            <w:r w:rsidRPr="00E968E5">
              <w:rPr>
                <w:sz w:val="19"/>
                <w:szCs w:val="19"/>
              </w:rPr>
              <w:t>INK466</w:t>
            </w:r>
          </w:p>
        </w:tc>
        <w:tc>
          <w:tcPr>
            <w:tcW w:w="4242" w:type="dxa"/>
            <w:shd w:val="clear" w:color="auto" w:fill="auto"/>
          </w:tcPr>
          <w:p w14:paraId="6F2C5857" w14:textId="77777777" w:rsidR="00E35E72" w:rsidRPr="00E968E5" w:rsidRDefault="00E35E72" w:rsidP="00E968E5">
            <w:pPr>
              <w:spacing w:after="0"/>
              <w:rPr>
                <w:sz w:val="19"/>
                <w:szCs w:val="19"/>
              </w:rPr>
            </w:pPr>
            <w:r w:rsidRPr="00E968E5">
              <w:rPr>
                <w:sz w:val="19"/>
                <w:szCs w:val="19"/>
              </w:rPr>
              <w:t>Solomon Islands Energy Sector</w:t>
            </w:r>
            <w:r w:rsidR="00A13986">
              <w:rPr>
                <w:sz w:val="19"/>
                <w:szCs w:val="19"/>
              </w:rPr>
              <w:t>—</w:t>
            </w:r>
            <w:r w:rsidRPr="00E968E5">
              <w:rPr>
                <w:sz w:val="19"/>
                <w:szCs w:val="19"/>
              </w:rPr>
              <w:t>Tina River Hydro</w:t>
            </w:r>
          </w:p>
        </w:tc>
        <w:tc>
          <w:tcPr>
            <w:tcW w:w="1537" w:type="dxa"/>
            <w:shd w:val="clear" w:color="auto" w:fill="auto"/>
          </w:tcPr>
          <w:p w14:paraId="134600B0" w14:textId="77777777" w:rsidR="00E35E72" w:rsidRPr="00E968E5" w:rsidRDefault="00E35E72" w:rsidP="00E968E5">
            <w:pPr>
              <w:spacing w:after="0"/>
              <w:jc w:val="center"/>
              <w:rPr>
                <w:sz w:val="19"/>
                <w:szCs w:val="19"/>
              </w:rPr>
            </w:pPr>
          </w:p>
        </w:tc>
        <w:tc>
          <w:tcPr>
            <w:tcW w:w="1742" w:type="dxa"/>
            <w:shd w:val="clear" w:color="auto" w:fill="auto"/>
          </w:tcPr>
          <w:p w14:paraId="7F9515CF" w14:textId="5204EAF1" w:rsidR="00E35E72" w:rsidRPr="00E968E5" w:rsidRDefault="00E35E72" w:rsidP="00E968E5">
            <w:pPr>
              <w:spacing w:after="0"/>
              <w:jc w:val="center"/>
              <w:rPr>
                <w:sz w:val="19"/>
                <w:szCs w:val="19"/>
              </w:rPr>
            </w:pPr>
            <w:r w:rsidRPr="00E968E5">
              <w:rPr>
                <w:sz w:val="19"/>
                <w:szCs w:val="19"/>
              </w:rPr>
              <w:t>2012</w:t>
            </w:r>
            <w:r w:rsidR="00A13986">
              <w:rPr>
                <w:sz w:val="19"/>
                <w:szCs w:val="19"/>
              </w:rPr>
              <w:sym w:font="Symbol" w:char="F02D"/>
            </w:r>
            <w:r w:rsidRPr="00E968E5">
              <w:rPr>
                <w:sz w:val="19"/>
                <w:szCs w:val="19"/>
              </w:rPr>
              <w:t>17</w:t>
            </w:r>
          </w:p>
        </w:tc>
        <w:tc>
          <w:tcPr>
            <w:tcW w:w="1720" w:type="dxa"/>
            <w:shd w:val="clear" w:color="auto" w:fill="auto"/>
          </w:tcPr>
          <w:p w14:paraId="1572970B" w14:textId="21B5F56C" w:rsidR="00E35E72" w:rsidRPr="00E968E5" w:rsidRDefault="00E35E72" w:rsidP="00E968E5">
            <w:pPr>
              <w:spacing w:after="0"/>
              <w:jc w:val="center"/>
              <w:rPr>
                <w:sz w:val="19"/>
                <w:szCs w:val="19"/>
              </w:rPr>
            </w:pPr>
            <w:r w:rsidRPr="00E968E5">
              <w:rPr>
                <w:sz w:val="19"/>
                <w:szCs w:val="19"/>
              </w:rPr>
              <w:t>$5</w:t>
            </w:r>
          </w:p>
        </w:tc>
        <w:tc>
          <w:tcPr>
            <w:tcW w:w="1741" w:type="dxa"/>
            <w:shd w:val="clear" w:color="auto" w:fill="auto"/>
          </w:tcPr>
          <w:p w14:paraId="681949C0" w14:textId="77777777" w:rsidR="00E35E72" w:rsidRPr="00E968E5" w:rsidRDefault="00E35E72" w:rsidP="00E968E5">
            <w:pPr>
              <w:spacing w:after="0"/>
              <w:jc w:val="center"/>
              <w:rPr>
                <w:sz w:val="19"/>
                <w:szCs w:val="19"/>
              </w:rPr>
            </w:pPr>
            <w:r w:rsidRPr="00E968E5">
              <w:rPr>
                <w:sz w:val="19"/>
                <w:szCs w:val="19"/>
              </w:rPr>
              <w:t>Mitigation</w:t>
            </w:r>
          </w:p>
        </w:tc>
        <w:tc>
          <w:tcPr>
            <w:tcW w:w="2517" w:type="dxa"/>
            <w:shd w:val="clear" w:color="auto" w:fill="auto"/>
          </w:tcPr>
          <w:p w14:paraId="2D2F32E7"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22E3B96A" w14:textId="77777777" w:rsidTr="00E968E5">
        <w:tc>
          <w:tcPr>
            <w:tcW w:w="1231" w:type="dxa"/>
            <w:shd w:val="clear" w:color="auto" w:fill="D8DBDA"/>
          </w:tcPr>
          <w:p w14:paraId="240DC38D" w14:textId="77777777" w:rsidR="00E35E72" w:rsidRPr="00E968E5" w:rsidRDefault="00E35E72" w:rsidP="00E968E5">
            <w:pPr>
              <w:spacing w:after="0"/>
              <w:rPr>
                <w:sz w:val="19"/>
                <w:szCs w:val="19"/>
              </w:rPr>
            </w:pPr>
            <w:r w:rsidRPr="00E968E5">
              <w:rPr>
                <w:sz w:val="19"/>
                <w:szCs w:val="19"/>
              </w:rPr>
              <w:t>INJ711</w:t>
            </w:r>
          </w:p>
        </w:tc>
        <w:tc>
          <w:tcPr>
            <w:tcW w:w="4242" w:type="dxa"/>
            <w:shd w:val="clear" w:color="auto" w:fill="auto"/>
          </w:tcPr>
          <w:p w14:paraId="3F13C147" w14:textId="77777777" w:rsidR="00E35E72" w:rsidRPr="00E968E5" w:rsidRDefault="00E35E72" w:rsidP="00E968E5">
            <w:pPr>
              <w:spacing w:after="0"/>
              <w:rPr>
                <w:sz w:val="19"/>
                <w:szCs w:val="19"/>
              </w:rPr>
            </w:pPr>
            <w:r w:rsidRPr="00E968E5">
              <w:rPr>
                <w:sz w:val="19"/>
                <w:szCs w:val="19"/>
              </w:rPr>
              <w:t xml:space="preserve">Kastom Gaden Association </w:t>
            </w:r>
          </w:p>
        </w:tc>
        <w:tc>
          <w:tcPr>
            <w:tcW w:w="1537" w:type="dxa"/>
            <w:shd w:val="clear" w:color="auto" w:fill="auto"/>
          </w:tcPr>
          <w:p w14:paraId="73EA9E73" w14:textId="77777777" w:rsidR="00E35E72" w:rsidRPr="00E968E5" w:rsidRDefault="00E35E72" w:rsidP="00E968E5">
            <w:pPr>
              <w:spacing w:after="0"/>
              <w:jc w:val="center"/>
              <w:rPr>
                <w:sz w:val="19"/>
                <w:szCs w:val="19"/>
              </w:rPr>
            </w:pPr>
          </w:p>
        </w:tc>
        <w:tc>
          <w:tcPr>
            <w:tcW w:w="1742" w:type="dxa"/>
            <w:shd w:val="clear" w:color="auto" w:fill="auto"/>
          </w:tcPr>
          <w:p w14:paraId="0ACDA3EE" w14:textId="5C94E9DA" w:rsidR="00E35E72" w:rsidRPr="00E968E5" w:rsidRDefault="00E35E72" w:rsidP="00E968E5">
            <w:pPr>
              <w:spacing w:after="0"/>
              <w:jc w:val="center"/>
              <w:rPr>
                <w:sz w:val="19"/>
                <w:szCs w:val="19"/>
              </w:rPr>
            </w:pPr>
            <w:r w:rsidRPr="00E968E5">
              <w:rPr>
                <w:sz w:val="19"/>
                <w:szCs w:val="19"/>
              </w:rPr>
              <w:t>2010</w:t>
            </w:r>
            <w:r w:rsidR="00A13986">
              <w:rPr>
                <w:sz w:val="19"/>
                <w:szCs w:val="19"/>
              </w:rPr>
              <w:sym w:font="Symbol" w:char="F02D"/>
            </w:r>
            <w:r w:rsidRPr="00E968E5">
              <w:rPr>
                <w:sz w:val="19"/>
                <w:szCs w:val="19"/>
              </w:rPr>
              <w:t>17</w:t>
            </w:r>
          </w:p>
        </w:tc>
        <w:tc>
          <w:tcPr>
            <w:tcW w:w="1720" w:type="dxa"/>
            <w:shd w:val="clear" w:color="auto" w:fill="auto"/>
          </w:tcPr>
          <w:p w14:paraId="0E16A892" w14:textId="57DC442F" w:rsidR="00E35E72" w:rsidRPr="00E968E5" w:rsidRDefault="00E35E72" w:rsidP="00E968E5">
            <w:pPr>
              <w:spacing w:after="0"/>
              <w:jc w:val="center"/>
              <w:rPr>
                <w:sz w:val="19"/>
                <w:szCs w:val="19"/>
              </w:rPr>
            </w:pPr>
            <w:r w:rsidRPr="00E968E5">
              <w:rPr>
                <w:sz w:val="19"/>
                <w:szCs w:val="19"/>
              </w:rPr>
              <w:t>$4</w:t>
            </w:r>
          </w:p>
        </w:tc>
        <w:tc>
          <w:tcPr>
            <w:tcW w:w="1741" w:type="dxa"/>
            <w:shd w:val="clear" w:color="auto" w:fill="auto"/>
          </w:tcPr>
          <w:p w14:paraId="164DAAFB"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3CA50CAA"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0CB88392" w14:textId="77777777" w:rsidTr="00E968E5">
        <w:tc>
          <w:tcPr>
            <w:tcW w:w="1231" w:type="dxa"/>
            <w:shd w:val="clear" w:color="auto" w:fill="D8DBDA"/>
          </w:tcPr>
          <w:p w14:paraId="154CE151" w14:textId="77777777" w:rsidR="00E35E72" w:rsidRPr="00E968E5" w:rsidRDefault="00E35E72" w:rsidP="00E968E5">
            <w:pPr>
              <w:spacing w:after="0"/>
              <w:rPr>
                <w:sz w:val="19"/>
                <w:szCs w:val="19"/>
              </w:rPr>
            </w:pPr>
            <w:r w:rsidRPr="00E968E5">
              <w:rPr>
                <w:sz w:val="19"/>
                <w:szCs w:val="19"/>
              </w:rPr>
              <w:t>INK143</w:t>
            </w:r>
          </w:p>
        </w:tc>
        <w:tc>
          <w:tcPr>
            <w:tcW w:w="4242" w:type="dxa"/>
            <w:shd w:val="clear" w:color="auto" w:fill="auto"/>
          </w:tcPr>
          <w:p w14:paraId="416C90AE" w14:textId="77777777" w:rsidR="00E35E72" w:rsidRPr="00E968E5" w:rsidRDefault="00E35E72" w:rsidP="00E968E5">
            <w:pPr>
              <w:spacing w:after="0"/>
              <w:rPr>
                <w:sz w:val="19"/>
                <w:szCs w:val="19"/>
              </w:rPr>
            </w:pPr>
            <w:r w:rsidRPr="00E968E5">
              <w:rPr>
                <w:sz w:val="19"/>
                <w:szCs w:val="19"/>
              </w:rPr>
              <w:t>Solomon Islands Urban Water Supply</w:t>
            </w:r>
          </w:p>
        </w:tc>
        <w:tc>
          <w:tcPr>
            <w:tcW w:w="1537" w:type="dxa"/>
            <w:shd w:val="clear" w:color="auto" w:fill="auto"/>
          </w:tcPr>
          <w:p w14:paraId="7CF73C26" w14:textId="77777777" w:rsidR="00E35E72" w:rsidRPr="00E968E5" w:rsidRDefault="00E35E72" w:rsidP="00E968E5">
            <w:pPr>
              <w:spacing w:after="0"/>
              <w:jc w:val="center"/>
              <w:rPr>
                <w:sz w:val="19"/>
                <w:szCs w:val="19"/>
              </w:rPr>
            </w:pPr>
          </w:p>
        </w:tc>
        <w:tc>
          <w:tcPr>
            <w:tcW w:w="1742" w:type="dxa"/>
            <w:shd w:val="clear" w:color="auto" w:fill="auto"/>
          </w:tcPr>
          <w:p w14:paraId="33CB6EF3" w14:textId="38309FCF" w:rsidR="00E35E72" w:rsidRPr="00E968E5" w:rsidRDefault="00E35E72" w:rsidP="00E968E5">
            <w:pPr>
              <w:spacing w:after="0"/>
              <w:jc w:val="center"/>
              <w:rPr>
                <w:sz w:val="19"/>
                <w:szCs w:val="19"/>
              </w:rPr>
            </w:pPr>
            <w:r w:rsidRPr="00E968E5">
              <w:rPr>
                <w:sz w:val="19"/>
                <w:szCs w:val="19"/>
              </w:rPr>
              <w:t>2011</w:t>
            </w:r>
            <w:r w:rsidR="00A13986">
              <w:rPr>
                <w:sz w:val="19"/>
                <w:szCs w:val="19"/>
              </w:rPr>
              <w:sym w:font="Symbol" w:char="F02D"/>
            </w:r>
            <w:r w:rsidRPr="00E968E5">
              <w:rPr>
                <w:sz w:val="19"/>
                <w:szCs w:val="19"/>
              </w:rPr>
              <w:t>18</w:t>
            </w:r>
          </w:p>
        </w:tc>
        <w:tc>
          <w:tcPr>
            <w:tcW w:w="1720" w:type="dxa"/>
            <w:shd w:val="clear" w:color="auto" w:fill="auto"/>
          </w:tcPr>
          <w:p w14:paraId="1E6C1E8C" w14:textId="3C6F8EC8" w:rsidR="00E35E72" w:rsidRPr="00E968E5" w:rsidRDefault="00E35E72" w:rsidP="00E968E5">
            <w:pPr>
              <w:spacing w:after="0"/>
              <w:jc w:val="center"/>
              <w:rPr>
                <w:sz w:val="19"/>
                <w:szCs w:val="19"/>
              </w:rPr>
            </w:pPr>
            <w:r w:rsidRPr="00E968E5">
              <w:rPr>
                <w:sz w:val="19"/>
                <w:szCs w:val="19"/>
              </w:rPr>
              <w:t>$17</w:t>
            </w:r>
          </w:p>
        </w:tc>
        <w:tc>
          <w:tcPr>
            <w:tcW w:w="1741" w:type="dxa"/>
            <w:shd w:val="clear" w:color="auto" w:fill="auto"/>
          </w:tcPr>
          <w:p w14:paraId="34DC922A"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0CE01CAB"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0828AEF0" w14:textId="77777777" w:rsidTr="00E968E5">
        <w:tc>
          <w:tcPr>
            <w:tcW w:w="1231" w:type="dxa"/>
            <w:shd w:val="clear" w:color="auto" w:fill="D8DBDA"/>
          </w:tcPr>
          <w:p w14:paraId="1D9C3B67" w14:textId="77777777" w:rsidR="00E35E72" w:rsidRPr="00E968E5" w:rsidRDefault="00E35E72" w:rsidP="00E968E5">
            <w:pPr>
              <w:spacing w:after="0"/>
              <w:rPr>
                <w:sz w:val="19"/>
                <w:szCs w:val="19"/>
              </w:rPr>
            </w:pPr>
            <w:r w:rsidRPr="00E968E5">
              <w:rPr>
                <w:sz w:val="19"/>
                <w:szCs w:val="19"/>
              </w:rPr>
              <w:t>INH615</w:t>
            </w:r>
          </w:p>
        </w:tc>
        <w:tc>
          <w:tcPr>
            <w:tcW w:w="4242" w:type="dxa"/>
            <w:shd w:val="clear" w:color="auto" w:fill="auto"/>
          </w:tcPr>
          <w:p w14:paraId="0D9F9D36" w14:textId="77777777" w:rsidR="00E35E72" w:rsidRPr="00E968E5" w:rsidRDefault="00E35E72" w:rsidP="00E968E5">
            <w:pPr>
              <w:spacing w:after="0"/>
              <w:rPr>
                <w:sz w:val="19"/>
                <w:szCs w:val="19"/>
              </w:rPr>
            </w:pPr>
            <w:r w:rsidRPr="00E968E5">
              <w:rPr>
                <w:sz w:val="19"/>
                <w:szCs w:val="19"/>
              </w:rPr>
              <w:t>Solomon Islands Rural Development Program</w:t>
            </w:r>
          </w:p>
        </w:tc>
        <w:tc>
          <w:tcPr>
            <w:tcW w:w="1537" w:type="dxa"/>
            <w:shd w:val="clear" w:color="auto" w:fill="auto"/>
          </w:tcPr>
          <w:p w14:paraId="3F5EDC56" w14:textId="77777777" w:rsidR="00E35E72" w:rsidRPr="00E968E5" w:rsidRDefault="00E35E72" w:rsidP="00E968E5">
            <w:pPr>
              <w:spacing w:after="0"/>
              <w:jc w:val="center"/>
              <w:rPr>
                <w:sz w:val="19"/>
                <w:szCs w:val="19"/>
              </w:rPr>
            </w:pPr>
          </w:p>
        </w:tc>
        <w:tc>
          <w:tcPr>
            <w:tcW w:w="1742" w:type="dxa"/>
            <w:shd w:val="clear" w:color="auto" w:fill="auto"/>
          </w:tcPr>
          <w:p w14:paraId="3537A02A" w14:textId="1EC56C8B" w:rsidR="00E35E72" w:rsidRPr="00E968E5" w:rsidRDefault="00E35E72" w:rsidP="00E968E5">
            <w:pPr>
              <w:spacing w:after="0"/>
              <w:jc w:val="center"/>
              <w:rPr>
                <w:sz w:val="19"/>
                <w:szCs w:val="19"/>
              </w:rPr>
            </w:pPr>
            <w:r w:rsidRPr="00E968E5">
              <w:rPr>
                <w:sz w:val="19"/>
                <w:szCs w:val="19"/>
              </w:rPr>
              <w:t>2007–21</w:t>
            </w:r>
          </w:p>
        </w:tc>
        <w:tc>
          <w:tcPr>
            <w:tcW w:w="1720" w:type="dxa"/>
            <w:shd w:val="clear" w:color="auto" w:fill="auto"/>
          </w:tcPr>
          <w:p w14:paraId="32084BB1" w14:textId="16E1DAD4" w:rsidR="00E35E72" w:rsidRPr="00E968E5" w:rsidRDefault="00E35E72" w:rsidP="00E968E5">
            <w:pPr>
              <w:spacing w:after="0"/>
              <w:jc w:val="center"/>
              <w:rPr>
                <w:sz w:val="19"/>
                <w:szCs w:val="19"/>
              </w:rPr>
            </w:pPr>
            <w:r w:rsidRPr="00E968E5">
              <w:rPr>
                <w:sz w:val="19"/>
                <w:szCs w:val="19"/>
              </w:rPr>
              <w:t>$35</w:t>
            </w:r>
          </w:p>
        </w:tc>
        <w:tc>
          <w:tcPr>
            <w:tcW w:w="1741" w:type="dxa"/>
            <w:shd w:val="clear" w:color="auto" w:fill="auto"/>
          </w:tcPr>
          <w:p w14:paraId="034C9661"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2C31A8E2"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44D46E47" w14:textId="77777777" w:rsidTr="00E968E5">
        <w:tc>
          <w:tcPr>
            <w:tcW w:w="1231" w:type="dxa"/>
            <w:shd w:val="clear" w:color="auto" w:fill="D8DBDA"/>
          </w:tcPr>
          <w:p w14:paraId="1BCBE696" w14:textId="77777777" w:rsidR="00E35E72" w:rsidRPr="00E968E5" w:rsidRDefault="00E35E72" w:rsidP="00E968E5">
            <w:pPr>
              <w:spacing w:after="0"/>
              <w:rPr>
                <w:sz w:val="19"/>
                <w:szCs w:val="19"/>
              </w:rPr>
            </w:pPr>
            <w:r w:rsidRPr="00E968E5">
              <w:rPr>
                <w:sz w:val="19"/>
                <w:szCs w:val="19"/>
              </w:rPr>
              <w:t>INL125</w:t>
            </w:r>
          </w:p>
        </w:tc>
        <w:tc>
          <w:tcPr>
            <w:tcW w:w="4242" w:type="dxa"/>
            <w:shd w:val="clear" w:color="auto" w:fill="auto"/>
          </w:tcPr>
          <w:p w14:paraId="7859C136" w14:textId="77777777" w:rsidR="00E35E72" w:rsidRPr="00E968E5" w:rsidRDefault="00E35E72" w:rsidP="00E968E5">
            <w:pPr>
              <w:spacing w:after="0"/>
              <w:rPr>
                <w:sz w:val="19"/>
                <w:szCs w:val="19"/>
              </w:rPr>
            </w:pPr>
            <w:r w:rsidRPr="00E968E5">
              <w:rPr>
                <w:sz w:val="19"/>
                <w:szCs w:val="19"/>
              </w:rPr>
              <w:t>Solomon Islands Disaster Risk Response</w:t>
            </w:r>
          </w:p>
        </w:tc>
        <w:tc>
          <w:tcPr>
            <w:tcW w:w="1537" w:type="dxa"/>
            <w:shd w:val="clear" w:color="auto" w:fill="auto"/>
          </w:tcPr>
          <w:p w14:paraId="265621B7" w14:textId="77777777" w:rsidR="00E35E72" w:rsidRPr="00E968E5" w:rsidRDefault="00E35E72" w:rsidP="00E968E5">
            <w:pPr>
              <w:spacing w:after="0"/>
              <w:jc w:val="center"/>
              <w:rPr>
                <w:sz w:val="19"/>
                <w:szCs w:val="19"/>
              </w:rPr>
            </w:pPr>
          </w:p>
        </w:tc>
        <w:tc>
          <w:tcPr>
            <w:tcW w:w="1742" w:type="dxa"/>
            <w:shd w:val="clear" w:color="auto" w:fill="auto"/>
          </w:tcPr>
          <w:p w14:paraId="51582EF0" w14:textId="7194B1AF" w:rsidR="00E35E72" w:rsidRPr="00E968E5" w:rsidRDefault="00E35E72" w:rsidP="00E968E5">
            <w:pPr>
              <w:spacing w:after="0"/>
              <w:jc w:val="center"/>
              <w:rPr>
                <w:sz w:val="19"/>
                <w:szCs w:val="19"/>
              </w:rPr>
            </w:pPr>
            <w:r w:rsidRPr="00E968E5">
              <w:rPr>
                <w:sz w:val="19"/>
                <w:szCs w:val="19"/>
              </w:rPr>
              <w:t>2013</w:t>
            </w:r>
            <w:r w:rsidR="00A13986">
              <w:rPr>
                <w:sz w:val="19"/>
                <w:szCs w:val="19"/>
              </w:rPr>
              <w:sym w:font="Symbol" w:char="F02D"/>
            </w:r>
            <w:r w:rsidRPr="00E968E5">
              <w:rPr>
                <w:sz w:val="19"/>
                <w:szCs w:val="19"/>
              </w:rPr>
              <w:t>19</w:t>
            </w:r>
          </w:p>
        </w:tc>
        <w:tc>
          <w:tcPr>
            <w:tcW w:w="1720" w:type="dxa"/>
            <w:shd w:val="clear" w:color="auto" w:fill="auto"/>
          </w:tcPr>
          <w:p w14:paraId="3F0D95A3" w14:textId="70716907" w:rsidR="00E35E72" w:rsidRPr="00E968E5" w:rsidRDefault="00E35E72" w:rsidP="00E968E5">
            <w:pPr>
              <w:spacing w:after="0"/>
              <w:jc w:val="center"/>
              <w:rPr>
                <w:sz w:val="19"/>
                <w:szCs w:val="19"/>
              </w:rPr>
            </w:pPr>
            <w:r w:rsidRPr="00E968E5">
              <w:rPr>
                <w:sz w:val="19"/>
                <w:szCs w:val="19"/>
              </w:rPr>
              <w:t>$3</w:t>
            </w:r>
          </w:p>
        </w:tc>
        <w:tc>
          <w:tcPr>
            <w:tcW w:w="1741" w:type="dxa"/>
            <w:shd w:val="clear" w:color="auto" w:fill="auto"/>
          </w:tcPr>
          <w:p w14:paraId="07327000"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34FF650D"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321A959A" w14:textId="77777777" w:rsidTr="00E968E5">
        <w:tc>
          <w:tcPr>
            <w:tcW w:w="1231" w:type="dxa"/>
            <w:shd w:val="clear" w:color="auto" w:fill="D8DBDA"/>
          </w:tcPr>
          <w:p w14:paraId="2497695E" w14:textId="63D89937" w:rsidR="00E35E72" w:rsidRPr="00A636CA" w:rsidRDefault="00725D6C" w:rsidP="005C77AC">
            <w:pPr>
              <w:spacing w:after="0"/>
              <w:rPr>
                <w:sz w:val="19"/>
                <w:szCs w:val="19"/>
                <w:highlight w:val="yellow"/>
              </w:rPr>
            </w:pPr>
            <w:r w:rsidRPr="00725D6C">
              <w:rPr>
                <w:sz w:val="19"/>
                <w:szCs w:val="19"/>
              </w:rPr>
              <w:t>IN</w:t>
            </w:r>
            <w:r w:rsidR="005C77AC">
              <w:rPr>
                <w:sz w:val="19"/>
                <w:szCs w:val="19"/>
              </w:rPr>
              <w:t>L</w:t>
            </w:r>
            <w:r w:rsidR="00F508EE" w:rsidRPr="00725D6C">
              <w:rPr>
                <w:sz w:val="19"/>
                <w:szCs w:val="19"/>
              </w:rPr>
              <w:t>1</w:t>
            </w:r>
            <w:r w:rsidR="00E35E72" w:rsidRPr="00725D6C">
              <w:rPr>
                <w:sz w:val="19"/>
                <w:szCs w:val="19"/>
              </w:rPr>
              <w:t>29</w:t>
            </w:r>
          </w:p>
        </w:tc>
        <w:tc>
          <w:tcPr>
            <w:tcW w:w="4242" w:type="dxa"/>
            <w:shd w:val="clear" w:color="auto" w:fill="auto"/>
          </w:tcPr>
          <w:p w14:paraId="5FB2113D" w14:textId="77777777" w:rsidR="00E35E72" w:rsidRPr="00E968E5" w:rsidRDefault="00E35E72" w:rsidP="00E968E5">
            <w:pPr>
              <w:spacing w:after="0"/>
              <w:rPr>
                <w:sz w:val="19"/>
                <w:szCs w:val="19"/>
              </w:rPr>
            </w:pPr>
            <w:r w:rsidRPr="00E968E5">
              <w:rPr>
                <w:sz w:val="19"/>
                <w:szCs w:val="19"/>
              </w:rPr>
              <w:t>Education Sector Support Program</w:t>
            </w:r>
          </w:p>
        </w:tc>
        <w:tc>
          <w:tcPr>
            <w:tcW w:w="1537" w:type="dxa"/>
            <w:shd w:val="clear" w:color="auto" w:fill="auto"/>
          </w:tcPr>
          <w:p w14:paraId="4D4C460C" w14:textId="77777777" w:rsidR="00E35E72" w:rsidRPr="00E968E5" w:rsidRDefault="00E35E72" w:rsidP="00E968E5">
            <w:pPr>
              <w:spacing w:after="0"/>
              <w:jc w:val="center"/>
              <w:rPr>
                <w:sz w:val="19"/>
                <w:szCs w:val="19"/>
              </w:rPr>
            </w:pPr>
          </w:p>
        </w:tc>
        <w:tc>
          <w:tcPr>
            <w:tcW w:w="1742" w:type="dxa"/>
            <w:shd w:val="clear" w:color="auto" w:fill="auto"/>
          </w:tcPr>
          <w:p w14:paraId="022821FD" w14:textId="5DC4D357" w:rsidR="00E35E72" w:rsidRPr="00E968E5" w:rsidRDefault="00E35E72" w:rsidP="00E968E5">
            <w:pPr>
              <w:spacing w:after="0"/>
              <w:jc w:val="center"/>
              <w:rPr>
                <w:sz w:val="19"/>
                <w:szCs w:val="19"/>
              </w:rPr>
            </w:pPr>
            <w:r w:rsidRPr="00E968E5">
              <w:rPr>
                <w:sz w:val="19"/>
                <w:szCs w:val="19"/>
              </w:rPr>
              <w:t>201</w:t>
            </w:r>
            <w:r w:rsidR="00F508EE" w:rsidRPr="00E968E5">
              <w:rPr>
                <w:sz w:val="19"/>
                <w:szCs w:val="19"/>
              </w:rPr>
              <w:t>5</w:t>
            </w:r>
            <w:r w:rsidR="00F508EE">
              <w:rPr>
                <w:sz w:val="19"/>
                <w:szCs w:val="19"/>
              </w:rPr>
              <w:t>–</w:t>
            </w:r>
            <w:r w:rsidRPr="00E968E5">
              <w:rPr>
                <w:sz w:val="19"/>
                <w:szCs w:val="19"/>
              </w:rPr>
              <w:t>18</w:t>
            </w:r>
          </w:p>
        </w:tc>
        <w:tc>
          <w:tcPr>
            <w:tcW w:w="1720" w:type="dxa"/>
            <w:shd w:val="clear" w:color="auto" w:fill="auto"/>
          </w:tcPr>
          <w:p w14:paraId="58ACA267" w14:textId="62ECA8A4" w:rsidR="00E35E72" w:rsidRPr="00E968E5" w:rsidRDefault="00E35E72" w:rsidP="00E968E5">
            <w:pPr>
              <w:spacing w:after="0"/>
              <w:jc w:val="center"/>
              <w:rPr>
                <w:sz w:val="19"/>
                <w:szCs w:val="19"/>
              </w:rPr>
            </w:pPr>
            <w:r w:rsidRPr="00E968E5">
              <w:rPr>
                <w:sz w:val="19"/>
                <w:szCs w:val="19"/>
              </w:rPr>
              <w:t>$71</w:t>
            </w:r>
          </w:p>
        </w:tc>
        <w:tc>
          <w:tcPr>
            <w:tcW w:w="1741" w:type="dxa"/>
            <w:shd w:val="clear" w:color="auto" w:fill="auto"/>
          </w:tcPr>
          <w:p w14:paraId="71DF2BCC" w14:textId="77777777" w:rsidR="00E35E72" w:rsidRPr="00E968E5" w:rsidRDefault="00E35E72" w:rsidP="00E968E5">
            <w:pPr>
              <w:spacing w:after="0"/>
              <w:jc w:val="center"/>
              <w:rPr>
                <w:sz w:val="19"/>
                <w:szCs w:val="19"/>
              </w:rPr>
            </w:pPr>
            <w:r w:rsidRPr="00E968E5">
              <w:rPr>
                <w:sz w:val="19"/>
                <w:szCs w:val="19"/>
              </w:rPr>
              <w:t>Adaptation</w:t>
            </w:r>
          </w:p>
        </w:tc>
        <w:tc>
          <w:tcPr>
            <w:tcW w:w="2517" w:type="dxa"/>
            <w:shd w:val="clear" w:color="auto" w:fill="auto"/>
          </w:tcPr>
          <w:p w14:paraId="19A034E9" w14:textId="77777777" w:rsidR="00E35E72" w:rsidRPr="00E968E5" w:rsidRDefault="00E35E72" w:rsidP="00E968E5">
            <w:pPr>
              <w:spacing w:after="0"/>
              <w:jc w:val="center"/>
              <w:rPr>
                <w:sz w:val="19"/>
                <w:szCs w:val="19"/>
              </w:rPr>
            </w:pPr>
            <w:r w:rsidRPr="00E968E5">
              <w:rPr>
                <w:sz w:val="19"/>
                <w:szCs w:val="19"/>
              </w:rPr>
              <w:t>Mainstreamed</w:t>
            </w:r>
          </w:p>
        </w:tc>
      </w:tr>
    </w:tbl>
    <w:p w14:paraId="40EA0F4F" w14:textId="77777777" w:rsidR="00E35E72" w:rsidRDefault="00E35E72" w:rsidP="00E35E72">
      <w:pPr>
        <w:spacing w:after="0"/>
      </w:pPr>
    </w:p>
    <w:p w14:paraId="6E5A25C9" w14:textId="41AA1C52" w:rsidR="00E35E72" w:rsidRPr="00E97658" w:rsidRDefault="00E35E72" w:rsidP="00B93A9D">
      <w:pPr>
        <w:pStyle w:val="Heading2"/>
        <w:numPr>
          <w:ilvl w:val="0"/>
          <w:numId w:val="0"/>
        </w:numPr>
        <w:ind w:left="432" w:hanging="432"/>
      </w:pPr>
      <w:bookmarkStart w:id="106" w:name="_Toc510771946"/>
      <w:r>
        <w:lastRenderedPageBreak/>
        <w:t xml:space="preserve">Notable </w:t>
      </w:r>
      <w:r w:rsidR="0003786C">
        <w:t>i</w:t>
      </w:r>
      <w:r>
        <w:t>nvestments (not within a selected country</w:t>
      </w:r>
      <w:r w:rsidR="00636397">
        <w:t xml:space="preserve"> or </w:t>
      </w:r>
      <w:r>
        <w:t>regional case)</w:t>
      </w:r>
      <w:bookmarkEnd w:id="106"/>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Notable Investments "/>
        <w:tblDescription w:val="Table lists Notable Investments included in the evaluation"/>
      </w:tblPr>
      <w:tblGrid>
        <w:gridCol w:w="1646"/>
        <w:gridCol w:w="3790"/>
        <w:gridCol w:w="1340"/>
        <w:gridCol w:w="1441"/>
        <w:gridCol w:w="1664"/>
        <w:gridCol w:w="1680"/>
        <w:gridCol w:w="1663"/>
        <w:gridCol w:w="1507"/>
      </w:tblGrid>
      <w:tr w:rsidR="003E151C" w:rsidRPr="00E968E5" w14:paraId="074C4AA0" w14:textId="77777777" w:rsidTr="00E968E5">
        <w:tc>
          <w:tcPr>
            <w:tcW w:w="1646" w:type="dxa"/>
            <w:tcBorders>
              <w:top w:val="nil"/>
              <w:left w:val="nil"/>
              <w:bottom w:val="single" w:sz="12" w:space="0" w:color="FFFFFF"/>
              <w:right w:val="nil"/>
              <w:tl2br w:val="nil"/>
              <w:tr2bl w:val="nil"/>
            </w:tcBorders>
            <w:shd w:val="clear" w:color="auto" w:fill="D9D9D9"/>
          </w:tcPr>
          <w:p w14:paraId="136872EE" w14:textId="6148E842"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umber</w:t>
            </w:r>
          </w:p>
        </w:tc>
        <w:tc>
          <w:tcPr>
            <w:tcW w:w="3790" w:type="dxa"/>
            <w:tcBorders>
              <w:top w:val="nil"/>
              <w:left w:val="nil"/>
              <w:bottom w:val="single" w:sz="12" w:space="0" w:color="FFFFFF"/>
              <w:right w:val="nil"/>
              <w:tl2br w:val="nil"/>
              <w:tr2bl w:val="nil"/>
            </w:tcBorders>
            <w:shd w:val="clear" w:color="auto" w:fill="D9D9D9"/>
          </w:tcPr>
          <w:p w14:paraId="290DBEF2" w14:textId="45031C85" w:rsidR="00E35E72" w:rsidRPr="00E968E5" w:rsidRDefault="00E35E72" w:rsidP="00E968E5">
            <w:pPr>
              <w:spacing w:after="0"/>
              <w:rPr>
                <w:sz w:val="19"/>
                <w:szCs w:val="19"/>
              </w:rPr>
            </w:pPr>
            <w:r w:rsidRPr="00E968E5">
              <w:rPr>
                <w:sz w:val="19"/>
                <w:szCs w:val="19"/>
              </w:rPr>
              <w:t xml:space="preserve">Investment </w:t>
            </w:r>
            <w:r w:rsidR="00307A6D">
              <w:rPr>
                <w:sz w:val="19"/>
                <w:szCs w:val="19"/>
              </w:rPr>
              <w:t>n</w:t>
            </w:r>
            <w:r w:rsidRPr="00E968E5">
              <w:rPr>
                <w:sz w:val="19"/>
                <w:szCs w:val="19"/>
              </w:rPr>
              <w:t>ame</w:t>
            </w:r>
          </w:p>
        </w:tc>
        <w:tc>
          <w:tcPr>
            <w:tcW w:w="1340" w:type="dxa"/>
            <w:tcBorders>
              <w:top w:val="nil"/>
              <w:left w:val="nil"/>
              <w:bottom w:val="single" w:sz="12" w:space="0" w:color="FFFFFF"/>
              <w:right w:val="nil"/>
              <w:tl2br w:val="nil"/>
              <w:tr2bl w:val="nil"/>
            </w:tcBorders>
            <w:shd w:val="clear" w:color="auto" w:fill="D9D9D9"/>
          </w:tcPr>
          <w:p w14:paraId="0F632362" w14:textId="2369ED6A" w:rsidR="00E35E72" w:rsidRPr="00E968E5" w:rsidRDefault="00E35E72" w:rsidP="00E968E5">
            <w:pPr>
              <w:spacing w:after="0"/>
              <w:jc w:val="center"/>
              <w:rPr>
                <w:sz w:val="19"/>
                <w:szCs w:val="19"/>
              </w:rPr>
            </w:pPr>
            <w:r w:rsidRPr="00E968E5">
              <w:rPr>
                <w:sz w:val="19"/>
                <w:szCs w:val="19"/>
              </w:rPr>
              <w:t xml:space="preserve">Country or </w:t>
            </w:r>
            <w:r w:rsidR="00307A6D">
              <w:rPr>
                <w:sz w:val="19"/>
                <w:szCs w:val="19"/>
              </w:rPr>
              <w:t>r</w:t>
            </w:r>
            <w:r w:rsidRPr="00E968E5">
              <w:rPr>
                <w:sz w:val="19"/>
                <w:szCs w:val="19"/>
              </w:rPr>
              <w:t>egion</w:t>
            </w:r>
          </w:p>
        </w:tc>
        <w:tc>
          <w:tcPr>
            <w:tcW w:w="1441" w:type="dxa"/>
            <w:tcBorders>
              <w:top w:val="nil"/>
              <w:left w:val="nil"/>
              <w:bottom w:val="single" w:sz="12" w:space="0" w:color="FFFFFF"/>
              <w:right w:val="nil"/>
              <w:tl2br w:val="nil"/>
              <w:tr2bl w:val="nil"/>
            </w:tcBorders>
            <w:shd w:val="clear" w:color="auto" w:fill="D9D9D9"/>
          </w:tcPr>
          <w:p w14:paraId="6951156E" w14:textId="31C5BFD8" w:rsidR="00E35E72" w:rsidRPr="00E968E5" w:rsidRDefault="00E35E72" w:rsidP="00E968E5">
            <w:pPr>
              <w:spacing w:after="0"/>
              <w:jc w:val="center"/>
              <w:rPr>
                <w:sz w:val="19"/>
                <w:szCs w:val="19"/>
              </w:rPr>
            </w:pPr>
            <w:r w:rsidRPr="00E968E5">
              <w:rPr>
                <w:sz w:val="19"/>
                <w:szCs w:val="19"/>
              </w:rPr>
              <w:t>Au</w:t>
            </w:r>
            <w:r w:rsidR="00307A6D">
              <w:rPr>
                <w:sz w:val="19"/>
                <w:szCs w:val="19"/>
              </w:rPr>
              <w:t xml:space="preserve">stralian </w:t>
            </w:r>
            <w:r w:rsidR="00FE4860">
              <w:rPr>
                <w:sz w:val="19"/>
                <w:szCs w:val="19"/>
              </w:rPr>
              <w:t>g</w:t>
            </w:r>
            <w:r w:rsidR="00307A6D">
              <w:rPr>
                <w:sz w:val="19"/>
                <w:szCs w:val="19"/>
              </w:rPr>
              <w:t>overnment p</w:t>
            </w:r>
            <w:r w:rsidRPr="00E968E5">
              <w:rPr>
                <w:sz w:val="19"/>
                <w:szCs w:val="19"/>
              </w:rPr>
              <w:t>artner</w:t>
            </w:r>
          </w:p>
        </w:tc>
        <w:tc>
          <w:tcPr>
            <w:tcW w:w="1664" w:type="dxa"/>
            <w:tcBorders>
              <w:top w:val="nil"/>
              <w:left w:val="nil"/>
              <w:bottom w:val="single" w:sz="12" w:space="0" w:color="FFFFFF"/>
              <w:right w:val="nil"/>
              <w:tl2br w:val="nil"/>
              <w:tr2bl w:val="nil"/>
            </w:tcBorders>
            <w:shd w:val="clear" w:color="auto" w:fill="D9D9D9"/>
          </w:tcPr>
          <w:p w14:paraId="66B00AF4" w14:textId="0A5D8E20"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p</w:t>
            </w:r>
            <w:r w:rsidRPr="00E968E5">
              <w:rPr>
                <w:sz w:val="19"/>
                <w:szCs w:val="19"/>
              </w:rPr>
              <w:t>eriod</w:t>
            </w:r>
          </w:p>
        </w:tc>
        <w:tc>
          <w:tcPr>
            <w:tcW w:w="1680" w:type="dxa"/>
            <w:tcBorders>
              <w:top w:val="nil"/>
              <w:left w:val="nil"/>
              <w:bottom w:val="single" w:sz="12" w:space="0" w:color="FFFFFF"/>
              <w:right w:val="nil"/>
              <w:tl2br w:val="nil"/>
              <w:tr2bl w:val="nil"/>
            </w:tcBorders>
            <w:shd w:val="clear" w:color="auto" w:fill="D9D9D9"/>
          </w:tcPr>
          <w:p w14:paraId="0AA1255C" w14:textId="42220E22" w:rsidR="00E35E72" w:rsidRPr="00E968E5" w:rsidRDefault="00E35E72" w:rsidP="00E968E5">
            <w:pPr>
              <w:spacing w:after="0"/>
              <w:jc w:val="center"/>
              <w:rPr>
                <w:sz w:val="19"/>
                <w:szCs w:val="19"/>
              </w:rPr>
            </w:pPr>
            <w:r w:rsidRPr="00E968E5">
              <w:rPr>
                <w:sz w:val="19"/>
                <w:szCs w:val="19"/>
              </w:rPr>
              <w:t xml:space="preserve">Investment </w:t>
            </w:r>
            <w:r w:rsidR="00307A6D">
              <w:rPr>
                <w:sz w:val="19"/>
                <w:szCs w:val="19"/>
              </w:rPr>
              <w:t>v</w:t>
            </w:r>
            <w:r w:rsidRPr="00E968E5">
              <w:rPr>
                <w:sz w:val="19"/>
                <w:szCs w:val="19"/>
              </w:rPr>
              <w:t>alue</w:t>
            </w:r>
          </w:p>
          <w:p w14:paraId="6322F16B" w14:textId="11CBAC5B" w:rsidR="00E35E72" w:rsidRPr="00E968E5" w:rsidRDefault="00E35E72" w:rsidP="00E968E5">
            <w:pPr>
              <w:spacing w:after="0"/>
              <w:jc w:val="center"/>
              <w:rPr>
                <w:sz w:val="19"/>
                <w:szCs w:val="19"/>
              </w:rPr>
            </w:pPr>
            <w:r w:rsidRPr="00E968E5">
              <w:rPr>
                <w:sz w:val="19"/>
                <w:szCs w:val="19"/>
              </w:rPr>
              <w:t>(approximate</w:t>
            </w:r>
            <w:r w:rsidR="00853C16">
              <w:rPr>
                <w:sz w:val="19"/>
                <w:szCs w:val="19"/>
              </w:rPr>
              <w:t xml:space="preserve">, </w:t>
            </w:r>
            <w:r w:rsidR="00307A6D">
              <w:rPr>
                <w:sz w:val="19"/>
                <w:szCs w:val="19"/>
              </w:rPr>
              <w:br/>
            </w:r>
            <w:r w:rsidR="00853C16">
              <w:rPr>
                <w:sz w:val="19"/>
                <w:szCs w:val="19"/>
              </w:rPr>
              <w:t>AUD</w:t>
            </w:r>
            <w:r w:rsidR="00307A6D">
              <w:rPr>
                <w:sz w:val="19"/>
                <w:szCs w:val="19"/>
              </w:rPr>
              <w:t xml:space="preserve"> million</w:t>
            </w:r>
            <w:r w:rsidRPr="00E968E5">
              <w:rPr>
                <w:sz w:val="19"/>
                <w:szCs w:val="19"/>
              </w:rPr>
              <w:t>)</w:t>
            </w:r>
          </w:p>
        </w:tc>
        <w:tc>
          <w:tcPr>
            <w:tcW w:w="1663" w:type="dxa"/>
            <w:tcBorders>
              <w:top w:val="nil"/>
              <w:left w:val="nil"/>
              <w:bottom w:val="single" w:sz="12" w:space="0" w:color="FFFFFF"/>
              <w:right w:val="nil"/>
              <w:tl2br w:val="nil"/>
              <w:tr2bl w:val="nil"/>
            </w:tcBorders>
            <w:shd w:val="clear" w:color="auto" w:fill="D9D9D9"/>
          </w:tcPr>
          <w:p w14:paraId="4E947C26" w14:textId="2F850425" w:rsidR="00E35E72" w:rsidRPr="00E968E5" w:rsidRDefault="00E35E72" w:rsidP="00E968E5">
            <w:pPr>
              <w:spacing w:after="0"/>
              <w:jc w:val="center"/>
              <w:rPr>
                <w:sz w:val="19"/>
                <w:szCs w:val="19"/>
              </w:rPr>
            </w:pPr>
            <w:r w:rsidRPr="00E968E5">
              <w:rPr>
                <w:sz w:val="19"/>
                <w:szCs w:val="19"/>
              </w:rPr>
              <w:t xml:space="preserve">Adaptation or </w:t>
            </w:r>
            <w:r w:rsidR="00307A6D">
              <w:rPr>
                <w:sz w:val="19"/>
                <w:szCs w:val="19"/>
              </w:rPr>
              <w:t>m</w:t>
            </w:r>
            <w:r w:rsidRPr="00E968E5">
              <w:rPr>
                <w:sz w:val="19"/>
                <w:szCs w:val="19"/>
              </w:rPr>
              <w:t>itigation?</w:t>
            </w:r>
          </w:p>
        </w:tc>
        <w:tc>
          <w:tcPr>
            <w:tcW w:w="1507" w:type="dxa"/>
            <w:tcBorders>
              <w:top w:val="nil"/>
              <w:left w:val="nil"/>
              <w:bottom w:val="single" w:sz="12" w:space="0" w:color="FFFFFF"/>
              <w:right w:val="nil"/>
              <w:tl2br w:val="nil"/>
              <w:tr2bl w:val="nil"/>
            </w:tcBorders>
            <w:shd w:val="clear" w:color="auto" w:fill="D9D9D9"/>
          </w:tcPr>
          <w:p w14:paraId="316B9552" w14:textId="0C76C19C" w:rsidR="00E35E72" w:rsidRPr="00E968E5" w:rsidRDefault="00E35E72" w:rsidP="00E968E5">
            <w:pPr>
              <w:spacing w:after="0"/>
              <w:jc w:val="center"/>
              <w:rPr>
                <w:sz w:val="19"/>
                <w:szCs w:val="19"/>
              </w:rPr>
            </w:pPr>
            <w:r w:rsidRPr="00E968E5">
              <w:rPr>
                <w:sz w:val="19"/>
                <w:szCs w:val="19"/>
              </w:rPr>
              <w:t>C</w:t>
            </w:r>
            <w:r w:rsidR="00307A6D">
              <w:rPr>
                <w:sz w:val="19"/>
                <w:szCs w:val="19"/>
              </w:rPr>
              <w:t>limate change—t</w:t>
            </w:r>
            <w:r w:rsidRPr="00E968E5">
              <w:rPr>
                <w:sz w:val="19"/>
                <w:szCs w:val="19"/>
              </w:rPr>
              <w:t xml:space="preserve">argeted or </w:t>
            </w:r>
            <w:r w:rsidR="00307A6D">
              <w:rPr>
                <w:sz w:val="19"/>
                <w:szCs w:val="19"/>
              </w:rPr>
              <w:t>m</w:t>
            </w:r>
            <w:r w:rsidRPr="00E968E5">
              <w:rPr>
                <w:sz w:val="19"/>
                <w:szCs w:val="19"/>
              </w:rPr>
              <w:t>ainstreamed?</w:t>
            </w:r>
          </w:p>
        </w:tc>
      </w:tr>
      <w:tr w:rsidR="003E151C" w:rsidRPr="00E968E5" w14:paraId="56B4145D" w14:textId="77777777" w:rsidTr="00E968E5">
        <w:tc>
          <w:tcPr>
            <w:tcW w:w="1646" w:type="dxa"/>
            <w:shd w:val="clear" w:color="auto" w:fill="D8DBDA"/>
          </w:tcPr>
          <w:p w14:paraId="14D79BD1" w14:textId="77777777" w:rsidR="00E35E72" w:rsidRPr="00E968E5" w:rsidRDefault="00E35E72" w:rsidP="00E968E5">
            <w:pPr>
              <w:spacing w:after="0"/>
              <w:rPr>
                <w:sz w:val="19"/>
                <w:szCs w:val="19"/>
              </w:rPr>
            </w:pPr>
            <w:r w:rsidRPr="00E968E5">
              <w:rPr>
                <w:sz w:val="19"/>
                <w:szCs w:val="19"/>
              </w:rPr>
              <w:t>ING581</w:t>
            </w:r>
          </w:p>
        </w:tc>
        <w:tc>
          <w:tcPr>
            <w:tcW w:w="3790" w:type="dxa"/>
            <w:shd w:val="clear" w:color="auto" w:fill="auto"/>
          </w:tcPr>
          <w:p w14:paraId="2E81638A" w14:textId="77777777" w:rsidR="00E35E72" w:rsidRPr="00E968E5" w:rsidRDefault="00E35E72" w:rsidP="00E968E5">
            <w:pPr>
              <w:spacing w:after="0"/>
              <w:rPr>
                <w:sz w:val="19"/>
                <w:szCs w:val="19"/>
              </w:rPr>
            </w:pPr>
            <w:r w:rsidRPr="00E968E5">
              <w:rPr>
                <w:sz w:val="19"/>
                <w:szCs w:val="19"/>
              </w:rPr>
              <w:t>Philippines Disaster and Climate Risks Management</w:t>
            </w:r>
          </w:p>
        </w:tc>
        <w:tc>
          <w:tcPr>
            <w:tcW w:w="1340" w:type="dxa"/>
            <w:shd w:val="clear" w:color="auto" w:fill="auto"/>
          </w:tcPr>
          <w:p w14:paraId="34D46AF8" w14:textId="77777777" w:rsidR="00E35E72" w:rsidRPr="00E968E5" w:rsidRDefault="00E35E72" w:rsidP="00E968E5">
            <w:pPr>
              <w:spacing w:after="0"/>
              <w:jc w:val="center"/>
              <w:rPr>
                <w:sz w:val="19"/>
                <w:szCs w:val="19"/>
              </w:rPr>
            </w:pPr>
            <w:r w:rsidRPr="00E968E5">
              <w:rPr>
                <w:sz w:val="19"/>
                <w:szCs w:val="19"/>
              </w:rPr>
              <w:t>Philippines</w:t>
            </w:r>
          </w:p>
        </w:tc>
        <w:tc>
          <w:tcPr>
            <w:tcW w:w="1441" w:type="dxa"/>
            <w:shd w:val="clear" w:color="auto" w:fill="auto"/>
          </w:tcPr>
          <w:p w14:paraId="54186AA8" w14:textId="42EE47C7" w:rsidR="00E35E72" w:rsidRPr="00E968E5" w:rsidRDefault="00E35E72" w:rsidP="00E968E5">
            <w:pPr>
              <w:spacing w:after="0"/>
              <w:jc w:val="center"/>
              <w:rPr>
                <w:sz w:val="19"/>
                <w:szCs w:val="19"/>
              </w:rPr>
            </w:pPr>
            <w:r w:rsidRPr="00E968E5">
              <w:rPr>
                <w:sz w:val="19"/>
                <w:szCs w:val="19"/>
              </w:rPr>
              <w:t>Geo</w:t>
            </w:r>
            <w:r w:rsidR="00636397">
              <w:rPr>
                <w:sz w:val="19"/>
                <w:szCs w:val="19"/>
              </w:rPr>
              <w:t>s</w:t>
            </w:r>
            <w:r w:rsidRPr="00E968E5">
              <w:rPr>
                <w:sz w:val="19"/>
                <w:szCs w:val="19"/>
              </w:rPr>
              <w:t>cience Australia</w:t>
            </w:r>
          </w:p>
          <w:p w14:paraId="47C0A292" w14:textId="4A44696B" w:rsidR="00E35E72" w:rsidRPr="00E968E5" w:rsidRDefault="00E35E72" w:rsidP="00E968E5">
            <w:pPr>
              <w:spacing w:after="0"/>
              <w:jc w:val="center"/>
              <w:rPr>
                <w:sz w:val="19"/>
                <w:szCs w:val="19"/>
              </w:rPr>
            </w:pPr>
            <w:r w:rsidRPr="00E968E5">
              <w:rPr>
                <w:sz w:val="19"/>
                <w:szCs w:val="19"/>
              </w:rPr>
              <w:t>B</w:t>
            </w:r>
            <w:r w:rsidR="009F1CF9">
              <w:rPr>
                <w:sz w:val="19"/>
                <w:szCs w:val="19"/>
              </w:rPr>
              <w:t>O</w:t>
            </w:r>
            <w:r w:rsidRPr="00E968E5">
              <w:rPr>
                <w:sz w:val="19"/>
                <w:szCs w:val="19"/>
              </w:rPr>
              <w:t>M</w:t>
            </w:r>
          </w:p>
        </w:tc>
        <w:tc>
          <w:tcPr>
            <w:tcW w:w="1664" w:type="dxa"/>
            <w:shd w:val="clear" w:color="auto" w:fill="auto"/>
          </w:tcPr>
          <w:p w14:paraId="44299853" w14:textId="3D8D1CB1" w:rsidR="00E35E72" w:rsidRPr="00E968E5" w:rsidRDefault="00E35E72" w:rsidP="00E968E5">
            <w:pPr>
              <w:spacing w:after="0"/>
              <w:jc w:val="center"/>
              <w:rPr>
                <w:sz w:val="19"/>
                <w:szCs w:val="19"/>
              </w:rPr>
            </w:pPr>
            <w:r w:rsidRPr="00E968E5">
              <w:rPr>
                <w:sz w:val="19"/>
                <w:szCs w:val="19"/>
              </w:rPr>
              <w:t>2006</w:t>
            </w:r>
            <w:r w:rsidR="00307A6D">
              <w:rPr>
                <w:sz w:val="19"/>
                <w:szCs w:val="19"/>
              </w:rPr>
              <w:t>—</w:t>
            </w:r>
            <w:r w:rsidRPr="00E968E5">
              <w:rPr>
                <w:sz w:val="19"/>
                <w:szCs w:val="19"/>
              </w:rPr>
              <w:t>17</w:t>
            </w:r>
          </w:p>
        </w:tc>
        <w:tc>
          <w:tcPr>
            <w:tcW w:w="1680" w:type="dxa"/>
            <w:shd w:val="clear" w:color="auto" w:fill="auto"/>
          </w:tcPr>
          <w:p w14:paraId="0AC58777" w14:textId="69927E93" w:rsidR="00E35E72" w:rsidRPr="00E968E5" w:rsidRDefault="00E35E72" w:rsidP="00E968E5">
            <w:pPr>
              <w:spacing w:after="0"/>
              <w:jc w:val="center"/>
              <w:rPr>
                <w:sz w:val="19"/>
                <w:szCs w:val="19"/>
              </w:rPr>
            </w:pPr>
            <w:r w:rsidRPr="00E968E5">
              <w:rPr>
                <w:sz w:val="19"/>
                <w:szCs w:val="19"/>
              </w:rPr>
              <w:t>$48</w:t>
            </w:r>
          </w:p>
        </w:tc>
        <w:tc>
          <w:tcPr>
            <w:tcW w:w="1663" w:type="dxa"/>
            <w:shd w:val="clear" w:color="auto" w:fill="auto"/>
          </w:tcPr>
          <w:p w14:paraId="56EA9581"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00765553"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5B201E0B" w14:textId="77777777" w:rsidTr="00E968E5">
        <w:tc>
          <w:tcPr>
            <w:tcW w:w="1646" w:type="dxa"/>
            <w:shd w:val="clear" w:color="auto" w:fill="D8DBDA"/>
          </w:tcPr>
          <w:p w14:paraId="557E0B00" w14:textId="77777777" w:rsidR="00E35E72" w:rsidRPr="00E968E5" w:rsidRDefault="00E35E72" w:rsidP="00E968E5">
            <w:pPr>
              <w:spacing w:after="0"/>
              <w:rPr>
                <w:sz w:val="19"/>
                <w:szCs w:val="19"/>
              </w:rPr>
            </w:pPr>
            <w:r w:rsidRPr="00E968E5">
              <w:rPr>
                <w:sz w:val="19"/>
                <w:szCs w:val="19"/>
              </w:rPr>
              <w:t>INJ138</w:t>
            </w:r>
          </w:p>
        </w:tc>
        <w:tc>
          <w:tcPr>
            <w:tcW w:w="3790" w:type="dxa"/>
            <w:shd w:val="clear" w:color="auto" w:fill="auto"/>
          </w:tcPr>
          <w:p w14:paraId="5F78F4C9" w14:textId="77777777" w:rsidR="00E35E72" w:rsidRPr="00E968E5" w:rsidRDefault="00E35E72" w:rsidP="00E968E5">
            <w:pPr>
              <w:spacing w:after="0"/>
              <w:rPr>
                <w:sz w:val="19"/>
                <w:szCs w:val="19"/>
              </w:rPr>
            </w:pPr>
            <w:r w:rsidRPr="00E968E5">
              <w:rPr>
                <w:sz w:val="19"/>
                <w:szCs w:val="19"/>
              </w:rPr>
              <w:t>Building resilience and awareness of Metro Manila communities to natural disasters and climate change impacts BRACE Manila</w:t>
            </w:r>
          </w:p>
        </w:tc>
        <w:tc>
          <w:tcPr>
            <w:tcW w:w="1340" w:type="dxa"/>
            <w:shd w:val="clear" w:color="auto" w:fill="auto"/>
          </w:tcPr>
          <w:p w14:paraId="3E53B18A" w14:textId="77777777" w:rsidR="00E35E72" w:rsidRPr="00E968E5" w:rsidRDefault="00E35E72" w:rsidP="00E968E5">
            <w:pPr>
              <w:spacing w:after="0"/>
              <w:jc w:val="center"/>
              <w:rPr>
                <w:sz w:val="19"/>
                <w:szCs w:val="19"/>
              </w:rPr>
            </w:pPr>
            <w:r w:rsidRPr="00E968E5">
              <w:rPr>
                <w:sz w:val="19"/>
                <w:szCs w:val="19"/>
              </w:rPr>
              <w:t>Philippines</w:t>
            </w:r>
          </w:p>
        </w:tc>
        <w:tc>
          <w:tcPr>
            <w:tcW w:w="1441" w:type="dxa"/>
            <w:shd w:val="clear" w:color="auto" w:fill="auto"/>
          </w:tcPr>
          <w:p w14:paraId="2BCED1E7" w14:textId="340ECA29" w:rsidR="00E35E72" w:rsidRPr="00E968E5" w:rsidRDefault="00E35E72" w:rsidP="00E968E5">
            <w:pPr>
              <w:spacing w:after="0"/>
              <w:jc w:val="center"/>
              <w:rPr>
                <w:sz w:val="19"/>
                <w:szCs w:val="19"/>
              </w:rPr>
            </w:pPr>
            <w:r w:rsidRPr="00E968E5">
              <w:rPr>
                <w:sz w:val="19"/>
                <w:szCs w:val="19"/>
              </w:rPr>
              <w:t>Geo</w:t>
            </w:r>
            <w:r w:rsidR="00636397">
              <w:rPr>
                <w:sz w:val="19"/>
                <w:szCs w:val="19"/>
              </w:rPr>
              <w:t>s</w:t>
            </w:r>
            <w:r w:rsidRPr="00E968E5">
              <w:rPr>
                <w:sz w:val="19"/>
                <w:szCs w:val="19"/>
              </w:rPr>
              <w:t>cience Australia</w:t>
            </w:r>
          </w:p>
          <w:p w14:paraId="38574B6F" w14:textId="366E4AEE" w:rsidR="00E35E72" w:rsidRPr="00E968E5" w:rsidRDefault="00E35E72" w:rsidP="00E968E5">
            <w:pPr>
              <w:spacing w:after="0"/>
              <w:jc w:val="center"/>
              <w:rPr>
                <w:sz w:val="19"/>
                <w:szCs w:val="19"/>
              </w:rPr>
            </w:pPr>
            <w:r w:rsidRPr="00E968E5">
              <w:rPr>
                <w:sz w:val="19"/>
                <w:szCs w:val="19"/>
              </w:rPr>
              <w:t>B</w:t>
            </w:r>
            <w:r w:rsidR="009F1CF9">
              <w:rPr>
                <w:sz w:val="19"/>
                <w:szCs w:val="19"/>
              </w:rPr>
              <w:t>O</w:t>
            </w:r>
            <w:r w:rsidRPr="00E968E5">
              <w:rPr>
                <w:sz w:val="19"/>
                <w:szCs w:val="19"/>
              </w:rPr>
              <w:t>M</w:t>
            </w:r>
          </w:p>
        </w:tc>
        <w:tc>
          <w:tcPr>
            <w:tcW w:w="1664" w:type="dxa"/>
            <w:shd w:val="clear" w:color="auto" w:fill="auto"/>
          </w:tcPr>
          <w:p w14:paraId="07F5A3DD" w14:textId="403D639A" w:rsidR="00E35E72" w:rsidRPr="00E968E5" w:rsidRDefault="00E35E72" w:rsidP="00E968E5">
            <w:pPr>
              <w:spacing w:after="0"/>
              <w:jc w:val="center"/>
              <w:rPr>
                <w:sz w:val="19"/>
                <w:szCs w:val="19"/>
              </w:rPr>
            </w:pPr>
            <w:r w:rsidRPr="00E968E5">
              <w:rPr>
                <w:sz w:val="19"/>
                <w:szCs w:val="19"/>
              </w:rPr>
              <w:t>2010</w:t>
            </w:r>
            <w:r w:rsidR="00307A6D">
              <w:rPr>
                <w:sz w:val="19"/>
                <w:szCs w:val="19"/>
              </w:rPr>
              <w:t>—</w:t>
            </w:r>
            <w:r w:rsidRPr="00E968E5">
              <w:rPr>
                <w:sz w:val="19"/>
                <w:szCs w:val="19"/>
              </w:rPr>
              <w:t>15</w:t>
            </w:r>
          </w:p>
        </w:tc>
        <w:tc>
          <w:tcPr>
            <w:tcW w:w="1680" w:type="dxa"/>
            <w:shd w:val="clear" w:color="auto" w:fill="auto"/>
          </w:tcPr>
          <w:p w14:paraId="759C1426" w14:textId="0E22EE4E" w:rsidR="00E35E72" w:rsidRPr="00E968E5" w:rsidRDefault="00E35E72" w:rsidP="00E968E5">
            <w:pPr>
              <w:spacing w:after="0"/>
              <w:jc w:val="center"/>
              <w:rPr>
                <w:sz w:val="19"/>
                <w:szCs w:val="19"/>
              </w:rPr>
            </w:pPr>
            <w:r w:rsidRPr="00E968E5">
              <w:rPr>
                <w:sz w:val="19"/>
                <w:szCs w:val="19"/>
              </w:rPr>
              <w:t>$15</w:t>
            </w:r>
          </w:p>
        </w:tc>
        <w:tc>
          <w:tcPr>
            <w:tcW w:w="1663" w:type="dxa"/>
            <w:shd w:val="clear" w:color="auto" w:fill="auto"/>
          </w:tcPr>
          <w:p w14:paraId="7FBDDEDA"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321B4483"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626E4F30" w14:textId="77777777" w:rsidTr="00E968E5">
        <w:tc>
          <w:tcPr>
            <w:tcW w:w="1646" w:type="dxa"/>
            <w:shd w:val="clear" w:color="auto" w:fill="D8DBDA"/>
          </w:tcPr>
          <w:p w14:paraId="7A2D7EA2" w14:textId="77777777" w:rsidR="00E35E72" w:rsidRPr="00E968E5" w:rsidRDefault="00E35E72" w:rsidP="00E968E5">
            <w:pPr>
              <w:spacing w:after="0"/>
              <w:rPr>
                <w:sz w:val="19"/>
                <w:szCs w:val="19"/>
              </w:rPr>
            </w:pPr>
            <w:r w:rsidRPr="00E968E5">
              <w:rPr>
                <w:sz w:val="19"/>
                <w:szCs w:val="19"/>
              </w:rPr>
              <w:t>INH445</w:t>
            </w:r>
          </w:p>
        </w:tc>
        <w:tc>
          <w:tcPr>
            <w:tcW w:w="3790" w:type="dxa"/>
            <w:shd w:val="clear" w:color="auto" w:fill="auto"/>
          </w:tcPr>
          <w:p w14:paraId="3E60099C" w14:textId="77777777" w:rsidR="00E35E72" w:rsidRPr="00E968E5" w:rsidRDefault="00E35E72" w:rsidP="00E968E5">
            <w:pPr>
              <w:spacing w:after="0"/>
              <w:rPr>
                <w:sz w:val="19"/>
                <w:szCs w:val="19"/>
              </w:rPr>
            </w:pPr>
            <w:r w:rsidRPr="00E968E5">
              <w:rPr>
                <w:sz w:val="19"/>
                <w:szCs w:val="19"/>
              </w:rPr>
              <w:t>Indonesia-Australia Forest Carbon Partnership</w:t>
            </w:r>
          </w:p>
        </w:tc>
        <w:tc>
          <w:tcPr>
            <w:tcW w:w="1340" w:type="dxa"/>
            <w:shd w:val="clear" w:color="auto" w:fill="auto"/>
          </w:tcPr>
          <w:p w14:paraId="055D69C9" w14:textId="77777777" w:rsidR="00E35E72" w:rsidRPr="00E968E5" w:rsidRDefault="00E35E72" w:rsidP="00E968E5">
            <w:pPr>
              <w:spacing w:after="0"/>
              <w:jc w:val="center"/>
              <w:rPr>
                <w:sz w:val="19"/>
                <w:szCs w:val="19"/>
              </w:rPr>
            </w:pPr>
            <w:r w:rsidRPr="00E968E5">
              <w:rPr>
                <w:sz w:val="19"/>
                <w:szCs w:val="19"/>
              </w:rPr>
              <w:t>Indonesia</w:t>
            </w:r>
          </w:p>
        </w:tc>
        <w:tc>
          <w:tcPr>
            <w:tcW w:w="1441" w:type="dxa"/>
            <w:shd w:val="clear" w:color="auto" w:fill="auto"/>
          </w:tcPr>
          <w:p w14:paraId="6BAFFBC4" w14:textId="77777777" w:rsidR="00E35E72" w:rsidRPr="00E968E5" w:rsidRDefault="00E35E72" w:rsidP="00E968E5">
            <w:pPr>
              <w:spacing w:after="0"/>
              <w:jc w:val="center"/>
              <w:rPr>
                <w:sz w:val="19"/>
                <w:szCs w:val="19"/>
              </w:rPr>
            </w:pPr>
            <w:r w:rsidRPr="00E968E5">
              <w:rPr>
                <w:sz w:val="19"/>
                <w:szCs w:val="19"/>
              </w:rPr>
              <w:t>DoEE</w:t>
            </w:r>
          </w:p>
        </w:tc>
        <w:tc>
          <w:tcPr>
            <w:tcW w:w="1664" w:type="dxa"/>
            <w:shd w:val="clear" w:color="auto" w:fill="auto"/>
          </w:tcPr>
          <w:p w14:paraId="595A6D70" w14:textId="6D1CD444" w:rsidR="00E35E72" w:rsidRPr="00E968E5" w:rsidRDefault="00E35E72" w:rsidP="00E968E5">
            <w:pPr>
              <w:spacing w:after="0"/>
              <w:jc w:val="center"/>
              <w:rPr>
                <w:sz w:val="19"/>
                <w:szCs w:val="19"/>
              </w:rPr>
            </w:pPr>
            <w:r w:rsidRPr="00E968E5">
              <w:rPr>
                <w:sz w:val="19"/>
                <w:szCs w:val="19"/>
              </w:rPr>
              <w:t xml:space="preserve">200714 </w:t>
            </w:r>
          </w:p>
        </w:tc>
        <w:tc>
          <w:tcPr>
            <w:tcW w:w="1680" w:type="dxa"/>
            <w:shd w:val="clear" w:color="auto" w:fill="auto"/>
          </w:tcPr>
          <w:p w14:paraId="7D25366E" w14:textId="06081BCF" w:rsidR="00E35E72" w:rsidRPr="00E968E5" w:rsidRDefault="00E35E72" w:rsidP="00E968E5">
            <w:pPr>
              <w:spacing w:after="0"/>
              <w:jc w:val="center"/>
              <w:rPr>
                <w:sz w:val="19"/>
                <w:szCs w:val="19"/>
              </w:rPr>
            </w:pPr>
            <w:r w:rsidRPr="00E968E5">
              <w:rPr>
                <w:sz w:val="19"/>
                <w:szCs w:val="19"/>
              </w:rPr>
              <w:t>$65</w:t>
            </w:r>
          </w:p>
        </w:tc>
        <w:tc>
          <w:tcPr>
            <w:tcW w:w="1663" w:type="dxa"/>
            <w:shd w:val="clear" w:color="auto" w:fill="auto"/>
          </w:tcPr>
          <w:p w14:paraId="17A60483" w14:textId="77777777" w:rsidR="00E35E72" w:rsidRPr="00E968E5" w:rsidRDefault="00E35E72" w:rsidP="00E968E5">
            <w:pPr>
              <w:spacing w:after="0"/>
              <w:jc w:val="center"/>
              <w:rPr>
                <w:sz w:val="19"/>
                <w:szCs w:val="19"/>
              </w:rPr>
            </w:pPr>
            <w:r w:rsidRPr="00E968E5">
              <w:rPr>
                <w:sz w:val="19"/>
                <w:szCs w:val="19"/>
              </w:rPr>
              <w:t>Mitigation</w:t>
            </w:r>
          </w:p>
        </w:tc>
        <w:tc>
          <w:tcPr>
            <w:tcW w:w="1507" w:type="dxa"/>
            <w:shd w:val="clear" w:color="auto" w:fill="auto"/>
          </w:tcPr>
          <w:p w14:paraId="5707D474"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36C8ECFE" w14:textId="77777777" w:rsidTr="00E968E5">
        <w:tc>
          <w:tcPr>
            <w:tcW w:w="1646" w:type="dxa"/>
            <w:shd w:val="clear" w:color="auto" w:fill="D8DBDA"/>
          </w:tcPr>
          <w:p w14:paraId="3CE0D79A" w14:textId="77777777" w:rsidR="00E35E72" w:rsidRPr="00E968E5" w:rsidRDefault="00E35E72" w:rsidP="00E968E5">
            <w:pPr>
              <w:spacing w:after="0"/>
              <w:rPr>
                <w:sz w:val="19"/>
                <w:szCs w:val="19"/>
              </w:rPr>
            </w:pPr>
            <w:r w:rsidRPr="00E968E5">
              <w:rPr>
                <w:sz w:val="19"/>
                <w:szCs w:val="19"/>
              </w:rPr>
              <w:t>INL081</w:t>
            </w:r>
          </w:p>
        </w:tc>
        <w:tc>
          <w:tcPr>
            <w:tcW w:w="3790" w:type="dxa"/>
            <w:shd w:val="clear" w:color="auto" w:fill="auto"/>
          </w:tcPr>
          <w:p w14:paraId="18BC0FC1" w14:textId="77777777" w:rsidR="00E35E72" w:rsidRPr="00E968E5" w:rsidRDefault="00E35E72" w:rsidP="00E968E5">
            <w:pPr>
              <w:spacing w:after="0"/>
              <w:rPr>
                <w:sz w:val="19"/>
                <w:szCs w:val="19"/>
              </w:rPr>
            </w:pPr>
            <w:r w:rsidRPr="00E968E5">
              <w:rPr>
                <w:sz w:val="19"/>
                <w:szCs w:val="19"/>
              </w:rPr>
              <w:t>MDB Infrastructure Assistance Program</w:t>
            </w:r>
          </w:p>
        </w:tc>
        <w:tc>
          <w:tcPr>
            <w:tcW w:w="1340" w:type="dxa"/>
            <w:shd w:val="clear" w:color="auto" w:fill="auto"/>
          </w:tcPr>
          <w:p w14:paraId="01B52CAB" w14:textId="77777777" w:rsidR="00E35E72" w:rsidRPr="00E968E5" w:rsidRDefault="00E35E72" w:rsidP="00E968E5">
            <w:pPr>
              <w:spacing w:after="0"/>
              <w:jc w:val="center"/>
              <w:rPr>
                <w:sz w:val="19"/>
                <w:szCs w:val="19"/>
              </w:rPr>
            </w:pPr>
            <w:r w:rsidRPr="00E968E5">
              <w:rPr>
                <w:sz w:val="19"/>
                <w:szCs w:val="19"/>
              </w:rPr>
              <w:t xml:space="preserve">Indonesia </w:t>
            </w:r>
          </w:p>
        </w:tc>
        <w:tc>
          <w:tcPr>
            <w:tcW w:w="1441" w:type="dxa"/>
            <w:shd w:val="clear" w:color="auto" w:fill="auto"/>
          </w:tcPr>
          <w:p w14:paraId="1E7F4F86" w14:textId="77777777" w:rsidR="00E35E72" w:rsidRPr="00E968E5" w:rsidRDefault="00E35E72" w:rsidP="00E968E5">
            <w:pPr>
              <w:spacing w:after="0"/>
              <w:jc w:val="center"/>
              <w:rPr>
                <w:sz w:val="19"/>
                <w:szCs w:val="19"/>
              </w:rPr>
            </w:pPr>
          </w:p>
        </w:tc>
        <w:tc>
          <w:tcPr>
            <w:tcW w:w="1664" w:type="dxa"/>
            <w:shd w:val="clear" w:color="auto" w:fill="auto"/>
          </w:tcPr>
          <w:p w14:paraId="151A9263" w14:textId="001F8548" w:rsidR="00E35E72" w:rsidRPr="00E968E5" w:rsidRDefault="00E35E72" w:rsidP="00E968E5">
            <w:pPr>
              <w:spacing w:after="0"/>
              <w:jc w:val="center"/>
              <w:rPr>
                <w:sz w:val="19"/>
                <w:szCs w:val="19"/>
              </w:rPr>
            </w:pPr>
            <w:r w:rsidRPr="00E968E5">
              <w:rPr>
                <w:sz w:val="19"/>
                <w:szCs w:val="19"/>
              </w:rPr>
              <w:t>2013</w:t>
            </w:r>
            <w:r w:rsidR="00307A6D">
              <w:rPr>
                <w:sz w:val="19"/>
                <w:szCs w:val="19"/>
              </w:rPr>
              <w:t>—</w:t>
            </w:r>
            <w:r w:rsidRPr="00E968E5">
              <w:rPr>
                <w:sz w:val="19"/>
                <w:szCs w:val="19"/>
              </w:rPr>
              <w:t>19</w:t>
            </w:r>
          </w:p>
        </w:tc>
        <w:tc>
          <w:tcPr>
            <w:tcW w:w="1680" w:type="dxa"/>
            <w:shd w:val="clear" w:color="auto" w:fill="auto"/>
          </w:tcPr>
          <w:p w14:paraId="376EAE1E" w14:textId="5448CDA8" w:rsidR="00E35E72" w:rsidRPr="00E968E5" w:rsidRDefault="00E35E72" w:rsidP="00E968E5">
            <w:pPr>
              <w:spacing w:after="0"/>
              <w:jc w:val="center"/>
              <w:rPr>
                <w:sz w:val="19"/>
                <w:szCs w:val="19"/>
              </w:rPr>
            </w:pPr>
            <w:r w:rsidRPr="00E968E5">
              <w:rPr>
                <w:sz w:val="19"/>
                <w:szCs w:val="19"/>
              </w:rPr>
              <w:t>$45</w:t>
            </w:r>
          </w:p>
        </w:tc>
        <w:tc>
          <w:tcPr>
            <w:tcW w:w="1663" w:type="dxa"/>
            <w:shd w:val="clear" w:color="auto" w:fill="auto"/>
          </w:tcPr>
          <w:p w14:paraId="2C1A79AF" w14:textId="77777777" w:rsidR="00E35E72" w:rsidRPr="00E968E5" w:rsidRDefault="00E35E72" w:rsidP="00E968E5">
            <w:pPr>
              <w:spacing w:after="0"/>
              <w:jc w:val="center"/>
              <w:rPr>
                <w:sz w:val="19"/>
                <w:szCs w:val="19"/>
              </w:rPr>
            </w:pPr>
            <w:r w:rsidRPr="00E968E5">
              <w:rPr>
                <w:sz w:val="19"/>
                <w:szCs w:val="19"/>
              </w:rPr>
              <w:t>Mitigation</w:t>
            </w:r>
          </w:p>
        </w:tc>
        <w:tc>
          <w:tcPr>
            <w:tcW w:w="1507" w:type="dxa"/>
            <w:shd w:val="clear" w:color="auto" w:fill="auto"/>
          </w:tcPr>
          <w:p w14:paraId="0EBAFEAD"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15996C6D" w14:textId="77777777" w:rsidTr="00E968E5">
        <w:tc>
          <w:tcPr>
            <w:tcW w:w="1646" w:type="dxa"/>
            <w:shd w:val="clear" w:color="auto" w:fill="D8DBDA"/>
          </w:tcPr>
          <w:p w14:paraId="5538A450" w14:textId="77777777" w:rsidR="00E35E72" w:rsidRPr="00E968E5" w:rsidRDefault="00E35E72" w:rsidP="00E968E5">
            <w:pPr>
              <w:spacing w:after="0"/>
              <w:rPr>
                <w:sz w:val="19"/>
                <w:szCs w:val="19"/>
              </w:rPr>
            </w:pPr>
            <w:r w:rsidRPr="00E968E5">
              <w:rPr>
                <w:sz w:val="19"/>
                <w:szCs w:val="19"/>
              </w:rPr>
              <w:t>INK999</w:t>
            </w:r>
          </w:p>
        </w:tc>
        <w:tc>
          <w:tcPr>
            <w:tcW w:w="3790" w:type="dxa"/>
            <w:shd w:val="clear" w:color="auto" w:fill="auto"/>
          </w:tcPr>
          <w:p w14:paraId="79047B4F" w14:textId="77777777" w:rsidR="00E35E72" w:rsidRPr="00E968E5" w:rsidRDefault="00E35E72" w:rsidP="00E968E5">
            <w:pPr>
              <w:spacing w:after="0"/>
              <w:rPr>
                <w:sz w:val="19"/>
                <w:szCs w:val="19"/>
              </w:rPr>
            </w:pPr>
            <w:r w:rsidRPr="00E968E5">
              <w:rPr>
                <w:sz w:val="19"/>
                <w:szCs w:val="19"/>
              </w:rPr>
              <w:t>Sustainable Development Investment Portfolio</w:t>
            </w:r>
          </w:p>
        </w:tc>
        <w:tc>
          <w:tcPr>
            <w:tcW w:w="1340" w:type="dxa"/>
            <w:shd w:val="clear" w:color="auto" w:fill="auto"/>
          </w:tcPr>
          <w:p w14:paraId="3BFB7545" w14:textId="77777777" w:rsidR="00E35E72" w:rsidRPr="00E968E5" w:rsidRDefault="00E35E72" w:rsidP="00E968E5">
            <w:pPr>
              <w:spacing w:after="0"/>
              <w:jc w:val="center"/>
              <w:rPr>
                <w:sz w:val="19"/>
                <w:szCs w:val="19"/>
              </w:rPr>
            </w:pPr>
            <w:r w:rsidRPr="00E968E5">
              <w:rPr>
                <w:sz w:val="19"/>
                <w:szCs w:val="19"/>
              </w:rPr>
              <w:t>South Asia</w:t>
            </w:r>
          </w:p>
        </w:tc>
        <w:tc>
          <w:tcPr>
            <w:tcW w:w="1441" w:type="dxa"/>
            <w:shd w:val="clear" w:color="auto" w:fill="auto"/>
          </w:tcPr>
          <w:p w14:paraId="38CE9D60" w14:textId="08069036" w:rsidR="00E35E72" w:rsidRPr="00E968E5" w:rsidRDefault="00E35E72" w:rsidP="00E968E5">
            <w:pPr>
              <w:spacing w:after="0"/>
              <w:jc w:val="center"/>
              <w:rPr>
                <w:sz w:val="19"/>
                <w:szCs w:val="19"/>
              </w:rPr>
            </w:pPr>
            <w:r w:rsidRPr="00E968E5">
              <w:rPr>
                <w:sz w:val="19"/>
                <w:szCs w:val="19"/>
              </w:rPr>
              <w:t>ACIAR</w:t>
            </w:r>
            <w:r w:rsidR="00D94A0B">
              <w:rPr>
                <w:sz w:val="19"/>
                <w:szCs w:val="19"/>
              </w:rPr>
              <w:t>, CSIRO</w:t>
            </w:r>
          </w:p>
        </w:tc>
        <w:tc>
          <w:tcPr>
            <w:tcW w:w="1664" w:type="dxa"/>
            <w:shd w:val="clear" w:color="auto" w:fill="auto"/>
          </w:tcPr>
          <w:p w14:paraId="69784663" w14:textId="7ED711E0" w:rsidR="00E35E72" w:rsidRPr="00E968E5" w:rsidRDefault="00E35E72" w:rsidP="00E968E5">
            <w:pPr>
              <w:spacing w:after="0"/>
              <w:jc w:val="center"/>
              <w:rPr>
                <w:sz w:val="19"/>
                <w:szCs w:val="19"/>
              </w:rPr>
            </w:pPr>
            <w:r w:rsidRPr="00E968E5">
              <w:rPr>
                <w:sz w:val="19"/>
                <w:szCs w:val="19"/>
              </w:rPr>
              <w:t>2013</w:t>
            </w:r>
            <w:r w:rsidR="00307A6D">
              <w:rPr>
                <w:sz w:val="19"/>
                <w:szCs w:val="19"/>
              </w:rPr>
              <w:t>—</w:t>
            </w:r>
            <w:r w:rsidRPr="00E968E5">
              <w:rPr>
                <w:sz w:val="19"/>
                <w:szCs w:val="19"/>
              </w:rPr>
              <w:t>16</w:t>
            </w:r>
          </w:p>
        </w:tc>
        <w:tc>
          <w:tcPr>
            <w:tcW w:w="1680" w:type="dxa"/>
            <w:shd w:val="clear" w:color="auto" w:fill="auto"/>
          </w:tcPr>
          <w:p w14:paraId="46312DFD" w14:textId="1BD5A94D" w:rsidR="00E35E72" w:rsidRPr="00E968E5" w:rsidRDefault="00E35E72" w:rsidP="00E968E5">
            <w:pPr>
              <w:spacing w:after="0"/>
              <w:jc w:val="center"/>
              <w:rPr>
                <w:sz w:val="19"/>
                <w:szCs w:val="19"/>
              </w:rPr>
            </w:pPr>
            <w:r w:rsidRPr="00E968E5">
              <w:rPr>
                <w:sz w:val="19"/>
                <w:szCs w:val="19"/>
              </w:rPr>
              <w:t>$49</w:t>
            </w:r>
          </w:p>
        </w:tc>
        <w:tc>
          <w:tcPr>
            <w:tcW w:w="1663" w:type="dxa"/>
            <w:shd w:val="clear" w:color="auto" w:fill="auto"/>
          </w:tcPr>
          <w:p w14:paraId="67BE1D92"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03816201"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369CC9CB" w14:textId="77777777" w:rsidTr="00E968E5">
        <w:tc>
          <w:tcPr>
            <w:tcW w:w="1646" w:type="dxa"/>
            <w:shd w:val="clear" w:color="auto" w:fill="D8DBDA"/>
          </w:tcPr>
          <w:p w14:paraId="39E13D95" w14:textId="77777777" w:rsidR="00E35E72" w:rsidRPr="00E968E5" w:rsidRDefault="00E35E72" w:rsidP="00E968E5">
            <w:pPr>
              <w:spacing w:after="0"/>
              <w:rPr>
                <w:sz w:val="19"/>
                <w:szCs w:val="19"/>
              </w:rPr>
            </w:pPr>
            <w:r w:rsidRPr="00E968E5">
              <w:rPr>
                <w:sz w:val="19"/>
                <w:szCs w:val="19"/>
              </w:rPr>
              <w:t>INK327</w:t>
            </w:r>
          </w:p>
        </w:tc>
        <w:tc>
          <w:tcPr>
            <w:tcW w:w="3790" w:type="dxa"/>
            <w:shd w:val="clear" w:color="auto" w:fill="auto"/>
          </w:tcPr>
          <w:p w14:paraId="11044883" w14:textId="77777777" w:rsidR="00E35E72" w:rsidRPr="00E968E5" w:rsidRDefault="00E35E72" w:rsidP="00E968E5">
            <w:pPr>
              <w:spacing w:after="0"/>
              <w:rPr>
                <w:sz w:val="19"/>
                <w:szCs w:val="19"/>
              </w:rPr>
            </w:pPr>
            <w:r w:rsidRPr="00E968E5">
              <w:rPr>
                <w:sz w:val="19"/>
                <w:szCs w:val="19"/>
              </w:rPr>
              <w:t>Kiribati Infrastructure</w:t>
            </w:r>
          </w:p>
        </w:tc>
        <w:tc>
          <w:tcPr>
            <w:tcW w:w="1340" w:type="dxa"/>
            <w:shd w:val="clear" w:color="auto" w:fill="auto"/>
          </w:tcPr>
          <w:p w14:paraId="6C5E72B9" w14:textId="77777777" w:rsidR="00E35E72" w:rsidRPr="00E968E5" w:rsidRDefault="00E35E72" w:rsidP="00E968E5">
            <w:pPr>
              <w:spacing w:after="0"/>
              <w:jc w:val="center"/>
              <w:rPr>
                <w:sz w:val="19"/>
                <w:szCs w:val="19"/>
              </w:rPr>
            </w:pPr>
            <w:r w:rsidRPr="00E968E5">
              <w:rPr>
                <w:sz w:val="19"/>
                <w:szCs w:val="19"/>
              </w:rPr>
              <w:t>Kiribati</w:t>
            </w:r>
          </w:p>
        </w:tc>
        <w:tc>
          <w:tcPr>
            <w:tcW w:w="1441" w:type="dxa"/>
            <w:shd w:val="clear" w:color="auto" w:fill="auto"/>
          </w:tcPr>
          <w:p w14:paraId="7E6418B1" w14:textId="77777777" w:rsidR="00E35E72" w:rsidRPr="00E968E5" w:rsidRDefault="00E35E72" w:rsidP="00E968E5">
            <w:pPr>
              <w:spacing w:after="0"/>
              <w:jc w:val="center"/>
              <w:rPr>
                <w:sz w:val="19"/>
                <w:szCs w:val="19"/>
              </w:rPr>
            </w:pPr>
          </w:p>
        </w:tc>
        <w:tc>
          <w:tcPr>
            <w:tcW w:w="1664" w:type="dxa"/>
            <w:shd w:val="clear" w:color="auto" w:fill="auto"/>
          </w:tcPr>
          <w:p w14:paraId="6114374F" w14:textId="6ECCAA3D" w:rsidR="00E35E72" w:rsidRPr="00E968E5" w:rsidRDefault="00E35E72" w:rsidP="00E968E5">
            <w:pPr>
              <w:spacing w:after="0"/>
              <w:jc w:val="center"/>
              <w:rPr>
                <w:sz w:val="19"/>
                <w:szCs w:val="19"/>
              </w:rPr>
            </w:pPr>
            <w:r w:rsidRPr="00E968E5">
              <w:rPr>
                <w:sz w:val="19"/>
                <w:szCs w:val="19"/>
              </w:rPr>
              <w:t>2011</w:t>
            </w:r>
            <w:r w:rsidR="00307A6D">
              <w:rPr>
                <w:sz w:val="19"/>
                <w:szCs w:val="19"/>
              </w:rPr>
              <w:t>—</w:t>
            </w:r>
            <w:r w:rsidRPr="00E968E5">
              <w:rPr>
                <w:sz w:val="19"/>
                <w:szCs w:val="19"/>
              </w:rPr>
              <w:t>19</w:t>
            </w:r>
          </w:p>
        </w:tc>
        <w:tc>
          <w:tcPr>
            <w:tcW w:w="1680" w:type="dxa"/>
            <w:shd w:val="clear" w:color="auto" w:fill="auto"/>
          </w:tcPr>
          <w:p w14:paraId="5F9AB906" w14:textId="3CABDA00" w:rsidR="00E35E72" w:rsidRPr="00E968E5" w:rsidRDefault="00E35E72" w:rsidP="00E968E5">
            <w:pPr>
              <w:spacing w:after="0"/>
              <w:jc w:val="center"/>
              <w:rPr>
                <w:sz w:val="19"/>
                <w:szCs w:val="19"/>
              </w:rPr>
            </w:pPr>
            <w:r w:rsidRPr="00E968E5">
              <w:rPr>
                <w:sz w:val="19"/>
                <w:szCs w:val="19"/>
              </w:rPr>
              <w:t>$34</w:t>
            </w:r>
          </w:p>
        </w:tc>
        <w:tc>
          <w:tcPr>
            <w:tcW w:w="1663" w:type="dxa"/>
            <w:shd w:val="clear" w:color="auto" w:fill="auto"/>
          </w:tcPr>
          <w:p w14:paraId="4DB90787"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4E62928B" w14:textId="77777777" w:rsidR="00E35E72" w:rsidRPr="00E968E5" w:rsidRDefault="00E35E72" w:rsidP="00E968E5">
            <w:pPr>
              <w:spacing w:after="0"/>
              <w:jc w:val="center"/>
              <w:rPr>
                <w:sz w:val="19"/>
                <w:szCs w:val="19"/>
              </w:rPr>
            </w:pPr>
            <w:r w:rsidRPr="00E968E5">
              <w:rPr>
                <w:sz w:val="19"/>
                <w:szCs w:val="19"/>
              </w:rPr>
              <w:t>Mainstreamed</w:t>
            </w:r>
          </w:p>
        </w:tc>
      </w:tr>
      <w:tr w:rsidR="003E151C" w:rsidRPr="00E968E5" w14:paraId="23BCC46C" w14:textId="77777777" w:rsidTr="00E968E5">
        <w:tc>
          <w:tcPr>
            <w:tcW w:w="1646" w:type="dxa"/>
            <w:shd w:val="clear" w:color="auto" w:fill="D8DBDA"/>
          </w:tcPr>
          <w:p w14:paraId="37F64EC8" w14:textId="77777777" w:rsidR="00E35E72" w:rsidRPr="00E968E5" w:rsidRDefault="00E35E72" w:rsidP="00E968E5">
            <w:pPr>
              <w:spacing w:after="0"/>
              <w:rPr>
                <w:sz w:val="19"/>
                <w:szCs w:val="19"/>
              </w:rPr>
            </w:pPr>
            <w:r w:rsidRPr="00E968E5">
              <w:rPr>
                <w:sz w:val="19"/>
                <w:szCs w:val="19"/>
              </w:rPr>
              <w:t>INJ700</w:t>
            </w:r>
          </w:p>
        </w:tc>
        <w:tc>
          <w:tcPr>
            <w:tcW w:w="3790" w:type="dxa"/>
            <w:shd w:val="clear" w:color="auto" w:fill="auto"/>
          </w:tcPr>
          <w:p w14:paraId="7F3926EB" w14:textId="77777777" w:rsidR="00E35E72" w:rsidRPr="00E968E5" w:rsidRDefault="00E35E72" w:rsidP="00E968E5">
            <w:pPr>
              <w:spacing w:after="0"/>
              <w:rPr>
                <w:sz w:val="19"/>
                <w:szCs w:val="19"/>
              </w:rPr>
            </w:pPr>
            <w:r w:rsidRPr="00E968E5">
              <w:rPr>
                <w:sz w:val="19"/>
                <w:szCs w:val="19"/>
              </w:rPr>
              <w:t>PNG Climate Change Initiative</w:t>
            </w:r>
          </w:p>
        </w:tc>
        <w:tc>
          <w:tcPr>
            <w:tcW w:w="1340" w:type="dxa"/>
            <w:shd w:val="clear" w:color="auto" w:fill="auto"/>
          </w:tcPr>
          <w:p w14:paraId="4E970486" w14:textId="77777777" w:rsidR="00E35E72" w:rsidRPr="00E968E5" w:rsidRDefault="00E35E72" w:rsidP="00E968E5">
            <w:pPr>
              <w:spacing w:after="0"/>
              <w:jc w:val="center"/>
              <w:rPr>
                <w:sz w:val="19"/>
                <w:szCs w:val="19"/>
              </w:rPr>
            </w:pPr>
            <w:r w:rsidRPr="00E968E5">
              <w:rPr>
                <w:sz w:val="19"/>
                <w:szCs w:val="19"/>
              </w:rPr>
              <w:t>PNG</w:t>
            </w:r>
          </w:p>
        </w:tc>
        <w:tc>
          <w:tcPr>
            <w:tcW w:w="1441" w:type="dxa"/>
            <w:shd w:val="clear" w:color="auto" w:fill="auto"/>
          </w:tcPr>
          <w:p w14:paraId="12956BF6" w14:textId="27D704F3" w:rsidR="00E35E72" w:rsidRPr="00E968E5" w:rsidRDefault="006A741E" w:rsidP="00E968E5">
            <w:pPr>
              <w:spacing w:after="0"/>
              <w:jc w:val="center"/>
              <w:rPr>
                <w:sz w:val="19"/>
                <w:szCs w:val="19"/>
              </w:rPr>
            </w:pPr>
            <w:r>
              <w:rPr>
                <w:sz w:val="19"/>
                <w:szCs w:val="19"/>
              </w:rPr>
              <w:t>Geo</w:t>
            </w:r>
            <w:r w:rsidR="00636397">
              <w:rPr>
                <w:sz w:val="19"/>
                <w:szCs w:val="19"/>
              </w:rPr>
              <w:t>s</w:t>
            </w:r>
            <w:r>
              <w:rPr>
                <w:sz w:val="19"/>
                <w:szCs w:val="19"/>
              </w:rPr>
              <w:t>cience Australia</w:t>
            </w:r>
          </w:p>
        </w:tc>
        <w:tc>
          <w:tcPr>
            <w:tcW w:w="1664" w:type="dxa"/>
            <w:shd w:val="clear" w:color="auto" w:fill="auto"/>
          </w:tcPr>
          <w:p w14:paraId="095B89B2" w14:textId="7EE594AC" w:rsidR="00E35E72" w:rsidRPr="00E968E5" w:rsidRDefault="00E35E72" w:rsidP="00E968E5">
            <w:pPr>
              <w:spacing w:after="0"/>
              <w:jc w:val="center"/>
              <w:rPr>
                <w:sz w:val="19"/>
                <w:szCs w:val="19"/>
              </w:rPr>
            </w:pPr>
            <w:r w:rsidRPr="00E968E5">
              <w:rPr>
                <w:sz w:val="19"/>
                <w:szCs w:val="19"/>
              </w:rPr>
              <w:t>2011</w:t>
            </w:r>
            <w:r w:rsidR="00307A6D">
              <w:rPr>
                <w:sz w:val="19"/>
                <w:szCs w:val="19"/>
              </w:rPr>
              <w:t>—</w:t>
            </w:r>
            <w:r w:rsidRPr="00E968E5">
              <w:rPr>
                <w:sz w:val="19"/>
                <w:szCs w:val="19"/>
              </w:rPr>
              <w:t>16</w:t>
            </w:r>
          </w:p>
        </w:tc>
        <w:tc>
          <w:tcPr>
            <w:tcW w:w="1680" w:type="dxa"/>
            <w:shd w:val="clear" w:color="auto" w:fill="auto"/>
          </w:tcPr>
          <w:p w14:paraId="17BE3687" w14:textId="488585BE" w:rsidR="00E35E72" w:rsidRPr="00E968E5" w:rsidRDefault="00E35E72" w:rsidP="00E968E5">
            <w:pPr>
              <w:spacing w:after="0"/>
              <w:jc w:val="center"/>
              <w:rPr>
                <w:sz w:val="19"/>
                <w:szCs w:val="19"/>
              </w:rPr>
            </w:pPr>
            <w:r w:rsidRPr="00E968E5">
              <w:rPr>
                <w:sz w:val="19"/>
                <w:szCs w:val="19"/>
              </w:rPr>
              <w:t>$4.6</w:t>
            </w:r>
          </w:p>
        </w:tc>
        <w:tc>
          <w:tcPr>
            <w:tcW w:w="1663" w:type="dxa"/>
            <w:shd w:val="clear" w:color="auto" w:fill="auto"/>
          </w:tcPr>
          <w:p w14:paraId="773E89BE"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353740C6" w14:textId="77777777" w:rsidR="00E35E72" w:rsidRPr="00E968E5" w:rsidRDefault="00E35E72" w:rsidP="00E968E5">
            <w:pPr>
              <w:spacing w:after="0"/>
              <w:jc w:val="center"/>
              <w:rPr>
                <w:sz w:val="19"/>
                <w:szCs w:val="19"/>
              </w:rPr>
            </w:pPr>
            <w:r w:rsidRPr="00E968E5">
              <w:rPr>
                <w:sz w:val="19"/>
                <w:szCs w:val="19"/>
              </w:rPr>
              <w:t>Targeted</w:t>
            </w:r>
          </w:p>
        </w:tc>
      </w:tr>
      <w:tr w:rsidR="003E151C" w:rsidRPr="00E968E5" w14:paraId="4FC0E733" w14:textId="77777777" w:rsidTr="00E968E5">
        <w:tc>
          <w:tcPr>
            <w:tcW w:w="1646" w:type="dxa"/>
            <w:shd w:val="clear" w:color="auto" w:fill="D8DBDA"/>
          </w:tcPr>
          <w:p w14:paraId="1BC82A92" w14:textId="77777777" w:rsidR="00E35E72" w:rsidRPr="00E968E5" w:rsidRDefault="00E35E72" w:rsidP="00E968E5">
            <w:pPr>
              <w:spacing w:after="0"/>
              <w:rPr>
                <w:sz w:val="19"/>
                <w:szCs w:val="19"/>
              </w:rPr>
            </w:pPr>
            <w:r w:rsidRPr="00E968E5">
              <w:rPr>
                <w:sz w:val="19"/>
                <w:szCs w:val="19"/>
              </w:rPr>
              <w:t>INJ302</w:t>
            </w:r>
          </w:p>
        </w:tc>
        <w:tc>
          <w:tcPr>
            <w:tcW w:w="3790" w:type="dxa"/>
            <w:shd w:val="clear" w:color="auto" w:fill="auto"/>
          </w:tcPr>
          <w:p w14:paraId="6915D384" w14:textId="77777777" w:rsidR="00E35E72" w:rsidRPr="00E968E5" w:rsidRDefault="00E35E72" w:rsidP="00E968E5">
            <w:pPr>
              <w:spacing w:after="0"/>
              <w:rPr>
                <w:sz w:val="19"/>
                <w:szCs w:val="19"/>
              </w:rPr>
            </w:pPr>
            <w:r w:rsidRPr="00E968E5">
              <w:rPr>
                <w:sz w:val="19"/>
                <w:szCs w:val="19"/>
              </w:rPr>
              <w:t>PNG Disaster Risk Management Program</w:t>
            </w:r>
          </w:p>
        </w:tc>
        <w:tc>
          <w:tcPr>
            <w:tcW w:w="1340" w:type="dxa"/>
            <w:shd w:val="clear" w:color="auto" w:fill="auto"/>
          </w:tcPr>
          <w:p w14:paraId="05605CCD" w14:textId="77777777" w:rsidR="00E35E72" w:rsidRPr="00E968E5" w:rsidRDefault="00E35E72" w:rsidP="00E968E5">
            <w:pPr>
              <w:spacing w:after="0"/>
              <w:jc w:val="center"/>
              <w:rPr>
                <w:sz w:val="19"/>
                <w:szCs w:val="19"/>
              </w:rPr>
            </w:pPr>
            <w:r w:rsidRPr="00E968E5">
              <w:rPr>
                <w:sz w:val="19"/>
                <w:szCs w:val="19"/>
              </w:rPr>
              <w:t>PNG</w:t>
            </w:r>
          </w:p>
        </w:tc>
        <w:tc>
          <w:tcPr>
            <w:tcW w:w="1441" w:type="dxa"/>
            <w:shd w:val="clear" w:color="auto" w:fill="auto"/>
          </w:tcPr>
          <w:p w14:paraId="5CD4E2E3" w14:textId="77777777" w:rsidR="00E35E72" w:rsidRPr="00E968E5" w:rsidRDefault="00E35E72" w:rsidP="00E968E5">
            <w:pPr>
              <w:spacing w:after="0"/>
              <w:jc w:val="center"/>
              <w:rPr>
                <w:sz w:val="19"/>
                <w:szCs w:val="19"/>
              </w:rPr>
            </w:pPr>
            <w:r w:rsidRPr="00E968E5">
              <w:rPr>
                <w:sz w:val="19"/>
                <w:szCs w:val="19"/>
              </w:rPr>
              <w:t>CSIRO</w:t>
            </w:r>
          </w:p>
        </w:tc>
        <w:tc>
          <w:tcPr>
            <w:tcW w:w="1664" w:type="dxa"/>
            <w:shd w:val="clear" w:color="auto" w:fill="auto"/>
          </w:tcPr>
          <w:p w14:paraId="6E110411" w14:textId="45689C38" w:rsidR="00E35E72" w:rsidRPr="00E968E5" w:rsidRDefault="00E35E72" w:rsidP="00E968E5">
            <w:pPr>
              <w:spacing w:after="0"/>
              <w:jc w:val="center"/>
              <w:rPr>
                <w:sz w:val="19"/>
                <w:szCs w:val="19"/>
              </w:rPr>
            </w:pPr>
            <w:r w:rsidRPr="00E968E5">
              <w:rPr>
                <w:sz w:val="19"/>
                <w:szCs w:val="19"/>
              </w:rPr>
              <w:t>2010</w:t>
            </w:r>
            <w:r w:rsidR="00307A6D">
              <w:rPr>
                <w:sz w:val="19"/>
                <w:szCs w:val="19"/>
              </w:rPr>
              <w:t>—</w:t>
            </w:r>
            <w:r w:rsidRPr="00E968E5">
              <w:rPr>
                <w:sz w:val="19"/>
                <w:szCs w:val="19"/>
              </w:rPr>
              <w:t>15</w:t>
            </w:r>
          </w:p>
        </w:tc>
        <w:tc>
          <w:tcPr>
            <w:tcW w:w="1680" w:type="dxa"/>
            <w:shd w:val="clear" w:color="auto" w:fill="auto"/>
          </w:tcPr>
          <w:p w14:paraId="1DD5E5B5" w14:textId="593DF426" w:rsidR="00E35E72" w:rsidRPr="00E968E5" w:rsidRDefault="00E35E72" w:rsidP="00E968E5">
            <w:pPr>
              <w:spacing w:after="0"/>
              <w:jc w:val="center"/>
              <w:rPr>
                <w:sz w:val="19"/>
                <w:szCs w:val="19"/>
              </w:rPr>
            </w:pPr>
            <w:r w:rsidRPr="00E968E5">
              <w:rPr>
                <w:sz w:val="19"/>
                <w:szCs w:val="19"/>
              </w:rPr>
              <w:t>$7.6</w:t>
            </w:r>
          </w:p>
        </w:tc>
        <w:tc>
          <w:tcPr>
            <w:tcW w:w="1663" w:type="dxa"/>
            <w:shd w:val="clear" w:color="auto" w:fill="auto"/>
          </w:tcPr>
          <w:p w14:paraId="31DA0907" w14:textId="77777777" w:rsidR="00E35E72" w:rsidRPr="00E968E5" w:rsidRDefault="00E35E72" w:rsidP="00E968E5">
            <w:pPr>
              <w:spacing w:after="0"/>
              <w:jc w:val="center"/>
              <w:rPr>
                <w:sz w:val="19"/>
                <w:szCs w:val="19"/>
              </w:rPr>
            </w:pPr>
            <w:r w:rsidRPr="00E968E5">
              <w:rPr>
                <w:sz w:val="19"/>
                <w:szCs w:val="19"/>
              </w:rPr>
              <w:t>Adaptation</w:t>
            </w:r>
          </w:p>
        </w:tc>
        <w:tc>
          <w:tcPr>
            <w:tcW w:w="1507" w:type="dxa"/>
            <w:shd w:val="clear" w:color="auto" w:fill="auto"/>
          </w:tcPr>
          <w:p w14:paraId="149914D5" w14:textId="77777777" w:rsidR="00E35E72" w:rsidRPr="00E968E5" w:rsidRDefault="00E35E72" w:rsidP="00E968E5">
            <w:pPr>
              <w:spacing w:after="0"/>
              <w:jc w:val="center"/>
              <w:rPr>
                <w:sz w:val="19"/>
                <w:szCs w:val="19"/>
              </w:rPr>
            </w:pPr>
            <w:r w:rsidRPr="00E968E5">
              <w:rPr>
                <w:sz w:val="19"/>
                <w:szCs w:val="19"/>
              </w:rPr>
              <w:t>Targeted</w:t>
            </w:r>
          </w:p>
        </w:tc>
      </w:tr>
    </w:tbl>
    <w:p w14:paraId="367275BB" w14:textId="77777777" w:rsidR="00325681" w:rsidRPr="00325681" w:rsidRDefault="00325681" w:rsidP="00325681"/>
    <w:p w14:paraId="601B577B" w14:textId="77777777" w:rsidR="00E35E72" w:rsidRDefault="00E35E72">
      <w:pPr>
        <w:tabs>
          <w:tab w:val="clear" w:pos="992"/>
          <w:tab w:val="clear" w:pos="1418"/>
        </w:tabs>
        <w:spacing w:after="160" w:line="259" w:lineRule="auto"/>
        <w:sectPr w:rsidR="00E35E72" w:rsidSect="00CA055E">
          <w:pgSz w:w="16838" w:h="11906" w:orient="landscape"/>
          <w:pgMar w:top="1152" w:right="850" w:bottom="851" w:left="851" w:header="510" w:footer="510" w:gutter="0"/>
          <w:cols w:space="708"/>
          <w:docGrid w:linePitch="360"/>
        </w:sectPr>
      </w:pPr>
    </w:p>
    <w:p w14:paraId="13F7EDA4" w14:textId="796DB2D8" w:rsidR="00E35E72" w:rsidRDefault="00E35E72" w:rsidP="00E35E72">
      <w:pPr>
        <w:pStyle w:val="Heading1"/>
      </w:pPr>
      <w:bookmarkStart w:id="107" w:name="_Toc510771947"/>
      <w:r>
        <w:lastRenderedPageBreak/>
        <w:t xml:space="preserve">Annex </w:t>
      </w:r>
      <w:r w:rsidR="008446E0">
        <w:t>2</w:t>
      </w:r>
      <w:r w:rsidR="00CE7053">
        <w:t>A</w:t>
      </w:r>
      <w:r>
        <w:t xml:space="preserve"> – </w:t>
      </w:r>
      <w:r w:rsidR="008446E0">
        <w:t>Evaluation matrix (</w:t>
      </w:r>
      <w:r>
        <w:t>Evaluation Plan</w:t>
      </w:r>
      <w:r w:rsidR="008446E0">
        <w:t>)</w:t>
      </w:r>
      <w:bookmarkEnd w:id="107"/>
    </w:p>
    <w:tbl>
      <w:tblPr>
        <w:tblW w:w="0" w:type="auto"/>
        <w:tblBorders>
          <w:bottom w:val="single" w:sz="2" w:space="0" w:color="485865"/>
          <w:insideH w:val="single" w:sz="2" w:space="0" w:color="485865"/>
        </w:tblBorders>
        <w:tblCellMar>
          <w:top w:w="85" w:type="dxa"/>
          <w:left w:w="113" w:type="dxa"/>
          <w:bottom w:w="57" w:type="dxa"/>
          <w:right w:w="57" w:type="dxa"/>
        </w:tblCellMar>
        <w:tblLook w:val="04A0" w:firstRow="1" w:lastRow="0" w:firstColumn="1" w:lastColumn="0" w:noHBand="0" w:noVBand="1"/>
        <w:tblCaption w:val="Evaluation question matrix"/>
        <w:tblDescription w:val="The table lists for each Key Evaluation Question the Sub-Question, Level of Enquiry, Data Sought, and Evidence Sources"/>
      </w:tblPr>
      <w:tblGrid>
        <w:gridCol w:w="2683"/>
        <w:gridCol w:w="4815"/>
        <w:gridCol w:w="1502"/>
        <w:gridCol w:w="3354"/>
        <w:gridCol w:w="2783"/>
      </w:tblGrid>
      <w:tr w:rsidR="003E151C" w:rsidRPr="00E968E5" w14:paraId="6C7A34FF" w14:textId="77777777" w:rsidTr="00E968E5">
        <w:trPr>
          <w:tblHeader/>
        </w:trPr>
        <w:tc>
          <w:tcPr>
            <w:tcW w:w="2712" w:type="dxa"/>
            <w:tcBorders>
              <w:top w:val="nil"/>
              <w:left w:val="nil"/>
              <w:bottom w:val="single" w:sz="12" w:space="0" w:color="FFFFFF"/>
              <w:right w:val="nil"/>
              <w:tl2br w:val="nil"/>
              <w:tr2bl w:val="nil"/>
            </w:tcBorders>
            <w:shd w:val="clear" w:color="auto" w:fill="BFBFBF"/>
          </w:tcPr>
          <w:p w14:paraId="29646BE5" w14:textId="60283248" w:rsidR="00CE7053" w:rsidRPr="00E968E5" w:rsidRDefault="00CE7053" w:rsidP="00CE7053">
            <w:pPr>
              <w:pStyle w:val="TableText"/>
            </w:pPr>
            <w:r w:rsidRPr="00E968E5">
              <w:t>Key Evaluation Question</w:t>
            </w:r>
          </w:p>
        </w:tc>
        <w:tc>
          <w:tcPr>
            <w:tcW w:w="4878" w:type="dxa"/>
            <w:tcBorders>
              <w:top w:val="nil"/>
              <w:left w:val="nil"/>
              <w:bottom w:val="single" w:sz="12" w:space="0" w:color="FFFFFF"/>
              <w:right w:val="nil"/>
              <w:tl2br w:val="nil"/>
              <w:tr2bl w:val="nil"/>
            </w:tcBorders>
            <w:shd w:val="clear" w:color="auto" w:fill="BFBFBF"/>
          </w:tcPr>
          <w:p w14:paraId="0C8BF654" w14:textId="011DEB12" w:rsidR="00CE7053" w:rsidRPr="00E968E5" w:rsidRDefault="00CE7053" w:rsidP="00CE7053">
            <w:pPr>
              <w:pStyle w:val="TableText"/>
            </w:pPr>
            <w:r w:rsidRPr="00E968E5">
              <w:t>Sub-Question</w:t>
            </w:r>
          </w:p>
        </w:tc>
        <w:tc>
          <w:tcPr>
            <w:tcW w:w="1511" w:type="dxa"/>
            <w:tcBorders>
              <w:top w:val="nil"/>
              <w:left w:val="nil"/>
              <w:bottom w:val="single" w:sz="12" w:space="0" w:color="FFFFFF"/>
              <w:right w:val="nil"/>
              <w:tl2br w:val="nil"/>
              <w:tr2bl w:val="nil"/>
            </w:tcBorders>
            <w:shd w:val="clear" w:color="auto" w:fill="BFBFBF"/>
          </w:tcPr>
          <w:p w14:paraId="7075A897" w14:textId="73CFCF21" w:rsidR="00CE7053" w:rsidRPr="00E968E5" w:rsidRDefault="00CE7053" w:rsidP="00CE7053">
            <w:pPr>
              <w:pStyle w:val="TableText"/>
            </w:pPr>
            <w:r w:rsidRPr="00E968E5">
              <w:t>Level of Enquiry</w:t>
            </w:r>
          </w:p>
        </w:tc>
        <w:tc>
          <w:tcPr>
            <w:tcW w:w="3395" w:type="dxa"/>
            <w:tcBorders>
              <w:top w:val="nil"/>
              <w:left w:val="nil"/>
              <w:bottom w:val="single" w:sz="12" w:space="0" w:color="FFFFFF"/>
              <w:right w:val="nil"/>
              <w:tl2br w:val="nil"/>
              <w:tr2bl w:val="nil"/>
            </w:tcBorders>
            <w:shd w:val="clear" w:color="auto" w:fill="BFBFBF"/>
          </w:tcPr>
          <w:p w14:paraId="6CD18BE9" w14:textId="064A0AAC" w:rsidR="00CE7053" w:rsidRPr="00E968E5" w:rsidRDefault="00CE7053" w:rsidP="00CE7053">
            <w:pPr>
              <w:pStyle w:val="TableText"/>
            </w:pPr>
            <w:r w:rsidRPr="00E968E5">
              <w:t>Data Sought</w:t>
            </w:r>
          </w:p>
        </w:tc>
        <w:tc>
          <w:tcPr>
            <w:tcW w:w="2810" w:type="dxa"/>
            <w:tcBorders>
              <w:top w:val="nil"/>
              <w:left w:val="nil"/>
              <w:bottom w:val="single" w:sz="12" w:space="0" w:color="FFFFFF"/>
              <w:right w:val="nil"/>
              <w:tl2br w:val="nil"/>
              <w:tr2bl w:val="nil"/>
            </w:tcBorders>
            <w:shd w:val="clear" w:color="auto" w:fill="BFBFBF"/>
          </w:tcPr>
          <w:p w14:paraId="3DF14894" w14:textId="618813DE" w:rsidR="00CE7053" w:rsidRPr="00E968E5" w:rsidRDefault="00CE7053" w:rsidP="00CE7053">
            <w:pPr>
              <w:pStyle w:val="TableText"/>
            </w:pPr>
            <w:r w:rsidRPr="00E968E5">
              <w:t>Evidence Sources</w:t>
            </w:r>
          </w:p>
        </w:tc>
      </w:tr>
      <w:tr w:rsidR="003E151C" w:rsidRPr="00E968E5" w14:paraId="046086D0" w14:textId="77777777" w:rsidTr="00E968E5">
        <w:tc>
          <w:tcPr>
            <w:tcW w:w="2712" w:type="dxa"/>
            <w:shd w:val="clear" w:color="auto" w:fill="D8DBDA"/>
            <w:vAlign w:val="center"/>
          </w:tcPr>
          <w:p w14:paraId="275015AC" w14:textId="3C6F0C02" w:rsidR="00CE7053" w:rsidRPr="00E968E5" w:rsidRDefault="00CE7053" w:rsidP="00CE7053">
            <w:pPr>
              <w:pStyle w:val="TableText"/>
              <w:rPr>
                <w:szCs w:val="19"/>
              </w:rPr>
            </w:pPr>
            <w:r w:rsidRPr="00E968E5">
              <w:rPr>
                <w:szCs w:val="19"/>
              </w:rPr>
              <w:t>To what extent has Australia’s Engagement in climate change reduced vulnerability to climate change (increased resilience or decreased emissions) as a result of targeted and/or mainstreamed action?</w:t>
            </w:r>
          </w:p>
        </w:tc>
        <w:tc>
          <w:tcPr>
            <w:tcW w:w="4878" w:type="dxa"/>
            <w:shd w:val="clear" w:color="auto" w:fill="auto"/>
          </w:tcPr>
          <w:p w14:paraId="0C770FEB" w14:textId="0B2C72D6" w:rsidR="00636397" w:rsidRPr="00E968E5" w:rsidRDefault="00CE7053" w:rsidP="00CE7053">
            <w:pPr>
              <w:pStyle w:val="TableText"/>
              <w:rPr>
                <w:szCs w:val="19"/>
              </w:rPr>
            </w:pPr>
            <w:r w:rsidRPr="00E968E5">
              <w:t xml:space="preserve">Is there </w:t>
            </w:r>
            <w:r w:rsidRPr="009F1CF9">
              <w:t xml:space="preserve">evidence that emissions are lower, or communities are more resilient as a result of Australian </w:t>
            </w:r>
            <w:r w:rsidRPr="009F1CF9">
              <w:rPr>
                <w:szCs w:val="19"/>
              </w:rPr>
              <w:t>engagement?</w:t>
            </w:r>
          </w:p>
          <w:p w14:paraId="57FE8FF8" w14:textId="433E2182" w:rsidR="00CE7053" w:rsidRPr="00E968E5" w:rsidRDefault="00CE7053" w:rsidP="00CE7053">
            <w:pPr>
              <w:pStyle w:val="TableText"/>
              <w:rPr>
                <w:szCs w:val="19"/>
              </w:rPr>
            </w:pPr>
            <w:r w:rsidRPr="00E968E5">
              <w:rPr>
                <w:szCs w:val="19"/>
              </w:rPr>
              <w:t>Achievement of CC results:</w:t>
            </w:r>
          </w:p>
          <w:p w14:paraId="5BE5EF97" w14:textId="419840AF" w:rsidR="00F508EE" w:rsidRDefault="00CE7053" w:rsidP="00D0433B">
            <w:pPr>
              <w:pStyle w:val="TableText"/>
              <w:rPr>
                <w:szCs w:val="19"/>
              </w:rPr>
            </w:pPr>
            <w:r w:rsidRPr="00E968E5">
              <w:rPr>
                <w:szCs w:val="19"/>
              </w:rPr>
              <w:t>Results HAVE been achieved</w:t>
            </w:r>
          </w:p>
          <w:p w14:paraId="1F254D2C" w14:textId="77777777" w:rsidR="00CE7053" w:rsidRPr="00E968E5" w:rsidRDefault="00CE7053" w:rsidP="00D0433B">
            <w:pPr>
              <w:pStyle w:val="TableText"/>
              <w:rPr>
                <w:szCs w:val="19"/>
              </w:rPr>
            </w:pPr>
            <w:r w:rsidRPr="00E968E5">
              <w:rPr>
                <w:szCs w:val="19"/>
              </w:rPr>
              <w:t>Look likely to be achieved</w:t>
            </w:r>
          </w:p>
          <w:p w14:paraId="750E583D" w14:textId="77777777" w:rsidR="00CE7053" w:rsidRPr="00E968E5" w:rsidRDefault="00CE7053" w:rsidP="00D0433B">
            <w:pPr>
              <w:pStyle w:val="TableText"/>
              <w:rPr>
                <w:szCs w:val="19"/>
              </w:rPr>
            </w:pPr>
            <w:r w:rsidRPr="00E968E5">
              <w:rPr>
                <w:szCs w:val="19"/>
              </w:rPr>
              <w:t>Look unlikely to be achieved</w:t>
            </w:r>
          </w:p>
          <w:p w14:paraId="425C1266" w14:textId="77777777" w:rsidR="00F508EE" w:rsidRDefault="00CE7053" w:rsidP="00CE7053">
            <w:pPr>
              <w:pStyle w:val="TableText"/>
              <w:rPr>
                <w:szCs w:val="19"/>
              </w:rPr>
            </w:pPr>
            <w:r w:rsidRPr="00E968E5">
              <w:rPr>
                <w:szCs w:val="19"/>
              </w:rPr>
              <w:t>Results HAVE NOT been achieved</w:t>
            </w:r>
          </w:p>
          <w:p w14:paraId="613A9ECE" w14:textId="77777777" w:rsidR="00CE7053" w:rsidRPr="00E968E5" w:rsidRDefault="00CE7053" w:rsidP="00CE7053">
            <w:pPr>
              <w:pStyle w:val="TableText"/>
              <w:rPr>
                <w:sz w:val="21"/>
              </w:rPr>
            </w:pPr>
          </w:p>
        </w:tc>
        <w:tc>
          <w:tcPr>
            <w:tcW w:w="1511" w:type="dxa"/>
            <w:shd w:val="clear" w:color="auto" w:fill="auto"/>
          </w:tcPr>
          <w:p w14:paraId="47C857C7" w14:textId="08F645DB" w:rsidR="000E7334" w:rsidRDefault="00CE7053" w:rsidP="00CE7053">
            <w:pPr>
              <w:pStyle w:val="TableText"/>
            </w:pPr>
            <w:r w:rsidRPr="00E968E5">
              <w:t>Corporate</w:t>
            </w:r>
          </w:p>
          <w:p w14:paraId="7AB09A3A" w14:textId="77777777" w:rsidR="00F508EE" w:rsidRDefault="00CE7053" w:rsidP="00CE7053">
            <w:pPr>
              <w:pStyle w:val="TableText"/>
            </w:pPr>
            <w:r w:rsidRPr="00E968E5">
              <w:t>Program</w:t>
            </w:r>
          </w:p>
          <w:p w14:paraId="64199DF3" w14:textId="6AE29296" w:rsidR="00CE7053" w:rsidRPr="00E968E5" w:rsidRDefault="00CE7053" w:rsidP="00CE7053">
            <w:pPr>
              <w:pStyle w:val="TableText"/>
            </w:pPr>
            <w:r w:rsidRPr="00E968E5">
              <w:t>Investment</w:t>
            </w:r>
          </w:p>
        </w:tc>
        <w:tc>
          <w:tcPr>
            <w:tcW w:w="3395" w:type="dxa"/>
            <w:shd w:val="clear" w:color="auto" w:fill="auto"/>
          </w:tcPr>
          <w:p w14:paraId="45CD6F49" w14:textId="36D057F7" w:rsidR="00CE7053" w:rsidRPr="00E968E5" w:rsidRDefault="00CE7053" w:rsidP="00CE7053">
            <w:pPr>
              <w:pStyle w:val="TableText"/>
            </w:pPr>
            <w:r w:rsidRPr="00E968E5">
              <w:t>Agency wide Reporting/data on greenhouse gas emissions reduced.</w:t>
            </w:r>
            <w:r w:rsidR="00110D83">
              <w:t xml:space="preserve"> </w:t>
            </w:r>
            <w:r w:rsidRPr="00E968E5">
              <w:t xml:space="preserve">Corporate reporting on adaptation. </w:t>
            </w:r>
            <w:r w:rsidR="00F0034F">
              <w:t>For example</w:t>
            </w:r>
            <w:r w:rsidRPr="00E968E5">
              <w:t>: numbers of people with improved access to climate information, number of people covered by flood/early warning systems, crop losses avoided through climate smart agriculture)</w:t>
            </w:r>
          </w:p>
          <w:p w14:paraId="75330E98" w14:textId="68AEC2A9" w:rsidR="00F508EE" w:rsidRDefault="00CE7053" w:rsidP="00CE7053">
            <w:pPr>
              <w:pStyle w:val="TableText"/>
            </w:pPr>
            <w:r w:rsidRPr="00E968E5">
              <w:t>Program wide reporting</w:t>
            </w:r>
            <w:r w:rsidR="00A13986">
              <w:t>—</w:t>
            </w:r>
            <w:r w:rsidRPr="00E968E5">
              <w:t>as relates to portfolio</w:t>
            </w:r>
          </w:p>
          <w:p w14:paraId="42C3DD92" w14:textId="169DF286" w:rsidR="00CE7053" w:rsidRPr="00E968E5" w:rsidRDefault="00CE7053" w:rsidP="00CE7053">
            <w:pPr>
              <w:pStyle w:val="TableText"/>
            </w:pPr>
            <w:r w:rsidRPr="00E968E5">
              <w:t>Investment Level Reporting</w:t>
            </w:r>
            <w:r w:rsidR="00A13986">
              <w:t>—</w:t>
            </w:r>
            <w:r w:rsidRPr="00E968E5">
              <w:t>as relates to investment</w:t>
            </w:r>
          </w:p>
        </w:tc>
        <w:tc>
          <w:tcPr>
            <w:tcW w:w="2810" w:type="dxa"/>
            <w:shd w:val="clear" w:color="auto" w:fill="auto"/>
          </w:tcPr>
          <w:p w14:paraId="6F1809B8" w14:textId="4BA0C3FE" w:rsidR="00CE7053" w:rsidRPr="00E968E5" w:rsidRDefault="00CE7053" w:rsidP="00CE7053">
            <w:pPr>
              <w:pStyle w:val="TableText"/>
            </w:pPr>
            <w:r w:rsidRPr="00E968E5">
              <w:t>Performance of Australian Aid Report, DFAT Annual Report, Interviews with CC and DRR division, look at link to Sustainable Development Goals</w:t>
            </w:r>
          </w:p>
          <w:p w14:paraId="0839D654" w14:textId="1A036122" w:rsidR="00F508EE" w:rsidRDefault="00CE7053" w:rsidP="00CE7053">
            <w:pPr>
              <w:pStyle w:val="TableText"/>
            </w:pPr>
            <w:r w:rsidRPr="00E968E5">
              <w:t>Review of Annual Program Performance Report and reporting back on PAFs, country/regional interviews</w:t>
            </w:r>
          </w:p>
          <w:p w14:paraId="2DDFF902" w14:textId="5EE192B4" w:rsidR="00CE7053" w:rsidRPr="00E968E5" w:rsidRDefault="00CE7053" w:rsidP="00CE7053">
            <w:pPr>
              <w:pStyle w:val="TableText"/>
            </w:pPr>
            <w:r w:rsidRPr="00E968E5">
              <w:t>Investment progress Reports, A</w:t>
            </w:r>
            <w:r w:rsidR="006702BE">
              <w:t>QCs</w:t>
            </w:r>
            <w:r w:rsidRPr="00E968E5">
              <w:t>, Investment M&amp;E systems, investment level interviews</w:t>
            </w:r>
          </w:p>
        </w:tc>
      </w:tr>
      <w:tr w:rsidR="003E151C" w:rsidRPr="00E968E5" w14:paraId="4F68939A" w14:textId="77777777" w:rsidTr="00E968E5">
        <w:tc>
          <w:tcPr>
            <w:tcW w:w="2712" w:type="dxa"/>
            <w:vMerge w:val="restart"/>
            <w:shd w:val="clear" w:color="auto" w:fill="D8DBDA"/>
            <w:vAlign w:val="center"/>
          </w:tcPr>
          <w:p w14:paraId="06209F2D" w14:textId="0EC5FA15" w:rsidR="00CE7053" w:rsidRPr="00E968E5" w:rsidRDefault="00CE7053" w:rsidP="00CE7053">
            <w:pPr>
              <w:pStyle w:val="TableText"/>
            </w:pPr>
            <w:r w:rsidRPr="00E968E5">
              <w:t>2. What factors have contributed to or detracted from, effectiveness of Australian engagement in climate change?</w:t>
            </w:r>
          </w:p>
        </w:tc>
        <w:tc>
          <w:tcPr>
            <w:tcW w:w="4878" w:type="dxa"/>
            <w:shd w:val="clear" w:color="auto" w:fill="auto"/>
          </w:tcPr>
          <w:p w14:paraId="205ABEC4" w14:textId="5C17A050" w:rsidR="00636397" w:rsidRDefault="00CE7053" w:rsidP="00CE7053">
            <w:pPr>
              <w:pStyle w:val="TableText"/>
              <w:rPr>
                <w:szCs w:val="19"/>
              </w:rPr>
            </w:pPr>
            <w:r w:rsidRPr="00E968E5">
              <w:t xml:space="preserve">To what extent are the five identified domains of effective </w:t>
            </w:r>
            <w:r w:rsidRPr="00E968E5">
              <w:rPr>
                <w:szCs w:val="19"/>
              </w:rPr>
              <w:t>climate change integration evident within DFAT?</w:t>
            </w:r>
          </w:p>
          <w:p w14:paraId="5889C544" w14:textId="77777777" w:rsidR="00CE7053" w:rsidRPr="00E968E5" w:rsidRDefault="00CE7053" w:rsidP="00CE7053">
            <w:pPr>
              <w:pStyle w:val="TableText"/>
              <w:rPr>
                <w:sz w:val="21"/>
              </w:rPr>
            </w:pPr>
            <w:r w:rsidRPr="00E968E5">
              <w:rPr>
                <w:szCs w:val="19"/>
              </w:rPr>
              <w:t>Are there any examples of particularly good or poor practice and what was the impact of this?</w:t>
            </w:r>
          </w:p>
        </w:tc>
        <w:tc>
          <w:tcPr>
            <w:tcW w:w="1511" w:type="dxa"/>
            <w:shd w:val="clear" w:color="auto" w:fill="auto"/>
          </w:tcPr>
          <w:p w14:paraId="38619DDE" w14:textId="77777777" w:rsidR="00CE7053" w:rsidRPr="00E968E5" w:rsidRDefault="00CE7053" w:rsidP="00CE7053">
            <w:pPr>
              <w:pStyle w:val="TableText"/>
            </w:pPr>
            <w:r w:rsidRPr="00E968E5">
              <w:t>All</w:t>
            </w:r>
          </w:p>
        </w:tc>
        <w:tc>
          <w:tcPr>
            <w:tcW w:w="3395" w:type="dxa"/>
            <w:shd w:val="clear" w:color="auto" w:fill="auto"/>
          </w:tcPr>
          <w:p w14:paraId="13F21129" w14:textId="663D8C51" w:rsidR="00CE7053" w:rsidRPr="00E968E5" w:rsidRDefault="00CE7053" w:rsidP="00CE7053">
            <w:pPr>
              <w:pStyle w:val="TableText"/>
            </w:pPr>
            <w:r w:rsidRPr="00E968E5">
              <w:t>See Annex 3B.</w:t>
            </w:r>
          </w:p>
        </w:tc>
        <w:tc>
          <w:tcPr>
            <w:tcW w:w="2810" w:type="dxa"/>
            <w:shd w:val="clear" w:color="auto" w:fill="auto"/>
          </w:tcPr>
          <w:p w14:paraId="48891E9F" w14:textId="623CFF07" w:rsidR="00CE7053" w:rsidRPr="00E968E5" w:rsidRDefault="00CE7053" w:rsidP="00CE7053">
            <w:pPr>
              <w:pStyle w:val="TableText"/>
            </w:pPr>
            <w:r w:rsidRPr="00E968E5">
              <w:t>See Annex 3B.</w:t>
            </w:r>
          </w:p>
        </w:tc>
      </w:tr>
      <w:tr w:rsidR="003E151C" w:rsidRPr="00E968E5" w14:paraId="555EA6D4" w14:textId="77777777" w:rsidTr="00E968E5">
        <w:tc>
          <w:tcPr>
            <w:tcW w:w="2712" w:type="dxa"/>
            <w:vMerge/>
            <w:shd w:val="clear" w:color="auto" w:fill="D8DBDA"/>
            <w:vAlign w:val="center"/>
          </w:tcPr>
          <w:p w14:paraId="79F34C9D" w14:textId="77777777" w:rsidR="00CE7053" w:rsidRPr="00E968E5" w:rsidRDefault="00CE7053" w:rsidP="00CE7053">
            <w:pPr>
              <w:pStyle w:val="TableText"/>
            </w:pPr>
          </w:p>
        </w:tc>
        <w:tc>
          <w:tcPr>
            <w:tcW w:w="4878" w:type="dxa"/>
            <w:shd w:val="clear" w:color="auto" w:fill="auto"/>
          </w:tcPr>
          <w:p w14:paraId="05CF22CB" w14:textId="77777777" w:rsidR="00F508EE" w:rsidRDefault="00CE7053" w:rsidP="00CE7053">
            <w:pPr>
              <w:pStyle w:val="TableText"/>
              <w:rPr>
                <w:szCs w:val="19"/>
              </w:rPr>
            </w:pPr>
            <w:r w:rsidRPr="00E968E5">
              <w:rPr>
                <w:szCs w:val="19"/>
              </w:rPr>
              <w:t>To what extent has engagement with strategic partners contributed to improved program delivery?</w:t>
            </w:r>
          </w:p>
          <w:p w14:paraId="76766DAE" w14:textId="77777777" w:rsidR="00F508EE" w:rsidRDefault="00CE7053" w:rsidP="00CE7053">
            <w:pPr>
              <w:pStyle w:val="TableText"/>
              <w:rPr>
                <w:szCs w:val="19"/>
              </w:rPr>
            </w:pPr>
            <w:r w:rsidRPr="00E968E5">
              <w:rPr>
                <w:szCs w:val="19"/>
              </w:rPr>
              <w:t>Are there any examples of particularly good or poor practice and what was the impact of this?</w:t>
            </w:r>
          </w:p>
          <w:p w14:paraId="385AA54C" w14:textId="77777777" w:rsidR="00CE7053" w:rsidRPr="00E968E5" w:rsidRDefault="00CE7053" w:rsidP="00CE7053">
            <w:pPr>
              <w:pStyle w:val="TableText"/>
              <w:rPr>
                <w:sz w:val="21"/>
              </w:rPr>
            </w:pPr>
            <w:r w:rsidRPr="00E968E5">
              <w:rPr>
                <w:szCs w:val="19"/>
              </w:rPr>
              <w:t>Are there any opportunities for improvement or leverage?</w:t>
            </w:r>
          </w:p>
        </w:tc>
        <w:tc>
          <w:tcPr>
            <w:tcW w:w="1511" w:type="dxa"/>
            <w:shd w:val="clear" w:color="auto" w:fill="auto"/>
          </w:tcPr>
          <w:p w14:paraId="08841C78" w14:textId="77777777" w:rsidR="00F508EE" w:rsidRDefault="00CE7053" w:rsidP="00CE7053">
            <w:pPr>
              <w:pStyle w:val="TableText"/>
            </w:pPr>
            <w:r w:rsidRPr="00E968E5">
              <w:t>Corporate</w:t>
            </w:r>
          </w:p>
          <w:p w14:paraId="4F44E27D" w14:textId="36E92622" w:rsidR="00F508EE" w:rsidRDefault="00CE7053" w:rsidP="00CE7053">
            <w:pPr>
              <w:pStyle w:val="TableText"/>
            </w:pPr>
            <w:r w:rsidRPr="00E968E5">
              <w:br/>
            </w:r>
            <w:r w:rsidR="00F0034F">
              <w:t>Program</w:t>
            </w:r>
          </w:p>
          <w:p w14:paraId="20B1A669" w14:textId="116E0F1B" w:rsidR="00CE7053" w:rsidRPr="00E968E5" w:rsidRDefault="00CE7053" w:rsidP="00CE7053">
            <w:pPr>
              <w:pStyle w:val="TableText"/>
            </w:pPr>
            <w:r w:rsidRPr="00E968E5">
              <w:t>Investment</w:t>
            </w:r>
          </w:p>
        </w:tc>
        <w:tc>
          <w:tcPr>
            <w:tcW w:w="3395" w:type="dxa"/>
            <w:shd w:val="clear" w:color="auto" w:fill="auto"/>
          </w:tcPr>
          <w:p w14:paraId="5A49CB2E" w14:textId="6EC18E79" w:rsidR="00F508EE" w:rsidRDefault="00CE7053" w:rsidP="00CE7053">
            <w:pPr>
              <w:pStyle w:val="TableText"/>
            </w:pPr>
            <w:r w:rsidRPr="00E968E5">
              <w:t>L</w:t>
            </w:r>
            <w:r w:rsidR="00D9247D">
              <w:t>evel of engagement of strategic</w:t>
            </w:r>
            <w:r w:rsidRPr="00E968E5">
              <w:t xml:space="preserve"> partners in strategic Australian approach/policy to international engagement on CC</w:t>
            </w:r>
          </w:p>
          <w:p w14:paraId="5C049706" w14:textId="77777777" w:rsidR="00CE7053" w:rsidRPr="00E968E5" w:rsidRDefault="00CE7053" w:rsidP="00CE7053">
            <w:pPr>
              <w:pStyle w:val="TableText"/>
            </w:pPr>
            <w:r w:rsidRPr="00E968E5">
              <w:t>Extent of collaboration and working together to implement complementary programs and/or international policy dialogue.</w:t>
            </w:r>
          </w:p>
          <w:p w14:paraId="3722AFED" w14:textId="5D5D46C4" w:rsidR="00F508EE" w:rsidRDefault="00CE7053" w:rsidP="00CE7053">
            <w:pPr>
              <w:pStyle w:val="TableText"/>
            </w:pPr>
            <w:r w:rsidRPr="00E968E5">
              <w:t xml:space="preserve">Engagement of strategic partners in </w:t>
            </w:r>
            <w:r w:rsidR="00F0034F">
              <w:t>program</w:t>
            </w:r>
            <w:r w:rsidRPr="00E968E5">
              <w:t xml:space="preserve"> level policy direction setting</w:t>
            </w:r>
          </w:p>
          <w:p w14:paraId="48C3DC68" w14:textId="27514E4B" w:rsidR="00F508EE" w:rsidRDefault="00CE7053" w:rsidP="00CE7053">
            <w:pPr>
              <w:pStyle w:val="TableText"/>
            </w:pPr>
            <w:r w:rsidRPr="00E968E5">
              <w:t>Extent of strategic collaboration to deliver on the Australian Aid Program in</w:t>
            </w:r>
            <w:r w:rsidR="006A6368">
              <w:t xml:space="preserve"> country</w:t>
            </w:r>
            <w:r w:rsidRPr="00E968E5">
              <w:t>/region.</w:t>
            </w:r>
          </w:p>
          <w:p w14:paraId="1CEB5C4C" w14:textId="7535593A" w:rsidR="00CE7053" w:rsidRPr="00E968E5" w:rsidRDefault="00CE7053" w:rsidP="00CE7053">
            <w:pPr>
              <w:pStyle w:val="TableText"/>
            </w:pPr>
            <w:r w:rsidRPr="00E968E5">
              <w:t>As above at investment level</w:t>
            </w:r>
          </w:p>
        </w:tc>
        <w:tc>
          <w:tcPr>
            <w:tcW w:w="2810" w:type="dxa"/>
            <w:shd w:val="clear" w:color="auto" w:fill="auto"/>
          </w:tcPr>
          <w:p w14:paraId="0C409346" w14:textId="0799452E" w:rsidR="00F508EE" w:rsidRDefault="00CE7053" w:rsidP="00CE7053">
            <w:pPr>
              <w:pStyle w:val="TableText"/>
            </w:pPr>
            <w:r w:rsidRPr="00E968E5">
              <w:t xml:space="preserve">Interviews with DoEE, ACIAR, BoM, CSIRO, Geoscience, </w:t>
            </w:r>
            <w:r w:rsidR="00E56056" w:rsidRPr="00E968E5">
              <w:t>Dept.</w:t>
            </w:r>
            <w:r w:rsidRPr="00E968E5">
              <w:t xml:space="preserve"> Agriculture and Water Resources, ACFID/NGOs, Private Sector, CC</w:t>
            </w:r>
            <w:r w:rsidR="00D57C05">
              <w:t>B</w:t>
            </w:r>
            <w:r w:rsidRPr="00E968E5">
              <w:t xml:space="preserve">, DRR </w:t>
            </w:r>
            <w:r w:rsidR="00D57C05">
              <w:t>Branch</w:t>
            </w:r>
            <w:r w:rsidRPr="00E968E5">
              <w:t>, Corporate</w:t>
            </w:r>
            <w:r w:rsidR="00110D83">
              <w:t xml:space="preserve"> </w:t>
            </w:r>
            <w:r w:rsidRPr="00E968E5">
              <w:t>document review</w:t>
            </w:r>
          </w:p>
          <w:p w14:paraId="245E98BB" w14:textId="73ECF490" w:rsidR="00F508EE" w:rsidRDefault="00CE7053" w:rsidP="00CE7053">
            <w:pPr>
              <w:pStyle w:val="TableText"/>
            </w:pPr>
            <w:r w:rsidRPr="00E968E5">
              <w:t>Interviews with relevant partners (focus on Australian Govt partners) at country/regional level, DFAT CC lead and Head of Program. Documents: AIP, sector investment plans, APPRs</w:t>
            </w:r>
          </w:p>
          <w:p w14:paraId="5C160F87" w14:textId="409CF768" w:rsidR="00CE7053" w:rsidRPr="00E968E5" w:rsidRDefault="00CE7053" w:rsidP="00CE7053">
            <w:pPr>
              <w:pStyle w:val="TableText"/>
            </w:pPr>
            <w:r w:rsidRPr="00E968E5">
              <w:lastRenderedPageBreak/>
              <w:t xml:space="preserve">Interviews with relevant partners at investment level, DFAT Investment Managers, Documents; Design Documents, Investment reports, evaluations. </w:t>
            </w:r>
          </w:p>
        </w:tc>
      </w:tr>
      <w:tr w:rsidR="003E151C" w:rsidRPr="00E968E5" w14:paraId="08255130" w14:textId="77777777" w:rsidTr="00E968E5">
        <w:tc>
          <w:tcPr>
            <w:tcW w:w="2712" w:type="dxa"/>
            <w:vMerge/>
            <w:shd w:val="clear" w:color="auto" w:fill="D8DBDA"/>
            <w:vAlign w:val="center"/>
          </w:tcPr>
          <w:p w14:paraId="2B32E55D" w14:textId="77777777" w:rsidR="00CE7053" w:rsidRPr="00E968E5" w:rsidRDefault="00CE7053" w:rsidP="00CE7053">
            <w:pPr>
              <w:pStyle w:val="TableText"/>
            </w:pPr>
          </w:p>
        </w:tc>
        <w:tc>
          <w:tcPr>
            <w:tcW w:w="4878" w:type="dxa"/>
            <w:shd w:val="clear" w:color="auto" w:fill="auto"/>
          </w:tcPr>
          <w:p w14:paraId="5A95EC29" w14:textId="60CC1890" w:rsidR="00F508EE" w:rsidRDefault="00CE7053" w:rsidP="00CE7053">
            <w:pPr>
              <w:pStyle w:val="TableText"/>
              <w:rPr>
                <w:szCs w:val="19"/>
              </w:rPr>
            </w:pPr>
            <w:r w:rsidRPr="00E968E5">
              <w:rPr>
                <w:szCs w:val="19"/>
              </w:rPr>
              <w:t>To what extent have gender and disability inclusiveness been explicitly considered in targeted CC investments?</w:t>
            </w:r>
          </w:p>
          <w:p w14:paraId="4491D6C2" w14:textId="77777777" w:rsidR="00CE7053" w:rsidRPr="00E968E5" w:rsidRDefault="00CE7053" w:rsidP="00CE7053">
            <w:pPr>
              <w:pStyle w:val="TableText"/>
              <w:rPr>
                <w:szCs w:val="19"/>
              </w:rPr>
            </w:pPr>
            <w:r w:rsidRPr="00E968E5">
              <w:rPr>
                <w:szCs w:val="19"/>
              </w:rPr>
              <w:t>Are there any</w:t>
            </w:r>
            <w:r w:rsidRPr="00E968E5">
              <w:rPr>
                <w:color w:val="B5582D"/>
                <w:szCs w:val="19"/>
              </w:rPr>
              <w:t xml:space="preserve"> </w:t>
            </w:r>
            <w:r w:rsidRPr="00E968E5">
              <w:rPr>
                <w:szCs w:val="19"/>
              </w:rPr>
              <w:t>examples</w:t>
            </w:r>
            <w:r w:rsidRPr="00E968E5">
              <w:rPr>
                <w:color w:val="B5582D"/>
                <w:szCs w:val="19"/>
              </w:rPr>
              <w:t xml:space="preserve"> </w:t>
            </w:r>
            <w:r w:rsidRPr="00E968E5">
              <w:rPr>
                <w:szCs w:val="19"/>
              </w:rPr>
              <w:t>of particularly good practice or significant missed opportunities and the impact of these?</w:t>
            </w:r>
          </w:p>
          <w:p w14:paraId="29E89F9A" w14:textId="77777777" w:rsidR="00CE7053" w:rsidRPr="00E968E5" w:rsidRDefault="00CE7053" w:rsidP="00CE7053">
            <w:pPr>
              <w:pStyle w:val="TableText"/>
            </w:pPr>
          </w:p>
        </w:tc>
        <w:tc>
          <w:tcPr>
            <w:tcW w:w="1511" w:type="dxa"/>
            <w:shd w:val="clear" w:color="auto" w:fill="auto"/>
          </w:tcPr>
          <w:p w14:paraId="37BAE147" w14:textId="10D7269B" w:rsidR="000E7334" w:rsidRDefault="00CE7053" w:rsidP="00CE7053">
            <w:pPr>
              <w:pStyle w:val="TableText"/>
            </w:pPr>
            <w:r w:rsidRPr="00E968E5">
              <w:t>Corporate</w:t>
            </w:r>
          </w:p>
          <w:p w14:paraId="1159ED1C" w14:textId="1A5F5391" w:rsidR="00F508EE" w:rsidRDefault="00F0034F" w:rsidP="00CE7053">
            <w:pPr>
              <w:pStyle w:val="TableText"/>
            </w:pPr>
            <w:r>
              <w:t>Program</w:t>
            </w:r>
          </w:p>
          <w:p w14:paraId="41EA0A30" w14:textId="28F0B711" w:rsidR="00CE7053" w:rsidRPr="00E968E5" w:rsidRDefault="00CE7053" w:rsidP="00CE7053">
            <w:pPr>
              <w:pStyle w:val="TableText"/>
            </w:pPr>
            <w:r w:rsidRPr="00E968E5">
              <w:t>Investment</w:t>
            </w:r>
          </w:p>
        </w:tc>
        <w:tc>
          <w:tcPr>
            <w:tcW w:w="3395" w:type="dxa"/>
            <w:shd w:val="clear" w:color="auto" w:fill="auto"/>
          </w:tcPr>
          <w:p w14:paraId="4A95A40F" w14:textId="35ABC7D7" w:rsidR="00CE7053" w:rsidRPr="00E968E5" w:rsidRDefault="00CE7053" w:rsidP="00CE7053">
            <w:pPr>
              <w:pStyle w:val="TableText"/>
            </w:pPr>
            <w:r w:rsidRPr="00E968E5">
              <w:t>Evidence at policy and guidance level of the benefits of considering gender in CC investments and vice/versa.</w:t>
            </w:r>
            <w:r w:rsidR="00110D83">
              <w:t xml:space="preserve"> </w:t>
            </w:r>
            <w:r w:rsidRPr="00E968E5">
              <w:t>Evidence from reporting of the relationship.</w:t>
            </w:r>
          </w:p>
          <w:p w14:paraId="69C3BE5F" w14:textId="7C767C8C" w:rsidR="00F508EE" w:rsidRDefault="00CE7053" w:rsidP="00CE7053">
            <w:pPr>
              <w:pStyle w:val="TableText"/>
            </w:pPr>
            <w:r w:rsidRPr="00E968E5">
              <w:t xml:space="preserve">Evidence at </w:t>
            </w:r>
            <w:r w:rsidR="00F0034F">
              <w:t>Program</w:t>
            </w:r>
            <w:r w:rsidRPr="00E968E5">
              <w:t xml:space="preserve"> level strategy and reporting</w:t>
            </w:r>
          </w:p>
          <w:p w14:paraId="156B2412" w14:textId="1C49ED9D" w:rsidR="00CE7053" w:rsidRPr="00E968E5" w:rsidRDefault="00CE7053" w:rsidP="00CE7053">
            <w:pPr>
              <w:pStyle w:val="TableText"/>
            </w:pPr>
            <w:r w:rsidRPr="00E968E5">
              <w:t>Evidence at Investment level design and reporting</w:t>
            </w:r>
          </w:p>
        </w:tc>
        <w:tc>
          <w:tcPr>
            <w:tcW w:w="2810" w:type="dxa"/>
            <w:shd w:val="clear" w:color="auto" w:fill="auto"/>
          </w:tcPr>
          <w:p w14:paraId="4A538D0C" w14:textId="0E5F3A7C" w:rsidR="00CE7053" w:rsidRPr="00E968E5" w:rsidRDefault="00CE7053" w:rsidP="00CE7053">
            <w:pPr>
              <w:pStyle w:val="TableText"/>
            </w:pPr>
            <w:r w:rsidRPr="00E968E5">
              <w:t>DFAT CC Policy, Interviews with CC and Gender divisions</w:t>
            </w:r>
          </w:p>
          <w:p w14:paraId="6FB554BF" w14:textId="6DEA1BBB" w:rsidR="001415A2" w:rsidRDefault="00CE7053" w:rsidP="00CE7053">
            <w:pPr>
              <w:pStyle w:val="TableText"/>
            </w:pPr>
            <w:r w:rsidRPr="00E968E5">
              <w:t>AI</w:t>
            </w:r>
            <w:r w:rsidRPr="009F1CF9">
              <w:t>P/APPR, interviews</w:t>
            </w:r>
            <w:r w:rsidRPr="00E968E5">
              <w:t xml:space="preserve"> with Country program leads, gender focal points.</w:t>
            </w:r>
          </w:p>
          <w:p w14:paraId="594D5E3E" w14:textId="799F0EFD" w:rsidR="00CE7053" w:rsidRPr="00E968E5" w:rsidRDefault="00CE7053" w:rsidP="00CE7053">
            <w:pPr>
              <w:pStyle w:val="TableText"/>
            </w:pPr>
            <w:r w:rsidRPr="00E968E5">
              <w:t>Investment progress Reports, A</w:t>
            </w:r>
            <w:r w:rsidR="006702BE">
              <w:t>QCs</w:t>
            </w:r>
            <w:r w:rsidRPr="00E968E5">
              <w:t>, investment level interviews</w:t>
            </w:r>
          </w:p>
        </w:tc>
      </w:tr>
      <w:tr w:rsidR="003E151C" w:rsidRPr="00E968E5" w14:paraId="153665AA" w14:textId="77777777" w:rsidTr="00E968E5">
        <w:tc>
          <w:tcPr>
            <w:tcW w:w="2712" w:type="dxa"/>
            <w:vMerge/>
            <w:shd w:val="clear" w:color="auto" w:fill="D8DBDA"/>
            <w:vAlign w:val="center"/>
          </w:tcPr>
          <w:p w14:paraId="1AA84EB2" w14:textId="77777777" w:rsidR="00CE7053" w:rsidRPr="00E968E5" w:rsidRDefault="00CE7053" w:rsidP="00CE7053">
            <w:pPr>
              <w:pStyle w:val="TableText"/>
            </w:pPr>
          </w:p>
        </w:tc>
        <w:tc>
          <w:tcPr>
            <w:tcW w:w="4878" w:type="dxa"/>
            <w:shd w:val="clear" w:color="auto" w:fill="auto"/>
          </w:tcPr>
          <w:p w14:paraId="45DFB53E" w14:textId="52E334AB" w:rsidR="00CE7053" w:rsidRPr="00E968E5" w:rsidRDefault="00CE7053" w:rsidP="00CE7053">
            <w:pPr>
              <w:pStyle w:val="TableText"/>
            </w:pPr>
            <w:r w:rsidRPr="00E968E5">
              <w:t>Are there other factors (not identified above) that have contributed to or detracted from effectiveness of delivering on CC?</w:t>
            </w:r>
          </w:p>
        </w:tc>
        <w:tc>
          <w:tcPr>
            <w:tcW w:w="1511" w:type="dxa"/>
            <w:shd w:val="clear" w:color="auto" w:fill="auto"/>
          </w:tcPr>
          <w:p w14:paraId="3238D64E" w14:textId="77777777" w:rsidR="00CE7053" w:rsidRPr="00E968E5" w:rsidRDefault="00CE7053" w:rsidP="00CE7053">
            <w:pPr>
              <w:pStyle w:val="TableText"/>
            </w:pPr>
            <w:r w:rsidRPr="00E968E5">
              <w:t>All</w:t>
            </w:r>
          </w:p>
        </w:tc>
        <w:tc>
          <w:tcPr>
            <w:tcW w:w="3395" w:type="dxa"/>
            <w:shd w:val="clear" w:color="auto" w:fill="auto"/>
          </w:tcPr>
          <w:p w14:paraId="49822C74" w14:textId="77777777" w:rsidR="00CE7053" w:rsidRPr="00E968E5" w:rsidRDefault="00CE7053" w:rsidP="00CE7053">
            <w:pPr>
              <w:pStyle w:val="TableText"/>
            </w:pPr>
          </w:p>
        </w:tc>
        <w:tc>
          <w:tcPr>
            <w:tcW w:w="2810" w:type="dxa"/>
            <w:shd w:val="clear" w:color="auto" w:fill="auto"/>
          </w:tcPr>
          <w:p w14:paraId="21F027DF" w14:textId="71686659" w:rsidR="00CE7053" w:rsidRPr="00E968E5" w:rsidRDefault="00CE7053" w:rsidP="00CE7053">
            <w:pPr>
              <w:pStyle w:val="TableText"/>
            </w:pPr>
            <w:r w:rsidRPr="00E968E5">
              <w:t>Interviews and document review</w:t>
            </w:r>
          </w:p>
        </w:tc>
      </w:tr>
      <w:tr w:rsidR="003E151C" w:rsidRPr="00E968E5" w14:paraId="11D698D6" w14:textId="77777777" w:rsidTr="00E968E5">
        <w:tc>
          <w:tcPr>
            <w:tcW w:w="2712" w:type="dxa"/>
            <w:shd w:val="clear" w:color="auto" w:fill="D8DBDA"/>
            <w:vAlign w:val="center"/>
          </w:tcPr>
          <w:p w14:paraId="62E6E174" w14:textId="01CA17DC" w:rsidR="00CE7053" w:rsidRPr="00E968E5" w:rsidRDefault="00CE7053" w:rsidP="00CE7053">
            <w:pPr>
              <w:pStyle w:val="TableText"/>
            </w:pPr>
            <w:r w:rsidRPr="00E968E5">
              <w:t>3. What is, or has been, the relationship between Climate Change Action and Australian security, trade, economic and diplomatic interests?</w:t>
            </w:r>
          </w:p>
        </w:tc>
        <w:tc>
          <w:tcPr>
            <w:tcW w:w="4878" w:type="dxa"/>
            <w:shd w:val="clear" w:color="auto" w:fill="auto"/>
          </w:tcPr>
          <w:p w14:paraId="4E640FE8" w14:textId="77777777" w:rsidR="00CE7053" w:rsidRPr="00E968E5" w:rsidRDefault="00CE7053" w:rsidP="00CE7053">
            <w:pPr>
              <w:pStyle w:val="TableText"/>
            </w:pPr>
            <w:r w:rsidRPr="00E968E5">
              <w:t>Are there any</w:t>
            </w:r>
            <w:r w:rsidRPr="00E968E5">
              <w:rPr>
                <w:color w:val="B5582D"/>
              </w:rPr>
              <w:t xml:space="preserve"> </w:t>
            </w:r>
            <w:r w:rsidRPr="00E968E5">
              <w:t>examples of where climate change has been linked (positively or negatively) to security, trade, economic or diplomatic interests?</w:t>
            </w:r>
          </w:p>
        </w:tc>
        <w:tc>
          <w:tcPr>
            <w:tcW w:w="1511" w:type="dxa"/>
            <w:shd w:val="clear" w:color="auto" w:fill="auto"/>
          </w:tcPr>
          <w:p w14:paraId="6FC31F47" w14:textId="77777777" w:rsidR="00CE7053" w:rsidRPr="00E968E5" w:rsidRDefault="00CE7053" w:rsidP="00CE7053">
            <w:pPr>
              <w:pStyle w:val="TableText"/>
            </w:pPr>
            <w:r w:rsidRPr="00E968E5">
              <w:t xml:space="preserve">All </w:t>
            </w:r>
          </w:p>
        </w:tc>
        <w:tc>
          <w:tcPr>
            <w:tcW w:w="3395" w:type="dxa"/>
            <w:shd w:val="clear" w:color="auto" w:fill="auto"/>
          </w:tcPr>
          <w:p w14:paraId="2B93EB7E" w14:textId="41020BA5" w:rsidR="00F508EE" w:rsidRDefault="00CE7053" w:rsidP="00CE7053">
            <w:pPr>
              <w:pStyle w:val="TableText"/>
            </w:pPr>
            <w:r w:rsidRPr="00E968E5">
              <w:t>Evidence of strategic documents linking CC with other policy priorities.</w:t>
            </w:r>
          </w:p>
          <w:p w14:paraId="64BE0E9F" w14:textId="4A7FEC4F" w:rsidR="00CE7053" w:rsidRPr="00E968E5" w:rsidRDefault="00CE7053" w:rsidP="00CE7053">
            <w:pPr>
              <w:pStyle w:val="TableText"/>
            </w:pPr>
            <w:r w:rsidRPr="00E968E5">
              <w:t>Evidence of where CC investments have been impacted by changes in trade, security, economic or diplomatic interests or where CC has been used to leverage those interests.</w:t>
            </w:r>
          </w:p>
        </w:tc>
        <w:tc>
          <w:tcPr>
            <w:tcW w:w="2810" w:type="dxa"/>
            <w:shd w:val="clear" w:color="auto" w:fill="auto"/>
          </w:tcPr>
          <w:p w14:paraId="1F3495E3" w14:textId="28997216" w:rsidR="001415A2" w:rsidRDefault="00CE7053" w:rsidP="00CE7053">
            <w:pPr>
              <w:pStyle w:val="TableText"/>
            </w:pPr>
            <w:r w:rsidRPr="00E968E5">
              <w:t xml:space="preserve">Document </w:t>
            </w:r>
            <w:r w:rsidR="00984CD3">
              <w:t>r</w:t>
            </w:r>
            <w:r w:rsidRPr="00E968E5">
              <w:t>eview at all levels.</w:t>
            </w:r>
          </w:p>
          <w:p w14:paraId="48DE2CA3" w14:textId="21BA723D" w:rsidR="00CE7053" w:rsidRPr="00E968E5" w:rsidRDefault="00CE7053" w:rsidP="00CE7053">
            <w:pPr>
              <w:pStyle w:val="TableText"/>
            </w:pPr>
            <w:r w:rsidRPr="00E968E5">
              <w:t>Interviews at all levels</w:t>
            </w:r>
          </w:p>
          <w:p w14:paraId="0E63483A" w14:textId="77777777" w:rsidR="00CE7053" w:rsidRPr="00E968E5" w:rsidRDefault="00CE7053" w:rsidP="00CE7053">
            <w:pPr>
              <w:pStyle w:val="TableText"/>
            </w:pPr>
          </w:p>
        </w:tc>
      </w:tr>
      <w:tr w:rsidR="003E151C" w:rsidRPr="00E968E5" w14:paraId="7FA73B4F" w14:textId="77777777" w:rsidTr="00E968E5">
        <w:trPr>
          <w:trHeight w:val="1945"/>
        </w:trPr>
        <w:tc>
          <w:tcPr>
            <w:tcW w:w="2712" w:type="dxa"/>
            <w:vMerge w:val="restart"/>
            <w:shd w:val="clear" w:color="auto" w:fill="D8DBDA"/>
            <w:vAlign w:val="bottom"/>
          </w:tcPr>
          <w:p w14:paraId="70B21352" w14:textId="30FFB2AB" w:rsidR="00CE7053" w:rsidRPr="00E968E5" w:rsidRDefault="00CE7053" w:rsidP="00CE7053">
            <w:pPr>
              <w:pStyle w:val="TableText"/>
            </w:pPr>
            <w:r w:rsidRPr="00E968E5">
              <w:t>4. To what extent are the benefits of Australia’s Climate Change Action likely to continue beyond the life of the investments and what systems are in place to make sure this occurs?</w:t>
            </w:r>
          </w:p>
        </w:tc>
        <w:tc>
          <w:tcPr>
            <w:tcW w:w="4878" w:type="dxa"/>
            <w:shd w:val="clear" w:color="auto" w:fill="auto"/>
          </w:tcPr>
          <w:p w14:paraId="7A9C18DC" w14:textId="77777777" w:rsidR="00F508EE" w:rsidRDefault="00CE7053" w:rsidP="00CE7053">
            <w:pPr>
              <w:pStyle w:val="TableText"/>
              <w:rPr>
                <w:szCs w:val="19"/>
              </w:rPr>
            </w:pPr>
            <w:r w:rsidRPr="00E968E5">
              <w:t xml:space="preserve">What </w:t>
            </w:r>
            <w:r w:rsidRPr="00E968E5">
              <w:rPr>
                <w:szCs w:val="19"/>
              </w:rPr>
              <w:t>evidence is there to suggest that adaptation/mitigation benefits will endure after the investment concludes?</w:t>
            </w:r>
          </w:p>
          <w:p w14:paraId="5172BBAA" w14:textId="77777777" w:rsidR="00CE7053" w:rsidRPr="00E968E5" w:rsidRDefault="00CE7053" w:rsidP="00CE7053">
            <w:pPr>
              <w:pStyle w:val="TableText"/>
              <w:rPr>
                <w:szCs w:val="19"/>
              </w:rPr>
            </w:pPr>
            <w:r w:rsidRPr="00E968E5">
              <w:rPr>
                <w:szCs w:val="19"/>
              </w:rPr>
              <w:t>Assess sustainability in terms of:</w:t>
            </w:r>
          </w:p>
          <w:p w14:paraId="39963975" w14:textId="5C761FD6" w:rsidR="00CE7053" w:rsidRPr="00E968E5" w:rsidRDefault="00CE7053" w:rsidP="00CE7053">
            <w:pPr>
              <w:pStyle w:val="TableText"/>
              <w:rPr>
                <w:szCs w:val="19"/>
              </w:rPr>
            </w:pPr>
            <w:r w:rsidRPr="00E968E5">
              <w:rPr>
                <w:szCs w:val="19"/>
              </w:rPr>
              <w:t>Benefits will endure in all/almost all areas</w:t>
            </w:r>
          </w:p>
          <w:p w14:paraId="53270908" w14:textId="3AB04D27" w:rsidR="00CE7053" w:rsidRPr="00E968E5" w:rsidRDefault="00CE7053" w:rsidP="00CE7053">
            <w:pPr>
              <w:pStyle w:val="TableText"/>
              <w:rPr>
                <w:szCs w:val="19"/>
              </w:rPr>
            </w:pPr>
            <w:r w:rsidRPr="00E968E5">
              <w:rPr>
                <w:szCs w:val="19"/>
              </w:rPr>
              <w:t>Benefits will endure in major areas</w:t>
            </w:r>
          </w:p>
          <w:p w14:paraId="1B925558" w14:textId="66F0E440" w:rsidR="00CE7053" w:rsidRPr="00E968E5" w:rsidRDefault="00CE7053" w:rsidP="00CE7053">
            <w:pPr>
              <w:pStyle w:val="TableText"/>
              <w:rPr>
                <w:szCs w:val="19"/>
              </w:rPr>
            </w:pPr>
            <w:r w:rsidRPr="00E968E5">
              <w:rPr>
                <w:szCs w:val="19"/>
              </w:rPr>
              <w:t>Some benefits may endure but not in major areas</w:t>
            </w:r>
          </w:p>
          <w:p w14:paraId="57E0D7DA" w14:textId="77777777" w:rsidR="00CE7053" w:rsidRPr="00E968E5" w:rsidRDefault="00CE7053" w:rsidP="00CE7053">
            <w:pPr>
              <w:pStyle w:val="TableText"/>
              <w:rPr>
                <w:sz w:val="21"/>
              </w:rPr>
            </w:pPr>
            <w:r w:rsidRPr="00E968E5">
              <w:rPr>
                <w:szCs w:val="19"/>
              </w:rPr>
              <w:t>There is little/no evidence that benefits will endure.</w:t>
            </w:r>
          </w:p>
        </w:tc>
        <w:tc>
          <w:tcPr>
            <w:tcW w:w="1511" w:type="dxa"/>
            <w:shd w:val="clear" w:color="auto" w:fill="auto"/>
          </w:tcPr>
          <w:p w14:paraId="67C59997" w14:textId="125F87E5" w:rsidR="00CE7053" w:rsidRPr="00E968E5" w:rsidRDefault="00CE7053" w:rsidP="00CE7053">
            <w:pPr>
              <w:pStyle w:val="TableText"/>
            </w:pPr>
            <w:r w:rsidRPr="00E968E5">
              <w:t xml:space="preserve">Investment and </w:t>
            </w:r>
            <w:r w:rsidR="00F0034F">
              <w:t>Program</w:t>
            </w:r>
            <w:r w:rsidRPr="00E968E5">
              <w:t xml:space="preserve"> Level</w:t>
            </w:r>
          </w:p>
        </w:tc>
        <w:tc>
          <w:tcPr>
            <w:tcW w:w="3395" w:type="dxa"/>
            <w:shd w:val="clear" w:color="auto" w:fill="auto"/>
          </w:tcPr>
          <w:p w14:paraId="22A21611" w14:textId="71D31605" w:rsidR="00CE7053" w:rsidRPr="00E968E5" w:rsidRDefault="00CE7053" w:rsidP="00CE7053">
            <w:pPr>
              <w:pStyle w:val="TableText"/>
            </w:pPr>
            <w:r w:rsidRPr="00E968E5">
              <w:t>Evidence of local ownership, risks well managed, delivered through local systems (see below), ongoing financing, local capacity built, systems put in place to make sure sustainability will be enhanced.</w:t>
            </w:r>
          </w:p>
          <w:p w14:paraId="3F354658" w14:textId="77777777" w:rsidR="00CE7053" w:rsidRPr="00E968E5" w:rsidRDefault="00CE7053" w:rsidP="00CE7053">
            <w:pPr>
              <w:pStyle w:val="TableText"/>
            </w:pPr>
          </w:p>
        </w:tc>
        <w:tc>
          <w:tcPr>
            <w:tcW w:w="2810" w:type="dxa"/>
            <w:shd w:val="clear" w:color="auto" w:fill="auto"/>
          </w:tcPr>
          <w:p w14:paraId="79D87256" w14:textId="2388D74A" w:rsidR="00CE7053" w:rsidRPr="002B03AA" w:rsidRDefault="00CE7053" w:rsidP="00CE7053">
            <w:pPr>
              <w:pStyle w:val="TableText"/>
            </w:pPr>
            <w:r w:rsidRPr="008705CA">
              <w:t>Investment</w:t>
            </w:r>
            <w:r w:rsidRPr="002B03AA">
              <w:t xml:space="preserve"> level interviews and document review (AQCs, Completion or </w:t>
            </w:r>
            <w:r w:rsidRPr="008705CA">
              <w:t>Annual Reports, Evaluations</w:t>
            </w:r>
            <w:r w:rsidRPr="002B03AA">
              <w:t xml:space="preserve">). </w:t>
            </w:r>
          </w:p>
        </w:tc>
      </w:tr>
      <w:tr w:rsidR="003E151C" w:rsidRPr="00E968E5" w14:paraId="3B65821F" w14:textId="77777777" w:rsidTr="00E968E5">
        <w:trPr>
          <w:trHeight w:val="1650"/>
        </w:trPr>
        <w:tc>
          <w:tcPr>
            <w:tcW w:w="2712" w:type="dxa"/>
            <w:vMerge/>
            <w:shd w:val="clear" w:color="auto" w:fill="D8DBDA"/>
            <w:vAlign w:val="center"/>
          </w:tcPr>
          <w:p w14:paraId="4D9B3F75" w14:textId="77777777" w:rsidR="00CE7053" w:rsidRPr="00E968E5" w:rsidRDefault="00CE7053" w:rsidP="00CE7053">
            <w:pPr>
              <w:pStyle w:val="TableText"/>
            </w:pPr>
          </w:p>
        </w:tc>
        <w:tc>
          <w:tcPr>
            <w:tcW w:w="4878" w:type="dxa"/>
            <w:shd w:val="clear" w:color="auto" w:fill="auto"/>
          </w:tcPr>
          <w:p w14:paraId="57DE4BC9" w14:textId="73BBBDBA" w:rsidR="00F508EE" w:rsidRDefault="00CE7053" w:rsidP="00CE7053">
            <w:pPr>
              <w:pStyle w:val="TableText"/>
              <w:rPr>
                <w:szCs w:val="19"/>
              </w:rPr>
            </w:pPr>
            <w:r w:rsidRPr="00E968E5">
              <w:rPr>
                <w:szCs w:val="19"/>
              </w:rPr>
              <w:t>To what extent have DFAT program priorities been aligned with</w:t>
            </w:r>
            <w:r w:rsidRPr="008705CA">
              <w:rPr>
                <w:szCs w:val="19"/>
              </w:rPr>
              <w:t xml:space="preserve"> </w:t>
            </w:r>
            <w:r w:rsidR="00E82C6D" w:rsidRPr="008705CA">
              <w:t>NAPs</w:t>
            </w:r>
            <w:r w:rsidRPr="00E968E5">
              <w:rPr>
                <w:szCs w:val="19"/>
              </w:rPr>
              <w:t xml:space="preserve"> on climate change?</w:t>
            </w:r>
          </w:p>
          <w:p w14:paraId="060E4786" w14:textId="77777777" w:rsidR="00CE7053" w:rsidRPr="00E968E5" w:rsidRDefault="00CE7053" w:rsidP="00CE7053">
            <w:pPr>
              <w:pStyle w:val="TableText"/>
              <w:rPr>
                <w:szCs w:val="19"/>
              </w:rPr>
            </w:pPr>
            <w:r w:rsidRPr="00E968E5">
              <w:rPr>
                <w:szCs w:val="19"/>
              </w:rPr>
              <w:t>To what extent is there congruence between Australia’s bilateral programming priorities and Australia’s approach to working with relevant regional organisations?</w:t>
            </w:r>
          </w:p>
        </w:tc>
        <w:tc>
          <w:tcPr>
            <w:tcW w:w="1511" w:type="dxa"/>
            <w:shd w:val="clear" w:color="auto" w:fill="auto"/>
          </w:tcPr>
          <w:p w14:paraId="41654D4A" w14:textId="046A8D92" w:rsidR="008705CA" w:rsidRDefault="00CE7053" w:rsidP="00CE7053">
            <w:pPr>
              <w:pStyle w:val="TableText"/>
            </w:pPr>
            <w:r w:rsidRPr="00E968E5">
              <w:t>All</w:t>
            </w:r>
          </w:p>
          <w:p w14:paraId="16DC47C2" w14:textId="29918D3A" w:rsidR="00CE7053" w:rsidRPr="00E968E5" w:rsidRDefault="00F0034F" w:rsidP="00CE7053">
            <w:pPr>
              <w:pStyle w:val="TableText"/>
            </w:pPr>
            <w:r>
              <w:t>Program</w:t>
            </w:r>
          </w:p>
        </w:tc>
        <w:tc>
          <w:tcPr>
            <w:tcW w:w="3395" w:type="dxa"/>
            <w:shd w:val="clear" w:color="auto" w:fill="auto"/>
          </w:tcPr>
          <w:p w14:paraId="1BB9AD6D" w14:textId="6BA90E55" w:rsidR="00F508EE" w:rsidRDefault="00CE7053" w:rsidP="00CE7053">
            <w:pPr>
              <w:pStyle w:val="TableText"/>
            </w:pPr>
            <w:r w:rsidRPr="00E968E5">
              <w:t xml:space="preserve">Evidence of alignment in policy and practice at Department, </w:t>
            </w:r>
            <w:r w:rsidR="00F0034F">
              <w:t>Program</w:t>
            </w:r>
            <w:r w:rsidRPr="00E968E5">
              <w:t xml:space="preserve"> and Investment levels.</w:t>
            </w:r>
          </w:p>
          <w:p w14:paraId="3D3F012B" w14:textId="4F97CA3D" w:rsidR="00CE7053" w:rsidRPr="00E968E5" w:rsidRDefault="00CE7053" w:rsidP="00CE7053">
            <w:pPr>
              <w:pStyle w:val="TableText"/>
            </w:pPr>
            <w:r w:rsidRPr="00E968E5">
              <w:t xml:space="preserve">Evidence of partner government commitment to delivery of NAP priorities and to DFAT delivery through partner systems as far as possible. </w:t>
            </w:r>
          </w:p>
        </w:tc>
        <w:tc>
          <w:tcPr>
            <w:tcW w:w="2810" w:type="dxa"/>
            <w:shd w:val="clear" w:color="auto" w:fill="auto"/>
          </w:tcPr>
          <w:p w14:paraId="351CAEE8" w14:textId="0B7E2095" w:rsidR="00F508EE" w:rsidRDefault="00CE7053" w:rsidP="00CE7053">
            <w:pPr>
              <w:pStyle w:val="TableText"/>
            </w:pPr>
            <w:r w:rsidRPr="00E968E5">
              <w:t>Policy</w:t>
            </w:r>
            <w:r w:rsidRPr="009F1CF9">
              <w:t>/strategic</w:t>
            </w:r>
            <w:r w:rsidRPr="00E968E5">
              <w:t xml:space="preserve"> planning documents, and interviews with CC leads (Department, </w:t>
            </w:r>
            <w:r w:rsidR="00F0034F">
              <w:t>Program</w:t>
            </w:r>
            <w:r w:rsidRPr="00E968E5">
              <w:t xml:space="preserve"> and Investment level).</w:t>
            </w:r>
          </w:p>
          <w:p w14:paraId="286EBD6B" w14:textId="00B4ABBB" w:rsidR="00CE7053" w:rsidRPr="00E968E5" w:rsidRDefault="00CE7053" w:rsidP="00CE7053">
            <w:pPr>
              <w:pStyle w:val="TableText"/>
            </w:pPr>
            <w:r w:rsidRPr="00E968E5">
              <w:t>Country Cases, but particularly the regional case.</w:t>
            </w:r>
          </w:p>
        </w:tc>
      </w:tr>
      <w:tr w:rsidR="003E151C" w:rsidRPr="00E968E5" w14:paraId="088B572F" w14:textId="77777777" w:rsidTr="00E968E5">
        <w:tc>
          <w:tcPr>
            <w:tcW w:w="2712" w:type="dxa"/>
            <w:vMerge/>
            <w:shd w:val="clear" w:color="auto" w:fill="D8DBDA"/>
            <w:vAlign w:val="center"/>
          </w:tcPr>
          <w:p w14:paraId="403DA758" w14:textId="77777777" w:rsidR="00CE7053" w:rsidRPr="00E968E5" w:rsidRDefault="00CE7053" w:rsidP="00CE7053">
            <w:pPr>
              <w:pStyle w:val="TableText"/>
            </w:pPr>
          </w:p>
        </w:tc>
        <w:tc>
          <w:tcPr>
            <w:tcW w:w="4878" w:type="dxa"/>
            <w:shd w:val="clear" w:color="auto" w:fill="auto"/>
          </w:tcPr>
          <w:p w14:paraId="1849AAC5" w14:textId="77777777" w:rsidR="00F508EE" w:rsidRDefault="00CE7053" w:rsidP="00CE7053">
            <w:pPr>
              <w:pStyle w:val="TableText"/>
              <w:rPr>
                <w:szCs w:val="19"/>
              </w:rPr>
            </w:pPr>
            <w:r w:rsidRPr="00E968E5">
              <w:rPr>
                <w:szCs w:val="19"/>
              </w:rPr>
              <w:t>Is there evidence to suggest consideration of climate change in the investment has enhanced sustainability?</w:t>
            </w:r>
          </w:p>
          <w:p w14:paraId="5D290C33" w14:textId="1A6802B0" w:rsidR="00CE7053" w:rsidRPr="00E968E5" w:rsidRDefault="00CE7053" w:rsidP="00CE7053">
            <w:pPr>
              <w:pStyle w:val="TableText"/>
              <w:rPr>
                <w:szCs w:val="19"/>
              </w:rPr>
            </w:pPr>
            <w:r w:rsidRPr="00E968E5">
              <w:rPr>
                <w:szCs w:val="19"/>
              </w:rPr>
              <w:t>Are there any examples of particularly good practice where it is possible to identify what systems were put in place/approaches taken to enhance sustainability?</w:t>
            </w:r>
          </w:p>
        </w:tc>
        <w:tc>
          <w:tcPr>
            <w:tcW w:w="1511" w:type="dxa"/>
            <w:shd w:val="clear" w:color="auto" w:fill="auto"/>
          </w:tcPr>
          <w:p w14:paraId="0AC5E90E" w14:textId="48E3B600" w:rsidR="00CE7053" w:rsidRPr="00E968E5" w:rsidRDefault="00CE7053" w:rsidP="00CE7053">
            <w:pPr>
              <w:pStyle w:val="TableText"/>
            </w:pPr>
            <w:r w:rsidRPr="00E968E5">
              <w:t xml:space="preserve">Investment and </w:t>
            </w:r>
            <w:r w:rsidR="00F0034F">
              <w:t>Program</w:t>
            </w:r>
            <w:r w:rsidRPr="00E968E5">
              <w:t xml:space="preserve"> Level</w:t>
            </w:r>
          </w:p>
        </w:tc>
        <w:tc>
          <w:tcPr>
            <w:tcW w:w="3395" w:type="dxa"/>
            <w:shd w:val="clear" w:color="auto" w:fill="auto"/>
          </w:tcPr>
          <w:p w14:paraId="658A8078" w14:textId="62CA0C08" w:rsidR="00CE7053" w:rsidRPr="00E968E5" w:rsidRDefault="00CE7053" w:rsidP="00CE7053">
            <w:pPr>
              <w:pStyle w:val="TableText"/>
            </w:pPr>
            <w:r w:rsidRPr="00E968E5">
              <w:t xml:space="preserve">Interesting cases at investment or </w:t>
            </w:r>
            <w:r w:rsidR="00F0034F">
              <w:t>program</w:t>
            </w:r>
            <w:r w:rsidRPr="00E968E5">
              <w:t xml:space="preserve"> level where it is possible to identify the factors that have supported sustainability to be enhanced.</w:t>
            </w:r>
          </w:p>
        </w:tc>
        <w:tc>
          <w:tcPr>
            <w:tcW w:w="2810" w:type="dxa"/>
            <w:shd w:val="clear" w:color="auto" w:fill="auto"/>
          </w:tcPr>
          <w:p w14:paraId="0D6F7940" w14:textId="544AE824" w:rsidR="00CE7053" w:rsidRPr="00E968E5" w:rsidRDefault="00CE7053" w:rsidP="00CE7053">
            <w:pPr>
              <w:pStyle w:val="TableText"/>
            </w:pPr>
            <w:r w:rsidRPr="00E968E5">
              <w:t xml:space="preserve">Assessment of KEQ1 at investment and </w:t>
            </w:r>
            <w:r w:rsidR="00F0034F">
              <w:t>program</w:t>
            </w:r>
            <w:r w:rsidRPr="00E968E5">
              <w:t xml:space="preserve"> level, Assessment of levels of sustainability (KEQ4, subquestions </w:t>
            </w:r>
            <w:r w:rsidR="00F508EE" w:rsidRPr="00E968E5">
              <w:t>1</w:t>
            </w:r>
            <w:r w:rsidR="00F508EE">
              <w:t>–</w:t>
            </w:r>
            <w:r w:rsidR="00F508EE" w:rsidRPr="00E968E5">
              <w:t>2</w:t>
            </w:r>
            <w:r w:rsidRPr="00E968E5">
              <w:t>), interviews.</w:t>
            </w:r>
          </w:p>
        </w:tc>
      </w:tr>
      <w:tr w:rsidR="003E151C" w:rsidRPr="00E968E5" w14:paraId="1D8CB873" w14:textId="77777777" w:rsidTr="00E968E5">
        <w:tc>
          <w:tcPr>
            <w:tcW w:w="2712" w:type="dxa"/>
            <w:vMerge w:val="restart"/>
            <w:shd w:val="clear" w:color="auto" w:fill="D8DBDA"/>
            <w:vAlign w:val="center"/>
          </w:tcPr>
          <w:p w14:paraId="649C4BC3" w14:textId="7EA60E85" w:rsidR="00CE7053" w:rsidRPr="00E968E5" w:rsidRDefault="00CE7053" w:rsidP="00CE7053">
            <w:pPr>
              <w:pStyle w:val="TableText"/>
            </w:pPr>
            <w:r w:rsidRPr="00E968E5">
              <w:t>5. How credible are the methods or approaches the Department</w:t>
            </w:r>
            <w:r w:rsidRPr="00E968E5">
              <w:rPr>
                <w:color w:val="FF0000"/>
              </w:rPr>
              <w:t xml:space="preserve"> </w:t>
            </w:r>
            <w:r w:rsidRPr="00E968E5">
              <w:t>uses to establish Value for Money?</w:t>
            </w:r>
          </w:p>
        </w:tc>
        <w:tc>
          <w:tcPr>
            <w:tcW w:w="4878" w:type="dxa"/>
            <w:shd w:val="clear" w:color="auto" w:fill="auto"/>
          </w:tcPr>
          <w:p w14:paraId="5B135FB0" w14:textId="51EECD69" w:rsidR="00F508EE" w:rsidRPr="008705CA" w:rsidRDefault="00CE7053" w:rsidP="00CE7053">
            <w:pPr>
              <w:pStyle w:val="TableText"/>
              <w:rPr>
                <w:szCs w:val="19"/>
              </w:rPr>
            </w:pPr>
            <w:r w:rsidRPr="00E968E5">
              <w:rPr>
                <w:szCs w:val="19"/>
              </w:rPr>
              <w:t xml:space="preserve">What methods are in place to determine that investing in climate change </w:t>
            </w:r>
            <w:r w:rsidRPr="008705CA">
              <w:rPr>
                <w:szCs w:val="19"/>
              </w:rPr>
              <w:t>is good value for money?</w:t>
            </w:r>
          </w:p>
          <w:p w14:paraId="114AD9B4" w14:textId="77777777" w:rsidR="00CE7053" w:rsidRPr="008705CA" w:rsidRDefault="00CE7053" w:rsidP="00CE7053">
            <w:pPr>
              <w:pStyle w:val="TableText"/>
              <w:rPr>
                <w:szCs w:val="19"/>
              </w:rPr>
            </w:pPr>
            <w:r w:rsidRPr="008705CA">
              <w:rPr>
                <w:szCs w:val="19"/>
              </w:rPr>
              <w:t>Assess in terms of:</w:t>
            </w:r>
          </w:p>
          <w:p w14:paraId="7F8E7E0B" w14:textId="514B1799" w:rsidR="00F508EE" w:rsidRPr="008705CA" w:rsidRDefault="00CE7053" w:rsidP="00CE7053">
            <w:pPr>
              <w:pStyle w:val="TableText"/>
              <w:rPr>
                <w:szCs w:val="19"/>
              </w:rPr>
            </w:pPr>
            <w:r w:rsidRPr="008705CA">
              <w:rPr>
                <w:szCs w:val="19"/>
              </w:rPr>
              <w:t>do they exist at each level: yes/no/unclear</w:t>
            </w:r>
          </w:p>
          <w:p w14:paraId="188659EB" w14:textId="3778EE29" w:rsidR="00CE7053" w:rsidRPr="008705CA" w:rsidRDefault="00CE7053" w:rsidP="00CE7053">
            <w:pPr>
              <w:pStyle w:val="TableText"/>
              <w:rPr>
                <w:szCs w:val="19"/>
              </w:rPr>
            </w:pPr>
            <w:r w:rsidRPr="008705CA">
              <w:rPr>
                <w:szCs w:val="19"/>
              </w:rPr>
              <w:t>What is the credibility of these methods to demonstrate value for money:</w:t>
            </w:r>
          </w:p>
          <w:p w14:paraId="753451D4" w14:textId="35556DD7" w:rsidR="00CE7053" w:rsidRPr="00E968E5" w:rsidRDefault="00CE7053" w:rsidP="00CE7053">
            <w:pPr>
              <w:pStyle w:val="TableText"/>
              <w:rPr>
                <w:szCs w:val="19"/>
              </w:rPr>
            </w:pPr>
            <w:r w:rsidRPr="008705CA">
              <w:rPr>
                <w:szCs w:val="19"/>
              </w:rPr>
              <w:t>Robust (methodical, well considered</w:t>
            </w:r>
            <w:r w:rsidRPr="00E968E5">
              <w:rPr>
                <w:szCs w:val="19"/>
              </w:rPr>
              <w:t xml:space="preserve"> and informed)</w:t>
            </w:r>
          </w:p>
          <w:p w14:paraId="73341A76" w14:textId="2963ADDE" w:rsidR="00F508EE" w:rsidRDefault="00CE7053" w:rsidP="00CE7053">
            <w:pPr>
              <w:pStyle w:val="TableText"/>
              <w:rPr>
                <w:szCs w:val="19"/>
              </w:rPr>
            </w:pPr>
            <w:r w:rsidRPr="00E968E5">
              <w:rPr>
                <w:szCs w:val="19"/>
              </w:rPr>
              <w:t>Adequate (some consideration)</w:t>
            </w:r>
          </w:p>
          <w:p w14:paraId="30E8292A" w14:textId="40C2DA3C" w:rsidR="00CE7053" w:rsidRPr="00E968E5" w:rsidRDefault="00CE7053" w:rsidP="00CE7053">
            <w:pPr>
              <w:pStyle w:val="TableText"/>
              <w:rPr>
                <w:szCs w:val="19"/>
              </w:rPr>
            </w:pPr>
            <w:r w:rsidRPr="00E968E5">
              <w:rPr>
                <w:szCs w:val="19"/>
              </w:rPr>
              <w:t>Weak/Unclear (lack basis).</w:t>
            </w:r>
          </w:p>
        </w:tc>
        <w:tc>
          <w:tcPr>
            <w:tcW w:w="1511" w:type="dxa"/>
            <w:shd w:val="clear" w:color="auto" w:fill="auto"/>
          </w:tcPr>
          <w:p w14:paraId="557FF351" w14:textId="77777777" w:rsidR="00CE7053" w:rsidRPr="00E968E5" w:rsidRDefault="00CE7053" w:rsidP="00CE7053">
            <w:pPr>
              <w:pStyle w:val="TableText"/>
            </w:pPr>
            <w:r w:rsidRPr="00E968E5">
              <w:t xml:space="preserve">All </w:t>
            </w:r>
          </w:p>
        </w:tc>
        <w:tc>
          <w:tcPr>
            <w:tcW w:w="3395" w:type="dxa"/>
            <w:shd w:val="clear" w:color="auto" w:fill="auto"/>
          </w:tcPr>
          <w:p w14:paraId="28A65A12" w14:textId="0A3E0045" w:rsidR="00CE7053" w:rsidRPr="00E968E5" w:rsidRDefault="00CE7053" w:rsidP="00CE7053">
            <w:pPr>
              <w:pStyle w:val="TableText"/>
            </w:pPr>
            <w:r w:rsidRPr="00E968E5">
              <w:t xml:space="preserve">See Annex 3 - M&amp;E/Reporting systems. </w:t>
            </w:r>
          </w:p>
        </w:tc>
        <w:tc>
          <w:tcPr>
            <w:tcW w:w="2810" w:type="dxa"/>
            <w:shd w:val="clear" w:color="auto" w:fill="auto"/>
          </w:tcPr>
          <w:p w14:paraId="10DA30BF" w14:textId="0285E12F" w:rsidR="00CE7053" w:rsidRPr="00E968E5" w:rsidRDefault="00CE7053" w:rsidP="00CE7053">
            <w:pPr>
              <w:pStyle w:val="TableText"/>
            </w:pPr>
            <w:r w:rsidRPr="00E968E5">
              <w:t>See Annex 3B.</w:t>
            </w:r>
            <w:r w:rsidR="00110D83">
              <w:t xml:space="preserve"> </w:t>
            </w:r>
          </w:p>
        </w:tc>
      </w:tr>
      <w:tr w:rsidR="003E151C" w:rsidRPr="00E968E5" w14:paraId="0F600398" w14:textId="77777777" w:rsidTr="00E968E5">
        <w:tc>
          <w:tcPr>
            <w:tcW w:w="2712" w:type="dxa"/>
            <w:vMerge/>
            <w:shd w:val="clear" w:color="auto" w:fill="D8DBDA"/>
          </w:tcPr>
          <w:p w14:paraId="3A8CDBEF" w14:textId="77777777" w:rsidR="00CE7053" w:rsidRPr="00E968E5" w:rsidRDefault="00CE7053" w:rsidP="00CE7053">
            <w:pPr>
              <w:pStyle w:val="TableText"/>
            </w:pPr>
          </w:p>
        </w:tc>
        <w:tc>
          <w:tcPr>
            <w:tcW w:w="4878" w:type="dxa"/>
            <w:shd w:val="clear" w:color="auto" w:fill="auto"/>
          </w:tcPr>
          <w:p w14:paraId="48DE3697" w14:textId="2E8D8976" w:rsidR="00F508EE" w:rsidRDefault="00CE7053" w:rsidP="00CE7053">
            <w:pPr>
              <w:pStyle w:val="TableText"/>
              <w:rPr>
                <w:szCs w:val="19"/>
              </w:rPr>
            </w:pPr>
            <w:r w:rsidRPr="00E968E5">
              <w:rPr>
                <w:szCs w:val="19"/>
              </w:rPr>
              <w:t>Have investment managers made delivery choices that demonstrate climate change impact and value for money (return on investment) have been sensibly balanced?</w:t>
            </w:r>
          </w:p>
          <w:p w14:paraId="0FE125BC" w14:textId="026F2C3C" w:rsidR="00CE7053" w:rsidRPr="00E968E5" w:rsidRDefault="00CE7053" w:rsidP="00CE7053">
            <w:pPr>
              <w:pStyle w:val="TableText"/>
              <w:rPr>
                <w:szCs w:val="19"/>
              </w:rPr>
            </w:pPr>
            <w:r w:rsidRPr="00E968E5">
              <w:rPr>
                <w:szCs w:val="19"/>
              </w:rPr>
              <w:t>Are there any examples of particularly good balanced assessments, that provide insight into how this was done, or missed opportunities which had unintended impacts/costs?</w:t>
            </w:r>
          </w:p>
        </w:tc>
        <w:tc>
          <w:tcPr>
            <w:tcW w:w="1511" w:type="dxa"/>
            <w:shd w:val="clear" w:color="auto" w:fill="auto"/>
          </w:tcPr>
          <w:p w14:paraId="4B715FD5" w14:textId="4010E64A" w:rsidR="00CE7053" w:rsidRPr="00E968E5" w:rsidRDefault="00CE7053" w:rsidP="00CE7053">
            <w:pPr>
              <w:pStyle w:val="TableText"/>
            </w:pPr>
            <w:r w:rsidRPr="00E968E5">
              <w:t xml:space="preserve">Investment &amp; </w:t>
            </w:r>
            <w:r w:rsidR="00F0034F">
              <w:t>Program</w:t>
            </w:r>
          </w:p>
        </w:tc>
        <w:tc>
          <w:tcPr>
            <w:tcW w:w="3395" w:type="dxa"/>
            <w:shd w:val="clear" w:color="auto" w:fill="auto"/>
          </w:tcPr>
          <w:p w14:paraId="5776539B" w14:textId="5EF82E9F" w:rsidR="00CE7053" w:rsidRPr="00E968E5" w:rsidRDefault="00CE7053" w:rsidP="00CE7053">
            <w:pPr>
              <w:pStyle w:val="TableText"/>
            </w:pPr>
            <w:r w:rsidRPr="00E968E5">
              <w:t>Evidence that investment managers have considered different types of investment, modes of delivery, levels of safeguard to deliver the same outcomes (mitigation and/or adaptation).</w:t>
            </w:r>
            <w:r w:rsidR="00110D83">
              <w:t xml:space="preserve"> </w:t>
            </w:r>
            <w:r w:rsidRPr="00E968E5">
              <w:t xml:space="preserve">Evidence that the benefits of the investment outweigh the costs. </w:t>
            </w:r>
          </w:p>
        </w:tc>
        <w:tc>
          <w:tcPr>
            <w:tcW w:w="2810" w:type="dxa"/>
            <w:shd w:val="clear" w:color="auto" w:fill="auto"/>
          </w:tcPr>
          <w:p w14:paraId="71724A5B" w14:textId="09F62E95" w:rsidR="00CE7053" w:rsidRPr="00E968E5" w:rsidRDefault="00F0034F" w:rsidP="00CE7053">
            <w:pPr>
              <w:pStyle w:val="TableText"/>
            </w:pPr>
            <w:r>
              <w:t>Program</w:t>
            </w:r>
            <w:r w:rsidR="00CE7053" w:rsidRPr="00E968E5">
              <w:t xml:space="preserve">: AIPs, APPR, </w:t>
            </w:r>
            <w:r>
              <w:t>Program</w:t>
            </w:r>
            <w:r w:rsidR="00CE7053" w:rsidRPr="00E968E5">
              <w:t xml:space="preserve"> interviews</w:t>
            </w:r>
          </w:p>
          <w:p w14:paraId="489B7839" w14:textId="1F21C803" w:rsidR="00CE7053" w:rsidRPr="00E968E5" w:rsidRDefault="00CE7053" w:rsidP="00CE7053">
            <w:pPr>
              <w:pStyle w:val="TableText"/>
            </w:pPr>
            <w:r w:rsidRPr="00E968E5">
              <w:t>Investment: Design documents, Design Appraisals, annual reports, AQCs,</w:t>
            </w:r>
            <w:r w:rsidR="00110D83">
              <w:t xml:space="preserve"> </w:t>
            </w:r>
            <w:r w:rsidRPr="00E968E5">
              <w:t>evaluations, investment level interviews</w:t>
            </w:r>
          </w:p>
        </w:tc>
      </w:tr>
    </w:tbl>
    <w:p w14:paraId="71768C5F" w14:textId="77777777" w:rsidR="00325681" w:rsidRDefault="00325681">
      <w:pPr>
        <w:tabs>
          <w:tab w:val="clear" w:pos="992"/>
          <w:tab w:val="clear" w:pos="1418"/>
        </w:tabs>
        <w:spacing w:after="160" w:line="259" w:lineRule="auto"/>
        <w:sectPr w:rsidR="00325681" w:rsidSect="00CA055E">
          <w:pgSz w:w="16838" w:h="11906" w:orient="landscape"/>
          <w:pgMar w:top="1152" w:right="850" w:bottom="851" w:left="851" w:header="510" w:footer="510" w:gutter="0"/>
          <w:cols w:space="708"/>
          <w:docGrid w:linePitch="360"/>
        </w:sectPr>
      </w:pPr>
    </w:p>
    <w:p w14:paraId="6BF41484" w14:textId="6E02E8FA" w:rsidR="00CE7053" w:rsidRPr="00375B57" w:rsidRDefault="003F1080" w:rsidP="00375B57">
      <w:pPr>
        <w:pStyle w:val="Heading1"/>
      </w:pPr>
      <w:bookmarkStart w:id="108" w:name="_Toc510771948"/>
      <w:r>
        <w:lastRenderedPageBreak/>
        <w:t>Annex 2</w:t>
      </w:r>
      <w:r w:rsidR="00CE7053" w:rsidRPr="00375B57">
        <w:t xml:space="preserve">B – </w:t>
      </w:r>
      <w:r w:rsidR="008446E0" w:rsidRPr="00375B57">
        <w:t xml:space="preserve">Investigating good practice integration </w:t>
      </w:r>
      <w:r w:rsidR="000735A6" w:rsidRPr="00375B57">
        <w:t>(</w:t>
      </w:r>
      <w:r w:rsidR="008446E0" w:rsidRPr="00375B57">
        <w:t>Evaluation Plan</w:t>
      </w:r>
      <w:r w:rsidR="000735A6" w:rsidRPr="00375B57">
        <w:t>)</w:t>
      </w:r>
      <w:bookmarkEnd w:id="108"/>
    </w:p>
    <w:tbl>
      <w:tblPr>
        <w:tblW w:w="14925" w:type="dxa"/>
        <w:tblBorders>
          <w:bottom w:val="single" w:sz="2" w:space="0" w:color="485865"/>
          <w:insideH w:val="single" w:sz="2" w:space="0" w:color="485865"/>
        </w:tblBorders>
        <w:tblLayout w:type="fixed"/>
        <w:tblCellMar>
          <w:top w:w="85" w:type="dxa"/>
          <w:left w:w="113" w:type="dxa"/>
          <w:bottom w:w="57" w:type="dxa"/>
          <w:right w:w="57" w:type="dxa"/>
        </w:tblCellMar>
        <w:tblLook w:val="04A0" w:firstRow="1" w:lastRow="0" w:firstColumn="1" w:lastColumn="0" w:noHBand="0" w:noVBand="1"/>
        <w:tblCaption w:val="INVESTIGATING GOOD PRACTICE INTEGRATION "/>
        <w:tblDescription w:val="the table lists evidence sources for each element of good practice in integration"/>
      </w:tblPr>
      <w:tblGrid>
        <w:gridCol w:w="1668"/>
        <w:gridCol w:w="5249"/>
        <w:gridCol w:w="1843"/>
        <w:gridCol w:w="1843"/>
        <w:gridCol w:w="1559"/>
        <w:gridCol w:w="2763"/>
      </w:tblGrid>
      <w:tr w:rsidR="003E151C" w:rsidRPr="00E968E5" w14:paraId="076DBF3D" w14:textId="77777777" w:rsidTr="00941B04">
        <w:trPr>
          <w:tblHeader/>
        </w:trPr>
        <w:tc>
          <w:tcPr>
            <w:tcW w:w="1668" w:type="dxa"/>
            <w:vMerge w:val="restart"/>
            <w:tcBorders>
              <w:top w:val="nil"/>
              <w:left w:val="nil"/>
              <w:bottom w:val="single" w:sz="12" w:space="0" w:color="FFFFFF"/>
              <w:right w:val="nil"/>
              <w:tl2br w:val="nil"/>
              <w:tr2bl w:val="nil"/>
            </w:tcBorders>
            <w:shd w:val="clear" w:color="auto" w:fill="BFBFBF"/>
            <w:vAlign w:val="center"/>
          </w:tcPr>
          <w:p w14:paraId="0DC3FD79" w14:textId="77777777" w:rsidR="00F60049" w:rsidRPr="00E968E5" w:rsidRDefault="00F60049" w:rsidP="009D23AC">
            <w:pPr>
              <w:spacing w:after="0"/>
              <w:jc w:val="center"/>
              <w:rPr>
                <w:b/>
                <w:sz w:val="19"/>
                <w:szCs w:val="19"/>
              </w:rPr>
            </w:pPr>
            <w:bookmarkStart w:id="109" w:name="_Hlk498354209"/>
            <w:r w:rsidRPr="00E968E5">
              <w:rPr>
                <w:b/>
                <w:sz w:val="19"/>
                <w:szCs w:val="19"/>
              </w:rPr>
              <w:t>Domain</w:t>
            </w:r>
          </w:p>
        </w:tc>
        <w:tc>
          <w:tcPr>
            <w:tcW w:w="5249" w:type="dxa"/>
            <w:vMerge w:val="restart"/>
            <w:tcBorders>
              <w:top w:val="nil"/>
              <w:left w:val="nil"/>
              <w:bottom w:val="single" w:sz="12" w:space="0" w:color="FFFFFF"/>
              <w:right w:val="nil"/>
              <w:tl2br w:val="nil"/>
              <w:tr2bl w:val="nil"/>
            </w:tcBorders>
            <w:shd w:val="clear" w:color="auto" w:fill="BFBFBF"/>
            <w:vAlign w:val="center"/>
          </w:tcPr>
          <w:p w14:paraId="32DFC5A1" w14:textId="5E66BD91" w:rsidR="00F60049" w:rsidRPr="00E968E5" w:rsidRDefault="00F60049" w:rsidP="00E968E5">
            <w:pPr>
              <w:spacing w:after="0"/>
              <w:jc w:val="center"/>
              <w:rPr>
                <w:b/>
                <w:sz w:val="19"/>
                <w:szCs w:val="19"/>
              </w:rPr>
            </w:pPr>
            <w:r w:rsidRPr="00E968E5">
              <w:rPr>
                <w:b/>
                <w:sz w:val="19"/>
                <w:szCs w:val="19"/>
              </w:rPr>
              <w:t>Element of Good Practice Integration - Lines of Enquiry:</w:t>
            </w:r>
          </w:p>
        </w:tc>
        <w:tc>
          <w:tcPr>
            <w:tcW w:w="5245" w:type="dxa"/>
            <w:gridSpan w:val="3"/>
            <w:tcBorders>
              <w:top w:val="nil"/>
              <w:left w:val="nil"/>
              <w:bottom w:val="single" w:sz="4" w:space="0" w:color="auto"/>
              <w:right w:val="nil"/>
              <w:tl2br w:val="nil"/>
              <w:tr2bl w:val="nil"/>
            </w:tcBorders>
            <w:shd w:val="clear" w:color="auto" w:fill="BFBFBF"/>
            <w:vAlign w:val="center"/>
          </w:tcPr>
          <w:p w14:paraId="4DAD6D95" w14:textId="268349E1" w:rsidR="00F60049" w:rsidRPr="00E968E5" w:rsidRDefault="00F60049" w:rsidP="00E968E5">
            <w:pPr>
              <w:spacing w:after="0"/>
              <w:jc w:val="center"/>
              <w:rPr>
                <w:b/>
                <w:sz w:val="19"/>
                <w:szCs w:val="19"/>
              </w:rPr>
            </w:pPr>
            <w:r w:rsidRPr="00E968E5">
              <w:rPr>
                <w:b/>
                <w:sz w:val="19"/>
                <w:szCs w:val="19"/>
              </w:rPr>
              <w:t>Level of Enquiry</w:t>
            </w:r>
            <w:r w:rsidR="00A13986">
              <w:rPr>
                <w:b/>
                <w:sz w:val="19"/>
                <w:szCs w:val="19"/>
              </w:rPr>
              <w:t>—</w:t>
            </w:r>
            <w:r w:rsidRPr="00E968E5">
              <w:rPr>
                <w:b/>
                <w:sz w:val="19"/>
                <w:szCs w:val="19"/>
              </w:rPr>
              <w:t>look for evidence of:</w:t>
            </w:r>
          </w:p>
        </w:tc>
        <w:tc>
          <w:tcPr>
            <w:tcW w:w="2763" w:type="dxa"/>
            <w:vMerge w:val="restart"/>
            <w:tcBorders>
              <w:top w:val="nil"/>
              <w:left w:val="nil"/>
              <w:bottom w:val="single" w:sz="12" w:space="0" w:color="FFFFFF"/>
              <w:right w:val="nil"/>
              <w:tl2br w:val="nil"/>
              <w:tr2bl w:val="nil"/>
            </w:tcBorders>
            <w:shd w:val="clear" w:color="auto" w:fill="BFBFBF"/>
            <w:vAlign w:val="center"/>
          </w:tcPr>
          <w:p w14:paraId="1151BA88" w14:textId="15B60D4A" w:rsidR="00F60049" w:rsidRPr="00E968E5" w:rsidRDefault="00F60049" w:rsidP="00E968E5">
            <w:pPr>
              <w:spacing w:after="0"/>
              <w:jc w:val="center"/>
              <w:rPr>
                <w:b/>
                <w:sz w:val="19"/>
                <w:szCs w:val="19"/>
              </w:rPr>
            </w:pPr>
            <w:r w:rsidRPr="00E968E5">
              <w:rPr>
                <w:b/>
                <w:sz w:val="19"/>
                <w:szCs w:val="19"/>
              </w:rPr>
              <w:t>Evidence Sources</w:t>
            </w:r>
          </w:p>
        </w:tc>
      </w:tr>
      <w:tr w:rsidR="003E151C" w:rsidRPr="00E968E5" w14:paraId="3A55241B" w14:textId="77777777" w:rsidTr="00941B04">
        <w:tc>
          <w:tcPr>
            <w:tcW w:w="1668" w:type="dxa"/>
            <w:vMerge/>
            <w:tcBorders>
              <w:bottom w:val="single" w:sz="12" w:space="0" w:color="auto"/>
            </w:tcBorders>
            <w:shd w:val="clear" w:color="auto" w:fill="D8DBDA"/>
          </w:tcPr>
          <w:p w14:paraId="184E33BF" w14:textId="77777777" w:rsidR="00F60049" w:rsidRPr="00E968E5" w:rsidRDefault="00F60049" w:rsidP="00941B04">
            <w:pPr>
              <w:spacing w:after="0"/>
              <w:jc w:val="center"/>
              <w:rPr>
                <w:sz w:val="19"/>
                <w:szCs w:val="19"/>
              </w:rPr>
            </w:pPr>
          </w:p>
        </w:tc>
        <w:tc>
          <w:tcPr>
            <w:tcW w:w="5249" w:type="dxa"/>
            <w:vMerge/>
            <w:tcBorders>
              <w:bottom w:val="single" w:sz="12" w:space="0" w:color="auto"/>
            </w:tcBorders>
            <w:shd w:val="clear" w:color="auto" w:fill="auto"/>
          </w:tcPr>
          <w:p w14:paraId="0B23DCCA" w14:textId="77777777" w:rsidR="00F60049" w:rsidRPr="00E968E5" w:rsidRDefault="00F60049" w:rsidP="00E968E5">
            <w:pPr>
              <w:spacing w:after="0"/>
              <w:rPr>
                <w:sz w:val="19"/>
                <w:szCs w:val="19"/>
              </w:rPr>
            </w:pPr>
          </w:p>
        </w:tc>
        <w:tc>
          <w:tcPr>
            <w:tcW w:w="1843" w:type="dxa"/>
            <w:tcBorders>
              <w:bottom w:val="single" w:sz="12" w:space="0" w:color="auto"/>
            </w:tcBorders>
            <w:shd w:val="clear" w:color="auto" w:fill="BFBFBF"/>
            <w:vAlign w:val="center"/>
          </w:tcPr>
          <w:p w14:paraId="79D9DFE9" w14:textId="77777777" w:rsidR="00F60049" w:rsidRPr="00E968E5" w:rsidRDefault="00F60049" w:rsidP="00E968E5">
            <w:pPr>
              <w:spacing w:after="0"/>
              <w:jc w:val="center"/>
              <w:rPr>
                <w:b/>
                <w:sz w:val="19"/>
                <w:szCs w:val="19"/>
              </w:rPr>
            </w:pPr>
            <w:r w:rsidRPr="00E968E5">
              <w:rPr>
                <w:b/>
                <w:sz w:val="19"/>
                <w:szCs w:val="19"/>
              </w:rPr>
              <w:t>Agency</w:t>
            </w:r>
          </w:p>
        </w:tc>
        <w:tc>
          <w:tcPr>
            <w:tcW w:w="1843" w:type="dxa"/>
            <w:tcBorders>
              <w:bottom w:val="single" w:sz="12" w:space="0" w:color="auto"/>
            </w:tcBorders>
            <w:shd w:val="clear" w:color="auto" w:fill="BFBFBF"/>
            <w:vAlign w:val="center"/>
          </w:tcPr>
          <w:p w14:paraId="366FE621" w14:textId="08F5D44B" w:rsidR="00F60049" w:rsidRPr="00E968E5" w:rsidRDefault="00F0034F" w:rsidP="00E968E5">
            <w:pPr>
              <w:spacing w:after="0"/>
              <w:jc w:val="center"/>
              <w:rPr>
                <w:b/>
                <w:sz w:val="19"/>
                <w:szCs w:val="19"/>
              </w:rPr>
            </w:pPr>
            <w:r>
              <w:rPr>
                <w:b/>
                <w:sz w:val="19"/>
                <w:szCs w:val="19"/>
              </w:rPr>
              <w:t>Program</w:t>
            </w:r>
          </w:p>
        </w:tc>
        <w:tc>
          <w:tcPr>
            <w:tcW w:w="1559" w:type="dxa"/>
            <w:tcBorders>
              <w:bottom w:val="single" w:sz="12" w:space="0" w:color="auto"/>
            </w:tcBorders>
            <w:shd w:val="clear" w:color="auto" w:fill="BFBFBF"/>
            <w:vAlign w:val="center"/>
          </w:tcPr>
          <w:p w14:paraId="7DDC5CD2" w14:textId="77777777" w:rsidR="00F60049" w:rsidRPr="00E968E5" w:rsidRDefault="00F60049" w:rsidP="00E968E5">
            <w:pPr>
              <w:spacing w:after="0"/>
              <w:jc w:val="center"/>
              <w:rPr>
                <w:b/>
                <w:sz w:val="19"/>
                <w:szCs w:val="19"/>
              </w:rPr>
            </w:pPr>
            <w:r w:rsidRPr="00E968E5">
              <w:rPr>
                <w:b/>
                <w:sz w:val="19"/>
                <w:szCs w:val="19"/>
              </w:rPr>
              <w:t>Investment</w:t>
            </w:r>
          </w:p>
        </w:tc>
        <w:tc>
          <w:tcPr>
            <w:tcW w:w="2763" w:type="dxa"/>
            <w:vMerge/>
            <w:tcBorders>
              <w:bottom w:val="single" w:sz="12" w:space="0" w:color="auto"/>
            </w:tcBorders>
            <w:shd w:val="clear" w:color="auto" w:fill="auto"/>
          </w:tcPr>
          <w:p w14:paraId="09E1E685" w14:textId="77777777" w:rsidR="00F60049" w:rsidRPr="00E968E5" w:rsidRDefault="00F60049" w:rsidP="00E968E5">
            <w:pPr>
              <w:spacing w:after="0"/>
              <w:jc w:val="center"/>
              <w:rPr>
                <w:sz w:val="19"/>
                <w:szCs w:val="19"/>
              </w:rPr>
            </w:pPr>
          </w:p>
        </w:tc>
      </w:tr>
      <w:tr w:rsidR="003E151C" w:rsidRPr="00E968E5" w14:paraId="0FD2EF85" w14:textId="77777777" w:rsidTr="00941B04">
        <w:trPr>
          <w:trHeight w:val="636"/>
        </w:trPr>
        <w:tc>
          <w:tcPr>
            <w:tcW w:w="1668" w:type="dxa"/>
            <w:vMerge w:val="restart"/>
            <w:tcBorders>
              <w:top w:val="single" w:sz="12" w:space="0" w:color="auto"/>
              <w:left w:val="single" w:sz="12" w:space="0" w:color="auto"/>
              <w:bottom w:val="dashSmallGap" w:sz="4" w:space="0" w:color="auto"/>
              <w:right w:val="dashSmallGap" w:sz="4" w:space="0" w:color="auto"/>
            </w:tcBorders>
            <w:shd w:val="clear" w:color="auto" w:fill="92D050"/>
            <w:vAlign w:val="center"/>
          </w:tcPr>
          <w:p w14:paraId="6F56E497" w14:textId="512FE9E0" w:rsidR="00F60049" w:rsidRPr="00E968E5" w:rsidRDefault="00F60049" w:rsidP="009D23AC">
            <w:pPr>
              <w:spacing w:after="0"/>
              <w:jc w:val="center"/>
              <w:rPr>
                <w:b/>
                <w:sz w:val="19"/>
                <w:szCs w:val="19"/>
              </w:rPr>
            </w:pPr>
            <w:r w:rsidRPr="00E968E5">
              <w:rPr>
                <w:b/>
                <w:sz w:val="19"/>
                <w:szCs w:val="19"/>
              </w:rPr>
              <w:t xml:space="preserve">Climate change and ODA </w:t>
            </w:r>
            <w:r w:rsidR="000D577D">
              <w:rPr>
                <w:b/>
                <w:sz w:val="19"/>
                <w:szCs w:val="19"/>
              </w:rPr>
              <w:t>strategic clarity</w:t>
            </w:r>
          </w:p>
        </w:tc>
        <w:tc>
          <w:tcPr>
            <w:tcW w:w="5249" w:type="dxa"/>
            <w:tcBorders>
              <w:top w:val="single" w:sz="12" w:space="0" w:color="auto"/>
              <w:left w:val="dashSmallGap" w:sz="4" w:space="0" w:color="auto"/>
              <w:bottom w:val="dashSmallGap" w:sz="4" w:space="0" w:color="auto"/>
              <w:right w:val="dashSmallGap" w:sz="4" w:space="0" w:color="auto"/>
            </w:tcBorders>
            <w:shd w:val="clear" w:color="auto" w:fill="auto"/>
          </w:tcPr>
          <w:p w14:paraId="72249F40" w14:textId="77777777" w:rsidR="00F60049" w:rsidRDefault="00F60049" w:rsidP="00E968E5">
            <w:pPr>
              <w:spacing w:after="0"/>
              <w:rPr>
                <w:sz w:val="19"/>
                <w:szCs w:val="19"/>
              </w:rPr>
            </w:pPr>
            <w:r w:rsidRPr="00E968E5">
              <w:rPr>
                <w:sz w:val="19"/>
                <w:szCs w:val="19"/>
              </w:rPr>
              <w:t>Clear goals and objectives and outcomes for climate change exist within the agency</w:t>
            </w:r>
          </w:p>
          <w:p w14:paraId="738C6B50" w14:textId="767B4575" w:rsidR="00E86A7F" w:rsidRPr="00E968E5" w:rsidRDefault="00E86A7F" w:rsidP="00E968E5">
            <w:pPr>
              <w:spacing w:after="0"/>
              <w:rPr>
                <w:sz w:val="19"/>
                <w:szCs w:val="19"/>
              </w:rPr>
            </w:pP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6CFDE302" w14:textId="77777777" w:rsidR="00F60049" w:rsidRPr="00E968E5" w:rsidRDefault="00F60049" w:rsidP="00E968E5">
            <w:pPr>
              <w:spacing w:after="0"/>
              <w:jc w:val="center"/>
              <w:rPr>
                <w:sz w:val="19"/>
                <w:szCs w:val="19"/>
              </w:rPr>
            </w:pPr>
            <w:r w:rsidRPr="00E968E5">
              <w:rPr>
                <w:sz w:val="19"/>
                <w:szCs w:val="19"/>
              </w:rPr>
              <w:t>Exists</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62FAA2CF" w14:textId="59DDEBA7" w:rsidR="00F60049" w:rsidRPr="00E968E5" w:rsidRDefault="00F60049" w:rsidP="00E968E5">
            <w:pPr>
              <w:spacing w:after="0"/>
              <w:jc w:val="center"/>
              <w:rPr>
                <w:sz w:val="19"/>
                <w:szCs w:val="19"/>
              </w:rPr>
            </w:pPr>
            <w:r w:rsidRPr="00E968E5">
              <w:rPr>
                <w:sz w:val="19"/>
                <w:szCs w:val="19"/>
              </w:rPr>
              <w:t>Reflected at</w:t>
            </w:r>
            <w:r w:rsidR="00110D83">
              <w:rPr>
                <w:sz w:val="19"/>
                <w:szCs w:val="19"/>
              </w:rPr>
              <w:t xml:space="preserve"> </w:t>
            </w:r>
            <w:r w:rsidR="00F0034F">
              <w:rPr>
                <w:sz w:val="19"/>
                <w:szCs w:val="19"/>
              </w:rPr>
              <w:t>program</w:t>
            </w:r>
            <w:r w:rsidRPr="00E968E5">
              <w:rPr>
                <w:sz w:val="19"/>
                <w:szCs w:val="19"/>
              </w:rPr>
              <w:t xml:space="preserve"> level</w:t>
            </w:r>
          </w:p>
        </w:tc>
        <w:tc>
          <w:tcPr>
            <w:tcW w:w="1559" w:type="dxa"/>
            <w:tcBorders>
              <w:top w:val="single" w:sz="12" w:space="0" w:color="auto"/>
              <w:left w:val="dashSmallGap" w:sz="4" w:space="0" w:color="auto"/>
              <w:bottom w:val="dashSmallGap" w:sz="4" w:space="0" w:color="auto"/>
              <w:right w:val="dashSmallGap" w:sz="4" w:space="0" w:color="auto"/>
            </w:tcBorders>
            <w:shd w:val="clear" w:color="auto" w:fill="auto"/>
          </w:tcPr>
          <w:p w14:paraId="4444CC5F" w14:textId="77777777" w:rsidR="00F60049" w:rsidRPr="00E968E5" w:rsidRDefault="00F60049" w:rsidP="00E968E5">
            <w:pPr>
              <w:spacing w:after="0"/>
              <w:jc w:val="center"/>
              <w:rPr>
                <w:sz w:val="19"/>
                <w:szCs w:val="19"/>
              </w:rPr>
            </w:pPr>
          </w:p>
        </w:tc>
        <w:tc>
          <w:tcPr>
            <w:tcW w:w="2763" w:type="dxa"/>
            <w:tcBorders>
              <w:top w:val="single" w:sz="12" w:space="0" w:color="auto"/>
              <w:left w:val="dashSmallGap" w:sz="4" w:space="0" w:color="auto"/>
              <w:bottom w:val="dashSmallGap" w:sz="4" w:space="0" w:color="auto"/>
              <w:right w:val="single" w:sz="12" w:space="0" w:color="auto"/>
            </w:tcBorders>
            <w:shd w:val="clear" w:color="auto" w:fill="auto"/>
          </w:tcPr>
          <w:p w14:paraId="1E6124F1" w14:textId="345CD8C7" w:rsidR="00F60049" w:rsidRPr="00E968E5" w:rsidRDefault="00F60049" w:rsidP="00E968E5">
            <w:pPr>
              <w:spacing w:after="0"/>
              <w:jc w:val="center"/>
              <w:rPr>
                <w:sz w:val="19"/>
                <w:szCs w:val="19"/>
              </w:rPr>
            </w:pPr>
            <w:r w:rsidRPr="00E968E5">
              <w:rPr>
                <w:sz w:val="19"/>
                <w:szCs w:val="19"/>
              </w:rPr>
              <w:t>Corporate Plan, Climate Change Policy, AIPS and Sector Investment Plans</w:t>
            </w:r>
          </w:p>
        </w:tc>
      </w:tr>
      <w:tr w:rsidR="003E151C" w:rsidRPr="00E968E5" w14:paraId="69FCB14A"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92D050"/>
            <w:vAlign w:val="center"/>
          </w:tcPr>
          <w:p w14:paraId="2A3B7D1C" w14:textId="77777777" w:rsidR="00F60049" w:rsidRPr="00E968E5" w:rsidRDefault="00F60049" w:rsidP="009D23AC">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473B7310" w14:textId="68F5075B" w:rsidR="00F60049" w:rsidRPr="00E968E5" w:rsidRDefault="00F60049" w:rsidP="00E968E5">
            <w:pPr>
              <w:spacing w:after="0"/>
              <w:rPr>
                <w:sz w:val="19"/>
                <w:szCs w:val="19"/>
              </w:rPr>
            </w:pPr>
            <w:r w:rsidRPr="00E968E5">
              <w:rPr>
                <w:sz w:val="19"/>
                <w:szCs w:val="19"/>
              </w:rPr>
              <w:t>The agency goals include clear mainstreaming objectives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4EBA0920" w14:textId="77777777" w:rsidR="00F60049" w:rsidRPr="00E968E5" w:rsidRDefault="00F60049" w:rsidP="00E968E5">
            <w:pPr>
              <w:spacing w:after="0"/>
              <w:jc w:val="center"/>
              <w:rPr>
                <w:sz w:val="19"/>
                <w:szCs w:val="19"/>
              </w:rPr>
            </w:pPr>
            <w:r w:rsidRPr="00E968E5">
              <w:rPr>
                <w:sz w:val="19"/>
                <w:szCs w:val="19"/>
              </w:rPr>
              <w:t>Exists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51FCE212" w14:textId="77777777" w:rsidR="00F60049" w:rsidRPr="00E968E5" w:rsidRDefault="00F60049" w:rsidP="00E968E5">
            <w:pPr>
              <w:spacing w:after="0"/>
              <w:jc w:val="center"/>
              <w:rPr>
                <w:sz w:val="19"/>
                <w:szCs w:val="19"/>
              </w:rPr>
            </w:pPr>
            <w:r w:rsidRPr="00E968E5">
              <w:rPr>
                <w:sz w:val="19"/>
                <w:szCs w:val="19"/>
              </w:rPr>
              <w:t>Evidence of application</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6D79B762" w14:textId="77777777" w:rsidR="00F60049" w:rsidRPr="00E968E5" w:rsidRDefault="00F60049" w:rsidP="00E968E5">
            <w:pPr>
              <w:spacing w:after="0"/>
              <w:jc w:val="center"/>
              <w:rPr>
                <w:sz w:val="19"/>
                <w:szCs w:val="19"/>
              </w:rPr>
            </w:pPr>
            <w:r w:rsidRPr="00E968E5">
              <w:rPr>
                <w:sz w:val="19"/>
                <w:szCs w:val="19"/>
              </w:rPr>
              <w:t>Evidence of application</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717D2B8D" w14:textId="1B282FB0" w:rsidR="00F60049" w:rsidRPr="00E968E5" w:rsidRDefault="00F60049" w:rsidP="00E968E5">
            <w:pPr>
              <w:spacing w:after="0"/>
              <w:jc w:val="center"/>
              <w:rPr>
                <w:sz w:val="19"/>
                <w:szCs w:val="19"/>
              </w:rPr>
            </w:pPr>
            <w:r w:rsidRPr="00E968E5">
              <w:rPr>
                <w:sz w:val="19"/>
                <w:szCs w:val="19"/>
              </w:rPr>
              <w:t>As Above</w:t>
            </w:r>
          </w:p>
        </w:tc>
      </w:tr>
      <w:tr w:rsidR="003E151C" w:rsidRPr="00E968E5" w14:paraId="7743E708"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92D050"/>
            <w:vAlign w:val="center"/>
          </w:tcPr>
          <w:p w14:paraId="1E2A4178" w14:textId="77777777" w:rsidR="00F60049" w:rsidRPr="00E968E5" w:rsidRDefault="00F60049" w:rsidP="009D23AC">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0035D737" w14:textId="77777777" w:rsidR="00F60049" w:rsidRDefault="00F60049" w:rsidP="00E968E5">
            <w:pPr>
              <w:spacing w:after="0"/>
              <w:rPr>
                <w:sz w:val="19"/>
                <w:szCs w:val="19"/>
              </w:rPr>
            </w:pPr>
            <w:r w:rsidRPr="00E968E5">
              <w:rPr>
                <w:sz w:val="19"/>
                <w:szCs w:val="19"/>
              </w:rPr>
              <w:t>Goals, objectives and outcomes are supported by a clear, feasible implementation plan</w:t>
            </w:r>
          </w:p>
          <w:p w14:paraId="561E6D69" w14:textId="780C0557" w:rsidR="00E86A7F" w:rsidRPr="00E968E5" w:rsidRDefault="00E86A7F" w:rsidP="00E968E5">
            <w:pPr>
              <w:spacing w:after="0"/>
              <w:rPr>
                <w:sz w:val="19"/>
                <w:szCs w:val="19"/>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685846A9" w14:textId="77777777" w:rsidR="00F60049" w:rsidRPr="00E968E5" w:rsidRDefault="00F60049" w:rsidP="00E968E5">
            <w:pPr>
              <w:spacing w:after="0"/>
              <w:jc w:val="center"/>
              <w:rPr>
                <w:sz w:val="19"/>
                <w:szCs w:val="19"/>
              </w:rPr>
            </w:pPr>
            <w:r w:rsidRPr="00E968E5">
              <w:rPr>
                <w:sz w:val="19"/>
                <w:szCs w:val="19"/>
              </w:rPr>
              <w:t>Exists and evidence of delivery</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1D9BA25B" w14:textId="77777777" w:rsidR="00F60049" w:rsidRPr="00E968E5" w:rsidRDefault="00F60049" w:rsidP="00E968E5">
            <w:pPr>
              <w:spacing w:after="0"/>
              <w:jc w:val="center"/>
              <w:rPr>
                <w:sz w:val="19"/>
                <w:szCs w:val="19"/>
              </w:rPr>
            </w:pPr>
            <w:r w:rsidRPr="00E968E5">
              <w:rPr>
                <w:sz w:val="19"/>
                <w:szCs w:val="19"/>
              </w:rPr>
              <w:t>Exists and evidence of delivery</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auto"/>
          </w:tcPr>
          <w:p w14:paraId="76B0322E" w14:textId="77777777" w:rsidR="00F60049" w:rsidRPr="00E968E5" w:rsidRDefault="00F60049" w:rsidP="00E968E5">
            <w:pPr>
              <w:spacing w:after="0"/>
              <w:jc w:val="center"/>
              <w:rPr>
                <w:sz w:val="19"/>
                <w:szCs w:val="19"/>
              </w:rPr>
            </w:pP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60820698" w14:textId="54BF3267" w:rsidR="00F60049" w:rsidRPr="00E968E5" w:rsidRDefault="00F60049" w:rsidP="00E968E5">
            <w:pPr>
              <w:spacing w:after="0"/>
              <w:jc w:val="center"/>
              <w:rPr>
                <w:sz w:val="19"/>
                <w:szCs w:val="19"/>
              </w:rPr>
            </w:pPr>
            <w:r w:rsidRPr="00E968E5">
              <w:rPr>
                <w:sz w:val="19"/>
                <w:szCs w:val="19"/>
              </w:rPr>
              <w:t>As Above + interviews to assess feasibility</w:t>
            </w:r>
          </w:p>
        </w:tc>
      </w:tr>
      <w:tr w:rsidR="003E151C" w:rsidRPr="00E968E5" w14:paraId="56CEA617"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92D050"/>
            <w:vAlign w:val="center"/>
          </w:tcPr>
          <w:p w14:paraId="03031ABE" w14:textId="77777777" w:rsidR="00F60049" w:rsidRPr="00E968E5" w:rsidRDefault="00F60049" w:rsidP="009D23AC">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29258FD1" w14:textId="77777777" w:rsidR="00F60049" w:rsidRPr="00E968E5" w:rsidRDefault="00F60049" w:rsidP="00E968E5">
            <w:pPr>
              <w:spacing w:after="0"/>
              <w:rPr>
                <w:sz w:val="19"/>
                <w:szCs w:val="19"/>
              </w:rPr>
            </w:pPr>
            <w:r w:rsidRPr="00E968E5">
              <w:rPr>
                <w:sz w:val="19"/>
                <w:szCs w:val="19"/>
              </w:rPr>
              <w:t>Climate change and DRR policy agendas are closely aligned or integrated</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210AFF86" w14:textId="77777777" w:rsidR="00F60049" w:rsidRPr="00E968E5" w:rsidRDefault="00F60049" w:rsidP="00E968E5">
            <w:pPr>
              <w:spacing w:after="0"/>
              <w:jc w:val="center"/>
              <w:rPr>
                <w:sz w:val="19"/>
                <w:szCs w:val="19"/>
              </w:rPr>
            </w:pPr>
            <w:r w:rsidRPr="00E968E5">
              <w:rPr>
                <w:sz w:val="19"/>
                <w:szCs w:val="19"/>
              </w:rPr>
              <w:t>Exists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DF983CF" w14:textId="45FD6EC3" w:rsidR="00F60049" w:rsidRPr="00E968E5" w:rsidRDefault="00F60049" w:rsidP="00E968E5">
            <w:pPr>
              <w:spacing w:after="0"/>
              <w:jc w:val="center"/>
              <w:rPr>
                <w:sz w:val="19"/>
                <w:szCs w:val="19"/>
              </w:rPr>
            </w:pPr>
            <w:r w:rsidRPr="00E968E5">
              <w:rPr>
                <w:sz w:val="19"/>
                <w:szCs w:val="19"/>
              </w:rPr>
              <w:t>Exists + Evidence of application</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284264A8" w14:textId="77777777" w:rsidR="00F60049" w:rsidRPr="00E968E5" w:rsidRDefault="00F60049" w:rsidP="00E968E5">
            <w:pPr>
              <w:spacing w:after="0"/>
              <w:jc w:val="center"/>
              <w:rPr>
                <w:sz w:val="19"/>
                <w:szCs w:val="19"/>
              </w:rPr>
            </w:pPr>
            <w:r w:rsidRPr="00E968E5">
              <w:rPr>
                <w:sz w:val="19"/>
                <w:szCs w:val="19"/>
              </w:rPr>
              <w:t>Evidence of application</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161C4D50" w14:textId="268F0469" w:rsidR="00F60049" w:rsidRPr="00E968E5" w:rsidRDefault="00F60049" w:rsidP="00E968E5">
            <w:pPr>
              <w:spacing w:after="0"/>
              <w:jc w:val="center"/>
              <w:rPr>
                <w:sz w:val="19"/>
                <w:szCs w:val="19"/>
              </w:rPr>
            </w:pPr>
            <w:r w:rsidRPr="00E968E5">
              <w:rPr>
                <w:sz w:val="19"/>
                <w:szCs w:val="19"/>
              </w:rPr>
              <w:t>Policy papers, interviews with CC and DRR branches.</w:t>
            </w:r>
          </w:p>
        </w:tc>
      </w:tr>
      <w:tr w:rsidR="003E151C" w:rsidRPr="00E968E5" w14:paraId="27FD39AC" w14:textId="77777777" w:rsidTr="00941B04">
        <w:trPr>
          <w:trHeight w:val="226"/>
        </w:trPr>
        <w:tc>
          <w:tcPr>
            <w:tcW w:w="1668" w:type="dxa"/>
            <w:vMerge/>
            <w:tcBorders>
              <w:top w:val="dashSmallGap" w:sz="4" w:space="0" w:color="auto"/>
              <w:left w:val="single" w:sz="12" w:space="0" w:color="auto"/>
              <w:bottom w:val="single" w:sz="12" w:space="0" w:color="auto"/>
              <w:right w:val="dashSmallGap" w:sz="4" w:space="0" w:color="auto"/>
            </w:tcBorders>
            <w:shd w:val="clear" w:color="auto" w:fill="92D050"/>
            <w:vAlign w:val="center"/>
          </w:tcPr>
          <w:p w14:paraId="50C6AAC1" w14:textId="77777777" w:rsidR="00F60049" w:rsidRPr="00E968E5" w:rsidRDefault="00F60049" w:rsidP="009D23AC">
            <w:pPr>
              <w:spacing w:after="0"/>
              <w:jc w:val="center"/>
              <w:rPr>
                <w:b/>
                <w:sz w:val="19"/>
                <w:szCs w:val="19"/>
              </w:rPr>
            </w:pPr>
          </w:p>
        </w:tc>
        <w:tc>
          <w:tcPr>
            <w:tcW w:w="5249" w:type="dxa"/>
            <w:tcBorders>
              <w:top w:val="dashSmallGap" w:sz="4" w:space="0" w:color="auto"/>
              <w:left w:val="dashSmallGap" w:sz="4" w:space="0" w:color="auto"/>
              <w:bottom w:val="single" w:sz="12" w:space="0" w:color="auto"/>
              <w:right w:val="dashSmallGap" w:sz="4" w:space="0" w:color="auto"/>
            </w:tcBorders>
            <w:shd w:val="clear" w:color="auto" w:fill="auto"/>
          </w:tcPr>
          <w:p w14:paraId="70918541" w14:textId="77777777" w:rsidR="00F60049" w:rsidRPr="00E968E5" w:rsidRDefault="00F60049" w:rsidP="00E968E5">
            <w:pPr>
              <w:spacing w:after="0"/>
              <w:rPr>
                <w:sz w:val="19"/>
                <w:szCs w:val="19"/>
              </w:rPr>
            </w:pPr>
            <w:r w:rsidRPr="00E968E5">
              <w:rPr>
                <w:sz w:val="19"/>
                <w:szCs w:val="19"/>
              </w:rPr>
              <w:t xml:space="preserve">There is a </w:t>
            </w:r>
            <w:r w:rsidR="00E56056" w:rsidRPr="00E968E5">
              <w:rPr>
                <w:sz w:val="19"/>
                <w:szCs w:val="19"/>
              </w:rPr>
              <w:t>long-term</w:t>
            </w:r>
            <w:r w:rsidRPr="00E968E5">
              <w:rPr>
                <w:sz w:val="19"/>
                <w:szCs w:val="19"/>
              </w:rPr>
              <w:t xml:space="preserve"> commitment (including funding) to integrate climate change </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19B1F1F9" w14:textId="77777777" w:rsidR="00F60049" w:rsidRPr="00E968E5" w:rsidRDefault="00F60049" w:rsidP="00E968E5">
            <w:pPr>
              <w:spacing w:after="0"/>
              <w:jc w:val="center"/>
              <w:rPr>
                <w:sz w:val="19"/>
                <w:szCs w:val="19"/>
              </w:rPr>
            </w:pPr>
            <w:r w:rsidRPr="00E968E5">
              <w:rPr>
                <w:sz w:val="19"/>
                <w:szCs w:val="19"/>
              </w:rPr>
              <w:t>Public commitment</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5A9C8B89" w14:textId="77777777" w:rsidR="00F60049" w:rsidRPr="00E968E5" w:rsidRDefault="00F60049" w:rsidP="00E968E5">
            <w:pPr>
              <w:spacing w:after="0"/>
              <w:jc w:val="center"/>
              <w:rPr>
                <w:sz w:val="19"/>
                <w:szCs w:val="19"/>
              </w:rPr>
            </w:pPr>
            <w:r w:rsidRPr="00E968E5">
              <w:rPr>
                <w:sz w:val="19"/>
                <w:szCs w:val="19"/>
              </w:rPr>
              <w:t>Public commitment</w:t>
            </w:r>
          </w:p>
        </w:tc>
        <w:tc>
          <w:tcPr>
            <w:tcW w:w="1559" w:type="dxa"/>
            <w:tcBorders>
              <w:top w:val="dashSmallGap" w:sz="4" w:space="0" w:color="auto"/>
              <w:left w:val="dashSmallGap" w:sz="4" w:space="0" w:color="auto"/>
              <w:bottom w:val="single" w:sz="12" w:space="0" w:color="auto"/>
              <w:right w:val="dashSmallGap" w:sz="4" w:space="0" w:color="auto"/>
            </w:tcBorders>
            <w:shd w:val="clear" w:color="auto" w:fill="auto"/>
          </w:tcPr>
          <w:p w14:paraId="42A1FBCF" w14:textId="77777777" w:rsidR="00F60049" w:rsidRPr="00E968E5" w:rsidRDefault="00F60049" w:rsidP="00E968E5">
            <w:pPr>
              <w:spacing w:after="0"/>
              <w:jc w:val="center"/>
              <w:rPr>
                <w:sz w:val="19"/>
                <w:szCs w:val="19"/>
              </w:rPr>
            </w:pPr>
          </w:p>
        </w:tc>
        <w:tc>
          <w:tcPr>
            <w:tcW w:w="2763" w:type="dxa"/>
            <w:tcBorders>
              <w:top w:val="dashSmallGap" w:sz="4" w:space="0" w:color="auto"/>
              <w:left w:val="dashSmallGap" w:sz="4" w:space="0" w:color="auto"/>
              <w:bottom w:val="single" w:sz="12" w:space="0" w:color="auto"/>
              <w:right w:val="single" w:sz="12" w:space="0" w:color="auto"/>
            </w:tcBorders>
            <w:shd w:val="clear" w:color="auto" w:fill="auto"/>
          </w:tcPr>
          <w:p w14:paraId="5B460366" w14:textId="07AF3FBA" w:rsidR="00F60049" w:rsidRPr="00E968E5" w:rsidRDefault="00F60049" w:rsidP="00E968E5">
            <w:pPr>
              <w:spacing w:after="0"/>
              <w:jc w:val="center"/>
              <w:rPr>
                <w:sz w:val="19"/>
                <w:szCs w:val="19"/>
              </w:rPr>
            </w:pPr>
            <w:r w:rsidRPr="00E968E5">
              <w:rPr>
                <w:sz w:val="19"/>
                <w:szCs w:val="19"/>
              </w:rPr>
              <w:t>Policy papers, Corporate Plan, AIPs interviews with senior management</w:t>
            </w:r>
          </w:p>
        </w:tc>
      </w:tr>
      <w:tr w:rsidR="003E151C" w:rsidRPr="00E968E5" w14:paraId="04E49193" w14:textId="77777777" w:rsidTr="00941B04">
        <w:tc>
          <w:tcPr>
            <w:tcW w:w="1668" w:type="dxa"/>
            <w:vMerge w:val="restart"/>
            <w:tcBorders>
              <w:top w:val="single" w:sz="12" w:space="0" w:color="auto"/>
              <w:left w:val="single" w:sz="12" w:space="0" w:color="auto"/>
              <w:bottom w:val="dashSmallGap" w:sz="4" w:space="0" w:color="auto"/>
              <w:right w:val="dashSmallGap" w:sz="4" w:space="0" w:color="auto"/>
            </w:tcBorders>
            <w:shd w:val="clear" w:color="auto" w:fill="00B0F0"/>
            <w:vAlign w:val="center"/>
          </w:tcPr>
          <w:p w14:paraId="389A3841" w14:textId="699F786E" w:rsidR="00F60049" w:rsidRPr="00E968E5" w:rsidRDefault="00F60049" w:rsidP="009D23AC">
            <w:pPr>
              <w:spacing w:after="0"/>
              <w:jc w:val="center"/>
              <w:rPr>
                <w:b/>
                <w:sz w:val="19"/>
                <w:szCs w:val="19"/>
              </w:rPr>
            </w:pPr>
            <w:r w:rsidRPr="00E968E5">
              <w:rPr>
                <w:b/>
                <w:sz w:val="19"/>
                <w:szCs w:val="19"/>
              </w:rPr>
              <w:t>Internal design/ approval/ management processes</w:t>
            </w:r>
          </w:p>
        </w:tc>
        <w:tc>
          <w:tcPr>
            <w:tcW w:w="5249" w:type="dxa"/>
            <w:tcBorders>
              <w:top w:val="single" w:sz="12" w:space="0" w:color="auto"/>
              <w:left w:val="dashSmallGap" w:sz="4" w:space="0" w:color="auto"/>
              <w:bottom w:val="dashSmallGap" w:sz="4" w:space="0" w:color="auto"/>
              <w:right w:val="dashSmallGap" w:sz="4" w:space="0" w:color="auto"/>
            </w:tcBorders>
            <w:shd w:val="clear" w:color="auto" w:fill="auto"/>
          </w:tcPr>
          <w:p w14:paraId="0F6CD502" w14:textId="0720DF62" w:rsidR="00E86A7F" w:rsidRPr="00E968E5" w:rsidRDefault="00F60049" w:rsidP="002521A5">
            <w:pPr>
              <w:spacing w:after="0"/>
              <w:rPr>
                <w:sz w:val="19"/>
                <w:szCs w:val="19"/>
              </w:rPr>
            </w:pPr>
            <w:r w:rsidRPr="00E968E5">
              <w:rPr>
                <w:sz w:val="19"/>
                <w:szCs w:val="19"/>
              </w:rPr>
              <w:t>Mandatory climate change screening occurs for all projects (Design/Approval)</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5D345477" w14:textId="77777777" w:rsidR="00F60049" w:rsidRPr="00E968E5" w:rsidRDefault="00F60049" w:rsidP="00E968E5">
            <w:pPr>
              <w:spacing w:after="0"/>
              <w:jc w:val="center"/>
              <w:rPr>
                <w:sz w:val="19"/>
                <w:szCs w:val="19"/>
              </w:rPr>
            </w:pPr>
            <w:r w:rsidRPr="00E968E5">
              <w:rPr>
                <w:sz w:val="19"/>
                <w:szCs w:val="19"/>
              </w:rPr>
              <w:t>Mandate exists</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3B992F8C" w14:textId="77777777" w:rsidR="00F60049" w:rsidRPr="00E968E5" w:rsidRDefault="00F60049" w:rsidP="00E968E5">
            <w:pPr>
              <w:spacing w:after="0"/>
              <w:jc w:val="center"/>
              <w:rPr>
                <w:sz w:val="19"/>
                <w:szCs w:val="19"/>
              </w:rPr>
            </w:pPr>
            <w:r w:rsidRPr="00E968E5">
              <w:rPr>
                <w:sz w:val="19"/>
                <w:szCs w:val="19"/>
              </w:rPr>
              <w:t>Knowledge of and use</w:t>
            </w:r>
          </w:p>
        </w:tc>
        <w:tc>
          <w:tcPr>
            <w:tcW w:w="1559" w:type="dxa"/>
            <w:tcBorders>
              <w:top w:val="single" w:sz="12" w:space="0" w:color="auto"/>
              <w:left w:val="dashSmallGap" w:sz="4" w:space="0" w:color="auto"/>
              <w:bottom w:val="dashSmallGap" w:sz="4" w:space="0" w:color="auto"/>
              <w:right w:val="dashSmallGap" w:sz="4" w:space="0" w:color="auto"/>
            </w:tcBorders>
            <w:shd w:val="clear" w:color="auto" w:fill="69F0FF"/>
          </w:tcPr>
          <w:p w14:paraId="7EC1F149" w14:textId="77777777" w:rsidR="00F60049" w:rsidRPr="00E968E5" w:rsidRDefault="00F60049" w:rsidP="00E968E5">
            <w:pPr>
              <w:spacing w:after="0"/>
              <w:jc w:val="center"/>
              <w:rPr>
                <w:sz w:val="19"/>
                <w:szCs w:val="19"/>
              </w:rPr>
            </w:pPr>
            <w:r w:rsidRPr="00E968E5">
              <w:rPr>
                <w:sz w:val="19"/>
                <w:szCs w:val="19"/>
              </w:rPr>
              <w:t>Knowledge of and use</w:t>
            </w:r>
          </w:p>
        </w:tc>
        <w:tc>
          <w:tcPr>
            <w:tcW w:w="2763" w:type="dxa"/>
            <w:tcBorders>
              <w:top w:val="single" w:sz="12" w:space="0" w:color="auto"/>
              <w:left w:val="dashSmallGap" w:sz="4" w:space="0" w:color="auto"/>
              <w:bottom w:val="dashSmallGap" w:sz="4" w:space="0" w:color="auto"/>
              <w:right w:val="single" w:sz="12" w:space="0" w:color="auto"/>
            </w:tcBorders>
            <w:shd w:val="clear" w:color="auto" w:fill="auto"/>
          </w:tcPr>
          <w:p w14:paraId="71527F25" w14:textId="1DFFB614" w:rsidR="00F60049" w:rsidRPr="00E968E5" w:rsidRDefault="00F60049" w:rsidP="00E968E5">
            <w:pPr>
              <w:spacing w:after="0"/>
              <w:jc w:val="center"/>
              <w:rPr>
                <w:sz w:val="19"/>
                <w:szCs w:val="19"/>
              </w:rPr>
            </w:pPr>
            <w:r w:rsidRPr="00E968E5">
              <w:rPr>
                <w:sz w:val="19"/>
                <w:szCs w:val="19"/>
              </w:rPr>
              <w:t>Aid Programming Guide, interviews with CC team, Design unit, environmental safeguards + DRR</w:t>
            </w:r>
          </w:p>
        </w:tc>
      </w:tr>
      <w:tr w:rsidR="003E151C" w:rsidRPr="00E968E5" w14:paraId="496A15EE"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4FB173DE" w14:textId="77777777" w:rsidR="00F60049" w:rsidRPr="00E968E5" w:rsidRDefault="00F60049" w:rsidP="009D23AC">
            <w:pPr>
              <w:spacing w:after="0"/>
              <w:jc w:val="center"/>
              <w:rPr>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3E67DF05" w14:textId="32F8A5AC" w:rsidR="00F60049" w:rsidRDefault="00F60049" w:rsidP="00E968E5">
            <w:pPr>
              <w:spacing w:after="0"/>
              <w:rPr>
                <w:sz w:val="19"/>
                <w:szCs w:val="19"/>
              </w:rPr>
            </w:pPr>
            <w:r w:rsidRPr="00E968E5">
              <w:rPr>
                <w:sz w:val="19"/>
                <w:szCs w:val="19"/>
              </w:rPr>
              <w:t>Climate change impact assessments are undertaken for major projects with an identified climate change focus/link</w:t>
            </w:r>
          </w:p>
          <w:p w14:paraId="65B6DFB7" w14:textId="16866F48" w:rsidR="002521A5" w:rsidRPr="00E968E5" w:rsidRDefault="002521A5" w:rsidP="00E968E5">
            <w:pPr>
              <w:spacing w:after="0"/>
              <w:rPr>
                <w:sz w:val="19"/>
                <w:szCs w:val="19"/>
              </w:rPr>
            </w:pP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3B1680B" w14:textId="77777777" w:rsidR="00F60049" w:rsidRPr="00E968E5" w:rsidRDefault="00F60049" w:rsidP="00E968E5">
            <w:pPr>
              <w:spacing w:after="0"/>
              <w:jc w:val="center"/>
              <w:rPr>
                <w:sz w:val="19"/>
                <w:szCs w:val="19"/>
              </w:rPr>
            </w:pPr>
            <w:r w:rsidRPr="00E968E5">
              <w:rPr>
                <w:sz w:val="19"/>
                <w:szCs w:val="19"/>
              </w:rPr>
              <w:t>Mandate exists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7F12B70" w14:textId="77777777" w:rsidR="00F60049" w:rsidRPr="00E968E5" w:rsidRDefault="00F60049" w:rsidP="00E968E5">
            <w:pPr>
              <w:spacing w:after="0"/>
              <w:jc w:val="center"/>
              <w:rPr>
                <w:sz w:val="19"/>
                <w:szCs w:val="19"/>
              </w:rPr>
            </w:pPr>
            <w:r w:rsidRPr="00E968E5">
              <w:rPr>
                <w:sz w:val="19"/>
                <w:szCs w:val="19"/>
              </w:rPr>
              <w:t>Knowledge of and use</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3A1C3F6E" w14:textId="77777777" w:rsidR="00F60049" w:rsidRPr="00E968E5" w:rsidRDefault="00F60049" w:rsidP="00E968E5">
            <w:pPr>
              <w:spacing w:after="0"/>
              <w:jc w:val="center"/>
              <w:rPr>
                <w:sz w:val="19"/>
                <w:szCs w:val="19"/>
              </w:rPr>
            </w:pPr>
            <w:r w:rsidRPr="00E968E5">
              <w:rPr>
                <w:sz w:val="19"/>
                <w:szCs w:val="19"/>
              </w:rPr>
              <w:t>Knowledge of and use</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68BA2D55" w14:textId="736E1A66" w:rsidR="00F60049" w:rsidRPr="00E968E5" w:rsidRDefault="00F60049" w:rsidP="00E968E5">
            <w:pPr>
              <w:spacing w:after="0"/>
              <w:jc w:val="center"/>
              <w:rPr>
                <w:sz w:val="19"/>
                <w:szCs w:val="19"/>
              </w:rPr>
            </w:pPr>
            <w:r w:rsidRPr="00E968E5">
              <w:rPr>
                <w:sz w:val="19"/>
                <w:szCs w:val="19"/>
              </w:rPr>
              <w:t xml:space="preserve">Aid Programming Guide, interviews with CC team, Design Unit, environmental safeguards </w:t>
            </w:r>
          </w:p>
        </w:tc>
      </w:tr>
      <w:tr w:rsidR="003E151C" w:rsidRPr="00E968E5" w14:paraId="6DD51E48"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05D83590" w14:textId="77777777" w:rsidR="00F60049" w:rsidRPr="00E968E5" w:rsidRDefault="00F60049" w:rsidP="009D23AC">
            <w:pPr>
              <w:spacing w:after="0"/>
              <w:jc w:val="center"/>
              <w:rPr>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528B9094" w14:textId="61F7BF3A" w:rsidR="00F60049" w:rsidRPr="00E968E5" w:rsidRDefault="00F60049" w:rsidP="00E968E5">
            <w:pPr>
              <w:spacing w:after="0"/>
              <w:rPr>
                <w:sz w:val="19"/>
                <w:szCs w:val="19"/>
              </w:rPr>
            </w:pPr>
            <w:r w:rsidRPr="00E968E5">
              <w:rPr>
                <w:sz w:val="19"/>
                <w:szCs w:val="19"/>
              </w:rPr>
              <w:t>Guidance documents and support tool exist to help program staff</w:t>
            </w:r>
            <w:r w:rsidR="00110D83">
              <w:rPr>
                <w:sz w:val="19"/>
                <w:szCs w:val="19"/>
              </w:rPr>
              <w:t xml:space="preserve"> </w:t>
            </w:r>
            <w:r w:rsidRPr="00E968E5">
              <w:rPr>
                <w:sz w:val="19"/>
                <w:szCs w:val="19"/>
              </w:rPr>
              <w:t>to integrate CC at the design stage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4F36719B" w14:textId="77777777" w:rsidR="00F60049" w:rsidRPr="00E968E5" w:rsidRDefault="00F60049" w:rsidP="00E968E5">
            <w:pPr>
              <w:spacing w:after="0"/>
              <w:jc w:val="center"/>
              <w:rPr>
                <w:sz w:val="19"/>
                <w:szCs w:val="19"/>
              </w:rPr>
            </w:pPr>
            <w:r w:rsidRPr="00E968E5">
              <w:rPr>
                <w:sz w:val="19"/>
                <w:szCs w:val="19"/>
              </w:rPr>
              <w:t>Guidance/tools exist and use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76B11A1A" w14:textId="77777777" w:rsidR="00F60049" w:rsidRPr="00E968E5" w:rsidRDefault="00F60049" w:rsidP="00E968E5">
            <w:pPr>
              <w:spacing w:after="0"/>
              <w:jc w:val="center"/>
              <w:rPr>
                <w:sz w:val="19"/>
                <w:szCs w:val="19"/>
              </w:rPr>
            </w:pPr>
            <w:r w:rsidRPr="00E968E5">
              <w:rPr>
                <w:sz w:val="19"/>
                <w:szCs w:val="19"/>
              </w:rPr>
              <w:t>Knowledge of and use</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03434CA3" w14:textId="77777777" w:rsidR="00F60049" w:rsidRPr="00E968E5" w:rsidRDefault="00F60049" w:rsidP="00E968E5">
            <w:pPr>
              <w:spacing w:after="0"/>
              <w:jc w:val="center"/>
              <w:rPr>
                <w:sz w:val="19"/>
                <w:szCs w:val="19"/>
              </w:rPr>
            </w:pPr>
            <w:r w:rsidRPr="00E968E5">
              <w:rPr>
                <w:sz w:val="19"/>
                <w:szCs w:val="19"/>
              </w:rPr>
              <w:t>Knowledge of and use</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47DFBFFD" w14:textId="569EC42C" w:rsidR="00F60049" w:rsidRPr="00E968E5" w:rsidRDefault="00F60049" w:rsidP="00E968E5">
            <w:pPr>
              <w:spacing w:after="0"/>
              <w:jc w:val="center"/>
              <w:rPr>
                <w:sz w:val="19"/>
                <w:szCs w:val="19"/>
              </w:rPr>
            </w:pPr>
            <w:r w:rsidRPr="00E968E5">
              <w:rPr>
                <w:sz w:val="19"/>
                <w:szCs w:val="19"/>
              </w:rPr>
              <w:t xml:space="preserve">Aid Programming Guide, interviews with CC team, Design unit, environmental safeguards </w:t>
            </w:r>
          </w:p>
        </w:tc>
      </w:tr>
      <w:tr w:rsidR="003E151C" w:rsidRPr="00E968E5" w14:paraId="41F156AB"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00B0F0"/>
            <w:vAlign w:val="center"/>
          </w:tcPr>
          <w:p w14:paraId="23F7AB0A" w14:textId="77777777" w:rsidR="00F60049" w:rsidRPr="00E968E5" w:rsidRDefault="00F60049" w:rsidP="009D23AC">
            <w:pPr>
              <w:spacing w:after="0"/>
              <w:jc w:val="center"/>
              <w:rPr>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6F697446" w14:textId="4B722966" w:rsidR="00F60049" w:rsidRPr="00E968E5" w:rsidRDefault="00F60049" w:rsidP="00E968E5">
            <w:pPr>
              <w:spacing w:after="0"/>
              <w:rPr>
                <w:sz w:val="19"/>
                <w:szCs w:val="19"/>
              </w:rPr>
            </w:pPr>
            <w:r w:rsidRPr="00E968E5">
              <w:rPr>
                <w:sz w:val="19"/>
                <w:szCs w:val="19"/>
              </w:rPr>
              <w:t>Staff have access to CC specialists, support units/helpdesks, focal points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B9E92DF" w14:textId="75AB0C50" w:rsidR="00F60049" w:rsidRPr="00E968E5" w:rsidRDefault="00F60049" w:rsidP="00E968E5">
            <w:pPr>
              <w:spacing w:after="0"/>
              <w:jc w:val="center"/>
              <w:rPr>
                <w:sz w:val="19"/>
                <w:szCs w:val="19"/>
              </w:rPr>
            </w:pPr>
            <w:r w:rsidRPr="00E968E5">
              <w:rPr>
                <w:sz w:val="19"/>
                <w:szCs w:val="19"/>
              </w:rPr>
              <w:t>Support Exists and use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4D754F26" w14:textId="77777777" w:rsidR="00F60049" w:rsidRPr="00E968E5" w:rsidRDefault="00F60049" w:rsidP="00E968E5">
            <w:pPr>
              <w:spacing w:after="0"/>
              <w:jc w:val="center"/>
              <w:rPr>
                <w:sz w:val="19"/>
                <w:szCs w:val="19"/>
              </w:rPr>
            </w:pPr>
            <w:r w:rsidRPr="00E968E5">
              <w:rPr>
                <w:sz w:val="19"/>
                <w:szCs w:val="19"/>
              </w:rPr>
              <w:t>Support exists and use</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286A525A" w14:textId="77777777" w:rsidR="00F60049" w:rsidRPr="00E968E5" w:rsidRDefault="00F60049" w:rsidP="00E968E5">
            <w:pPr>
              <w:spacing w:after="0"/>
              <w:jc w:val="center"/>
              <w:rPr>
                <w:sz w:val="19"/>
                <w:szCs w:val="19"/>
              </w:rPr>
            </w:pPr>
            <w:r w:rsidRPr="00E968E5">
              <w:rPr>
                <w:sz w:val="19"/>
                <w:szCs w:val="19"/>
              </w:rPr>
              <w:t>Knowledge of and use</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11E60F9B" w14:textId="4107A6E8" w:rsidR="00F60049" w:rsidRPr="00E968E5" w:rsidRDefault="00F60049" w:rsidP="00E968E5">
            <w:pPr>
              <w:spacing w:after="0"/>
              <w:jc w:val="center"/>
              <w:rPr>
                <w:sz w:val="19"/>
                <w:szCs w:val="19"/>
              </w:rPr>
            </w:pPr>
            <w:r w:rsidRPr="00E968E5">
              <w:rPr>
                <w:sz w:val="19"/>
                <w:szCs w:val="19"/>
              </w:rPr>
              <w:t>CC team + external resourcing, demand V supply, self-assessed confidence to meet DFAT staff needs, interviews</w:t>
            </w:r>
          </w:p>
        </w:tc>
      </w:tr>
      <w:tr w:rsidR="002521A5" w:rsidRPr="00E968E5" w14:paraId="3FD9D425" w14:textId="77777777" w:rsidTr="00267C07">
        <w:tc>
          <w:tcPr>
            <w:tcW w:w="1668" w:type="dxa"/>
            <w:vMerge/>
            <w:tcBorders>
              <w:top w:val="dashSmallGap" w:sz="4" w:space="0" w:color="auto"/>
              <w:left w:val="single" w:sz="12" w:space="0" w:color="auto"/>
              <w:bottom w:val="single" w:sz="12" w:space="0" w:color="auto"/>
              <w:right w:val="dashSmallGap" w:sz="4" w:space="0" w:color="auto"/>
            </w:tcBorders>
            <w:shd w:val="clear" w:color="auto" w:fill="00B0F0"/>
            <w:vAlign w:val="center"/>
          </w:tcPr>
          <w:p w14:paraId="6296C226" w14:textId="77777777" w:rsidR="002521A5" w:rsidRPr="00E968E5" w:rsidRDefault="002521A5" w:rsidP="002521A5">
            <w:pPr>
              <w:spacing w:after="0"/>
              <w:jc w:val="center"/>
              <w:rPr>
                <w:sz w:val="19"/>
                <w:szCs w:val="19"/>
              </w:rPr>
            </w:pPr>
          </w:p>
        </w:tc>
        <w:tc>
          <w:tcPr>
            <w:tcW w:w="5249" w:type="dxa"/>
            <w:tcBorders>
              <w:top w:val="dashSmallGap" w:sz="4" w:space="0" w:color="auto"/>
              <w:left w:val="dashSmallGap" w:sz="4" w:space="0" w:color="auto"/>
              <w:bottom w:val="single" w:sz="12" w:space="0" w:color="auto"/>
              <w:right w:val="dashSmallGap" w:sz="4" w:space="0" w:color="auto"/>
            </w:tcBorders>
            <w:shd w:val="clear" w:color="auto" w:fill="auto"/>
            <w:vAlign w:val="center"/>
          </w:tcPr>
          <w:p w14:paraId="4CA31873" w14:textId="56854B55" w:rsidR="002521A5" w:rsidRPr="00E968E5" w:rsidRDefault="002521A5" w:rsidP="002521A5">
            <w:pPr>
              <w:spacing w:after="0"/>
              <w:rPr>
                <w:sz w:val="19"/>
                <w:szCs w:val="19"/>
              </w:rPr>
            </w:pP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27EDDC27" w14:textId="5D9AF051" w:rsidR="002521A5" w:rsidRPr="00E968E5" w:rsidRDefault="002521A5" w:rsidP="002521A5">
            <w:pPr>
              <w:spacing w:after="0"/>
              <w:jc w:val="center"/>
              <w:rPr>
                <w:sz w:val="19"/>
                <w:szCs w:val="19"/>
              </w:rPr>
            </w:pPr>
            <w:r w:rsidRPr="00E968E5">
              <w:rPr>
                <w:sz w:val="19"/>
                <w:szCs w:val="19"/>
              </w:rPr>
              <w:t>Training Exists and use</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6B239EFB" w14:textId="77777777" w:rsidR="002521A5" w:rsidRPr="00E968E5" w:rsidRDefault="002521A5" w:rsidP="002521A5">
            <w:pPr>
              <w:spacing w:after="0"/>
              <w:jc w:val="center"/>
              <w:rPr>
                <w:sz w:val="19"/>
                <w:szCs w:val="19"/>
              </w:rPr>
            </w:pPr>
            <w:r w:rsidRPr="00E968E5">
              <w:rPr>
                <w:sz w:val="19"/>
                <w:szCs w:val="19"/>
              </w:rPr>
              <w:t>Access and use</w:t>
            </w:r>
          </w:p>
        </w:tc>
        <w:tc>
          <w:tcPr>
            <w:tcW w:w="1559" w:type="dxa"/>
            <w:tcBorders>
              <w:top w:val="dashSmallGap" w:sz="4" w:space="0" w:color="auto"/>
              <w:left w:val="dashSmallGap" w:sz="4" w:space="0" w:color="auto"/>
              <w:bottom w:val="single" w:sz="12" w:space="0" w:color="auto"/>
              <w:right w:val="dashSmallGap" w:sz="4" w:space="0" w:color="auto"/>
            </w:tcBorders>
            <w:shd w:val="clear" w:color="auto" w:fill="69F0FF"/>
          </w:tcPr>
          <w:p w14:paraId="5096E2B7" w14:textId="77777777" w:rsidR="002521A5" w:rsidRPr="00E968E5" w:rsidRDefault="002521A5" w:rsidP="002521A5">
            <w:pPr>
              <w:spacing w:after="0"/>
              <w:jc w:val="center"/>
              <w:rPr>
                <w:sz w:val="19"/>
                <w:szCs w:val="19"/>
              </w:rPr>
            </w:pPr>
            <w:r w:rsidRPr="00E968E5">
              <w:rPr>
                <w:sz w:val="19"/>
                <w:szCs w:val="19"/>
              </w:rPr>
              <w:t>Access and use</w:t>
            </w:r>
          </w:p>
        </w:tc>
        <w:tc>
          <w:tcPr>
            <w:tcW w:w="2763" w:type="dxa"/>
            <w:tcBorders>
              <w:top w:val="dashSmallGap" w:sz="4" w:space="0" w:color="auto"/>
              <w:left w:val="dashSmallGap" w:sz="4" w:space="0" w:color="auto"/>
              <w:bottom w:val="single" w:sz="12" w:space="0" w:color="auto"/>
              <w:right w:val="single" w:sz="12" w:space="0" w:color="auto"/>
            </w:tcBorders>
            <w:shd w:val="clear" w:color="auto" w:fill="auto"/>
          </w:tcPr>
          <w:p w14:paraId="47847719" w14:textId="1C022BB2" w:rsidR="002521A5" w:rsidRPr="00E968E5" w:rsidRDefault="002521A5" w:rsidP="002521A5">
            <w:pPr>
              <w:spacing w:after="0"/>
              <w:jc w:val="center"/>
              <w:rPr>
                <w:sz w:val="19"/>
                <w:szCs w:val="19"/>
              </w:rPr>
            </w:pPr>
            <w:r w:rsidRPr="00E968E5">
              <w:rPr>
                <w:sz w:val="19"/>
                <w:szCs w:val="19"/>
              </w:rPr>
              <w:t>Diplomatic Academy training schedule, CC team, interviews</w:t>
            </w:r>
          </w:p>
        </w:tc>
      </w:tr>
      <w:tr w:rsidR="002521A5" w:rsidRPr="00E968E5" w14:paraId="72636A88" w14:textId="77777777" w:rsidTr="00941B04">
        <w:tc>
          <w:tcPr>
            <w:tcW w:w="1668" w:type="dxa"/>
            <w:vMerge w:val="restart"/>
            <w:tcBorders>
              <w:top w:val="single" w:sz="12" w:space="0" w:color="auto"/>
              <w:left w:val="single" w:sz="12" w:space="0" w:color="auto"/>
              <w:bottom w:val="dashSmallGap" w:sz="4" w:space="0" w:color="auto"/>
              <w:right w:val="dashSmallGap" w:sz="4" w:space="0" w:color="auto"/>
            </w:tcBorders>
            <w:shd w:val="clear" w:color="auto" w:fill="89C3B2"/>
            <w:vAlign w:val="center"/>
          </w:tcPr>
          <w:p w14:paraId="22AC7605" w14:textId="1A52FE18" w:rsidR="002521A5" w:rsidRPr="00E968E5" w:rsidRDefault="002521A5" w:rsidP="002521A5">
            <w:pPr>
              <w:spacing w:after="0"/>
              <w:jc w:val="center"/>
              <w:rPr>
                <w:b/>
                <w:sz w:val="19"/>
                <w:szCs w:val="19"/>
              </w:rPr>
            </w:pPr>
            <w:r w:rsidRPr="00E968E5">
              <w:rPr>
                <w:b/>
                <w:sz w:val="19"/>
                <w:szCs w:val="19"/>
              </w:rPr>
              <w:t>Monitoring, evaluation and staff capacity</w:t>
            </w:r>
          </w:p>
        </w:tc>
        <w:tc>
          <w:tcPr>
            <w:tcW w:w="5249" w:type="dxa"/>
            <w:tcBorders>
              <w:top w:val="single" w:sz="12" w:space="0" w:color="auto"/>
              <w:left w:val="dashSmallGap" w:sz="4" w:space="0" w:color="auto"/>
              <w:bottom w:val="dashSmallGap" w:sz="4" w:space="0" w:color="auto"/>
              <w:right w:val="dashSmallGap" w:sz="4" w:space="0" w:color="auto"/>
            </w:tcBorders>
            <w:shd w:val="clear" w:color="auto" w:fill="auto"/>
          </w:tcPr>
          <w:p w14:paraId="0DE66DC6" w14:textId="7CEA9B8F" w:rsidR="002521A5" w:rsidRDefault="002521A5" w:rsidP="002521A5">
            <w:pPr>
              <w:spacing w:after="0"/>
              <w:rPr>
                <w:sz w:val="19"/>
                <w:szCs w:val="19"/>
              </w:rPr>
            </w:pPr>
            <w:r w:rsidRPr="00E968E5">
              <w:rPr>
                <w:sz w:val="19"/>
                <w:szCs w:val="19"/>
              </w:rPr>
              <w:t>Robust M&amp;E systems, using appropriate adaptation and/or mitigation indicators.</w:t>
            </w:r>
          </w:p>
          <w:p w14:paraId="4D386AD8" w14:textId="15E1AE3F" w:rsidR="000E4E84" w:rsidRPr="00E968E5" w:rsidRDefault="000E4E84" w:rsidP="002521A5">
            <w:pPr>
              <w:spacing w:after="0"/>
              <w:rPr>
                <w:sz w:val="19"/>
                <w:szCs w:val="19"/>
              </w:rPr>
            </w:pP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0867AFD2" w14:textId="77777777" w:rsidR="002521A5" w:rsidRPr="00E968E5" w:rsidRDefault="002521A5" w:rsidP="002521A5">
            <w:pPr>
              <w:spacing w:after="0"/>
              <w:jc w:val="center"/>
              <w:rPr>
                <w:sz w:val="19"/>
                <w:szCs w:val="19"/>
              </w:rPr>
            </w:pPr>
            <w:r w:rsidRPr="00E968E5">
              <w:rPr>
                <w:sz w:val="19"/>
                <w:szCs w:val="19"/>
              </w:rPr>
              <w:t>Exists and use</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0CD0CC7B" w14:textId="77777777" w:rsidR="002521A5" w:rsidRPr="00E968E5" w:rsidRDefault="002521A5" w:rsidP="002521A5">
            <w:pPr>
              <w:spacing w:after="0"/>
              <w:jc w:val="center"/>
              <w:rPr>
                <w:sz w:val="19"/>
                <w:szCs w:val="19"/>
              </w:rPr>
            </w:pPr>
            <w:r w:rsidRPr="00E968E5">
              <w:rPr>
                <w:sz w:val="19"/>
                <w:szCs w:val="19"/>
              </w:rPr>
              <w:t>Exists and use</w:t>
            </w:r>
          </w:p>
        </w:tc>
        <w:tc>
          <w:tcPr>
            <w:tcW w:w="1559" w:type="dxa"/>
            <w:tcBorders>
              <w:top w:val="single" w:sz="12" w:space="0" w:color="auto"/>
              <w:left w:val="dashSmallGap" w:sz="4" w:space="0" w:color="auto"/>
              <w:bottom w:val="dashSmallGap" w:sz="4" w:space="0" w:color="auto"/>
              <w:right w:val="dashSmallGap" w:sz="4" w:space="0" w:color="auto"/>
            </w:tcBorders>
            <w:shd w:val="clear" w:color="auto" w:fill="69F0FF"/>
          </w:tcPr>
          <w:p w14:paraId="41413F35" w14:textId="77777777" w:rsidR="002521A5" w:rsidRPr="00E968E5" w:rsidRDefault="002521A5" w:rsidP="002521A5">
            <w:pPr>
              <w:spacing w:after="0"/>
              <w:jc w:val="center"/>
              <w:rPr>
                <w:sz w:val="19"/>
                <w:szCs w:val="19"/>
              </w:rPr>
            </w:pPr>
            <w:r w:rsidRPr="00E968E5">
              <w:rPr>
                <w:sz w:val="19"/>
                <w:szCs w:val="19"/>
              </w:rPr>
              <w:t>Exists and use</w:t>
            </w:r>
          </w:p>
        </w:tc>
        <w:tc>
          <w:tcPr>
            <w:tcW w:w="2763" w:type="dxa"/>
            <w:tcBorders>
              <w:top w:val="single" w:sz="12" w:space="0" w:color="auto"/>
              <w:left w:val="dashSmallGap" w:sz="4" w:space="0" w:color="auto"/>
              <w:bottom w:val="dashSmallGap" w:sz="4" w:space="0" w:color="auto"/>
              <w:right w:val="single" w:sz="12" w:space="0" w:color="auto"/>
            </w:tcBorders>
            <w:shd w:val="clear" w:color="auto" w:fill="auto"/>
          </w:tcPr>
          <w:p w14:paraId="7F22BAC1" w14:textId="36B75AAF" w:rsidR="002521A5" w:rsidRPr="00E968E5" w:rsidRDefault="002521A5" w:rsidP="002521A5">
            <w:pPr>
              <w:spacing w:after="0"/>
              <w:jc w:val="center"/>
              <w:rPr>
                <w:sz w:val="19"/>
                <w:szCs w:val="19"/>
              </w:rPr>
            </w:pPr>
            <w:r w:rsidRPr="00E968E5">
              <w:rPr>
                <w:sz w:val="19"/>
                <w:szCs w:val="19"/>
              </w:rPr>
              <w:t xml:space="preserve">Document and guidance review (APG), </w:t>
            </w:r>
            <w:r>
              <w:rPr>
                <w:sz w:val="19"/>
                <w:szCs w:val="19"/>
              </w:rPr>
              <w:t>r</w:t>
            </w:r>
            <w:r w:rsidRPr="00E968E5">
              <w:rPr>
                <w:sz w:val="19"/>
                <w:szCs w:val="19"/>
              </w:rPr>
              <w:t>eview of Corporate targets/reports, AIPs/APPRs, Investment M&amp;E Frameworks and Reports</w:t>
            </w:r>
          </w:p>
        </w:tc>
      </w:tr>
      <w:tr w:rsidR="002521A5" w:rsidRPr="00E968E5" w14:paraId="73860FC7"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89C3B2"/>
            <w:vAlign w:val="center"/>
          </w:tcPr>
          <w:p w14:paraId="6AFADD50"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35093448" w14:textId="3DD04D75" w:rsidR="002521A5" w:rsidRPr="00E968E5" w:rsidRDefault="002521A5" w:rsidP="002521A5">
            <w:pPr>
              <w:spacing w:after="0"/>
              <w:rPr>
                <w:sz w:val="19"/>
                <w:szCs w:val="19"/>
              </w:rPr>
            </w:pPr>
            <w:r w:rsidRPr="00E968E5">
              <w:rPr>
                <w:sz w:val="19"/>
                <w:szCs w:val="19"/>
              </w:rPr>
              <w:t>CC indicators are part of DFAT’s core/mandated organisational reporting processes and part of a mandatory annual reporting process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D278F7D" w14:textId="77777777" w:rsidR="002521A5" w:rsidRPr="00E968E5" w:rsidRDefault="002521A5" w:rsidP="002521A5">
            <w:pPr>
              <w:spacing w:after="0"/>
              <w:jc w:val="center"/>
              <w:rPr>
                <w:sz w:val="19"/>
                <w:szCs w:val="19"/>
              </w:rPr>
            </w:pPr>
            <w:r w:rsidRPr="00E968E5">
              <w:rPr>
                <w:sz w:val="19"/>
                <w:szCs w:val="19"/>
              </w:rPr>
              <w:t>Exists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1B88661" w14:textId="77777777" w:rsidR="002521A5" w:rsidRPr="00E968E5" w:rsidRDefault="002521A5" w:rsidP="002521A5">
            <w:pPr>
              <w:spacing w:after="0"/>
              <w:jc w:val="center"/>
              <w:rPr>
                <w:sz w:val="19"/>
                <w:szCs w:val="19"/>
              </w:rPr>
            </w:pPr>
            <w:r w:rsidRPr="00E968E5">
              <w:rPr>
                <w:sz w:val="19"/>
                <w:szCs w:val="19"/>
              </w:rPr>
              <w:t xml:space="preserve">Evidence of application </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0F07F429" w14:textId="77777777" w:rsidR="002521A5" w:rsidRPr="00E968E5" w:rsidRDefault="002521A5" w:rsidP="002521A5">
            <w:pPr>
              <w:spacing w:after="0"/>
              <w:jc w:val="center"/>
              <w:rPr>
                <w:sz w:val="19"/>
                <w:szCs w:val="19"/>
              </w:rPr>
            </w:pPr>
            <w:r w:rsidRPr="00E968E5">
              <w:rPr>
                <w:sz w:val="19"/>
                <w:szCs w:val="19"/>
              </w:rPr>
              <w:t>Evidence of application</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3F2E6FDC" w14:textId="67EB489E" w:rsidR="002521A5" w:rsidRPr="00E968E5" w:rsidRDefault="002521A5" w:rsidP="002521A5">
            <w:pPr>
              <w:spacing w:after="0"/>
              <w:jc w:val="center"/>
              <w:rPr>
                <w:sz w:val="19"/>
                <w:szCs w:val="19"/>
              </w:rPr>
            </w:pPr>
            <w:r w:rsidRPr="00E968E5">
              <w:rPr>
                <w:sz w:val="19"/>
                <w:szCs w:val="19"/>
              </w:rPr>
              <w:t xml:space="preserve">Document and guidance review (APG), </w:t>
            </w:r>
            <w:r>
              <w:rPr>
                <w:sz w:val="19"/>
                <w:szCs w:val="19"/>
              </w:rPr>
              <w:t>r</w:t>
            </w:r>
            <w:r w:rsidRPr="00E968E5">
              <w:rPr>
                <w:sz w:val="19"/>
                <w:szCs w:val="19"/>
              </w:rPr>
              <w:t>eview of Corporate targets/reports, AIPs/APPRs, CC team, interviews</w:t>
            </w:r>
          </w:p>
        </w:tc>
      </w:tr>
      <w:tr w:rsidR="002521A5" w:rsidRPr="00E968E5" w14:paraId="5411991D"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89C3B2"/>
            <w:vAlign w:val="center"/>
          </w:tcPr>
          <w:p w14:paraId="791842B8"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32C48FBF" w14:textId="484DD620" w:rsidR="002521A5" w:rsidRPr="00E968E5" w:rsidRDefault="002521A5" w:rsidP="002521A5">
            <w:pPr>
              <w:spacing w:after="0"/>
              <w:rPr>
                <w:sz w:val="19"/>
                <w:szCs w:val="19"/>
              </w:rPr>
            </w:pPr>
            <w:r w:rsidRPr="00E968E5">
              <w:rPr>
                <w:sz w:val="19"/>
                <w:szCs w:val="19"/>
              </w:rPr>
              <w:t>Departmental measures (indicators) and reports on how CC has been mainstreamed across the portfolio.</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9CB5273" w14:textId="77777777" w:rsidR="002521A5" w:rsidRPr="00E968E5" w:rsidRDefault="002521A5" w:rsidP="002521A5">
            <w:pPr>
              <w:spacing w:after="0"/>
              <w:jc w:val="center"/>
              <w:rPr>
                <w:sz w:val="19"/>
                <w:szCs w:val="19"/>
              </w:rPr>
            </w:pPr>
            <w:r w:rsidRPr="00E968E5">
              <w:rPr>
                <w:sz w:val="19"/>
                <w:szCs w:val="19"/>
              </w:rPr>
              <w:t>Exists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4826EB3B" w14:textId="77777777" w:rsidR="002521A5" w:rsidRPr="00E968E5" w:rsidRDefault="002521A5" w:rsidP="002521A5">
            <w:pPr>
              <w:spacing w:after="0"/>
              <w:jc w:val="center"/>
              <w:rPr>
                <w:sz w:val="19"/>
                <w:szCs w:val="19"/>
              </w:rPr>
            </w:pPr>
            <w:r w:rsidRPr="00E968E5">
              <w:rPr>
                <w:sz w:val="19"/>
                <w:szCs w:val="19"/>
              </w:rPr>
              <w:t xml:space="preserve">Evidence of application </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181B0E07" w14:textId="77777777" w:rsidR="002521A5" w:rsidRPr="00E968E5" w:rsidRDefault="002521A5" w:rsidP="002521A5">
            <w:pPr>
              <w:spacing w:after="0"/>
              <w:jc w:val="center"/>
              <w:rPr>
                <w:sz w:val="19"/>
                <w:szCs w:val="19"/>
              </w:rPr>
            </w:pPr>
            <w:r w:rsidRPr="00E968E5">
              <w:rPr>
                <w:sz w:val="19"/>
                <w:szCs w:val="19"/>
              </w:rPr>
              <w:t>Evidence of application</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60F5E2FB" w14:textId="7576DA05" w:rsidR="002521A5" w:rsidRPr="00E968E5" w:rsidRDefault="002521A5" w:rsidP="002521A5">
            <w:pPr>
              <w:spacing w:after="0"/>
              <w:jc w:val="center"/>
              <w:rPr>
                <w:sz w:val="19"/>
                <w:szCs w:val="19"/>
              </w:rPr>
            </w:pPr>
            <w:r w:rsidRPr="00E968E5">
              <w:rPr>
                <w:sz w:val="19"/>
                <w:szCs w:val="19"/>
              </w:rPr>
              <w:t xml:space="preserve">Document and guidance review (APG), </w:t>
            </w:r>
            <w:r>
              <w:rPr>
                <w:sz w:val="19"/>
                <w:szCs w:val="19"/>
              </w:rPr>
              <w:t>r</w:t>
            </w:r>
            <w:r w:rsidRPr="00E968E5">
              <w:rPr>
                <w:sz w:val="19"/>
                <w:szCs w:val="19"/>
              </w:rPr>
              <w:t>eview of Corporate targets/reports, AIPs/APPRs, CC team interviews</w:t>
            </w:r>
          </w:p>
        </w:tc>
      </w:tr>
      <w:tr w:rsidR="002521A5" w:rsidRPr="00E968E5" w14:paraId="4EBEE098"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89C3B2"/>
            <w:vAlign w:val="center"/>
          </w:tcPr>
          <w:p w14:paraId="422BD6E2"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26DF84C7" w14:textId="77777777" w:rsidR="002521A5" w:rsidRPr="00E968E5" w:rsidRDefault="002521A5" w:rsidP="002521A5">
            <w:pPr>
              <w:spacing w:after="0"/>
              <w:rPr>
                <w:sz w:val="19"/>
                <w:szCs w:val="19"/>
              </w:rPr>
            </w:pPr>
            <w:r w:rsidRPr="00E968E5">
              <w:rPr>
                <w:sz w:val="19"/>
                <w:szCs w:val="19"/>
              </w:rPr>
              <w:t>Tools and guidance on how to set up appropriate M&amp;E systems for climate impacts exist.</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67F5969D" w14:textId="77777777" w:rsidR="002521A5" w:rsidRPr="00E968E5" w:rsidRDefault="002521A5" w:rsidP="002521A5">
            <w:pPr>
              <w:spacing w:after="0"/>
              <w:jc w:val="center"/>
              <w:rPr>
                <w:sz w:val="19"/>
                <w:szCs w:val="19"/>
              </w:rPr>
            </w:pPr>
            <w:r w:rsidRPr="00E968E5">
              <w:rPr>
                <w:sz w:val="19"/>
                <w:szCs w:val="19"/>
              </w:rPr>
              <w:t>Exists and use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539FFA72" w14:textId="6B96E906" w:rsidR="002521A5" w:rsidRPr="00E968E5" w:rsidRDefault="002521A5" w:rsidP="002521A5">
            <w:pPr>
              <w:spacing w:after="0"/>
              <w:jc w:val="center"/>
              <w:rPr>
                <w:sz w:val="19"/>
                <w:szCs w:val="19"/>
              </w:rPr>
            </w:pPr>
            <w:r w:rsidRPr="00E968E5">
              <w:rPr>
                <w:sz w:val="19"/>
                <w:szCs w:val="19"/>
              </w:rPr>
              <w:t>Knowledge and Use</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3B57D975" w14:textId="17768B16" w:rsidR="002521A5" w:rsidRPr="00E968E5" w:rsidRDefault="002521A5" w:rsidP="002521A5">
            <w:pPr>
              <w:spacing w:after="0"/>
              <w:jc w:val="center"/>
              <w:rPr>
                <w:sz w:val="19"/>
                <w:szCs w:val="19"/>
              </w:rPr>
            </w:pPr>
            <w:r w:rsidRPr="00E968E5">
              <w:rPr>
                <w:sz w:val="19"/>
                <w:szCs w:val="19"/>
              </w:rPr>
              <w:t>Knowledge and Use</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343E2284" w14:textId="433DAD98" w:rsidR="002521A5" w:rsidRPr="00E968E5" w:rsidRDefault="002521A5" w:rsidP="002521A5">
            <w:pPr>
              <w:spacing w:after="0"/>
              <w:jc w:val="center"/>
              <w:rPr>
                <w:sz w:val="19"/>
                <w:szCs w:val="19"/>
              </w:rPr>
            </w:pPr>
            <w:r w:rsidRPr="00E968E5">
              <w:rPr>
                <w:sz w:val="19"/>
                <w:szCs w:val="19"/>
              </w:rPr>
              <w:t>Aid Programming Guide, interviews with CC team, Design unit, environmental safeguards</w:t>
            </w:r>
          </w:p>
        </w:tc>
      </w:tr>
      <w:tr w:rsidR="002521A5" w:rsidRPr="00E968E5" w14:paraId="2B738E7B"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89C3B2"/>
            <w:vAlign w:val="center"/>
          </w:tcPr>
          <w:p w14:paraId="0BBAFB5E"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1F49F7F4" w14:textId="30397A82" w:rsidR="002521A5" w:rsidRPr="00E968E5" w:rsidRDefault="002521A5" w:rsidP="002521A5">
            <w:pPr>
              <w:spacing w:after="0"/>
              <w:rPr>
                <w:sz w:val="19"/>
                <w:szCs w:val="19"/>
              </w:rPr>
            </w:pPr>
            <w:r w:rsidRPr="00E968E5">
              <w:rPr>
                <w:sz w:val="19"/>
                <w:szCs w:val="19"/>
              </w:rPr>
              <w:t>Staff are adequately “climate aware” and have the skills to apply guidance and tools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73BA04F5" w14:textId="77777777" w:rsidR="002521A5" w:rsidRPr="00E968E5" w:rsidRDefault="002521A5" w:rsidP="002521A5">
            <w:pPr>
              <w:spacing w:after="0"/>
              <w:jc w:val="center"/>
              <w:rPr>
                <w:sz w:val="19"/>
                <w:szCs w:val="19"/>
              </w:rPr>
            </w:pPr>
            <w:r w:rsidRPr="00E968E5">
              <w:rPr>
                <w:sz w:val="19"/>
                <w:szCs w:val="19"/>
              </w:rPr>
              <w:t>Awareness+ application</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425D297C" w14:textId="77777777" w:rsidR="002521A5" w:rsidRPr="00E968E5" w:rsidRDefault="002521A5" w:rsidP="002521A5">
            <w:pPr>
              <w:spacing w:after="0"/>
              <w:jc w:val="center"/>
              <w:rPr>
                <w:sz w:val="19"/>
                <w:szCs w:val="19"/>
              </w:rPr>
            </w:pPr>
            <w:r w:rsidRPr="00E968E5">
              <w:rPr>
                <w:sz w:val="19"/>
                <w:szCs w:val="19"/>
              </w:rPr>
              <w:t>Awareness+ application</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0B0D44E7" w14:textId="281DA259" w:rsidR="002521A5" w:rsidRPr="00E968E5" w:rsidRDefault="002521A5" w:rsidP="002521A5">
            <w:pPr>
              <w:spacing w:after="0"/>
              <w:jc w:val="center"/>
              <w:rPr>
                <w:b/>
                <w:sz w:val="19"/>
                <w:szCs w:val="19"/>
              </w:rPr>
            </w:pPr>
            <w:r w:rsidRPr="00E968E5">
              <w:rPr>
                <w:sz w:val="19"/>
                <w:szCs w:val="19"/>
              </w:rPr>
              <w:t>Awareness + application</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17191701" w14:textId="78820A28" w:rsidR="002521A5" w:rsidRPr="00E968E5" w:rsidRDefault="002521A5" w:rsidP="00733676">
            <w:pPr>
              <w:spacing w:after="0"/>
              <w:jc w:val="center"/>
              <w:rPr>
                <w:sz w:val="19"/>
                <w:szCs w:val="19"/>
              </w:rPr>
            </w:pPr>
            <w:r w:rsidRPr="00E968E5">
              <w:rPr>
                <w:sz w:val="19"/>
                <w:szCs w:val="19"/>
              </w:rPr>
              <w:t>Interviews, self-assess awareness (scale 1</w:t>
            </w:r>
            <w:r>
              <w:rPr>
                <w:sz w:val="19"/>
                <w:szCs w:val="19"/>
              </w:rPr>
              <w:t>–</w:t>
            </w:r>
            <w:r w:rsidRPr="00E968E5">
              <w:rPr>
                <w:sz w:val="19"/>
                <w:szCs w:val="19"/>
              </w:rPr>
              <w:t>10)</w:t>
            </w:r>
          </w:p>
          <w:p w14:paraId="389446F9" w14:textId="753935FE" w:rsidR="002521A5" w:rsidRPr="00E968E5" w:rsidRDefault="002521A5" w:rsidP="002521A5">
            <w:pPr>
              <w:spacing w:after="0"/>
              <w:jc w:val="center"/>
              <w:rPr>
                <w:sz w:val="19"/>
                <w:szCs w:val="19"/>
              </w:rPr>
            </w:pPr>
            <w:r w:rsidRPr="00E968E5">
              <w:rPr>
                <w:sz w:val="19"/>
                <w:szCs w:val="19"/>
              </w:rPr>
              <w:t>Cross check with application within programs/projects</w:t>
            </w:r>
          </w:p>
        </w:tc>
      </w:tr>
      <w:tr w:rsidR="002521A5" w:rsidRPr="00E968E5" w14:paraId="02B1F2EC"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89C3B2"/>
            <w:vAlign w:val="center"/>
          </w:tcPr>
          <w:p w14:paraId="0B2DDE3A"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79B30CDE" w14:textId="54E3A4A3" w:rsidR="002521A5" w:rsidRPr="00E968E5" w:rsidRDefault="002521A5" w:rsidP="002521A5">
            <w:pPr>
              <w:spacing w:after="0"/>
              <w:rPr>
                <w:sz w:val="19"/>
                <w:szCs w:val="19"/>
              </w:rPr>
            </w:pPr>
            <w:r w:rsidRPr="00E968E5">
              <w:rPr>
                <w:sz w:val="19"/>
                <w:szCs w:val="19"/>
              </w:rPr>
              <w:t>Reports document climate change impacts providing an insight into value for money, providing meaningful lessons learn</w:t>
            </w:r>
            <w:r>
              <w:rPr>
                <w:sz w:val="19"/>
                <w:szCs w:val="19"/>
              </w:rPr>
              <w:t>ed</w:t>
            </w:r>
            <w:r w:rsidRPr="00E968E5">
              <w:rPr>
                <w:sz w:val="19"/>
                <w:szCs w:val="19"/>
              </w:rPr>
              <w:t>, and guiding future programming.</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65018A85" w14:textId="77777777" w:rsidR="002521A5" w:rsidRPr="00E968E5" w:rsidRDefault="002521A5" w:rsidP="002521A5">
            <w:pPr>
              <w:spacing w:after="0"/>
              <w:jc w:val="center"/>
              <w:rPr>
                <w:sz w:val="19"/>
                <w:szCs w:val="19"/>
              </w:rPr>
            </w:pPr>
            <w:r w:rsidRPr="00E968E5">
              <w:rPr>
                <w:sz w:val="19"/>
                <w:szCs w:val="19"/>
              </w:rPr>
              <w:t>Reports exist, published, used</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072C037C" w14:textId="77777777" w:rsidR="002521A5" w:rsidRPr="00E968E5" w:rsidRDefault="002521A5" w:rsidP="002521A5">
            <w:pPr>
              <w:spacing w:after="0"/>
              <w:jc w:val="center"/>
              <w:rPr>
                <w:sz w:val="19"/>
                <w:szCs w:val="19"/>
              </w:rPr>
            </w:pPr>
            <w:r w:rsidRPr="00E968E5">
              <w:rPr>
                <w:sz w:val="19"/>
                <w:szCs w:val="19"/>
              </w:rPr>
              <w:t>Reports exist, published, used</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3E8E667E" w14:textId="77777777" w:rsidR="002521A5" w:rsidRPr="00E968E5" w:rsidRDefault="002521A5" w:rsidP="002521A5">
            <w:pPr>
              <w:spacing w:after="0"/>
              <w:jc w:val="center"/>
              <w:rPr>
                <w:sz w:val="19"/>
                <w:szCs w:val="19"/>
              </w:rPr>
            </w:pPr>
            <w:r w:rsidRPr="00E968E5">
              <w:rPr>
                <w:sz w:val="19"/>
                <w:szCs w:val="19"/>
              </w:rPr>
              <w:t>Reports exist, published, used</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77FEBD52" w14:textId="2ED947F6" w:rsidR="002521A5" w:rsidRPr="00E968E5" w:rsidRDefault="002521A5" w:rsidP="002521A5">
            <w:pPr>
              <w:spacing w:after="0"/>
              <w:jc w:val="center"/>
              <w:rPr>
                <w:sz w:val="19"/>
                <w:szCs w:val="19"/>
              </w:rPr>
            </w:pPr>
            <w:r w:rsidRPr="00E968E5">
              <w:rPr>
                <w:sz w:val="19"/>
                <w:szCs w:val="19"/>
              </w:rPr>
              <w:t>Document review, website review, interviews.</w:t>
            </w:r>
          </w:p>
        </w:tc>
      </w:tr>
      <w:tr w:rsidR="002521A5" w:rsidRPr="00E968E5" w14:paraId="4E226F47" w14:textId="77777777" w:rsidTr="00941B04">
        <w:trPr>
          <w:trHeight w:val="364"/>
        </w:trPr>
        <w:tc>
          <w:tcPr>
            <w:tcW w:w="1668" w:type="dxa"/>
            <w:vMerge/>
            <w:tcBorders>
              <w:top w:val="dashSmallGap" w:sz="4" w:space="0" w:color="auto"/>
              <w:left w:val="single" w:sz="12" w:space="0" w:color="auto"/>
              <w:bottom w:val="single" w:sz="12" w:space="0" w:color="auto"/>
              <w:right w:val="dashSmallGap" w:sz="4" w:space="0" w:color="auto"/>
            </w:tcBorders>
            <w:shd w:val="clear" w:color="auto" w:fill="89C3B2"/>
            <w:vAlign w:val="center"/>
          </w:tcPr>
          <w:p w14:paraId="7FC0EC39"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single" w:sz="12" w:space="0" w:color="auto"/>
              <w:right w:val="dashSmallGap" w:sz="4" w:space="0" w:color="auto"/>
            </w:tcBorders>
            <w:shd w:val="clear" w:color="auto" w:fill="auto"/>
          </w:tcPr>
          <w:p w14:paraId="27333229" w14:textId="3C2FDF2D" w:rsidR="002521A5" w:rsidRPr="00E968E5" w:rsidRDefault="002521A5" w:rsidP="002521A5">
            <w:pPr>
              <w:spacing w:after="0"/>
              <w:rPr>
                <w:sz w:val="19"/>
                <w:szCs w:val="19"/>
              </w:rPr>
            </w:pPr>
            <w:r w:rsidRPr="00E968E5">
              <w:rPr>
                <w:sz w:val="19"/>
                <w:szCs w:val="19"/>
              </w:rPr>
              <w:t>Evaluation Reports systematically incorporate/consider climate change.</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72180537" w14:textId="77777777" w:rsidR="002521A5" w:rsidRPr="00E968E5" w:rsidRDefault="002521A5" w:rsidP="002521A5">
            <w:pPr>
              <w:spacing w:after="0"/>
              <w:jc w:val="center"/>
              <w:rPr>
                <w:sz w:val="19"/>
                <w:szCs w:val="19"/>
              </w:rPr>
            </w:pPr>
            <w:r w:rsidRPr="00E968E5">
              <w:rPr>
                <w:sz w:val="19"/>
                <w:szCs w:val="19"/>
              </w:rPr>
              <w:t>Guidance, strategic evaluations</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1E8D0346" w14:textId="77777777" w:rsidR="002521A5" w:rsidRPr="00E968E5" w:rsidRDefault="002521A5" w:rsidP="002521A5">
            <w:pPr>
              <w:spacing w:after="0"/>
              <w:jc w:val="center"/>
              <w:rPr>
                <w:sz w:val="19"/>
                <w:szCs w:val="19"/>
              </w:rPr>
            </w:pPr>
            <w:r w:rsidRPr="00E968E5">
              <w:rPr>
                <w:sz w:val="19"/>
                <w:szCs w:val="19"/>
              </w:rPr>
              <w:t>Evidence of application</w:t>
            </w:r>
          </w:p>
        </w:tc>
        <w:tc>
          <w:tcPr>
            <w:tcW w:w="1559" w:type="dxa"/>
            <w:tcBorders>
              <w:top w:val="dashSmallGap" w:sz="4" w:space="0" w:color="auto"/>
              <w:left w:val="dashSmallGap" w:sz="4" w:space="0" w:color="auto"/>
              <w:bottom w:val="single" w:sz="12" w:space="0" w:color="auto"/>
              <w:right w:val="dashSmallGap" w:sz="4" w:space="0" w:color="auto"/>
            </w:tcBorders>
            <w:shd w:val="clear" w:color="auto" w:fill="69F0FF"/>
          </w:tcPr>
          <w:p w14:paraId="22C34450" w14:textId="77777777" w:rsidR="002521A5" w:rsidRPr="00E968E5" w:rsidRDefault="002521A5" w:rsidP="002521A5">
            <w:pPr>
              <w:spacing w:after="0"/>
              <w:jc w:val="center"/>
              <w:rPr>
                <w:sz w:val="19"/>
                <w:szCs w:val="19"/>
              </w:rPr>
            </w:pPr>
            <w:r w:rsidRPr="00E968E5">
              <w:rPr>
                <w:sz w:val="19"/>
                <w:szCs w:val="19"/>
              </w:rPr>
              <w:t>Evidence of application</w:t>
            </w:r>
          </w:p>
        </w:tc>
        <w:tc>
          <w:tcPr>
            <w:tcW w:w="2763" w:type="dxa"/>
            <w:tcBorders>
              <w:top w:val="dashSmallGap" w:sz="4" w:space="0" w:color="auto"/>
              <w:left w:val="dashSmallGap" w:sz="4" w:space="0" w:color="auto"/>
              <w:bottom w:val="single" w:sz="12" w:space="0" w:color="auto"/>
              <w:right w:val="single" w:sz="12" w:space="0" w:color="auto"/>
            </w:tcBorders>
            <w:shd w:val="clear" w:color="auto" w:fill="auto"/>
          </w:tcPr>
          <w:p w14:paraId="38206729" w14:textId="139192A6" w:rsidR="002521A5" w:rsidRPr="00E968E5" w:rsidRDefault="002521A5" w:rsidP="002521A5">
            <w:pPr>
              <w:spacing w:after="0"/>
              <w:jc w:val="center"/>
              <w:rPr>
                <w:sz w:val="19"/>
                <w:szCs w:val="19"/>
              </w:rPr>
            </w:pPr>
            <w:r w:rsidRPr="00E968E5">
              <w:rPr>
                <w:sz w:val="19"/>
                <w:szCs w:val="19"/>
              </w:rPr>
              <w:t>Interview with ODE,</w:t>
            </w:r>
            <w:r>
              <w:rPr>
                <w:sz w:val="19"/>
                <w:szCs w:val="19"/>
              </w:rPr>
              <w:t xml:space="preserve"> </w:t>
            </w:r>
            <w:r w:rsidRPr="00E968E5">
              <w:rPr>
                <w:sz w:val="19"/>
                <w:szCs w:val="19"/>
              </w:rPr>
              <w:t>review of investment level evaluations</w:t>
            </w:r>
          </w:p>
        </w:tc>
      </w:tr>
      <w:tr w:rsidR="002521A5" w:rsidRPr="00E968E5" w14:paraId="0DEBDA24" w14:textId="77777777" w:rsidTr="00887BA7">
        <w:trPr>
          <w:trHeight w:val="729"/>
        </w:trPr>
        <w:tc>
          <w:tcPr>
            <w:tcW w:w="1668" w:type="dxa"/>
            <w:vMerge w:val="restart"/>
            <w:tcBorders>
              <w:top w:val="single" w:sz="12" w:space="0" w:color="auto"/>
              <w:left w:val="single" w:sz="12" w:space="0" w:color="auto"/>
              <w:bottom w:val="dashSmallGap" w:sz="4" w:space="0" w:color="auto"/>
              <w:right w:val="dashSmallGap" w:sz="4" w:space="0" w:color="auto"/>
            </w:tcBorders>
            <w:shd w:val="clear" w:color="auto" w:fill="FFFF00"/>
            <w:vAlign w:val="center"/>
          </w:tcPr>
          <w:p w14:paraId="1A13D967" w14:textId="77777777" w:rsidR="002521A5" w:rsidRPr="00E968E5" w:rsidRDefault="002521A5" w:rsidP="002521A5">
            <w:pPr>
              <w:spacing w:after="0"/>
              <w:jc w:val="center"/>
              <w:rPr>
                <w:b/>
                <w:sz w:val="19"/>
                <w:szCs w:val="19"/>
              </w:rPr>
            </w:pPr>
            <w:r w:rsidRPr="00E968E5">
              <w:rPr>
                <w:b/>
                <w:sz w:val="19"/>
                <w:szCs w:val="19"/>
              </w:rPr>
              <w:t>Financing</w:t>
            </w:r>
          </w:p>
        </w:tc>
        <w:tc>
          <w:tcPr>
            <w:tcW w:w="5249" w:type="dxa"/>
            <w:tcBorders>
              <w:top w:val="single" w:sz="12" w:space="0" w:color="auto"/>
              <w:left w:val="dashSmallGap" w:sz="4" w:space="0" w:color="auto"/>
              <w:right w:val="dashSmallGap" w:sz="4" w:space="0" w:color="auto"/>
            </w:tcBorders>
            <w:shd w:val="clear" w:color="auto" w:fill="auto"/>
          </w:tcPr>
          <w:p w14:paraId="0687F965" w14:textId="52B3A0DA" w:rsidR="002521A5" w:rsidRPr="00E968E5" w:rsidRDefault="002521A5" w:rsidP="002521A5">
            <w:pPr>
              <w:spacing w:after="0"/>
              <w:rPr>
                <w:sz w:val="19"/>
                <w:szCs w:val="19"/>
              </w:rPr>
            </w:pPr>
            <w:r w:rsidRPr="00E968E5">
              <w:rPr>
                <w:sz w:val="19"/>
                <w:szCs w:val="19"/>
              </w:rPr>
              <w:t xml:space="preserve">Average share of total ODA funds tagged as climate change finance increasing </w:t>
            </w:r>
            <w:r>
              <w:rPr>
                <w:sz w:val="19"/>
                <w:szCs w:val="19"/>
              </w:rPr>
              <w:t>(indicator of mainstreaming)</w:t>
            </w:r>
          </w:p>
        </w:tc>
        <w:tc>
          <w:tcPr>
            <w:tcW w:w="1843" w:type="dxa"/>
            <w:tcBorders>
              <w:top w:val="single" w:sz="12" w:space="0" w:color="auto"/>
              <w:left w:val="dashSmallGap" w:sz="4" w:space="0" w:color="auto"/>
              <w:right w:val="dashSmallGap" w:sz="4" w:space="0" w:color="auto"/>
            </w:tcBorders>
            <w:shd w:val="clear" w:color="auto" w:fill="69F0FF"/>
          </w:tcPr>
          <w:p w14:paraId="29775B47" w14:textId="502EAE06" w:rsidR="002521A5" w:rsidRPr="00E968E5" w:rsidRDefault="002521A5" w:rsidP="002521A5">
            <w:pPr>
              <w:spacing w:after="0"/>
              <w:jc w:val="center"/>
              <w:rPr>
                <w:sz w:val="19"/>
                <w:szCs w:val="19"/>
              </w:rPr>
            </w:pPr>
            <w:r w:rsidRPr="00E968E5">
              <w:rPr>
                <w:sz w:val="19"/>
                <w:szCs w:val="19"/>
              </w:rPr>
              <w:t>Agency View</w:t>
            </w:r>
          </w:p>
        </w:tc>
        <w:tc>
          <w:tcPr>
            <w:tcW w:w="1843" w:type="dxa"/>
            <w:tcBorders>
              <w:top w:val="single" w:sz="12" w:space="0" w:color="auto"/>
              <w:left w:val="dashSmallGap" w:sz="4" w:space="0" w:color="auto"/>
              <w:right w:val="dashSmallGap" w:sz="4" w:space="0" w:color="auto"/>
            </w:tcBorders>
            <w:shd w:val="clear" w:color="auto" w:fill="69F0FF"/>
          </w:tcPr>
          <w:p w14:paraId="62F5867C" w14:textId="29D70C6D" w:rsidR="002521A5" w:rsidRPr="00E968E5" w:rsidRDefault="002521A5" w:rsidP="002521A5">
            <w:pPr>
              <w:spacing w:after="0"/>
              <w:jc w:val="center"/>
              <w:rPr>
                <w:sz w:val="19"/>
                <w:szCs w:val="19"/>
              </w:rPr>
            </w:pPr>
            <w:r>
              <w:rPr>
                <w:sz w:val="19"/>
                <w:szCs w:val="19"/>
              </w:rPr>
              <w:t>Program</w:t>
            </w:r>
            <w:r w:rsidRPr="00E968E5">
              <w:rPr>
                <w:sz w:val="19"/>
                <w:szCs w:val="19"/>
              </w:rPr>
              <w:t xml:space="preserve"> View</w:t>
            </w:r>
          </w:p>
        </w:tc>
        <w:tc>
          <w:tcPr>
            <w:tcW w:w="1559" w:type="dxa"/>
            <w:tcBorders>
              <w:top w:val="single" w:sz="12" w:space="0" w:color="auto"/>
              <w:left w:val="dashSmallGap" w:sz="4" w:space="0" w:color="auto"/>
              <w:right w:val="dashSmallGap" w:sz="4" w:space="0" w:color="auto"/>
            </w:tcBorders>
            <w:shd w:val="clear" w:color="auto" w:fill="auto"/>
          </w:tcPr>
          <w:p w14:paraId="00353F22" w14:textId="77777777" w:rsidR="002521A5" w:rsidRPr="00E968E5" w:rsidRDefault="002521A5" w:rsidP="002521A5">
            <w:pPr>
              <w:spacing w:after="0"/>
              <w:jc w:val="center"/>
              <w:rPr>
                <w:sz w:val="19"/>
                <w:szCs w:val="19"/>
              </w:rPr>
            </w:pPr>
          </w:p>
        </w:tc>
        <w:tc>
          <w:tcPr>
            <w:tcW w:w="2763" w:type="dxa"/>
            <w:tcBorders>
              <w:top w:val="single" w:sz="12" w:space="0" w:color="auto"/>
              <w:left w:val="dashSmallGap" w:sz="4" w:space="0" w:color="auto"/>
              <w:right w:val="single" w:sz="12" w:space="0" w:color="auto"/>
            </w:tcBorders>
            <w:shd w:val="clear" w:color="auto" w:fill="auto"/>
          </w:tcPr>
          <w:p w14:paraId="15C3A70A" w14:textId="6AE3FBC4" w:rsidR="002521A5" w:rsidRPr="00E968E5" w:rsidRDefault="002521A5" w:rsidP="002521A5">
            <w:pPr>
              <w:spacing w:after="0"/>
              <w:jc w:val="center"/>
              <w:rPr>
                <w:sz w:val="19"/>
                <w:szCs w:val="19"/>
              </w:rPr>
            </w:pPr>
            <w:r w:rsidRPr="00E968E5">
              <w:rPr>
                <w:sz w:val="19"/>
                <w:szCs w:val="19"/>
              </w:rPr>
              <w:t>Historical and projected budget and expenditure</w:t>
            </w:r>
          </w:p>
        </w:tc>
      </w:tr>
      <w:tr w:rsidR="002521A5" w:rsidRPr="00E968E5" w14:paraId="6EBC455D"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FFFF00"/>
            <w:vAlign w:val="center"/>
          </w:tcPr>
          <w:p w14:paraId="6E60D77B"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14376E64" w14:textId="3A0468D2" w:rsidR="002521A5" w:rsidRPr="00E968E5" w:rsidRDefault="002521A5" w:rsidP="002521A5">
            <w:pPr>
              <w:spacing w:after="0"/>
              <w:rPr>
                <w:sz w:val="19"/>
                <w:szCs w:val="19"/>
              </w:rPr>
            </w:pPr>
            <w:r w:rsidRPr="00E968E5">
              <w:rPr>
                <w:sz w:val="19"/>
                <w:szCs w:val="19"/>
              </w:rPr>
              <w:t>Balance of bilateral expenditure between adaptation and mitigation (target around 50</w:t>
            </w:r>
            <w:r>
              <w:rPr>
                <w:sz w:val="19"/>
                <w:szCs w:val="19"/>
              </w:rPr>
              <w:t xml:space="preserve"> per cent</w:t>
            </w:r>
            <w:r w:rsidRPr="00E968E5">
              <w:rPr>
                <w:sz w:val="19"/>
                <w:szCs w:val="19"/>
              </w:rPr>
              <w:t xml:space="preserve">) </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2D92AA9A" w14:textId="5636151B" w:rsidR="002521A5" w:rsidRPr="00E968E5" w:rsidRDefault="002521A5" w:rsidP="002521A5">
            <w:pPr>
              <w:spacing w:after="0"/>
              <w:jc w:val="center"/>
              <w:rPr>
                <w:sz w:val="19"/>
                <w:szCs w:val="19"/>
              </w:rPr>
            </w:pPr>
            <w:r w:rsidRPr="00E968E5">
              <w:rPr>
                <w:sz w:val="19"/>
                <w:szCs w:val="19"/>
              </w:rPr>
              <w:t>Agency View</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6EA7993A" w14:textId="73D49E52" w:rsidR="002521A5" w:rsidRPr="00E968E5" w:rsidRDefault="002521A5" w:rsidP="002521A5">
            <w:pPr>
              <w:spacing w:after="0"/>
              <w:jc w:val="center"/>
              <w:rPr>
                <w:sz w:val="19"/>
                <w:szCs w:val="19"/>
              </w:rPr>
            </w:pPr>
            <w:r>
              <w:rPr>
                <w:sz w:val="19"/>
                <w:szCs w:val="19"/>
              </w:rPr>
              <w:t>Program</w:t>
            </w:r>
            <w:r w:rsidRPr="00E968E5">
              <w:rPr>
                <w:sz w:val="19"/>
                <w:szCs w:val="19"/>
              </w:rPr>
              <w:t xml:space="preserve"> View</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auto"/>
          </w:tcPr>
          <w:p w14:paraId="2EAE4A9F" w14:textId="77777777" w:rsidR="002521A5" w:rsidRPr="00E968E5" w:rsidRDefault="002521A5" w:rsidP="002521A5">
            <w:pPr>
              <w:spacing w:after="0"/>
              <w:jc w:val="center"/>
              <w:rPr>
                <w:sz w:val="19"/>
                <w:szCs w:val="19"/>
              </w:rPr>
            </w:pP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6F7175AC" w14:textId="01DF88D0" w:rsidR="002521A5" w:rsidRPr="00E968E5" w:rsidRDefault="002521A5" w:rsidP="002521A5">
            <w:pPr>
              <w:spacing w:after="0"/>
              <w:jc w:val="center"/>
              <w:rPr>
                <w:sz w:val="19"/>
                <w:szCs w:val="19"/>
              </w:rPr>
            </w:pPr>
            <w:r w:rsidRPr="00E968E5">
              <w:rPr>
                <w:sz w:val="19"/>
                <w:szCs w:val="19"/>
              </w:rPr>
              <w:t>Breakdown of CC tagged funding, interviews with CC team, review method</w:t>
            </w:r>
          </w:p>
        </w:tc>
      </w:tr>
      <w:tr w:rsidR="002521A5" w:rsidRPr="00E968E5" w14:paraId="4301B122" w14:textId="77777777" w:rsidTr="00941B04">
        <w:tc>
          <w:tcPr>
            <w:tcW w:w="1668" w:type="dxa"/>
            <w:vMerge/>
            <w:tcBorders>
              <w:top w:val="dashSmallGap" w:sz="4" w:space="0" w:color="auto"/>
              <w:left w:val="single" w:sz="12" w:space="0" w:color="auto"/>
              <w:bottom w:val="single" w:sz="12" w:space="0" w:color="auto"/>
              <w:right w:val="dashSmallGap" w:sz="4" w:space="0" w:color="auto"/>
            </w:tcBorders>
            <w:shd w:val="clear" w:color="auto" w:fill="FFFF00"/>
            <w:vAlign w:val="center"/>
          </w:tcPr>
          <w:p w14:paraId="47BDE09E" w14:textId="77777777" w:rsidR="002521A5" w:rsidRPr="00E968E5" w:rsidRDefault="002521A5" w:rsidP="002521A5">
            <w:pPr>
              <w:spacing w:after="0"/>
              <w:jc w:val="center"/>
              <w:rPr>
                <w:b/>
                <w:sz w:val="19"/>
                <w:szCs w:val="19"/>
              </w:rPr>
            </w:pPr>
          </w:p>
        </w:tc>
        <w:tc>
          <w:tcPr>
            <w:tcW w:w="5249" w:type="dxa"/>
            <w:tcBorders>
              <w:top w:val="dashSmallGap" w:sz="4" w:space="0" w:color="auto"/>
              <w:left w:val="dashSmallGap" w:sz="4" w:space="0" w:color="auto"/>
              <w:bottom w:val="single" w:sz="12" w:space="0" w:color="auto"/>
              <w:right w:val="dashSmallGap" w:sz="4" w:space="0" w:color="auto"/>
            </w:tcBorders>
            <w:shd w:val="clear" w:color="auto" w:fill="auto"/>
          </w:tcPr>
          <w:p w14:paraId="5A5EF386" w14:textId="3BA5D287" w:rsidR="002521A5" w:rsidRPr="00E968E5" w:rsidRDefault="002521A5" w:rsidP="002521A5">
            <w:pPr>
              <w:spacing w:after="0"/>
              <w:rPr>
                <w:sz w:val="19"/>
                <w:szCs w:val="19"/>
              </w:rPr>
            </w:pPr>
            <w:r w:rsidRPr="00E968E5">
              <w:rPr>
                <w:sz w:val="19"/>
                <w:szCs w:val="19"/>
              </w:rPr>
              <w:t>Balance of multilateral V bilateral expenditure (target 25</w:t>
            </w:r>
            <w:r>
              <w:rPr>
                <w:sz w:val="19"/>
                <w:szCs w:val="19"/>
              </w:rPr>
              <w:t>–</w:t>
            </w:r>
            <w:r w:rsidRPr="00E968E5">
              <w:rPr>
                <w:sz w:val="19"/>
                <w:szCs w:val="19"/>
              </w:rPr>
              <w:t>30% multilateral)</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07B14BA0" w14:textId="638A665F" w:rsidR="002521A5" w:rsidRPr="00E968E5" w:rsidRDefault="002521A5" w:rsidP="002521A5">
            <w:pPr>
              <w:spacing w:after="0"/>
              <w:jc w:val="center"/>
              <w:rPr>
                <w:sz w:val="19"/>
                <w:szCs w:val="19"/>
              </w:rPr>
            </w:pPr>
            <w:r w:rsidRPr="00E968E5">
              <w:rPr>
                <w:sz w:val="19"/>
                <w:szCs w:val="19"/>
              </w:rPr>
              <w:t>Agency View</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37AEFAD7" w14:textId="4F8648D7" w:rsidR="002521A5" w:rsidRPr="00E968E5" w:rsidRDefault="002521A5" w:rsidP="002521A5">
            <w:pPr>
              <w:spacing w:after="0"/>
              <w:jc w:val="center"/>
              <w:rPr>
                <w:sz w:val="19"/>
                <w:szCs w:val="19"/>
              </w:rPr>
            </w:pPr>
            <w:r>
              <w:rPr>
                <w:sz w:val="19"/>
                <w:szCs w:val="19"/>
              </w:rPr>
              <w:t>Program</w:t>
            </w:r>
            <w:r w:rsidRPr="00E968E5">
              <w:rPr>
                <w:sz w:val="19"/>
                <w:szCs w:val="19"/>
              </w:rPr>
              <w:t xml:space="preserve"> View</w:t>
            </w:r>
          </w:p>
        </w:tc>
        <w:tc>
          <w:tcPr>
            <w:tcW w:w="1559" w:type="dxa"/>
            <w:tcBorders>
              <w:top w:val="dashSmallGap" w:sz="4" w:space="0" w:color="auto"/>
              <w:left w:val="dashSmallGap" w:sz="4" w:space="0" w:color="auto"/>
              <w:bottom w:val="single" w:sz="12" w:space="0" w:color="auto"/>
              <w:right w:val="dashSmallGap" w:sz="4" w:space="0" w:color="auto"/>
            </w:tcBorders>
            <w:shd w:val="clear" w:color="auto" w:fill="auto"/>
          </w:tcPr>
          <w:p w14:paraId="4ED9C90B" w14:textId="77777777" w:rsidR="002521A5" w:rsidRPr="00E968E5" w:rsidRDefault="002521A5" w:rsidP="002521A5">
            <w:pPr>
              <w:spacing w:after="0"/>
              <w:jc w:val="center"/>
              <w:rPr>
                <w:sz w:val="19"/>
                <w:szCs w:val="19"/>
              </w:rPr>
            </w:pPr>
          </w:p>
        </w:tc>
        <w:tc>
          <w:tcPr>
            <w:tcW w:w="2763" w:type="dxa"/>
            <w:tcBorders>
              <w:top w:val="dashSmallGap" w:sz="4" w:space="0" w:color="auto"/>
              <w:left w:val="dashSmallGap" w:sz="4" w:space="0" w:color="auto"/>
              <w:bottom w:val="single" w:sz="12" w:space="0" w:color="auto"/>
              <w:right w:val="single" w:sz="12" w:space="0" w:color="auto"/>
            </w:tcBorders>
            <w:shd w:val="clear" w:color="auto" w:fill="auto"/>
          </w:tcPr>
          <w:p w14:paraId="14029B04" w14:textId="248CD41B" w:rsidR="002521A5" w:rsidRPr="00E968E5" w:rsidRDefault="002521A5" w:rsidP="002521A5">
            <w:pPr>
              <w:spacing w:after="0"/>
              <w:jc w:val="center"/>
              <w:rPr>
                <w:sz w:val="19"/>
                <w:szCs w:val="19"/>
              </w:rPr>
            </w:pPr>
            <w:r w:rsidRPr="00E968E5">
              <w:rPr>
                <w:sz w:val="19"/>
                <w:szCs w:val="19"/>
              </w:rPr>
              <w:t>Breakdown of CC tagged funding, interviews with CC team</w:t>
            </w:r>
          </w:p>
        </w:tc>
      </w:tr>
      <w:tr w:rsidR="002521A5" w:rsidRPr="00E968E5" w14:paraId="640EADE3" w14:textId="77777777" w:rsidTr="00941B04">
        <w:tc>
          <w:tcPr>
            <w:tcW w:w="1668" w:type="dxa"/>
            <w:vMerge w:val="restart"/>
            <w:tcBorders>
              <w:top w:val="single" w:sz="12" w:space="0" w:color="auto"/>
              <w:left w:val="single" w:sz="12" w:space="0" w:color="auto"/>
              <w:bottom w:val="dashSmallGap" w:sz="4" w:space="0" w:color="auto"/>
              <w:right w:val="dashSmallGap" w:sz="4" w:space="0" w:color="auto"/>
            </w:tcBorders>
            <w:shd w:val="clear" w:color="auto" w:fill="FF0000"/>
            <w:vAlign w:val="center"/>
          </w:tcPr>
          <w:p w14:paraId="32F54689" w14:textId="49B1E6F3" w:rsidR="002521A5" w:rsidRPr="00E968E5" w:rsidRDefault="002521A5" w:rsidP="002521A5">
            <w:pPr>
              <w:spacing w:after="0"/>
              <w:jc w:val="center"/>
              <w:rPr>
                <w:b/>
                <w:sz w:val="19"/>
                <w:szCs w:val="19"/>
              </w:rPr>
            </w:pPr>
            <w:r>
              <w:rPr>
                <w:b/>
                <w:sz w:val="19"/>
                <w:szCs w:val="19"/>
              </w:rPr>
              <w:t>Policy commitment</w:t>
            </w:r>
            <w:r w:rsidRPr="00E968E5">
              <w:rPr>
                <w:b/>
                <w:sz w:val="19"/>
                <w:szCs w:val="19"/>
              </w:rPr>
              <w:t xml:space="preserve"> and Leadership</w:t>
            </w:r>
          </w:p>
          <w:p w14:paraId="069FBFCD" w14:textId="77777777" w:rsidR="002521A5" w:rsidRPr="00E968E5" w:rsidRDefault="002521A5" w:rsidP="002521A5">
            <w:pPr>
              <w:spacing w:after="0"/>
              <w:jc w:val="center"/>
              <w:rPr>
                <w:b/>
                <w:sz w:val="19"/>
                <w:szCs w:val="19"/>
              </w:rPr>
            </w:pPr>
          </w:p>
        </w:tc>
        <w:tc>
          <w:tcPr>
            <w:tcW w:w="5249" w:type="dxa"/>
            <w:tcBorders>
              <w:top w:val="single" w:sz="12" w:space="0" w:color="auto"/>
              <w:left w:val="dashSmallGap" w:sz="4" w:space="0" w:color="auto"/>
              <w:bottom w:val="dashSmallGap" w:sz="4" w:space="0" w:color="auto"/>
              <w:right w:val="dashSmallGap" w:sz="4" w:space="0" w:color="auto"/>
            </w:tcBorders>
            <w:shd w:val="clear" w:color="auto" w:fill="auto"/>
          </w:tcPr>
          <w:p w14:paraId="398DE0A2" w14:textId="48F5DBA2" w:rsidR="002521A5" w:rsidRPr="00E968E5" w:rsidRDefault="002521A5" w:rsidP="002521A5">
            <w:pPr>
              <w:spacing w:after="0"/>
              <w:rPr>
                <w:sz w:val="19"/>
                <w:szCs w:val="19"/>
              </w:rPr>
            </w:pPr>
            <w:r w:rsidRPr="00E968E5">
              <w:rPr>
                <w:sz w:val="19"/>
                <w:szCs w:val="19"/>
              </w:rPr>
              <w:t>There is consistent and vocal senior management leadership of CC integration</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12EF736E" w14:textId="77777777" w:rsidR="002521A5" w:rsidRPr="00E968E5" w:rsidRDefault="002521A5" w:rsidP="002521A5">
            <w:pPr>
              <w:spacing w:after="0"/>
              <w:jc w:val="center"/>
              <w:rPr>
                <w:sz w:val="19"/>
                <w:szCs w:val="19"/>
              </w:rPr>
            </w:pPr>
            <w:r w:rsidRPr="00E968E5">
              <w:rPr>
                <w:sz w:val="19"/>
                <w:szCs w:val="19"/>
              </w:rPr>
              <w:t>Examples</w:t>
            </w:r>
          </w:p>
        </w:tc>
        <w:tc>
          <w:tcPr>
            <w:tcW w:w="1843" w:type="dxa"/>
            <w:tcBorders>
              <w:top w:val="single" w:sz="12" w:space="0" w:color="auto"/>
              <w:left w:val="dashSmallGap" w:sz="4" w:space="0" w:color="auto"/>
              <w:bottom w:val="dashSmallGap" w:sz="4" w:space="0" w:color="auto"/>
              <w:right w:val="dashSmallGap" w:sz="4" w:space="0" w:color="auto"/>
            </w:tcBorders>
            <w:shd w:val="clear" w:color="auto" w:fill="69F0FF"/>
          </w:tcPr>
          <w:p w14:paraId="072C0EDE" w14:textId="77777777" w:rsidR="002521A5" w:rsidRPr="00E968E5" w:rsidRDefault="002521A5" w:rsidP="002521A5">
            <w:pPr>
              <w:spacing w:after="0"/>
              <w:jc w:val="center"/>
              <w:rPr>
                <w:sz w:val="19"/>
                <w:szCs w:val="19"/>
              </w:rPr>
            </w:pPr>
            <w:r w:rsidRPr="00E968E5">
              <w:rPr>
                <w:sz w:val="19"/>
                <w:szCs w:val="19"/>
              </w:rPr>
              <w:t>Examples</w:t>
            </w:r>
          </w:p>
        </w:tc>
        <w:tc>
          <w:tcPr>
            <w:tcW w:w="1559" w:type="dxa"/>
            <w:tcBorders>
              <w:top w:val="single" w:sz="12" w:space="0" w:color="auto"/>
              <w:left w:val="dashSmallGap" w:sz="4" w:space="0" w:color="auto"/>
              <w:bottom w:val="dashSmallGap" w:sz="4" w:space="0" w:color="auto"/>
              <w:right w:val="dashSmallGap" w:sz="4" w:space="0" w:color="auto"/>
            </w:tcBorders>
            <w:shd w:val="clear" w:color="auto" w:fill="69F0FF"/>
          </w:tcPr>
          <w:p w14:paraId="40430E33" w14:textId="77777777" w:rsidR="002521A5" w:rsidRPr="00E968E5" w:rsidRDefault="002521A5" w:rsidP="002521A5">
            <w:pPr>
              <w:spacing w:after="0"/>
              <w:jc w:val="center"/>
              <w:rPr>
                <w:sz w:val="19"/>
                <w:szCs w:val="19"/>
              </w:rPr>
            </w:pPr>
            <w:r w:rsidRPr="00E968E5">
              <w:rPr>
                <w:sz w:val="19"/>
                <w:szCs w:val="19"/>
              </w:rPr>
              <w:t>Examples</w:t>
            </w:r>
          </w:p>
        </w:tc>
        <w:tc>
          <w:tcPr>
            <w:tcW w:w="2763" w:type="dxa"/>
            <w:tcBorders>
              <w:top w:val="single" w:sz="12" w:space="0" w:color="auto"/>
              <w:left w:val="dashSmallGap" w:sz="4" w:space="0" w:color="auto"/>
              <w:bottom w:val="dashSmallGap" w:sz="4" w:space="0" w:color="auto"/>
              <w:right w:val="single" w:sz="12" w:space="0" w:color="auto"/>
            </w:tcBorders>
            <w:shd w:val="clear" w:color="auto" w:fill="auto"/>
          </w:tcPr>
          <w:p w14:paraId="6784932A" w14:textId="77777777" w:rsidR="002521A5" w:rsidRPr="00E968E5" w:rsidRDefault="002521A5" w:rsidP="002521A5">
            <w:pPr>
              <w:spacing w:after="0"/>
              <w:jc w:val="center"/>
              <w:rPr>
                <w:sz w:val="19"/>
                <w:szCs w:val="19"/>
              </w:rPr>
            </w:pPr>
            <w:r w:rsidRPr="00E968E5">
              <w:rPr>
                <w:sz w:val="19"/>
                <w:szCs w:val="19"/>
              </w:rPr>
              <w:t>Document/policy statement review, interviews</w:t>
            </w:r>
          </w:p>
        </w:tc>
      </w:tr>
      <w:tr w:rsidR="002521A5" w:rsidRPr="00E968E5" w14:paraId="59C756FA" w14:textId="77777777" w:rsidTr="00941B04">
        <w:tc>
          <w:tcPr>
            <w:tcW w:w="1668" w:type="dxa"/>
            <w:vMerge/>
            <w:tcBorders>
              <w:top w:val="dashSmallGap" w:sz="4" w:space="0" w:color="auto"/>
              <w:left w:val="single" w:sz="12" w:space="0" w:color="auto"/>
              <w:bottom w:val="dashSmallGap" w:sz="4" w:space="0" w:color="auto"/>
              <w:right w:val="dashSmallGap" w:sz="4" w:space="0" w:color="auto"/>
            </w:tcBorders>
            <w:shd w:val="clear" w:color="auto" w:fill="FF0000"/>
          </w:tcPr>
          <w:p w14:paraId="2231D26E" w14:textId="77777777" w:rsidR="002521A5" w:rsidRPr="00E968E5" w:rsidRDefault="002521A5" w:rsidP="002521A5">
            <w:pPr>
              <w:spacing w:after="0"/>
              <w:jc w:val="center"/>
              <w:rPr>
                <w:sz w:val="19"/>
                <w:szCs w:val="19"/>
              </w:rPr>
            </w:pPr>
          </w:p>
        </w:tc>
        <w:tc>
          <w:tcPr>
            <w:tcW w:w="5249" w:type="dxa"/>
            <w:tcBorders>
              <w:top w:val="dashSmallGap" w:sz="4" w:space="0" w:color="auto"/>
              <w:left w:val="dashSmallGap" w:sz="4" w:space="0" w:color="auto"/>
              <w:bottom w:val="dashSmallGap" w:sz="4" w:space="0" w:color="auto"/>
              <w:right w:val="dashSmallGap" w:sz="4" w:space="0" w:color="auto"/>
            </w:tcBorders>
            <w:shd w:val="clear" w:color="auto" w:fill="auto"/>
          </w:tcPr>
          <w:p w14:paraId="6C628E30" w14:textId="08B78FF1" w:rsidR="002521A5" w:rsidRPr="00E968E5" w:rsidRDefault="002521A5" w:rsidP="002521A5">
            <w:pPr>
              <w:spacing w:after="0"/>
              <w:rPr>
                <w:sz w:val="19"/>
                <w:szCs w:val="19"/>
              </w:rPr>
            </w:pPr>
            <w:r w:rsidRPr="00E968E5">
              <w:rPr>
                <w:sz w:val="19"/>
                <w:szCs w:val="19"/>
              </w:rPr>
              <w:t>Senior officials engage in policy dialogue on CC with other development agencies and recipient countries at key entry points</w:t>
            </w:r>
            <w:r>
              <w:rPr>
                <w:sz w:val="19"/>
                <w:szCs w:val="19"/>
              </w:rPr>
              <w:t xml:space="preserve"> </w:t>
            </w:r>
            <w:r w:rsidRPr="00E968E5">
              <w:rPr>
                <w:sz w:val="19"/>
                <w:szCs w:val="19"/>
              </w:rPr>
              <w:t>(aid planning processes, general or sector budget support, public sector reform or other reviews)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1BF5CB8A" w14:textId="77777777" w:rsidR="002521A5" w:rsidRPr="00E968E5" w:rsidRDefault="002521A5" w:rsidP="002521A5">
            <w:pPr>
              <w:spacing w:after="0"/>
              <w:jc w:val="center"/>
              <w:rPr>
                <w:sz w:val="19"/>
                <w:szCs w:val="19"/>
              </w:rPr>
            </w:pPr>
            <w:r w:rsidRPr="00E968E5">
              <w:rPr>
                <w:sz w:val="19"/>
                <w:szCs w:val="19"/>
              </w:rPr>
              <w:t>Examples</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69F0FF"/>
          </w:tcPr>
          <w:p w14:paraId="3F8E299A" w14:textId="77777777" w:rsidR="002521A5" w:rsidRPr="00E968E5" w:rsidRDefault="002521A5" w:rsidP="002521A5">
            <w:pPr>
              <w:spacing w:after="0"/>
              <w:jc w:val="center"/>
              <w:rPr>
                <w:sz w:val="19"/>
                <w:szCs w:val="19"/>
              </w:rPr>
            </w:pPr>
            <w:r w:rsidRPr="00E968E5">
              <w:rPr>
                <w:sz w:val="19"/>
                <w:szCs w:val="19"/>
              </w:rPr>
              <w:t>Examples</w:t>
            </w:r>
          </w:p>
        </w:tc>
        <w:tc>
          <w:tcPr>
            <w:tcW w:w="1559" w:type="dxa"/>
            <w:tcBorders>
              <w:top w:val="dashSmallGap" w:sz="4" w:space="0" w:color="auto"/>
              <w:left w:val="dashSmallGap" w:sz="4" w:space="0" w:color="auto"/>
              <w:bottom w:val="dashSmallGap" w:sz="4" w:space="0" w:color="auto"/>
              <w:right w:val="dashSmallGap" w:sz="4" w:space="0" w:color="auto"/>
            </w:tcBorders>
            <w:shd w:val="clear" w:color="auto" w:fill="69F0FF"/>
          </w:tcPr>
          <w:p w14:paraId="4BDEC2D3" w14:textId="77777777" w:rsidR="002521A5" w:rsidRPr="00E968E5" w:rsidRDefault="002521A5" w:rsidP="002521A5">
            <w:pPr>
              <w:spacing w:after="0"/>
              <w:jc w:val="center"/>
              <w:rPr>
                <w:sz w:val="19"/>
                <w:szCs w:val="19"/>
              </w:rPr>
            </w:pPr>
            <w:r w:rsidRPr="00E968E5">
              <w:rPr>
                <w:sz w:val="19"/>
                <w:szCs w:val="19"/>
              </w:rPr>
              <w:t>Examples</w:t>
            </w:r>
          </w:p>
        </w:tc>
        <w:tc>
          <w:tcPr>
            <w:tcW w:w="2763" w:type="dxa"/>
            <w:tcBorders>
              <w:top w:val="dashSmallGap" w:sz="4" w:space="0" w:color="auto"/>
              <w:left w:val="dashSmallGap" w:sz="4" w:space="0" w:color="auto"/>
              <w:bottom w:val="dashSmallGap" w:sz="4" w:space="0" w:color="auto"/>
              <w:right w:val="single" w:sz="12" w:space="0" w:color="auto"/>
            </w:tcBorders>
            <w:shd w:val="clear" w:color="auto" w:fill="auto"/>
          </w:tcPr>
          <w:p w14:paraId="3BE4F63D" w14:textId="77777777" w:rsidR="002521A5" w:rsidRPr="00E968E5" w:rsidRDefault="002521A5" w:rsidP="002521A5">
            <w:pPr>
              <w:spacing w:after="0"/>
              <w:jc w:val="center"/>
              <w:rPr>
                <w:sz w:val="19"/>
                <w:szCs w:val="19"/>
              </w:rPr>
            </w:pPr>
            <w:r w:rsidRPr="00E968E5">
              <w:rPr>
                <w:sz w:val="19"/>
                <w:szCs w:val="19"/>
              </w:rPr>
              <w:t xml:space="preserve">Interviews, document review, policy statements, press releases </w:t>
            </w:r>
          </w:p>
        </w:tc>
      </w:tr>
      <w:tr w:rsidR="002521A5" w:rsidRPr="00E968E5" w14:paraId="179477B6" w14:textId="77777777" w:rsidTr="00941B04">
        <w:tc>
          <w:tcPr>
            <w:tcW w:w="1668" w:type="dxa"/>
            <w:vMerge/>
            <w:tcBorders>
              <w:top w:val="dashSmallGap" w:sz="4" w:space="0" w:color="auto"/>
              <w:left w:val="single" w:sz="12" w:space="0" w:color="auto"/>
              <w:bottom w:val="single" w:sz="12" w:space="0" w:color="auto"/>
              <w:right w:val="dashSmallGap" w:sz="4" w:space="0" w:color="auto"/>
            </w:tcBorders>
            <w:shd w:val="clear" w:color="auto" w:fill="FF0000"/>
          </w:tcPr>
          <w:p w14:paraId="4F60A656" w14:textId="77777777" w:rsidR="002521A5" w:rsidRPr="00E968E5" w:rsidRDefault="002521A5" w:rsidP="002521A5">
            <w:pPr>
              <w:spacing w:after="0"/>
              <w:jc w:val="center"/>
              <w:rPr>
                <w:sz w:val="19"/>
                <w:szCs w:val="19"/>
              </w:rPr>
            </w:pPr>
          </w:p>
        </w:tc>
        <w:tc>
          <w:tcPr>
            <w:tcW w:w="5249" w:type="dxa"/>
            <w:tcBorders>
              <w:top w:val="dashSmallGap" w:sz="4" w:space="0" w:color="auto"/>
              <w:left w:val="dashSmallGap" w:sz="4" w:space="0" w:color="auto"/>
              <w:bottom w:val="single" w:sz="12" w:space="0" w:color="auto"/>
              <w:right w:val="dashSmallGap" w:sz="4" w:space="0" w:color="auto"/>
            </w:tcBorders>
            <w:shd w:val="clear" w:color="auto" w:fill="auto"/>
          </w:tcPr>
          <w:p w14:paraId="49DA1233" w14:textId="0519C30E" w:rsidR="002521A5" w:rsidRPr="00E968E5" w:rsidRDefault="002521A5" w:rsidP="002521A5">
            <w:pPr>
              <w:spacing w:after="0"/>
              <w:rPr>
                <w:sz w:val="19"/>
                <w:szCs w:val="19"/>
              </w:rPr>
            </w:pPr>
            <w:r w:rsidRPr="00E968E5">
              <w:rPr>
                <w:sz w:val="19"/>
                <w:szCs w:val="19"/>
              </w:rPr>
              <w:t>Performance, recognition and promotion system that rewards staff and leadership for</w:t>
            </w:r>
            <w:r>
              <w:rPr>
                <w:sz w:val="19"/>
                <w:szCs w:val="19"/>
              </w:rPr>
              <w:t xml:space="preserve"> </w:t>
            </w:r>
            <w:r w:rsidRPr="00E968E5">
              <w:rPr>
                <w:sz w:val="19"/>
                <w:szCs w:val="19"/>
              </w:rPr>
              <w:t>effectively leading and delivering on the integration of climate change</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4DF90A04" w14:textId="485CB3E5" w:rsidR="002521A5" w:rsidRPr="00E968E5" w:rsidRDefault="002521A5" w:rsidP="002521A5">
            <w:pPr>
              <w:spacing w:after="0"/>
              <w:jc w:val="center"/>
              <w:rPr>
                <w:sz w:val="19"/>
                <w:szCs w:val="19"/>
              </w:rPr>
            </w:pPr>
            <w:r w:rsidRPr="00E968E5">
              <w:rPr>
                <w:sz w:val="19"/>
                <w:szCs w:val="19"/>
              </w:rPr>
              <w:t xml:space="preserve">Policies/procedures &amp; application </w:t>
            </w:r>
          </w:p>
        </w:tc>
        <w:tc>
          <w:tcPr>
            <w:tcW w:w="1843" w:type="dxa"/>
            <w:tcBorders>
              <w:top w:val="dashSmallGap" w:sz="4" w:space="0" w:color="auto"/>
              <w:left w:val="dashSmallGap" w:sz="4" w:space="0" w:color="auto"/>
              <w:bottom w:val="single" w:sz="12" w:space="0" w:color="auto"/>
              <w:right w:val="dashSmallGap" w:sz="4" w:space="0" w:color="auto"/>
            </w:tcBorders>
            <w:shd w:val="clear" w:color="auto" w:fill="69F0FF"/>
          </w:tcPr>
          <w:p w14:paraId="66020CF9" w14:textId="276E40CB" w:rsidR="002521A5" w:rsidRPr="00E968E5" w:rsidRDefault="002521A5" w:rsidP="002521A5">
            <w:pPr>
              <w:spacing w:after="0"/>
              <w:jc w:val="center"/>
              <w:rPr>
                <w:sz w:val="19"/>
                <w:szCs w:val="19"/>
              </w:rPr>
            </w:pPr>
            <w:r w:rsidRPr="00E968E5">
              <w:rPr>
                <w:sz w:val="19"/>
                <w:szCs w:val="19"/>
              </w:rPr>
              <w:t>Policies/procedures &amp; application</w:t>
            </w:r>
          </w:p>
        </w:tc>
        <w:tc>
          <w:tcPr>
            <w:tcW w:w="1559" w:type="dxa"/>
            <w:tcBorders>
              <w:top w:val="dashSmallGap" w:sz="4" w:space="0" w:color="auto"/>
              <w:left w:val="dashSmallGap" w:sz="4" w:space="0" w:color="auto"/>
              <w:bottom w:val="single" w:sz="12" w:space="0" w:color="auto"/>
              <w:right w:val="dashSmallGap" w:sz="4" w:space="0" w:color="auto"/>
            </w:tcBorders>
            <w:shd w:val="clear" w:color="auto" w:fill="69F0FF"/>
          </w:tcPr>
          <w:p w14:paraId="77B89E45" w14:textId="77777777" w:rsidR="002521A5" w:rsidRPr="00E968E5" w:rsidRDefault="002521A5" w:rsidP="002521A5">
            <w:pPr>
              <w:spacing w:after="0"/>
              <w:jc w:val="center"/>
              <w:rPr>
                <w:sz w:val="19"/>
                <w:szCs w:val="19"/>
              </w:rPr>
            </w:pPr>
            <w:r w:rsidRPr="00E968E5">
              <w:rPr>
                <w:sz w:val="19"/>
                <w:szCs w:val="19"/>
              </w:rPr>
              <w:t>Application</w:t>
            </w:r>
          </w:p>
        </w:tc>
        <w:tc>
          <w:tcPr>
            <w:tcW w:w="2763" w:type="dxa"/>
            <w:tcBorders>
              <w:top w:val="dashSmallGap" w:sz="4" w:space="0" w:color="auto"/>
              <w:left w:val="dashSmallGap" w:sz="4" w:space="0" w:color="auto"/>
              <w:bottom w:val="single" w:sz="12" w:space="0" w:color="auto"/>
              <w:right w:val="single" w:sz="12" w:space="0" w:color="auto"/>
            </w:tcBorders>
            <w:shd w:val="clear" w:color="auto" w:fill="auto"/>
          </w:tcPr>
          <w:p w14:paraId="009CB9E7" w14:textId="4BB8751A" w:rsidR="002521A5" w:rsidRPr="00E968E5" w:rsidRDefault="002521A5" w:rsidP="002521A5">
            <w:pPr>
              <w:spacing w:after="0"/>
              <w:jc w:val="center"/>
              <w:rPr>
                <w:sz w:val="19"/>
                <w:szCs w:val="19"/>
              </w:rPr>
            </w:pPr>
            <w:r w:rsidRPr="00E968E5">
              <w:rPr>
                <w:sz w:val="19"/>
                <w:szCs w:val="19"/>
              </w:rPr>
              <w:t xml:space="preserve">HR Policy </w:t>
            </w:r>
            <w:r>
              <w:rPr>
                <w:sz w:val="19"/>
                <w:szCs w:val="19"/>
              </w:rPr>
              <w:t>r</w:t>
            </w:r>
            <w:r w:rsidRPr="00E968E5">
              <w:rPr>
                <w:sz w:val="19"/>
                <w:szCs w:val="19"/>
              </w:rPr>
              <w:t>eview, interviews</w:t>
            </w:r>
          </w:p>
        </w:tc>
      </w:tr>
      <w:bookmarkEnd w:id="109"/>
    </w:tbl>
    <w:p w14:paraId="35C13BB7" w14:textId="77777777" w:rsidR="00726D16" w:rsidRDefault="00726D16" w:rsidP="00C44C07">
      <w:pPr>
        <w:tabs>
          <w:tab w:val="clear" w:pos="992"/>
          <w:tab w:val="clear" w:pos="1418"/>
        </w:tabs>
        <w:spacing w:after="160" w:line="240" w:lineRule="auto"/>
      </w:pPr>
    </w:p>
    <w:sectPr w:rsidR="00726D16" w:rsidSect="00CA055E">
      <w:pgSz w:w="16838" w:h="11906" w:orient="landscape"/>
      <w:pgMar w:top="1152" w:right="850" w:bottom="851" w:left="851" w:header="510"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4D90D" w16cid:durableId="1EF8F0E5"/>
  <w16cid:commentId w16cid:paraId="28E53B8D" w16cid:durableId="1EF8F05A"/>
  <w16cid:commentId w16cid:paraId="03264C5F" w16cid:durableId="1EE8902A"/>
  <w16cid:commentId w16cid:paraId="24EDC703" w16cid:durableId="1EF507E7"/>
  <w16cid:commentId w16cid:paraId="3E7308A0" w16cid:durableId="1EE89904"/>
  <w16cid:commentId w16cid:paraId="16BC678F" w16cid:durableId="1EE89923"/>
  <w16cid:commentId w16cid:paraId="59F3D1E2" w16cid:durableId="1EF93400"/>
  <w16cid:commentId w16cid:paraId="020A8454" w16cid:durableId="1EEEBA28"/>
  <w16cid:commentId w16cid:paraId="48EDDD6D" w16cid:durableId="1EF934C8"/>
  <w16cid:commentId w16cid:paraId="0C93CECA" w16cid:durableId="1EF9371B"/>
  <w16cid:commentId w16cid:paraId="1E3A5F5D" w16cid:durableId="1EF3ACEC"/>
  <w16cid:commentId w16cid:paraId="2DDA5E55" w16cid:durableId="1EF3AD64"/>
  <w16cid:commentId w16cid:paraId="3430C916" w16cid:durableId="1EE89ADD"/>
  <w16cid:commentId w16cid:paraId="72EEAC6E" w16cid:durableId="1EE89519"/>
  <w16cid:commentId w16cid:paraId="7C03E27B" w16cid:durableId="1EE896A1"/>
  <w16cid:commentId w16cid:paraId="2209DAB6" w16cid:durableId="1EE89BEA"/>
  <w16cid:commentId w16cid:paraId="6E86835F" w16cid:durableId="1EE89D38"/>
  <w16cid:commentId w16cid:paraId="0C28FB30" w16cid:durableId="1EE89CDA"/>
  <w16cid:commentId w16cid:paraId="009909F2" w16cid:durableId="1EE89D55"/>
  <w16cid:commentId w16cid:paraId="16B225D6" w16cid:durableId="1EF3B4D1"/>
  <w16cid:commentId w16cid:paraId="7F30F388" w16cid:durableId="1EEEC5B3"/>
  <w16cid:commentId w16cid:paraId="0875F743" w16cid:durableId="1EEE8493"/>
  <w16cid:commentId w16cid:paraId="23220A20" w16cid:durableId="1EF8F0AD"/>
  <w16cid:commentId w16cid:paraId="3D6862D2" w16cid:durableId="1EEE8655"/>
  <w16cid:commentId w16cid:paraId="68A3F51E" w16cid:durableId="1EEE870B"/>
  <w16cid:commentId w16cid:paraId="74FF7023" w16cid:durableId="1EEEB652"/>
  <w16cid:commentId w16cid:paraId="067DF2AB" w16cid:durableId="1EEEAD7B"/>
  <w16cid:commentId w16cid:paraId="28D338A7" w16cid:durableId="1EEE88B9"/>
  <w16cid:commentId w16cid:paraId="4A3130CA" w16cid:durableId="1EEEC68A"/>
  <w16cid:commentId w16cid:paraId="5C299238" w16cid:durableId="1EEE8A9A"/>
  <w16cid:commentId w16cid:paraId="41DB4A35" w16cid:durableId="1EEEA78C"/>
  <w16cid:commentId w16cid:paraId="14BAA142" w16cid:durableId="1EEEACCD"/>
  <w16cid:commentId w16cid:paraId="56C917D3" w16cid:durableId="1EEEAF58"/>
  <w16cid:commentId w16cid:paraId="7BA3D1FD" w16cid:durableId="1EEEB752"/>
  <w16cid:commentId w16cid:paraId="56BBDD08" w16cid:durableId="1EEEB07C"/>
  <w16cid:commentId w16cid:paraId="001B5B25" w16cid:durableId="1EEECA14"/>
  <w16cid:commentId w16cid:paraId="348448C0" w16cid:durableId="1EEEB5B1"/>
  <w16cid:commentId w16cid:paraId="51E7AAF8" w16cid:durableId="1EEEBA4F"/>
  <w16cid:commentId w16cid:paraId="3F96BD51" w16cid:durableId="1EEEB906"/>
  <w16cid:commentId w16cid:paraId="14E9A25F" w16cid:durableId="1EEEC513"/>
  <w16cid:commentId w16cid:paraId="6206D719" w16cid:durableId="1EEEB967"/>
  <w16cid:commentId w16cid:paraId="3B76C9F3" w16cid:durableId="1EEEC26C"/>
  <w16cid:commentId w16cid:paraId="0DC7F4A6" w16cid:durableId="1EE892EB"/>
  <w16cid:commentId w16cid:paraId="40CC7A3A" w16cid:durableId="1EF3B7DE"/>
  <w16cid:commentId w16cid:paraId="79CA5A68" w16cid:durableId="1EE91554"/>
  <w16cid:commentId w16cid:paraId="0468412C" w16cid:durableId="1EE8967E"/>
  <w16cid:commentId w16cid:paraId="724D9C60" w16cid:durableId="1EE918C2"/>
  <w16cid:commentId w16cid:paraId="546E6056" w16cid:durableId="1EF3BA6B"/>
  <w16cid:commentId w16cid:paraId="7991A16A" w16cid:durableId="1EF3BAA9"/>
  <w16cid:commentId w16cid:paraId="6E0B81B3" w16cid:durableId="1EF3BAFC"/>
  <w16cid:commentId w16cid:paraId="3797D104" w16cid:durableId="1EE919CA"/>
  <w16cid:commentId w16cid:paraId="13038BBC" w16cid:durableId="1EEFF2AA"/>
  <w16cid:commentId w16cid:paraId="797C1462" w16cid:durableId="1EE923F9"/>
  <w16cid:commentId w16cid:paraId="0D63D667" w16cid:durableId="1EF3BCDA"/>
  <w16cid:commentId w16cid:paraId="433DD009" w16cid:durableId="1EF3E109"/>
  <w16cid:commentId w16cid:paraId="484A15B9" w16cid:durableId="1EE91F79"/>
  <w16cid:commentId w16cid:paraId="7F7294ED" w16cid:durableId="1EF3BD21"/>
  <w16cid:commentId w16cid:paraId="166684DF" w16cid:durableId="1EF3BD66"/>
  <w16cid:commentId w16cid:paraId="7ACE6D81" w16cid:durableId="1EF3BD8D"/>
  <w16cid:commentId w16cid:paraId="2E869FFD" w16cid:durableId="1EE92125"/>
  <w16cid:commentId w16cid:paraId="661AEC21" w16cid:durableId="1EE921E4"/>
  <w16cid:commentId w16cid:paraId="7EB461FA" w16cid:durableId="1EE922E4"/>
  <w16cid:commentId w16cid:paraId="473AFC0C" w16cid:durableId="1EE923B3"/>
  <w16cid:commentId w16cid:paraId="6C15BD2B" w16cid:durableId="1EE92847"/>
  <w16cid:commentId w16cid:paraId="5E442566" w16cid:durableId="1EE9286C"/>
  <w16cid:commentId w16cid:paraId="21A4912D" w16cid:durableId="1EE92987"/>
  <w16cid:commentId w16cid:paraId="4489A391" w16cid:durableId="1EF3CFB8"/>
  <w16cid:commentId w16cid:paraId="714F8EEE" w16cid:durableId="1EF8F294"/>
  <w16cid:commentId w16cid:paraId="20E82BE0" w16cid:durableId="1EE930C0"/>
  <w16cid:commentId w16cid:paraId="26AA6E39" w16cid:durableId="1EE93171"/>
  <w16cid:commentId w16cid:paraId="06657541" w16cid:durableId="1EE93012"/>
  <w16cid:commentId w16cid:paraId="54122893" w16cid:durableId="1EE9332B"/>
  <w16cid:commentId w16cid:paraId="34012343" w16cid:durableId="1EE92FEA"/>
  <w16cid:commentId w16cid:paraId="580168AB" w16cid:durableId="1EE92FF5"/>
  <w16cid:commentId w16cid:paraId="69916CCC" w16cid:durableId="1EE93454"/>
  <w16cid:commentId w16cid:paraId="418A5C1D" w16cid:durableId="1EE933B7"/>
  <w16cid:commentId w16cid:paraId="680E0EB6" w16cid:durableId="1EE93591"/>
  <w16cid:commentId w16cid:paraId="5C81BEF5" w16cid:durableId="1EE949C1"/>
  <w16cid:commentId w16cid:paraId="5A281973" w16cid:durableId="1EF3D78E"/>
  <w16cid:commentId w16cid:paraId="1BEE4D2D" w16cid:durableId="1EF3DD00"/>
  <w16cid:commentId w16cid:paraId="2324CBAA" w16cid:durableId="1EEFD3C4"/>
  <w16cid:commentId w16cid:paraId="25A3E47F" w16cid:durableId="1EEADC85"/>
  <w16cid:commentId w16cid:paraId="02A88C48" w16cid:durableId="1EEADD78"/>
  <w16cid:commentId w16cid:paraId="0775126F" w16cid:durableId="1EEADEF3"/>
  <w16cid:commentId w16cid:paraId="72BEEBF1" w16cid:durableId="1EF3E04B"/>
  <w16cid:commentId w16cid:paraId="2059C77D" w16cid:durableId="1EF3E05A"/>
  <w16cid:commentId w16cid:paraId="65AB8E63" w16cid:durableId="1EEAE00A"/>
  <w16cid:commentId w16cid:paraId="13083C95" w16cid:durableId="1EF3E177"/>
  <w16cid:commentId w16cid:paraId="55D358B8" w16cid:durableId="1EF3E20D"/>
  <w16cid:commentId w16cid:paraId="6B156F4D" w16cid:durableId="1EF3E29E"/>
  <w16cid:commentId w16cid:paraId="4FF4BBF1" w16cid:durableId="1EF3E4FF"/>
  <w16cid:commentId w16cid:paraId="1809FC01" w16cid:durableId="1EF3E588"/>
  <w16cid:commentId w16cid:paraId="574F54AF" w16cid:durableId="1EF3E5CE"/>
  <w16cid:commentId w16cid:paraId="195ADD1C" w16cid:durableId="1EF3E5F8"/>
  <w16cid:commentId w16cid:paraId="584DB611" w16cid:durableId="1EEFEB76"/>
  <w16cid:commentId w16cid:paraId="14BA8BC0" w16cid:durableId="1EEFF468"/>
  <w16cid:commentId w16cid:paraId="501F1873" w16cid:durableId="1EF3F278"/>
  <w16cid:commentId w16cid:paraId="0683345B" w16cid:durableId="1EF3F2E5"/>
  <w16cid:commentId w16cid:paraId="4EBD7C7E" w16cid:durableId="1EF8F1F6"/>
  <w16cid:commentId w16cid:paraId="0499F0B9" w16cid:durableId="1EF4FB40"/>
  <w16cid:commentId w16cid:paraId="34AA4141" w16cid:durableId="1EF3F3DF"/>
  <w16cid:commentId w16cid:paraId="52133176" w16cid:durableId="1EF3F38B"/>
  <w16cid:commentId w16cid:paraId="59109632" w16cid:durableId="1EF3F42F"/>
  <w16cid:commentId w16cid:paraId="4FAADFCD" w16cid:durableId="1EF4FE3E"/>
  <w16cid:commentId w16cid:paraId="656509A9" w16cid:durableId="1EF3F564"/>
  <w16cid:commentId w16cid:paraId="545533CD" w16cid:durableId="1EF3F4A2"/>
  <w16cid:commentId w16cid:paraId="29F8DB0E" w16cid:durableId="1EF4FACB"/>
  <w16cid:commentId w16cid:paraId="1C4F2879" w16cid:durableId="1EE91BA6"/>
  <w16cid:commentId w16cid:paraId="11CC6FE3" w16cid:durableId="1EF4FCE3"/>
  <w16cid:commentId w16cid:paraId="4D4FC863" w16cid:durableId="1EF3F5F6"/>
  <w16cid:commentId w16cid:paraId="0CF20567" w16cid:durableId="1EF5003C"/>
  <w16cid:commentId w16cid:paraId="243506A2" w16cid:durableId="1EF507FE"/>
  <w16cid:commentId w16cid:paraId="1E6A2B31" w16cid:durableId="1EF5064C"/>
  <w16cid:commentId w16cid:paraId="534D84B7" w16cid:durableId="1EF506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D0E0" w14:textId="77777777" w:rsidR="00825350" w:rsidRDefault="00825350" w:rsidP="00696BFE">
      <w:pPr>
        <w:spacing w:after="0" w:line="240" w:lineRule="auto"/>
      </w:pPr>
      <w:r>
        <w:separator/>
      </w:r>
    </w:p>
  </w:endnote>
  <w:endnote w:type="continuationSeparator" w:id="0">
    <w:p w14:paraId="5B0D3D81" w14:textId="77777777" w:rsidR="00825350" w:rsidRDefault="00825350" w:rsidP="0069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FB78" w14:textId="48CD4B26" w:rsidR="00825350" w:rsidRDefault="00825350" w:rsidP="002A347D">
    <w:pPr>
      <w:pStyle w:val="Footer"/>
    </w:pPr>
    <w:r>
      <w:t xml:space="preserve">ODE: Evaluation of climate change assistance </w:t>
    </w:r>
    <w:r>
      <w:tab/>
    </w:r>
    <w:r>
      <w:fldChar w:fldCharType="begin"/>
    </w:r>
    <w:r>
      <w:instrText xml:space="preserve"> PAGE   \* MERGEFORMAT </w:instrText>
    </w:r>
    <w:r>
      <w:fldChar w:fldCharType="separate"/>
    </w:r>
    <w:r w:rsidR="00427D9A">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263A" w14:textId="78964AC7" w:rsidR="00825350" w:rsidRDefault="00825350" w:rsidP="00EA3FAC">
    <w:pPr>
      <w:pStyle w:val="Footer"/>
      <w:tabs>
        <w:tab w:val="left" w:pos="3315"/>
      </w:tabs>
    </w:pPr>
    <w:r>
      <w:t xml:space="preserve">ODE: Evaluation of climate change assistance </w:t>
    </w:r>
    <w:r>
      <w:tab/>
    </w:r>
    <w:r>
      <w:tab/>
    </w:r>
    <w:r>
      <w:fldChar w:fldCharType="begin"/>
    </w:r>
    <w:r>
      <w:instrText xml:space="preserve"> PAGE   \* MERGEFORMAT </w:instrText>
    </w:r>
    <w:r>
      <w:fldChar w:fldCharType="separate"/>
    </w:r>
    <w:r w:rsidR="00427D9A">
      <w:rPr>
        <w:noProof/>
      </w:rPr>
      <w:t>ix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1EBA" w14:textId="01B4D6F6" w:rsidR="00825350" w:rsidRDefault="00825350" w:rsidP="002A347D">
    <w:pPr>
      <w:pStyle w:val="Footer"/>
    </w:pPr>
    <w:r>
      <w:t xml:space="preserve">ODE: </w:t>
    </w:r>
    <w:sdt>
      <w:sdtPr>
        <w:alias w:val="Title"/>
        <w:tag w:val=""/>
        <w:id w:val="-2080443143"/>
        <w:dataBinding w:prefixMappings="xmlns:ns0='http://purl.org/dc/elements/1.1/' xmlns:ns1='http://schemas.openxmlformats.org/package/2006/metadata/core-properties' " w:xpath="/ns1:coreProperties[1]/ns0:title[1]" w:storeItemID="{6C3C8BC8-F283-45AE-878A-BAB7291924A1}"/>
        <w:text/>
      </w:sdtPr>
      <w:sdtContent>
        <w:r>
          <w:t>Evaluation of climate change assistance</w:t>
        </w:r>
      </w:sdtContent>
    </w:sdt>
    <w:r>
      <w:t xml:space="preserve"> </w:t>
    </w:r>
    <w:r>
      <w:tab/>
    </w:r>
    <w:sdt>
      <w:sdtPr>
        <w:id w:val="17867680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7D9A">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2CD1" w14:textId="25706BDA" w:rsidR="00825350" w:rsidRDefault="00825350" w:rsidP="002A347D">
    <w:pPr>
      <w:pStyle w:val="Footer"/>
    </w:pPr>
    <w:r>
      <w:t xml:space="preserve">ODE: </w:t>
    </w:r>
    <w:sdt>
      <w:sdtPr>
        <w:alias w:val="Title"/>
        <w:tag w:val=""/>
        <w:id w:val="933634082"/>
        <w:dataBinding w:prefixMappings="xmlns:ns0='http://purl.org/dc/elements/1.1/' xmlns:ns1='http://schemas.openxmlformats.org/package/2006/metadata/core-properties' " w:xpath="/ns1:coreProperties[1]/ns0:title[1]" w:storeItemID="{6C3C8BC8-F283-45AE-878A-BAB7291924A1}"/>
        <w:text/>
      </w:sdtPr>
      <w:sdtContent>
        <w:r>
          <w:t>Evaluation of climate change assistance</w:t>
        </w:r>
      </w:sdtContent>
    </w:sdt>
    <w:r>
      <w:t xml:space="preserve"> </w:t>
    </w:r>
    <w:r>
      <w:tab/>
    </w:r>
    <w:sdt>
      <w:sdtPr>
        <w:id w:val="548984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7D9A">
          <w:rPr>
            <w:noProof/>
          </w:rPr>
          <w:t>12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78" w14:textId="2DB62EB8" w:rsidR="00825350" w:rsidRDefault="00825350" w:rsidP="002A347D">
    <w:pPr>
      <w:pStyle w:val="Footer"/>
    </w:pPr>
    <w:r>
      <w:t xml:space="preserve">ODE: Investing in the future—evaluation of Australia’s climate change assistance </w:t>
    </w:r>
    <w:r>
      <w:tab/>
    </w:r>
    <w:r>
      <w:fldChar w:fldCharType="begin"/>
    </w:r>
    <w:r>
      <w:instrText xml:space="preserve"> PAGE   \* MERGEFORMAT </w:instrText>
    </w:r>
    <w:r>
      <w:fldChar w:fldCharType="separate"/>
    </w:r>
    <w:r w:rsidR="003B056C">
      <w:rPr>
        <w:noProof/>
      </w:rPr>
      <w:t>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7BE7" w14:textId="77777777" w:rsidR="00825350" w:rsidRPr="00E968E5" w:rsidRDefault="00825350" w:rsidP="0076181A">
      <w:pPr>
        <w:spacing w:after="0" w:line="240" w:lineRule="auto"/>
        <w:rPr>
          <w:color w:val="68716E"/>
        </w:rPr>
      </w:pPr>
      <w:r w:rsidRPr="00E968E5">
        <w:rPr>
          <w:color w:val="68716E"/>
        </w:rPr>
        <w:separator/>
      </w:r>
    </w:p>
  </w:footnote>
  <w:footnote w:type="continuationSeparator" w:id="0">
    <w:p w14:paraId="3FD632B9" w14:textId="77777777" w:rsidR="00825350" w:rsidRPr="00FA7104" w:rsidRDefault="00825350" w:rsidP="00FA7104">
      <w:pPr>
        <w:pStyle w:val="Footer"/>
      </w:pPr>
    </w:p>
  </w:footnote>
  <w:footnote w:type="continuationNotice" w:id="1">
    <w:p w14:paraId="0E0BAEAA" w14:textId="77777777" w:rsidR="00825350" w:rsidRPr="00FA7104" w:rsidRDefault="00825350" w:rsidP="00FA7104">
      <w:pPr>
        <w:pStyle w:val="Footer"/>
      </w:pPr>
    </w:p>
  </w:footnote>
  <w:footnote w:id="2">
    <w:p w14:paraId="54670A5F" w14:textId="4DD23E0D" w:rsidR="00825350" w:rsidRDefault="00825350">
      <w:pPr>
        <w:pStyle w:val="FootnoteText"/>
      </w:pPr>
      <w:r>
        <w:rPr>
          <w:rStyle w:val="FootnoteReference"/>
        </w:rPr>
        <w:footnoteRef/>
      </w:r>
      <w:r>
        <w:t xml:space="preserve"> T</w:t>
      </w:r>
      <w:r w:rsidRPr="00785ABF">
        <w:t xml:space="preserve">his </w:t>
      </w:r>
      <w:r>
        <w:t>approach mainstreams</w:t>
      </w:r>
      <w:r w:rsidRPr="00785ABF">
        <w:t xml:space="preserve"> climate considerations into existing development priorities and associated planning and decision-making</w:t>
      </w:r>
      <w:r>
        <w:t>, rather than treating them as stand-alone issues.</w:t>
      </w:r>
    </w:p>
  </w:footnote>
  <w:footnote w:id="3">
    <w:p w14:paraId="1587D5F9" w14:textId="77777777" w:rsidR="00825350" w:rsidRDefault="00825350" w:rsidP="00D37B98">
      <w:pPr>
        <w:pStyle w:val="FootnoteText"/>
      </w:pPr>
      <w:r>
        <w:rPr>
          <w:rStyle w:val="FootnoteReference"/>
        </w:rPr>
        <w:footnoteRef/>
      </w:r>
      <w:r>
        <w:t xml:space="preserve"> </w:t>
      </w:r>
      <w:r w:rsidRPr="001F6402">
        <w:t>Maladaptation is actions that lead to increased risk of adverse climate-related outcomes, increased vulnerability to climate change, or diminished welfare now or in the future.</w:t>
      </w:r>
    </w:p>
  </w:footnote>
  <w:footnote w:id="4">
    <w:p w14:paraId="172863D0" w14:textId="58BA5AD6" w:rsidR="00825350" w:rsidRPr="00036E2D" w:rsidRDefault="00825350">
      <w:pPr>
        <w:pStyle w:val="FootnoteText"/>
        <w:rPr>
          <w:lang w:val="en-GB"/>
        </w:rPr>
      </w:pPr>
      <w:r>
        <w:rPr>
          <w:rStyle w:val="FootnoteReference"/>
        </w:rPr>
        <w:footnoteRef/>
      </w:r>
      <w:r>
        <w:t xml:space="preserve"> </w:t>
      </w:r>
      <w:r>
        <w:rPr>
          <w:lang w:val="en-GB"/>
        </w:rPr>
        <w:t>This is also consistent with how most donors and multilateral organisations use the term ‘integration’ when referring to climate change.</w:t>
      </w:r>
    </w:p>
  </w:footnote>
  <w:footnote w:id="5">
    <w:p w14:paraId="0389D871" w14:textId="2A37245C" w:rsidR="00825350" w:rsidRDefault="00825350" w:rsidP="00D37B98">
      <w:pPr>
        <w:pStyle w:val="FootnoteText"/>
      </w:pPr>
      <w:r>
        <w:rPr>
          <w:rStyle w:val="FootnoteReference"/>
        </w:rPr>
        <w:footnoteRef/>
      </w:r>
      <w:r>
        <w:t xml:space="preserve"> For more information, </w:t>
      </w:r>
      <w:r w:rsidRPr="00D04A94">
        <w:t>Fast-start Finance</w:t>
      </w:r>
      <w:r w:rsidRPr="00AD3BA3">
        <w:t>,</w:t>
      </w:r>
      <w:r>
        <w:t xml:space="preserve"> UNFCCC,</w:t>
      </w:r>
      <w:r w:rsidRPr="00D93E8F">
        <w:t xml:space="preserve"> Bonn</w:t>
      </w:r>
      <w:r>
        <w:t xml:space="preserve">, </w:t>
      </w:r>
      <w:r w:rsidRPr="00350DD2">
        <w:t xml:space="preserve">viewed </w:t>
      </w:r>
      <w:r>
        <w:t>5</w:t>
      </w:r>
      <w:r w:rsidRPr="00350DD2">
        <w:t xml:space="preserve"> </w:t>
      </w:r>
      <w:r>
        <w:t>December</w:t>
      </w:r>
      <w:r w:rsidRPr="00350DD2">
        <w:t xml:space="preserve"> 201</w:t>
      </w:r>
      <w:r>
        <w:t>7, &lt;</w:t>
      </w:r>
      <w:hyperlink r:id="rId1" w:history="1">
        <w:r w:rsidRPr="001F28C7">
          <w:rPr>
            <w:rStyle w:val="Hyperlink"/>
          </w:rPr>
          <w:t>http://unfccc.int/cooperation_support/financial_mechanism/fast_start_finance/items/5646.php</w:t>
        </w:r>
      </w:hyperlink>
      <w:r>
        <w:t>&gt;</w:t>
      </w:r>
    </w:p>
  </w:footnote>
  <w:footnote w:id="6">
    <w:p w14:paraId="5A410B2A" w14:textId="77777777" w:rsidR="00825350" w:rsidRPr="00BA4264" w:rsidRDefault="00825350">
      <w:pPr>
        <w:pStyle w:val="FootnoteText"/>
        <w:rPr>
          <w:lang w:val="en-GB"/>
        </w:rPr>
      </w:pPr>
      <w:r>
        <w:rPr>
          <w:rStyle w:val="FootnoteReference"/>
        </w:rPr>
        <w:footnoteRef/>
      </w:r>
      <w:r>
        <w:t xml:space="preserve"> </w:t>
      </w:r>
      <w:r>
        <w:rPr>
          <w:lang w:val="en-GB"/>
        </w:rPr>
        <w:t xml:space="preserve">A number of the Fast-start projects that were funded and delivered by the former </w:t>
      </w:r>
      <w:r w:rsidRPr="00B17257">
        <w:rPr>
          <w:lang w:val="en-GB"/>
        </w:rPr>
        <w:t>Department of Climate Change and Energy Efficiency</w:t>
      </w:r>
      <w:r>
        <w:rPr>
          <w:lang w:val="en-GB"/>
        </w:rPr>
        <w:t xml:space="preserve"> (now DoEE) are still being implemented.</w:t>
      </w:r>
    </w:p>
  </w:footnote>
  <w:footnote w:id="7">
    <w:p w14:paraId="0C56393B" w14:textId="207AB60E" w:rsidR="00825350" w:rsidRDefault="00825350">
      <w:pPr>
        <w:pStyle w:val="FootnoteText"/>
      </w:pPr>
      <w:r>
        <w:rPr>
          <w:rStyle w:val="FootnoteReference"/>
        </w:rPr>
        <w:footnoteRef/>
      </w:r>
      <w:r>
        <w:t xml:space="preserve"> Section 2.3, Methodology.</w:t>
      </w:r>
    </w:p>
  </w:footnote>
  <w:footnote w:id="8">
    <w:p w14:paraId="62DE4048" w14:textId="77777777" w:rsidR="00825350" w:rsidRPr="001731A7" w:rsidRDefault="00825350">
      <w:pPr>
        <w:pStyle w:val="FootnoteText"/>
        <w:rPr>
          <w:lang w:val="en-US"/>
        </w:rPr>
      </w:pPr>
      <w:r>
        <w:rPr>
          <w:rStyle w:val="FootnoteReference"/>
        </w:rPr>
        <w:footnoteRef/>
      </w:r>
      <w:r>
        <w:t xml:space="preserve"> </w:t>
      </w:r>
      <w:r w:rsidRPr="00DD74FE">
        <w:rPr>
          <w:lang w:val="en-US"/>
        </w:rPr>
        <w:t>Neefjes</w:t>
      </w:r>
      <w:r>
        <w:rPr>
          <w:lang w:val="en-US"/>
        </w:rPr>
        <w:t xml:space="preserve">, K 2016, </w:t>
      </w:r>
      <w:r w:rsidRPr="005D4F98">
        <w:rPr>
          <w:i/>
        </w:rPr>
        <w:t xml:space="preserve">Review of the Australia-Vietnam </w:t>
      </w:r>
      <w:r>
        <w:rPr>
          <w:i/>
        </w:rPr>
        <w:t>c</w:t>
      </w:r>
      <w:r w:rsidRPr="005D4F98">
        <w:rPr>
          <w:i/>
        </w:rPr>
        <w:t xml:space="preserve">limate </w:t>
      </w:r>
      <w:r>
        <w:rPr>
          <w:i/>
        </w:rPr>
        <w:t>c</w:t>
      </w:r>
      <w:r w:rsidRPr="005D4F98">
        <w:rPr>
          <w:i/>
        </w:rPr>
        <w:t xml:space="preserve">hange </w:t>
      </w:r>
      <w:r>
        <w:rPr>
          <w:i/>
        </w:rPr>
        <w:t>d</w:t>
      </w:r>
      <w:r w:rsidRPr="005D4F98">
        <w:rPr>
          <w:i/>
        </w:rPr>
        <w:t xml:space="preserve">elivery </w:t>
      </w:r>
      <w:r>
        <w:rPr>
          <w:i/>
        </w:rPr>
        <w:t>s</w:t>
      </w:r>
      <w:r w:rsidRPr="005D4F98">
        <w:rPr>
          <w:i/>
        </w:rPr>
        <w:t>trategy</w:t>
      </w:r>
      <w:r>
        <w:rPr>
          <w:i/>
        </w:rPr>
        <w:t xml:space="preserve">, </w:t>
      </w:r>
      <w:r>
        <w:t>DFAT, C</w:t>
      </w:r>
      <w:r w:rsidRPr="001731A7">
        <w:t>anberra</w:t>
      </w:r>
      <w:r>
        <w:t>.</w:t>
      </w:r>
    </w:p>
  </w:footnote>
  <w:footnote w:id="9">
    <w:p w14:paraId="0354FEAC" w14:textId="77777777" w:rsidR="00825350" w:rsidRPr="00E968E5" w:rsidRDefault="00825350" w:rsidP="000806BC">
      <w:pPr>
        <w:pStyle w:val="FootnoteText"/>
        <w:rPr>
          <w:rFonts w:cs="Calibri"/>
        </w:rPr>
      </w:pPr>
      <w:r w:rsidRPr="00E968E5">
        <w:rPr>
          <w:rStyle w:val="FootnoteReference"/>
          <w:rFonts w:cs="Calibri"/>
        </w:rPr>
        <w:footnoteRef/>
      </w:r>
      <w:r w:rsidRPr="00E968E5">
        <w:rPr>
          <w:rFonts w:cs="Calibri"/>
        </w:rPr>
        <w:t xml:space="preserve"> </w:t>
      </w:r>
      <w:r w:rsidRPr="000806BC">
        <w:rPr>
          <w:rFonts w:cs="Calibri"/>
        </w:rPr>
        <w:t xml:space="preserve">Hearn, S and Buffardi, AL 2016 </w:t>
      </w:r>
      <w:r w:rsidRPr="004F27DF">
        <w:rPr>
          <w:rFonts w:cs="Calibri"/>
          <w:i/>
        </w:rPr>
        <w:t>‘What is impact?’ A Methods Lab publication</w:t>
      </w:r>
      <w:r>
        <w:rPr>
          <w:rFonts w:cs="Calibri"/>
        </w:rPr>
        <w:t>,</w:t>
      </w:r>
      <w:r w:rsidRPr="000806BC">
        <w:rPr>
          <w:rFonts w:cs="Calibri"/>
        </w:rPr>
        <w:t xml:space="preserve"> Overseas</w:t>
      </w:r>
      <w:r>
        <w:rPr>
          <w:rFonts w:cs="Calibri"/>
        </w:rPr>
        <w:t xml:space="preserve"> </w:t>
      </w:r>
      <w:r w:rsidRPr="000806BC">
        <w:rPr>
          <w:rFonts w:cs="Calibri"/>
        </w:rPr>
        <w:t>Development Institute</w:t>
      </w:r>
      <w:r>
        <w:rPr>
          <w:rFonts w:cs="Calibri"/>
        </w:rPr>
        <w:t xml:space="preserve">, </w:t>
      </w:r>
      <w:r w:rsidRPr="000806BC">
        <w:rPr>
          <w:rFonts w:cs="Calibri"/>
        </w:rPr>
        <w:t>Londo</w:t>
      </w:r>
      <w:r>
        <w:rPr>
          <w:rFonts w:cs="Calibri"/>
        </w:rPr>
        <w:t>n, viewed 5 December 2017, &lt;</w:t>
      </w:r>
      <w:hyperlink r:id="rId2" w:history="1">
        <w:r w:rsidRPr="00B57F7A">
          <w:rPr>
            <w:rStyle w:val="Hyperlink"/>
            <w:rFonts w:cs="Calibri"/>
          </w:rPr>
          <w:t>https://www.odi.org/sites/odi.org.uk/files/odi-assets/publications-opinion-files/10302.pdf</w:t>
        </w:r>
      </w:hyperlink>
      <w:r>
        <w:rPr>
          <w:rFonts w:cs="Calibri"/>
        </w:rPr>
        <w:t>&gt;</w:t>
      </w:r>
    </w:p>
  </w:footnote>
  <w:footnote w:id="10">
    <w:p w14:paraId="59514A58" w14:textId="7C99AF0E" w:rsidR="00825350" w:rsidRDefault="00825350">
      <w:pPr>
        <w:pStyle w:val="FootnoteText"/>
      </w:pPr>
      <w:r>
        <w:rPr>
          <w:rStyle w:val="FootnoteReference"/>
        </w:rPr>
        <w:footnoteRef/>
      </w:r>
      <w:r>
        <w:t xml:space="preserve"> Financial approval and design documents, annual performance reports and program evaluations.</w:t>
      </w:r>
    </w:p>
  </w:footnote>
  <w:footnote w:id="11">
    <w:p w14:paraId="4E28446D" w14:textId="5813C343" w:rsidR="00825350" w:rsidRDefault="00825350">
      <w:pPr>
        <w:pStyle w:val="FootnoteText"/>
      </w:pPr>
      <w:r>
        <w:rPr>
          <w:rStyle w:val="FootnoteReference"/>
        </w:rPr>
        <w:footnoteRef/>
      </w:r>
      <w:r>
        <w:t xml:space="preserve"> DFAT investment managers, senior managers, and representatives from other Australian government organisations, partner country governments, multilateral and regional organisations, and other donors.</w:t>
      </w:r>
    </w:p>
  </w:footnote>
  <w:footnote w:id="12">
    <w:p w14:paraId="421A4613" w14:textId="1854D373" w:rsidR="00825350" w:rsidRDefault="00825350">
      <w:pPr>
        <w:pStyle w:val="FootnoteText"/>
      </w:pPr>
      <w:r>
        <w:rPr>
          <w:rStyle w:val="FootnoteReference"/>
        </w:rPr>
        <w:footnoteRef/>
      </w:r>
      <w:r>
        <w:t xml:space="preserve"> Assessments involved the professional judgement of the team, based on information from the data sources.</w:t>
      </w:r>
    </w:p>
  </w:footnote>
  <w:footnote w:id="13">
    <w:p w14:paraId="6EBAD144" w14:textId="6B446F19" w:rsidR="00825350" w:rsidRDefault="00825350">
      <w:pPr>
        <w:pStyle w:val="FootnoteText"/>
      </w:pPr>
      <w:r>
        <w:rPr>
          <w:rStyle w:val="FootnoteReference"/>
        </w:rPr>
        <w:footnoteRef/>
      </w:r>
      <w:r>
        <w:t xml:space="preserve"> </w:t>
      </w:r>
      <w:r w:rsidRPr="00FD058D">
        <w:t>Selby</w:t>
      </w:r>
      <w:r>
        <w:t>, S</w:t>
      </w:r>
      <w:r w:rsidRPr="00FD058D">
        <w:t xml:space="preserve"> and Jiwanji</w:t>
      </w:r>
      <w:r>
        <w:t xml:space="preserve">, M 2016, </w:t>
      </w:r>
      <w:r w:rsidRPr="001030A6">
        <w:rPr>
          <w:i/>
        </w:rPr>
        <w:t>Risk governance, building blocks for resilient development in the Pacific,  policy brief</w:t>
      </w:r>
      <w:r>
        <w:t xml:space="preserve">, UNDP, Australian Aid and Live and Learn, </w:t>
      </w:r>
      <w:r w:rsidRPr="00246ECC">
        <w:t>Suva</w:t>
      </w:r>
      <w:r>
        <w:t>.</w:t>
      </w:r>
    </w:p>
  </w:footnote>
  <w:footnote w:id="14">
    <w:p w14:paraId="0FFB142C" w14:textId="1EA6FD1C" w:rsidR="00825350" w:rsidRPr="00D91929" w:rsidRDefault="00825350">
      <w:pPr>
        <w:pStyle w:val="FootnoteText"/>
        <w:rPr>
          <w:lang w:val="en-GB"/>
        </w:rPr>
      </w:pPr>
      <w:r>
        <w:rPr>
          <w:rStyle w:val="FootnoteReference"/>
        </w:rPr>
        <w:footnoteRef/>
      </w:r>
      <w:r>
        <w:t xml:space="preserve"> </w:t>
      </w:r>
      <w:r>
        <w:rPr>
          <w:lang w:val="en-GB"/>
        </w:rPr>
        <w:t>The main aim of the FRDP is to integrate climate change and disaster risk management in one framework which in turn supports integration in mainstream development. How this is to be done, monitored and evaluated is still being worked out by the Pacific island countries.</w:t>
      </w:r>
    </w:p>
  </w:footnote>
  <w:footnote w:id="15">
    <w:p w14:paraId="77C64E4F" w14:textId="5FB25DDD" w:rsidR="00825350" w:rsidRDefault="00825350" w:rsidP="00AA0D3A">
      <w:pPr>
        <w:pStyle w:val="FootnoteText"/>
      </w:pPr>
      <w:r>
        <w:rPr>
          <w:rStyle w:val="FootnoteReference"/>
        </w:rPr>
        <w:footnoteRef/>
      </w:r>
      <w:r w:rsidRPr="009571B9">
        <w:t>World Bank</w:t>
      </w:r>
      <w:r>
        <w:t>,</w:t>
      </w:r>
      <w:r w:rsidRPr="009571B9">
        <w:t xml:space="preserve"> </w:t>
      </w:r>
      <w:r w:rsidRPr="009571B9">
        <w:rPr>
          <w:i/>
        </w:rPr>
        <w:t>National/Policy Level Climate &amp; Disaster Screening Tool</w:t>
      </w:r>
      <w:r w:rsidRPr="009571B9">
        <w:t xml:space="preserve"> https://climatescreeningtools.worldbank.org/ncds/methodology-development</w:t>
      </w:r>
    </w:p>
  </w:footnote>
  <w:footnote w:id="16">
    <w:p w14:paraId="48CA1180" w14:textId="7E47AAAF" w:rsidR="00825350" w:rsidRDefault="00825350">
      <w:pPr>
        <w:pStyle w:val="FootnoteText"/>
      </w:pPr>
      <w:r>
        <w:rPr>
          <w:rStyle w:val="FootnoteReference"/>
        </w:rPr>
        <w:footnoteRef/>
      </w:r>
      <w:r>
        <w:t xml:space="preserve"> </w:t>
      </w:r>
      <w:r w:rsidRPr="001024B5">
        <w:t>USAID 2014</w:t>
      </w:r>
      <w:r>
        <w:t>,</w:t>
      </w:r>
      <w:r w:rsidRPr="001024B5">
        <w:t xml:space="preserve"> </w:t>
      </w:r>
      <w:r>
        <w:rPr>
          <w:i/>
        </w:rPr>
        <w:t>C</w:t>
      </w:r>
      <w:r w:rsidRPr="001024B5">
        <w:rPr>
          <w:i/>
        </w:rPr>
        <w:t>limate-resilient development: a framework for understanding and addressing climate change</w:t>
      </w:r>
      <w:r w:rsidRPr="001024B5">
        <w:t xml:space="preserve"> http://pdf.usaid.gov/pdf_docs/PBAAA245.pdf</w:t>
      </w:r>
    </w:p>
  </w:footnote>
  <w:footnote w:id="17">
    <w:p w14:paraId="2E4186C5" w14:textId="0009A065" w:rsidR="00825350" w:rsidRDefault="00825350">
      <w:pPr>
        <w:pStyle w:val="FootnoteText"/>
      </w:pPr>
      <w:r>
        <w:rPr>
          <w:rStyle w:val="FootnoteReference"/>
        </w:rPr>
        <w:footnoteRef/>
      </w:r>
      <w:r>
        <w:t xml:space="preserve"> Hunnam, P 2013, </w:t>
      </w:r>
      <w:r w:rsidRPr="00C54444">
        <w:rPr>
          <w:i/>
        </w:rPr>
        <w:t>Review of the International Climate Change Adaptation Initiative 2008–2013</w:t>
      </w:r>
      <w:r>
        <w:t>, DFAT, Canberra.</w:t>
      </w:r>
    </w:p>
  </w:footnote>
  <w:footnote w:id="18">
    <w:p w14:paraId="22DC028B" w14:textId="0CB8781A" w:rsidR="00825350" w:rsidRDefault="00825350" w:rsidP="001F2D65">
      <w:pPr>
        <w:pStyle w:val="FootnoteText"/>
      </w:pPr>
      <w:r>
        <w:rPr>
          <w:rStyle w:val="FootnoteReference"/>
        </w:rPr>
        <w:footnoteRef/>
      </w:r>
      <w:r>
        <w:t xml:space="preserve"> ODE</w:t>
      </w:r>
      <w:r w:rsidRPr="00FF61B1">
        <w:t xml:space="preserve"> </w:t>
      </w:r>
      <w:r>
        <w:t xml:space="preserve">2016, </w:t>
      </w:r>
      <w:r w:rsidRPr="00C54444">
        <w:rPr>
          <w:i/>
        </w:rPr>
        <w:t>Evaluation of the partnership between the Pacific Community (SPC) and the Government of Australia</w:t>
      </w:r>
      <w:r>
        <w:t xml:space="preserve">, DFAT, Canberra, </w:t>
      </w:r>
      <w:r>
        <w:rPr>
          <w:rFonts w:cs="Calibri"/>
        </w:rPr>
        <w:t>viewed 5 December 2017,</w:t>
      </w:r>
      <w:r>
        <w:t xml:space="preserve"> &lt;</w:t>
      </w:r>
      <w:hyperlink r:id="rId3" w:history="1">
        <w:r w:rsidRPr="0080468B">
          <w:rPr>
            <w:rStyle w:val="Hyperlink"/>
          </w:rPr>
          <w:t>http://dfat.gov.au/aid/how-we-measure-performance/ode/other-work/Pages/evaluation-of-the-secretariat-of-the-pacific-community-government-of-australia-partnership-final-report.aspx</w:t>
        </w:r>
      </w:hyperlink>
      <w:r>
        <w:t>&gt;.</w:t>
      </w:r>
    </w:p>
  </w:footnote>
  <w:footnote w:id="19">
    <w:p w14:paraId="6D5A5334" w14:textId="0748D7FB" w:rsidR="00825350" w:rsidRDefault="00825350" w:rsidP="001F2D65">
      <w:pPr>
        <w:pStyle w:val="FootnoteText"/>
      </w:pPr>
      <w:r>
        <w:rPr>
          <w:rStyle w:val="FootnoteReference"/>
        </w:rPr>
        <w:footnoteRef/>
      </w:r>
      <w:r>
        <w:t xml:space="preserve"> ODE 2012, </w:t>
      </w:r>
      <w:r w:rsidRPr="0087589A">
        <w:rPr>
          <w:i/>
        </w:rPr>
        <w:t>Building on local strengths</w:t>
      </w:r>
      <w:r>
        <w:rPr>
          <w:i/>
        </w:rPr>
        <w:t>—</w:t>
      </w:r>
      <w:r w:rsidRPr="0087589A">
        <w:rPr>
          <w:i/>
        </w:rPr>
        <w:t>evaluation of Australian law and justice assistance</w:t>
      </w:r>
      <w:r>
        <w:t>, DFAT, Canberra, viewed 5 December 2017, &lt;</w:t>
      </w:r>
      <w:r w:rsidRPr="00EC1BA2">
        <w:t>http://dfat.gov.au/aid/how-we-measure-performance/ode/other-work/Pages/building-on-local-strengths-evaluation-of-australian-law-and-justice-assistance.aspx</w:t>
      </w:r>
      <w:r>
        <w:t>&gt;</w:t>
      </w:r>
    </w:p>
  </w:footnote>
  <w:footnote w:id="20">
    <w:p w14:paraId="3D36E162" w14:textId="7093B068" w:rsidR="00825350" w:rsidRDefault="00825350">
      <w:pPr>
        <w:pStyle w:val="FootnoteText"/>
      </w:pPr>
      <w:r>
        <w:rPr>
          <w:rStyle w:val="FootnoteReference"/>
        </w:rPr>
        <w:footnoteRef/>
      </w:r>
      <w:r>
        <w:t xml:space="preserve"> OECD 2014, </w:t>
      </w:r>
      <w:r w:rsidRPr="0087589A">
        <w:rPr>
          <w:i/>
        </w:rPr>
        <w:t>Mainstreaming cross-cutting issues: advancing gender equality and environmental sustainability</w:t>
      </w:r>
      <w:r>
        <w:t>, OECD,</w:t>
      </w:r>
      <w:r w:rsidRPr="000C1755">
        <w:t xml:space="preserve"> Paris</w:t>
      </w:r>
      <w:r>
        <w:t>.</w:t>
      </w:r>
    </w:p>
  </w:footnote>
  <w:footnote w:id="21">
    <w:p w14:paraId="7D71513A" w14:textId="77777777" w:rsidR="00825350" w:rsidRDefault="00825350" w:rsidP="008A39A0">
      <w:pPr>
        <w:pStyle w:val="FootnoteText"/>
      </w:pPr>
      <w:r>
        <w:rPr>
          <w:rStyle w:val="FootnoteReference"/>
        </w:rPr>
        <w:footnoteRef/>
      </w:r>
      <w:r>
        <w:t xml:space="preserve"> </w:t>
      </w:r>
      <w:r w:rsidRPr="00EC1BA2">
        <w:t xml:space="preserve">SPC Land Resources Division </w:t>
      </w:r>
      <w:r>
        <w:t xml:space="preserve">2015, </w:t>
      </w:r>
      <w:r w:rsidRPr="0087589A">
        <w:rPr>
          <w:i/>
        </w:rPr>
        <w:t>Samoa launches new taro export varieties</w:t>
      </w:r>
      <w:r>
        <w:t xml:space="preserve">, </w:t>
      </w:r>
      <w:r w:rsidRPr="00EC1BA2">
        <w:t>SPC Land Resources Division</w:t>
      </w:r>
      <w:r>
        <w:t xml:space="preserve">, </w:t>
      </w:r>
      <w:r w:rsidRPr="000C1755">
        <w:t>Suva</w:t>
      </w:r>
      <w:r>
        <w:t>, viewed 5 December 2017, &lt;</w:t>
      </w:r>
      <w:r w:rsidRPr="00886064">
        <w:t>http://lrd.spc.int/our-work/genetic-resources/centre-for-pacific-crops-and-trees/samoa-launches-new-taro-export-varieties</w:t>
      </w:r>
      <w:r>
        <w:t>&gt;</w:t>
      </w:r>
    </w:p>
  </w:footnote>
  <w:footnote w:id="22">
    <w:p w14:paraId="7E81C0D1" w14:textId="109267E1" w:rsidR="00825350" w:rsidRPr="003C5368" w:rsidRDefault="00825350">
      <w:pPr>
        <w:pStyle w:val="FootnoteText"/>
        <w:rPr>
          <w:lang w:val="en-GB"/>
        </w:rPr>
      </w:pPr>
      <w:r>
        <w:rPr>
          <w:rStyle w:val="FootnoteReference"/>
        </w:rPr>
        <w:footnoteRef/>
      </w:r>
      <w:r>
        <w:t xml:space="preserve"> </w:t>
      </w:r>
      <w:r>
        <w:rPr>
          <w:lang w:val="en-GB"/>
        </w:rPr>
        <w:t>The FRDP is a Pacific Island Forum Leaders-endorsed framework calling for an integrated approach to climate change and disaster resilience in the region.</w:t>
      </w:r>
    </w:p>
  </w:footnote>
  <w:footnote w:id="23">
    <w:p w14:paraId="260F29D6" w14:textId="06D59D32" w:rsidR="00825350" w:rsidRPr="00182A90" w:rsidRDefault="00825350" w:rsidP="00431F71">
      <w:pPr>
        <w:pStyle w:val="FootnoteText"/>
        <w:rPr>
          <w:lang w:val="en-GB"/>
        </w:rPr>
      </w:pPr>
      <w:r>
        <w:rPr>
          <w:rStyle w:val="FootnoteReference"/>
        </w:rPr>
        <w:footnoteRef/>
      </w:r>
      <w:r>
        <w:t xml:space="preserve"> </w:t>
      </w:r>
      <w:r>
        <w:rPr>
          <w:lang w:val="en-GB"/>
        </w:rPr>
        <w:t xml:space="preserve">Neefjes, K 2016, </w:t>
      </w:r>
      <w:r w:rsidRPr="00431F71">
        <w:rPr>
          <w:i/>
          <w:lang w:val="en-GB"/>
        </w:rPr>
        <w:t>Review of the Australia–Vietnam Climate Change Delivery Strategy 2011–2016</w:t>
      </w:r>
      <w:r>
        <w:rPr>
          <w:lang w:val="en-GB"/>
        </w:rPr>
        <w:t>, DFAT, Canberra.</w:t>
      </w:r>
    </w:p>
  </w:footnote>
  <w:footnote w:id="24">
    <w:p w14:paraId="6F27D497" w14:textId="5BA7DA99" w:rsidR="00825350" w:rsidRPr="009603AF" w:rsidRDefault="00825350">
      <w:pPr>
        <w:pStyle w:val="FootnoteText"/>
        <w:rPr>
          <w:lang w:val="en-GB"/>
        </w:rPr>
      </w:pPr>
      <w:r>
        <w:rPr>
          <w:rStyle w:val="FootnoteReference"/>
        </w:rPr>
        <w:footnoteRef/>
      </w:r>
      <w:r>
        <w:t xml:space="preserve"> </w:t>
      </w:r>
      <w:r>
        <w:rPr>
          <w:lang w:val="en-GB"/>
        </w:rPr>
        <w:t>Developed by the evaluation team based on the learning generated from the team leader’s experience in conducting an end-of-program review of the global Climate and Development Knowledge Network. This was a network funded by the United Kingdom and Dutch governments running from 2010 to 2017 (total GBP118 million). The investment supported the design and delivery of climate-compatible development focused on the country level.</w:t>
      </w:r>
    </w:p>
  </w:footnote>
  <w:footnote w:id="25">
    <w:p w14:paraId="66138E34" w14:textId="77777777" w:rsidR="00825350" w:rsidRPr="00C53177" w:rsidRDefault="00825350">
      <w:pPr>
        <w:pStyle w:val="FootnoteText"/>
        <w:rPr>
          <w:lang w:val="en-GB"/>
        </w:rPr>
      </w:pPr>
      <w:r>
        <w:rPr>
          <w:rStyle w:val="FootnoteReference"/>
        </w:rPr>
        <w:footnoteRef/>
      </w:r>
      <w:r>
        <w:t xml:space="preserve"> </w:t>
      </w:r>
      <w:r>
        <w:rPr>
          <w:lang w:val="en-GB"/>
        </w:rPr>
        <w:t>The International Literature Review from this evaluation is to be issued by ODE as a stand-alone paper.</w:t>
      </w:r>
    </w:p>
  </w:footnote>
  <w:footnote w:id="26">
    <w:p w14:paraId="2D2FBFEF" w14:textId="337F0C0F" w:rsidR="00825350" w:rsidRDefault="00825350">
      <w:pPr>
        <w:pStyle w:val="FootnoteText"/>
      </w:pPr>
      <w:r>
        <w:rPr>
          <w:rStyle w:val="FootnoteReference"/>
        </w:rPr>
        <w:footnoteRef/>
      </w:r>
      <w:r>
        <w:t xml:space="preserve"> </w:t>
      </w:r>
      <w:r w:rsidRPr="00A779C1">
        <w:t>http://dfat.gov.au/about-us/publications/Pages/humanitarian-strategy.aspx</w:t>
      </w:r>
    </w:p>
  </w:footnote>
  <w:footnote w:id="27">
    <w:p w14:paraId="101F21CF" w14:textId="3F64F856" w:rsidR="00825350" w:rsidRPr="009178D8" w:rsidRDefault="00825350" w:rsidP="00A37CB9">
      <w:pPr>
        <w:pStyle w:val="FootnoteText"/>
        <w:rPr>
          <w:lang w:val="en-GB"/>
        </w:rPr>
      </w:pPr>
      <w:r>
        <w:rPr>
          <w:rStyle w:val="FootnoteReference"/>
        </w:rPr>
        <w:footnoteRef/>
      </w:r>
      <w:r>
        <w:t xml:space="preserve"> </w:t>
      </w:r>
      <w:r>
        <w:rPr>
          <w:lang w:val="en-GB"/>
        </w:rPr>
        <w:t>DFAT processes stipulate $10 million (or high risk) for independent appraisal of a design document, and $50 million (or high risk) for peer review. There is no guarantee either has climate expertise.</w:t>
      </w:r>
    </w:p>
  </w:footnote>
  <w:footnote w:id="28">
    <w:p w14:paraId="1560C02B" w14:textId="1F97DE60" w:rsidR="00825350" w:rsidRPr="003D5944" w:rsidRDefault="00825350">
      <w:pPr>
        <w:pStyle w:val="FootnoteText"/>
        <w:rPr>
          <w:lang w:val="en-GB"/>
        </w:rPr>
      </w:pPr>
      <w:r>
        <w:rPr>
          <w:rStyle w:val="FootnoteReference"/>
        </w:rPr>
        <w:footnoteRef/>
      </w:r>
      <w:r>
        <w:t xml:space="preserve"> </w:t>
      </w:r>
      <w:r w:rsidRPr="00A37CB9">
        <w:t>There is also a climate change panel of advisers available to DFAT staff on the Aid Advisory Services Standing Offer, a contracting panel, but this mechanism requires that staff have identified a need for climate change expertise</w:t>
      </w:r>
      <w:r>
        <w:t>. It</w:t>
      </w:r>
      <w:r w:rsidRPr="00A37CB9">
        <w:t xml:space="preserve"> lends itself to larger, discrete jobs rather than for ad hoc advice as needed, or ongoing support at strategic entry points.</w:t>
      </w:r>
    </w:p>
  </w:footnote>
  <w:footnote w:id="29">
    <w:p w14:paraId="06E8BBC0" w14:textId="0445340C" w:rsidR="00825350" w:rsidRDefault="00825350" w:rsidP="00E1289A">
      <w:pPr>
        <w:pStyle w:val="FootnoteText"/>
      </w:pPr>
      <w:r>
        <w:rPr>
          <w:rStyle w:val="FootnoteReference"/>
        </w:rPr>
        <w:footnoteRef/>
      </w:r>
      <w:r>
        <w:t xml:space="preserve"> Data sourced from Sustainability and Climate Change Branch.</w:t>
      </w:r>
    </w:p>
  </w:footnote>
  <w:footnote w:id="30">
    <w:p w14:paraId="6F5ED036" w14:textId="793B6361" w:rsidR="00825350" w:rsidRDefault="00825350">
      <w:pPr>
        <w:pStyle w:val="FootnoteText"/>
      </w:pPr>
      <w:r>
        <w:rPr>
          <w:rStyle w:val="FootnoteReference"/>
        </w:rPr>
        <w:footnoteRef/>
      </w:r>
      <w:r>
        <w:t xml:space="preserve"> Note that Australia’s contributions to the Green Climate Fund were not included in the scope of this evaluation.</w:t>
      </w:r>
    </w:p>
  </w:footnote>
  <w:footnote w:id="31">
    <w:p w14:paraId="3BB8ED6A" w14:textId="42D7116D" w:rsidR="00825350" w:rsidRDefault="00825350" w:rsidP="00A37CB9">
      <w:pPr>
        <w:pStyle w:val="FootnoteText"/>
      </w:pPr>
      <w:r>
        <w:rPr>
          <w:rStyle w:val="FootnoteReference"/>
        </w:rPr>
        <w:footnoteRef/>
      </w:r>
      <w:r>
        <w:t xml:space="preserve"> OECD 2014, </w:t>
      </w:r>
      <w:r w:rsidRPr="00871AD8">
        <w:rPr>
          <w:i/>
        </w:rPr>
        <w:t>Mainstreaming cross-cutting issues: advancing gender equality and environmental sustainability</w:t>
      </w:r>
      <w:r>
        <w:t>, OECD, Paris.</w:t>
      </w:r>
    </w:p>
  </w:footnote>
  <w:footnote w:id="32">
    <w:p w14:paraId="641E4BA2" w14:textId="4F8E0BF4" w:rsidR="00825350" w:rsidRDefault="00825350" w:rsidP="00E35E72">
      <w:pPr>
        <w:pStyle w:val="FootnoteText"/>
      </w:pPr>
      <w:r>
        <w:rPr>
          <w:rStyle w:val="FootnoteReference"/>
        </w:rPr>
        <w:footnoteRef/>
      </w:r>
      <w:r>
        <w:t xml:space="preserve"> Also INI516, INI608 and INJ569.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0725" w14:textId="77777777" w:rsidR="00825350" w:rsidRDefault="00825350">
    <w:pPr>
      <w:pStyle w:val="Header"/>
    </w:pPr>
    <w:r>
      <w:rPr>
        <w:noProof/>
        <w:lang w:eastAsia="en-AU"/>
      </w:rPr>
      <w:drawing>
        <wp:anchor distT="0" distB="0" distL="114300" distR="114300" simplePos="0" relativeHeight="251667968" behindDoc="1" locked="1" layoutInCell="1" allowOverlap="1" wp14:anchorId="7C65D5A4" wp14:editId="69C1EA70">
          <wp:simplePos x="0" y="0"/>
          <wp:positionH relativeFrom="page">
            <wp:align>left</wp:align>
          </wp:positionH>
          <wp:positionV relativeFrom="page">
            <wp:align>top</wp:align>
          </wp:positionV>
          <wp:extent cx="7558405" cy="10691495"/>
          <wp:effectExtent l="0" t="0" r="0" b="0"/>
          <wp:wrapNone/>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A311" w14:textId="77777777" w:rsidR="00825350" w:rsidRDefault="00825350">
    <w:pPr>
      <w:pStyle w:val="Header"/>
    </w:pPr>
    <w:r>
      <w:rPr>
        <w:noProof/>
        <w:lang w:eastAsia="en-AU"/>
      </w:rPr>
      <w:drawing>
        <wp:anchor distT="0" distB="0" distL="114300" distR="114300" simplePos="0" relativeHeight="251675136" behindDoc="1" locked="1" layoutInCell="1" allowOverlap="1" wp14:anchorId="2D43361A" wp14:editId="067F43F6">
          <wp:simplePos x="0" y="0"/>
          <wp:positionH relativeFrom="page">
            <wp:align>right</wp:align>
          </wp:positionH>
          <wp:positionV relativeFrom="page">
            <wp:align>bottom</wp:align>
          </wp:positionV>
          <wp:extent cx="6476365" cy="791845"/>
          <wp:effectExtent l="0" t="0" r="0" b="0"/>
          <wp:wrapNone/>
          <wp:docPr id="5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4112" behindDoc="1" locked="1" layoutInCell="1" allowOverlap="1" wp14:anchorId="5B5EF6E7" wp14:editId="6532E125">
          <wp:simplePos x="0" y="0"/>
          <wp:positionH relativeFrom="page">
            <wp:align>left</wp:align>
          </wp:positionH>
          <wp:positionV relativeFrom="page">
            <wp:align>bottom</wp:align>
          </wp:positionV>
          <wp:extent cx="6228080" cy="791845"/>
          <wp:effectExtent l="0" t="0" r="0" b="0"/>
          <wp:wrapNone/>
          <wp:docPr id="6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8BDE" w14:textId="77777777" w:rsidR="00825350" w:rsidRDefault="00825350" w:rsidP="00A32C61">
    <w:pPr>
      <w:pStyle w:val="Header"/>
    </w:pPr>
    <w:r>
      <w:rPr>
        <w:noProof/>
        <w:lang w:eastAsia="en-AU"/>
      </w:rPr>
      <w:drawing>
        <wp:anchor distT="0" distB="0" distL="114300" distR="114300" simplePos="0" relativeHeight="251655680" behindDoc="1" locked="1" layoutInCell="1" allowOverlap="1" wp14:anchorId="6BF4317D" wp14:editId="121B7B94">
          <wp:simplePos x="0" y="0"/>
          <wp:positionH relativeFrom="page">
            <wp:align>left</wp:align>
          </wp:positionH>
          <wp:positionV relativeFrom="page">
            <wp:align>top</wp:align>
          </wp:positionV>
          <wp:extent cx="7560000" cy="25200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r>
      <w:rPr>
        <w:noProof/>
        <w:lang w:eastAsia="en-AU"/>
      </w:rPr>
      <w:drawing>
        <wp:anchor distT="0" distB="0" distL="114300" distR="114300" simplePos="0" relativeHeight="251657728" behindDoc="1" locked="1" layoutInCell="1" allowOverlap="1" wp14:anchorId="43609749" wp14:editId="6B98A009">
          <wp:simplePos x="0" y="0"/>
          <wp:positionH relativeFrom="page">
            <wp:align>right</wp:align>
          </wp:positionH>
          <wp:positionV relativeFrom="page">
            <wp:align>bottom</wp:align>
          </wp:positionV>
          <wp:extent cx="6476400" cy="792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anchor>
      </w:drawing>
    </w:r>
    <w:r>
      <w:rPr>
        <w:noProof/>
        <w:lang w:eastAsia="en-AU"/>
      </w:rPr>
      <w:drawing>
        <wp:anchor distT="0" distB="0" distL="114300" distR="114300" simplePos="0" relativeHeight="251656704" behindDoc="1" locked="1" layoutInCell="1" allowOverlap="1" wp14:anchorId="59407546" wp14:editId="18DFEFF3">
          <wp:simplePos x="0" y="0"/>
          <wp:positionH relativeFrom="page">
            <wp:align>left</wp:align>
          </wp:positionH>
          <wp:positionV relativeFrom="page">
            <wp:align>bottom</wp:align>
          </wp:positionV>
          <wp:extent cx="6228000" cy="792000"/>
          <wp:effectExtent l="0" t="0" r="1905" b="0"/>
          <wp:wrapNone/>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anchor>
      </w:drawing>
    </w:r>
  </w:p>
  <w:p w14:paraId="4AAD8223" w14:textId="77777777" w:rsidR="00825350" w:rsidRPr="00AD0E3D" w:rsidRDefault="00825350" w:rsidP="00A32C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82ED" w14:textId="77777777" w:rsidR="00825350" w:rsidRDefault="00825350" w:rsidP="00A32C61">
    <w:pPr>
      <w:pStyle w:val="Header"/>
    </w:pPr>
    <w:r>
      <w:rPr>
        <w:noProof/>
        <w:lang w:eastAsia="en-AU"/>
      </w:rPr>
      <w:drawing>
        <wp:anchor distT="0" distB="0" distL="114300" distR="114300" simplePos="0" relativeHeight="251658752" behindDoc="1" locked="1" layoutInCell="1" allowOverlap="1" wp14:anchorId="6204F7DF" wp14:editId="73A6017F">
          <wp:simplePos x="0" y="0"/>
          <wp:positionH relativeFrom="page">
            <wp:align>left</wp:align>
          </wp:positionH>
          <wp:positionV relativeFrom="page">
            <wp:align>top</wp:align>
          </wp:positionV>
          <wp:extent cx="7560000" cy="2520000"/>
          <wp:effectExtent l="0" t="0" r="0" b="0"/>
          <wp:wrapNone/>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r>
      <w:rPr>
        <w:noProof/>
        <w:lang w:eastAsia="en-AU"/>
      </w:rPr>
      <w:drawing>
        <wp:anchor distT="0" distB="0" distL="114300" distR="114300" simplePos="0" relativeHeight="251660800" behindDoc="1" locked="1" layoutInCell="1" allowOverlap="1" wp14:anchorId="42945D06" wp14:editId="50C17AA2">
          <wp:simplePos x="0" y="0"/>
          <wp:positionH relativeFrom="page">
            <wp:align>right</wp:align>
          </wp:positionH>
          <wp:positionV relativeFrom="page">
            <wp:align>bottom</wp:align>
          </wp:positionV>
          <wp:extent cx="6476400" cy="792000"/>
          <wp:effectExtent l="0" t="0" r="0" b="0"/>
          <wp:wrapNone/>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anchor>
      </w:drawing>
    </w:r>
    <w:r>
      <w:rPr>
        <w:noProof/>
        <w:lang w:eastAsia="en-AU"/>
      </w:rPr>
      <w:drawing>
        <wp:anchor distT="0" distB="0" distL="114300" distR="114300" simplePos="0" relativeHeight="251659776" behindDoc="1" locked="1" layoutInCell="1" allowOverlap="1" wp14:anchorId="298A6F52" wp14:editId="3EDD67CB">
          <wp:simplePos x="0" y="0"/>
          <wp:positionH relativeFrom="page">
            <wp:align>left</wp:align>
          </wp:positionH>
          <wp:positionV relativeFrom="page">
            <wp:align>bottom</wp:align>
          </wp:positionV>
          <wp:extent cx="6228000" cy="792000"/>
          <wp:effectExtent l="0" t="0" r="1905" b="0"/>
          <wp:wrapNone/>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anchor>
      </w:drawing>
    </w:r>
  </w:p>
  <w:p w14:paraId="64D39D08" w14:textId="77777777" w:rsidR="00825350" w:rsidRPr="00AD0E3D" w:rsidRDefault="00825350" w:rsidP="00A32C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28E1" w14:textId="77777777" w:rsidR="00825350" w:rsidRDefault="00825350">
    <w:pPr>
      <w:pStyle w:val="Header"/>
    </w:pPr>
    <w:r>
      <w:rPr>
        <w:noProof/>
        <w:lang w:eastAsia="en-AU"/>
      </w:rPr>
      <w:drawing>
        <wp:anchor distT="0" distB="0" distL="114300" distR="114300" simplePos="0" relativeHeight="251676160" behindDoc="1" locked="1" layoutInCell="1" allowOverlap="1" wp14:anchorId="4EE3A9C4" wp14:editId="0EF4A7F0">
          <wp:simplePos x="0" y="0"/>
          <wp:positionH relativeFrom="page">
            <wp:align>left</wp:align>
          </wp:positionH>
          <wp:positionV relativeFrom="page">
            <wp:align>top</wp:align>
          </wp:positionV>
          <wp:extent cx="7560000" cy="2520000"/>
          <wp:effectExtent l="0" t="0" r="0" b="0"/>
          <wp:wrapNone/>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8208" behindDoc="1" locked="1" layoutInCell="1" allowOverlap="1" wp14:anchorId="5ADB4C98" wp14:editId="2A165C14">
          <wp:simplePos x="0" y="0"/>
          <wp:positionH relativeFrom="page">
            <wp:align>right</wp:align>
          </wp:positionH>
          <wp:positionV relativeFrom="page">
            <wp:align>bottom</wp:align>
          </wp:positionV>
          <wp:extent cx="6476400" cy="792000"/>
          <wp:effectExtent l="0" t="0" r="0" b="0"/>
          <wp:wrapNone/>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7184" behindDoc="1" locked="1" layoutInCell="1" allowOverlap="1" wp14:anchorId="36D74495" wp14:editId="7B6ECF62">
          <wp:simplePos x="0" y="0"/>
          <wp:positionH relativeFrom="page">
            <wp:align>left</wp:align>
          </wp:positionH>
          <wp:positionV relativeFrom="page">
            <wp:align>bottom</wp:align>
          </wp:positionV>
          <wp:extent cx="6228000" cy="792000"/>
          <wp:effectExtent l="0" t="0" r="1905" b="0"/>
          <wp:wrapNone/>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C90E" w14:textId="77777777" w:rsidR="00825350" w:rsidRDefault="00825350">
    <w:pPr>
      <w:pStyle w:val="Header"/>
    </w:pPr>
    <w:r>
      <w:rPr>
        <w:noProof/>
        <w:lang w:eastAsia="en-AU"/>
      </w:rPr>
      <w:drawing>
        <wp:anchor distT="0" distB="0" distL="114300" distR="114300" simplePos="0" relativeHeight="251680256" behindDoc="1" locked="1" layoutInCell="1" allowOverlap="1" wp14:anchorId="6516D8D6" wp14:editId="38897BDC">
          <wp:simplePos x="0" y="0"/>
          <wp:positionH relativeFrom="page">
            <wp:align>right</wp:align>
          </wp:positionH>
          <wp:positionV relativeFrom="page">
            <wp:align>bottom</wp:align>
          </wp:positionV>
          <wp:extent cx="6476400" cy="792000"/>
          <wp:effectExtent l="0" t="0" r="0" b="0"/>
          <wp:wrapNone/>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1">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9232" behindDoc="1" locked="1" layoutInCell="1" allowOverlap="1" wp14:anchorId="0D6172E7" wp14:editId="6E81C26F">
          <wp:simplePos x="0" y="0"/>
          <wp:positionH relativeFrom="page">
            <wp:align>left</wp:align>
          </wp:positionH>
          <wp:positionV relativeFrom="page">
            <wp:align>bottom</wp:align>
          </wp:positionV>
          <wp:extent cx="6228000" cy="792000"/>
          <wp:effectExtent l="0" t="0" r="1905" b="0"/>
          <wp:wrapNone/>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2">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539A" w14:textId="77777777" w:rsidR="00825350" w:rsidRDefault="00825350">
    <w:pPr>
      <w:pStyle w:val="Header"/>
    </w:pPr>
    <w:r>
      <w:rPr>
        <w:noProof/>
        <w:lang w:eastAsia="en-AU"/>
      </w:rPr>
      <w:drawing>
        <wp:anchor distT="0" distB="0" distL="114300" distR="114300" simplePos="0" relativeHeight="251649536" behindDoc="1" locked="1" layoutInCell="1" allowOverlap="1" wp14:anchorId="030D1736" wp14:editId="477E8FF3">
          <wp:simplePos x="0" y="0"/>
          <wp:positionH relativeFrom="page">
            <wp:align>left</wp:align>
          </wp:positionH>
          <wp:positionV relativeFrom="page">
            <wp:align>top</wp:align>
          </wp:positionV>
          <wp:extent cx="7560310" cy="2520315"/>
          <wp:effectExtent l="0" t="0" r="0" b="0"/>
          <wp:wrapNone/>
          <wp:docPr id="9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1584" behindDoc="1" locked="1" layoutInCell="1" allowOverlap="1" wp14:anchorId="3F613FA3" wp14:editId="10D31AD9">
          <wp:simplePos x="0" y="0"/>
          <wp:positionH relativeFrom="page">
            <wp:align>right</wp:align>
          </wp:positionH>
          <wp:positionV relativeFrom="page">
            <wp:align>bottom</wp:align>
          </wp:positionV>
          <wp:extent cx="6476365" cy="791845"/>
          <wp:effectExtent l="0" t="0" r="0" b="0"/>
          <wp:wrapNone/>
          <wp:docPr id="9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0560" behindDoc="1" locked="1" layoutInCell="1" allowOverlap="1" wp14:anchorId="0DB9A704" wp14:editId="2648F010">
          <wp:simplePos x="0" y="0"/>
          <wp:positionH relativeFrom="page">
            <wp:align>left</wp:align>
          </wp:positionH>
          <wp:positionV relativeFrom="page">
            <wp:align>bottom</wp:align>
          </wp:positionV>
          <wp:extent cx="6228080" cy="791845"/>
          <wp:effectExtent l="0" t="0" r="0" b="0"/>
          <wp:wrapNone/>
          <wp:docPr id="9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D014" w14:textId="636A1F66" w:rsidR="00825350" w:rsidRDefault="00825350">
    <w:pPr>
      <w:pStyle w:val="Header"/>
    </w:pPr>
    <w:r>
      <w:rPr>
        <w:noProof/>
        <w:lang w:eastAsia="en-AU"/>
      </w:rPr>
      <w:drawing>
        <wp:anchor distT="0" distB="0" distL="114300" distR="114300" simplePos="0" relativeHeight="251684352" behindDoc="1" locked="1" layoutInCell="1" allowOverlap="1" wp14:anchorId="41F95CBE" wp14:editId="79437D45">
          <wp:simplePos x="0" y="0"/>
          <wp:positionH relativeFrom="page">
            <wp:align>right</wp:align>
          </wp:positionH>
          <wp:positionV relativeFrom="page">
            <wp:align>bottom</wp:align>
          </wp:positionV>
          <wp:extent cx="6476365" cy="791845"/>
          <wp:effectExtent l="0" t="0" r="0" b="0"/>
          <wp:wrapNone/>
          <wp:docPr id="9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3328" behindDoc="1" locked="1" layoutInCell="1" allowOverlap="1" wp14:anchorId="274DFC39" wp14:editId="75D1E1A2">
          <wp:simplePos x="0" y="0"/>
          <wp:positionH relativeFrom="page">
            <wp:align>left</wp:align>
          </wp:positionH>
          <wp:positionV relativeFrom="page">
            <wp:align>bottom</wp:align>
          </wp:positionV>
          <wp:extent cx="6228080" cy="791845"/>
          <wp:effectExtent l="0" t="0" r="0" b="0"/>
          <wp:wrapNone/>
          <wp:docPr id="9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A36D" w14:textId="77777777" w:rsidR="00825350" w:rsidRDefault="00825350">
    <w:pPr>
      <w:pStyle w:val="Header"/>
    </w:pPr>
    <w:r>
      <w:rPr>
        <w:noProof/>
        <w:lang w:eastAsia="en-AU"/>
      </w:rPr>
      <w:drawing>
        <wp:anchor distT="0" distB="0" distL="114300" distR="114300" simplePos="0" relativeHeight="251686400" behindDoc="1" locked="1" layoutInCell="1" allowOverlap="1" wp14:anchorId="7DA96DB4" wp14:editId="67E27BD0">
          <wp:simplePos x="0" y="0"/>
          <wp:positionH relativeFrom="page">
            <wp:align>left</wp:align>
          </wp:positionH>
          <wp:positionV relativeFrom="page">
            <wp:align>top</wp:align>
          </wp:positionV>
          <wp:extent cx="7560310" cy="2520315"/>
          <wp:effectExtent l="0" t="0" r="0" b="0"/>
          <wp:wrapNone/>
          <wp:docPr id="9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8448" behindDoc="1" locked="1" layoutInCell="1" allowOverlap="1" wp14:anchorId="76B4CA47" wp14:editId="10C0FF54">
          <wp:simplePos x="0" y="0"/>
          <wp:positionH relativeFrom="page">
            <wp:align>right</wp:align>
          </wp:positionH>
          <wp:positionV relativeFrom="page">
            <wp:align>bottom</wp:align>
          </wp:positionV>
          <wp:extent cx="6476365" cy="791845"/>
          <wp:effectExtent l="0" t="0" r="0" b="0"/>
          <wp:wrapNone/>
          <wp:docPr id="9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7424" behindDoc="1" locked="1" layoutInCell="1" allowOverlap="1" wp14:anchorId="571004F8" wp14:editId="1C9B7490">
          <wp:simplePos x="0" y="0"/>
          <wp:positionH relativeFrom="page">
            <wp:align>left</wp:align>
          </wp:positionH>
          <wp:positionV relativeFrom="page">
            <wp:align>bottom</wp:align>
          </wp:positionV>
          <wp:extent cx="6228080" cy="791845"/>
          <wp:effectExtent l="0" t="0" r="0" b="0"/>
          <wp:wrapNone/>
          <wp:docPr id="9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2F67" w14:textId="77777777" w:rsidR="00825350" w:rsidRDefault="00825350">
    <w:pPr>
      <w:pStyle w:val="Header"/>
    </w:pPr>
    <w:r>
      <w:rPr>
        <w:noProof/>
        <w:lang w:eastAsia="en-AU"/>
      </w:rPr>
      <w:drawing>
        <wp:anchor distT="0" distB="0" distL="114300" distR="114300" simplePos="0" relativeHeight="251636224" behindDoc="1" locked="1" layoutInCell="1" allowOverlap="1" wp14:anchorId="572E64B6" wp14:editId="29DA7E39">
          <wp:simplePos x="0" y="0"/>
          <wp:positionH relativeFrom="page">
            <wp:align>right</wp:align>
          </wp:positionH>
          <wp:positionV relativeFrom="page">
            <wp:align>bottom</wp:align>
          </wp:positionV>
          <wp:extent cx="6476365" cy="791845"/>
          <wp:effectExtent l="0" t="0" r="0" b="0"/>
          <wp:wrapNone/>
          <wp:docPr id="94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35200" behindDoc="1" locked="1" layoutInCell="1" allowOverlap="1" wp14:anchorId="3E291DF5" wp14:editId="4A6F2442">
          <wp:simplePos x="0" y="0"/>
          <wp:positionH relativeFrom="page">
            <wp:align>left</wp:align>
          </wp:positionH>
          <wp:positionV relativeFrom="page">
            <wp:align>bottom</wp:align>
          </wp:positionV>
          <wp:extent cx="6228080" cy="791845"/>
          <wp:effectExtent l="0" t="0" r="0" b="0"/>
          <wp:wrapNone/>
          <wp:docPr id="94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3307" w14:textId="77777777" w:rsidR="00825350" w:rsidRDefault="00825350">
    <w:pPr>
      <w:pStyle w:val="Header"/>
    </w:pPr>
    <w:r>
      <w:rPr>
        <w:noProof/>
        <w:lang w:eastAsia="en-AU"/>
      </w:rPr>
      <w:drawing>
        <wp:anchor distT="0" distB="0" distL="114300" distR="114300" simplePos="0" relativeHeight="251638272" behindDoc="1" locked="1" layoutInCell="1" allowOverlap="1" wp14:anchorId="24CED32B" wp14:editId="2D87CE45">
          <wp:simplePos x="0" y="0"/>
          <wp:positionH relativeFrom="page">
            <wp:align>right</wp:align>
          </wp:positionH>
          <wp:positionV relativeFrom="page">
            <wp:align>bottom</wp:align>
          </wp:positionV>
          <wp:extent cx="6476365" cy="791845"/>
          <wp:effectExtent l="0" t="0" r="0" b="0"/>
          <wp:wrapNone/>
          <wp:docPr id="94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37248" behindDoc="1" locked="1" layoutInCell="1" allowOverlap="1" wp14:anchorId="4E010901" wp14:editId="18C34056">
          <wp:simplePos x="0" y="0"/>
          <wp:positionH relativeFrom="page">
            <wp:align>left</wp:align>
          </wp:positionH>
          <wp:positionV relativeFrom="page">
            <wp:align>bottom</wp:align>
          </wp:positionV>
          <wp:extent cx="6228080" cy="791845"/>
          <wp:effectExtent l="0" t="0" r="0" b="0"/>
          <wp:wrapNone/>
          <wp:docPr id="949"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8BC1" w14:textId="77777777" w:rsidR="00825350" w:rsidRDefault="00825350">
    <w:pPr>
      <w:pStyle w:val="Header"/>
    </w:pPr>
    <w:r>
      <w:rPr>
        <w:noProof/>
        <w:lang w:eastAsia="en-AU"/>
      </w:rPr>
      <w:drawing>
        <wp:anchor distT="0" distB="0" distL="114300" distR="114300" simplePos="0" relativeHeight="251665920" behindDoc="1" locked="1" layoutInCell="1" allowOverlap="1" wp14:anchorId="4F4BC040" wp14:editId="281B30DE">
          <wp:simplePos x="0" y="0"/>
          <wp:positionH relativeFrom="page">
            <wp:align>right</wp:align>
          </wp:positionH>
          <wp:positionV relativeFrom="page">
            <wp:align>bottom</wp:align>
          </wp:positionV>
          <wp:extent cx="6476365" cy="791845"/>
          <wp:effectExtent l="0" t="0" r="0" b="0"/>
          <wp:wrapNone/>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4896" behindDoc="1" locked="1" layoutInCell="1" allowOverlap="1" wp14:anchorId="362E716B" wp14:editId="2EC1D543">
          <wp:simplePos x="0" y="0"/>
          <wp:positionH relativeFrom="page">
            <wp:align>left</wp:align>
          </wp:positionH>
          <wp:positionV relativeFrom="page">
            <wp:align>bottom</wp:align>
          </wp:positionV>
          <wp:extent cx="6228080" cy="791845"/>
          <wp:effectExtent l="0" t="0" r="0" b="0"/>
          <wp:wrapNone/>
          <wp:docPr id="2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A07E" w14:textId="77777777" w:rsidR="00825350" w:rsidRDefault="00825350">
    <w:pPr>
      <w:pStyle w:val="Header"/>
    </w:pPr>
    <w:r>
      <w:rPr>
        <w:noProof/>
        <w:lang w:eastAsia="en-AU"/>
      </w:rPr>
      <w:drawing>
        <wp:anchor distT="0" distB="0" distL="114300" distR="114300" simplePos="0" relativeHeight="251639296" behindDoc="1" locked="1" layoutInCell="1" allowOverlap="1" wp14:anchorId="5D1F3871" wp14:editId="11C51D5F">
          <wp:simplePos x="0" y="0"/>
          <wp:positionH relativeFrom="page">
            <wp:align>left</wp:align>
          </wp:positionH>
          <wp:positionV relativeFrom="page">
            <wp:align>top</wp:align>
          </wp:positionV>
          <wp:extent cx="7560310" cy="2520315"/>
          <wp:effectExtent l="0" t="0" r="0" b="0"/>
          <wp:wrapNone/>
          <wp:docPr id="3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1344" behindDoc="1" locked="1" layoutInCell="1" allowOverlap="1" wp14:anchorId="52048294" wp14:editId="12124308">
          <wp:simplePos x="0" y="0"/>
          <wp:positionH relativeFrom="page">
            <wp:align>right</wp:align>
          </wp:positionH>
          <wp:positionV relativeFrom="page">
            <wp:align>bottom</wp:align>
          </wp:positionV>
          <wp:extent cx="6476365" cy="791845"/>
          <wp:effectExtent l="0" t="0" r="0" b="0"/>
          <wp:wrapNone/>
          <wp:docPr id="3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0320" behindDoc="1" locked="1" layoutInCell="1" allowOverlap="1" wp14:anchorId="61A24686" wp14:editId="29785A7F">
          <wp:simplePos x="0" y="0"/>
          <wp:positionH relativeFrom="page">
            <wp:align>left</wp:align>
          </wp:positionH>
          <wp:positionV relativeFrom="page">
            <wp:align>bottom</wp:align>
          </wp:positionV>
          <wp:extent cx="6228080" cy="791845"/>
          <wp:effectExtent l="0" t="0" r="0" b="0"/>
          <wp:wrapNone/>
          <wp:docPr id="3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359B" w14:textId="77777777" w:rsidR="00825350" w:rsidRDefault="00825350">
    <w:pPr>
      <w:pStyle w:val="Header"/>
    </w:pPr>
    <w:r>
      <w:rPr>
        <w:noProof/>
        <w:lang w:eastAsia="en-AU"/>
      </w:rPr>
      <w:drawing>
        <wp:anchor distT="0" distB="0" distL="114300" distR="114300" simplePos="0" relativeHeight="251644416" behindDoc="1" locked="1" layoutInCell="1" allowOverlap="1" wp14:anchorId="09348F7C" wp14:editId="40713741">
          <wp:simplePos x="0" y="0"/>
          <wp:positionH relativeFrom="page">
            <wp:align>right</wp:align>
          </wp:positionH>
          <wp:positionV relativeFrom="page">
            <wp:align>bottom</wp:align>
          </wp:positionV>
          <wp:extent cx="6476365" cy="791845"/>
          <wp:effectExtent l="0" t="0" r="0" b="0"/>
          <wp:wrapNone/>
          <wp:docPr id="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3392" behindDoc="1" locked="1" layoutInCell="1" allowOverlap="1" wp14:anchorId="52617CB9" wp14:editId="00FAA352">
          <wp:simplePos x="0" y="0"/>
          <wp:positionH relativeFrom="page">
            <wp:align>left</wp:align>
          </wp:positionH>
          <wp:positionV relativeFrom="page">
            <wp:align>bottom</wp:align>
          </wp:positionV>
          <wp:extent cx="6228080" cy="791845"/>
          <wp:effectExtent l="0" t="0" r="0" b="0"/>
          <wp:wrapNone/>
          <wp:docPr id="4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D06B" w14:textId="77777777" w:rsidR="00825350" w:rsidRDefault="00825350">
    <w:pPr>
      <w:pStyle w:val="Header"/>
    </w:pPr>
    <w:r>
      <w:rPr>
        <w:noProof/>
        <w:lang w:eastAsia="en-AU"/>
      </w:rPr>
      <w:drawing>
        <wp:anchor distT="0" distB="0" distL="114300" distR="114300" simplePos="0" relativeHeight="251642368" behindDoc="1" locked="1" layoutInCell="1" allowOverlap="1" wp14:anchorId="2A5839A9" wp14:editId="15A8DD11">
          <wp:simplePos x="0" y="0"/>
          <wp:positionH relativeFrom="page">
            <wp:align>left</wp:align>
          </wp:positionH>
          <wp:positionV relativeFrom="page">
            <wp:align>top</wp:align>
          </wp:positionV>
          <wp:extent cx="7560310" cy="2520315"/>
          <wp:effectExtent l="0" t="0" r="0" b="0"/>
          <wp:wrapNone/>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6464" behindDoc="1" locked="1" layoutInCell="1" allowOverlap="1" wp14:anchorId="0A359DE6" wp14:editId="45F72BAD">
          <wp:simplePos x="0" y="0"/>
          <wp:positionH relativeFrom="page">
            <wp:align>right</wp:align>
          </wp:positionH>
          <wp:positionV relativeFrom="page">
            <wp:align>bottom</wp:align>
          </wp:positionV>
          <wp:extent cx="6476365" cy="791845"/>
          <wp:effectExtent l="0" t="0" r="0" b="0"/>
          <wp:wrapNone/>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5440" behindDoc="1" locked="1" layoutInCell="1" allowOverlap="1" wp14:anchorId="36536700" wp14:editId="38A33062">
          <wp:simplePos x="0" y="0"/>
          <wp:positionH relativeFrom="page">
            <wp:align>left</wp:align>
          </wp:positionH>
          <wp:positionV relativeFrom="page">
            <wp:align>bottom</wp:align>
          </wp:positionV>
          <wp:extent cx="6228080" cy="791845"/>
          <wp:effectExtent l="0" t="0" r="0" b="0"/>
          <wp:wrapNone/>
          <wp:docPr id="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7A9A" w14:textId="77777777" w:rsidR="00825350" w:rsidRDefault="00825350">
    <w:pPr>
      <w:pStyle w:val="Header"/>
    </w:pPr>
    <w:r>
      <w:rPr>
        <w:noProof/>
        <w:lang w:eastAsia="en-AU"/>
      </w:rPr>
      <w:drawing>
        <wp:anchor distT="0" distB="0" distL="114300" distR="114300" simplePos="0" relativeHeight="251661824" behindDoc="1" locked="1" layoutInCell="1" allowOverlap="1" wp14:anchorId="67840115" wp14:editId="4E2A6888">
          <wp:simplePos x="0" y="0"/>
          <wp:positionH relativeFrom="page">
            <wp:align>left</wp:align>
          </wp:positionH>
          <wp:positionV relativeFrom="page">
            <wp:align>top</wp:align>
          </wp:positionV>
          <wp:extent cx="7560310" cy="2520315"/>
          <wp:effectExtent l="0" t="0" r="0" b="0"/>
          <wp:wrapNone/>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3872" behindDoc="1" locked="1" layoutInCell="1" allowOverlap="1" wp14:anchorId="4BF90472" wp14:editId="2B2C577E">
          <wp:simplePos x="0" y="0"/>
          <wp:positionH relativeFrom="page">
            <wp:align>right</wp:align>
          </wp:positionH>
          <wp:positionV relativeFrom="page">
            <wp:align>bottom</wp:align>
          </wp:positionV>
          <wp:extent cx="6476365" cy="791845"/>
          <wp:effectExtent l="0" t="0" r="0" b="0"/>
          <wp:wrapNone/>
          <wp:docPr id="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2848" behindDoc="1" locked="1" layoutInCell="1" allowOverlap="1" wp14:anchorId="5F253A96" wp14:editId="32458713">
          <wp:simplePos x="0" y="0"/>
          <wp:positionH relativeFrom="page">
            <wp:align>left</wp:align>
          </wp:positionH>
          <wp:positionV relativeFrom="page">
            <wp:align>bottom</wp:align>
          </wp:positionV>
          <wp:extent cx="6228080" cy="791845"/>
          <wp:effectExtent l="0" t="0" r="0" b="0"/>
          <wp:wrapNone/>
          <wp:docPr id="4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9699" w14:textId="77777777" w:rsidR="00825350" w:rsidRDefault="00825350">
    <w:pPr>
      <w:pStyle w:val="Header"/>
    </w:pPr>
    <w:r>
      <w:rPr>
        <w:noProof/>
        <w:lang w:eastAsia="en-AU"/>
      </w:rPr>
      <w:drawing>
        <wp:anchor distT="0" distB="0" distL="114300" distR="114300" simplePos="0" relativeHeight="251666944" behindDoc="1" locked="1" layoutInCell="1" allowOverlap="1" wp14:anchorId="305BC409" wp14:editId="4B7C68D5">
          <wp:simplePos x="0" y="0"/>
          <wp:positionH relativeFrom="page">
            <wp:align>left</wp:align>
          </wp:positionH>
          <wp:positionV relativeFrom="page">
            <wp:align>top</wp:align>
          </wp:positionV>
          <wp:extent cx="7560310" cy="2520315"/>
          <wp:effectExtent l="0" t="0" r="0" b="0"/>
          <wp:wrapNone/>
          <wp:docPr id="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0016" behindDoc="1" locked="1" layoutInCell="1" allowOverlap="1" wp14:anchorId="7ECE8BDE" wp14:editId="54D8B158">
          <wp:simplePos x="0" y="0"/>
          <wp:positionH relativeFrom="page">
            <wp:align>right</wp:align>
          </wp:positionH>
          <wp:positionV relativeFrom="page">
            <wp:align>bottom</wp:align>
          </wp:positionV>
          <wp:extent cx="6476365" cy="791845"/>
          <wp:effectExtent l="0" t="0" r="0" b="0"/>
          <wp:wrapNone/>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636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8992" behindDoc="1" locked="1" layoutInCell="1" allowOverlap="1" wp14:anchorId="181853D0" wp14:editId="78541A0A">
          <wp:simplePos x="0" y="0"/>
          <wp:positionH relativeFrom="page">
            <wp:align>left</wp:align>
          </wp:positionH>
          <wp:positionV relativeFrom="page">
            <wp:align>bottom</wp:align>
          </wp:positionV>
          <wp:extent cx="6228080" cy="791845"/>
          <wp:effectExtent l="0" t="0" r="0" b="0"/>
          <wp:wrapNone/>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08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0025" w14:textId="77777777" w:rsidR="00825350" w:rsidRDefault="00825350">
    <w:pPr>
      <w:pStyle w:val="Header"/>
    </w:pPr>
    <w:r>
      <w:rPr>
        <w:noProof/>
        <w:lang w:eastAsia="en-AU"/>
      </w:rPr>
      <w:drawing>
        <wp:anchor distT="0" distB="0" distL="114300" distR="114300" simplePos="0" relativeHeight="251652608" behindDoc="1" locked="1" layoutInCell="1" allowOverlap="1" wp14:anchorId="4D77FCC6" wp14:editId="0F291D9C">
          <wp:simplePos x="0" y="0"/>
          <wp:positionH relativeFrom="page">
            <wp:align>left</wp:align>
          </wp:positionH>
          <wp:positionV relativeFrom="page">
            <wp:align>top</wp:align>
          </wp:positionV>
          <wp:extent cx="7560000" cy="2520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r>
      <w:rPr>
        <w:noProof/>
        <w:lang w:eastAsia="en-AU"/>
      </w:rPr>
      <w:drawing>
        <wp:anchor distT="0" distB="0" distL="114300" distR="114300" simplePos="0" relativeHeight="251654656" behindDoc="1" locked="1" layoutInCell="1" allowOverlap="1" wp14:anchorId="3761AFCE" wp14:editId="39A24C46">
          <wp:simplePos x="0" y="0"/>
          <wp:positionH relativeFrom="page">
            <wp:align>right</wp:align>
          </wp:positionH>
          <wp:positionV relativeFrom="page">
            <wp:align>bottom</wp:align>
          </wp:positionV>
          <wp:extent cx="6476400" cy="79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anchor>
      </w:drawing>
    </w:r>
    <w:r>
      <w:rPr>
        <w:noProof/>
        <w:lang w:eastAsia="en-AU"/>
      </w:rPr>
      <w:drawing>
        <wp:anchor distT="0" distB="0" distL="114300" distR="114300" simplePos="0" relativeHeight="251653632" behindDoc="1" locked="1" layoutInCell="1" allowOverlap="1" wp14:anchorId="2254FC7D" wp14:editId="3166FFD5">
          <wp:simplePos x="0" y="0"/>
          <wp:positionH relativeFrom="page">
            <wp:align>left</wp:align>
          </wp:positionH>
          <wp:positionV relativeFrom="page">
            <wp:align>bottom</wp:align>
          </wp:positionV>
          <wp:extent cx="6228000" cy="792000"/>
          <wp:effectExtent l="0" t="0" r="190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25B0" w14:textId="77777777" w:rsidR="00825350" w:rsidRDefault="00825350">
    <w:pPr>
      <w:pStyle w:val="Header"/>
    </w:pPr>
    <w:r>
      <w:rPr>
        <w:noProof/>
        <w:lang w:eastAsia="en-AU"/>
      </w:rPr>
      <w:drawing>
        <wp:anchor distT="0" distB="0" distL="114300" distR="114300" simplePos="0" relativeHeight="251671040" behindDoc="1" locked="1" layoutInCell="1" allowOverlap="1" wp14:anchorId="0D982CFC" wp14:editId="2202829C">
          <wp:simplePos x="0" y="0"/>
          <wp:positionH relativeFrom="page">
            <wp:align>left</wp:align>
          </wp:positionH>
          <wp:positionV relativeFrom="page">
            <wp:align>top</wp:align>
          </wp:positionV>
          <wp:extent cx="7560000" cy="2520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r>
      <w:rPr>
        <w:noProof/>
        <w:lang w:eastAsia="en-AU"/>
      </w:rPr>
      <w:drawing>
        <wp:anchor distT="0" distB="0" distL="114300" distR="114300" simplePos="0" relativeHeight="251673088" behindDoc="1" locked="1" layoutInCell="1" allowOverlap="1" wp14:anchorId="555963F3" wp14:editId="615C53D7">
          <wp:simplePos x="0" y="0"/>
          <wp:positionH relativeFrom="page">
            <wp:align>right</wp:align>
          </wp:positionH>
          <wp:positionV relativeFrom="page">
            <wp:align>bottom</wp:align>
          </wp:positionV>
          <wp:extent cx="6476400" cy="7920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anchor>
      </w:drawing>
    </w:r>
    <w:r>
      <w:rPr>
        <w:noProof/>
        <w:lang w:eastAsia="en-AU"/>
      </w:rPr>
      <w:drawing>
        <wp:anchor distT="0" distB="0" distL="114300" distR="114300" simplePos="0" relativeHeight="251672064" behindDoc="1" locked="1" layoutInCell="1" allowOverlap="1" wp14:anchorId="2E0954E5" wp14:editId="370A9D59">
          <wp:simplePos x="0" y="0"/>
          <wp:positionH relativeFrom="page">
            <wp:align>left</wp:align>
          </wp:positionH>
          <wp:positionV relativeFrom="page">
            <wp:align>bottom</wp:align>
          </wp:positionV>
          <wp:extent cx="6228000" cy="792000"/>
          <wp:effectExtent l="0" t="0" r="190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D0A7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17C25"/>
    <w:multiLevelType w:val="hybridMultilevel"/>
    <w:tmpl w:val="FAD8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53C06"/>
    <w:multiLevelType w:val="multilevel"/>
    <w:tmpl w:val="35CE92D2"/>
    <w:lvl w:ilvl="0">
      <w:start w:val="1"/>
      <w:numFmt w:val="decimal"/>
      <w:lvlText w:val="%1."/>
      <w:lvlJc w:val="left"/>
      <w:pPr>
        <w:ind w:left="360" w:hanging="360"/>
      </w:pPr>
    </w:lvl>
    <w:lvl w:ilvl="1">
      <w:start w:val="1"/>
      <w:numFmt w:val="decimal"/>
      <w:pStyle w:val="Heading2"/>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014ED"/>
    <w:multiLevelType w:val="hybridMultilevel"/>
    <w:tmpl w:val="BFBE5F10"/>
    <w:lvl w:ilvl="0" w:tplc="51B62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C32CF"/>
    <w:multiLevelType w:val="multilevel"/>
    <w:tmpl w:val="77068EA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41307B7"/>
    <w:multiLevelType w:val="multilevel"/>
    <w:tmpl w:val="48E83A4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81D7EA4"/>
    <w:multiLevelType w:val="multilevel"/>
    <w:tmpl w:val="9DFAEE7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84F778E"/>
    <w:multiLevelType w:val="multilevel"/>
    <w:tmpl w:val="AA88C478"/>
    <w:lvl w:ilvl="0">
      <w:start w:val="1"/>
      <w:numFmt w:val="decimal"/>
      <w:pStyle w:val="ListNumber"/>
      <w:lvlText w:val="%1."/>
      <w:lvlJc w:val="left"/>
      <w:pPr>
        <w:ind w:left="227" w:hanging="227"/>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right"/>
      <w:pPr>
        <w:ind w:left="681" w:hanging="171"/>
      </w:pPr>
      <w:rPr>
        <w:rFonts w:hint="default"/>
      </w:rPr>
    </w:lvl>
    <w:lvl w:ilvl="3">
      <w:start w:val="1"/>
      <w:numFmt w:val="decimal"/>
      <w:lvlText w:val="%4."/>
      <w:lvlJc w:val="left"/>
      <w:pPr>
        <w:tabs>
          <w:tab w:val="num" w:pos="1041"/>
        </w:tabs>
        <w:ind w:left="908" w:hanging="227"/>
      </w:pPr>
      <w:rPr>
        <w:rFonts w:hint="default"/>
      </w:rPr>
    </w:lvl>
    <w:lvl w:ilvl="4">
      <w:start w:val="1"/>
      <w:numFmt w:val="lowerLetter"/>
      <w:lvlText w:val="%5."/>
      <w:lvlJc w:val="left"/>
      <w:pPr>
        <w:tabs>
          <w:tab w:val="num" w:pos="1268"/>
        </w:tabs>
        <w:ind w:left="1135" w:hanging="227"/>
      </w:pPr>
      <w:rPr>
        <w:rFonts w:hint="default"/>
      </w:rPr>
    </w:lvl>
    <w:lvl w:ilvl="5">
      <w:start w:val="1"/>
      <w:numFmt w:val="lowerRoman"/>
      <w:lvlText w:val="%6."/>
      <w:lvlJc w:val="right"/>
      <w:pPr>
        <w:tabs>
          <w:tab w:val="num" w:pos="1495"/>
        </w:tabs>
        <w:ind w:left="1362" w:hanging="227"/>
      </w:pPr>
      <w:rPr>
        <w:rFonts w:hint="default"/>
      </w:rPr>
    </w:lvl>
    <w:lvl w:ilvl="6">
      <w:start w:val="1"/>
      <w:numFmt w:val="decimal"/>
      <w:lvlText w:val="%7."/>
      <w:lvlJc w:val="left"/>
      <w:pPr>
        <w:tabs>
          <w:tab w:val="num" w:pos="1722"/>
        </w:tabs>
        <w:ind w:left="1589" w:hanging="227"/>
      </w:pPr>
      <w:rPr>
        <w:rFonts w:hint="default"/>
      </w:rPr>
    </w:lvl>
    <w:lvl w:ilvl="7">
      <w:start w:val="1"/>
      <w:numFmt w:val="lowerLetter"/>
      <w:lvlText w:val="%8."/>
      <w:lvlJc w:val="left"/>
      <w:pPr>
        <w:tabs>
          <w:tab w:val="num" w:pos="1949"/>
        </w:tabs>
        <w:ind w:left="1816" w:hanging="227"/>
      </w:pPr>
      <w:rPr>
        <w:rFonts w:hint="default"/>
      </w:rPr>
    </w:lvl>
    <w:lvl w:ilvl="8">
      <w:start w:val="1"/>
      <w:numFmt w:val="lowerRoman"/>
      <w:lvlText w:val="%9."/>
      <w:lvlJc w:val="right"/>
      <w:pPr>
        <w:tabs>
          <w:tab w:val="num" w:pos="2176"/>
        </w:tabs>
        <w:ind w:left="2043" w:hanging="227"/>
      </w:pPr>
      <w:rPr>
        <w:rFonts w:hint="default"/>
      </w:rPr>
    </w:lvl>
  </w:abstractNum>
  <w:abstractNum w:abstractNumId="8" w15:restartNumberingAfterBreak="0">
    <w:nsid w:val="3A4657B4"/>
    <w:multiLevelType w:val="hybridMultilevel"/>
    <w:tmpl w:val="BFBE5F10"/>
    <w:lvl w:ilvl="0" w:tplc="51B62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B3B6F"/>
    <w:multiLevelType w:val="hybridMultilevel"/>
    <w:tmpl w:val="A7F00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43571"/>
    <w:multiLevelType w:val="hybridMultilevel"/>
    <w:tmpl w:val="BFBE5F10"/>
    <w:lvl w:ilvl="0" w:tplc="51B62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40E18"/>
    <w:multiLevelType w:val="multilevel"/>
    <w:tmpl w:val="25F81256"/>
    <w:lvl w:ilvl="0">
      <w:start w:val="1"/>
      <w:numFmt w:val="bullet"/>
      <w:pStyle w:val="BoxBullet"/>
      <w:lvlText w:val=""/>
      <w:lvlJc w:val="left"/>
      <w:pPr>
        <w:ind w:left="284" w:hanging="284"/>
      </w:pPr>
      <w:rPr>
        <w:rFonts w:ascii="Symbol" w:hAnsi="Symbol" w:hint="default"/>
      </w:rPr>
    </w:lvl>
    <w:lvl w:ilvl="1">
      <w:start w:val="1"/>
      <w:numFmt w:val="bullet"/>
      <w:lvlText w:val="–"/>
      <w:lvlJc w:val="left"/>
      <w:pPr>
        <w:ind w:left="568" w:hanging="284"/>
      </w:pPr>
      <w:rPr>
        <w:rFonts w:ascii="Brown" w:hAnsi="Brown"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27650FE"/>
    <w:multiLevelType w:val="hybridMultilevel"/>
    <w:tmpl w:val="BFBE5F10"/>
    <w:lvl w:ilvl="0" w:tplc="51B62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135A1"/>
    <w:multiLevelType w:val="multilevel"/>
    <w:tmpl w:val="FD487FD0"/>
    <w:lvl w:ilvl="0">
      <w:start w:val="1"/>
      <w:numFmt w:val="bullet"/>
      <w:pStyle w:val="ListBullet"/>
      <w:lvlText w:val="•"/>
      <w:lvlJc w:val="left"/>
      <w:pPr>
        <w:tabs>
          <w:tab w:val="num" w:pos="360"/>
        </w:tabs>
        <w:ind w:left="227" w:hanging="227"/>
      </w:pPr>
      <w:rPr>
        <w:rFonts w:ascii="Arial" w:hAnsi="Arial" w:hint="default"/>
      </w:rPr>
    </w:lvl>
    <w:lvl w:ilvl="1">
      <w:start w:val="1"/>
      <w:numFmt w:val="bullet"/>
      <w:pStyle w:val="ListBullet2"/>
      <w:lvlText w:val="–"/>
      <w:lvlJc w:val="left"/>
      <w:pPr>
        <w:tabs>
          <w:tab w:val="num" w:pos="587"/>
        </w:tabs>
        <w:ind w:left="454" w:hanging="227"/>
      </w:pPr>
      <w:rPr>
        <w:rFonts w:ascii="Brown" w:hAnsi="Brown" w:hint="default"/>
      </w:rPr>
    </w:lvl>
    <w:lvl w:ilvl="2">
      <w:start w:val="1"/>
      <w:numFmt w:val="bullet"/>
      <w:pStyle w:val="ListBullet3"/>
      <w:lvlText w:val="»"/>
      <w:lvlJc w:val="left"/>
      <w:pPr>
        <w:tabs>
          <w:tab w:val="num" w:pos="814"/>
        </w:tabs>
        <w:ind w:left="681" w:hanging="227"/>
      </w:pPr>
      <w:rPr>
        <w:rFonts w:ascii="Arial" w:hAnsi="Arial" w:hint="default"/>
      </w:rPr>
    </w:lvl>
    <w:lvl w:ilvl="3">
      <w:start w:val="1"/>
      <w:numFmt w:val="bullet"/>
      <w:lvlText w:val=""/>
      <w:lvlJc w:val="left"/>
      <w:pPr>
        <w:tabs>
          <w:tab w:val="num" w:pos="1041"/>
        </w:tabs>
        <w:ind w:left="908" w:hanging="227"/>
      </w:pPr>
      <w:rPr>
        <w:rFonts w:ascii="Symbol" w:hAnsi="Symbol" w:hint="default"/>
      </w:rPr>
    </w:lvl>
    <w:lvl w:ilvl="4">
      <w:start w:val="1"/>
      <w:numFmt w:val="bullet"/>
      <w:lvlText w:val="o"/>
      <w:lvlJc w:val="left"/>
      <w:pPr>
        <w:tabs>
          <w:tab w:val="num" w:pos="1268"/>
        </w:tabs>
        <w:ind w:left="1135" w:hanging="227"/>
      </w:pPr>
      <w:rPr>
        <w:rFonts w:ascii="Courier New" w:hAnsi="Courier New" w:cs="Courier New" w:hint="default"/>
      </w:rPr>
    </w:lvl>
    <w:lvl w:ilvl="5">
      <w:start w:val="1"/>
      <w:numFmt w:val="bullet"/>
      <w:lvlText w:val=""/>
      <w:lvlJc w:val="left"/>
      <w:pPr>
        <w:tabs>
          <w:tab w:val="num" w:pos="1495"/>
        </w:tabs>
        <w:ind w:left="1362" w:hanging="227"/>
      </w:pPr>
      <w:rPr>
        <w:rFonts w:ascii="Wingdings" w:hAnsi="Wingdings" w:hint="default"/>
      </w:rPr>
    </w:lvl>
    <w:lvl w:ilvl="6">
      <w:start w:val="1"/>
      <w:numFmt w:val="bullet"/>
      <w:lvlText w:val=""/>
      <w:lvlJc w:val="left"/>
      <w:pPr>
        <w:tabs>
          <w:tab w:val="num" w:pos="1722"/>
        </w:tabs>
        <w:ind w:left="1589" w:hanging="227"/>
      </w:pPr>
      <w:rPr>
        <w:rFonts w:ascii="Symbol" w:hAnsi="Symbol" w:hint="default"/>
      </w:rPr>
    </w:lvl>
    <w:lvl w:ilvl="7">
      <w:start w:val="1"/>
      <w:numFmt w:val="bullet"/>
      <w:lvlText w:val="o"/>
      <w:lvlJc w:val="left"/>
      <w:pPr>
        <w:tabs>
          <w:tab w:val="num" w:pos="1949"/>
        </w:tabs>
        <w:ind w:left="1816" w:hanging="227"/>
      </w:pPr>
      <w:rPr>
        <w:rFonts w:ascii="Courier New" w:hAnsi="Courier New" w:cs="Courier New" w:hint="default"/>
      </w:rPr>
    </w:lvl>
    <w:lvl w:ilvl="8">
      <w:start w:val="1"/>
      <w:numFmt w:val="bullet"/>
      <w:lvlText w:val=""/>
      <w:lvlJc w:val="left"/>
      <w:pPr>
        <w:tabs>
          <w:tab w:val="num" w:pos="2176"/>
        </w:tabs>
        <w:ind w:left="2043" w:hanging="227"/>
      </w:pPr>
      <w:rPr>
        <w:rFonts w:ascii="Wingdings" w:hAnsi="Wingdings" w:hint="default"/>
      </w:rPr>
    </w:lvl>
  </w:abstractNum>
  <w:abstractNum w:abstractNumId="14" w15:restartNumberingAfterBreak="0">
    <w:nsid w:val="62385B60"/>
    <w:multiLevelType w:val="hybridMultilevel"/>
    <w:tmpl w:val="02F4C6C8"/>
    <w:lvl w:ilvl="0" w:tplc="51E2D310">
      <w:start w:val="1"/>
      <w:numFmt w:val="decimal"/>
      <w:lvlText w:val="%1."/>
      <w:lvlJc w:val="left"/>
      <w:pPr>
        <w:ind w:left="720" w:hanging="360"/>
      </w:pPr>
      <w:rPr>
        <w:rFonts w:hint="default"/>
        <w:b/>
      </w:rPr>
    </w:lvl>
    <w:lvl w:ilvl="1" w:tplc="04090001">
      <w:start w:val="1"/>
      <w:numFmt w:val="bullet"/>
      <w:lvlText w:val=""/>
      <w:lvlJc w:val="left"/>
      <w:pPr>
        <w:ind w:left="1495"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3333A"/>
    <w:multiLevelType w:val="hybridMultilevel"/>
    <w:tmpl w:val="E6EC989C"/>
    <w:lvl w:ilvl="0" w:tplc="0C090001">
      <w:start w:val="1"/>
      <w:numFmt w:val="bullet"/>
      <w:lvlText w:val=""/>
      <w:lvlJc w:val="left"/>
      <w:pPr>
        <w:ind w:left="1278"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6" w15:restartNumberingAfterBreak="0">
    <w:nsid w:val="6D5D5FEC"/>
    <w:multiLevelType w:val="hybridMultilevel"/>
    <w:tmpl w:val="461E597E"/>
    <w:lvl w:ilvl="0" w:tplc="07883478">
      <w:start w:val="1"/>
      <w:numFmt w:val="bullet"/>
      <w:pStyle w:val="TableBullet1"/>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E67C87"/>
    <w:multiLevelType w:val="hybridMultilevel"/>
    <w:tmpl w:val="BB645F0E"/>
    <w:lvl w:ilvl="0" w:tplc="A19C8E0A">
      <w:numFmt w:val="bullet"/>
      <w:lvlText w:val="-"/>
      <w:lvlJc w:val="left"/>
      <w:pPr>
        <w:ind w:left="1080" w:hanging="360"/>
      </w:pPr>
      <w:rPr>
        <w:rFonts w:ascii="Calibri" w:eastAsiaTheme="minorHAnsi" w:hAnsi="Calibri" w:cstheme="minorBidi" w:hint="default"/>
      </w:rPr>
    </w:lvl>
    <w:lvl w:ilvl="1" w:tplc="E8A6A8CC">
      <w:start w:val="1"/>
      <w:numFmt w:val="bullet"/>
      <w:lvlText w:val="o"/>
      <w:lvlJc w:val="left"/>
      <w:pPr>
        <w:ind w:left="1800" w:hanging="360"/>
      </w:pPr>
      <w:rPr>
        <w:rFonts w:ascii="Courier New" w:hAnsi="Courier New" w:cs="Courier New" w:hint="default"/>
      </w:rPr>
    </w:lvl>
    <w:lvl w:ilvl="2" w:tplc="42BEC4AE" w:tentative="1">
      <w:start w:val="1"/>
      <w:numFmt w:val="bullet"/>
      <w:lvlText w:val=""/>
      <w:lvlJc w:val="left"/>
      <w:pPr>
        <w:ind w:left="2520" w:hanging="360"/>
      </w:pPr>
      <w:rPr>
        <w:rFonts w:ascii="Wingdings" w:hAnsi="Wingdings" w:hint="default"/>
      </w:rPr>
    </w:lvl>
    <w:lvl w:ilvl="3" w:tplc="FC0285E8" w:tentative="1">
      <w:start w:val="1"/>
      <w:numFmt w:val="bullet"/>
      <w:lvlText w:val=""/>
      <w:lvlJc w:val="left"/>
      <w:pPr>
        <w:ind w:left="3240" w:hanging="360"/>
      </w:pPr>
      <w:rPr>
        <w:rFonts w:ascii="Symbol" w:hAnsi="Symbol" w:hint="default"/>
      </w:rPr>
    </w:lvl>
    <w:lvl w:ilvl="4" w:tplc="95A459B6" w:tentative="1">
      <w:start w:val="1"/>
      <w:numFmt w:val="bullet"/>
      <w:lvlText w:val="o"/>
      <w:lvlJc w:val="left"/>
      <w:pPr>
        <w:ind w:left="3960" w:hanging="360"/>
      </w:pPr>
      <w:rPr>
        <w:rFonts w:ascii="Courier New" w:hAnsi="Courier New" w:cs="Courier New" w:hint="default"/>
      </w:rPr>
    </w:lvl>
    <w:lvl w:ilvl="5" w:tplc="F9D87AFE" w:tentative="1">
      <w:start w:val="1"/>
      <w:numFmt w:val="bullet"/>
      <w:lvlText w:val=""/>
      <w:lvlJc w:val="left"/>
      <w:pPr>
        <w:ind w:left="4680" w:hanging="360"/>
      </w:pPr>
      <w:rPr>
        <w:rFonts w:ascii="Wingdings" w:hAnsi="Wingdings" w:hint="default"/>
      </w:rPr>
    </w:lvl>
    <w:lvl w:ilvl="6" w:tplc="C924E484" w:tentative="1">
      <w:start w:val="1"/>
      <w:numFmt w:val="bullet"/>
      <w:lvlText w:val=""/>
      <w:lvlJc w:val="left"/>
      <w:pPr>
        <w:ind w:left="5400" w:hanging="360"/>
      </w:pPr>
      <w:rPr>
        <w:rFonts w:ascii="Symbol" w:hAnsi="Symbol" w:hint="default"/>
      </w:rPr>
    </w:lvl>
    <w:lvl w:ilvl="7" w:tplc="18143100" w:tentative="1">
      <w:start w:val="1"/>
      <w:numFmt w:val="bullet"/>
      <w:lvlText w:val="o"/>
      <w:lvlJc w:val="left"/>
      <w:pPr>
        <w:ind w:left="6120" w:hanging="360"/>
      </w:pPr>
      <w:rPr>
        <w:rFonts w:ascii="Courier New" w:hAnsi="Courier New" w:cs="Courier New" w:hint="default"/>
      </w:rPr>
    </w:lvl>
    <w:lvl w:ilvl="8" w:tplc="15F26788" w:tentative="1">
      <w:start w:val="1"/>
      <w:numFmt w:val="bullet"/>
      <w:lvlText w:val=""/>
      <w:lvlJc w:val="left"/>
      <w:pPr>
        <w:ind w:left="6840" w:hanging="360"/>
      </w:pPr>
      <w:rPr>
        <w:rFonts w:ascii="Wingdings" w:hAnsi="Wingdings" w:hint="default"/>
      </w:rPr>
    </w:lvl>
  </w:abstractNum>
  <w:abstractNum w:abstractNumId="18" w15:restartNumberingAfterBreak="0">
    <w:nsid w:val="7F7320D6"/>
    <w:multiLevelType w:val="hybridMultilevel"/>
    <w:tmpl w:val="B99E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2"/>
  </w:num>
  <w:num w:numId="5">
    <w:abstractNumId w:val="1"/>
  </w:num>
  <w:num w:numId="6">
    <w:abstractNumId w:val="9"/>
  </w:num>
  <w:num w:numId="7">
    <w:abstractNumId w:val="4"/>
  </w:num>
  <w:num w:numId="8">
    <w:abstractNumId w:val="15"/>
  </w:num>
  <w:num w:numId="9">
    <w:abstractNumId w:val="14"/>
  </w:num>
  <w:num w:numId="10">
    <w:abstractNumId w:val="5"/>
  </w:num>
  <w:num w:numId="11">
    <w:abstractNumId w:val="12"/>
  </w:num>
  <w:num w:numId="12">
    <w:abstractNumId w:val="16"/>
  </w:num>
  <w:num w:numId="13">
    <w:abstractNumId w:val="3"/>
  </w:num>
  <w:num w:numId="14">
    <w:abstractNumId w:val="10"/>
  </w:num>
  <w:num w:numId="15">
    <w:abstractNumId w:val="8"/>
  </w:num>
  <w:num w:numId="16">
    <w:abstractNumId w:val="18"/>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characterSpacingControl w:val="doNotCompress"/>
  <w:hdrShapeDefaults>
    <o:shapedefaults v:ext="edit" spidmax="12289">
      <o:colormru v:ext="edit" colors="#89c3b2"/>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7D"/>
    <w:rsid w:val="0000033E"/>
    <w:rsid w:val="00001CDC"/>
    <w:rsid w:val="000020E5"/>
    <w:rsid w:val="000025D9"/>
    <w:rsid w:val="00002785"/>
    <w:rsid w:val="000034CB"/>
    <w:rsid w:val="00004598"/>
    <w:rsid w:val="00004E27"/>
    <w:rsid w:val="00006971"/>
    <w:rsid w:val="00006B95"/>
    <w:rsid w:val="00006C87"/>
    <w:rsid w:val="000070E8"/>
    <w:rsid w:val="0001128B"/>
    <w:rsid w:val="00012315"/>
    <w:rsid w:val="00012537"/>
    <w:rsid w:val="00012698"/>
    <w:rsid w:val="00012AB9"/>
    <w:rsid w:val="00013239"/>
    <w:rsid w:val="00014B0E"/>
    <w:rsid w:val="00015D3C"/>
    <w:rsid w:val="000166A6"/>
    <w:rsid w:val="00017583"/>
    <w:rsid w:val="000176F8"/>
    <w:rsid w:val="00020321"/>
    <w:rsid w:val="00020E7A"/>
    <w:rsid w:val="0002118F"/>
    <w:rsid w:val="0002391A"/>
    <w:rsid w:val="000248F8"/>
    <w:rsid w:val="00024E51"/>
    <w:rsid w:val="00026391"/>
    <w:rsid w:val="00027797"/>
    <w:rsid w:val="0003398E"/>
    <w:rsid w:val="000340A2"/>
    <w:rsid w:val="00034A39"/>
    <w:rsid w:val="00035514"/>
    <w:rsid w:val="00035F4F"/>
    <w:rsid w:val="00036E2D"/>
    <w:rsid w:val="0003786C"/>
    <w:rsid w:val="00040935"/>
    <w:rsid w:val="00040B62"/>
    <w:rsid w:val="00041780"/>
    <w:rsid w:val="000418BE"/>
    <w:rsid w:val="00043EE3"/>
    <w:rsid w:val="00044019"/>
    <w:rsid w:val="000448FF"/>
    <w:rsid w:val="000460D0"/>
    <w:rsid w:val="00047252"/>
    <w:rsid w:val="00047374"/>
    <w:rsid w:val="000477F5"/>
    <w:rsid w:val="00050D0D"/>
    <w:rsid w:val="0005110F"/>
    <w:rsid w:val="00051C4E"/>
    <w:rsid w:val="000520E4"/>
    <w:rsid w:val="00052967"/>
    <w:rsid w:val="0005335B"/>
    <w:rsid w:val="00053403"/>
    <w:rsid w:val="00053435"/>
    <w:rsid w:val="0005467A"/>
    <w:rsid w:val="000548F3"/>
    <w:rsid w:val="00054988"/>
    <w:rsid w:val="00055BFF"/>
    <w:rsid w:val="00056451"/>
    <w:rsid w:val="000569F5"/>
    <w:rsid w:val="00057263"/>
    <w:rsid w:val="0006047F"/>
    <w:rsid w:val="000604F0"/>
    <w:rsid w:val="00064516"/>
    <w:rsid w:val="00064A93"/>
    <w:rsid w:val="00064D1E"/>
    <w:rsid w:val="00065E05"/>
    <w:rsid w:val="00066AE6"/>
    <w:rsid w:val="000674D2"/>
    <w:rsid w:val="000709A1"/>
    <w:rsid w:val="00071B6F"/>
    <w:rsid w:val="000733B2"/>
    <w:rsid w:val="000735A6"/>
    <w:rsid w:val="000753DE"/>
    <w:rsid w:val="000754FD"/>
    <w:rsid w:val="00076BDD"/>
    <w:rsid w:val="000806BC"/>
    <w:rsid w:val="00081239"/>
    <w:rsid w:val="000818E6"/>
    <w:rsid w:val="00081A05"/>
    <w:rsid w:val="0008388F"/>
    <w:rsid w:val="00085F8A"/>
    <w:rsid w:val="00086C11"/>
    <w:rsid w:val="00087F8F"/>
    <w:rsid w:val="000904EE"/>
    <w:rsid w:val="00093D58"/>
    <w:rsid w:val="00094891"/>
    <w:rsid w:val="00095277"/>
    <w:rsid w:val="00095465"/>
    <w:rsid w:val="00095728"/>
    <w:rsid w:val="000971C3"/>
    <w:rsid w:val="0009787B"/>
    <w:rsid w:val="000A0CF2"/>
    <w:rsid w:val="000A2084"/>
    <w:rsid w:val="000A2705"/>
    <w:rsid w:val="000A3532"/>
    <w:rsid w:val="000A37D0"/>
    <w:rsid w:val="000A44FC"/>
    <w:rsid w:val="000A490C"/>
    <w:rsid w:val="000A60DE"/>
    <w:rsid w:val="000A6B1A"/>
    <w:rsid w:val="000A787B"/>
    <w:rsid w:val="000B164F"/>
    <w:rsid w:val="000B275B"/>
    <w:rsid w:val="000B4FD6"/>
    <w:rsid w:val="000B6AAD"/>
    <w:rsid w:val="000B6E01"/>
    <w:rsid w:val="000B6FDD"/>
    <w:rsid w:val="000B7EE3"/>
    <w:rsid w:val="000C0CFC"/>
    <w:rsid w:val="000C1755"/>
    <w:rsid w:val="000C1B4A"/>
    <w:rsid w:val="000C1CD2"/>
    <w:rsid w:val="000C4F5C"/>
    <w:rsid w:val="000C4FC4"/>
    <w:rsid w:val="000C51DB"/>
    <w:rsid w:val="000C5A90"/>
    <w:rsid w:val="000C6239"/>
    <w:rsid w:val="000C7D52"/>
    <w:rsid w:val="000D00EE"/>
    <w:rsid w:val="000D17A8"/>
    <w:rsid w:val="000D2599"/>
    <w:rsid w:val="000D275D"/>
    <w:rsid w:val="000D33A8"/>
    <w:rsid w:val="000D3C36"/>
    <w:rsid w:val="000D45EC"/>
    <w:rsid w:val="000D577D"/>
    <w:rsid w:val="000D5DBA"/>
    <w:rsid w:val="000D641C"/>
    <w:rsid w:val="000D78D4"/>
    <w:rsid w:val="000E0586"/>
    <w:rsid w:val="000E0A6A"/>
    <w:rsid w:val="000E10FE"/>
    <w:rsid w:val="000E1B67"/>
    <w:rsid w:val="000E2449"/>
    <w:rsid w:val="000E2462"/>
    <w:rsid w:val="000E25D4"/>
    <w:rsid w:val="000E3179"/>
    <w:rsid w:val="000E3798"/>
    <w:rsid w:val="000E4E84"/>
    <w:rsid w:val="000E60F4"/>
    <w:rsid w:val="000E7334"/>
    <w:rsid w:val="000E7616"/>
    <w:rsid w:val="000F0956"/>
    <w:rsid w:val="000F1C74"/>
    <w:rsid w:val="000F20CB"/>
    <w:rsid w:val="000F2294"/>
    <w:rsid w:val="000F2B52"/>
    <w:rsid w:val="000F326A"/>
    <w:rsid w:val="000F3413"/>
    <w:rsid w:val="000F3540"/>
    <w:rsid w:val="000F50EC"/>
    <w:rsid w:val="000F51C3"/>
    <w:rsid w:val="000F5C0E"/>
    <w:rsid w:val="000F7380"/>
    <w:rsid w:val="00100570"/>
    <w:rsid w:val="00100600"/>
    <w:rsid w:val="00100726"/>
    <w:rsid w:val="00100DC8"/>
    <w:rsid w:val="00101E5E"/>
    <w:rsid w:val="0010243D"/>
    <w:rsid w:val="001024B5"/>
    <w:rsid w:val="00102A22"/>
    <w:rsid w:val="001030A6"/>
    <w:rsid w:val="001033C3"/>
    <w:rsid w:val="00104866"/>
    <w:rsid w:val="00104C9A"/>
    <w:rsid w:val="001052D5"/>
    <w:rsid w:val="00105752"/>
    <w:rsid w:val="00110185"/>
    <w:rsid w:val="00110242"/>
    <w:rsid w:val="00110D83"/>
    <w:rsid w:val="0011199E"/>
    <w:rsid w:val="00115C2D"/>
    <w:rsid w:val="00117EFC"/>
    <w:rsid w:val="0012164D"/>
    <w:rsid w:val="001242D6"/>
    <w:rsid w:val="00124DA8"/>
    <w:rsid w:val="0012518E"/>
    <w:rsid w:val="001264B7"/>
    <w:rsid w:val="001309A6"/>
    <w:rsid w:val="0013280F"/>
    <w:rsid w:val="0013281A"/>
    <w:rsid w:val="0013377D"/>
    <w:rsid w:val="00134128"/>
    <w:rsid w:val="00135BFC"/>
    <w:rsid w:val="0013686E"/>
    <w:rsid w:val="001373A0"/>
    <w:rsid w:val="00137AF0"/>
    <w:rsid w:val="001405A5"/>
    <w:rsid w:val="001415A2"/>
    <w:rsid w:val="0014224E"/>
    <w:rsid w:val="0014354D"/>
    <w:rsid w:val="001442EA"/>
    <w:rsid w:val="0014508E"/>
    <w:rsid w:val="001459C4"/>
    <w:rsid w:val="00145ED6"/>
    <w:rsid w:val="0014601A"/>
    <w:rsid w:val="00147CD8"/>
    <w:rsid w:val="00150C7C"/>
    <w:rsid w:val="00151F5E"/>
    <w:rsid w:val="001522C9"/>
    <w:rsid w:val="001533D8"/>
    <w:rsid w:val="00157649"/>
    <w:rsid w:val="0016142A"/>
    <w:rsid w:val="0016275C"/>
    <w:rsid w:val="00164589"/>
    <w:rsid w:val="00164A16"/>
    <w:rsid w:val="00164BA9"/>
    <w:rsid w:val="00164C8C"/>
    <w:rsid w:val="00164E2F"/>
    <w:rsid w:val="001663F1"/>
    <w:rsid w:val="001665A4"/>
    <w:rsid w:val="0016689B"/>
    <w:rsid w:val="001672A1"/>
    <w:rsid w:val="001677FE"/>
    <w:rsid w:val="001731A7"/>
    <w:rsid w:val="00173904"/>
    <w:rsid w:val="001753F5"/>
    <w:rsid w:val="001760E5"/>
    <w:rsid w:val="00176118"/>
    <w:rsid w:val="001763D0"/>
    <w:rsid w:val="001767BD"/>
    <w:rsid w:val="00177C23"/>
    <w:rsid w:val="001802C8"/>
    <w:rsid w:val="00181BBC"/>
    <w:rsid w:val="00181EEB"/>
    <w:rsid w:val="00182832"/>
    <w:rsid w:val="00182A90"/>
    <w:rsid w:val="001842FF"/>
    <w:rsid w:val="0018435A"/>
    <w:rsid w:val="00184908"/>
    <w:rsid w:val="00185E48"/>
    <w:rsid w:val="00186222"/>
    <w:rsid w:val="00186F89"/>
    <w:rsid w:val="00186FB3"/>
    <w:rsid w:val="00187131"/>
    <w:rsid w:val="001907DA"/>
    <w:rsid w:val="00191F89"/>
    <w:rsid w:val="00192A07"/>
    <w:rsid w:val="001937B7"/>
    <w:rsid w:val="00193FE1"/>
    <w:rsid w:val="00194677"/>
    <w:rsid w:val="00194AC1"/>
    <w:rsid w:val="00196684"/>
    <w:rsid w:val="00196BB0"/>
    <w:rsid w:val="00196D53"/>
    <w:rsid w:val="00196FA4"/>
    <w:rsid w:val="001972FA"/>
    <w:rsid w:val="00197662"/>
    <w:rsid w:val="00197E50"/>
    <w:rsid w:val="001A070A"/>
    <w:rsid w:val="001A2FAB"/>
    <w:rsid w:val="001A504D"/>
    <w:rsid w:val="001A589D"/>
    <w:rsid w:val="001A6326"/>
    <w:rsid w:val="001A6D1B"/>
    <w:rsid w:val="001A7F35"/>
    <w:rsid w:val="001B0407"/>
    <w:rsid w:val="001B08D0"/>
    <w:rsid w:val="001B118B"/>
    <w:rsid w:val="001B171B"/>
    <w:rsid w:val="001B27C5"/>
    <w:rsid w:val="001B4B47"/>
    <w:rsid w:val="001B4EA2"/>
    <w:rsid w:val="001B61E7"/>
    <w:rsid w:val="001B6DC2"/>
    <w:rsid w:val="001B7604"/>
    <w:rsid w:val="001C013F"/>
    <w:rsid w:val="001C1100"/>
    <w:rsid w:val="001C149B"/>
    <w:rsid w:val="001C15B0"/>
    <w:rsid w:val="001C1839"/>
    <w:rsid w:val="001C231D"/>
    <w:rsid w:val="001C35C4"/>
    <w:rsid w:val="001C4864"/>
    <w:rsid w:val="001C5AA7"/>
    <w:rsid w:val="001C6835"/>
    <w:rsid w:val="001C7FEF"/>
    <w:rsid w:val="001D09D5"/>
    <w:rsid w:val="001D246F"/>
    <w:rsid w:val="001D3258"/>
    <w:rsid w:val="001D4C76"/>
    <w:rsid w:val="001D5001"/>
    <w:rsid w:val="001D5602"/>
    <w:rsid w:val="001D5FCA"/>
    <w:rsid w:val="001D613F"/>
    <w:rsid w:val="001D71F1"/>
    <w:rsid w:val="001D793A"/>
    <w:rsid w:val="001D7A77"/>
    <w:rsid w:val="001D7F55"/>
    <w:rsid w:val="001E0061"/>
    <w:rsid w:val="001E0D4A"/>
    <w:rsid w:val="001E1BFF"/>
    <w:rsid w:val="001E3874"/>
    <w:rsid w:val="001E3951"/>
    <w:rsid w:val="001E3D97"/>
    <w:rsid w:val="001E3DA1"/>
    <w:rsid w:val="001E3E87"/>
    <w:rsid w:val="001E4B8F"/>
    <w:rsid w:val="001E5523"/>
    <w:rsid w:val="001E64EA"/>
    <w:rsid w:val="001E6798"/>
    <w:rsid w:val="001E6C02"/>
    <w:rsid w:val="001E6E2F"/>
    <w:rsid w:val="001E7210"/>
    <w:rsid w:val="001F0B8A"/>
    <w:rsid w:val="001F123F"/>
    <w:rsid w:val="001F291D"/>
    <w:rsid w:val="001F2D65"/>
    <w:rsid w:val="001F3A30"/>
    <w:rsid w:val="001F4CC6"/>
    <w:rsid w:val="001F4E24"/>
    <w:rsid w:val="001F5168"/>
    <w:rsid w:val="001F5CD5"/>
    <w:rsid w:val="001F654D"/>
    <w:rsid w:val="001F6AA9"/>
    <w:rsid w:val="001F6D20"/>
    <w:rsid w:val="001F6EAE"/>
    <w:rsid w:val="002013B4"/>
    <w:rsid w:val="00201786"/>
    <w:rsid w:val="00201A2D"/>
    <w:rsid w:val="0020245E"/>
    <w:rsid w:val="002050CF"/>
    <w:rsid w:val="002065C8"/>
    <w:rsid w:val="00207EDF"/>
    <w:rsid w:val="00210240"/>
    <w:rsid w:val="002102ED"/>
    <w:rsid w:val="00210A90"/>
    <w:rsid w:val="00211151"/>
    <w:rsid w:val="00211898"/>
    <w:rsid w:val="0021356D"/>
    <w:rsid w:val="002135B4"/>
    <w:rsid w:val="00213EF3"/>
    <w:rsid w:val="00214066"/>
    <w:rsid w:val="0021469D"/>
    <w:rsid w:val="002150D9"/>
    <w:rsid w:val="002151E2"/>
    <w:rsid w:val="0021551F"/>
    <w:rsid w:val="00215A6C"/>
    <w:rsid w:val="00215C34"/>
    <w:rsid w:val="002174F2"/>
    <w:rsid w:val="002210FC"/>
    <w:rsid w:val="0022229A"/>
    <w:rsid w:val="00223FAE"/>
    <w:rsid w:val="00226228"/>
    <w:rsid w:val="00226317"/>
    <w:rsid w:val="00230FF9"/>
    <w:rsid w:val="002319E2"/>
    <w:rsid w:val="00231AFA"/>
    <w:rsid w:val="00234C91"/>
    <w:rsid w:val="002350F8"/>
    <w:rsid w:val="00237E51"/>
    <w:rsid w:val="00240168"/>
    <w:rsid w:val="00240EEE"/>
    <w:rsid w:val="00241870"/>
    <w:rsid w:val="00241EEC"/>
    <w:rsid w:val="002422FB"/>
    <w:rsid w:val="00242AA7"/>
    <w:rsid w:val="002435C5"/>
    <w:rsid w:val="00243C4D"/>
    <w:rsid w:val="00243E65"/>
    <w:rsid w:val="00244D2D"/>
    <w:rsid w:val="00245A18"/>
    <w:rsid w:val="00246ECC"/>
    <w:rsid w:val="0024728A"/>
    <w:rsid w:val="002473CC"/>
    <w:rsid w:val="002479A1"/>
    <w:rsid w:val="0025068B"/>
    <w:rsid w:val="002513BD"/>
    <w:rsid w:val="002521A5"/>
    <w:rsid w:val="0025296A"/>
    <w:rsid w:val="00253018"/>
    <w:rsid w:val="00253084"/>
    <w:rsid w:val="00254102"/>
    <w:rsid w:val="00254372"/>
    <w:rsid w:val="00254EB2"/>
    <w:rsid w:val="00255527"/>
    <w:rsid w:val="0025594E"/>
    <w:rsid w:val="002610BC"/>
    <w:rsid w:val="002621BF"/>
    <w:rsid w:val="00263DD3"/>
    <w:rsid w:val="00264634"/>
    <w:rsid w:val="00265DA6"/>
    <w:rsid w:val="00265E23"/>
    <w:rsid w:val="002664E1"/>
    <w:rsid w:val="00266F62"/>
    <w:rsid w:val="002670E1"/>
    <w:rsid w:val="00267C07"/>
    <w:rsid w:val="002717D3"/>
    <w:rsid w:val="0027252B"/>
    <w:rsid w:val="00273B61"/>
    <w:rsid w:val="00273EF0"/>
    <w:rsid w:val="0027487E"/>
    <w:rsid w:val="00275152"/>
    <w:rsid w:val="002755B6"/>
    <w:rsid w:val="00275D45"/>
    <w:rsid w:val="00276CAE"/>
    <w:rsid w:val="00277AA2"/>
    <w:rsid w:val="002812B1"/>
    <w:rsid w:val="00281349"/>
    <w:rsid w:val="00281B06"/>
    <w:rsid w:val="00282D86"/>
    <w:rsid w:val="00283D1D"/>
    <w:rsid w:val="00284846"/>
    <w:rsid w:val="00284B12"/>
    <w:rsid w:val="002874D1"/>
    <w:rsid w:val="0029224C"/>
    <w:rsid w:val="00293E2D"/>
    <w:rsid w:val="002951E7"/>
    <w:rsid w:val="0029588C"/>
    <w:rsid w:val="0029652E"/>
    <w:rsid w:val="00297BAE"/>
    <w:rsid w:val="002A0E19"/>
    <w:rsid w:val="002A2CE8"/>
    <w:rsid w:val="002A32E0"/>
    <w:rsid w:val="002A347D"/>
    <w:rsid w:val="002A353F"/>
    <w:rsid w:val="002A43B6"/>
    <w:rsid w:val="002A509B"/>
    <w:rsid w:val="002A5605"/>
    <w:rsid w:val="002A623E"/>
    <w:rsid w:val="002A7166"/>
    <w:rsid w:val="002A7354"/>
    <w:rsid w:val="002A752F"/>
    <w:rsid w:val="002B03AA"/>
    <w:rsid w:val="002B0A46"/>
    <w:rsid w:val="002B0D51"/>
    <w:rsid w:val="002B1341"/>
    <w:rsid w:val="002B281B"/>
    <w:rsid w:val="002B40EA"/>
    <w:rsid w:val="002B6ACC"/>
    <w:rsid w:val="002B6F07"/>
    <w:rsid w:val="002B73EF"/>
    <w:rsid w:val="002B770A"/>
    <w:rsid w:val="002B7F06"/>
    <w:rsid w:val="002C0CFA"/>
    <w:rsid w:val="002C1126"/>
    <w:rsid w:val="002C1158"/>
    <w:rsid w:val="002C1492"/>
    <w:rsid w:val="002C3A58"/>
    <w:rsid w:val="002C4266"/>
    <w:rsid w:val="002C6D15"/>
    <w:rsid w:val="002C761D"/>
    <w:rsid w:val="002D0E15"/>
    <w:rsid w:val="002D17D3"/>
    <w:rsid w:val="002D31A5"/>
    <w:rsid w:val="002D5991"/>
    <w:rsid w:val="002D66B4"/>
    <w:rsid w:val="002D6AA2"/>
    <w:rsid w:val="002D6ED8"/>
    <w:rsid w:val="002D7E28"/>
    <w:rsid w:val="002E14FD"/>
    <w:rsid w:val="002E1EBF"/>
    <w:rsid w:val="002E3483"/>
    <w:rsid w:val="002E4049"/>
    <w:rsid w:val="002E42D8"/>
    <w:rsid w:val="002E5CEA"/>
    <w:rsid w:val="002E5EC5"/>
    <w:rsid w:val="002E5F86"/>
    <w:rsid w:val="002E66CA"/>
    <w:rsid w:val="002F0152"/>
    <w:rsid w:val="002F16ED"/>
    <w:rsid w:val="002F1C5F"/>
    <w:rsid w:val="002F3A19"/>
    <w:rsid w:val="002F3FF1"/>
    <w:rsid w:val="002F5CCE"/>
    <w:rsid w:val="002F675D"/>
    <w:rsid w:val="002F7598"/>
    <w:rsid w:val="002F7E20"/>
    <w:rsid w:val="00300DBD"/>
    <w:rsid w:val="00301224"/>
    <w:rsid w:val="00302DD5"/>
    <w:rsid w:val="003038ED"/>
    <w:rsid w:val="00304A98"/>
    <w:rsid w:val="00305AFE"/>
    <w:rsid w:val="00306E1D"/>
    <w:rsid w:val="003074F4"/>
    <w:rsid w:val="003075A5"/>
    <w:rsid w:val="00307A6D"/>
    <w:rsid w:val="0031050D"/>
    <w:rsid w:val="00312786"/>
    <w:rsid w:val="00317A09"/>
    <w:rsid w:val="0032016B"/>
    <w:rsid w:val="003227EF"/>
    <w:rsid w:val="00322FAA"/>
    <w:rsid w:val="0032386D"/>
    <w:rsid w:val="0032488D"/>
    <w:rsid w:val="00325681"/>
    <w:rsid w:val="00326147"/>
    <w:rsid w:val="00326568"/>
    <w:rsid w:val="00327123"/>
    <w:rsid w:val="00327B41"/>
    <w:rsid w:val="00330F58"/>
    <w:rsid w:val="00332241"/>
    <w:rsid w:val="003347B7"/>
    <w:rsid w:val="00334D42"/>
    <w:rsid w:val="003362F3"/>
    <w:rsid w:val="00341083"/>
    <w:rsid w:val="003425F8"/>
    <w:rsid w:val="00342AAC"/>
    <w:rsid w:val="003456F0"/>
    <w:rsid w:val="00350A03"/>
    <w:rsid w:val="00350B12"/>
    <w:rsid w:val="00350DD2"/>
    <w:rsid w:val="00351CF0"/>
    <w:rsid w:val="003528AA"/>
    <w:rsid w:val="003548AA"/>
    <w:rsid w:val="00355661"/>
    <w:rsid w:val="00357E2E"/>
    <w:rsid w:val="00360027"/>
    <w:rsid w:val="00360E5A"/>
    <w:rsid w:val="0036308B"/>
    <w:rsid w:val="003633A0"/>
    <w:rsid w:val="003635DB"/>
    <w:rsid w:val="00363663"/>
    <w:rsid w:val="00363F8F"/>
    <w:rsid w:val="0036478D"/>
    <w:rsid w:val="0036584C"/>
    <w:rsid w:val="003671A6"/>
    <w:rsid w:val="00367408"/>
    <w:rsid w:val="00367CC4"/>
    <w:rsid w:val="00372396"/>
    <w:rsid w:val="003735E3"/>
    <w:rsid w:val="00374869"/>
    <w:rsid w:val="00374BA5"/>
    <w:rsid w:val="00374D2E"/>
    <w:rsid w:val="00374FC5"/>
    <w:rsid w:val="003752BF"/>
    <w:rsid w:val="00375587"/>
    <w:rsid w:val="00375A9B"/>
    <w:rsid w:val="00375B57"/>
    <w:rsid w:val="00375CCE"/>
    <w:rsid w:val="00377058"/>
    <w:rsid w:val="00380FCB"/>
    <w:rsid w:val="00381021"/>
    <w:rsid w:val="00382B58"/>
    <w:rsid w:val="00384B41"/>
    <w:rsid w:val="00384D3F"/>
    <w:rsid w:val="00384F17"/>
    <w:rsid w:val="003869D7"/>
    <w:rsid w:val="00386F69"/>
    <w:rsid w:val="003923BC"/>
    <w:rsid w:val="0039240B"/>
    <w:rsid w:val="003932AB"/>
    <w:rsid w:val="00393701"/>
    <w:rsid w:val="00393DB7"/>
    <w:rsid w:val="0039464A"/>
    <w:rsid w:val="00394A1E"/>
    <w:rsid w:val="00394DAA"/>
    <w:rsid w:val="00394FCC"/>
    <w:rsid w:val="00396EDD"/>
    <w:rsid w:val="003972B7"/>
    <w:rsid w:val="003974E8"/>
    <w:rsid w:val="003A1106"/>
    <w:rsid w:val="003A1C33"/>
    <w:rsid w:val="003A238A"/>
    <w:rsid w:val="003A2C1B"/>
    <w:rsid w:val="003A3A36"/>
    <w:rsid w:val="003A4489"/>
    <w:rsid w:val="003A4784"/>
    <w:rsid w:val="003A48E2"/>
    <w:rsid w:val="003A670B"/>
    <w:rsid w:val="003A676A"/>
    <w:rsid w:val="003B056C"/>
    <w:rsid w:val="003B057D"/>
    <w:rsid w:val="003B09C2"/>
    <w:rsid w:val="003B0C6E"/>
    <w:rsid w:val="003B0D27"/>
    <w:rsid w:val="003B2676"/>
    <w:rsid w:val="003B3C4F"/>
    <w:rsid w:val="003B3E94"/>
    <w:rsid w:val="003B3F9E"/>
    <w:rsid w:val="003B50DD"/>
    <w:rsid w:val="003B51C9"/>
    <w:rsid w:val="003B53A5"/>
    <w:rsid w:val="003B55C0"/>
    <w:rsid w:val="003B6721"/>
    <w:rsid w:val="003B7069"/>
    <w:rsid w:val="003C27C1"/>
    <w:rsid w:val="003C3DED"/>
    <w:rsid w:val="003C5368"/>
    <w:rsid w:val="003C7856"/>
    <w:rsid w:val="003C7C00"/>
    <w:rsid w:val="003D0313"/>
    <w:rsid w:val="003D13E0"/>
    <w:rsid w:val="003D1568"/>
    <w:rsid w:val="003D1C21"/>
    <w:rsid w:val="003D1F04"/>
    <w:rsid w:val="003D2C34"/>
    <w:rsid w:val="003D36B0"/>
    <w:rsid w:val="003D4989"/>
    <w:rsid w:val="003D4F39"/>
    <w:rsid w:val="003D4FF0"/>
    <w:rsid w:val="003D54A6"/>
    <w:rsid w:val="003D5944"/>
    <w:rsid w:val="003D5CB3"/>
    <w:rsid w:val="003D5DE7"/>
    <w:rsid w:val="003D712A"/>
    <w:rsid w:val="003E0307"/>
    <w:rsid w:val="003E07DF"/>
    <w:rsid w:val="003E151C"/>
    <w:rsid w:val="003E278F"/>
    <w:rsid w:val="003E2AED"/>
    <w:rsid w:val="003E49B3"/>
    <w:rsid w:val="003E4C8A"/>
    <w:rsid w:val="003E6921"/>
    <w:rsid w:val="003E6C4A"/>
    <w:rsid w:val="003F1080"/>
    <w:rsid w:val="003F1B64"/>
    <w:rsid w:val="003F2524"/>
    <w:rsid w:val="003F2B9D"/>
    <w:rsid w:val="003F2F5D"/>
    <w:rsid w:val="003F3873"/>
    <w:rsid w:val="003F39C4"/>
    <w:rsid w:val="00400659"/>
    <w:rsid w:val="00402153"/>
    <w:rsid w:val="00402448"/>
    <w:rsid w:val="00402D45"/>
    <w:rsid w:val="00404787"/>
    <w:rsid w:val="00405C6D"/>
    <w:rsid w:val="004071F8"/>
    <w:rsid w:val="00407559"/>
    <w:rsid w:val="00407B9D"/>
    <w:rsid w:val="0041113D"/>
    <w:rsid w:val="00411DBC"/>
    <w:rsid w:val="00412858"/>
    <w:rsid w:val="00414731"/>
    <w:rsid w:val="00416C47"/>
    <w:rsid w:val="0042050F"/>
    <w:rsid w:val="00421A53"/>
    <w:rsid w:val="00425257"/>
    <w:rsid w:val="00425637"/>
    <w:rsid w:val="00425F65"/>
    <w:rsid w:val="00426488"/>
    <w:rsid w:val="0042742F"/>
    <w:rsid w:val="00427D9A"/>
    <w:rsid w:val="0043010A"/>
    <w:rsid w:val="0043027E"/>
    <w:rsid w:val="00430C9C"/>
    <w:rsid w:val="004319DA"/>
    <w:rsid w:val="00431F71"/>
    <w:rsid w:val="00434226"/>
    <w:rsid w:val="00435F5D"/>
    <w:rsid w:val="004361B2"/>
    <w:rsid w:val="00436615"/>
    <w:rsid w:val="0043677C"/>
    <w:rsid w:val="0043768C"/>
    <w:rsid w:val="004402B0"/>
    <w:rsid w:val="00440816"/>
    <w:rsid w:val="00441409"/>
    <w:rsid w:val="00441C88"/>
    <w:rsid w:val="00443901"/>
    <w:rsid w:val="00445F28"/>
    <w:rsid w:val="0044694D"/>
    <w:rsid w:val="0045029C"/>
    <w:rsid w:val="00450F77"/>
    <w:rsid w:val="00450F9C"/>
    <w:rsid w:val="004516BF"/>
    <w:rsid w:val="0045307B"/>
    <w:rsid w:val="00453951"/>
    <w:rsid w:val="0045413B"/>
    <w:rsid w:val="00455D63"/>
    <w:rsid w:val="0045665A"/>
    <w:rsid w:val="00456671"/>
    <w:rsid w:val="00457440"/>
    <w:rsid w:val="0046064F"/>
    <w:rsid w:val="00460BC9"/>
    <w:rsid w:val="00464640"/>
    <w:rsid w:val="00465054"/>
    <w:rsid w:val="004663CE"/>
    <w:rsid w:val="00470306"/>
    <w:rsid w:val="00470A00"/>
    <w:rsid w:val="00470DD2"/>
    <w:rsid w:val="0047118A"/>
    <w:rsid w:val="00471984"/>
    <w:rsid w:val="004729ED"/>
    <w:rsid w:val="00473478"/>
    <w:rsid w:val="004739BF"/>
    <w:rsid w:val="0047502F"/>
    <w:rsid w:val="00475729"/>
    <w:rsid w:val="004776E0"/>
    <w:rsid w:val="00477AD6"/>
    <w:rsid w:val="004815EE"/>
    <w:rsid w:val="00482C3B"/>
    <w:rsid w:val="00482EE1"/>
    <w:rsid w:val="00482F0F"/>
    <w:rsid w:val="004840B3"/>
    <w:rsid w:val="00484BCE"/>
    <w:rsid w:val="004857E5"/>
    <w:rsid w:val="004901E7"/>
    <w:rsid w:val="004908C0"/>
    <w:rsid w:val="004912EE"/>
    <w:rsid w:val="004920EC"/>
    <w:rsid w:val="004938C7"/>
    <w:rsid w:val="00493901"/>
    <w:rsid w:val="00494903"/>
    <w:rsid w:val="004952F4"/>
    <w:rsid w:val="00496488"/>
    <w:rsid w:val="00496B11"/>
    <w:rsid w:val="00497B8D"/>
    <w:rsid w:val="00497BF8"/>
    <w:rsid w:val="004A1126"/>
    <w:rsid w:val="004A2393"/>
    <w:rsid w:val="004A36CF"/>
    <w:rsid w:val="004A4A1E"/>
    <w:rsid w:val="004A4C3A"/>
    <w:rsid w:val="004A5B2E"/>
    <w:rsid w:val="004B08B8"/>
    <w:rsid w:val="004B22A5"/>
    <w:rsid w:val="004B287E"/>
    <w:rsid w:val="004B2CF0"/>
    <w:rsid w:val="004B3518"/>
    <w:rsid w:val="004B38C0"/>
    <w:rsid w:val="004B3CDA"/>
    <w:rsid w:val="004B4A31"/>
    <w:rsid w:val="004B7B18"/>
    <w:rsid w:val="004C000F"/>
    <w:rsid w:val="004C0CD0"/>
    <w:rsid w:val="004C0F13"/>
    <w:rsid w:val="004C1B6F"/>
    <w:rsid w:val="004C2E18"/>
    <w:rsid w:val="004C3420"/>
    <w:rsid w:val="004C381F"/>
    <w:rsid w:val="004C432F"/>
    <w:rsid w:val="004C43FA"/>
    <w:rsid w:val="004C5FAD"/>
    <w:rsid w:val="004C6C8D"/>
    <w:rsid w:val="004C7592"/>
    <w:rsid w:val="004D09DA"/>
    <w:rsid w:val="004D0F55"/>
    <w:rsid w:val="004D1DF0"/>
    <w:rsid w:val="004D20C3"/>
    <w:rsid w:val="004D346D"/>
    <w:rsid w:val="004D49B4"/>
    <w:rsid w:val="004D6459"/>
    <w:rsid w:val="004D7EB3"/>
    <w:rsid w:val="004E01FC"/>
    <w:rsid w:val="004E1E90"/>
    <w:rsid w:val="004E3314"/>
    <w:rsid w:val="004E35E3"/>
    <w:rsid w:val="004E4967"/>
    <w:rsid w:val="004E4D39"/>
    <w:rsid w:val="004E5603"/>
    <w:rsid w:val="004E5BB8"/>
    <w:rsid w:val="004E5FBF"/>
    <w:rsid w:val="004E6940"/>
    <w:rsid w:val="004E73D2"/>
    <w:rsid w:val="004F10F9"/>
    <w:rsid w:val="004F14D7"/>
    <w:rsid w:val="004F1A12"/>
    <w:rsid w:val="004F1AB8"/>
    <w:rsid w:val="004F27DF"/>
    <w:rsid w:val="004F412C"/>
    <w:rsid w:val="004F4550"/>
    <w:rsid w:val="004F5287"/>
    <w:rsid w:val="004F5381"/>
    <w:rsid w:val="004F5C52"/>
    <w:rsid w:val="0050107C"/>
    <w:rsid w:val="005017A8"/>
    <w:rsid w:val="00501848"/>
    <w:rsid w:val="005021F4"/>
    <w:rsid w:val="00502ACA"/>
    <w:rsid w:val="00503B13"/>
    <w:rsid w:val="005041CE"/>
    <w:rsid w:val="00504373"/>
    <w:rsid w:val="00507340"/>
    <w:rsid w:val="00510236"/>
    <w:rsid w:val="00511760"/>
    <w:rsid w:val="00511D83"/>
    <w:rsid w:val="0051387F"/>
    <w:rsid w:val="00513F3B"/>
    <w:rsid w:val="005140AF"/>
    <w:rsid w:val="0051493E"/>
    <w:rsid w:val="0051645B"/>
    <w:rsid w:val="00516891"/>
    <w:rsid w:val="00516C06"/>
    <w:rsid w:val="005177E2"/>
    <w:rsid w:val="005217F8"/>
    <w:rsid w:val="00521D49"/>
    <w:rsid w:val="00523650"/>
    <w:rsid w:val="005238B1"/>
    <w:rsid w:val="00523CAB"/>
    <w:rsid w:val="00524291"/>
    <w:rsid w:val="005245B6"/>
    <w:rsid w:val="005255FE"/>
    <w:rsid w:val="00525A3F"/>
    <w:rsid w:val="00526D40"/>
    <w:rsid w:val="00527192"/>
    <w:rsid w:val="005279F6"/>
    <w:rsid w:val="00530CE1"/>
    <w:rsid w:val="00533369"/>
    <w:rsid w:val="00533ED2"/>
    <w:rsid w:val="005349CE"/>
    <w:rsid w:val="005356B9"/>
    <w:rsid w:val="0053717B"/>
    <w:rsid w:val="0053763A"/>
    <w:rsid w:val="00537DF6"/>
    <w:rsid w:val="005421A2"/>
    <w:rsid w:val="00542EEA"/>
    <w:rsid w:val="00545B93"/>
    <w:rsid w:val="00545F30"/>
    <w:rsid w:val="005461F9"/>
    <w:rsid w:val="00547C67"/>
    <w:rsid w:val="00550333"/>
    <w:rsid w:val="0055142A"/>
    <w:rsid w:val="00551B2A"/>
    <w:rsid w:val="00552625"/>
    <w:rsid w:val="005543AA"/>
    <w:rsid w:val="00557A7B"/>
    <w:rsid w:val="0056068D"/>
    <w:rsid w:val="005616C9"/>
    <w:rsid w:val="00562831"/>
    <w:rsid w:val="00562B24"/>
    <w:rsid w:val="0056362F"/>
    <w:rsid w:val="00563ACC"/>
    <w:rsid w:val="00564420"/>
    <w:rsid w:val="00564592"/>
    <w:rsid w:val="00564B98"/>
    <w:rsid w:val="00566D13"/>
    <w:rsid w:val="00566EBC"/>
    <w:rsid w:val="00566EF1"/>
    <w:rsid w:val="0056744B"/>
    <w:rsid w:val="00570C1C"/>
    <w:rsid w:val="00571242"/>
    <w:rsid w:val="0057192C"/>
    <w:rsid w:val="0057321B"/>
    <w:rsid w:val="0057324F"/>
    <w:rsid w:val="00573BCD"/>
    <w:rsid w:val="00573F4A"/>
    <w:rsid w:val="00574405"/>
    <w:rsid w:val="005744C6"/>
    <w:rsid w:val="00576391"/>
    <w:rsid w:val="00576408"/>
    <w:rsid w:val="00576882"/>
    <w:rsid w:val="00576E35"/>
    <w:rsid w:val="00577B31"/>
    <w:rsid w:val="005803D1"/>
    <w:rsid w:val="005818EC"/>
    <w:rsid w:val="005829C4"/>
    <w:rsid w:val="005829FD"/>
    <w:rsid w:val="0058413D"/>
    <w:rsid w:val="00585446"/>
    <w:rsid w:val="005855E3"/>
    <w:rsid w:val="0058631C"/>
    <w:rsid w:val="0058736D"/>
    <w:rsid w:val="00587B2E"/>
    <w:rsid w:val="0059018F"/>
    <w:rsid w:val="005906FC"/>
    <w:rsid w:val="0059233D"/>
    <w:rsid w:val="00592913"/>
    <w:rsid w:val="005939FE"/>
    <w:rsid w:val="00593A97"/>
    <w:rsid w:val="00594FF5"/>
    <w:rsid w:val="005951DE"/>
    <w:rsid w:val="00597682"/>
    <w:rsid w:val="005977B4"/>
    <w:rsid w:val="005A1EEB"/>
    <w:rsid w:val="005A26A7"/>
    <w:rsid w:val="005A467B"/>
    <w:rsid w:val="005A5939"/>
    <w:rsid w:val="005A5B2D"/>
    <w:rsid w:val="005A5E03"/>
    <w:rsid w:val="005A621C"/>
    <w:rsid w:val="005A6D31"/>
    <w:rsid w:val="005A7B59"/>
    <w:rsid w:val="005B10B8"/>
    <w:rsid w:val="005B3A80"/>
    <w:rsid w:val="005B49C8"/>
    <w:rsid w:val="005B4E79"/>
    <w:rsid w:val="005B562F"/>
    <w:rsid w:val="005B5E89"/>
    <w:rsid w:val="005B5F09"/>
    <w:rsid w:val="005B6247"/>
    <w:rsid w:val="005B69C6"/>
    <w:rsid w:val="005C1B2A"/>
    <w:rsid w:val="005C2AA1"/>
    <w:rsid w:val="005C32C5"/>
    <w:rsid w:val="005C37D1"/>
    <w:rsid w:val="005C3971"/>
    <w:rsid w:val="005C47A0"/>
    <w:rsid w:val="005C4DBA"/>
    <w:rsid w:val="005C5F91"/>
    <w:rsid w:val="005C6F63"/>
    <w:rsid w:val="005C746E"/>
    <w:rsid w:val="005C77AC"/>
    <w:rsid w:val="005D0742"/>
    <w:rsid w:val="005D0770"/>
    <w:rsid w:val="005D18E5"/>
    <w:rsid w:val="005D1EF3"/>
    <w:rsid w:val="005D2602"/>
    <w:rsid w:val="005D2BD2"/>
    <w:rsid w:val="005D33F7"/>
    <w:rsid w:val="005D4B8D"/>
    <w:rsid w:val="005D5D93"/>
    <w:rsid w:val="005D6C60"/>
    <w:rsid w:val="005D711E"/>
    <w:rsid w:val="005D74E8"/>
    <w:rsid w:val="005E19F1"/>
    <w:rsid w:val="005E3DFC"/>
    <w:rsid w:val="005E410B"/>
    <w:rsid w:val="005E5F56"/>
    <w:rsid w:val="005E5FDA"/>
    <w:rsid w:val="005E614E"/>
    <w:rsid w:val="005E6C81"/>
    <w:rsid w:val="005E782D"/>
    <w:rsid w:val="005F05A2"/>
    <w:rsid w:val="005F0FB6"/>
    <w:rsid w:val="005F115D"/>
    <w:rsid w:val="005F16C2"/>
    <w:rsid w:val="005F3E6B"/>
    <w:rsid w:val="005F4739"/>
    <w:rsid w:val="005F48EC"/>
    <w:rsid w:val="005F4F49"/>
    <w:rsid w:val="005F4FD3"/>
    <w:rsid w:val="005F50BC"/>
    <w:rsid w:val="005F65B9"/>
    <w:rsid w:val="005F685D"/>
    <w:rsid w:val="005F7398"/>
    <w:rsid w:val="005F7F83"/>
    <w:rsid w:val="0060004F"/>
    <w:rsid w:val="00601283"/>
    <w:rsid w:val="00601FD6"/>
    <w:rsid w:val="0060386E"/>
    <w:rsid w:val="00603C42"/>
    <w:rsid w:val="00604057"/>
    <w:rsid w:val="00604290"/>
    <w:rsid w:val="00604351"/>
    <w:rsid w:val="00604DDB"/>
    <w:rsid w:val="0060550F"/>
    <w:rsid w:val="006055EF"/>
    <w:rsid w:val="00606416"/>
    <w:rsid w:val="00606639"/>
    <w:rsid w:val="00606667"/>
    <w:rsid w:val="00606BB9"/>
    <w:rsid w:val="00610896"/>
    <w:rsid w:val="0061200C"/>
    <w:rsid w:val="00614457"/>
    <w:rsid w:val="00615DF6"/>
    <w:rsid w:val="00617721"/>
    <w:rsid w:val="006200CB"/>
    <w:rsid w:val="00620535"/>
    <w:rsid w:val="00620CF5"/>
    <w:rsid w:val="00621066"/>
    <w:rsid w:val="006227B1"/>
    <w:rsid w:val="00622841"/>
    <w:rsid w:val="006236DC"/>
    <w:rsid w:val="00623DEF"/>
    <w:rsid w:val="00623EFD"/>
    <w:rsid w:val="0062606F"/>
    <w:rsid w:val="006264B6"/>
    <w:rsid w:val="006268DE"/>
    <w:rsid w:val="00626E7D"/>
    <w:rsid w:val="006270EB"/>
    <w:rsid w:val="00627195"/>
    <w:rsid w:val="00627A8C"/>
    <w:rsid w:val="00627C95"/>
    <w:rsid w:val="00633213"/>
    <w:rsid w:val="00633917"/>
    <w:rsid w:val="00635493"/>
    <w:rsid w:val="006354D0"/>
    <w:rsid w:val="00636397"/>
    <w:rsid w:val="0063731C"/>
    <w:rsid w:val="006376F9"/>
    <w:rsid w:val="00637CA6"/>
    <w:rsid w:val="0064269C"/>
    <w:rsid w:val="00643272"/>
    <w:rsid w:val="006437AE"/>
    <w:rsid w:val="00644C50"/>
    <w:rsid w:val="006454A8"/>
    <w:rsid w:val="00645DA7"/>
    <w:rsid w:val="00645E82"/>
    <w:rsid w:val="00646587"/>
    <w:rsid w:val="00647292"/>
    <w:rsid w:val="006477B1"/>
    <w:rsid w:val="00651C17"/>
    <w:rsid w:val="006527F5"/>
    <w:rsid w:val="0065748E"/>
    <w:rsid w:val="00661030"/>
    <w:rsid w:val="0066458C"/>
    <w:rsid w:val="00664856"/>
    <w:rsid w:val="00665298"/>
    <w:rsid w:val="00666840"/>
    <w:rsid w:val="00666B2C"/>
    <w:rsid w:val="00667978"/>
    <w:rsid w:val="006702BE"/>
    <w:rsid w:val="00670EC4"/>
    <w:rsid w:val="0067113A"/>
    <w:rsid w:val="0067188C"/>
    <w:rsid w:val="00672D03"/>
    <w:rsid w:val="00672EB6"/>
    <w:rsid w:val="00673EDB"/>
    <w:rsid w:val="00675127"/>
    <w:rsid w:val="00680778"/>
    <w:rsid w:val="00680A85"/>
    <w:rsid w:val="0068121B"/>
    <w:rsid w:val="0068139E"/>
    <w:rsid w:val="00682A52"/>
    <w:rsid w:val="006831B3"/>
    <w:rsid w:val="0068361A"/>
    <w:rsid w:val="006839EC"/>
    <w:rsid w:val="006844F4"/>
    <w:rsid w:val="006846B0"/>
    <w:rsid w:val="006903F8"/>
    <w:rsid w:val="00690B7F"/>
    <w:rsid w:val="006918E1"/>
    <w:rsid w:val="00691CF7"/>
    <w:rsid w:val="0069268F"/>
    <w:rsid w:val="00694B59"/>
    <w:rsid w:val="00695DE5"/>
    <w:rsid w:val="00696B37"/>
    <w:rsid w:val="00696BFE"/>
    <w:rsid w:val="00696F33"/>
    <w:rsid w:val="006973C1"/>
    <w:rsid w:val="0069778E"/>
    <w:rsid w:val="00697EAB"/>
    <w:rsid w:val="00697F25"/>
    <w:rsid w:val="006A1C3A"/>
    <w:rsid w:val="006A4C8D"/>
    <w:rsid w:val="006A6300"/>
    <w:rsid w:val="006A6368"/>
    <w:rsid w:val="006A735C"/>
    <w:rsid w:val="006A741E"/>
    <w:rsid w:val="006B0D4E"/>
    <w:rsid w:val="006B0D7E"/>
    <w:rsid w:val="006B2147"/>
    <w:rsid w:val="006B2958"/>
    <w:rsid w:val="006B2F28"/>
    <w:rsid w:val="006B3BB0"/>
    <w:rsid w:val="006B3D01"/>
    <w:rsid w:val="006B45E5"/>
    <w:rsid w:val="006B77D8"/>
    <w:rsid w:val="006C0702"/>
    <w:rsid w:val="006C132B"/>
    <w:rsid w:val="006C32C6"/>
    <w:rsid w:val="006C4257"/>
    <w:rsid w:val="006C4952"/>
    <w:rsid w:val="006C497D"/>
    <w:rsid w:val="006C4993"/>
    <w:rsid w:val="006C51BC"/>
    <w:rsid w:val="006C5F7F"/>
    <w:rsid w:val="006C6FAF"/>
    <w:rsid w:val="006D16ED"/>
    <w:rsid w:val="006D2B81"/>
    <w:rsid w:val="006D346F"/>
    <w:rsid w:val="006D4296"/>
    <w:rsid w:val="006D4D98"/>
    <w:rsid w:val="006D61B9"/>
    <w:rsid w:val="006D66CA"/>
    <w:rsid w:val="006D786E"/>
    <w:rsid w:val="006D7892"/>
    <w:rsid w:val="006E0CD4"/>
    <w:rsid w:val="006E2AF2"/>
    <w:rsid w:val="006E5597"/>
    <w:rsid w:val="006E5969"/>
    <w:rsid w:val="006E5FD5"/>
    <w:rsid w:val="006E6771"/>
    <w:rsid w:val="006F0CAD"/>
    <w:rsid w:val="006F2755"/>
    <w:rsid w:val="006F2895"/>
    <w:rsid w:val="006F3353"/>
    <w:rsid w:val="006F3B20"/>
    <w:rsid w:val="006F4AEF"/>
    <w:rsid w:val="006F4CCF"/>
    <w:rsid w:val="006F5F84"/>
    <w:rsid w:val="006F78C7"/>
    <w:rsid w:val="00700FC3"/>
    <w:rsid w:val="00702F6C"/>
    <w:rsid w:val="00703568"/>
    <w:rsid w:val="00703651"/>
    <w:rsid w:val="007037DB"/>
    <w:rsid w:val="00704BCD"/>
    <w:rsid w:val="0070517F"/>
    <w:rsid w:val="00705542"/>
    <w:rsid w:val="00706619"/>
    <w:rsid w:val="0071021A"/>
    <w:rsid w:val="00710639"/>
    <w:rsid w:val="0071173F"/>
    <w:rsid w:val="00711BFC"/>
    <w:rsid w:val="00712337"/>
    <w:rsid w:val="00712C00"/>
    <w:rsid w:val="00713570"/>
    <w:rsid w:val="00713F42"/>
    <w:rsid w:val="007145B8"/>
    <w:rsid w:val="00714E82"/>
    <w:rsid w:val="007153AE"/>
    <w:rsid w:val="007154D4"/>
    <w:rsid w:val="00716951"/>
    <w:rsid w:val="00716964"/>
    <w:rsid w:val="00716D7A"/>
    <w:rsid w:val="007209DC"/>
    <w:rsid w:val="00721C20"/>
    <w:rsid w:val="007223C1"/>
    <w:rsid w:val="00722893"/>
    <w:rsid w:val="00725083"/>
    <w:rsid w:val="00725D6C"/>
    <w:rsid w:val="00726575"/>
    <w:rsid w:val="00726D16"/>
    <w:rsid w:val="007276F0"/>
    <w:rsid w:val="00727DF1"/>
    <w:rsid w:val="007307ED"/>
    <w:rsid w:val="00731A4A"/>
    <w:rsid w:val="00731D28"/>
    <w:rsid w:val="00733676"/>
    <w:rsid w:val="00734079"/>
    <w:rsid w:val="007361D5"/>
    <w:rsid w:val="00736371"/>
    <w:rsid w:val="00736D75"/>
    <w:rsid w:val="007373D8"/>
    <w:rsid w:val="00740CA3"/>
    <w:rsid w:val="007417D8"/>
    <w:rsid w:val="00745448"/>
    <w:rsid w:val="007460BC"/>
    <w:rsid w:val="00746D89"/>
    <w:rsid w:val="00746FFA"/>
    <w:rsid w:val="00747A17"/>
    <w:rsid w:val="00750380"/>
    <w:rsid w:val="0075073D"/>
    <w:rsid w:val="007517EF"/>
    <w:rsid w:val="007528EA"/>
    <w:rsid w:val="00753E42"/>
    <w:rsid w:val="007542AB"/>
    <w:rsid w:val="00754D4B"/>
    <w:rsid w:val="00755685"/>
    <w:rsid w:val="0075793D"/>
    <w:rsid w:val="007616BF"/>
    <w:rsid w:val="0076181A"/>
    <w:rsid w:val="00761C84"/>
    <w:rsid w:val="00762824"/>
    <w:rsid w:val="00762935"/>
    <w:rsid w:val="00764004"/>
    <w:rsid w:val="007641A6"/>
    <w:rsid w:val="00766B56"/>
    <w:rsid w:val="007674B3"/>
    <w:rsid w:val="00773A02"/>
    <w:rsid w:val="00773D8C"/>
    <w:rsid w:val="007761DB"/>
    <w:rsid w:val="0077700B"/>
    <w:rsid w:val="00777276"/>
    <w:rsid w:val="0078169B"/>
    <w:rsid w:val="007820FA"/>
    <w:rsid w:val="0078248B"/>
    <w:rsid w:val="00783359"/>
    <w:rsid w:val="00783B2D"/>
    <w:rsid w:val="00784D98"/>
    <w:rsid w:val="00785ABF"/>
    <w:rsid w:val="00786588"/>
    <w:rsid w:val="00787A5F"/>
    <w:rsid w:val="0079152B"/>
    <w:rsid w:val="007920B0"/>
    <w:rsid w:val="00793140"/>
    <w:rsid w:val="00794F63"/>
    <w:rsid w:val="00795FE7"/>
    <w:rsid w:val="007960BD"/>
    <w:rsid w:val="007A05FB"/>
    <w:rsid w:val="007A1C16"/>
    <w:rsid w:val="007A2489"/>
    <w:rsid w:val="007A25B0"/>
    <w:rsid w:val="007A38DB"/>
    <w:rsid w:val="007A49C0"/>
    <w:rsid w:val="007A61B6"/>
    <w:rsid w:val="007A6463"/>
    <w:rsid w:val="007A7BF0"/>
    <w:rsid w:val="007B0664"/>
    <w:rsid w:val="007B2BE1"/>
    <w:rsid w:val="007B5326"/>
    <w:rsid w:val="007B6EFC"/>
    <w:rsid w:val="007B6F5B"/>
    <w:rsid w:val="007C041D"/>
    <w:rsid w:val="007C0859"/>
    <w:rsid w:val="007C0E03"/>
    <w:rsid w:val="007C12D4"/>
    <w:rsid w:val="007C1C86"/>
    <w:rsid w:val="007C2BAD"/>
    <w:rsid w:val="007C2DEF"/>
    <w:rsid w:val="007C3E73"/>
    <w:rsid w:val="007C44A7"/>
    <w:rsid w:val="007C59A6"/>
    <w:rsid w:val="007C6C78"/>
    <w:rsid w:val="007D126E"/>
    <w:rsid w:val="007D3528"/>
    <w:rsid w:val="007D3559"/>
    <w:rsid w:val="007D3BE2"/>
    <w:rsid w:val="007D4461"/>
    <w:rsid w:val="007D48C7"/>
    <w:rsid w:val="007D597C"/>
    <w:rsid w:val="007D610B"/>
    <w:rsid w:val="007D6B51"/>
    <w:rsid w:val="007E000D"/>
    <w:rsid w:val="007E0581"/>
    <w:rsid w:val="007E12E1"/>
    <w:rsid w:val="007E2F64"/>
    <w:rsid w:val="007E3010"/>
    <w:rsid w:val="007E4A8D"/>
    <w:rsid w:val="007E505A"/>
    <w:rsid w:val="007E58CB"/>
    <w:rsid w:val="007E5F6F"/>
    <w:rsid w:val="007E7085"/>
    <w:rsid w:val="007E7482"/>
    <w:rsid w:val="007E7C04"/>
    <w:rsid w:val="007F0E50"/>
    <w:rsid w:val="007F2E0B"/>
    <w:rsid w:val="007F2F8E"/>
    <w:rsid w:val="007F3368"/>
    <w:rsid w:val="007F5245"/>
    <w:rsid w:val="007F52EC"/>
    <w:rsid w:val="007F5B3A"/>
    <w:rsid w:val="007F6509"/>
    <w:rsid w:val="007F65DF"/>
    <w:rsid w:val="007F66E5"/>
    <w:rsid w:val="007F685D"/>
    <w:rsid w:val="007F6D01"/>
    <w:rsid w:val="007F7BF5"/>
    <w:rsid w:val="0080064E"/>
    <w:rsid w:val="008010DD"/>
    <w:rsid w:val="00802648"/>
    <w:rsid w:val="00802732"/>
    <w:rsid w:val="00802BD1"/>
    <w:rsid w:val="00802E18"/>
    <w:rsid w:val="00804689"/>
    <w:rsid w:val="0080468B"/>
    <w:rsid w:val="008067F6"/>
    <w:rsid w:val="00807C3B"/>
    <w:rsid w:val="00807C6F"/>
    <w:rsid w:val="00810866"/>
    <w:rsid w:val="00811FE7"/>
    <w:rsid w:val="00814817"/>
    <w:rsid w:val="0081628B"/>
    <w:rsid w:val="0081631C"/>
    <w:rsid w:val="00816636"/>
    <w:rsid w:val="00816DB3"/>
    <w:rsid w:val="00817232"/>
    <w:rsid w:val="00817C76"/>
    <w:rsid w:val="00817FA8"/>
    <w:rsid w:val="00820E84"/>
    <w:rsid w:val="00820FA3"/>
    <w:rsid w:val="008213BF"/>
    <w:rsid w:val="008218E6"/>
    <w:rsid w:val="00821B82"/>
    <w:rsid w:val="00824112"/>
    <w:rsid w:val="00824C62"/>
    <w:rsid w:val="00825350"/>
    <w:rsid w:val="00826099"/>
    <w:rsid w:val="0082798A"/>
    <w:rsid w:val="00827AE1"/>
    <w:rsid w:val="00830312"/>
    <w:rsid w:val="00831CBA"/>
    <w:rsid w:val="008322CF"/>
    <w:rsid w:val="00832704"/>
    <w:rsid w:val="00832CC3"/>
    <w:rsid w:val="00834641"/>
    <w:rsid w:val="00836633"/>
    <w:rsid w:val="00837B51"/>
    <w:rsid w:val="00840B0F"/>
    <w:rsid w:val="00840E4B"/>
    <w:rsid w:val="00843179"/>
    <w:rsid w:val="00843940"/>
    <w:rsid w:val="008446E0"/>
    <w:rsid w:val="0084734E"/>
    <w:rsid w:val="00847904"/>
    <w:rsid w:val="00847F77"/>
    <w:rsid w:val="00850245"/>
    <w:rsid w:val="00851396"/>
    <w:rsid w:val="00851961"/>
    <w:rsid w:val="008531DC"/>
    <w:rsid w:val="00853229"/>
    <w:rsid w:val="00853233"/>
    <w:rsid w:val="00853C16"/>
    <w:rsid w:val="00854834"/>
    <w:rsid w:val="00855CEF"/>
    <w:rsid w:val="00855D2E"/>
    <w:rsid w:val="008570C5"/>
    <w:rsid w:val="00857E51"/>
    <w:rsid w:val="00862103"/>
    <w:rsid w:val="0086244A"/>
    <w:rsid w:val="00863A8F"/>
    <w:rsid w:val="0086410B"/>
    <w:rsid w:val="00864132"/>
    <w:rsid w:val="00864E70"/>
    <w:rsid w:val="00865D67"/>
    <w:rsid w:val="008664A3"/>
    <w:rsid w:val="00867609"/>
    <w:rsid w:val="008701C8"/>
    <w:rsid w:val="008705CA"/>
    <w:rsid w:val="00871AD8"/>
    <w:rsid w:val="00872AE6"/>
    <w:rsid w:val="0087338A"/>
    <w:rsid w:val="00873397"/>
    <w:rsid w:val="008735EB"/>
    <w:rsid w:val="008745F7"/>
    <w:rsid w:val="00874AB8"/>
    <w:rsid w:val="0087589A"/>
    <w:rsid w:val="00875DA0"/>
    <w:rsid w:val="0087695B"/>
    <w:rsid w:val="008771F7"/>
    <w:rsid w:val="0088104A"/>
    <w:rsid w:val="008810A4"/>
    <w:rsid w:val="00881349"/>
    <w:rsid w:val="00883110"/>
    <w:rsid w:val="00883645"/>
    <w:rsid w:val="0088438C"/>
    <w:rsid w:val="00884B56"/>
    <w:rsid w:val="00885EDF"/>
    <w:rsid w:val="00886064"/>
    <w:rsid w:val="00886883"/>
    <w:rsid w:val="00886DC8"/>
    <w:rsid w:val="00887BA7"/>
    <w:rsid w:val="00887DAC"/>
    <w:rsid w:val="00887FC2"/>
    <w:rsid w:val="00891956"/>
    <w:rsid w:val="00892217"/>
    <w:rsid w:val="00893551"/>
    <w:rsid w:val="00894CE1"/>
    <w:rsid w:val="00896877"/>
    <w:rsid w:val="008A0062"/>
    <w:rsid w:val="008A1031"/>
    <w:rsid w:val="008A23BE"/>
    <w:rsid w:val="008A272C"/>
    <w:rsid w:val="008A34FC"/>
    <w:rsid w:val="008A39A0"/>
    <w:rsid w:val="008A4243"/>
    <w:rsid w:val="008A4AB8"/>
    <w:rsid w:val="008A50BB"/>
    <w:rsid w:val="008A628E"/>
    <w:rsid w:val="008A6BAE"/>
    <w:rsid w:val="008A6D43"/>
    <w:rsid w:val="008A6F94"/>
    <w:rsid w:val="008B0E67"/>
    <w:rsid w:val="008B157F"/>
    <w:rsid w:val="008B1A6B"/>
    <w:rsid w:val="008B4096"/>
    <w:rsid w:val="008B5444"/>
    <w:rsid w:val="008B63FC"/>
    <w:rsid w:val="008B6B56"/>
    <w:rsid w:val="008C0F1B"/>
    <w:rsid w:val="008C1C94"/>
    <w:rsid w:val="008C1F7F"/>
    <w:rsid w:val="008C2672"/>
    <w:rsid w:val="008C31B7"/>
    <w:rsid w:val="008C3635"/>
    <w:rsid w:val="008C5DAB"/>
    <w:rsid w:val="008C71F2"/>
    <w:rsid w:val="008C723A"/>
    <w:rsid w:val="008D1827"/>
    <w:rsid w:val="008D378F"/>
    <w:rsid w:val="008D3E50"/>
    <w:rsid w:val="008D4A4B"/>
    <w:rsid w:val="008D4FF5"/>
    <w:rsid w:val="008D64AC"/>
    <w:rsid w:val="008D64C4"/>
    <w:rsid w:val="008D7C02"/>
    <w:rsid w:val="008E155D"/>
    <w:rsid w:val="008E213D"/>
    <w:rsid w:val="008E241A"/>
    <w:rsid w:val="008E3028"/>
    <w:rsid w:val="008E563B"/>
    <w:rsid w:val="008E782C"/>
    <w:rsid w:val="008F0291"/>
    <w:rsid w:val="008F090F"/>
    <w:rsid w:val="008F098A"/>
    <w:rsid w:val="008F09F6"/>
    <w:rsid w:val="008F1C00"/>
    <w:rsid w:val="008F2A42"/>
    <w:rsid w:val="008F3CCC"/>
    <w:rsid w:val="008F3F44"/>
    <w:rsid w:val="008F5B1C"/>
    <w:rsid w:val="008F69B2"/>
    <w:rsid w:val="008F69D3"/>
    <w:rsid w:val="0090013D"/>
    <w:rsid w:val="00900266"/>
    <w:rsid w:val="00902CB0"/>
    <w:rsid w:val="00902F7B"/>
    <w:rsid w:val="009045AD"/>
    <w:rsid w:val="009045E5"/>
    <w:rsid w:val="00904AA0"/>
    <w:rsid w:val="00905416"/>
    <w:rsid w:val="009106FB"/>
    <w:rsid w:val="0091164A"/>
    <w:rsid w:val="00911CE2"/>
    <w:rsid w:val="00911E11"/>
    <w:rsid w:val="00911FA6"/>
    <w:rsid w:val="00912669"/>
    <w:rsid w:val="0091317E"/>
    <w:rsid w:val="00913729"/>
    <w:rsid w:val="00914012"/>
    <w:rsid w:val="0091688B"/>
    <w:rsid w:val="009178D8"/>
    <w:rsid w:val="00920038"/>
    <w:rsid w:val="009202BC"/>
    <w:rsid w:val="00920522"/>
    <w:rsid w:val="00920950"/>
    <w:rsid w:val="00920B66"/>
    <w:rsid w:val="00921F41"/>
    <w:rsid w:val="0092290D"/>
    <w:rsid w:val="0092326B"/>
    <w:rsid w:val="00923C14"/>
    <w:rsid w:val="0092447B"/>
    <w:rsid w:val="0092451C"/>
    <w:rsid w:val="00924961"/>
    <w:rsid w:val="0092551C"/>
    <w:rsid w:val="009272FC"/>
    <w:rsid w:val="00930640"/>
    <w:rsid w:val="0093093D"/>
    <w:rsid w:val="00930BBF"/>
    <w:rsid w:val="00930F50"/>
    <w:rsid w:val="009313DE"/>
    <w:rsid w:val="00932C7C"/>
    <w:rsid w:val="0093311F"/>
    <w:rsid w:val="009334DE"/>
    <w:rsid w:val="00933747"/>
    <w:rsid w:val="00933A06"/>
    <w:rsid w:val="00933B7F"/>
    <w:rsid w:val="00934598"/>
    <w:rsid w:val="00934E40"/>
    <w:rsid w:val="00937EC7"/>
    <w:rsid w:val="0094136F"/>
    <w:rsid w:val="00941495"/>
    <w:rsid w:val="0094165F"/>
    <w:rsid w:val="00941B04"/>
    <w:rsid w:val="00942817"/>
    <w:rsid w:val="00944261"/>
    <w:rsid w:val="00944320"/>
    <w:rsid w:val="009452A2"/>
    <w:rsid w:val="00945414"/>
    <w:rsid w:val="009462B1"/>
    <w:rsid w:val="009464BD"/>
    <w:rsid w:val="009465AC"/>
    <w:rsid w:val="00946F52"/>
    <w:rsid w:val="0094766F"/>
    <w:rsid w:val="00947B0F"/>
    <w:rsid w:val="009526B5"/>
    <w:rsid w:val="00952E59"/>
    <w:rsid w:val="00953861"/>
    <w:rsid w:val="009541CF"/>
    <w:rsid w:val="009554A4"/>
    <w:rsid w:val="00955654"/>
    <w:rsid w:val="00956073"/>
    <w:rsid w:val="0095662C"/>
    <w:rsid w:val="009571B9"/>
    <w:rsid w:val="009603AF"/>
    <w:rsid w:val="009609A1"/>
    <w:rsid w:val="00960E89"/>
    <w:rsid w:val="00961648"/>
    <w:rsid w:val="00961D1B"/>
    <w:rsid w:val="0096402C"/>
    <w:rsid w:val="009646D9"/>
    <w:rsid w:val="00964A66"/>
    <w:rsid w:val="00964E6C"/>
    <w:rsid w:val="009660DF"/>
    <w:rsid w:val="009672B1"/>
    <w:rsid w:val="0096741A"/>
    <w:rsid w:val="00971879"/>
    <w:rsid w:val="00971CD8"/>
    <w:rsid w:val="00972744"/>
    <w:rsid w:val="00972BE6"/>
    <w:rsid w:val="0097333E"/>
    <w:rsid w:val="00974F24"/>
    <w:rsid w:val="00975FF0"/>
    <w:rsid w:val="009766B5"/>
    <w:rsid w:val="00976E4A"/>
    <w:rsid w:val="0097718F"/>
    <w:rsid w:val="009779A7"/>
    <w:rsid w:val="00977EFA"/>
    <w:rsid w:val="009802BB"/>
    <w:rsid w:val="00980602"/>
    <w:rsid w:val="00981731"/>
    <w:rsid w:val="009822E7"/>
    <w:rsid w:val="009823F2"/>
    <w:rsid w:val="00982DB8"/>
    <w:rsid w:val="00982E7D"/>
    <w:rsid w:val="00983BCD"/>
    <w:rsid w:val="00983E24"/>
    <w:rsid w:val="00984706"/>
    <w:rsid w:val="00984CD3"/>
    <w:rsid w:val="00986CCF"/>
    <w:rsid w:val="009904D9"/>
    <w:rsid w:val="00990526"/>
    <w:rsid w:val="00991289"/>
    <w:rsid w:val="00991D7F"/>
    <w:rsid w:val="00993DE7"/>
    <w:rsid w:val="00995CBD"/>
    <w:rsid w:val="0099616D"/>
    <w:rsid w:val="009969FF"/>
    <w:rsid w:val="00997C1A"/>
    <w:rsid w:val="009A0562"/>
    <w:rsid w:val="009A1671"/>
    <w:rsid w:val="009A2ECC"/>
    <w:rsid w:val="009A3C1B"/>
    <w:rsid w:val="009A4464"/>
    <w:rsid w:val="009A4A7A"/>
    <w:rsid w:val="009B1257"/>
    <w:rsid w:val="009B1590"/>
    <w:rsid w:val="009B2C10"/>
    <w:rsid w:val="009B2E4D"/>
    <w:rsid w:val="009B2E68"/>
    <w:rsid w:val="009B3222"/>
    <w:rsid w:val="009B3B9E"/>
    <w:rsid w:val="009B40D4"/>
    <w:rsid w:val="009B4C96"/>
    <w:rsid w:val="009B5039"/>
    <w:rsid w:val="009C0385"/>
    <w:rsid w:val="009C1748"/>
    <w:rsid w:val="009C1A08"/>
    <w:rsid w:val="009C1F48"/>
    <w:rsid w:val="009C22F9"/>
    <w:rsid w:val="009C473D"/>
    <w:rsid w:val="009C54B0"/>
    <w:rsid w:val="009C6BAF"/>
    <w:rsid w:val="009D040E"/>
    <w:rsid w:val="009D0B7A"/>
    <w:rsid w:val="009D1AC1"/>
    <w:rsid w:val="009D1FEB"/>
    <w:rsid w:val="009D20DB"/>
    <w:rsid w:val="009D21AA"/>
    <w:rsid w:val="009D23AC"/>
    <w:rsid w:val="009D3678"/>
    <w:rsid w:val="009D3BDA"/>
    <w:rsid w:val="009D4428"/>
    <w:rsid w:val="009D6D1F"/>
    <w:rsid w:val="009D78F3"/>
    <w:rsid w:val="009E0918"/>
    <w:rsid w:val="009E0AE0"/>
    <w:rsid w:val="009E1573"/>
    <w:rsid w:val="009E24CD"/>
    <w:rsid w:val="009E26D3"/>
    <w:rsid w:val="009F1CF9"/>
    <w:rsid w:val="009F28C6"/>
    <w:rsid w:val="009F2A44"/>
    <w:rsid w:val="009F3553"/>
    <w:rsid w:val="009F3963"/>
    <w:rsid w:val="009F4055"/>
    <w:rsid w:val="009F4129"/>
    <w:rsid w:val="009F430E"/>
    <w:rsid w:val="009F4B49"/>
    <w:rsid w:val="009F52C8"/>
    <w:rsid w:val="009F54CB"/>
    <w:rsid w:val="009F60A9"/>
    <w:rsid w:val="009F7082"/>
    <w:rsid w:val="009F7132"/>
    <w:rsid w:val="009F7254"/>
    <w:rsid w:val="009F7AA2"/>
    <w:rsid w:val="00A00591"/>
    <w:rsid w:val="00A00595"/>
    <w:rsid w:val="00A00CAB"/>
    <w:rsid w:val="00A00F8A"/>
    <w:rsid w:val="00A01059"/>
    <w:rsid w:val="00A01878"/>
    <w:rsid w:val="00A038D9"/>
    <w:rsid w:val="00A04115"/>
    <w:rsid w:val="00A05826"/>
    <w:rsid w:val="00A0677F"/>
    <w:rsid w:val="00A06B07"/>
    <w:rsid w:val="00A077A5"/>
    <w:rsid w:val="00A07ED6"/>
    <w:rsid w:val="00A07F2D"/>
    <w:rsid w:val="00A07FAF"/>
    <w:rsid w:val="00A127C4"/>
    <w:rsid w:val="00A13986"/>
    <w:rsid w:val="00A14B40"/>
    <w:rsid w:val="00A165EF"/>
    <w:rsid w:val="00A16D7E"/>
    <w:rsid w:val="00A171E2"/>
    <w:rsid w:val="00A177E9"/>
    <w:rsid w:val="00A20D23"/>
    <w:rsid w:val="00A221B8"/>
    <w:rsid w:val="00A229DC"/>
    <w:rsid w:val="00A23727"/>
    <w:rsid w:val="00A24CCE"/>
    <w:rsid w:val="00A259CD"/>
    <w:rsid w:val="00A26694"/>
    <w:rsid w:val="00A30A67"/>
    <w:rsid w:val="00A32270"/>
    <w:rsid w:val="00A32C61"/>
    <w:rsid w:val="00A3384B"/>
    <w:rsid w:val="00A34321"/>
    <w:rsid w:val="00A343AC"/>
    <w:rsid w:val="00A34B04"/>
    <w:rsid w:val="00A34F25"/>
    <w:rsid w:val="00A36236"/>
    <w:rsid w:val="00A37CB9"/>
    <w:rsid w:val="00A407BD"/>
    <w:rsid w:val="00A409A9"/>
    <w:rsid w:val="00A434A1"/>
    <w:rsid w:val="00A44214"/>
    <w:rsid w:val="00A4465E"/>
    <w:rsid w:val="00A4477F"/>
    <w:rsid w:val="00A44DBB"/>
    <w:rsid w:val="00A45D71"/>
    <w:rsid w:val="00A4633E"/>
    <w:rsid w:val="00A46CFA"/>
    <w:rsid w:val="00A47376"/>
    <w:rsid w:val="00A47930"/>
    <w:rsid w:val="00A5027D"/>
    <w:rsid w:val="00A508E1"/>
    <w:rsid w:val="00A5239C"/>
    <w:rsid w:val="00A5269A"/>
    <w:rsid w:val="00A5275B"/>
    <w:rsid w:val="00A53F27"/>
    <w:rsid w:val="00A5568D"/>
    <w:rsid w:val="00A5594F"/>
    <w:rsid w:val="00A60B93"/>
    <w:rsid w:val="00A61CD7"/>
    <w:rsid w:val="00A63504"/>
    <w:rsid w:val="00A636CA"/>
    <w:rsid w:val="00A63992"/>
    <w:rsid w:val="00A63C77"/>
    <w:rsid w:val="00A657F6"/>
    <w:rsid w:val="00A65A93"/>
    <w:rsid w:val="00A675CF"/>
    <w:rsid w:val="00A709DF"/>
    <w:rsid w:val="00A71D39"/>
    <w:rsid w:val="00A72494"/>
    <w:rsid w:val="00A73C57"/>
    <w:rsid w:val="00A74F3F"/>
    <w:rsid w:val="00A7523F"/>
    <w:rsid w:val="00A75E88"/>
    <w:rsid w:val="00A76276"/>
    <w:rsid w:val="00A7699F"/>
    <w:rsid w:val="00A779C1"/>
    <w:rsid w:val="00A81860"/>
    <w:rsid w:val="00A82D7B"/>
    <w:rsid w:val="00A83F8E"/>
    <w:rsid w:val="00A84254"/>
    <w:rsid w:val="00A86B56"/>
    <w:rsid w:val="00A86F2D"/>
    <w:rsid w:val="00A87567"/>
    <w:rsid w:val="00A87ADF"/>
    <w:rsid w:val="00A87E6E"/>
    <w:rsid w:val="00A87F16"/>
    <w:rsid w:val="00A90B83"/>
    <w:rsid w:val="00A9140C"/>
    <w:rsid w:val="00A92538"/>
    <w:rsid w:val="00A931AF"/>
    <w:rsid w:val="00A93F1F"/>
    <w:rsid w:val="00A95572"/>
    <w:rsid w:val="00A96E65"/>
    <w:rsid w:val="00A971D3"/>
    <w:rsid w:val="00A97276"/>
    <w:rsid w:val="00A97E30"/>
    <w:rsid w:val="00AA05B7"/>
    <w:rsid w:val="00AA0AC9"/>
    <w:rsid w:val="00AA0D3A"/>
    <w:rsid w:val="00AA0EA1"/>
    <w:rsid w:val="00AA1555"/>
    <w:rsid w:val="00AA26AA"/>
    <w:rsid w:val="00AA27E5"/>
    <w:rsid w:val="00AA3E8D"/>
    <w:rsid w:val="00AA6404"/>
    <w:rsid w:val="00AA6544"/>
    <w:rsid w:val="00AA6A66"/>
    <w:rsid w:val="00AA6D6D"/>
    <w:rsid w:val="00AA7969"/>
    <w:rsid w:val="00AB08E3"/>
    <w:rsid w:val="00AB1DE7"/>
    <w:rsid w:val="00AB22C6"/>
    <w:rsid w:val="00AB56BC"/>
    <w:rsid w:val="00AB5843"/>
    <w:rsid w:val="00AB6C59"/>
    <w:rsid w:val="00AB6D87"/>
    <w:rsid w:val="00AB6E2F"/>
    <w:rsid w:val="00AC006F"/>
    <w:rsid w:val="00AC09D4"/>
    <w:rsid w:val="00AC21C0"/>
    <w:rsid w:val="00AC35AC"/>
    <w:rsid w:val="00AC3853"/>
    <w:rsid w:val="00AC475B"/>
    <w:rsid w:val="00AC4E28"/>
    <w:rsid w:val="00AC67B6"/>
    <w:rsid w:val="00AC76D5"/>
    <w:rsid w:val="00AC780B"/>
    <w:rsid w:val="00AD1D7C"/>
    <w:rsid w:val="00AD26DE"/>
    <w:rsid w:val="00AD28AF"/>
    <w:rsid w:val="00AD3BA3"/>
    <w:rsid w:val="00AD462C"/>
    <w:rsid w:val="00AD5430"/>
    <w:rsid w:val="00AD6E68"/>
    <w:rsid w:val="00AD6F41"/>
    <w:rsid w:val="00AD7CFE"/>
    <w:rsid w:val="00AE1743"/>
    <w:rsid w:val="00AE2A86"/>
    <w:rsid w:val="00AE3C99"/>
    <w:rsid w:val="00AE6914"/>
    <w:rsid w:val="00AE7BA5"/>
    <w:rsid w:val="00AF0ECF"/>
    <w:rsid w:val="00AF15D2"/>
    <w:rsid w:val="00AF189C"/>
    <w:rsid w:val="00AF305D"/>
    <w:rsid w:val="00AF30F0"/>
    <w:rsid w:val="00AF310A"/>
    <w:rsid w:val="00AF5302"/>
    <w:rsid w:val="00AF5664"/>
    <w:rsid w:val="00AF5EBB"/>
    <w:rsid w:val="00AF6131"/>
    <w:rsid w:val="00B01108"/>
    <w:rsid w:val="00B016B7"/>
    <w:rsid w:val="00B019D9"/>
    <w:rsid w:val="00B02A51"/>
    <w:rsid w:val="00B03F79"/>
    <w:rsid w:val="00B049AB"/>
    <w:rsid w:val="00B050B4"/>
    <w:rsid w:val="00B067BB"/>
    <w:rsid w:val="00B06994"/>
    <w:rsid w:val="00B06DAC"/>
    <w:rsid w:val="00B07299"/>
    <w:rsid w:val="00B11463"/>
    <w:rsid w:val="00B11968"/>
    <w:rsid w:val="00B11B96"/>
    <w:rsid w:val="00B12A26"/>
    <w:rsid w:val="00B12DF9"/>
    <w:rsid w:val="00B13348"/>
    <w:rsid w:val="00B13AD2"/>
    <w:rsid w:val="00B13BE2"/>
    <w:rsid w:val="00B16098"/>
    <w:rsid w:val="00B17257"/>
    <w:rsid w:val="00B17FAF"/>
    <w:rsid w:val="00B22058"/>
    <w:rsid w:val="00B2243E"/>
    <w:rsid w:val="00B22D46"/>
    <w:rsid w:val="00B23FDC"/>
    <w:rsid w:val="00B24907"/>
    <w:rsid w:val="00B255D6"/>
    <w:rsid w:val="00B2580C"/>
    <w:rsid w:val="00B25F9E"/>
    <w:rsid w:val="00B302E5"/>
    <w:rsid w:val="00B33059"/>
    <w:rsid w:val="00B332A7"/>
    <w:rsid w:val="00B3375C"/>
    <w:rsid w:val="00B34D69"/>
    <w:rsid w:val="00B355F9"/>
    <w:rsid w:val="00B357E4"/>
    <w:rsid w:val="00B36C88"/>
    <w:rsid w:val="00B41024"/>
    <w:rsid w:val="00B413A0"/>
    <w:rsid w:val="00B41986"/>
    <w:rsid w:val="00B42DE8"/>
    <w:rsid w:val="00B432CB"/>
    <w:rsid w:val="00B4353F"/>
    <w:rsid w:val="00B450C6"/>
    <w:rsid w:val="00B457B0"/>
    <w:rsid w:val="00B45B65"/>
    <w:rsid w:val="00B50121"/>
    <w:rsid w:val="00B513BD"/>
    <w:rsid w:val="00B52A49"/>
    <w:rsid w:val="00B530B8"/>
    <w:rsid w:val="00B53E2D"/>
    <w:rsid w:val="00B53F03"/>
    <w:rsid w:val="00B5481E"/>
    <w:rsid w:val="00B55242"/>
    <w:rsid w:val="00B56229"/>
    <w:rsid w:val="00B57F7A"/>
    <w:rsid w:val="00B62654"/>
    <w:rsid w:val="00B62B5E"/>
    <w:rsid w:val="00B66709"/>
    <w:rsid w:val="00B6670E"/>
    <w:rsid w:val="00B6685F"/>
    <w:rsid w:val="00B67235"/>
    <w:rsid w:val="00B7133B"/>
    <w:rsid w:val="00B72E20"/>
    <w:rsid w:val="00B74109"/>
    <w:rsid w:val="00B74200"/>
    <w:rsid w:val="00B74919"/>
    <w:rsid w:val="00B74C26"/>
    <w:rsid w:val="00B77779"/>
    <w:rsid w:val="00B82505"/>
    <w:rsid w:val="00B8451E"/>
    <w:rsid w:val="00B85324"/>
    <w:rsid w:val="00B865C1"/>
    <w:rsid w:val="00B8664E"/>
    <w:rsid w:val="00B873D8"/>
    <w:rsid w:val="00B90A44"/>
    <w:rsid w:val="00B90A97"/>
    <w:rsid w:val="00B90DD1"/>
    <w:rsid w:val="00B91226"/>
    <w:rsid w:val="00B92618"/>
    <w:rsid w:val="00B92638"/>
    <w:rsid w:val="00B92FA7"/>
    <w:rsid w:val="00B938E0"/>
    <w:rsid w:val="00B93A9D"/>
    <w:rsid w:val="00B96076"/>
    <w:rsid w:val="00BA0911"/>
    <w:rsid w:val="00BA091C"/>
    <w:rsid w:val="00BA10BB"/>
    <w:rsid w:val="00BA11F3"/>
    <w:rsid w:val="00BA12E9"/>
    <w:rsid w:val="00BA1313"/>
    <w:rsid w:val="00BA1786"/>
    <w:rsid w:val="00BA3A42"/>
    <w:rsid w:val="00BA3FA2"/>
    <w:rsid w:val="00BA4264"/>
    <w:rsid w:val="00BA46A1"/>
    <w:rsid w:val="00BA4FDB"/>
    <w:rsid w:val="00BA752D"/>
    <w:rsid w:val="00BA7993"/>
    <w:rsid w:val="00BB0053"/>
    <w:rsid w:val="00BB0AF4"/>
    <w:rsid w:val="00BB1F54"/>
    <w:rsid w:val="00BB33B4"/>
    <w:rsid w:val="00BB33B9"/>
    <w:rsid w:val="00BB3D2C"/>
    <w:rsid w:val="00BB4340"/>
    <w:rsid w:val="00BB4743"/>
    <w:rsid w:val="00BB4BE1"/>
    <w:rsid w:val="00BB61F8"/>
    <w:rsid w:val="00BB707D"/>
    <w:rsid w:val="00BB7259"/>
    <w:rsid w:val="00BC1218"/>
    <w:rsid w:val="00BC171A"/>
    <w:rsid w:val="00BC220D"/>
    <w:rsid w:val="00BC3315"/>
    <w:rsid w:val="00BC3E24"/>
    <w:rsid w:val="00BC50A1"/>
    <w:rsid w:val="00BC5160"/>
    <w:rsid w:val="00BC5446"/>
    <w:rsid w:val="00BC5603"/>
    <w:rsid w:val="00BD0819"/>
    <w:rsid w:val="00BD0ADA"/>
    <w:rsid w:val="00BD0FD3"/>
    <w:rsid w:val="00BD1BE2"/>
    <w:rsid w:val="00BD1CB8"/>
    <w:rsid w:val="00BD2300"/>
    <w:rsid w:val="00BD25CD"/>
    <w:rsid w:val="00BD4435"/>
    <w:rsid w:val="00BD4CE4"/>
    <w:rsid w:val="00BD4DC0"/>
    <w:rsid w:val="00BD559A"/>
    <w:rsid w:val="00BD5858"/>
    <w:rsid w:val="00BD5F51"/>
    <w:rsid w:val="00BD6351"/>
    <w:rsid w:val="00BD6F37"/>
    <w:rsid w:val="00BD7206"/>
    <w:rsid w:val="00BD7437"/>
    <w:rsid w:val="00BE0B4A"/>
    <w:rsid w:val="00BE0EF5"/>
    <w:rsid w:val="00BE1886"/>
    <w:rsid w:val="00BE1E3C"/>
    <w:rsid w:val="00BE3111"/>
    <w:rsid w:val="00BF0101"/>
    <w:rsid w:val="00BF067C"/>
    <w:rsid w:val="00BF1C4E"/>
    <w:rsid w:val="00BF3AF0"/>
    <w:rsid w:val="00BF3F1F"/>
    <w:rsid w:val="00BF4763"/>
    <w:rsid w:val="00BF5B02"/>
    <w:rsid w:val="00BF6A8E"/>
    <w:rsid w:val="00C003DA"/>
    <w:rsid w:val="00C034B2"/>
    <w:rsid w:val="00C03E67"/>
    <w:rsid w:val="00C10479"/>
    <w:rsid w:val="00C11F55"/>
    <w:rsid w:val="00C121D7"/>
    <w:rsid w:val="00C12EA7"/>
    <w:rsid w:val="00C131CA"/>
    <w:rsid w:val="00C138C0"/>
    <w:rsid w:val="00C146ED"/>
    <w:rsid w:val="00C150E9"/>
    <w:rsid w:val="00C15767"/>
    <w:rsid w:val="00C15ED4"/>
    <w:rsid w:val="00C17504"/>
    <w:rsid w:val="00C212F0"/>
    <w:rsid w:val="00C21421"/>
    <w:rsid w:val="00C2353A"/>
    <w:rsid w:val="00C23D85"/>
    <w:rsid w:val="00C23FEB"/>
    <w:rsid w:val="00C244A0"/>
    <w:rsid w:val="00C25361"/>
    <w:rsid w:val="00C279DB"/>
    <w:rsid w:val="00C27BDF"/>
    <w:rsid w:val="00C27ECA"/>
    <w:rsid w:val="00C31551"/>
    <w:rsid w:val="00C323D8"/>
    <w:rsid w:val="00C33A43"/>
    <w:rsid w:val="00C358AD"/>
    <w:rsid w:val="00C3591E"/>
    <w:rsid w:val="00C362F2"/>
    <w:rsid w:val="00C36427"/>
    <w:rsid w:val="00C373AD"/>
    <w:rsid w:val="00C40476"/>
    <w:rsid w:val="00C4057F"/>
    <w:rsid w:val="00C40A46"/>
    <w:rsid w:val="00C4334A"/>
    <w:rsid w:val="00C43FF9"/>
    <w:rsid w:val="00C44324"/>
    <w:rsid w:val="00C44C07"/>
    <w:rsid w:val="00C45358"/>
    <w:rsid w:val="00C45846"/>
    <w:rsid w:val="00C458A3"/>
    <w:rsid w:val="00C45C30"/>
    <w:rsid w:val="00C461FA"/>
    <w:rsid w:val="00C47036"/>
    <w:rsid w:val="00C47099"/>
    <w:rsid w:val="00C474B2"/>
    <w:rsid w:val="00C50DBC"/>
    <w:rsid w:val="00C50E24"/>
    <w:rsid w:val="00C51047"/>
    <w:rsid w:val="00C53177"/>
    <w:rsid w:val="00C532A9"/>
    <w:rsid w:val="00C54444"/>
    <w:rsid w:val="00C54F9D"/>
    <w:rsid w:val="00C5556F"/>
    <w:rsid w:val="00C5648D"/>
    <w:rsid w:val="00C56DF3"/>
    <w:rsid w:val="00C5739E"/>
    <w:rsid w:val="00C575EC"/>
    <w:rsid w:val="00C600D8"/>
    <w:rsid w:val="00C60DAD"/>
    <w:rsid w:val="00C61088"/>
    <w:rsid w:val="00C617E6"/>
    <w:rsid w:val="00C619D7"/>
    <w:rsid w:val="00C6386E"/>
    <w:rsid w:val="00C63FAA"/>
    <w:rsid w:val="00C64AC4"/>
    <w:rsid w:val="00C65068"/>
    <w:rsid w:val="00C65F9C"/>
    <w:rsid w:val="00C668E5"/>
    <w:rsid w:val="00C70306"/>
    <w:rsid w:val="00C70A8C"/>
    <w:rsid w:val="00C717D0"/>
    <w:rsid w:val="00C7375B"/>
    <w:rsid w:val="00C7430B"/>
    <w:rsid w:val="00C748CA"/>
    <w:rsid w:val="00C74CDA"/>
    <w:rsid w:val="00C74FFD"/>
    <w:rsid w:val="00C7530C"/>
    <w:rsid w:val="00C761BD"/>
    <w:rsid w:val="00C76A22"/>
    <w:rsid w:val="00C7714A"/>
    <w:rsid w:val="00C80EF1"/>
    <w:rsid w:val="00C80F8E"/>
    <w:rsid w:val="00C81BFA"/>
    <w:rsid w:val="00C825BD"/>
    <w:rsid w:val="00C83D27"/>
    <w:rsid w:val="00C87955"/>
    <w:rsid w:val="00C87FF7"/>
    <w:rsid w:val="00C920D6"/>
    <w:rsid w:val="00C92460"/>
    <w:rsid w:val="00C92B38"/>
    <w:rsid w:val="00C92D0C"/>
    <w:rsid w:val="00C92F94"/>
    <w:rsid w:val="00C93C44"/>
    <w:rsid w:val="00C93D9E"/>
    <w:rsid w:val="00C93FCE"/>
    <w:rsid w:val="00C94EEB"/>
    <w:rsid w:val="00C95DEC"/>
    <w:rsid w:val="00CA055E"/>
    <w:rsid w:val="00CA0881"/>
    <w:rsid w:val="00CA2B6D"/>
    <w:rsid w:val="00CA350F"/>
    <w:rsid w:val="00CA3B81"/>
    <w:rsid w:val="00CA4BBC"/>
    <w:rsid w:val="00CA5262"/>
    <w:rsid w:val="00CA6886"/>
    <w:rsid w:val="00CA7020"/>
    <w:rsid w:val="00CB0BB8"/>
    <w:rsid w:val="00CB4554"/>
    <w:rsid w:val="00CB4C71"/>
    <w:rsid w:val="00CB4EEC"/>
    <w:rsid w:val="00CB576D"/>
    <w:rsid w:val="00CB5FF2"/>
    <w:rsid w:val="00CB7EBB"/>
    <w:rsid w:val="00CC0429"/>
    <w:rsid w:val="00CC12CB"/>
    <w:rsid w:val="00CC13B1"/>
    <w:rsid w:val="00CC1AE5"/>
    <w:rsid w:val="00CC3461"/>
    <w:rsid w:val="00CC4256"/>
    <w:rsid w:val="00CC55D7"/>
    <w:rsid w:val="00CD038F"/>
    <w:rsid w:val="00CD1C69"/>
    <w:rsid w:val="00CD3395"/>
    <w:rsid w:val="00CD44B2"/>
    <w:rsid w:val="00CD4FAB"/>
    <w:rsid w:val="00CD6B55"/>
    <w:rsid w:val="00CD7989"/>
    <w:rsid w:val="00CD7E33"/>
    <w:rsid w:val="00CE0820"/>
    <w:rsid w:val="00CE08A5"/>
    <w:rsid w:val="00CE366C"/>
    <w:rsid w:val="00CE49DE"/>
    <w:rsid w:val="00CE4CD5"/>
    <w:rsid w:val="00CE6854"/>
    <w:rsid w:val="00CE7053"/>
    <w:rsid w:val="00CE74A7"/>
    <w:rsid w:val="00CE7FE3"/>
    <w:rsid w:val="00CF15D8"/>
    <w:rsid w:val="00CF1628"/>
    <w:rsid w:val="00CF23ED"/>
    <w:rsid w:val="00CF5971"/>
    <w:rsid w:val="00CF635F"/>
    <w:rsid w:val="00CF6E0C"/>
    <w:rsid w:val="00D00A5E"/>
    <w:rsid w:val="00D010EE"/>
    <w:rsid w:val="00D03E45"/>
    <w:rsid w:val="00D0433B"/>
    <w:rsid w:val="00D04A94"/>
    <w:rsid w:val="00D0666E"/>
    <w:rsid w:val="00D066ED"/>
    <w:rsid w:val="00D06A2A"/>
    <w:rsid w:val="00D0738F"/>
    <w:rsid w:val="00D076CE"/>
    <w:rsid w:val="00D07CAC"/>
    <w:rsid w:val="00D07ECB"/>
    <w:rsid w:val="00D10CC2"/>
    <w:rsid w:val="00D12319"/>
    <w:rsid w:val="00D13807"/>
    <w:rsid w:val="00D13DC3"/>
    <w:rsid w:val="00D14F50"/>
    <w:rsid w:val="00D15380"/>
    <w:rsid w:val="00D1609B"/>
    <w:rsid w:val="00D1665F"/>
    <w:rsid w:val="00D16964"/>
    <w:rsid w:val="00D17E4F"/>
    <w:rsid w:val="00D2030E"/>
    <w:rsid w:val="00D205A0"/>
    <w:rsid w:val="00D207E9"/>
    <w:rsid w:val="00D20B8C"/>
    <w:rsid w:val="00D214D8"/>
    <w:rsid w:val="00D23824"/>
    <w:rsid w:val="00D23996"/>
    <w:rsid w:val="00D23A46"/>
    <w:rsid w:val="00D2406F"/>
    <w:rsid w:val="00D24590"/>
    <w:rsid w:val="00D255D4"/>
    <w:rsid w:val="00D25677"/>
    <w:rsid w:val="00D27919"/>
    <w:rsid w:val="00D2796B"/>
    <w:rsid w:val="00D31C58"/>
    <w:rsid w:val="00D32BC2"/>
    <w:rsid w:val="00D33631"/>
    <w:rsid w:val="00D33E23"/>
    <w:rsid w:val="00D3419F"/>
    <w:rsid w:val="00D34C51"/>
    <w:rsid w:val="00D35137"/>
    <w:rsid w:val="00D3592B"/>
    <w:rsid w:val="00D35A6F"/>
    <w:rsid w:val="00D35F19"/>
    <w:rsid w:val="00D37184"/>
    <w:rsid w:val="00D37640"/>
    <w:rsid w:val="00D37B98"/>
    <w:rsid w:val="00D4047F"/>
    <w:rsid w:val="00D41DBA"/>
    <w:rsid w:val="00D428DF"/>
    <w:rsid w:val="00D436A4"/>
    <w:rsid w:val="00D46BEA"/>
    <w:rsid w:val="00D47467"/>
    <w:rsid w:val="00D50825"/>
    <w:rsid w:val="00D509ED"/>
    <w:rsid w:val="00D50C94"/>
    <w:rsid w:val="00D52A29"/>
    <w:rsid w:val="00D53A51"/>
    <w:rsid w:val="00D5452E"/>
    <w:rsid w:val="00D5455F"/>
    <w:rsid w:val="00D54D4A"/>
    <w:rsid w:val="00D56E72"/>
    <w:rsid w:val="00D57705"/>
    <w:rsid w:val="00D57C05"/>
    <w:rsid w:val="00D57C17"/>
    <w:rsid w:val="00D57E47"/>
    <w:rsid w:val="00D601F6"/>
    <w:rsid w:val="00D60644"/>
    <w:rsid w:val="00D60BF3"/>
    <w:rsid w:val="00D61904"/>
    <w:rsid w:val="00D61975"/>
    <w:rsid w:val="00D61D0A"/>
    <w:rsid w:val="00D63E38"/>
    <w:rsid w:val="00D6504B"/>
    <w:rsid w:val="00D65753"/>
    <w:rsid w:val="00D66253"/>
    <w:rsid w:val="00D700E8"/>
    <w:rsid w:val="00D704C6"/>
    <w:rsid w:val="00D7124D"/>
    <w:rsid w:val="00D7147D"/>
    <w:rsid w:val="00D73BBB"/>
    <w:rsid w:val="00D75FC3"/>
    <w:rsid w:val="00D7637F"/>
    <w:rsid w:val="00D763CA"/>
    <w:rsid w:val="00D767C6"/>
    <w:rsid w:val="00D767E4"/>
    <w:rsid w:val="00D76E46"/>
    <w:rsid w:val="00D77EDA"/>
    <w:rsid w:val="00D80565"/>
    <w:rsid w:val="00D8064D"/>
    <w:rsid w:val="00D81587"/>
    <w:rsid w:val="00D81CFC"/>
    <w:rsid w:val="00D81FD6"/>
    <w:rsid w:val="00D86B80"/>
    <w:rsid w:val="00D86BAC"/>
    <w:rsid w:val="00D87ADB"/>
    <w:rsid w:val="00D90799"/>
    <w:rsid w:val="00D90B34"/>
    <w:rsid w:val="00D90D93"/>
    <w:rsid w:val="00D91319"/>
    <w:rsid w:val="00D91929"/>
    <w:rsid w:val="00D9247D"/>
    <w:rsid w:val="00D93E8F"/>
    <w:rsid w:val="00D94A0B"/>
    <w:rsid w:val="00D94DCC"/>
    <w:rsid w:val="00D94FE5"/>
    <w:rsid w:val="00D954F0"/>
    <w:rsid w:val="00D9660B"/>
    <w:rsid w:val="00D9676B"/>
    <w:rsid w:val="00D97AD5"/>
    <w:rsid w:val="00D97D70"/>
    <w:rsid w:val="00DA05AA"/>
    <w:rsid w:val="00DA2855"/>
    <w:rsid w:val="00DA2E8F"/>
    <w:rsid w:val="00DA4193"/>
    <w:rsid w:val="00DA459F"/>
    <w:rsid w:val="00DA49D4"/>
    <w:rsid w:val="00DA5525"/>
    <w:rsid w:val="00DA7C9D"/>
    <w:rsid w:val="00DB14CC"/>
    <w:rsid w:val="00DB2658"/>
    <w:rsid w:val="00DB47BA"/>
    <w:rsid w:val="00DB5D57"/>
    <w:rsid w:val="00DB6296"/>
    <w:rsid w:val="00DB63E1"/>
    <w:rsid w:val="00DB712A"/>
    <w:rsid w:val="00DB722C"/>
    <w:rsid w:val="00DB72A9"/>
    <w:rsid w:val="00DB7393"/>
    <w:rsid w:val="00DC0332"/>
    <w:rsid w:val="00DC0FD6"/>
    <w:rsid w:val="00DC1B99"/>
    <w:rsid w:val="00DC1F6C"/>
    <w:rsid w:val="00DC36D4"/>
    <w:rsid w:val="00DC36F9"/>
    <w:rsid w:val="00DC3A2F"/>
    <w:rsid w:val="00DC4E78"/>
    <w:rsid w:val="00DC5A01"/>
    <w:rsid w:val="00DC5FD5"/>
    <w:rsid w:val="00DC6434"/>
    <w:rsid w:val="00DC6C58"/>
    <w:rsid w:val="00DC7E07"/>
    <w:rsid w:val="00DD2AFB"/>
    <w:rsid w:val="00DD3FA0"/>
    <w:rsid w:val="00DD4A2A"/>
    <w:rsid w:val="00DD4AA1"/>
    <w:rsid w:val="00DD5BF1"/>
    <w:rsid w:val="00DD5DAE"/>
    <w:rsid w:val="00DD64AE"/>
    <w:rsid w:val="00DD74FE"/>
    <w:rsid w:val="00DE19D3"/>
    <w:rsid w:val="00DE396A"/>
    <w:rsid w:val="00DE453B"/>
    <w:rsid w:val="00DE515E"/>
    <w:rsid w:val="00DE64E7"/>
    <w:rsid w:val="00DE686D"/>
    <w:rsid w:val="00DE790C"/>
    <w:rsid w:val="00DF0171"/>
    <w:rsid w:val="00DF088C"/>
    <w:rsid w:val="00DF0D41"/>
    <w:rsid w:val="00DF0E40"/>
    <w:rsid w:val="00DF4071"/>
    <w:rsid w:val="00DF45EF"/>
    <w:rsid w:val="00DF58A6"/>
    <w:rsid w:val="00DF70E0"/>
    <w:rsid w:val="00DF784D"/>
    <w:rsid w:val="00E00E3D"/>
    <w:rsid w:val="00E01B64"/>
    <w:rsid w:val="00E02E5A"/>
    <w:rsid w:val="00E04E62"/>
    <w:rsid w:val="00E05495"/>
    <w:rsid w:val="00E05D5C"/>
    <w:rsid w:val="00E05FD9"/>
    <w:rsid w:val="00E06525"/>
    <w:rsid w:val="00E06A17"/>
    <w:rsid w:val="00E06E9E"/>
    <w:rsid w:val="00E077FE"/>
    <w:rsid w:val="00E10583"/>
    <w:rsid w:val="00E10656"/>
    <w:rsid w:val="00E106D0"/>
    <w:rsid w:val="00E10899"/>
    <w:rsid w:val="00E11553"/>
    <w:rsid w:val="00E11A01"/>
    <w:rsid w:val="00E1289A"/>
    <w:rsid w:val="00E1416A"/>
    <w:rsid w:val="00E14174"/>
    <w:rsid w:val="00E141F8"/>
    <w:rsid w:val="00E14C66"/>
    <w:rsid w:val="00E15056"/>
    <w:rsid w:val="00E15A24"/>
    <w:rsid w:val="00E17661"/>
    <w:rsid w:val="00E17D9F"/>
    <w:rsid w:val="00E20800"/>
    <w:rsid w:val="00E2312C"/>
    <w:rsid w:val="00E23C4A"/>
    <w:rsid w:val="00E243A1"/>
    <w:rsid w:val="00E245EE"/>
    <w:rsid w:val="00E26613"/>
    <w:rsid w:val="00E27116"/>
    <w:rsid w:val="00E27327"/>
    <w:rsid w:val="00E3082D"/>
    <w:rsid w:val="00E3177C"/>
    <w:rsid w:val="00E3193C"/>
    <w:rsid w:val="00E35157"/>
    <w:rsid w:val="00E35316"/>
    <w:rsid w:val="00E359FA"/>
    <w:rsid w:val="00E35E72"/>
    <w:rsid w:val="00E364DA"/>
    <w:rsid w:val="00E37089"/>
    <w:rsid w:val="00E42157"/>
    <w:rsid w:val="00E43D4E"/>
    <w:rsid w:val="00E4476D"/>
    <w:rsid w:val="00E45663"/>
    <w:rsid w:val="00E458F4"/>
    <w:rsid w:val="00E45C10"/>
    <w:rsid w:val="00E47CD8"/>
    <w:rsid w:val="00E50402"/>
    <w:rsid w:val="00E5122B"/>
    <w:rsid w:val="00E52999"/>
    <w:rsid w:val="00E52DD6"/>
    <w:rsid w:val="00E54600"/>
    <w:rsid w:val="00E558EC"/>
    <w:rsid w:val="00E55C30"/>
    <w:rsid w:val="00E55D4A"/>
    <w:rsid w:val="00E55D81"/>
    <w:rsid w:val="00E55D82"/>
    <w:rsid w:val="00E56056"/>
    <w:rsid w:val="00E56B93"/>
    <w:rsid w:val="00E57174"/>
    <w:rsid w:val="00E5732A"/>
    <w:rsid w:val="00E57A01"/>
    <w:rsid w:val="00E57CDD"/>
    <w:rsid w:val="00E57F77"/>
    <w:rsid w:val="00E604CC"/>
    <w:rsid w:val="00E60B1D"/>
    <w:rsid w:val="00E61870"/>
    <w:rsid w:val="00E63FD9"/>
    <w:rsid w:val="00E6492F"/>
    <w:rsid w:val="00E65560"/>
    <w:rsid w:val="00E6566A"/>
    <w:rsid w:val="00E65A45"/>
    <w:rsid w:val="00E65E01"/>
    <w:rsid w:val="00E6659F"/>
    <w:rsid w:val="00E672F9"/>
    <w:rsid w:val="00E67DA4"/>
    <w:rsid w:val="00E700FB"/>
    <w:rsid w:val="00E70A6F"/>
    <w:rsid w:val="00E70A7B"/>
    <w:rsid w:val="00E712CB"/>
    <w:rsid w:val="00E71834"/>
    <w:rsid w:val="00E721F3"/>
    <w:rsid w:val="00E73426"/>
    <w:rsid w:val="00E7543E"/>
    <w:rsid w:val="00E75988"/>
    <w:rsid w:val="00E75E3B"/>
    <w:rsid w:val="00E77E6A"/>
    <w:rsid w:val="00E81E1A"/>
    <w:rsid w:val="00E82C6D"/>
    <w:rsid w:val="00E83604"/>
    <w:rsid w:val="00E8389E"/>
    <w:rsid w:val="00E850B3"/>
    <w:rsid w:val="00E85B61"/>
    <w:rsid w:val="00E86A7F"/>
    <w:rsid w:val="00E900A9"/>
    <w:rsid w:val="00E90F17"/>
    <w:rsid w:val="00E942A8"/>
    <w:rsid w:val="00E948EB"/>
    <w:rsid w:val="00E957D1"/>
    <w:rsid w:val="00E9666A"/>
    <w:rsid w:val="00E968E5"/>
    <w:rsid w:val="00E96CEA"/>
    <w:rsid w:val="00E97968"/>
    <w:rsid w:val="00EA16F9"/>
    <w:rsid w:val="00EA363D"/>
    <w:rsid w:val="00EA3CD0"/>
    <w:rsid w:val="00EA3FAC"/>
    <w:rsid w:val="00EA56C2"/>
    <w:rsid w:val="00EA60DE"/>
    <w:rsid w:val="00EA77A5"/>
    <w:rsid w:val="00EB1849"/>
    <w:rsid w:val="00EB18EF"/>
    <w:rsid w:val="00EB29E6"/>
    <w:rsid w:val="00EB596F"/>
    <w:rsid w:val="00EB6CD3"/>
    <w:rsid w:val="00EC094E"/>
    <w:rsid w:val="00EC1800"/>
    <w:rsid w:val="00EC1BA2"/>
    <w:rsid w:val="00EC2452"/>
    <w:rsid w:val="00EC25C7"/>
    <w:rsid w:val="00EC2EAB"/>
    <w:rsid w:val="00EC4516"/>
    <w:rsid w:val="00EC59EF"/>
    <w:rsid w:val="00EC603D"/>
    <w:rsid w:val="00EC6245"/>
    <w:rsid w:val="00EC64FE"/>
    <w:rsid w:val="00EC6BE6"/>
    <w:rsid w:val="00EC72CE"/>
    <w:rsid w:val="00EC77A5"/>
    <w:rsid w:val="00EC7F63"/>
    <w:rsid w:val="00ED082E"/>
    <w:rsid w:val="00ED2012"/>
    <w:rsid w:val="00ED228A"/>
    <w:rsid w:val="00ED3046"/>
    <w:rsid w:val="00ED391E"/>
    <w:rsid w:val="00ED4277"/>
    <w:rsid w:val="00ED64BA"/>
    <w:rsid w:val="00ED6F18"/>
    <w:rsid w:val="00ED6FE3"/>
    <w:rsid w:val="00ED7089"/>
    <w:rsid w:val="00ED7AF1"/>
    <w:rsid w:val="00ED7E53"/>
    <w:rsid w:val="00EE10EF"/>
    <w:rsid w:val="00EE2B68"/>
    <w:rsid w:val="00EE31EC"/>
    <w:rsid w:val="00EE3911"/>
    <w:rsid w:val="00EE3DFB"/>
    <w:rsid w:val="00EE6997"/>
    <w:rsid w:val="00EF03E3"/>
    <w:rsid w:val="00EF1B3E"/>
    <w:rsid w:val="00EF3AF6"/>
    <w:rsid w:val="00EF41B9"/>
    <w:rsid w:val="00EF5D77"/>
    <w:rsid w:val="00EF7931"/>
    <w:rsid w:val="00F0034F"/>
    <w:rsid w:val="00F01852"/>
    <w:rsid w:val="00F02388"/>
    <w:rsid w:val="00F03C92"/>
    <w:rsid w:val="00F056CA"/>
    <w:rsid w:val="00F061B9"/>
    <w:rsid w:val="00F06705"/>
    <w:rsid w:val="00F11664"/>
    <w:rsid w:val="00F128A1"/>
    <w:rsid w:val="00F12AFA"/>
    <w:rsid w:val="00F1501F"/>
    <w:rsid w:val="00F15474"/>
    <w:rsid w:val="00F16A0D"/>
    <w:rsid w:val="00F16FD9"/>
    <w:rsid w:val="00F1715C"/>
    <w:rsid w:val="00F17ECD"/>
    <w:rsid w:val="00F218A5"/>
    <w:rsid w:val="00F22948"/>
    <w:rsid w:val="00F23929"/>
    <w:rsid w:val="00F23ED3"/>
    <w:rsid w:val="00F243E9"/>
    <w:rsid w:val="00F25ECF"/>
    <w:rsid w:val="00F25F35"/>
    <w:rsid w:val="00F27A62"/>
    <w:rsid w:val="00F27F5D"/>
    <w:rsid w:val="00F3062D"/>
    <w:rsid w:val="00F31C9C"/>
    <w:rsid w:val="00F320CF"/>
    <w:rsid w:val="00F32557"/>
    <w:rsid w:val="00F33A4D"/>
    <w:rsid w:val="00F33FA3"/>
    <w:rsid w:val="00F34CE3"/>
    <w:rsid w:val="00F35CBA"/>
    <w:rsid w:val="00F35D8E"/>
    <w:rsid w:val="00F36CDA"/>
    <w:rsid w:val="00F41777"/>
    <w:rsid w:val="00F41AA7"/>
    <w:rsid w:val="00F42A8A"/>
    <w:rsid w:val="00F43133"/>
    <w:rsid w:val="00F462CA"/>
    <w:rsid w:val="00F46712"/>
    <w:rsid w:val="00F46A58"/>
    <w:rsid w:val="00F4791C"/>
    <w:rsid w:val="00F47DD6"/>
    <w:rsid w:val="00F503E2"/>
    <w:rsid w:val="00F50720"/>
    <w:rsid w:val="00F508EE"/>
    <w:rsid w:val="00F520B8"/>
    <w:rsid w:val="00F5353C"/>
    <w:rsid w:val="00F5408D"/>
    <w:rsid w:val="00F54917"/>
    <w:rsid w:val="00F55313"/>
    <w:rsid w:val="00F56790"/>
    <w:rsid w:val="00F60049"/>
    <w:rsid w:val="00F609A7"/>
    <w:rsid w:val="00F611F0"/>
    <w:rsid w:val="00F631E9"/>
    <w:rsid w:val="00F64D9C"/>
    <w:rsid w:val="00F64FBF"/>
    <w:rsid w:val="00F65C5F"/>
    <w:rsid w:val="00F66595"/>
    <w:rsid w:val="00F70165"/>
    <w:rsid w:val="00F729E1"/>
    <w:rsid w:val="00F73DAE"/>
    <w:rsid w:val="00F77F2E"/>
    <w:rsid w:val="00F80E0C"/>
    <w:rsid w:val="00F82B06"/>
    <w:rsid w:val="00F838A5"/>
    <w:rsid w:val="00F84DC8"/>
    <w:rsid w:val="00F8526D"/>
    <w:rsid w:val="00F8550A"/>
    <w:rsid w:val="00F90793"/>
    <w:rsid w:val="00F96896"/>
    <w:rsid w:val="00F97088"/>
    <w:rsid w:val="00F973CA"/>
    <w:rsid w:val="00F97FF7"/>
    <w:rsid w:val="00FA17C3"/>
    <w:rsid w:val="00FA1A50"/>
    <w:rsid w:val="00FA266A"/>
    <w:rsid w:val="00FA2D9A"/>
    <w:rsid w:val="00FA51E7"/>
    <w:rsid w:val="00FA63AE"/>
    <w:rsid w:val="00FA654E"/>
    <w:rsid w:val="00FA6566"/>
    <w:rsid w:val="00FA7104"/>
    <w:rsid w:val="00FB0AD4"/>
    <w:rsid w:val="00FB1962"/>
    <w:rsid w:val="00FB2302"/>
    <w:rsid w:val="00FB3816"/>
    <w:rsid w:val="00FB427A"/>
    <w:rsid w:val="00FB44FD"/>
    <w:rsid w:val="00FB512A"/>
    <w:rsid w:val="00FB541C"/>
    <w:rsid w:val="00FB62D1"/>
    <w:rsid w:val="00FB7120"/>
    <w:rsid w:val="00FB7C54"/>
    <w:rsid w:val="00FC0D2A"/>
    <w:rsid w:val="00FC4040"/>
    <w:rsid w:val="00FD058D"/>
    <w:rsid w:val="00FD0B84"/>
    <w:rsid w:val="00FD3380"/>
    <w:rsid w:val="00FD3A47"/>
    <w:rsid w:val="00FD4CAE"/>
    <w:rsid w:val="00FD51E9"/>
    <w:rsid w:val="00FD52F1"/>
    <w:rsid w:val="00FD695B"/>
    <w:rsid w:val="00FD7AC2"/>
    <w:rsid w:val="00FD7E21"/>
    <w:rsid w:val="00FE0BD3"/>
    <w:rsid w:val="00FE0C4C"/>
    <w:rsid w:val="00FE20EC"/>
    <w:rsid w:val="00FE2849"/>
    <w:rsid w:val="00FE3CE9"/>
    <w:rsid w:val="00FE41F2"/>
    <w:rsid w:val="00FE4477"/>
    <w:rsid w:val="00FE4860"/>
    <w:rsid w:val="00FE4B8D"/>
    <w:rsid w:val="00FE5281"/>
    <w:rsid w:val="00FE5625"/>
    <w:rsid w:val="00FE59FE"/>
    <w:rsid w:val="00FE6445"/>
    <w:rsid w:val="00FE66A3"/>
    <w:rsid w:val="00FE72C5"/>
    <w:rsid w:val="00FE77C9"/>
    <w:rsid w:val="00FF0853"/>
    <w:rsid w:val="00FF1544"/>
    <w:rsid w:val="00FF1832"/>
    <w:rsid w:val="00FF20C8"/>
    <w:rsid w:val="00FF2AED"/>
    <w:rsid w:val="00FF3828"/>
    <w:rsid w:val="00FF3C8D"/>
    <w:rsid w:val="00FF3EA9"/>
    <w:rsid w:val="00FF5675"/>
    <w:rsid w:val="00FF58C4"/>
    <w:rsid w:val="00FF61B1"/>
    <w:rsid w:val="00FF6B03"/>
    <w:rsid w:val="00FF6F31"/>
    <w:rsid w:val="00FF7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89c3b2"/>
    </o:shapedefaults>
    <o:shapelayout v:ext="edit">
      <o:idmap v:ext="edit" data="1"/>
    </o:shapelayout>
  </w:shapeDefaults>
  <w:decimalSymbol w:val="."/>
  <w:listSeparator w:val=","/>
  <w14:docId w14:val="1A746A44"/>
  <w15:docId w15:val="{7C0E704B-8D95-4908-93D9-E3D2178B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7D"/>
    <w:pPr>
      <w:tabs>
        <w:tab w:val="left" w:pos="992"/>
        <w:tab w:val="left" w:pos="1418"/>
      </w:tabs>
      <w:spacing w:after="200" w:line="288" w:lineRule="auto"/>
    </w:pPr>
    <w:rPr>
      <w:color w:val="434343"/>
      <w:sz w:val="23"/>
      <w:szCs w:val="22"/>
      <w:lang w:eastAsia="en-US"/>
    </w:rPr>
  </w:style>
  <w:style w:type="paragraph" w:styleId="Heading1">
    <w:name w:val="heading 1"/>
    <w:basedOn w:val="Normal"/>
    <w:next w:val="Normal"/>
    <w:link w:val="Heading1Char"/>
    <w:uiPriority w:val="9"/>
    <w:qFormat/>
    <w:rsid w:val="00CD4FAB"/>
    <w:pPr>
      <w:keepNext/>
      <w:keepLines/>
      <w:spacing w:before="120" w:after="400" w:line="168" w:lineRule="auto"/>
      <w:outlineLvl w:val="0"/>
    </w:pPr>
    <w:rPr>
      <w:rFonts w:eastAsia="SimSun"/>
      <w:b/>
      <w:caps/>
      <w:color w:val="005C66"/>
      <w:spacing w:val="12"/>
      <w:sz w:val="38"/>
      <w:szCs w:val="32"/>
    </w:rPr>
  </w:style>
  <w:style w:type="paragraph" w:styleId="Heading2">
    <w:name w:val="heading 2"/>
    <w:basedOn w:val="Heading3"/>
    <w:next w:val="Normal"/>
    <w:link w:val="Heading2Char"/>
    <w:uiPriority w:val="9"/>
    <w:unhideWhenUsed/>
    <w:qFormat/>
    <w:rsid w:val="00F218A5"/>
    <w:pPr>
      <w:keepLines w:val="0"/>
      <w:numPr>
        <w:ilvl w:val="1"/>
        <w:numId w:val="4"/>
      </w:numPr>
      <w:suppressLineNumbers/>
      <w:tabs>
        <w:tab w:val="clear" w:pos="992"/>
        <w:tab w:val="clear" w:pos="1418"/>
      </w:tabs>
      <w:suppressAutoHyphens/>
      <w:spacing w:before="360" w:after="120" w:line="240" w:lineRule="auto"/>
      <w:outlineLvl w:val="1"/>
    </w:pPr>
    <w:rPr>
      <w:color w:val="434343"/>
      <w:spacing w:val="2"/>
      <w:sz w:val="38"/>
      <w:szCs w:val="26"/>
    </w:rPr>
  </w:style>
  <w:style w:type="paragraph" w:styleId="Heading3">
    <w:name w:val="heading 3"/>
    <w:basedOn w:val="Normal"/>
    <w:next w:val="Normal"/>
    <w:link w:val="Heading3Char"/>
    <w:uiPriority w:val="9"/>
    <w:unhideWhenUsed/>
    <w:qFormat/>
    <w:rsid w:val="0045029C"/>
    <w:pPr>
      <w:keepNext/>
      <w:keepLines/>
      <w:spacing w:after="320" w:line="168" w:lineRule="auto"/>
      <w:outlineLvl w:val="2"/>
    </w:pPr>
    <w:rPr>
      <w:rFonts w:eastAsia="SimSun"/>
      <w:color w:val="485865"/>
      <w:sz w:val="32"/>
      <w:szCs w:val="24"/>
    </w:rPr>
  </w:style>
  <w:style w:type="paragraph" w:styleId="Heading4">
    <w:name w:val="heading 4"/>
    <w:basedOn w:val="Normal"/>
    <w:next w:val="Normal"/>
    <w:link w:val="Heading4Char"/>
    <w:uiPriority w:val="9"/>
    <w:unhideWhenUsed/>
    <w:qFormat/>
    <w:rsid w:val="00CD4FAB"/>
    <w:pPr>
      <w:keepNext/>
      <w:keepLines/>
      <w:spacing w:before="320" w:after="220" w:line="168" w:lineRule="auto"/>
      <w:outlineLvl w:val="3"/>
    </w:pPr>
    <w:rPr>
      <w:rFonts w:eastAsia="SimSun"/>
      <w:b/>
      <w:iCs/>
      <w:color w:val="485865"/>
      <w:sz w:val="26"/>
    </w:rPr>
  </w:style>
  <w:style w:type="paragraph" w:styleId="Heading5">
    <w:name w:val="heading 5"/>
    <w:basedOn w:val="Normal"/>
    <w:next w:val="Normal"/>
    <w:link w:val="Heading5Char"/>
    <w:uiPriority w:val="9"/>
    <w:unhideWhenUsed/>
    <w:qFormat/>
    <w:rsid w:val="00EC7F63"/>
    <w:pPr>
      <w:keepNext/>
      <w:keepLines/>
      <w:spacing w:line="168" w:lineRule="auto"/>
      <w:outlineLvl w:val="4"/>
    </w:pPr>
    <w:rPr>
      <w:rFonts w:eastAsia="SimSun"/>
      <w:b/>
      <w:color w:val="005C66"/>
      <w:sz w:val="22"/>
    </w:rPr>
  </w:style>
  <w:style w:type="paragraph" w:styleId="Heading6">
    <w:name w:val="heading 6"/>
    <w:basedOn w:val="Normal"/>
    <w:next w:val="Normal"/>
    <w:link w:val="Heading6Char"/>
    <w:uiPriority w:val="9"/>
    <w:unhideWhenUsed/>
    <w:qFormat/>
    <w:rsid w:val="00A87567"/>
    <w:pPr>
      <w:keepNext/>
      <w:keepLines/>
      <w:spacing w:before="360" w:after="120" w:line="168" w:lineRule="auto"/>
      <w:outlineLvl w:val="5"/>
    </w:pPr>
    <w:rPr>
      <w:rFonts w:eastAsia="SimSun"/>
      <w:b/>
      <w:color w:val="48586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4FAB"/>
    <w:rPr>
      <w:rFonts w:ascii="Calibri" w:eastAsia="SimSun" w:hAnsi="Calibri" w:cs="Arial"/>
      <w:b/>
      <w:caps/>
      <w:color w:val="005C66"/>
      <w:spacing w:val="12"/>
      <w:sz w:val="38"/>
      <w:szCs w:val="32"/>
    </w:rPr>
  </w:style>
  <w:style w:type="character" w:customStyle="1" w:styleId="Heading3Char">
    <w:name w:val="Heading 3 Char"/>
    <w:link w:val="Heading3"/>
    <w:uiPriority w:val="9"/>
    <w:rsid w:val="0045029C"/>
    <w:rPr>
      <w:rFonts w:ascii="Calibri" w:eastAsia="SimSun" w:hAnsi="Calibri" w:cs="Arial"/>
      <w:color w:val="485865"/>
      <w:sz w:val="32"/>
      <w:szCs w:val="24"/>
    </w:rPr>
  </w:style>
  <w:style w:type="character" w:customStyle="1" w:styleId="Heading2Char">
    <w:name w:val="Heading 2 Char"/>
    <w:link w:val="Heading2"/>
    <w:uiPriority w:val="9"/>
    <w:rsid w:val="00F218A5"/>
    <w:rPr>
      <w:rFonts w:eastAsia="SimSun"/>
      <w:color w:val="434343"/>
      <w:spacing w:val="2"/>
      <w:sz w:val="38"/>
      <w:szCs w:val="26"/>
      <w:lang w:eastAsia="en-US"/>
    </w:rPr>
  </w:style>
  <w:style w:type="character" w:customStyle="1" w:styleId="Heading4Char">
    <w:name w:val="Heading 4 Char"/>
    <w:link w:val="Heading4"/>
    <w:uiPriority w:val="9"/>
    <w:rsid w:val="00CD4FAB"/>
    <w:rPr>
      <w:rFonts w:ascii="Calibri" w:eastAsia="SimSun" w:hAnsi="Calibri" w:cs="Arial"/>
      <w:b/>
      <w:iCs/>
      <w:color w:val="485865"/>
      <w:sz w:val="26"/>
    </w:rPr>
  </w:style>
  <w:style w:type="character" w:customStyle="1" w:styleId="Heading5Char">
    <w:name w:val="Heading 5 Char"/>
    <w:link w:val="Heading5"/>
    <w:uiPriority w:val="9"/>
    <w:rsid w:val="00EC7F63"/>
    <w:rPr>
      <w:rFonts w:ascii="Calibri" w:eastAsia="SimSun" w:hAnsi="Calibri" w:cs="Arial"/>
      <w:b/>
      <w:color w:val="005C66"/>
    </w:rPr>
  </w:style>
  <w:style w:type="character" w:customStyle="1" w:styleId="Heading6Char">
    <w:name w:val="Heading 6 Char"/>
    <w:link w:val="Heading6"/>
    <w:uiPriority w:val="9"/>
    <w:rsid w:val="00A87567"/>
    <w:rPr>
      <w:rFonts w:ascii="Calibri" w:eastAsia="SimSun" w:hAnsi="Calibri" w:cs="Arial"/>
      <w:b/>
      <w:color w:val="485865"/>
      <w:sz w:val="20"/>
    </w:rPr>
  </w:style>
  <w:style w:type="paragraph" w:styleId="Header">
    <w:name w:val="header"/>
    <w:basedOn w:val="Normal"/>
    <w:link w:val="HeaderChar"/>
    <w:uiPriority w:val="99"/>
    <w:unhideWhenUsed/>
    <w:rsid w:val="00696BFE"/>
    <w:pPr>
      <w:tabs>
        <w:tab w:val="center" w:pos="4513"/>
        <w:tab w:val="right" w:pos="9026"/>
      </w:tabs>
      <w:spacing w:after="0" w:line="240" w:lineRule="auto"/>
    </w:pPr>
  </w:style>
  <w:style w:type="character" w:customStyle="1" w:styleId="HeaderChar">
    <w:name w:val="Header Char"/>
    <w:link w:val="Header"/>
    <w:uiPriority w:val="99"/>
    <w:rsid w:val="00696BFE"/>
    <w:rPr>
      <w:color w:val="434343"/>
    </w:rPr>
  </w:style>
  <w:style w:type="paragraph" w:styleId="Footer">
    <w:name w:val="footer"/>
    <w:basedOn w:val="Normal"/>
    <w:link w:val="FooterChar"/>
    <w:uiPriority w:val="99"/>
    <w:unhideWhenUsed/>
    <w:rsid w:val="001E6798"/>
    <w:pPr>
      <w:tabs>
        <w:tab w:val="clear" w:pos="992"/>
        <w:tab w:val="clear" w:pos="1418"/>
        <w:tab w:val="right" w:pos="15876"/>
      </w:tabs>
      <w:spacing w:before="720" w:after="0" w:line="240" w:lineRule="auto"/>
    </w:pPr>
    <w:rPr>
      <w:b/>
      <w:color w:val="FFFFFF"/>
      <w:sz w:val="16"/>
    </w:rPr>
  </w:style>
  <w:style w:type="character" w:customStyle="1" w:styleId="FooterChar">
    <w:name w:val="Footer Char"/>
    <w:link w:val="Footer"/>
    <w:uiPriority w:val="99"/>
    <w:rsid w:val="001E6798"/>
    <w:rPr>
      <w:rFonts w:ascii="Calibri" w:hAnsi="Calibri"/>
      <w:b/>
      <w:color w:val="FFFFFF"/>
      <w:sz w:val="16"/>
    </w:rPr>
  </w:style>
  <w:style w:type="paragraph" w:styleId="NoSpacing">
    <w:name w:val="No Spacing"/>
    <w:link w:val="NoSpacingChar"/>
    <w:uiPriority w:val="1"/>
    <w:qFormat/>
    <w:rsid w:val="00E81E1A"/>
    <w:pPr>
      <w:tabs>
        <w:tab w:val="left" w:pos="992"/>
      </w:tabs>
      <w:spacing w:line="288" w:lineRule="auto"/>
    </w:pPr>
    <w:rPr>
      <w:color w:val="434343"/>
      <w:spacing w:val="6"/>
      <w:sz w:val="23"/>
      <w:szCs w:val="22"/>
      <w:lang w:eastAsia="en-US"/>
    </w:rPr>
  </w:style>
  <w:style w:type="character" w:customStyle="1" w:styleId="NoSpacingChar">
    <w:name w:val="No Spacing Char"/>
    <w:link w:val="NoSpacing"/>
    <w:uiPriority w:val="1"/>
    <w:rsid w:val="00E81E1A"/>
    <w:rPr>
      <w:color w:val="434343"/>
      <w:spacing w:val="6"/>
      <w:sz w:val="23"/>
    </w:rPr>
  </w:style>
  <w:style w:type="paragraph" w:styleId="Quote">
    <w:name w:val="Quote"/>
    <w:basedOn w:val="Normal"/>
    <w:next w:val="Normal"/>
    <w:link w:val="QuoteChar"/>
    <w:uiPriority w:val="29"/>
    <w:qFormat/>
    <w:rsid w:val="00D7637F"/>
    <w:pPr>
      <w:pBdr>
        <w:top w:val="single" w:sz="4" w:space="12" w:color="B5582D"/>
        <w:bottom w:val="single" w:sz="4" w:space="5" w:color="B5582D"/>
      </w:pBdr>
      <w:spacing w:before="300" w:after="520"/>
    </w:pPr>
    <w:rPr>
      <w:b/>
      <w:iCs/>
      <w:color w:val="B5582D"/>
      <w:sz w:val="24"/>
    </w:rPr>
  </w:style>
  <w:style w:type="character" w:customStyle="1" w:styleId="QuoteChar">
    <w:name w:val="Quote Char"/>
    <w:link w:val="Quote"/>
    <w:uiPriority w:val="29"/>
    <w:rsid w:val="00D7637F"/>
    <w:rPr>
      <w:b/>
      <w:iCs/>
      <w:color w:val="B5582D"/>
      <w:spacing w:val="4"/>
      <w:sz w:val="24"/>
    </w:rPr>
  </w:style>
  <w:style w:type="paragraph" w:styleId="ListBullet">
    <w:name w:val="List Bullet"/>
    <w:basedOn w:val="Normal"/>
    <w:uiPriority w:val="99"/>
    <w:unhideWhenUsed/>
    <w:qFormat/>
    <w:rsid w:val="00672D03"/>
    <w:pPr>
      <w:numPr>
        <w:numId w:val="1"/>
      </w:numPr>
      <w:tabs>
        <w:tab w:val="clear" w:pos="992"/>
        <w:tab w:val="clear" w:pos="1418"/>
      </w:tabs>
    </w:pPr>
  </w:style>
  <w:style w:type="paragraph" w:styleId="ListBullet2">
    <w:name w:val="List Bullet 2"/>
    <w:basedOn w:val="Normal"/>
    <w:uiPriority w:val="99"/>
    <w:unhideWhenUsed/>
    <w:qFormat/>
    <w:rsid w:val="00497BF8"/>
    <w:pPr>
      <w:numPr>
        <w:ilvl w:val="1"/>
        <w:numId w:val="1"/>
      </w:numPr>
      <w:spacing w:after="80" w:line="240" w:lineRule="auto"/>
    </w:pPr>
  </w:style>
  <w:style w:type="paragraph" w:styleId="ListBullet3">
    <w:name w:val="List Bullet 3"/>
    <w:basedOn w:val="Normal"/>
    <w:uiPriority w:val="99"/>
    <w:unhideWhenUsed/>
    <w:qFormat/>
    <w:rsid w:val="00497BF8"/>
    <w:pPr>
      <w:numPr>
        <w:ilvl w:val="2"/>
        <w:numId w:val="1"/>
      </w:numPr>
      <w:spacing w:after="80" w:line="240" w:lineRule="auto"/>
    </w:pPr>
  </w:style>
  <w:style w:type="paragraph" w:styleId="ListNumber">
    <w:name w:val="List Number"/>
    <w:basedOn w:val="Normal"/>
    <w:uiPriority w:val="99"/>
    <w:unhideWhenUsed/>
    <w:qFormat/>
    <w:rsid w:val="00497BF8"/>
    <w:pPr>
      <w:numPr>
        <w:numId w:val="2"/>
      </w:numPr>
      <w:spacing w:before="120" w:after="120" w:line="252" w:lineRule="auto"/>
    </w:pPr>
  </w:style>
  <w:style w:type="paragraph" w:styleId="ListNumber2">
    <w:name w:val="List Number 2"/>
    <w:basedOn w:val="Normal"/>
    <w:uiPriority w:val="99"/>
    <w:unhideWhenUsed/>
    <w:qFormat/>
    <w:rsid w:val="00497BF8"/>
    <w:pPr>
      <w:numPr>
        <w:ilvl w:val="1"/>
        <w:numId w:val="2"/>
      </w:numPr>
      <w:spacing w:before="120" w:after="120" w:line="252" w:lineRule="auto"/>
    </w:pPr>
  </w:style>
  <w:style w:type="paragraph" w:styleId="ListNumber3">
    <w:name w:val="List Number 3"/>
    <w:basedOn w:val="Normal"/>
    <w:uiPriority w:val="99"/>
    <w:unhideWhenUsed/>
    <w:qFormat/>
    <w:rsid w:val="00497BF8"/>
    <w:pPr>
      <w:numPr>
        <w:ilvl w:val="2"/>
        <w:numId w:val="2"/>
      </w:numPr>
      <w:spacing w:before="120" w:after="120" w:line="252" w:lineRule="auto"/>
    </w:pPr>
  </w:style>
  <w:style w:type="table" w:styleId="TableGrid">
    <w:name w:val="Table Grid"/>
    <w:basedOn w:val="TableNormal"/>
    <w:uiPriority w:val="59"/>
    <w:rsid w:val="00134128"/>
    <w:rPr>
      <w:color w:val="434343"/>
    </w:rPr>
    <w:tblPr>
      <w:tblBorders>
        <w:bottom w:val="single" w:sz="2" w:space="0" w:color="485865"/>
        <w:insideH w:val="single" w:sz="2" w:space="0" w:color="485865"/>
      </w:tblBorders>
      <w:tblCellMar>
        <w:top w:w="85" w:type="dxa"/>
        <w:left w:w="113" w:type="dxa"/>
        <w:bottom w:w="57" w:type="dxa"/>
        <w:right w:w="57" w:type="dxa"/>
      </w:tblCellMar>
    </w:tblPr>
    <w:tblStylePr w:type="firstRow">
      <w:pPr>
        <w:jc w:val="left"/>
      </w:pPr>
      <w:rPr>
        <w:b w:val="0"/>
        <w:color w:val="485865"/>
      </w:rPr>
      <w:tblPr/>
      <w:tcPr>
        <w:tcBorders>
          <w:top w:val="nil"/>
          <w:left w:val="nil"/>
          <w:bottom w:val="single" w:sz="12" w:space="0" w:color="FFFFFF"/>
          <w:right w:val="nil"/>
          <w:insideH w:val="nil"/>
          <w:insideV w:val="nil"/>
          <w:tl2br w:val="nil"/>
          <w:tr2bl w:val="nil"/>
        </w:tcBorders>
        <w:shd w:val="clear" w:color="auto" w:fill="007C89"/>
      </w:tcPr>
    </w:tblStylePr>
    <w:tblStylePr w:type="lastRow">
      <w:rPr>
        <w:b w:val="0"/>
        <w:color w:val="FFFFFF"/>
      </w:rPr>
      <w:tblPr/>
      <w:tcPr>
        <w:shd w:val="clear" w:color="auto" w:fill="485865"/>
      </w:tcPr>
    </w:tblStylePr>
    <w:tblStylePr w:type="firstCol">
      <w:tblPr/>
      <w:tcPr>
        <w:shd w:val="clear" w:color="auto" w:fill="D8DBDA"/>
      </w:tcPr>
    </w:tblStylePr>
  </w:style>
  <w:style w:type="paragraph" w:customStyle="1" w:styleId="TableText">
    <w:name w:val="Table Text"/>
    <w:basedOn w:val="NoSpacing"/>
    <w:link w:val="TableTextChar"/>
    <w:qFormat/>
    <w:rsid w:val="006F3353"/>
    <w:pPr>
      <w:spacing w:line="240" w:lineRule="auto"/>
    </w:pPr>
    <w:rPr>
      <w:color w:val="auto"/>
      <w:sz w:val="19"/>
    </w:rPr>
  </w:style>
  <w:style w:type="character" w:customStyle="1" w:styleId="TableTextChar">
    <w:name w:val="Table Text Char"/>
    <w:link w:val="TableText"/>
    <w:rsid w:val="006F3353"/>
    <w:rPr>
      <w:color w:val="434343"/>
      <w:spacing w:val="6"/>
      <w:sz w:val="19"/>
    </w:rPr>
  </w:style>
  <w:style w:type="paragraph" w:customStyle="1" w:styleId="TableHeading">
    <w:name w:val="Table Heading"/>
    <w:basedOn w:val="TableText"/>
    <w:link w:val="TableHeadingChar"/>
    <w:qFormat/>
    <w:rsid w:val="00C7714A"/>
    <w:pPr>
      <w:spacing w:before="20" w:line="192" w:lineRule="auto"/>
    </w:pPr>
    <w:rPr>
      <w:rFonts w:asciiTheme="majorHAnsi" w:eastAsiaTheme="minorHAnsi" w:hAnsiTheme="majorHAnsi" w:cstheme="minorBidi"/>
      <w:b/>
      <w:color w:val="FFFFFF" w:themeColor="background1"/>
      <w:szCs w:val="21"/>
      <w:lang w:val="en-GB"/>
    </w:rPr>
  </w:style>
  <w:style w:type="character" w:customStyle="1" w:styleId="TableHeadingChar">
    <w:name w:val="Table Heading Char"/>
    <w:basedOn w:val="TableTextChar"/>
    <w:link w:val="TableHeading"/>
    <w:rsid w:val="00C7714A"/>
    <w:rPr>
      <w:rFonts w:asciiTheme="majorHAnsi" w:eastAsiaTheme="minorHAnsi" w:hAnsiTheme="majorHAnsi" w:cstheme="minorBidi"/>
      <w:b/>
      <w:color w:val="FFFFFF" w:themeColor="background1"/>
      <w:spacing w:val="6"/>
      <w:sz w:val="19"/>
      <w:szCs w:val="21"/>
      <w:lang w:val="en-GB" w:eastAsia="en-US"/>
    </w:rPr>
  </w:style>
  <w:style w:type="table" w:customStyle="1" w:styleId="Frame">
    <w:name w:val="Frame"/>
    <w:basedOn w:val="TableNormal"/>
    <w:uiPriority w:val="99"/>
    <w:rsid w:val="00934598"/>
    <w:tblPr>
      <w:tblCellMar>
        <w:left w:w="0" w:type="dxa"/>
        <w:right w:w="0" w:type="dxa"/>
      </w:tblCellMar>
    </w:tblPr>
  </w:style>
  <w:style w:type="character" w:styleId="Strong">
    <w:name w:val="Strong"/>
    <w:uiPriority w:val="22"/>
    <w:qFormat/>
    <w:rsid w:val="00137AF0"/>
    <w:rPr>
      <w:rFonts w:ascii="Calibri" w:hAnsi="Calibri"/>
      <w:b/>
      <w:bCs/>
    </w:rPr>
  </w:style>
  <w:style w:type="table" w:customStyle="1" w:styleId="Box1">
    <w:name w:val="Box 1"/>
    <w:basedOn w:val="TableNormal"/>
    <w:uiPriority w:val="99"/>
    <w:rsid w:val="00B06DAC"/>
    <w:tblPr>
      <w:tblCellMar>
        <w:top w:w="284" w:type="dxa"/>
        <w:left w:w="284" w:type="dxa"/>
        <w:bottom w:w="57" w:type="dxa"/>
        <w:right w:w="284" w:type="dxa"/>
      </w:tblCellMar>
    </w:tblPr>
    <w:tcPr>
      <w:shd w:val="clear" w:color="auto" w:fill="D0EBE5"/>
    </w:tcPr>
  </w:style>
  <w:style w:type="paragraph" w:customStyle="1" w:styleId="BoxHeading">
    <w:name w:val="Box Heading"/>
    <w:basedOn w:val="NoSpacing"/>
    <w:link w:val="BoxHeadingChar"/>
    <w:qFormat/>
    <w:rsid w:val="00D5455F"/>
    <w:pPr>
      <w:spacing w:after="200"/>
    </w:pPr>
    <w:rPr>
      <w:b/>
      <w:color w:val="485865"/>
      <w:spacing w:val="0"/>
    </w:rPr>
  </w:style>
  <w:style w:type="character" w:customStyle="1" w:styleId="BoxHeadingChar">
    <w:name w:val="Box Heading Char"/>
    <w:link w:val="BoxHeading"/>
    <w:rsid w:val="00D5455F"/>
    <w:rPr>
      <w:rFonts w:ascii="Calibri" w:hAnsi="Calibri"/>
      <w:b/>
      <w:color w:val="485865"/>
      <w:spacing w:val="6"/>
      <w:sz w:val="23"/>
    </w:rPr>
  </w:style>
  <w:style w:type="paragraph" w:customStyle="1" w:styleId="BoxText">
    <w:name w:val="Box Text"/>
    <w:basedOn w:val="BoxHeading"/>
    <w:link w:val="BoxTextChar"/>
    <w:qFormat/>
    <w:rsid w:val="00BA752D"/>
    <w:pPr>
      <w:spacing w:after="120" w:line="264" w:lineRule="auto"/>
    </w:pPr>
    <w:rPr>
      <w:b w:val="0"/>
    </w:rPr>
  </w:style>
  <w:style w:type="character" w:customStyle="1" w:styleId="BoxTextChar">
    <w:name w:val="Box Text Char"/>
    <w:link w:val="BoxText"/>
    <w:rsid w:val="00BA752D"/>
    <w:rPr>
      <w:rFonts w:ascii="Calibri" w:hAnsi="Calibri"/>
      <w:b w:val="0"/>
      <w:color w:val="485865"/>
      <w:spacing w:val="6"/>
      <w:sz w:val="23"/>
    </w:rPr>
  </w:style>
  <w:style w:type="paragraph" w:customStyle="1" w:styleId="BoxBullet">
    <w:name w:val="Box Bullet"/>
    <w:basedOn w:val="BoxText"/>
    <w:link w:val="BoxBulletChar"/>
    <w:qFormat/>
    <w:rsid w:val="00D5455F"/>
    <w:pPr>
      <w:numPr>
        <w:numId w:val="3"/>
      </w:numPr>
      <w:spacing w:line="240" w:lineRule="auto"/>
    </w:pPr>
  </w:style>
  <w:style w:type="character" w:customStyle="1" w:styleId="BoxBulletChar">
    <w:name w:val="Box Bullet Char"/>
    <w:link w:val="BoxBullet"/>
    <w:rsid w:val="00D5455F"/>
    <w:rPr>
      <w:color w:val="485865"/>
      <w:sz w:val="23"/>
      <w:szCs w:val="22"/>
      <w:lang w:eastAsia="en-US"/>
    </w:rPr>
  </w:style>
  <w:style w:type="table" w:customStyle="1" w:styleId="Box2">
    <w:name w:val="Box 2"/>
    <w:basedOn w:val="TableNormal"/>
    <w:uiPriority w:val="99"/>
    <w:rsid w:val="009F3553"/>
    <w:tblPr>
      <w:tblBorders>
        <w:top w:val="single" w:sz="4" w:space="0" w:color="485865"/>
        <w:left w:val="single" w:sz="4" w:space="0" w:color="485865"/>
        <w:bottom w:val="single" w:sz="4" w:space="0" w:color="485865"/>
        <w:right w:val="single" w:sz="4" w:space="0" w:color="485865"/>
      </w:tblBorders>
      <w:tblCellMar>
        <w:top w:w="284" w:type="dxa"/>
        <w:left w:w="284" w:type="dxa"/>
        <w:bottom w:w="57" w:type="dxa"/>
        <w:right w:w="284" w:type="dxa"/>
      </w:tblCellMar>
    </w:tblPr>
    <w:tcPr>
      <w:shd w:val="clear" w:color="auto" w:fill="auto"/>
    </w:tcPr>
  </w:style>
  <w:style w:type="table" w:customStyle="1" w:styleId="Box3">
    <w:name w:val="Box 3"/>
    <w:basedOn w:val="TableNormal"/>
    <w:uiPriority w:val="99"/>
    <w:rsid w:val="009F3553"/>
    <w:tblPr>
      <w:tblBorders>
        <w:top w:val="single" w:sz="4" w:space="0" w:color="485865"/>
        <w:left w:val="single" w:sz="4" w:space="0" w:color="485865"/>
        <w:bottom w:val="single" w:sz="4" w:space="0" w:color="485865"/>
        <w:right w:val="single" w:sz="4" w:space="0" w:color="485865"/>
      </w:tblBorders>
      <w:tblCellMar>
        <w:top w:w="284" w:type="dxa"/>
        <w:left w:w="284" w:type="dxa"/>
        <w:bottom w:w="57" w:type="dxa"/>
        <w:right w:w="284" w:type="dxa"/>
      </w:tblCellMar>
    </w:tblPr>
    <w:tcPr>
      <w:shd w:val="clear" w:color="auto" w:fill="71AFB9"/>
    </w:tcPr>
  </w:style>
  <w:style w:type="character" w:styleId="PlaceholderText">
    <w:name w:val="Placeholder Text"/>
    <w:uiPriority w:val="99"/>
    <w:semiHidden/>
    <w:rsid w:val="00BD1BE2"/>
    <w:rPr>
      <w:color w:val="808080"/>
    </w:rPr>
  </w:style>
  <w:style w:type="paragraph" w:styleId="Title">
    <w:name w:val="Title"/>
    <w:basedOn w:val="Normal"/>
    <w:next w:val="Normal"/>
    <w:link w:val="TitleChar"/>
    <w:uiPriority w:val="10"/>
    <w:qFormat/>
    <w:rsid w:val="00BD1BE2"/>
    <w:pPr>
      <w:framePr w:w="9072" w:wrap="around" w:vAnchor="page" w:hAnchor="text" w:y="12277" w:anchorLock="1"/>
      <w:spacing w:after="100" w:line="204" w:lineRule="auto"/>
      <w:contextualSpacing/>
    </w:pPr>
    <w:rPr>
      <w:rFonts w:eastAsia="SimSun"/>
      <w:b/>
      <w:caps/>
      <w:color w:val="FFFFFF"/>
      <w:spacing w:val="-2"/>
      <w:kern w:val="28"/>
      <w:sz w:val="58"/>
      <w:szCs w:val="56"/>
    </w:rPr>
  </w:style>
  <w:style w:type="character" w:customStyle="1" w:styleId="TitleChar">
    <w:name w:val="Title Char"/>
    <w:link w:val="Title"/>
    <w:uiPriority w:val="10"/>
    <w:rsid w:val="00BD1BE2"/>
    <w:rPr>
      <w:rFonts w:ascii="Calibri" w:eastAsia="SimSun" w:hAnsi="Calibri" w:cs="Arial"/>
      <w:b/>
      <w:caps/>
      <w:color w:val="FFFFFF"/>
      <w:spacing w:val="-2"/>
      <w:kern w:val="28"/>
      <w:sz w:val="58"/>
      <w:szCs w:val="56"/>
    </w:rPr>
  </w:style>
  <w:style w:type="paragraph" w:styleId="Date">
    <w:name w:val="Date"/>
    <w:basedOn w:val="Title"/>
    <w:next w:val="Normal"/>
    <w:link w:val="DateChar"/>
    <w:uiPriority w:val="99"/>
    <w:unhideWhenUsed/>
    <w:qFormat/>
    <w:rsid w:val="00BD1BE2"/>
    <w:pPr>
      <w:framePr w:wrap="around"/>
    </w:pPr>
    <w:rPr>
      <w:sz w:val="24"/>
    </w:rPr>
  </w:style>
  <w:style w:type="character" w:customStyle="1" w:styleId="DateChar">
    <w:name w:val="Date Char"/>
    <w:link w:val="Date"/>
    <w:uiPriority w:val="99"/>
    <w:rsid w:val="00BD1BE2"/>
    <w:rPr>
      <w:rFonts w:ascii="Calibri" w:eastAsia="SimSun" w:hAnsi="Calibri" w:cs="Arial"/>
      <w:b/>
      <w:caps/>
      <w:color w:val="FFFFFF"/>
      <w:spacing w:val="-2"/>
      <w:kern w:val="28"/>
      <w:sz w:val="24"/>
      <w:szCs w:val="56"/>
    </w:rPr>
  </w:style>
  <w:style w:type="character" w:styleId="Hyperlink">
    <w:name w:val="Hyperlink"/>
    <w:uiPriority w:val="99"/>
    <w:unhideWhenUsed/>
    <w:rsid w:val="00137AF0"/>
    <w:rPr>
      <w:color w:val="434343"/>
      <w:u w:val="none"/>
    </w:rPr>
  </w:style>
  <w:style w:type="paragraph" w:customStyle="1" w:styleId="ChapterHead">
    <w:name w:val="Chapter Head"/>
    <w:basedOn w:val="Normal"/>
    <w:link w:val="ChapterHeadChar"/>
    <w:qFormat/>
    <w:rsid w:val="002174F2"/>
    <w:pPr>
      <w:framePr w:w="10206" w:vSpace="1021" w:wrap="around" w:vAnchor="page" w:hAnchor="text" w:y="1872"/>
      <w:spacing w:after="0" w:line="264" w:lineRule="auto"/>
      <w:outlineLvl w:val="0"/>
    </w:pPr>
    <w:rPr>
      <w:b/>
      <w:caps/>
      <w:color w:val="FFFFFF"/>
      <w:spacing w:val="12"/>
      <w:sz w:val="42"/>
    </w:rPr>
  </w:style>
  <w:style w:type="character" w:customStyle="1" w:styleId="ChapterHeadChar">
    <w:name w:val="Chapter Head Char"/>
    <w:link w:val="ChapterHead"/>
    <w:rsid w:val="002174F2"/>
    <w:rPr>
      <w:b/>
      <w:caps/>
      <w:color w:val="FFFFFF"/>
      <w:spacing w:val="12"/>
      <w:sz w:val="42"/>
      <w:szCs w:val="22"/>
      <w:lang w:eastAsia="en-US"/>
    </w:rPr>
  </w:style>
  <w:style w:type="paragraph" w:styleId="TOCHeading">
    <w:name w:val="TOC Heading"/>
    <w:basedOn w:val="ChapterHead"/>
    <w:next w:val="Normal"/>
    <w:uiPriority w:val="39"/>
    <w:unhideWhenUsed/>
    <w:rsid w:val="009802BB"/>
    <w:pPr>
      <w:framePr w:wrap="around"/>
    </w:pPr>
  </w:style>
  <w:style w:type="paragraph" w:styleId="TOC1">
    <w:name w:val="toc 1"/>
    <w:basedOn w:val="Normal"/>
    <w:next w:val="Normal"/>
    <w:autoRedefine/>
    <w:uiPriority w:val="39"/>
    <w:unhideWhenUsed/>
    <w:rsid w:val="00186FB3"/>
    <w:pPr>
      <w:tabs>
        <w:tab w:val="clear" w:pos="992"/>
        <w:tab w:val="clear" w:pos="1418"/>
        <w:tab w:val="right" w:pos="10194"/>
      </w:tabs>
      <w:spacing w:before="240" w:after="100" w:line="264" w:lineRule="auto"/>
    </w:pPr>
    <w:rPr>
      <w:b/>
      <w:caps/>
      <w:color w:val="007C89"/>
      <w:spacing w:val="36"/>
      <w:sz w:val="26"/>
    </w:rPr>
  </w:style>
  <w:style w:type="paragraph" w:styleId="TOC2">
    <w:name w:val="toc 2"/>
    <w:basedOn w:val="Normal"/>
    <w:next w:val="Normal"/>
    <w:autoRedefine/>
    <w:uiPriority w:val="39"/>
    <w:unhideWhenUsed/>
    <w:rsid w:val="00186FB3"/>
    <w:pPr>
      <w:tabs>
        <w:tab w:val="clear" w:pos="992"/>
        <w:tab w:val="clear" w:pos="1418"/>
        <w:tab w:val="right" w:pos="10194"/>
      </w:tabs>
      <w:spacing w:before="240" w:after="100"/>
      <w:contextualSpacing/>
    </w:pPr>
    <w:rPr>
      <w:color w:val="007C89"/>
      <w:sz w:val="28"/>
    </w:rPr>
  </w:style>
  <w:style w:type="paragraph" w:styleId="TOC3">
    <w:name w:val="toc 3"/>
    <w:basedOn w:val="Normal"/>
    <w:next w:val="Normal"/>
    <w:autoRedefine/>
    <w:uiPriority w:val="39"/>
    <w:unhideWhenUsed/>
    <w:rsid w:val="00186FB3"/>
    <w:pPr>
      <w:tabs>
        <w:tab w:val="clear" w:pos="992"/>
        <w:tab w:val="clear" w:pos="1418"/>
        <w:tab w:val="left" w:pos="660"/>
        <w:tab w:val="right" w:pos="10194"/>
      </w:tabs>
      <w:spacing w:after="100"/>
      <w:ind w:left="630" w:hanging="630"/>
    </w:pPr>
  </w:style>
  <w:style w:type="paragraph" w:styleId="EndnoteText">
    <w:name w:val="endnote text"/>
    <w:basedOn w:val="Normal"/>
    <w:link w:val="EndnoteTextChar"/>
    <w:uiPriority w:val="99"/>
    <w:semiHidden/>
    <w:unhideWhenUsed/>
    <w:rsid w:val="00FA7104"/>
    <w:pPr>
      <w:spacing w:after="0" w:line="240" w:lineRule="auto"/>
    </w:pPr>
    <w:rPr>
      <w:sz w:val="20"/>
      <w:szCs w:val="20"/>
    </w:rPr>
  </w:style>
  <w:style w:type="character" w:customStyle="1" w:styleId="EndnoteTextChar">
    <w:name w:val="Endnote Text Char"/>
    <w:link w:val="EndnoteText"/>
    <w:uiPriority w:val="99"/>
    <w:semiHidden/>
    <w:rsid w:val="00FA7104"/>
    <w:rPr>
      <w:color w:val="434343"/>
      <w:spacing w:val="4"/>
      <w:sz w:val="20"/>
      <w:szCs w:val="20"/>
    </w:rPr>
  </w:style>
  <w:style w:type="character" w:styleId="EndnoteReference">
    <w:name w:val="endnote reference"/>
    <w:uiPriority w:val="99"/>
    <w:semiHidden/>
    <w:unhideWhenUsed/>
    <w:rsid w:val="00FA7104"/>
    <w:rPr>
      <w:vertAlign w:val="superscript"/>
    </w:rPr>
  </w:style>
  <w:style w:type="paragraph" w:styleId="FootnoteText">
    <w:name w:val="footnote text"/>
    <w:basedOn w:val="Normal"/>
    <w:link w:val="FootnoteTextChar"/>
    <w:uiPriority w:val="99"/>
    <w:unhideWhenUsed/>
    <w:qFormat/>
    <w:rsid w:val="00FA7104"/>
    <w:pPr>
      <w:spacing w:after="0" w:line="240" w:lineRule="auto"/>
    </w:pPr>
    <w:rPr>
      <w:sz w:val="16"/>
      <w:szCs w:val="20"/>
    </w:rPr>
  </w:style>
  <w:style w:type="character" w:customStyle="1" w:styleId="FootnoteTextChar">
    <w:name w:val="Footnote Text Char"/>
    <w:link w:val="FootnoteText"/>
    <w:uiPriority w:val="99"/>
    <w:rsid w:val="00FA7104"/>
    <w:rPr>
      <w:color w:val="434343"/>
      <w:spacing w:val="4"/>
      <w:sz w:val="16"/>
      <w:szCs w:val="20"/>
    </w:rPr>
  </w:style>
  <w:style w:type="character" w:styleId="FootnoteReference">
    <w:name w:val="footnote reference"/>
    <w:uiPriority w:val="99"/>
    <w:unhideWhenUsed/>
    <w:rsid w:val="00FA7104"/>
    <w:rPr>
      <w:vertAlign w:val="superscript"/>
    </w:rPr>
  </w:style>
  <w:style w:type="paragraph" w:styleId="Caption">
    <w:name w:val="caption"/>
    <w:basedOn w:val="Normal"/>
    <w:next w:val="Normal"/>
    <w:uiPriority w:val="35"/>
    <w:unhideWhenUsed/>
    <w:qFormat/>
    <w:rsid w:val="00012315"/>
    <w:pPr>
      <w:spacing w:before="180" w:after="120" w:line="240" w:lineRule="auto"/>
    </w:pPr>
    <w:rPr>
      <w:iCs/>
      <w:sz w:val="18"/>
      <w:szCs w:val="18"/>
    </w:rPr>
  </w:style>
  <w:style w:type="paragraph" w:styleId="TableofFigures">
    <w:name w:val="table of figures"/>
    <w:basedOn w:val="Normal"/>
    <w:next w:val="Normal"/>
    <w:uiPriority w:val="99"/>
    <w:unhideWhenUsed/>
    <w:rsid w:val="00DF784D"/>
    <w:pPr>
      <w:tabs>
        <w:tab w:val="clear" w:pos="992"/>
        <w:tab w:val="clear" w:pos="1418"/>
      </w:tabs>
      <w:suppressAutoHyphens/>
      <w:spacing w:before="120" w:after="0" w:line="260" w:lineRule="atLeast"/>
      <w:ind w:left="907" w:hanging="907"/>
    </w:pPr>
    <w:rPr>
      <w:rFonts w:asciiTheme="minorHAnsi" w:eastAsiaTheme="minorHAnsi" w:hAnsiTheme="minorHAnsi" w:cstheme="minorBidi"/>
      <w:color w:val="495965"/>
      <w:sz w:val="22"/>
      <w:lang w:val="en-GB"/>
    </w:rPr>
  </w:style>
  <w:style w:type="paragraph" w:customStyle="1" w:styleId="HEADING1before">
    <w:name w:val="HEADING 1 # before"/>
    <w:basedOn w:val="Heading1"/>
    <w:qFormat/>
    <w:rsid w:val="00BA752D"/>
    <w:pPr>
      <w:spacing w:before="600"/>
    </w:pPr>
  </w:style>
  <w:style w:type="character" w:customStyle="1" w:styleId="Bodyitalics">
    <w:name w:val="Body italics"/>
    <w:uiPriority w:val="1"/>
    <w:qFormat/>
    <w:rsid w:val="004A5B2E"/>
    <w:rPr>
      <w:i/>
    </w:rPr>
  </w:style>
  <w:style w:type="paragraph" w:styleId="BalloonText">
    <w:name w:val="Balloon Text"/>
    <w:basedOn w:val="Normal"/>
    <w:link w:val="BalloonTextChar"/>
    <w:uiPriority w:val="99"/>
    <w:semiHidden/>
    <w:unhideWhenUsed/>
    <w:rsid w:val="007579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93D"/>
    <w:rPr>
      <w:rFonts w:ascii="Tahoma" w:hAnsi="Tahoma" w:cs="Tahoma"/>
      <w:color w:val="434343"/>
      <w:sz w:val="16"/>
      <w:szCs w:val="16"/>
    </w:rPr>
  </w:style>
  <w:style w:type="paragraph" w:styleId="BodyText">
    <w:name w:val="Body Text"/>
    <w:basedOn w:val="Normal"/>
    <w:link w:val="BodyTextChar"/>
    <w:qFormat/>
    <w:rsid w:val="005D0742"/>
    <w:pPr>
      <w:tabs>
        <w:tab w:val="clear" w:pos="992"/>
        <w:tab w:val="clear" w:pos="1418"/>
      </w:tabs>
      <w:spacing w:after="160" w:line="240" w:lineRule="auto"/>
    </w:pPr>
    <w:rPr>
      <w:rFonts w:ascii="Franklin Gothic Book" w:eastAsia="Times New Roman" w:hAnsi="Franklin Gothic Book" w:cs="Times New Roman"/>
      <w:color w:val="auto"/>
      <w:sz w:val="21"/>
      <w:szCs w:val="24"/>
      <w:lang w:eastAsia="en-AU"/>
    </w:rPr>
  </w:style>
  <w:style w:type="character" w:customStyle="1" w:styleId="BodyTextChar">
    <w:name w:val="Body Text Char"/>
    <w:link w:val="BodyText"/>
    <w:rsid w:val="005D0742"/>
    <w:rPr>
      <w:rFonts w:ascii="Franklin Gothic Book" w:eastAsia="Times New Roman" w:hAnsi="Franklin Gothic Book" w:cs="Times New Roman"/>
      <w:sz w:val="21"/>
      <w:szCs w:val="24"/>
      <w:lang w:eastAsia="en-AU"/>
    </w:rPr>
  </w:style>
  <w:style w:type="character" w:styleId="CommentReference">
    <w:name w:val="annotation reference"/>
    <w:uiPriority w:val="99"/>
    <w:semiHidden/>
    <w:unhideWhenUsed/>
    <w:rsid w:val="005F48EC"/>
    <w:rPr>
      <w:sz w:val="16"/>
      <w:szCs w:val="16"/>
    </w:rPr>
  </w:style>
  <w:style w:type="paragraph" w:styleId="CommentText">
    <w:name w:val="annotation text"/>
    <w:basedOn w:val="Normal"/>
    <w:link w:val="CommentTextChar"/>
    <w:uiPriority w:val="99"/>
    <w:unhideWhenUsed/>
    <w:rsid w:val="005F48EC"/>
    <w:pPr>
      <w:spacing w:line="240" w:lineRule="auto"/>
    </w:pPr>
    <w:rPr>
      <w:sz w:val="20"/>
      <w:szCs w:val="20"/>
    </w:rPr>
  </w:style>
  <w:style w:type="character" w:customStyle="1" w:styleId="CommentTextChar">
    <w:name w:val="Comment Text Char"/>
    <w:link w:val="CommentText"/>
    <w:uiPriority w:val="99"/>
    <w:rsid w:val="005F48EC"/>
    <w:rPr>
      <w:color w:val="434343"/>
      <w:sz w:val="20"/>
      <w:szCs w:val="20"/>
    </w:rPr>
  </w:style>
  <w:style w:type="paragraph" w:styleId="CommentSubject">
    <w:name w:val="annotation subject"/>
    <w:basedOn w:val="CommentText"/>
    <w:next w:val="CommentText"/>
    <w:link w:val="CommentSubjectChar"/>
    <w:uiPriority w:val="99"/>
    <w:semiHidden/>
    <w:unhideWhenUsed/>
    <w:rsid w:val="005F48EC"/>
    <w:rPr>
      <w:b/>
      <w:bCs/>
    </w:rPr>
  </w:style>
  <w:style w:type="character" w:customStyle="1" w:styleId="CommentSubjectChar">
    <w:name w:val="Comment Subject Char"/>
    <w:link w:val="CommentSubject"/>
    <w:uiPriority w:val="99"/>
    <w:semiHidden/>
    <w:rsid w:val="005F48EC"/>
    <w:rPr>
      <w:b/>
      <w:bCs/>
      <w:color w:val="434343"/>
      <w:sz w:val="20"/>
      <w:szCs w:val="20"/>
    </w:rPr>
  </w:style>
  <w:style w:type="paragraph" w:customStyle="1" w:styleId="TableHeading1">
    <w:name w:val="Table Heading 1"/>
    <w:basedOn w:val="Normal"/>
    <w:next w:val="TableText"/>
    <w:qFormat/>
    <w:rsid w:val="00934E40"/>
    <w:pPr>
      <w:tabs>
        <w:tab w:val="clear" w:pos="992"/>
        <w:tab w:val="clear" w:pos="1418"/>
      </w:tabs>
      <w:spacing w:after="40" w:line="200" w:lineRule="atLeast"/>
    </w:pPr>
    <w:rPr>
      <w:rFonts w:ascii="Franklin Gothic Book" w:hAnsi="Franklin Gothic Book" w:cs="Times New Roman"/>
      <w:b/>
      <w:color w:val="auto"/>
      <w:sz w:val="18"/>
      <w:szCs w:val="17"/>
    </w:rPr>
  </w:style>
  <w:style w:type="paragraph" w:styleId="ListParagraph">
    <w:name w:val="List Paragraph"/>
    <w:basedOn w:val="Normal"/>
    <w:uiPriority w:val="34"/>
    <w:qFormat/>
    <w:rsid w:val="00CE7053"/>
    <w:pPr>
      <w:tabs>
        <w:tab w:val="clear" w:pos="992"/>
        <w:tab w:val="clear" w:pos="1418"/>
      </w:tabs>
      <w:spacing w:line="276" w:lineRule="auto"/>
      <w:ind w:left="720"/>
      <w:contextualSpacing/>
    </w:pPr>
    <w:rPr>
      <w:color w:val="auto"/>
      <w:sz w:val="22"/>
      <w:lang w:val="en-GB"/>
    </w:rPr>
  </w:style>
  <w:style w:type="character" w:styleId="FollowedHyperlink">
    <w:name w:val="FollowedHyperlink"/>
    <w:uiPriority w:val="99"/>
    <w:semiHidden/>
    <w:unhideWhenUsed/>
    <w:rsid w:val="00AA6A66"/>
    <w:rPr>
      <w:color w:val="434343"/>
      <w:u w:val="single"/>
    </w:rPr>
  </w:style>
  <w:style w:type="paragraph" w:styleId="Revision">
    <w:name w:val="Revision"/>
    <w:hidden/>
    <w:uiPriority w:val="99"/>
    <w:semiHidden/>
    <w:rsid w:val="00E10656"/>
    <w:rPr>
      <w:color w:val="434343"/>
      <w:sz w:val="23"/>
      <w:szCs w:val="22"/>
      <w:lang w:eastAsia="en-US"/>
    </w:rPr>
  </w:style>
  <w:style w:type="paragraph" w:customStyle="1" w:styleId="FigureHeading">
    <w:name w:val="Figure Heading"/>
    <w:basedOn w:val="TableofFigures"/>
    <w:qFormat/>
    <w:rsid w:val="00614457"/>
    <w:pPr>
      <w:ind w:left="0" w:firstLine="0"/>
    </w:pPr>
  </w:style>
  <w:style w:type="table" w:customStyle="1" w:styleId="Frame1">
    <w:name w:val="Frame1"/>
    <w:basedOn w:val="TableNormal"/>
    <w:uiPriority w:val="99"/>
    <w:rsid w:val="00A37CB9"/>
    <w:tblPr>
      <w:tblCellMar>
        <w:left w:w="0" w:type="dxa"/>
        <w:right w:w="0" w:type="dxa"/>
      </w:tblCellMar>
    </w:tblPr>
  </w:style>
  <w:style w:type="table" w:customStyle="1" w:styleId="Box11">
    <w:name w:val="Box 11"/>
    <w:basedOn w:val="TableNormal"/>
    <w:uiPriority w:val="99"/>
    <w:rsid w:val="00A37CB9"/>
    <w:tblPr>
      <w:tblCellMar>
        <w:top w:w="284" w:type="dxa"/>
        <w:left w:w="284" w:type="dxa"/>
        <w:bottom w:w="57" w:type="dxa"/>
        <w:right w:w="284" w:type="dxa"/>
      </w:tblCellMar>
    </w:tblPr>
    <w:tcPr>
      <w:shd w:val="clear" w:color="auto" w:fill="D0EBE5"/>
    </w:tcPr>
  </w:style>
  <w:style w:type="table" w:customStyle="1" w:styleId="Box21">
    <w:name w:val="Box 21"/>
    <w:basedOn w:val="TableNormal"/>
    <w:uiPriority w:val="99"/>
    <w:rsid w:val="00A37CB9"/>
    <w:tblPr>
      <w:tblBorders>
        <w:top w:val="single" w:sz="4" w:space="0" w:color="485865"/>
        <w:left w:val="single" w:sz="4" w:space="0" w:color="485865"/>
        <w:bottom w:val="single" w:sz="4" w:space="0" w:color="485865"/>
        <w:right w:val="single" w:sz="4" w:space="0" w:color="485865"/>
      </w:tblBorders>
      <w:tblCellMar>
        <w:top w:w="284" w:type="dxa"/>
        <w:left w:w="284" w:type="dxa"/>
        <w:bottom w:w="57" w:type="dxa"/>
        <w:right w:w="284" w:type="dxa"/>
      </w:tblCellMar>
    </w:tblPr>
    <w:tcPr>
      <w:shd w:val="clear" w:color="auto" w:fill="auto"/>
    </w:tcPr>
  </w:style>
  <w:style w:type="table" w:customStyle="1" w:styleId="Box31">
    <w:name w:val="Box 31"/>
    <w:basedOn w:val="TableNormal"/>
    <w:uiPriority w:val="99"/>
    <w:rsid w:val="00A37CB9"/>
    <w:tblPr>
      <w:tblBorders>
        <w:top w:val="single" w:sz="4" w:space="0" w:color="485865"/>
        <w:left w:val="single" w:sz="4" w:space="0" w:color="485865"/>
        <w:bottom w:val="single" w:sz="4" w:space="0" w:color="485865"/>
        <w:right w:val="single" w:sz="4" w:space="0" w:color="485865"/>
      </w:tblBorders>
      <w:tblCellMar>
        <w:top w:w="284" w:type="dxa"/>
        <w:left w:w="284" w:type="dxa"/>
        <w:bottom w:w="57" w:type="dxa"/>
        <w:right w:w="284" w:type="dxa"/>
      </w:tblCellMar>
    </w:tblPr>
    <w:tcPr>
      <w:shd w:val="clear" w:color="auto" w:fill="71AFB9"/>
    </w:tcPr>
  </w:style>
  <w:style w:type="character" w:styleId="Emphasis">
    <w:name w:val="Emphasis"/>
    <w:basedOn w:val="DefaultParagraphFont"/>
    <w:uiPriority w:val="20"/>
    <w:qFormat/>
    <w:rsid w:val="004C1B6F"/>
    <w:rPr>
      <w:i/>
      <w:iCs/>
    </w:rPr>
  </w:style>
  <w:style w:type="paragraph" w:customStyle="1" w:styleId="TableBodyText">
    <w:name w:val="Table Body Text"/>
    <w:basedOn w:val="Normal"/>
    <w:qFormat/>
    <w:rsid w:val="00C7714A"/>
    <w:pPr>
      <w:tabs>
        <w:tab w:val="clear" w:pos="992"/>
        <w:tab w:val="clear" w:pos="1418"/>
        <w:tab w:val="left" w:pos="567"/>
      </w:tabs>
      <w:suppressAutoHyphens/>
      <w:spacing w:before="60" w:after="60" w:line="220" w:lineRule="atLeast"/>
    </w:pPr>
    <w:rPr>
      <w:rFonts w:eastAsiaTheme="minorHAnsi" w:cstheme="minorBidi"/>
      <w:color w:val="495965"/>
      <w:sz w:val="18"/>
      <w:lang w:val="en-GB"/>
    </w:rPr>
  </w:style>
  <w:style w:type="paragraph" w:customStyle="1" w:styleId="TableBullet1">
    <w:name w:val="Table Bullet 1"/>
    <w:basedOn w:val="Normal"/>
    <w:qFormat/>
    <w:rsid w:val="00C7714A"/>
    <w:pPr>
      <w:numPr>
        <w:numId w:val="12"/>
      </w:numPr>
      <w:tabs>
        <w:tab w:val="clear" w:pos="992"/>
        <w:tab w:val="clear" w:pos="1418"/>
        <w:tab w:val="left" w:pos="567"/>
      </w:tabs>
      <w:suppressAutoHyphens/>
      <w:spacing w:before="60" w:after="60" w:line="220" w:lineRule="atLeast"/>
    </w:pPr>
    <w:rPr>
      <w:rFonts w:eastAsiaTheme="minorHAnsi" w:cstheme="minorBidi"/>
      <w:color w:val="495965"/>
      <w:sz w:val="18"/>
      <w:lang w:val="en-GB"/>
    </w:rPr>
  </w:style>
  <w:style w:type="paragraph" w:customStyle="1" w:styleId="TableBullet2">
    <w:name w:val="Table Bullet 2"/>
    <w:basedOn w:val="Normal"/>
    <w:qFormat/>
    <w:rsid w:val="00C7714A"/>
    <w:pPr>
      <w:tabs>
        <w:tab w:val="clear" w:pos="992"/>
        <w:tab w:val="clear" w:pos="1418"/>
        <w:tab w:val="left" w:pos="851"/>
      </w:tabs>
      <w:suppressAutoHyphens/>
      <w:spacing w:before="60" w:after="60" w:line="220" w:lineRule="atLeast"/>
    </w:pPr>
    <w:rPr>
      <w:rFonts w:eastAsiaTheme="minorHAnsi" w:cstheme="minorBidi"/>
      <w:color w:val="495965"/>
      <w:sz w:val="18"/>
      <w:lang w:val="en-GB"/>
    </w:rPr>
  </w:style>
  <w:style w:type="character" w:customStyle="1" w:styleId="UnresolvedMention1">
    <w:name w:val="Unresolved Mention1"/>
    <w:basedOn w:val="DefaultParagraphFont"/>
    <w:uiPriority w:val="99"/>
    <w:semiHidden/>
    <w:unhideWhenUsed/>
    <w:rsid w:val="00350DD2"/>
    <w:rPr>
      <w:color w:val="808080"/>
      <w:shd w:val="clear" w:color="auto" w:fill="E6E6E6"/>
    </w:rPr>
  </w:style>
  <w:style w:type="paragraph" w:customStyle="1" w:styleId="Bullet1">
    <w:name w:val="Bullet 1"/>
    <w:basedOn w:val="Normal"/>
    <w:qFormat/>
    <w:rsid w:val="001A6D1B"/>
    <w:pPr>
      <w:numPr>
        <w:numId w:val="17"/>
      </w:numPr>
      <w:tabs>
        <w:tab w:val="clear" w:pos="992"/>
        <w:tab w:val="clear" w:pos="1418"/>
      </w:tabs>
      <w:suppressAutoHyphens/>
      <w:spacing w:after="60" w:line="260" w:lineRule="atLeast"/>
    </w:pPr>
    <w:rPr>
      <w:rFonts w:asciiTheme="minorHAnsi" w:eastAsiaTheme="minorHAnsi" w:hAnsiTheme="minorHAnsi" w:cstheme="minorBidi"/>
      <w:color w:val="44546A" w:themeColor="text2"/>
      <w:sz w:val="22"/>
      <w:lang w:val="en-GB"/>
    </w:rPr>
  </w:style>
  <w:style w:type="paragraph" w:customStyle="1" w:styleId="Bullet2">
    <w:name w:val="Bullet 2"/>
    <w:basedOn w:val="Bullet1"/>
    <w:qFormat/>
    <w:rsid w:val="001A6D1B"/>
    <w:pPr>
      <w:numPr>
        <w:ilvl w:val="1"/>
      </w:numPr>
    </w:pPr>
  </w:style>
  <w:style w:type="paragraph" w:customStyle="1" w:styleId="Bullet3">
    <w:name w:val="Bullet 3"/>
    <w:basedOn w:val="Bullet2"/>
    <w:qFormat/>
    <w:rsid w:val="001A6D1B"/>
    <w:pPr>
      <w:numPr>
        <w:ilvl w:val="2"/>
      </w:numPr>
    </w:pPr>
  </w:style>
  <w:style w:type="character" w:customStyle="1" w:styleId="Green">
    <w:name w:val="Green"/>
    <w:basedOn w:val="DefaultParagraphFont"/>
    <w:uiPriority w:val="1"/>
    <w:qFormat/>
    <w:rsid w:val="00C11F55"/>
    <w:rPr>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413">
      <w:bodyDiv w:val="1"/>
      <w:marLeft w:val="0"/>
      <w:marRight w:val="0"/>
      <w:marTop w:val="0"/>
      <w:marBottom w:val="0"/>
      <w:divBdr>
        <w:top w:val="none" w:sz="0" w:space="0" w:color="auto"/>
        <w:left w:val="none" w:sz="0" w:space="0" w:color="auto"/>
        <w:bottom w:val="none" w:sz="0" w:space="0" w:color="auto"/>
        <w:right w:val="none" w:sz="0" w:space="0" w:color="auto"/>
      </w:divBdr>
    </w:div>
    <w:div w:id="201290665">
      <w:bodyDiv w:val="1"/>
      <w:marLeft w:val="0"/>
      <w:marRight w:val="0"/>
      <w:marTop w:val="0"/>
      <w:marBottom w:val="0"/>
      <w:divBdr>
        <w:top w:val="none" w:sz="0" w:space="0" w:color="auto"/>
        <w:left w:val="none" w:sz="0" w:space="0" w:color="auto"/>
        <w:bottom w:val="none" w:sz="0" w:space="0" w:color="auto"/>
        <w:right w:val="none" w:sz="0" w:space="0" w:color="auto"/>
      </w:divBdr>
    </w:div>
    <w:div w:id="245189855">
      <w:bodyDiv w:val="1"/>
      <w:marLeft w:val="0"/>
      <w:marRight w:val="0"/>
      <w:marTop w:val="0"/>
      <w:marBottom w:val="0"/>
      <w:divBdr>
        <w:top w:val="none" w:sz="0" w:space="0" w:color="auto"/>
        <w:left w:val="none" w:sz="0" w:space="0" w:color="auto"/>
        <w:bottom w:val="none" w:sz="0" w:space="0" w:color="auto"/>
        <w:right w:val="none" w:sz="0" w:space="0" w:color="auto"/>
      </w:divBdr>
    </w:div>
    <w:div w:id="412895048">
      <w:bodyDiv w:val="1"/>
      <w:marLeft w:val="0"/>
      <w:marRight w:val="0"/>
      <w:marTop w:val="0"/>
      <w:marBottom w:val="0"/>
      <w:divBdr>
        <w:top w:val="none" w:sz="0" w:space="0" w:color="auto"/>
        <w:left w:val="none" w:sz="0" w:space="0" w:color="auto"/>
        <w:bottom w:val="none" w:sz="0" w:space="0" w:color="auto"/>
        <w:right w:val="none" w:sz="0" w:space="0" w:color="auto"/>
      </w:divBdr>
    </w:div>
    <w:div w:id="421487190">
      <w:bodyDiv w:val="1"/>
      <w:marLeft w:val="0"/>
      <w:marRight w:val="0"/>
      <w:marTop w:val="0"/>
      <w:marBottom w:val="0"/>
      <w:divBdr>
        <w:top w:val="none" w:sz="0" w:space="0" w:color="auto"/>
        <w:left w:val="none" w:sz="0" w:space="0" w:color="auto"/>
        <w:bottom w:val="none" w:sz="0" w:space="0" w:color="auto"/>
        <w:right w:val="none" w:sz="0" w:space="0" w:color="auto"/>
      </w:divBdr>
    </w:div>
    <w:div w:id="490873195">
      <w:bodyDiv w:val="1"/>
      <w:marLeft w:val="0"/>
      <w:marRight w:val="0"/>
      <w:marTop w:val="0"/>
      <w:marBottom w:val="0"/>
      <w:divBdr>
        <w:top w:val="none" w:sz="0" w:space="0" w:color="auto"/>
        <w:left w:val="none" w:sz="0" w:space="0" w:color="auto"/>
        <w:bottom w:val="none" w:sz="0" w:space="0" w:color="auto"/>
        <w:right w:val="none" w:sz="0" w:space="0" w:color="auto"/>
      </w:divBdr>
    </w:div>
    <w:div w:id="519055283">
      <w:bodyDiv w:val="1"/>
      <w:marLeft w:val="0"/>
      <w:marRight w:val="0"/>
      <w:marTop w:val="0"/>
      <w:marBottom w:val="0"/>
      <w:divBdr>
        <w:top w:val="none" w:sz="0" w:space="0" w:color="auto"/>
        <w:left w:val="none" w:sz="0" w:space="0" w:color="auto"/>
        <w:bottom w:val="none" w:sz="0" w:space="0" w:color="auto"/>
        <w:right w:val="none" w:sz="0" w:space="0" w:color="auto"/>
      </w:divBdr>
    </w:div>
    <w:div w:id="644748917">
      <w:bodyDiv w:val="1"/>
      <w:marLeft w:val="0"/>
      <w:marRight w:val="0"/>
      <w:marTop w:val="0"/>
      <w:marBottom w:val="0"/>
      <w:divBdr>
        <w:top w:val="none" w:sz="0" w:space="0" w:color="auto"/>
        <w:left w:val="none" w:sz="0" w:space="0" w:color="auto"/>
        <w:bottom w:val="none" w:sz="0" w:space="0" w:color="auto"/>
        <w:right w:val="none" w:sz="0" w:space="0" w:color="auto"/>
      </w:divBdr>
    </w:div>
    <w:div w:id="651913639">
      <w:bodyDiv w:val="1"/>
      <w:marLeft w:val="0"/>
      <w:marRight w:val="0"/>
      <w:marTop w:val="0"/>
      <w:marBottom w:val="0"/>
      <w:divBdr>
        <w:top w:val="none" w:sz="0" w:space="0" w:color="auto"/>
        <w:left w:val="none" w:sz="0" w:space="0" w:color="auto"/>
        <w:bottom w:val="none" w:sz="0" w:space="0" w:color="auto"/>
        <w:right w:val="none" w:sz="0" w:space="0" w:color="auto"/>
      </w:divBdr>
    </w:div>
    <w:div w:id="947158969">
      <w:bodyDiv w:val="1"/>
      <w:marLeft w:val="0"/>
      <w:marRight w:val="0"/>
      <w:marTop w:val="0"/>
      <w:marBottom w:val="0"/>
      <w:divBdr>
        <w:top w:val="none" w:sz="0" w:space="0" w:color="auto"/>
        <w:left w:val="none" w:sz="0" w:space="0" w:color="auto"/>
        <w:bottom w:val="none" w:sz="0" w:space="0" w:color="auto"/>
        <w:right w:val="none" w:sz="0" w:space="0" w:color="auto"/>
      </w:divBdr>
    </w:div>
    <w:div w:id="959803135">
      <w:bodyDiv w:val="1"/>
      <w:marLeft w:val="0"/>
      <w:marRight w:val="0"/>
      <w:marTop w:val="0"/>
      <w:marBottom w:val="0"/>
      <w:divBdr>
        <w:top w:val="none" w:sz="0" w:space="0" w:color="auto"/>
        <w:left w:val="none" w:sz="0" w:space="0" w:color="auto"/>
        <w:bottom w:val="none" w:sz="0" w:space="0" w:color="auto"/>
        <w:right w:val="none" w:sz="0" w:space="0" w:color="auto"/>
      </w:divBdr>
    </w:div>
    <w:div w:id="987631712">
      <w:bodyDiv w:val="1"/>
      <w:marLeft w:val="0"/>
      <w:marRight w:val="0"/>
      <w:marTop w:val="0"/>
      <w:marBottom w:val="0"/>
      <w:divBdr>
        <w:top w:val="none" w:sz="0" w:space="0" w:color="auto"/>
        <w:left w:val="none" w:sz="0" w:space="0" w:color="auto"/>
        <w:bottom w:val="none" w:sz="0" w:space="0" w:color="auto"/>
        <w:right w:val="none" w:sz="0" w:space="0" w:color="auto"/>
      </w:divBdr>
    </w:div>
    <w:div w:id="1025130838">
      <w:bodyDiv w:val="1"/>
      <w:marLeft w:val="0"/>
      <w:marRight w:val="0"/>
      <w:marTop w:val="0"/>
      <w:marBottom w:val="0"/>
      <w:divBdr>
        <w:top w:val="none" w:sz="0" w:space="0" w:color="auto"/>
        <w:left w:val="none" w:sz="0" w:space="0" w:color="auto"/>
        <w:bottom w:val="none" w:sz="0" w:space="0" w:color="auto"/>
        <w:right w:val="none" w:sz="0" w:space="0" w:color="auto"/>
      </w:divBdr>
    </w:div>
    <w:div w:id="1062212093">
      <w:bodyDiv w:val="1"/>
      <w:marLeft w:val="0"/>
      <w:marRight w:val="0"/>
      <w:marTop w:val="0"/>
      <w:marBottom w:val="0"/>
      <w:divBdr>
        <w:top w:val="none" w:sz="0" w:space="0" w:color="auto"/>
        <w:left w:val="none" w:sz="0" w:space="0" w:color="auto"/>
        <w:bottom w:val="none" w:sz="0" w:space="0" w:color="auto"/>
        <w:right w:val="none" w:sz="0" w:space="0" w:color="auto"/>
      </w:divBdr>
    </w:div>
    <w:div w:id="1065450151">
      <w:bodyDiv w:val="1"/>
      <w:marLeft w:val="0"/>
      <w:marRight w:val="0"/>
      <w:marTop w:val="0"/>
      <w:marBottom w:val="0"/>
      <w:divBdr>
        <w:top w:val="none" w:sz="0" w:space="0" w:color="auto"/>
        <w:left w:val="none" w:sz="0" w:space="0" w:color="auto"/>
        <w:bottom w:val="none" w:sz="0" w:space="0" w:color="auto"/>
        <w:right w:val="none" w:sz="0" w:space="0" w:color="auto"/>
      </w:divBdr>
    </w:div>
    <w:div w:id="1434934439">
      <w:bodyDiv w:val="1"/>
      <w:marLeft w:val="0"/>
      <w:marRight w:val="0"/>
      <w:marTop w:val="0"/>
      <w:marBottom w:val="0"/>
      <w:divBdr>
        <w:top w:val="none" w:sz="0" w:space="0" w:color="auto"/>
        <w:left w:val="none" w:sz="0" w:space="0" w:color="auto"/>
        <w:bottom w:val="none" w:sz="0" w:space="0" w:color="auto"/>
        <w:right w:val="none" w:sz="0" w:space="0" w:color="auto"/>
      </w:divBdr>
    </w:div>
    <w:div w:id="1524440990">
      <w:bodyDiv w:val="1"/>
      <w:marLeft w:val="0"/>
      <w:marRight w:val="0"/>
      <w:marTop w:val="0"/>
      <w:marBottom w:val="0"/>
      <w:divBdr>
        <w:top w:val="none" w:sz="0" w:space="0" w:color="auto"/>
        <w:left w:val="none" w:sz="0" w:space="0" w:color="auto"/>
        <w:bottom w:val="none" w:sz="0" w:space="0" w:color="auto"/>
        <w:right w:val="none" w:sz="0" w:space="0" w:color="auto"/>
      </w:divBdr>
    </w:div>
    <w:div w:id="1553926563">
      <w:bodyDiv w:val="1"/>
      <w:marLeft w:val="0"/>
      <w:marRight w:val="0"/>
      <w:marTop w:val="0"/>
      <w:marBottom w:val="0"/>
      <w:divBdr>
        <w:top w:val="none" w:sz="0" w:space="0" w:color="auto"/>
        <w:left w:val="none" w:sz="0" w:space="0" w:color="auto"/>
        <w:bottom w:val="none" w:sz="0" w:space="0" w:color="auto"/>
        <w:right w:val="none" w:sz="0" w:space="0" w:color="auto"/>
      </w:divBdr>
    </w:div>
    <w:div w:id="1778403267">
      <w:bodyDiv w:val="1"/>
      <w:marLeft w:val="0"/>
      <w:marRight w:val="0"/>
      <w:marTop w:val="0"/>
      <w:marBottom w:val="0"/>
      <w:divBdr>
        <w:top w:val="none" w:sz="0" w:space="0" w:color="auto"/>
        <w:left w:val="none" w:sz="0" w:space="0" w:color="auto"/>
        <w:bottom w:val="none" w:sz="0" w:space="0" w:color="auto"/>
        <w:right w:val="none" w:sz="0" w:space="0" w:color="auto"/>
      </w:divBdr>
    </w:div>
    <w:div w:id="1933656932">
      <w:bodyDiv w:val="1"/>
      <w:marLeft w:val="0"/>
      <w:marRight w:val="0"/>
      <w:marTop w:val="0"/>
      <w:marBottom w:val="0"/>
      <w:divBdr>
        <w:top w:val="none" w:sz="0" w:space="0" w:color="auto"/>
        <w:left w:val="none" w:sz="0" w:space="0" w:color="auto"/>
        <w:bottom w:val="none" w:sz="0" w:space="0" w:color="auto"/>
        <w:right w:val="none" w:sz="0" w:space="0" w:color="auto"/>
      </w:divBdr>
    </w:div>
    <w:div w:id="2010214396">
      <w:bodyDiv w:val="1"/>
      <w:marLeft w:val="0"/>
      <w:marRight w:val="0"/>
      <w:marTop w:val="0"/>
      <w:marBottom w:val="0"/>
      <w:divBdr>
        <w:top w:val="none" w:sz="0" w:space="0" w:color="auto"/>
        <w:left w:val="none" w:sz="0" w:space="0" w:color="auto"/>
        <w:bottom w:val="none" w:sz="0" w:space="0" w:color="auto"/>
        <w:right w:val="none" w:sz="0" w:space="0" w:color="auto"/>
      </w:divBdr>
    </w:div>
    <w:div w:id="20545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diagramColors" Target="diagrams/colors1.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19.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header" Target="header1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diagramLayout" Target="diagrams/layout1.xml"/><Relationship Id="rId40"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0.xml"/><Relationship Id="rId28" Type="http://schemas.openxmlformats.org/officeDocument/2006/relationships/footer" Target="footer3.xml"/><Relationship Id="rId36" Type="http://schemas.openxmlformats.org/officeDocument/2006/relationships/diagramData" Target="diagrams/data1.xml"/><Relationship Id="rId49"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theme" Target="theme/theme1.xm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file:///H:/Docs/Offline%20Records%20(CH)/Climate%20Change%20Evaluation%20-%20Office%20of%20Development%20~%20OVERSEAS%20AID%20MANAGEMENT%20-%20Reporting/Climate%20change%20report%2009032108.DOCX" TargetMode="External"/><Relationship Id="rId33" Type="http://schemas.openxmlformats.org/officeDocument/2006/relationships/header" Target="header17.xml"/><Relationship Id="rId38" Type="http://schemas.openxmlformats.org/officeDocument/2006/relationships/diagramQuickStyle" Target="diagrams/quickStyle1.xml"/><Relationship Id="rId20" Type="http://schemas.openxmlformats.org/officeDocument/2006/relationships/header" Target="header7.xml"/><Relationship Id="rId4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dfat.gov.au/aid/how-we-measure-performance/ode/other-work/Pages/evaluation-of-the-secretariat-of-the-pacific-community-government-of-australia-partnership-final-report.aspx" TargetMode="External"/><Relationship Id="rId2" Type="http://schemas.openxmlformats.org/officeDocument/2006/relationships/hyperlink" Target="https://www.odi.org/sites/odi.org.uk/files/odi-assets/publications-opinion-files/10302.pdf" TargetMode="External"/><Relationship Id="rId1" Type="http://schemas.openxmlformats.org/officeDocument/2006/relationships/hyperlink" Target="http://unfccc.int/cooperation_support/financial_mechanism/fast_start_finance/items/5646.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marti\AppData\Local\Hewlett-Packard\HP%20TRIM\TEMP\HPTRIM.5268\t0P8KHG8.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901681-488F-4BD4-A450-5CF6A099A3D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9B9C90C9-0B1F-4F43-9D3A-31166B9F13A6}">
      <dgm:prSet phldrT="[Text]" custT="1"/>
      <dgm:spPr>
        <a:xfrm>
          <a:off x="1571260" y="954537"/>
          <a:ext cx="1041497" cy="977121"/>
        </a:xfrm>
        <a:solidFill>
          <a:srgbClr val="F8993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50" b="1">
              <a:solidFill>
                <a:sysClr val="windowText" lastClr="000000"/>
              </a:solidFill>
              <a:latin typeface="Calibri" panose="020F0502020204030204"/>
              <a:ea typeface="+mn-ea"/>
              <a:cs typeface="+mn-cs"/>
            </a:rPr>
            <a:t>Policy commitment and leadership</a:t>
          </a:r>
        </a:p>
      </dgm:t>
    </dgm:pt>
    <dgm:pt modelId="{E2E9CD1C-857F-413D-A7DC-2E7149953CD8}" type="parTrans" cxnId="{FFF1D5D1-A3B1-4F19-9A5A-36C2A1308CED}">
      <dgm:prSet/>
      <dgm:spPr/>
      <dgm:t>
        <a:bodyPr/>
        <a:lstStyle/>
        <a:p>
          <a:endParaRPr lang="en-GB"/>
        </a:p>
      </dgm:t>
    </dgm:pt>
    <dgm:pt modelId="{3C4C1B03-6572-4554-B5F8-D440A32B03C9}" type="sibTrans" cxnId="{FFF1D5D1-A3B1-4F19-9A5A-36C2A1308CED}">
      <dgm:prSet/>
      <dgm:spPr/>
      <dgm:t>
        <a:bodyPr/>
        <a:lstStyle/>
        <a:p>
          <a:endParaRPr lang="en-GB"/>
        </a:p>
      </dgm:t>
    </dgm:pt>
    <dgm:pt modelId="{A8C76A3E-C8D3-4DFC-96B3-85B03324C299}">
      <dgm:prSet phldrT="[Text]" custT="1"/>
      <dgm:spPr>
        <a:xfrm>
          <a:off x="1586807" y="12"/>
          <a:ext cx="1010403" cy="666953"/>
        </a:xfrm>
        <a:solidFill>
          <a:srgbClr val="00A4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50" b="1">
              <a:solidFill>
                <a:sysClr val="windowText" lastClr="000000"/>
              </a:solidFill>
              <a:latin typeface="Calibri" panose="020F0502020204030204"/>
              <a:ea typeface="+mn-ea"/>
              <a:cs typeface="+mn-cs"/>
            </a:rPr>
            <a:t>Strategic clarity</a:t>
          </a:r>
        </a:p>
      </dgm:t>
    </dgm:pt>
    <dgm:pt modelId="{766EBA64-AF8E-4F76-9009-E1ADA0A3EA71}" type="parTrans" cxnId="{8895B099-48E6-4FF5-9115-9FCF9168E8B4}">
      <dgm:prSet/>
      <dgm:spPr/>
      <dgm:t>
        <a:bodyPr/>
        <a:lstStyle/>
        <a:p>
          <a:endParaRPr lang="en-GB"/>
        </a:p>
      </dgm:t>
    </dgm:pt>
    <dgm:pt modelId="{3A98E684-1FED-41BE-A703-0DF19B872CF2}" type="sibTrans" cxnId="{8895B099-48E6-4FF5-9115-9FCF9168E8B4}">
      <dgm:prSet/>
      <dgm:spPr>
        <a:xfrm>
          <a:off x="972119" y="307508"/>
          <a:ext cx="2240001" cy="2240001"/>
        </a:xfrm>
        <a:solidFill>
          <a:sysClr val="window" lastClr="FFFFFF">
            <a:lumMod val="75000"/>
          </a:sysClr>
        </a:solidFill>
        <a:ln>
          <a:solidFill>
            <a:sysClr val="window" lastClr="FFFFFF">
              <a:hueOff val="0"/>
              <a:satOff val="0"/>
              <a:lumOff val="0"/>
            </a:sysClr>
          </a:solidFill>
        </a:ln>
        <a:effectLst/>
      </dgm:spPr>
      <dgm:t>
        <a:bodyPr/>
        <a:lstStyle/>
        <a:p>
          <a:endParaRPr lang="en-GB" sz="850"/>
        </a:p>
      </dgm:t>
    </dgm:pt>
    <dgm:pt modelId="{BBDE2C96-8605-4DBB-95C8-B91D4BDD58FC}">
      <dgm:prSet phldrT="[Text]" custT="1"/>
      <dgm:spPr>
        <a:xfrm>
          <a:off x="2645120" y="1093849"/>
          <a:ext cx="1081815" cy="698498"/>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50" b="1">
              <a:solidFill>
                <a:sysClr val="windowText" lastClr="000000"/>
              </a:solidFill>
              <a:latin typeface="Calibri" panose="020F0502020204030204"/>
              <a:ea typeface="+mn-ea"/>
              <a:cs typeface="+mn-cs"/>
            </a:rPr>
            <a:t>Design, approval and staff capacity</a:t>
          </a:r>
        </a:p>
      </dgm:t>
    </dgm:pt>
    <dgm:pt modelId="{3069D99E-B83F-4B55-B157-83773A3F4F09}" type="parTrans" cxnId="{C17D7302-7296-49C9-9870-32C2585CFBEA}">
      <dgm:prSet/>
      <dgm:spPr/>
      <dgm:t>
        <a:bodyPr/>
        <a:lstStyle/>
        <a:p>
          <a:endParaRPr lang="en-GB"/>
        </a:p>
      </dgm:t>
    </dgm:pt>
    <dgm:pt modelId="{D66118E6-3B75-4029-9B19-78B4D019B536}" type="sibTrans" cxnId="{C17D7302-7296-49C9-9870-32C2585CFBEA}">
      <dgm:prSet/>
      <dgm:spPr>
        <a:xfrm>
          <a:off x="972119" y="338700"/>
          <a:ext cx="2240001" cy="2240001"/>
        </a:xfrm>
        <a:solidFill>
          <a:sysClr val="window" lastClr="FFFFFF">
            <a:lumMod val="75000"/>
          </a:sysClr>
        </a:solidFill>
        <a:ln>
          <a:noFill/>
        </a:ln>
        <a:effectLst/>
      </dgm:spPr>
      <dgm:t>
        <a:bodyPr/>
        <a:lstStyle/>
        <a:p>
          <a:endParaRPr lang="en-GB" sz="850"/>
        </a:p>
      </dgm:t>
    </dgm:pt>
    <dgm:pt modelId="{C850BA18-955D-404F-8BBB-504504A2841B}">
      <dgm:prSet phldrT="[Text]" custT="1"/>
      <dgm:spPr>
        <a:xfrm>
          <a:off x="1571601" y="2194601"/>
          <a:ext cx="1040815" cy="716238"/>
        </a:xfrm>
        <a:solidFill>
          <a:srgbClr val="B469F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50" b="1">
              <a:solidFill>
                <a:srgbClr val="434343"/>
              </a:solidFill>
              <a:latin typeface="Calibri" panose="020F0502020204030204"/>
              <a:ea typeface="+mn-ea"/>
              <a:cs typeface="+mn-cs"/>
            </a:rPr>
            <a:t>M&amp;E and reporting</a:t>
          </a:r>
        </a:p>
      </dgm:t>
    </dgm:pt>
    <dgm:pt modelId="{8FAB0529-0AAB-4BE7-A465-3991A7B8752A}" type="parTrans" cxnId="{71237E5F-D09B-42F8-9514-85FADD4E8E24}">
      <dgm:prSet/>
      <dgm:spPr/>
      <dgm:t>
        <a:bodyPr/>
        <a:lstStyle/>
        <a:p>
          <a:endParaRPr lang="en-GB"/>
        </a:p>
      </dgm:t>
    </dgm:pt>
    <dgm:pt modelId="{9B1247D9-EFBD-453C-AB1C-A778217CD23D}" type="sibTrans" cxnId="{71237E5F-D09B-42F8-9514-85FADD4E8E24}">
      <dgm:prSet/>
      <dgm:spPr>
        <a:xfrm>
          <a:off x="971897" y="338700"/>
          <a:ext cx="2240001" cy="2240001"/>
        </a:xfrm>
        <a:solidFill>
          <a:sysClr val="window" lastClr="FFFFFF">
            <a:lumMod val="75000"/>
          </a:sysClr>
        </a:solidFill>
        <a:ln>
          <a:noFill/>
        </a:ln>
        <a:effectLst/>
      </dgm:spPr>
      <dgm:t>
        <a:bodyPr/>
        <a:lstStyle/>
        <a:p>
          <a:endParaRPr lang="en-GB" sz="850"/>
        </a:p>
      </dgm:t>
    </dgm:pt>
    <dgm:pt modelId="{B2DAEDB4-1E32-42C2-9E7F-ACBFF83FA5B4}">
      <dgm:prSet phldrT="[Text]" custT="1"/>
      <dgm:spPr>
        <a:xfrm>
          <a:off x="530103" y="1045841"/>
          <a:ext cx="935772" cy="794513"/>
        </a:xfrm>
        <a:solidFill>
          <a:srgbClr val="FFFF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50" b="1">
              <a:solidFill>
                <a:sysClr val="windowText" lastClr="000000"/>
              </a:solidFill>
              <a:latin typeface="Calibri" panose="020F0502020204030204"/>
              <a:ea typeface="+mn-ea"/>
              <a:cs typeface="+mn-cs"/>
            </a:rPr>
            <a:t>Financing</a:t>
          </a:r>
        </a:p>
      </dgm:t>
    </dgm:pt>
    <dgm:pt modelId="{525EC6E6-FA8A-4AB8-A66D-2B4A2B6BF23B}" type="parTrans" cxnId="{C8BFF853-2BF9-49FE-B359-66C16C8D3C19}">
      <dgm:prSet/>
      <dgm:spPr/>
      <dgm:t>
        <a:bodyPr/>
        <a:lstStyle/>
        <a:p>
          <a:endParaRPr lang="en-GB"/>
        </a:p>
      </dgm:t>
    </dgm:pt>
    <dgm:pt modelId="{D3742E0E-C6C1-4087-9874-6A1ED450AF22}" type="sibTrans" cxnId="{C8BFF853-2BF9-49FE-B359-66C16C8D3C19}">
      <dgm:prSet/>
      <dgm:spPr>
        <a:xfrm>
          <a:off x="971897" y="307508"/>
          <a:ext cx="2240001" cy="2240001"/>
        </a:xfrm>
        <a:solidFill>
          <a:sysClr val="window" lastClr="FFFFFF">
            <a:lumMod val="75000"/>
          </a:sysClr>
        </a:solidFill>
        <a:ln>
          <a:noFill/>
        </a:ln>
        <a:effectLst/>
      </dgm:spPr>
      <dgm:t>
        <a:bodyPr/>
        <a:lstStyle/>
        <a:p>
          <a:endParaRPr lang="en-GB" sz="850"/>
        </a:p>
      </dgm:t>
    </dgm:pt>
    <dgm:pt modelId="{FF5F01E2-63D2-4B16-B187-D4EEFA38C89C}" type="pres">
      <dgm:prSet presAssocID="{77901681-488F-4BD4-A450-5CF6A099A3D0}" presName="Name0" presStyleCnt="0">
        <dgm:presLayoutVars>
          <dgm:chMax val="1"/>
          <dgm:dir/>
          <dgm:animLvl val="ctr"/>
          <dgm:resizeHandles val="exact"/>
        </dgm:presLayoutVars>
      </dgm:prSet>
      <dgm:spPr/>
      <dgm:t>
        <a:bodyPr/>
        <a:lstStyle/>
        <a:p>
          <a:endParaRPr lang="en-US"/>
        </a:p>
      </dgm:t>
    </dgm:pt>
    <dgm:pt modelId="{9FCE6788-C001-43F9-AB8C-2133BA5F0C47}" type="pres">
      <dgm:prSet presAssocID="{9B9C90C9-0B1F-4F43-9D3A-31166B9F13A6}" presName="centerShape" presStyleLbl="node0" presStyleIdx="0" presStyleCnt="1" custScaleX="101018" custScaleY="94774"/>
      <dgm:spPr>
        <a:prstGeom prst="ellipse">
          <a:avLst/>
        </a:prstGeom>
      </dgm:spPr>
      <dgm:t>
        <a:bodyPr/>
        <a:lstStyle/>
        <a:p>
          <a:endParaRPr lang="en-US"/>
        </a:p>
      </dgm:t>
    </dgm:pt>
    <dgm:pt modelId="{7842FFAA-C598-494F-B40C-0A5888CDED43}" type="pres">
      <dgm:prSet presAssocID="{A8C76A3E-C8D3-4DFC-96B3-85B03324C299}" presName="node" presStyleLbl="node1" presStyleIdx="0" presStyleCnt="4" custScaleX="140003" custScaleY="92414" custRadScaleRad="101425">
        <dgm:presLayoutVars>
          <dgm:bulletEnabled val="1"/>
        </dgm:presLayoutVars>
      </dgm:prSet>
      <dgm:spPr>
        <a:prstGeom prst="ellipse">
          <a:avLst/>
        </a:prstGeom>
      </dgm:spPr>
      <dgm:t>
        <a:bodyPr/>
        <a:lstStyle/>
        <a:p>
          <a:endParaRPr lang="en-US"/>
        </a:p>
      </dgm:t>
    </dgm:pt>
    <dgm:pt modelId="{45AD627B-2F15-43C1-BE4B-86575BD0B3FF}" type="pres">
      <dgm:prSet presAssocID="{A8C76A3E-C8D3-4DFC-96B3-85B03324C299}" presName="dummy" presStyleCnt="0"/>
      <dgm:spPr/>
    </dgm:pt>
    <dgm:pt modelId="{E3CFE944-A37B-441F-95BA-DC6E9AAB7B61}" type="pres">
      <dgm:prSet presAssocID="{3A98E684-1FED-41BE-A703-0DF19B872CF2}" presName="sibTrans" presStyleLbl="sibTrans2D1" presStyleIdx="0" presStyleCnt="4"/>
      <dgm:spPr>
        <a:prstGeom prst="blockArc">
          <a:avLst>
            <a:gd name="adj1" fmla="val 16199651"/>
            <a:gd name="adj2" fmla="val 48990"/>
            <a:gd name="adj3" fmla="val 4640"/>
          </a:avLst>
        </a:prstGeom>
      </dgm:spPr>
      <dgm:t>
        <a:bodyPr/>
        <a:lstStyle/>
        <a:p>
          <a:endParaRPr lang="en-US"/>
        </a:p>
      </dgm:t>
    </dgm:pt>
    <dgm:pt modelId="{B0922640-555D-4C3F-9922-FD3038A9EFF0}" type="pres">
      <dgm:prSet presAssocID="{BBDE2C96-8605-4DBB-95C8-B91D4BDD58FC}" presName="node" presStyleLbl="node1" presStyleIdx="1" presStyleCnt="4" custScaleX="149898" custScaleY="96785">
        <dgm:presLayoutVars>
          <dgm:bulletEnabled val="1"/>
        </dgm:presLayoutVars>
      </dgm:prSet>
      <dgm:spPr>
        <a:prstGeom prst="ellipse">
          <a:avLst/>
        </a:prstGeom>
      </dgm:spPr>
      <dgm:t>
        <a:bodyPr/>
        <a:lstStyle/>
        <a:p>
          <a:endParaRPr lang="en-US"/>
        </a:p>
      </dgm:t>
    </dgm:pt>
    <dgm:pt modelId="{0C972B5B-5670-41A5-866D-4516D03F2E36}" type="pres">
      <dgm:prSet presAssocID="{BBDE2C96-8605-4DBB-95C8-B91D4BDD58FC}" presName="dummy" presStyleCnt="0"/>
      <dgm:spPr/>
    </dgm:pt>
    <dgm:pt modelId="{2EAD2591-84D9-4FAE-8B30-397C912AF4C3}" type="pres">
      <dgm:prSet presAssocID="{D66118E6-3B75-4029-9B19-78B4D019B536}" presName="sibTrans" presStyleLbl="sibTrans2D1" presStyleIdx="1" presStyleCnt="4"/>
      <dgm:spPr>
        <a:prstGeom prst="blockArc">
          <a:avLst>
            <a:gd name="adj1" fmla="val 21550970"/>
            <a:gd name="adj2" fmla="val 5400350"/>
            <a:gd name="adj3" fmla="val 4640"/>
          </a:avLst>
        </a:prstGeom>
      </dgm:spPr>
      <dgm:t>
        <a:bodyPr/>
        <a:lstStyle/>
        <a:p>
          <a:endParaRPr lang="en-US"/>
        </a:p>
      </dgm:t>
    </dgm:pt>
    <dgm:pt modelId="{EDC1F2D2-2BD9-4E85-BDEB-F1BB642F1558}" type="pres">
      <dgm:prSet presAssocID="{C850BA18-955D-404F-8BBB-504504A2841B}" presName="node" presStyleLbl="node1" presStyleIdx="2" presStyleCnt="4" custScaleX="144217" custScaleY="99243" custRadScaleRad="101735">
        <dgm:presLayoutVars>
          <dgm:bulletEnabled val="1"/>
        </dgm:presLayoutVars>
      </dgm:prSet>
      <dgm:spPr>
        <a:prstGeom prst="ellipse">
          <a:avLst/>
        </a:prstGeom>
      </dgm:spPr>
      <dgm:t>
        <a:bodyPr/>
        <a:lstStyle/>
        <a:p>
          <a:endParaRPr lang="en-US"/>
        </a:p>
      </dgm:t>
    </dgm:pt>
    <dgm:pt modelId="{12E94C3E-E1C1-4448-A10C-2F0453377547}" type="pres">
      <dgm:prSet presAssocID="{C850BA18-955D-404F-8BBB-504504A2841B}" presName="dummy" presStyleCnt="0"/>
      <dgm:spPr/>
    </dgm:pt>
    <dgm:pt modelId="{7A9CD957-DFB1-4A77-AA9D-E83A2365A10C}" type="pres">
      <dgm:prSet presAssocID="{9B1247D9-EFBD-453C-AB1C-A778217CD23D}" presName="sibTrans" presStyleLbl="sibTrans2D1" presStyleIdx="2" presStyleCnt="4"/>
      <dgm:spPr>
        <a:prstGeom prst="blockArc">
          <a:avLst>
            <a:gd name="adj1" fmla="val 5399650"/>
            <a:gd name="adj2" fmla="val 10849030"/>
            <a:gd name="adj3" fmla="val 4640"/>
          </a:avLst>
        </a:prstGeom>
      </dgm:spPr>
      <dgm:t>
        <a:bodyPr/>
        <a:lstStyle/>
        <a:p>
          <a:endParaRPr lang="en-US"/>
        </a:p>
      </dgm:t>
    </dgm:pt>
    <dgm:pt modelId="{34E9D568-5C15-4B80-93F9-CBA5A6580FD3}" type="pres">
      <dgm:prSet presAssocID="{B2DAEDB4-1E32-42C2-9E7F-ACBFF83FA5B4}" presName="node" presStyleLbl="node1" presStyleIdx="3" presStyleCnt="4" custScaleX="129662" custScaleY="110089">
        <dgm:presLayoutVars>
          <dgm:bulletEnabled val="1"/>
        </dgm:presLayoutVars>
      </dgm:prSet>
      <dgm:spPr>
        <a:prstGeom prst="ellipse">
          <a:avLst/>
        </a:prstGeom>
      </dgm:spPr>
      <dgm:t>
        <a:bodyPr/>
        <a:lstStyle/>
        <a:p>
          <a:endParaRPr lang="en-US"/>
        </a:p>
      </dgm:t>
    </dgm:pt>
    <dgm:pt modelId="{5E936B8E-47DC-4B52-AAE6-D7654B74C8CA}" type="pres">
      <dgm:prSet presAssocID="{B2DAEDB4-1E32-42C2-9E7F-ACBFF83FA5B4}" presName="dummy" presStyleCnt="0"/>
      <dgm:spPr/>
    </dgm:pt>
    <dgm:pt modelId="{4400DE4E-B866-4B77-A74C-DCFCC6372A8D}" type="pres">
      <dgm:prSet presAssocID="{D3742E0E-C6C1-4087-9874-6A1ED450AF22}" presName="sibTrans" presStyleLbl="sibTrans2D1" presStyleIdx="3" presStyleCnt="4"/>
      <dgm:spPr>
        <a:prstGeom prst="blockArc">
          <a:avLst>
            <a:gd name="adj1" fmla="val 10751010"/>
            <a:gd name="adj2" fmla="val 16200349"/>
            <a:gd name="adj3" fmla="val 4640"/>
          </a:avLst>
        </a:prstGeom>
      </dgm:spPr>
      <dgm:t>
        <a:bodyPr/>
        <a:lstStyle/>
        <a:p>
          <a:endParaRPr lang="en-US"/>
        </a:p>
      </dgm:t>
    </dgm:pt>
  </dgm:ptLst>
  <dgm:cxnLst>
    <dgm:cxn modelId="{8895B099-48E6-4FF5-9115-9FCF9168E8B4}" srcId="{9B9C90C9-0B1F-4F43-9D3A-31166B9F13A6}" destId="{A8C76A3E-C8D3-4DFC-96B3-85B03324C299}" srcOrd="0" destOrd="0" parTransId="{766EBA64-AF8E-4F76-9009-E1ADA0A3EA71}" sibTransId="{3A98E684-1FED-41BE-A703-0DF19B872CF2}"/>
    <dgm:cxn modelId="{D74CCEDD-00E0-4DC7-9B9A-561E06092E8E}" type="presOf" srcId="{C850BA18-955D-404F-8BBB-504504A2841B}" destId="{EDC1F2D2-2BD9-4E85-BDEB-F1BB642F1558}" srcOrd="0" destOrd="0" presId="urn:microsoft.com/office/officeart/2005/8/layout/radial6"/>
    <dgm:cxn modelId="{A4F17C22-F657-42CE-8B0C-0B0EC6AA21F2}" type="presOf" srcId="{3A98E684-1FED-41BE-A703-0DF19B872CF2}" destId="{E3CFE944-A37B-441F-95BA-DC6E9AAB7B61}" srcOrd="0" destOrd="0" presId="urn:microsoft.com/office/officeart/2005/8/layout/radial6"/>
    <dgm:cxn modelId="{2727E249-3376-4DA0-A889-365B8AF0DCB9}" type="presOf" srcId="{B2DAEDB4-1E32-42C2-9E7F-ACBFF83FA5B4}" destId="{34E9D568-5C15-4B80-93F9-CBA5A6580FD3}" srcOrd="0" destOrd="0" presId="urn:microsoft.com/office/officeart/2005/8/layout/radial6"/>
    <dgm:cxn modelId="{A7E492BE-334D-4E84-81F7-E7ECA303FD64}" type="presOf" srcId="{A8C76A3E-C8D3-4DFC-96B3-85B03324C299}" destId="{7842FFAA-C598-494F-B40C-0A5888CDED43}" srcOrd="0" destOrd="0" presId="urn:microsoft.com/office/officeart/2005/8/layout/radial6"/>
    <dgm:cxn modelId="{81DCEBE2-3C90-4DE3-BAF2-8E58CCFD9C39}" type="presOf" srcId="{D3742E0E-C6C1-4087-9874-6A1ED450AF22}" destId="{4400DE4E-B866-4B77-A74C-DCFCC6372A8D}" srcOrd="0" destOrd="0" presId="urn:microsoft.com/office/officeart/2005/8/layout/radial6"/>
    <dgm:cxn modelId="{AB7F4B9D-D5F9-4856-939D-68F91A3A2E1F}" type="presOf" srcId="{D66118E6-3B75-4029-9B19-78B4D019B536}" destId="{2EAD2591-84D9-4FAE-8B30-397C912AF4C3}" srcOrd="0" destOrd="0" presId="urn:microsoft.com/office/officeart/2005/8/layout/radial6"/>
    <dgm:cxn modelId="{D534E585-CA72-4388-A46D-4A969572E2FC}" type="presOf" srcId="{9B9C90C9-0B1F-4F43-9D3A-31166B9F13A6}" destId="{9FCE6788-C001-43F9-AB8C-2133BA5F0C47}" srcOrd="0" destOrd="0" presId="urn:microsoft.com/office/officeart/2005/8/layout/radial6"/>
    <dgm:cxn modelId="{47582878-F7FB-42F4-A6D7-35DFBA630EA8}" type="presOf" srcId="{9B1247D9-EFBD-453C-AB1C-A778217CD23D}" destId="{7A9CD957-DFB1-4A77-AA9D-E83A2365A10C}" srcOrd="0" destOrd="0" presId="urn:microsoft.com/office/officeart/2005/8/layout/radial6"/>
    <dgm:cxn modelId="{C8BFF853-2BF9-49FE-B359-66C16C8D3C19}" srcId="{9B9C90C9-0B1F-4F43-9D3A-31166B9F13A6}" destId="{B2DAEDB4-1E32-42C2-9E7F-ACBFF83FA5B4}" srcOrd="3" destOrd="0" parTransId="{525EC6E6-FA8A-4AB8-A66D-2B4A2B6BF23B}" sibTransId="{D3742E0E-C6C1-4087-9874-6A1ED450AF22}"/>
    <dgm:cxn modelId="{5055C089-9348-4769-80E1-5EBC8915C5A3}" type="presOf" srcId="{BBDE2C96-8605-4DBB-95C8-B91D4BDD58FC}" destId="{B0922640-555D-4C3F-9922-FD3038A9EFF0}" srcOrd="0" destOrd="0" presId="urn:microsoft.com/office/officeart/2005/8/layout/radial6"/>
    <dgm:cxn modelId="{71237E5F-D09B-42F8-9514-85FADD4E8E24}" srcId="{9B9C90C9-0B1F-4F43-9D3A-31166B9F13A6}" destId="{C850BA18-955D-404F-8BBB-504504A2841B}" srcOrd="2" destOrd="0" parTransId="{8FAB0529-0AAB-4BE7-A465-3991A7B8752A}" sibTransId="{9B1247D9-EFBD-453C-AB1C-A778217CD23D}"/>
    <dgm:cxn modelId="{FFF1D5D1-A3B1-4F19-9A5A-36C2A1308CED}" srcId="{77901681-488F-4BD4-A450-5CF6A099A3D0}" destId="{9B9C90C9-0B1F-4F43-9D3A-31166B9F13A6}" srcOrd="0" destOrd="0" parTransId="{E2E9CD1C-857F-413D-A7DC-2E7149953CD8}" sibTransId="{3C4C1B03-6572-4554-B5F8-D440A32B03C9}"/>
    <dgm:cxn modelId="{CEE9C97C-2729-4FD1-B691-1E46E77A81BA}" type="presOf" srcId="{77901681-488F-4BD4-A450-5CF6A099A3D0}" destId="{FF5F01E2-63D2-4B16-B187-D4EEFA38C89C}" srcOrd="0" destOrd="0" presId="urn:microsoft.com/office/officeart/2005/8/layout/radial6"/>
    <dgm:cxn modelId="{C17D7302-7296-49C9-9870-32C2585CFBEA}" srcId="{9B9C90C9-0B1F-4F43-9D3A-31166B9F13A6}" destId="{BBDE2C96-8605-4DBB-95C8-B91D4BDD58FC}" srcOrd="1" destOrd="0" parTransId="{3069D99E-B83F-4B55-B157-83773A3F4F09}" sibTransId="{D66118E6-3B75-4029-9B19-78B4D019B536}"/>
    <dgm:cxn modelId="{FFB0909E-FE4C-4E7A-A80E-B764D5693384}" type="presParOf" srcId="{FF5F01E2-63D2-4B16-B187-D4EEFA38C89C}" destId="{9FCE6788-C001-43F9-AB8C-2133BA5F0C47}" srcOrd="0" destOrd="0" presId="urn:microsoft.com/office/officeart/2005/8/layout/radial6"/>
    <dgm:cxn modelId="{B17E8A49-B401-4FCC-B7DA-D9C45B6211B7}" type="presParOf" srcId="{FF5F01E2-63D2-4B16-B187-D4EEFA38C89C}" destId="{7842FFAA-C598-494F-B40C-0A5888CDED43}" srcOrd="1" destOrd="0" presId="urn:microsoft.com/office/officeart/2005/8/layout/radial6"/>
    <dgm:cxn modelId="{6AC76816-5CF5-461D-9B96-C19A0C794F76}" type="presParOf" srcId="{FF5F01E2-63D2-4B16-B187-D4EEFA38C89C}" destId="{45AD627B-2F15-43C1-BE4B-86575BD0B3FF}" srcOrd="2" destOrd="0" presId="urn:microsoft.com/office/officeart/2005/8/layout/radial6"/>
    <dgm:cxn modelId="{6C397A3D-9C9F-4B3A-8427-2B88D61658D8}" type="presParOf" srcId="{FF5F01E2-63D2-4B16-B187-D4EEFA38C89C}" destId="{E3CFE944-A37B-441F-95BA-DC6E9AAB7B61}" srcOrd="3" destOrd="0" presId="urn:microsoft.com/office/officeart/2005/8/layout/radial6"/>
    <dgm:cxn modelId="{C6B2D26F-68DA-4248-A874-629A29AD37C5}" type="presParOf" srcId="{FF5F01E2-63D2-4B16-B187-D4EEFA38C89C}" destId="{B0922640-555D-4C3F-9922-FD3038A9EFF0}" srcOrd="4" destOrd="0" presId="urn:microsoft.com/office/officeart/2005/8/layout/radial6"/>
    <dgm:cxn modelId="{485EF686-E209-443E-8B9E-8DF8CEBD4B33}" type="presParOf" srcId="{FF5F01E2-63D2-4B16-B187-D4EEFA38C89C}" destId="{0C972B5B-5670-41A5-866D-4516D03F2E36}" srcOrd="5" destOrd="0" presId="urn:microsoft.com/office/officeart/2005/8/layout/radial6"/>
    <dgm:cxn modelId="{08072837-B2E3-4DCF-8E1F-CE458BBB63D3}" type="presParOf" srcId="{FF5F01E2-63D2-4B16-B187-D4EEFA38C89C}" destId="{2EAD2591-84D9-4FAE-8B30-397C912AF4C3}" srcOrd="6" destOrd="0" presId="urn:microsoft.com/office/officeart/2005/8/layout/radial6"/>
    <dgm:cxn modelId="{53E6A66F-E3F6-49B2-A71C-6EED785B855C}" type="presParOf" srcId="{FF5F01E2-63D2-4B16-B187-D4EEFA38C89C}" destId="{EDC1F2D2-2BD9-4E85-BDEB-F1BB642F1558}" srcOrd="7" destOrd="0" presId="urn:microsoft.com/office/officeart/2005/8/layout/radial6"/>
    <dgm:cxn modelId="{377A922B-4948-45FA-9563-E99E80ECFA41}" type="presParOf" srcId="{FF5F01E2-63D2-4B16-B187-D4EEFA38C89C}" destId="{12E94C3E-E1C1-4448-A10C-2F0453377547}" srcOrd="8" destOrd="0" presId="urn:microsoft.com/office/officeart/2005/8/layout/radial6"/>
    <dgm:cxn modelId="{51CC58AD-4614-4873-A239-C9F0FCB45D96}" type="presParOf" srcId="{FF5F01E2-63D2-4B16-B187-D4EEFA38C89C}" destId="{7A9CD957-DFB1-4A77-AA9D-E83A2365A10C}" srcOrd="9" destOrd="0" presId="urn:microsoft.com/office/officeart/2005/8/layout/radial6"/>
    <dgm:cxn modelId="{C991B62E-179F-4D3B-A8A5-A96766D717FC}" type="presParOf" srcId="{FF5F01E2-63D2-4B16-B187-D4EEFA38C89C}" destId="{34E9D568-5C15-4B80-93F9-CBA5A6580FD3}" srcOrd="10" destOrd="0" presId="urn:microsoft.com/office/officeart/2005/8/layout/radial6"/>
    <dgm:cxn modelId="{50E87FA8-9783-4868-BD3C-AC5DBC66EE67}" type="presParOf" srcId="{FF5F01E2-63D2-4B16-B187-D4EEFA38C89C}" destId="{5E936B8E-47DC-4B52-AAE6-D7654B74C8CA}" srcOrd="11" destOrd="0" presId="urn:microsoft.com/office/officeart/2005/8/layout/radial6"/>
    <dgm:cxn modelId="{CFC55445-33B6-413D-A000-7AE57699B265}" type="presParOf" srcId="{FF5F01E2-63D2-4B16-B187-D4EEFA38C89C}" destId="{4400DE4E-B866-4B77-A74C-DCFCC6372A8D}" srcOrd="12" destOrd="0" presId="urn:microsoft.com/office/officeart/2005/8/layout/radial6"/>
  </dgm:cxnLst>
  <dgm:bg/>
  <dgm:whole/>
  <dgm:extLst>
    <a:ext uri="http://schemas.microsoft.com/office/drawing/2008/diagram">
      <dsp:dataModelExt xmlns:dsp="http://schemas.microsoft.com/office/drawing/2008/diagram" relId="rId4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00DE4E-B866-4B77-A74C-DCFCC6372A8D}">
      <dsp:nvSpPr>
        <dsp:cNvPr id="0" name=""/>
        <dsp:cNvSpPr/>
      </dsp:nvSpPr>
      <dsp:spPr>
        <a:xfrm>
          <a:off x="852438" y="269608"/>
          <a:ext cx="1963435" cy="1963435"/>
        </a:xfrm>
        <a:prstGeom prst="blockArc">
          <a:avLst>
            <a:gd name="adj1" fmla="val 10751010"/>
            <a:gd name="adj2" fmla="val 16200349"/>
            <a:gd name="adj3" fmla="val 464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sp>
    <dsp:sp modelId="{7A9CD957-DFB1-4A77-AA9D-E83A2365A10C}">
      <dsp:nvSpPr>
        <dsp:cNvPr id="0" name=""/>
        <dsp:cNvSpPr/>
      </dsp:nvSpPr>
      <dsp:spPr>
        <a:xfrm>
          <a:off x="852438" y="296779"/>
          <a:ext cx="1963435" cy="1963435"/>
        </a:xfrm>
        <a:prstGeom prst="blockArc">
          <a:avLst>
            <a:gd name="adj1" fmla="val 5399650"/>
            <a:gd name="adj2" fmla="val 10849030"/>
            <a:gd name="adj3" fmla="val 464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sp>
    <dsp:sp modelId="{2EAD2591-84D9-4FAE-8B30-397C912AF4C3}">
      <dsp:nvSpPr>
        <dsp:cNvPr id="0" name=""/>
        <dsp:cNvSpPr/>
      </dsp:nvSpPr>
      <dsp:spPr>
        <a:xfrm>
          <a:off x="852631" y="296779"/>
          <a:ext cx="1963435" cy="1963435"/>
        </a:xfrm>
        <a:prstGeom prst="blockArc">
          <a:avLst>
            <a:gd name="adj1" fmla="val 21550970"/>
            <a:gd name="adj2" fmla="val 5400350"/>
            <a:gd name="adj3" fmla="val 4640"/>
          </a:avLst>
        </a:prstGeom>
        <a:solidFill>
          <a:sysClr val="window" lastClr="FFFFFF">
            <a:lumMod val="75000"/>
          </a:sysClr>
        </a:solidFill>
        <a:ln>
          <a:noFill/>
        </a:ln>
        <a:effectLst/>
      </dsp:spPr>
      <dsp:style>
        <a:lnRef idx="0">
          <a:scrgbClr r="0" g="0" b="0"/>
        </a:lnRef>
        <a:fillRef idx="1">
          <a:scrgbClr r="0" g="0" b="0"/>
        </a:fillRef>
        <a:effectRef idx="0">
          <a:scrgbClr r="0" g="0" b="0"/>
        </a:effectRef>
        <a:fontRef idx="minor">
          <a:schemeClr val="lt1"/>
        </a:fontRef>
      </dsp:style>
    </dsp:sp>
    <dsp:sp modelId="{E3CFE944-A37B-441F-95BA-DC6E9AAB7B61}">
      <dsp:nvSpPr>
        <dsp:cNvPr id="0" name=""/>
        <dsp:cNvSpPr/>
      </dsp:nvSpPr>
      <dsp:spPr>
        <a:xfrm>
          <a:off x="852631" y="269608"/>
          <a:ext cx="1963435" cy="1963435"/>
        </a:xfrm>
        <a:prstGeom prst="blockArc">
          <a:avLst>
            <a:gd name="adj1" fmla="val 16199651"/>
            <a:gd name="adj2" fmla="val 48990"/>
            <a:gd name="adj3" fmla="val 4640"/>
          </a:avLst>
        </a:prstGeom>
        <a:solidFill>
          <a:sysClr val="window" lastClr="FFFFFF">
            <a:lumMod val="75000"/>
          </a:sysClr>
        </a:solidFill>
        <a:ln>
          <a:solidFill>
            <a:sysClr val="window" lastClr="FFFFFF">
              <a:hueOff val="0"/>
              <a:satOff val="0"/>
              <a:lumOff val="0"/>
            </a:sysClr>
          </a:solidFill>
        </a:ln>
        <a:effectLst/>
      </dsp:spPr>
      <dsp:style>
        <a:lnRef idx="0">
          <a:scrgbClr r="0" g="0" b="0"/>
        </a:lnRef>
        <a:fillRef idx="1">
          <a:scrgbClr r="0" g="0" b="0"/>
        </a:fillRef>
        <a:effectRef idx="0">
          <a:scrgbClr r="0" g="0" b="0"/>
        </a:effectRef>
        <a:fontRef idx="minor">
          <a:schemeClr val="lt1"/>
        </a:fontRef>
      </dsp:style>
    </dsp:sp>
    <dsp:sp modelId="{9FCE6788-C001-43F9-AB8C-2133BA5F0C47}">
      <dsp:nvSpPr>
        <dsp:cNvPr id="0" name=""/>
        <dsp:cNvSpPr/>
      </dsp:nvSpPr>
      <dsp:spPr>
        <a:xfrm>
          <a:off x="1377665" y="836546"/>
          <a:ext cx="913174" cy="856730"/>
        </a:xfrm>
        <a:prstGeom prst="ellipse">
          <a:avLst/>
        </a:prstGeom>
        <a:solidFill>
          <a:srgbClr val="F8993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buNone/>
          </a:pPr>
          <a:r>
            <a:rPr lang="en-GB" sz="850" b="1" kern="1200">
              <a:solidFill>
                <a:sysClr val="windowText" lastClr="000000"/>
              </a:solidFill>
              <a:latin typeface="Calibri" panose="020F0502020204030204"/>
              <a:ea typeface="+mn-ea"/>
              <a:cs typeface="+mn-cs"/>
            </a:rPr>
            <a:t>Policy commitment and leadership</a:t>
          </a:r>
        </a:p>
      </dsp:txBody>
      <dsp:txXfrm>
        <a:off x="1511396" y="962011"/>
        <a:ext cx="645712" cy="605800"/>
      </dsp:txXfrm>
    </dsp:sp>
    <dsp:sp modelId="{7842FFAA-C598-494F-B40C-0A5888CDED43}">
      <dsp:nvSpPr>
        <dsp:cNvPr id="0" name=""/>
        <dsp:cNvSpPr/>
      </dsp:nvSpPr>
      <dsp:spPr>
        <a:xfrm>
          <a:off x="1391296" y="0"/>
          <a:ext cx="885911" cy="584777"/>
        </a:xfrm>
        <a:prstGeom prst="ellipse">
          <a:avLst/>
        </a:prstGeom>
        <a:solidFill>
          <a:srgbClr val="00A4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buNone/>
          </a:pPr>
          <a:r>
            <a:rPr lang="en-GB" sz="850" b="1" kern="1200">
              <a:solidFill>
                <a:sysClr val="windowText" lastClr="000000"/>
              </a:solidFill>
              <a:latin typeface="Calibri" panose="020F0502020204030204"/>
              <a:ea typeface="+mn-ea"/>
              <a:cs typeface="+mn-cs"/>
            </a:rPr>
            <a:t>Strategic clarity</a:t>
          </a:r>
        </a:p>
      </dsp:txBody>
      <dsp:txXfrm>
        <a:off x="1521035" y="85639"/>
        <a:ext cx="626433" cy="413499"/>
      </dsp:txXfrm>
    </dsp:sp>
    <dsp:sp modelId="{B0922640-555D-4C3F-9922-FD3038A9EFF0}">
      <dsp:nvSpPr>
        <dsp:cNvPr id="0" name=""/>
        <dsp:cNvSpPr/>
      </dsp:nvSpPr>
      <dsp:spPr>
        <a:xfrm>
          <a:off x="2318927" y="958693"/>
          <a:ext cx="948525" cy="612436"/>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buNone/>
          </a:pPr>
          <a:r>
            <a:rPr lang="en-GB" sz="850" b="1" kern="1200">
              <a:solidFill>
                <a:sysClr val="windowText" lastClr="000000"/>
              </a:solidFill>
              <a:latin typeface="Calibri" panose="020F0502020204030204"/>
              <a:ea typeface="+mn-ea"/>
              <a:cs typeface="+mn-cs"/>
            </a:rPr>
            <a:t>Design, approval and staff capacity</a:t>
          </a:r>
        </a:p>
      </dsp:txBody>
      <dsp:txXfrm>
        <a:off x="2457835" y="1048382"/>
        <a:ext cx="670709" cy="433058"/>
      </dsp:txXfrm>
    </dsp:sp>
    <dsp:sp modelId="{EDC1F2D2-2BD9-4E85-BDEB-F1BB642F1558}">
      <dsp:nvSpPr>
        <dsp:cNvPr id="0" name=""/>
        <dsp:cNvSpPr/>
      </dsp:nvSpPr>
      <dsp:spPr>
        <a:xfrm>
          <a:off x="1377964" y="1923439"/>
          <a:ext cx="912577" cy="627990"/>
        </a:xfrm>
        <a:prstGeom prst="ellipse">
          <a:avLst/>
        </a:prstGeom>
        <a:solidFill>
          <a:srgbClr val="B46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buNone/>
          </a:pPr>
          <a:r>
            <a:rPr lang="en-GB" sz="850" b="1" kern="1200">
              <a:solidFill>
                <a:srgbClr val="434343"/>
              </a:solidFill>
              <a:latin typeface="Calibri" panose="020F0502020204030204"/>
              <a:ea typeface="+mn-ea"/>
              <a:cs typeface="+mn-cs"/>
            </a:rPr>
            <a:t>M&amp;E and reporting</a:t>
          </a:r>
        </a:p>
      </dsp:txBody>
      <dsp:txXfrm>
        <a:off x="1511608" y="2015406"/>
        <a:ext cx="645289" cy="444056"/>
      </dsp:txXfrm>
    </dsp:sp>
    <dsp:sp modelId="{34E9D568-5C15-4B80-93F9-CBA5A6580FD3}">
      <dsp:nvSpPr>
        <dsp:cNvPr id="0" name=""/>
        <dsp:cNvSpPr/>
      </dsp:nvSpPr>
      <dsp:spPr>
        <a:xfrm>
          <a:off x="465076" y="916601"/>
          <a:ext cx="820475" cy="696621"/>
        </a:xfrm>
        <a:prstGeom prst="ellipse">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buNone/>
          </a:pPr>
          <a:r>
            <a:rPr lang="en-GB" sz="850" b="1" kern="1200">
              <a:solidFill>
                <a:sysClr val="windowText" lastClr="000000"/>
              </a:solidFill>
              <a:latin typeface="Calibri" panose="020F0502020204030204"/>
              <a:ea typeface="+mn-ea"/>
              <a:cs typeface="+mn-cs"/>
            </a:rPr>
            <a:t>Financing</a:t>
          </a:r>
        </a:p>
      </dsp:txBody>
      <dsp:txXfrm>
        <a:off x="585232" y="1018619"/>
        <a:ext cx="580163" cy="4925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F79DD-58A2-45CB-BAB4-E536A652FC52}"/>
</file>

<file path=customXml/itemProps2.xml><?xml version="1.0" encoding="utf-8"?>
<ds:datastoreItem xmlns:ds="http://schemas.openxmlformats.org/officeDocument/2006/customXml" ds:itemID="{3A2B72FE-C077-4AED-9C99-8ADF1B92F687}"/>
</file>

<file path=customXml/itemProps3.xml><?xml version="1.0" encoding="utf-8"?>
<ds:datastoreItem xmlns:ds="http://schemas.openxmlformats.org/officeDocument/2006/customXml" ds:itemID="{1CEC0FB2-1606-43D1-8CF3-1FA1A2255873}"/>
</file>

<file path=customXml/itemProps4.xml><?xml version="1.0" encoding="utf-8"?>
<ds:datastoreItem xmlns:ds="http://schemas.openxmlformats.org/officeDocument/2006/customXml" ds:itemID="{AF1891F8-597F-4FDA-9BC8-E94CBB00D4F1}"/>
</file>

<file path=docProps/app.xml><?xml version="1.0" encoding="utf-8"?>
<Properties xmlns="http://schemas.openxmlformats.org/officeDocument/2006/extended-properties" xmlns:vt="http://schemas.openxmlformats.org/officeDocument/2006/docPropsVTypes">
  <Template>t0P8KHG8.DOTX</Template>
  <TotalTime>183</TotalTime>
  <Pages>87</Pages>
  <Words>29808</Words>
  <Characters>169908</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Evaluation of climate change assistance</vt:lpstr>
    </vt:vector>
  </TitlesOfParts>
  <Company>Hewlett-Packard Company</Company>
  <LinksUpToDate>false</LinksUpToDate>
  <CharactersWithSpaces>199318</CharactersWithSpaces>
  <SharedDoc>false</SharedDoc>
  <HLinks>
    <vt:vector size="300" baseType="variant">
      <vt:variant>
        <vt:i4>1572925</vt:i4>
      </vt:variant>
      <vt:variant>
        <vt:i4>257</vt:i4>
      </vt:variant>
      <vt:variant>
        <vt:i4>0</vt:i4>
      </vt:variant>
      <vt:variant>
        <vt:i4>5</vt:i4>
      </vt:variant>
      <vt:variant>
        <vt:lpwstr/>
      </vt:variant>
      <vt:variant>
        <vt:lpwstr>_Toc496273876</vt:lpwstr>
      </vt:variant>
      <vt:variant>
        <vt:i4>1572925</vt:i4>
      </vt:variant>
      <vt:variant>
        <vt:i4>251</vt:i4>
      </vt:variant>
      <vt:variant>
        <vt:i4>0</vt:i4>
      </vt:variant>
      <vt:variant>
        <vt:i4>5</vt:i4>
      </vt:variant>
      <vt:variant>
        <vt:lpwstr/>
      </vt:variant>
      <vt:variant>
        <vt:lpwstr>_Toc496273875</vt:lpwstr>
      </vt:variant>
      <vt:variant>
        <vt:i4>1572925</vt:i4>
      </vt:variant>
      <vt:variant>
        <vt:i4>245</vt:i4>
      </vt:variant>
      <vt:variant>
        <vt:i4>0</vt:i4>
      </vt:variant>
      <vt:variant>
        <vt:i4>5</vt:i4>
      </vt:variant>
      <vt:variant>
        <vt:lpwstr/>
      </vt:variant>
      <vt:variant>
        <vt:lpwstr>_Toc496273874</vt:lpwstr>
      </vt:variant>
      <vt:variant>
        <vt:i4>1572925</vt:i4>
      </vt:variant>
      <vt:variant>
        <vt:i4>239</vt:i4>
      </vt:variant>
      <vt:variant>
        <vt:i4>0</vt:i4>
      </vt:variant>
      <vt:variant>
        <vt:i4>5</vt:i4>
      </vt:variant>
      <vt:variant>
        <vt:lpwstr/>
      </vt:variant>
      <vt:variant>
        <vt:lpwstr>_Toc496273873</vt:lpwstr>
      </vt:variant>
      <vt:variant>
        <vt:i4>1572925</vt:i4>
      </vt:variant>
      <vt:variant>
        <vt:i4>233</vt:i4>
      </vt:variant>
      <vt:variant>
        <vt:i4>0</vt:i4>
      </vt:variant>
      <vt:variant>
        <vt:i4>5</vt:i4>
      </vt:variant>
      <vt:variant>
        <vt:lpwstr/>
      </vt:variant>
      <vt:variant>
        <vt:lpwstr>_Toc496273872</vt:lpwstr>
      </vt:variant>
      <vt:variant>
        <vt:i4>1572925</vt:i4>
      </vt:variant>
      <vt:variant>
        <vt:i4>227</vt:i4>
      </vt:variant>
      <vt:variant>
        <vt:i4>0</vt:i4>
      </vt:variant>
      <vt:variant>
        <vt:i4>5</vt:i4>
      </vt:variant>
      <vt:variant>
        <vt:lpwstr/>
      </vt:variant>
      <vt:variant>
        <vt:lpwstr>_Toc496273871</vt:lpwstr>
      </vt:variant>
      <vt:variant>
        <vt:i4>1572925</vt:i4>
      </vt:variant>
      <vt:variant>
        <vt:i4>221</vt:i4>
      </vt:variant>
      <vt:variant>
        <vt:i4>0</vt:i4>
      </vt:variant>
      <vt:variant>
        <vt:i4>5</vt:i4>
      </vt:variant>
      <vt:variant>
        <vt:lpwstr/>
      </vt:variant>
      <vt:variant>
        <vt:lpwstr>_Toc496273870</vt:lpwstr>
      </vt:variant>
      <vt:variant>
        <vt:i4>1638461</vt:i4>
      </vt:variant>
      <vt:variant>
        <vt:i4>215</vt:i4>
      </vt:variant>
      <vt:variant>
        <vt:i4>0</vt:i4>
      </vt:variant>
      <vt:variant>
        <vt:i4>5</vt:i4>
      </vt:variant>
      <vt:variant>
        <vt:lpwstr/>
      </vt:variant>
      <vt:variant>
        <vt:lpwstr>_Toc496273869</vt:lpwstr>
      </vt:variant>
      <vt:variant>
        <vt:i4>1638461</vt:i4>
      </vt:variant>
      <vt:variant>
        <vt:i4>209</vt:i4>
      </vt:variant>
      <vt:variant>
        <vt:i4>0</vt:i4>
      </vt:variant>
      <vt:variant>
        <vt:i4>5</vt:i4>
      </vt:variant>
      <vt:variant>
        <vt:lpwstr/>
      </vt:variant>
      <vt:variant>
        <vt:lpwstr>_Toc496273868</vt:lpwstr>
      </vt:variant>
      <vt:variant>
        <vt:i4>1638461</vt:i4>
      </vt:variant>
      <vt:variant>
        <vt:i4>203</vt:i4>
      </vt:variant>
      <vt:variant>
        <vt:i4>0</vt:i4>
      </vt:variant>
      <vt:variant>
        <vt:i4>5</vt:i4>
      </vt:variant>
      <vt:variant>
        <vt:lpwstr/>
      </vt:variant>
      <vt:variant>
        <vt:lpwstr>_Toc496273867</vt:lpwstr>
      </vt:variant>
      <vt:variant>
        <vt:i4>1638461</vt:i4>
      </vt:variant>
      <vt:variant>
        <vt:i4>197</vt:i4>
      </vt:variant>
      <vt:variant>
        <vt:i4>0</vt:i4>
      </vt:variant>
      <vt:variant>
        <vt:i4>5</vt:i4>
      </vt:variant>
      <vt:variant>
        <vt:lpwstr/>
      </vt:variant>
      <vt:variant>
        <vt:lpwstr>_Toc496273866</vt:lpwstr>
      </vt:variant>
      <vt:variant>
        <vt:i4>1638461</vt:i4>
      </vt:variant>
      <vt:variant>
        <vt:i4>191</vt:i4>
      </vt:variant>
      <vt:variant>
        <vt:i4>0</vt:i4>
      </vt:variant>
      <vt:variant>
        <vt:i4>5</vt:i4>
      </vt:variant>
      <vt:variant>
        <vt:lpwstr/>
      </vt:variant>
      <vt:variant>
        <vt:lpwstr>_Toc496273865</vt:lpwstr>
      </vt:variant>
      <vt:variant>
        <vt:i4>1638461</vt:i4>
      </vt:variant>
      <vt:variant>
        <vt:i4>185</vt:i4>
      </vt:variant>
      <vt:variant>
        <vt:i4>0</vt:i4>
      </vt:variant>
      <vt:variant>
        <vt:i4>5</vt:i4>
      </vt:variant>
      <vt:variant>
        <vt:lpwstr/>
      </vt:variant>
      <vt:variant>
        <vt:lpwstr>_Toc496273864</vt:lpwstr>
      </vt:variant>
      <vt:variant>
        <vt:i4>1638461</vt:i4>
      </vt:variant>
      <vt:variant>
        <vt:i4>179</vt:i4>
      </vt:variant>
      <vt:variant>
        <vt:i4>0</vt:i4>
      </vt:variant>
      <vt:variant>
        <vt:i4>5</vt:i4>
      </vt:variant>
      <vt:variant>
        <vt:lpwstr/>
      </vt:variant>
      <vt:variant>
        <vt:lpwstr>_Toc496273863</vt:lpwstr>
      </vt:variant>
      <vt:variant>
        <vt:i4>1638461</vt:i4>
      </vt:variant>
      <vt:variant>
        <vt:i4>173</vt:i4>
      </vt:variant>
      <vt:variant>
        <vt:i4>0</vt:i4>
      </vt:variant>
      <vt:variant>
        <vt:i4>5</vt:i4>
      </vt:variant>
      <vt:variant>
        <vt:lpwstr/>
      </vt:variant>
      <vt:variant>
        <vt:lpwstr>_Toc496273862</vt:lpwstr>
      </vt:variant>
      <vt:variant>
        <vt:i4>1638461</vt:i4>
      </vt:variant>
      <vt:variant>
        <vt:i4>167</vt:i4>
      </vt:variant>
      <vt:variant>
        <vt:i4>0</vt:i4>
      </vt:variant>
      <vt:variant>
        <vt:i4>5</vt:i4>
      </vt:variant>
      <vt:variant>
        <vt:lpwstr/>
      </vt:variant>
      <vt:variant>
        <vt:lpwstr>_Toc496273861</vt:lpwstr>
      </vt:variant>
      <vt:variant>
        <vt:i4>1638461</vt:i4>
      </vt:variant>
      <vt:variant>
        <vt:i4>161</vt:i4>
      </vt:variant>
      <vt:variant>
        <vt:i4>0</vt:i4>
      </vt:variant>
      <vt:variant>
        <vt:i4>5</vt:i4>
      </vt:variant>
      <vt:variant>
        <vt:lpwstr/>
      </vt:variant>
      <vt:variant>
        <vt:lpwstr>_Toc496273860</vt:lpwstr>
      </vt:variant>
      <vt:variant>
        <vt:i4>1703997</vt:i4>
      </vt:variant>
      <vt:variant>
        <vt:i4>155</vt:i4>
      </vt:variant>
      <vt:variant>
        <vt:i4>0</vt:i4>
      </vt:variant>
      <vt:variant>
        <vt:i4>5</vt:i4>
      </vt:variant>
      <vt:variant>
        <vt:lpwstr/>
      </vt:variant>
      <vt:variant>
        <vt:lpwstr>_Toc496273859</vt:lpwstr>
      </vt:variant>
      <vt:variant>
        <vt:i4>1703997</vt:i4>
      </vt:variant>
      <vt:variant>
        <vt:i4>149</vt:i4>
      </vt:variant>
      <vt:variant>
        <vt:i4>0</vt:i4>
      </vt:variant>
      <vt:variant>
        <vt:i4>5</vt:i4>
      </vt:variant>
      <vt:variant>
        <vt:lpwstr/>
      </vt:variant>
      <vt:variant>
        <vt:lpwstr>_Toc496273858</vt:lpwstr>
      </vt:variant>
      <vt:variant>
        <vt:i4>1703997</vt:i4>
      </vt:variant>
      <vt:variant>
        <vt:i4>143</vt:i4>
      </vt:variant>
      <vt:variant>
        <vt:i4>0</vt:i4>
      </vt:variant>
      <vt:variant>
        <vt:i4>5</vt:i4>
      </vt:variant>
      <vt:variant>
        <vt:lpwstr/>
      </vt:variant>
      <vt:variant>
        <vt:lpwstr>_Toc496273857</vt:lpwstr>
      </vt:variant>
      <vt:variant>
        <vt:i4>1703997</vt:i4>
      </vt:variant>
      <vt:variant>
        <vt:i4>137</vt:i4>
      </vt:variant>
      <vt:variant>
        <vt:i4>0</vt:i4>
      </vt:variant>
      <vt:variant>
        <vt:i4>5</vt:i4>
      </vt:variant>
      <vt:variant>
        <vt:lpwstr/>
      </vt:variant>
      <vt:variant>
        <vt:lpwstr>_Toc496273856</vt:lpwstr>
      </vt:variant>
      <vt:variant>
        <vt:i4>1703997</vt:i4>
      </vt:variant>
      <vt:variant>
        <vt:i4>131</vt:i4>
      </vt:variant>
      <vt:variant>
        <vt:i4>0</vt:i4>
      </vt:variant>
      <vt:variant>
        <vt:i4>5</vt:i4>
      </vt:variant>
      <vt:variant>
        <vt:lpwstr/>
      </vt:variant>
      <vt:variant>
        <vt:lpwstr>_Toc496273855</vt:lpwstr>
      </vt:variant>
      <vt:variant>
        <vt:i4>1703997</vt:i4>
      </vt:variant>
      <vt:variant>
        <vt:i4>125</vt:i4>
      </vt:variant>
      <vt:variant>
        <vt:i4>0</vt:i4>
      </vt:variant>
      <vt:variant>
        <vt:i4>5</vt:i4>
      </vt:variant>
      <vt:variant>
        <vt:lpwstr/>
      </vt:variant>
      <vt:variant>
        <vt:lpwstr>_Toc496273854</vt:lpwstr>
      </vt:variant>
      <vt:variant>
        <vt:i4>1703997</vt:i4>
      </vt:variant>
      <vt:variant>
        <vt:i4>119</vt:i4>
      </vt:variant>
      <vt:variant>
        <vt:i4>0</vt:i4>
      </vt:variant>
      <vt:variant>
        <vt:i4>5</vt:i4>
      </vt:variant>
      <vt:variant>
        <vt:lpwstr/>
      </vt:variant>
      <vt:variant>
        <vt:lpwstr>_Toc496273853</vt:lpwstr>
      </vt:variant>
      <vt:variant>
        <vt:i4>1703997</vt:i4>
      </vt:variant>
      <vt:variant>
        <vt:i4>113</vt:i4>
      </vt:variant>
      <vt:variant>
        <vt:i4>0</vt:i4>
      </vt:variant>
      <vt:variant>
        <vt:i4>5</vt:i4>
      </vt:variant>
      <vt:variant>
        <vt:lpwstr/>
      </vt:variant>
      <vt:variant>
        <vt:lpwstr>_Toc496273852</vt:lpwstr>
      </vt:variant>
      <vt:variant>
        <vt:i4>1703997</vt:i4>
      </vt:variant>
      <vt:variant>
        <vt:i4>107</vt:i4>
      </vt:variant>
      <vt:variant>
        <vt:i4>0</vt:i4>
      </vt:variant>
      <vt:variant>
        <vt:i4>5</vt:i4>
      </vt:variant>
      <vt:variant>
        <vt:lpwstr/>
      </vt:variant>
      <vt:variant>
        <vt:lpwstr>_Toc496273851</vt:lpwstr>
      </vt:variant>
      <vt:variant>
        <vt:i4>1703997</vt:i4>
      </vt:variant>
      <vt:variant>
        <vt:i4>101</vt:i4>
      </vt:variant>
      <vt:variant>
        <vt:i4>0</vt:i4>
      </vt:variant>
      <vt:variant>
        <vt:i4>5</vt:i4>
      </vt:variant>
      <vt:variant>
        <vt:lpwstr/>
      </vt:variant>
      <vt:variant>
        <vt:lpwstr>_Toc496273850</vt:lpwstr>
      </vt:variant>
      <vt:variant>
        <vt:i4>1769533</vt:i4>
      </vt:variant>
      <vt:variant>
        <vt:i4>95</vt:i4>
      </vt:variant>
      <vt:variant>
        <vt:i4>0</vt:i4>
      </vt:variant>
      <vt:variant>
        <vt:i4>5</vt:i4>
      </vt:variant>
      <vt:variant>
        <vt:lpwstr/>
      </vt:variant>
      <vt:variant>
        <vt:lpwstr>_Toc496273849</vt:lpwstr>
      </vt:variant>
      <vt:variant>
        <vt:i4>1769533</vt:i4>
      </vt:variant>
      <vt:variant>
        <vt:i4>89</vt:i4>
      </vt:variant>
      <vt:variant>
        <vt:i4>0</vt:i4>
      </vt:variant>
      <vt:variant>
        <vt:i4>5</vt:i4>
      </vt:variant>
      <vt:variant>
        <vt:lpwstr/>
      </vt:variant>
      <vt:variant>
        <vt:lpwstr>_Toc496273848</vt:lpwstr>
      </vt:variant>
      <vt:variant>
        <vt:i4>1769533</vt:i4>
      </vt:variant>
      <vt:variant>
        <vt:i4>83</vt:i4>
      </vt:variant>
      <vt:variant>
        <vt:i4>0</vt:i4>
      </vt:variant>
      <vt:variant>
        <vt:i4>5</vt:i4>
      </vt:variant>
      <vt:variant>
        <vt:lpwstr/>
      </vt:variant>
      <vt:variant>
        <vt:lpwstr>_Toc496273847</vt:lpwstr>
      </vt:variant>
      <vt:variant>
        <vt:i4>1769533</vt:i4>
      </vt:variant>
      <vt:variant>
        <vt:i4>77</vt:i4>
      </vt:variant>
      <vt:variant>
        <vt:i4>0</vt:i4>
      </vt:variant>
      <vt:variant>
        <vt:i4>5</vt:i4>
      </vt:variant>
      <vt:variant>
        <vt:lpwstr/>
      </vt:variant>
      <vt:variant>
        <vt:lpwstr>_Toc496273846</vt:lpwstr>
      </vt:variant>
      <vt:variant>
        <vt:i4>1769533</vt:i4>
      </vt:variant>
      <vt:variant>
        <vt:i4>71</vt:i4>
      </vt:variant>
      <vt:variant>
        <vt:i4>0</vt:i4>
      </vt:variant>
      <vt:variant>
        <vt:i4>5</vt:i4>
      </vt:variant>
      <vt:variant>
        <vt:lpwstr/>
      </vt:variant>
      <vt:variant>
        <vt:lpwstr>_Toc496273845</vt:lpwstr>
      </vt:variant>
      <vt:variant>
        <vt:i4>1769533</vt:i4>
      </vt:variant>
      <vt:variant>
        <vt:i4>65</vt:i4>
      </vt:variant>
      <vt:variant>
        <vt:i4>0</vt:i4>
      </vt:variant>
      <vt:variant>
        <vt:i4>5</vt:i4>
      </vt:variant>
      <vt:variant>
        <vt:lpwstr/>
      </vt:variant>
      <vt:variant>
        <vt:lpwstr>_Toc496273844</vt:lpwstr>
      </vt:variant>
      <vt:variant>
        <vt:i4>1769533</vt:i4>
      </vt:variant>
      <vt:variant>
        <vt:i4>59</vt:i4>
      </vt:variant>
      <vt:variant>
        <vt:i4>0</vt:i4>
      </vt:variant>
      <vt:variant>
        <vt:i4>5</vt:i4>
      </vt:variant>
      <vt:variant>
        <vt:lpwstr/>
      </vt:variant>
      <vt:variant>
        <vt:lpwstr>_Toc496273843</vt:lpwstr>
      </vt:variant>
      <vt:variant>
        <vt:i4>1769533</vt:i4>
      </vt:variant>
      <vt:variant>
        <vt:i4>53</vt:i4>
      </vt:variant>
      <vt:variant>
        <vt:i4>0</vt:i4>
      </vt:variant>
      <vt:variant>
        <vt:i4>5</vt:i4>
      </vt:variant>
      <vt:variant>
        <vt:lpwstr/>
      </vt:variant>
      <vt:variant>
        <vt:lpwstr>_Toc496273842</vt:lpwstr>
      </vt:variant>
      <vt:variant>
        <vt:i4>1769533</vt:i4>
      </vt:variant>
      <vt:variant>
        <vt:i4>47</vt:i4>
      </vt:variant>
      <vt:variant>
        <vt:i4>0</vt:i4>
      </vt:variant>
      <vt:variant>
        <vt:i4>5</vt:i4>
      </vt:variant>
      <vt:variant>
        <vt:lpwstr/>
      </vt:variant>
      <vt:variant>
        <vt:lpwstr>_Toc496273841</vt:lpwstr>
      </vt:variant>
      <vt:variant>
        <vt:i4>1769533</vt:i4>
      </vt:variant>
      <vt:variant>
        <vt:i4>41</vt:i4>
      </vt:variant>
      <vt:variant>
        <vt:i4>0</vt:i4>
      </vt:variant>
      <vt:variant>
        <vt:i4>5</vt:i4>
      </vt:variant>
      <vt:variant>
        <vt:lpwstr/>
      </vt:variant>
      <vt:variant>
        <vt:lpwstr>_Toc496273840</vt:lpwstr>
      </vt:variant>
      <vt:variant>
        <vt:i4>1835069</vt:i4>
      </vt:variant>
      <vt:variant>
        <vt:i4>35</vt:i4>
      </vt:variant>
      <vt:variant>
        <vt:i4>0</vt:i4>
      </vt:variant>
      <vt:variant>
        <vt:i4>5</vt:i4>
      </vt:variant>
      <vt:variant>
        <vt:lpwstr/>
      </vt:variant>
      <vt:variant>
        <vt:lpwstr>_Toc496273839</vt:lpwstr>
      </vt:variant>
      <vt:variant>
        <vt:i4>1835069</vt:i4>
      </vt:variant>
      <vt:variant>
        <vt:i4>29</vt:i4>
      </vt:variant>
      <vt:variant>
        <vt:i4>0</vt:i4>
      </vt:variant>
      <vt:variant>
        <vt:i4>5</vt:i4>
      </vt:variant>
      <vt:variant>
        <vt:lpwstr/>
      </vt:variant>
      <vt:variant>
        <vt:lpwstr>_Toc496273838</vt:lpwstr>
      </vt:variant>
      <vt:variant>
        <vt:i4>1835069</vt:i4>
      </vt:variant>
      <vt:variant>
        <vt:i4>23</vt:i4>
      </vt:variant>
      <vt:variant>
        <vt:i4>0</vt:i4>
      </vt:variant>
      <vt:variant>
        <vt:i4>5</vt:i4>
      </vt:variant>
      <vt:variant>
        <vt:lpwstr/>
      </vt:variant>
      <vt:variant>
        <vt:lpwstr>_Toc496273837</vt:lpwstr>
      </vt:variant>
      <vt:variant>
        <vt:i4>1835069</vt:i4>
      </vt:variant>
      <vt:variant>
        <vt:i4>17</vt:i4>
      </vt:variant>
      <vt:variant>
        <vt:i4>0</vt:i4>
      </vt:variant>
      <vt:variant>
        <vt:i4>5</vt:i4>
      </vt:variant>
      <vt:variant>
        <vt:lpwstr/>
      </vt:variant>
      <vt:variant>
        <vt:lpwstr>_Toc496273836</vt:lpwstr>
      </vt:variant>
      <vt:variant>
        <vt:i4>1835069</vt:i4>
      </vt:variant>
      <vt:variant>
        <vt:i4>11</vt:i4>
      </vt:variant>
      <vt:variant>
        <vt:i4>0</vt:i4>
      </vt:variant>
      <vt:variant>
        <vt:i4>5</vt:i4>
      </vt:variant>
      <vt:variant>
        <vt:lpwstr/>
      </vt:variant>
      <vt:variant>
        <vt:lpwstr>_Toc496273835</vt:lpwstr>
      </vt:variant>
      <vt:variant>
        <vt:i4>1835069</vt:i4>
      </vt:variant>
      <vt:variant>
        <vt:i4>5</vt:i4>
      </vt:variant>
      <vt:variant>
        <vt:i4>0</vt:i4>
      </vt:variant>
      <vt:variant>
        <vt:i4>5</vt:i4>
      </vt:variant>
      <vt:variant>
        <vt:lpwstr/>
      </vt:variant>
      <vt:variant>
        <vt:lpwstr>_Toc496273834</vt:lpwstr>
      </vt:variant>
      <vt:variant>
        <vt:i4>2752572</vt:i4>
      </vt:variant>
      <vt:variant>
        <vt:i4>0</vt:i4>
      </vt:variant>
      <vt:variant>
        <vt:i4>0</vt:i4>
      </vt:variant>
      <vt:variant>
        <vt:i4>5</vt:i4>
      </vt:variant>
      <vt:variant>
        <vt:lpwstr>http://creativecommons.org/licenses/by/3.0/au/</vt:lpwstr>
      </vt:variant>
      <vt:variant>
        <vt:lpwstr/>
      </vt:variant>
      <vt:variant>
        <vt:i4>5570585</vt:i4>
      </vt:variant>
      <vt:variant>
        <vt:i4>15</vt:i4>
      </vt:variant>
      <vt:variant>
        <vt:i4>0</vt:i4>
      </vt:variant>
      <vt:variant>
        <vt:i4>5</vt:i4>
      </vt:variant>
      <vt:variant>
        <vt:lpwstr>http://dfat.gov.au/about-us/publications/Pages/dfat-monitoring-and-evaluation-standards.aspx</vt:lpwstr>
      </vt:variant>
      <vt:variant>
        <vt:lpwstr/>
      </vt:variant>
      <vt:variant>
        <vt:i4>7340090</vt:i4>
      </vt:variant>
      <vt:variant>
        <vt:i4>12</vt:i4>
      </vt:variant>
      <vt:variant>
        <vt:i4>0</vt:i4>
      </vt:variant>
      <vt:variant>
        <vt:i4>5</vt:i4>
      </vt:variant>
      <vt:variant>
        <vt:lpwstr>http://theconversation.com/pacific-pariah-how-australias-love-of-coal-has-left-it-out-in-the-diplomatic-cold-64963</vt:lpwstr>
      </vt:variant>
      <vt:variant>
        <vt:lpwstr/>
      </vt:variant>
      <vt:variant>
        <vt:i4>5832705</vt:i4>
      </vt:variant>
      <vt:variant>
        <vt:i4>9</vt:i4>
      </vt:variant>
      <vt:variant>
        <vt:i4>0</vt:i4>
      </vt:variant>
      <vt:variant>
        <vt:i4>5</vt:i4>
      </vt:variant>
      <vt:variant>
        <vt:lpwstr>https://theconversation.com/coal-comfort-pacific-islands-on-collision-course-with-australia-over-emissions-73662</vt:lpwstr>
      </vt:variant>
      <vt:variant>
        <vt:lpwstr/>
      </vt:variant>
      <vt:variant>
        <vt:i4>3670143</vt:i4>
      </vt:variant>
      <vt:variant>
        <vt:i4>6</vt:i4>
      </vt:variant>
      <vt:variant>
        <vt:i4>0</vt:i4>
      </vt:variant>
      <vt:variant>
        <vt:i4>5</vt:i4>
      </vt:variant>
      <vt:variant>
        <vt:lpwstr>http://www.radionz.co.nz/international/pacific-news/338850/australian-coal-putting-pacific-communities-at-risk-says-ngo</vt:lpwstr>
      </vt:variant>
      <vt:variant>
        <vt:lpwstr/>
      </vt:variant>
      <vt:variant>
        <vt:i4>2097266</vt:i4>
      </vt:variant>
      <vt:variant>
        <vt:i4>3</vt:i4>
      </vt:variant>
      <vt:variant>
        <vt:i4>0</vt:i4>
      </vt:variant>
      <vt:variant>
        <vt:i4>5</vt:i4>
      </vt:variant>
      <vt:variant>
        <vt:lpwstr>http://www.canberratimes.com.au/national/public-service/coal-mine-halt-will-bolster-australias-influence-in-crucial-pacific-region-20170720-gxexbw.html</vt:lpwstr>
      </vt:variant>
      <vt:variant>
        <vt:lpwstr/>
      </vt:variant>
      <vt:variant>
        <vt:i4>8061028</vt:i4>
      </vt:variant>
      <vt:variant>
        <vt:i4>0</vt:i4>
      </vt:variant>
      <vt:variant>
        <vt:i4>0</vt:i4>
      </vt:variant>
      <vt:variant>
        <vt:i4>5</vt:i4>
      </vt:variant>
      <vt:variant>
        <vt:lpwstr>https://www.odi.org/sites/odi.org.uk/files/odi-assets/publications-opinion-files/10302.pdf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climate change assistance</dc:title>
  <dc:creator>McMartin, Tracey</dc:creator>
  <cp:lastModifiedBy>McMartin, Tracey</cp:lastModifiedBy>
  <cp:revision>11</cp:revision>
  <cp:lastPrinted>2018-07-31T05:01:00Z</cp:lastPrinted>
  <dcterms:created xsi:type="dcterms:W3CDTF">2018-07-19T06:41:00Z</dcterms:created>
  <dcterms:modified xsi:type="dcterms:W3CDTF">2018-07-31T05:46:00Z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e70e4c53-f4b7-4603-8dbd-3dc201898a15</vt:lpwstr>
  </property>
  <property fmtid="{D5CDD505-2E9C-101B-9397-08002B2CF9AE}" pid="3" name="hptrimdataset">
    <vt:lpwstr>CH</vt:lpwstr>
  </property>
  <property fmtid="{D5CDD505-2E9C-101B-9397-08002B2CF9AE}" pid="4" name="hptrimfileref">
    <vt:lpwstr>16/22892</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0x0101003B97E0CA36F93F49A064E94984C37C74</vt:lpwstr>
  </property>
  <property fmtid="{D5CDD505-2E9C-101B-9397-08002B2CF9AE}" pid="9" name="Order">
    <vt:r8>79600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