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47ED" w14:textId="77777777" w:rsidR="0024648F" w:rsidRDefault="0024648F" w:rsidP="00731C39">
      <w:pPr>
        <w:pStyle w:val="Heading3"/>
      </w:pPr>
      <w:r>
        <w:rPr>
          <w:noProof/>
        </w:rPr>
        <w:drawing>
          <wp:inline distT="0" distB="0" distL="0" distR="0" wp14:anchorId="2B6F7DCE" wp14:editId="5D8ACEF8">
            <wp:extent cx="3164205" cy="554990"/>
            <wp:effectExtent l="0" t="0" r="0" b="0"/>
            <wp:docPr id="1" name="Picture 1" descr="Department of Foreign Affairs and 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partment of Foreign Affairs and Tr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99B5D" w14:textId="77777777" w:rsidR="0024648F" w:rsidRPr="00731C39" w:rsidRDefault="0024648F" w:rsidP="00731C39">
      <w:pPr>
        <w:rPr>
          <w:rFonts w:cstheme="minorHAnsi"/>
          <w:b/>
          <w:bCs/>
          <w:color w:val="007C89"/>
          <w:sz w:val="44"/>
          <w:szCs w:val="44"/>
        </w:rPr>
      </w:pPr>
      <w:r w:rsidRPr="00731C39">
        <w:rPr>
          <w:rFonts w:cstheme="minorHAnsi"/>
          <w:b/>
          <w:bCs/>
          <w:color w:val="007C89"/>
          <w:sz w:val="44"/>
          <w:szCs w:val="44"/>
        </w:rPr>
        <w:t xml:space="preserve">Checklist </w:t>
      </w:r>
    </w:p>
    <w:p w14:paraId="56EA06B7" w14:textId="5B76BBAE" w:rsidR="0024648F" w:rsidRPr="00731C39" w:rsidRDefault="00AC1BD4" w:rsidP="00731C39">
      <w:pPr>
        <w:pStyle w:val="Heading1"/>
      </w:pPr>
      <w:r w:rsidRPr="00731C39">
        <w:rPr>
          <w:caps w:val="0"/>
        </w:rPr>
        <w:t>ETHICAL RESEARCH AND EVALUATION GUIDANCE NOTE</w:t>
      </w:r>
    </w:p>
    <w:p w14:paraId="793777F2" w14:textId="77777777" w:rsidR="0024648F" w:rsidRDefault="0024648F" w:rsidP="0024648F">
      <w:pPr>
        <w:spacing w:before="0" w:after="240"/>
        <w:rPr>
          <w:i/>
          <w:iCs/>
          <w:lang w:val="en-AU"/>
        </w:rPr>
      </w:pPr>
      <w:r>
        <w:rPr>
          <w:i/>
          <w:iCs/>
          <w:lang w:val="en-AU"/>
        </w:rPr>
        <w:t>June 2021</w:t>
      </w:r>
    </w:p>
    <w:p w14:paraId="07A6D474" w14:textId="60017E24" w:rsidR="0009394E" w:rsidRPr="0024648F" w:rsidRDefault="0009394E" w:rsidP="0024648F">
      <w:pPr>
        <w:spacing w:before="0" w:after="0"/>
        <w:rPr>
          <w:i/>
          <w:iCs/>
          <w:lang w:val="en-AU"/>
        </w:rPr>
      </w:pPr>
      <w:r w:rsidRPr="00E16D2B">
        <w:rPr>
          <w:lang w:val="en-AU"/>
        </w:rPr>
        <w:t>Overview</w:t>
      </w:r>
    </w:p>
    <w:p w14:paraId="26310FCD" w14:textId="5BB8E274" w:rsidR="0009394E" w:rsidRDefault="0009394E" w:rsidP="00731C39">
      <w:pPr>
        <w:spacing w:after="240"/>
        <w:rPr>
          <w:rFonts w:eastAsia="Times New Roman" w:cstheme="minorHAnsi"/>
          <w:color w:val="000000"/>
          <w:lang w:val="en-AU" w:eastAsia="en-AU"/>
        </w:rPr>
      </w:pPr>
      <w:r w:rsidRPr="284B469F">
        <w:rPr>
          <w:rFonts w:eastAsia="Times New Roman"/>
          <w:color w:val="000000" w:themeColor="text1"/>
          <w:lang w:val="en-AU" w:eastAsia="en-AU"/>
        </w:rPr>
        <w:t xml:space="preserve">The checklist below </w:t>
      </w:r>
      <w:r>
        <w:rPr>
          <w:rFonts w:eastAsia="Times New Roman"/>
          <w:color w:val="000000" w:themeColor="text1"/>
          <w:lang w:val="en-AU" w:eastAsia="en-AU"/>
        </w:rPr>
        <w:t xml:space="preserve">aims to </w:t>
      </w:r>
      <w:r w:rsidRPr="284B469F">
        <w:rPr>
          <w:rFonts w:eastAsia="Times New Roman"/>
          <w:color w:val="000000" w:themeColor="text1"/>
          <w:lang w:val="en-AU" w:eastAsia="en-AU"/>
        </w:rPr>
        <w:t xml:space="preserve">assist in confirming that research activities align with the </w:t>
      </w:r>
      <w:r w:rsidRPr="00125BA5">
        <w:rPr>
          <w:rFonts w:eastAsia="Times New Roman"/>
          <w:i/>
          <w:iCs/>
          <w:color w:val="000000" w:themeColor="text1"/>
          <w:lang w:val="en-AU" w:eastAsia="en-AU"/>
        </w:rPr>
        <w:t>Ethical Research and Evaluation Guidance Note</w:t>
      </w:r>
      <w:r>
        <w:rPr>
          <w:rFonts w:eastAsia="Times New Roman"/>
          <w:i/>
          <w:iCs/>
          <w:color w:val="000000" w:themeColor="text1"/>
          <w:lang w:val="en-AU" w:eastAsia="en-AU"/>
        </w:rPr>
        <w:t xml:space="preserve"> </w:t>
      </w:r>
      <w:r>
        <w:rPr>
          <w:rFonts w:eastAsia="Times New Roman"/>
          <w:color w:val="000000" w:themeColor="text1"/>
          <w:lang w:val="en-AU" w:eastAsia="en-AU"/>
        </w:rPr>
        <w:t>and lifecycle of an investment</w:t>
      </w:r>
      <w:r w:rsidRPr="284B469F">
        <w:rPr>
          <w:rFonts w:eastAsia="Times New Roman"/>
          <w:color w:val="000000" w:themeColor="text1"/>
          <w:lang w:val="en-AU" w:eastAsia="en-AU"/>
        </w:rPr>
        <w:t xml:space="preserve">. </w:t>
      </w:r>
      <w:r w:rsidRPr="00E16D2B">
        <w:rPr>
          <w:rFonts w:eastAsia="Times New Roman" w:cstheme="minorHAnsi"/>
          <w:color w:val="000000"/>
          <w:lang w:val="en-AU" w:eastAsia="en-AU"/>
        </w:rPr>
        <w:t xml:space="preserve">Should any question be answered ‘unsure’ or ‘no’, this is an indication that the proposed research does not align with DFAT standards, the </w:t>
      </w:r>
      <w:r w:rsidRPr="00125BA5">
        <w:rPr>
          <w:rFonts w:eastAsia="Times New Roman" w:cstheme="minorHAnsi"/>
          <w:i/>
          <w:iCs/>
          <w:color w:val="000000"/>
          <w:lang w:val="en-AU" w:eastAsia="en-AU"/>
        </w:rPr>
        <w:t>Ethical Research and Evaluation Guidance Note</w:t>
      </w:r>
      <w:r w:rsidRPr="00E16D2B">
        <w:rPr>
          <w:rFonts w:eastAsia="Times New Roman" w:cstheme="minorHAnsi"/>
          <w:color w:val="000000"/>
          <w:lang w:val="en-AU" w:eastAsia="en-AU"/>
        </w:rPr>
        <w:t xml:space="preserve"> needs to be </w:t>
      </w:r>
      <w:r>
        <w:rPr>
          <w:rFonts w:eastAsia="Times New Roman" w:cstheme="minorHAnsi"/>
          <w:color w:val="000000"/>
          <w:lang w:val="en-AU" w:eastAsia="en-AU"/>
        </w:rPr>
        <w:t>referred to</w:t>
      </w:r>
      <w:r w:rsidRPr="00E16D2B">
        <w:rPr>
          <w:rFonts w:eastAsia="Times New Roman" w:cstheme="minorHAnsi"/>
          <w:color w:val="000000"/>
          <w:lang w:val="en-AU" w:eastAsia="en-AU"/>
        </w:rPr>
        <w:t xml:space="preserve">, modifications need to be made to the research proposal and/or further expert advice sought. </w:t>
      </w:r>
    </w:p>
    <w:p w14:paraId="5FED7B00" w14:textId="78D3C59D" w:rsidR="0009394E" w:rsidRPr="00731C39" w:rsidRDefault="0009394E" w:rsidP="00731C39">
      <w:pPr>
        <w:pStyle w:val="Heading2"/>
      </w:pPr>
      <w:r w:rsidRPr="00731C39">
        <w:t>Ethical Practice Checklist</w:t>
      </w:r>
    </w:p>
    <w:p w14:paraId="6F510401" w14:textId="121390D4" w:rsidR="0009394E" w:rsidRPr="00731C39" w:rsidRDefault="0009394E" w:rsidP="0009394E">
      <w:pPr>
        <w:rPr>
          <w:rFonts w:eastAsia="Times New Roman"/>
          <w:bCs/>
          <w:lang w:val="en-AU" w:eastAsia="en-AU"/>
        </w:rPr>
      </w:pPr>
      <w:r w:rsidRPr="00731C39">
        <w:rPr>
          <w:rFonts w:eastAsia="Times New Roman" w:cstheme="minorHAnsi"/>
          <w:bCs/>
          <w:sz w:val="20"/>
          <w:szCs w:val="20"/>
          <w:lang w:val="en-AU" w:eastAsia="en-AU"/>
        </w:rPr>
        <w:t>Consider the below statements. Responses indicate whether the proposed activity aligns with the Ethical Research and Evaluation Guidance.</w:t>
      </w:r>
    </w:p>
    <w:tbl>
      <w:tblPr>
        <w:tblStyle w:val="TableGrid"/>
        <w:tblW w:w="9149" w:type="dxa"/>
        <w:tblLayout w:type="fixed"/>
        <w:tblLook w:val="04A0" w:firstRow="1" w:lastRow="0" w:firstColumn="1" w:lastColumn="0" w:noHBand="0" w:noVBand="1"/>
      </w:tblPr>
      <w:tblGrid>
        <w:gridCol w:w="5119"/>
        <w:gridCol w:w="567"/>
        <w:gridCol w:w="709"/>
        <w:gridCol w:w="573"/>
        <w:gridCol w:w="2181"/>
      </w:tblGrid>
      <w:tr w:rsidR="0009394E" w:rsidRPr="0009394E" w14:paraId="44AF2981" w14:textId="77777777" w:rsidTr="0024648F">
        <w:trPr>
          <w:trHeight w:val="877"/>
          <w:tblHeader/>
        </w:trPr>
        <w:tc>
          <w:tcPr>
            <w:tcW w:w="5119" w:type="dxa"/>
            <w:shd w:val="clear" w:color="auto" w:fill="3DA18F"/>
            <w:hideMark/>
          </w:tcPr>
          <w:p w14:paraId="56DC6C4F" w14:textId="4F3ED95D" w:rsidR="0009394E" w:rsidRPr="0009394E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val="en-AU" w:eastAsia="en-A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AU" w:eastAsia="en-AU"/>
              </w:rPr>
              <w:t>Statement</w:t>
            </w:r>
          </w:p>
        </w:tc>
        <w:tc>
          <w:tcPr>
            <w:tcW w:w="567" w:type="dxa"/>
            <w:shd w:val="clear" w:color="auto" w:fill="3DA18F"/>
            <w:hideMark/>
          </w:tcPr>
          <w:p w14:paraId="6134032A" w14:textId="77777777" w:rsidR="0009394E" w:rsidRPr="0009394E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  <w:t>Yes</w:t>
            </w:r>
          </w:p>
          <w:p w14:paraId="236A54C0" w14:textId="77777777" w:rsidR="0009394E" w:rsidRPr="0009394E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val="en-AU" w:eastAsia="en-AU"/>
              </w:rPr>
            </w:pPr>
            <w:r w:rsidRPr="0009394E">
              <w:rPr>
                <w:rFonts w:ascii="Segoe UI Emoji" w:eastAsia="Times New Roman" w:hAnsi="Segoe UI Emoji" w:cs="Segoe UI Emoji"/>
                <w:b/>
                <w:sz w:val="18"/>
                <w:szCs w:val="18"/>
                <w:lang w:val="en-AU" w:eastAsia="en-AU"/>
              </w:rPr>
              <w:t>✔</w:t>
            </w:r>
          </w:p>
        </w:tc>
        <w:tc>
          <w:tcPr>
            <w:tcW w:w="709" w:type="dxa"/>
            <w:shd w:val="clear" w:color="auto" w:fill="3DA18F"/>
            <w:hideMark/>
          </w:tcPr>
          <w:p w14:paraId="41421235" w14:textId="77777777" w:rsidR="0009394E" w:rsidRPr="0009394E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  <w:t>Un-clear</w:t>
            </w:r>
          </w:p>
          <w:p w14:paraId="1EC14789" w14:textId="77777777" w:rsidR="0009394E" w:rsidRPr="0009394E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573" w:type="dxa"/>
            <w:shd w:val="clear" w:color="auto" w:fill="3DA18F"/>
            <w:hideMark/>
          </w:tcPr>
          <w:p w14:paraId="77E202CC" w14:textId="77777777" w:rsidR="0009394E" w:rsidRPr="0009394E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  <w:t>No</w:t>
            </w:r>
          </w:p>
          <w:p w14:paraId="34923682" w14:textId="77777777" w:rsidR="0009394E" w:rsidRPr="0009394E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val="en-AU" w:eastAsia="en-AU"/>
              </w:rPr>
            </w:pPr>
            <w:r w:rsidRPr="0009394E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AU" w:eastAsia="en-AU"/>
              </w:rPr>
              <w:t>✗</w:t>
            </w:r>
          </w:p>
        </w:tc>
        <w:tc>
          <w:tcPr>
            <w:tcW w:w="2181" w:type="dxa"/>
            <w:shd w:val="clear" w:color="auto" w:fill="3DA18F"/>
          </w:tcPr>
          <w:p w14:paraId="6841F05E" w14:textId="77777777" w:rsidR="0009394E" w:rsidRPr="0009394E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  <w:t>How was this implemented / considered?</w:t>
            </w:r>
          </w:p>
        </w:tc>
      </w:tr>
      <w:tr w:rsidR="0009394E" w:rsidRPr="0009394E" w14:paraId="5FE700EF" w14:textId="77777777" w:rsidTr="00465502">
        <w:trPr>
          <w:trHeight w:val="300"/>
        </w:trPr>
        <w:tc>
          <w:tcPr>
            <w:tcW w:w="5119" w:type="dxa"/>
          </w:tcPr>
          <w:p w14:paraId="7E8A5EF8" w14:textId="77777777" w:rsidR="0009394E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b/>
                <w:sz w:val="20"/>
                <w:szCs w:val="20"/>
                <w:lang w:val="en-AU" w:eastAsia="en-AU"/>
              </w:rPr>
              <w:t xml:space="preserve">DESIGN </w:t>
            </w:r>
          </w:p>
          <w:p w14:paraId="4773A965" w14:textId="214566ED" w:rsidR="0009394E" w:rsidRPr="0009394E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09394E">
              <w:rPr>
                <w:rFonts w:eastAsia="Times New Roman" w:cstheme="minorHAnsi"/>
                <w:sz w:val="20"/>
                <w:szCs w:val="20"/>
                <w:lang w:val="en-AU" w:eastAsia="en-AU"/>
              </w:rPr>
              <w:t>Investment Concept and Design include an assessment of ethical considerations for research and evaluation.</w:t>
            </w:r>
          </w:p>
          <w:p w14:paraId="3B365AF0" w14:textId="77777777" w:rsidR="0009394E" w:rsidRPr="0009394E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09394E">
              <w:rPr>
                <w:rFonts w:eastAsia="Times New Roman" w:cstheme="minorHAnsi"/>
                <w:sz w:val="20"/>
                <w:szCs w:val="20"/>
                <w:lang w:val="en-AU" w:eastAsia="en-AU"/>
              </w:rPr>
              <w:t>The benefit of the research outweighs any potential harm to researchers and participants.  </w:t>
            </w:r>
          </w:p>
          <w:p w14:paraId="2F4B7B76" w14:textId="77777777" w:rsidR="0009394E" w:rsidRPr="0009394E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sz w:val="20"/>
                <w:szCs w:val="20"/>
                <w:lang w:val="en-AU" w:eastAsia="en-AU"/>
              </w:rPr>
              <w:t>The proposed research methodology is appropriate.</w:t>
            </w:r>
          </w:p>
        </w:tc>
        <w:tc>
          <w:tcPr>
            <w:tcW w:w="567" w:type="dxa"/>
          </w:tcPr>
          <w:p w14:paraId="7DCC2246" w14:textId="77777777" w:rsidR="0009394E" w:rsidRPr="0009394E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709" w:type="dxa"/>
          </w:tcPr>
          <w:p w14:paraId="1B4BD16A" w14:textId="77777777" w:rsidR="0009394E" w:rsidRPr="0009394E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573" w:type="dxa"/>
          </w:tcPr>
          <w:p w14:paraId="46AD9E42" w14:textId="77777777" w:rsidR="0009394E" w:rsidRPr="0009394E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81" w:type="dxa"/>
          </w:tcPr>
          <w:p w14:paraId="0D9D2026" w14:textId="77777777" w:rsidR="0009394E" w:rsidRPr="0009394E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</w:tr>
      <w:tr w:rsidR="0009394E" w:rsidRPr="009D4386" w14:paraId="0E8E2046" w14:textId="77777777" w:rsidTr="00465502">
        <w:trPr>
          <w:trHeight w:val="300"/>
        </w:trPr>
        <w:tc>
          <w:tcPr>
            <w:tcW w:w="5119" w:type="dxa"/>
          </w:tcPr>
          <w:p w14:paraId="2C586F34" w14:textId="77777777" w:rsidR="0009394E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b/>
                <w:bCs/>
                <w:sz w:val="20"/>
                <w:szCs w:val="20"/>
                <w:lang w:val="en-AU" w:eastAsia="en-AU"/>
              </w:rPr>
              <w:t xml:space="preserve">PLANNING </w:t>
            </w:r>
          </w:p>
          <w:p w14:paraId="2CF7A6C6" w14:textId="0E173BA9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9D4386">
              <w:rPr>
                <w:rFonts w:eastAsia="Times New Roman" w:cstheme="minorHAnsi"/>
                <w:sz w:val="20"/>
                <w:szCs w:val="20"/>
                <w:lang w:val="en-AU" w:eastAsia="en-AU"/>
              </w:rPr>
              <w:t>Contractors or funded partners have been made aware of the Ethical Research and Evaluation Guidance and have raised any conflicts with their own internal ethical guidance or procedures.</w:t>
            </w:r>
          </w:p>
          <w:p w14:paraId="33C5C695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9D4386">
              <w:rPr>
                <w:rFonts w:eastAsia="Times New Roman" w:cstheme="minorHAnsi"/>
                <w:sz w:val="20"/>
                <w:szCs w:val="20"/>
                <w:lang w:val="en-AU" w:eastAsia="en-AU"/>
              </w:rPr>
              <w:t>Informed voluntary, current and specific consent will be obtained and ensured throughout the research project, using gender, age, culturally and linguistically appropriate methods.</w:t>
            </w:r>
          </w:p>
          <w:p w14:paraId="45601500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9D4386">
              <w:rPr>
                <w:rFonts w:eastAsia="Times New Roman" w:cstheme="minorHAnsi"/>
                <w:sz w:val="20"/>
                <w:szCs w:val="20"/>
                <w:lang w:val="en-AU" w:eastAsia="en-AU"/>
              </w:rPr>
              <w:t>Reporting mechanisms, including a robust monitoring framework are established at planning stage and there has been a scoping of local support mechanisms.</w:t>
            </w:r>
          </w:p>
          <w:p w14:paraId="121276CC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AU" w:eastAsia="en-AU"/>
              </w:rPr>
            </w:pPr>
            <w:r w:rsidRPr="009D4386">
              <w:rPr>
                <w:rFonts w:eastAsia="Times New Roman" w:cstheme="minorHAnsi"/>
                <w:color w:val="000000" w:themeColor="text1"/>
                <w:sz w:val="20"/>
                <w:szCs w:val="20"/>
                <w:lang w:val="en-AU" w:eastAsia="en-AU"/>
              </w:rPr>
              <w:t>Potential risks have been assessed and mitigation measures screened using the Risk and Safeguard Tool.  </w:t>
            </w:r>
          </w:p>
          <w:p w14:paraId="696422C2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9D4386">
              <w:rPr>
                <w:rFonts w:eastAsia="Times New Roman" w:cstheme="minorHAnsi"/>
                <w:sz w:val="20"/>
                <w:szCs w:val="20"/>
                <w:lang w:val="en-AU" w:eastAsia="en-AU"/>
              </w:rPr>
              <w:t>Appropriate assessment of risks has been completed and safeguards and/or protections plans developed. </w:t>
            </w:r>
          </w:p>
          <w:p w14:paraId="41966496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9D4386">
              <w:rPr>
                <w:rFonts w:eastAsia="Times New Roman" w:cstheme="minorHAnsi"/>
                <w:sz w:val="20"/>
                <w:szCs w:val="20"/>
                <w:lang w:val="en-AU" w:eastAsia="en-AU"/>
              </w:rPr>
              <w:lastRenderedPageBreak/>
              <w:t xml:space="preserve">Recruitment strategies ensure that all voices, including hard-to-reach groups, are included in the research wherever possible. </w:t>
            </w:r>
          </w:p>
        </w:tc>
        <w:tc>
          <w:tcPr>
            <w:tcW w:w="567" w:type="dxa"/>
          </w:tcPr>
          <w:p w14:paraId="419DAEDA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709" w:type="dxa"/>
          </w:tcPr>
          <w:p w14:paraId="5949AB4C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573" w:type="dxa"/>
          </w:tcPr>
          <w:p w14:paraId="7A3D7519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81" w:type="dxa"/>
          </w:tcPr>
          <w:p w14:paraId="22C22EE7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</w:tr>
      <w:tr w:rsidR="0009394E" w:rsidRPr="009D4386" w14:paraId="56F30209" w14:textId="77777777" w:rsidTr="00465502">
        <w:trPr>
          <w:trHeight w:val="300"/>
        </w:trPr>
        <w:tc>
          <w:tcPr>
            <w:tcW w:w="5119" w:type="dxa"/>
          </w:tcPr>
          <w:p w14:paraId="5AEADBD2" w14:textId="3132B14D" w:rsidR="0009394E" w:rsidRPr="0009394E" w:rsidRDefault="0009394E" w:rsidP="00465502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b/>
                <w:bCs/>
                <w:sz w:val="20"/>
                <w:szCs w:val="20"/>
                <w:lang w:val="en-AU" w:eastAsia="en-AU"/>
              </w:rPr>
              <w:t xml:space="preserve">IMPLEMENTATION </w:t>
            </w:r>
          </w:p>
          <w:p w14:paraId="008DFA31" w14:textId="7526572A" w:rsidR="0009394E" w:rsidRPr="009D4386" w:rsidRDefault="0009394E" w:rsidP="0046550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9D4386">
              <w:rPr>
                <w:rFonts w:eastAsia="Times New Roman" w:cstheme="minorHAnsi"/>
                <w:sz w:val="20"/>
                <w:szCs w:val="20"/>
                <w:lang w:val="en-AU" w:eastAsia="en-AU"/>
              </w:rPr>
              <w:t>The researchers and partners have the skills and expertise required (including partnering with local organisations, such as Disabled Peoples Organisations or women’s organisations, for local contextual perspectives).</w:t>
            </w:r>
          </w:p>
          <w:p w14:paraId="61C3D5C8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AU" w:eastAsia="en-AU"/>
              </w:rPr>
            </w:pPr>
            <w:r w:rsidRPr="009D4386">
              <w:rPr>
                <w:rFonts w:eastAsia="Times New Roman" w:cstheme="minorHAnsi"/>
                <w:color w:val="000000" w:themeColor="text1"/>
                <w:sz w:val="20"/>
                <w:szCs w:val="20"/>
                <w:lang w:val="en-AU" w:eastAsia="en-AU"/>
              </w:rPr>
              <w:t>Secure data management systems are in place to ensure confidentiality, privacy, and, where required, anonymity of participants.  </w:t>
            </w:r>
          </w:p>
          <w:p w14:paraId="30ED4B66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9D4386">
              <w:rPr>
                <w:rFonts w:eastAsia="Times New Roman" w:cstheme="minorHAnsi"/>
                <w:sz w:val="20"/>
                <w:szCs w:val="20"/>
                <w:lang w:val="en-AU" w:eastAsia="en-AU"/>
              </w:rPr>
              <w:t>Robust and accessible complaints mechanisms are in place, and researchers have access to expert advice on resolving ethical dilemmas.  </w:t>
            </w:r>
          </w:p>
          <w:p w14:paraId="1A726305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9D4386">
              <w:rPr>
                <w:rFonts w:eastAsia="Times New Roman" w:cstheme="minorHAnsi"/>
                <w:sz w:val="20"/>
                <w:szCs w:val="20"/>
                <w:lang w:val="en-AU" w:eastAsia="en-AU"/>
              </w:rPr>
              <w:t xml:space="preserve">Researchers are confident in responding to unexpected ethical dilemmas that may arise, are familiar with the </w:t>
            </w:r>
            <w:r w:rsidRPr="009D4386">
              <w:rPr>
                <w:rFonts w:eastAsia="Times New Roman" w:cstheme="minorHAnsi"/>
                <w:i/>
                <w:iCs/>
                <w:sz w:val="20"/>
                <w:szCs w:val="20"/>
                <w:lang w:val="en-AU" w:eastAsia="en-AU"/>
              </w:rPr>
              <w:t xml:space="preserve">Ethical Research and Evaluation Guidance Note, Three-Step Tool </w:t>
            </w:r>
            <w:r w:rsidRPr="009D4386">
              <w:rPr>
                <w:rFonts w:eastAsia="Times New Roman" w:cstheme="minorHAnsi"/>
                <w:sz w:val="20"/>
                <w:szCs w:val="20"/>
                <w:lang w:val="en-AU" w:eastAsia="en-AU"/>
              </w:rPr>
              <w:t xml:space="preserve">and other DFAT safeguard policies. </w:t>
            </w:r>
          </w:p>
          <w:p w14:paraId="314D7DED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9D4386">
              <w:rPr>
                <w:rFonts w:eastAsia="Times New Roman" w:cstheme="minorHAnsi"/>
                <w:sz w:val="20"/>
                <w:szCs w:val="20"/>
                <w:lang w:val="en-AU" w:eastAsia="en-AU"/>
              </w:rPr>
              <w:t xml:space="preserve">Monitoring activities are active, aligned with a robust monitoring framework, and mechanisms for project review and adjustment are evident. </w:t>
            </w:r>
          </w:p>
          <w:p w14:paraId="04E4AF0A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9D4386">
              <w:rPr>
                <w:rFonts w:eastAsia="Times New Roman" w:cstheme="minorHAnsi"/>
                <w:sz w:val="20"/>
                <w:szCs w:val="20"/>
                <w:lang w:val="en-AU" w:eastAsia="en-AU"/>
              </w:rPr>
              <w:t>Mid-term reviews of activities with a significant research component include an assessment of ethical practice in alignment with the Guidance.</w:t>
            </w:r>
          </w:p>
        </w:tc>
        <w:tc>
          <w:tcPr>
            <w:tcW w:w="567" w:type="dxa"/>
          </w:tcPr>
          <w:p w14:paraId="541BC01D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709" w:type="dxa"/>
          </w:tcPr>
          <w:p w14:paraId="47A5FC31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573" w:type="dxa"/>
          </w:tcPr>
          <w:p w14:paraId="45C8AD9B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81" w:type="dxa"/>
          </w:tcPr>
          <w:p w14:paraId="3EB8E9ED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</w:tr>
      <w:tr w:rsidR="0009394E" w:rsidRPr="009D4386" w14:paraId="60FB4C1F" w14:textId="77777777" w:rsidTr="00465502">
        <w:trPr>
          <w:trHeight w:val="300"/>
        </w:trPr>
        <w:tc>
          <w:tcPr>
            <w:tcW w:w="5119" w:type="dxa"/>
          </w:tcPr>
          <w:p w14:paraId="0579FE5B" w14:textId="77777777" w:rsidR="0009394E" w:rsidRPr="0009394E" w:rsidRDefault="0009394E" w:rsidP="00465502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b/>
                <w:bCs/>
                <w:sz w:val="20"/>
                <w:szCs w:val="20"/>
                <w:lang w:val="en-AU" w:eastAsia="en-AU"/>
              </w:rPr>
              <w:t>ANALYSIS</w:t>
            </w:r>
          </w:p>
          <w:p w14:paraId="5D0B6004" w14:textId="355E80A5" w:rsidR="0009394E" w:rsidRPr="0009394E" w:rsidRDefault="0009394E" w:rsidP="00465502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sz w:val="20"/>
                <w:szCs w:val="20"/>
                <w:lang w:val="en-AU" w:eastAsia="en-AU"/>
              </w:rPr>
              <w:t>Analysis employs rigorous research methodologies that account for any unavoidable recruitment bias.</w:t>
            </w:r>
          </w:p>
          <w:p w14:paraId="186F57CA" w14:textId="77777777" w:rsidR="0009394E" w:rsidRPr="009D4386" w:rsidRDefault="0009394E" w:rsidP="00465502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sz w:val="20"/>
                <w:szCs w:val="20"/>
                <w:lang w:val="en-AU" w:eastAsia="en-AU"/>
              </w:rPr>
              <w:t>In participatory research, the analysis is conducted collaboratively with partners to ensure knowledge is co-produced.</w:t>
            </w:r>
          </w:p>
        </w:tc>
        <w:tc>
          <w:tcPr>
            <w:tcW w:w="567" w:type="dxa"/>
          </w:tcPr>
          <w:p w14:paraId="0287AE2A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709" w:type="dxa"/>
          </w:tcPr>
          <w:p w14:paraId="2A312334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573" w:type="dxa"/>
          </w:tcPr>
          <w:p w14:paraId="3A20403C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81" w:type="dxa"/>
          </w:tcPr>
          <w:p w14:paraId="024D0D13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</w:tr>
      <w:tr w:rsidR="0009394E" w:rsidRPr="009D4386" w14:paraId="24513DB4" w14:textId="77777777" w:rsidTr="00465502">
        <w:trPr>
          <w:trHeight w:val="300"/>
        </w:trPr>
        <w:tc>
          <w:tcPr>
            <w:tcW w:w="5119" w:type="dxa"/>
          </w:tcPr>
          <w:p w14:paraId="3EFE709C" w14:textId="77777777" w:rsidR="0009394E" w:rsidRPr="0009394E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b/>
                <w:bCs/>
                <w:sz w:val="20"/>
                <w:szCs w:val="20"/>
                <w:lang w:val="en-AU" w:eastAsia="en-AU"/>
              </w:rPr>
              <w:t xml:space="preserve">DISSEMINATION </w:t>
            </w:r>
          </w:p>
          <w:p w14:paraId="489DB497" w14:textId="739F3D45" w:rsidR="0009394E" w:rsidRPr="0009394E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09394E">
              <w:rPr>
                <w:rFonts w:eastAsia="Times New Roman" w:cstheme="minorHAnsi"/>
                <w:sz w:val="20"/>
                <w:szCs w:val="20"/>
                <w:lang w:val="en-AU" w:eastAsia="en-AU"/>
              </w:rPr>
              <w:t xml:space="preserve">The presentation and dissemination of the research respects the rights and requests of participants. </w:t>
            </w:r>
          </w:p>
          <w:p w14:paraId="6525E18A" w14:textId="77777777" w:rsidR="0009394E" w:rsidRPr="0009394E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sz w:val="20"/>
                <w:szCs w:val="20"/>
                <w:lang w:val="en-AU" w:eastAsia="en-AU"/>
              </w:rPr>
              <w:t xml:space="preserve">The research outcomes are disseminated in accessible formats and meaningfully comply with the Web Content Accessibility Guidelines 2.0 including formats appropriate for people with varied ages, </w:t>
            </w:r>
            <w:proofErr w:type="gramStart"/>
            <w:r w:rsidRPr="0009394E">
              <w:rPr>
                <w:rFonts w:eastAsia="Times New Roman" w:cstheme="minorHAnsi"/>
                <w:sz w:val="20"/>
                <w:szCs w:val="20"/>
                <w:lang w:val="en-AU" w:eastAsia="en-AU"/>
              </w:rPr>
              <w:t>abilities</w:t>
            </w:r>
            <w:proofErr w:type="gramEnd"/>
            <w:r w:rsidRPr="0009394E">
              <w:rPr>
                <w:rFonts w:eastAsia="Times New Roman" w:cstheme="minorHAnsi"/>
                <w:sz w:val="20"/>
                <w:szCs w:val="20"/>
                <w:lang w:val="en-AU" w:eastAsia="en-AU"/>
              </w:rPr>
              <w:t xml:space="preserve"> and literacy, when appropriate.</w:t>
            </w:r>
          </w:p>
          <w:p w14:paraId="794A5F6B" w14:textId="77777777" w:rsidR="0009394E" w:rsidRPr="0009394E" w:rsidRDefault="0009394E" w:rsidP="00465502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val="en-AU" w:eastAsia="en-AU"/>
              </w:rPr>
            </w:pPr>
            <w:r w:rsidRPr="0009394E">
              <w:rPr>
                <w:rFonts w:eastAsia="Times New Roman" w:cstheme="minorHAnsi"/>
                <w:sz w:val="20"/>
                <w:szCs w:val="20"/>
                <w:lang w:val="en-AU" w:eastAsia="en-AU"/>
              </w:rPr>
              <w:t>Appropriate feedback loop mechanisms are established to ensure research partners and participants benefit from the research at an individual and/or community level.  </w:t>
            </w:r>
          </w:p>
        </w:tc>
        <w:tc>
          <w:tcPr>
            <w:tcW w:w="567" w:type="dxa"/>
          </w:tcPr>
          <w:p w14:paraId="353B887A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709" w:type="dxa"/>
          </w:tcPr>
          <w:p w14:paraId="47EF8CDB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573" w:type="dxa"/>
          </w:tcPr>
          <w:p w14:paraId="4BFB93E9" w14:textId="77777777" w:rsidR="0009394E" w:rsidRPr="009D4386" w:rsidRDefault="0009394E" w:rsidP="00465502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81" w:type="dxa"/>
          </w:tcPr>
          <w:p w14:paraId="0D663022" w14:textId="77777777" w:rsidR="0009394E" w:rsidRPr="009D4386" w:rsidRDefault="0009394E" w:rsidP="00465502">
            <w:pPr>
              <w:spacing w:line="240" w:lineRule="auto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AU" w:eastAsia="en-AU"/>
              </w:rPr>
            </w:pPr>
          </w:p>
        </w:tc>
      </w:tr>
    </w:tbl>
    <w:p w14:paraId="29037A11" w14:textId="77777777" w:rsidR="00872DA3" w:rsidRDefault="00DC315A"/>
    <w:sectPr w:rsidR="00872DA3" w:rsidSect="0009394E">
      <w:headerReference w:type="default" r:id="rId7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6359F" w14:textId="77777777" w:rsidR="0009394E" w:rsidRDefault="0009394E" w:rsidP="0009394E">
      <w:pPr>
        <w:spacing w:before="0" w:after="0" w:line="240" w:lineRule="auto"/>
      </w:pPr>
      <w:r>
        <w:separator/>
      </w:r>
    </w:p>
  </w:endnote>
  <w:endnote w:type="continuationSeparator" w:id="0">
    <w:p w14:paraId="2F95BFE4" w14:textId="77777777" w:rsidR="0009394E" w:rsidRDefault="0009394E" w:rsidP="000939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427A3" w14:textId="77777777" w:rsidR="0009394E" w:rsidRDefault="0009394E" w:rsidP="0009394E">
      <w:pPr>
        <w:spacing w:before="0" w:after="0" w:line="240" w:lineRule="auto"/>
      </w:pPr>
      <w:r>
        <w:separator/>
      </w:r>
    </w:p>
  </w:footnote>
  <w:footnote w:type="continuationSeparator" w:id="0">
    <w:p w14:paraId="4EFB611E" w14:textId="77777777" w:rsidR="0009394E" w:rsidRDefault="0009394E" w:rsidP="000939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7C1B3" w14:textId="2C809A7E" w:rsidR="0009394E" w:rsidRDefault="0009394E">
    <w:pPr>
      <w:pStyle w:val="Header"/>
    </w:pPr>
    <w:r>
      <w:rPr>
        <w:noProof/>
        <w:lang w:val="en-AU" w:eastAsia="en-AU"/>
      </w:rPr>
      <w:drawing>
        <wp:inline distT="0" distB="0" distL="0" distR="0" wp14:anchorId="5CB38ED1" wp14:editId="65D7EDA0">
          <wp:extent cx="5731510" cy="834420"/>
          <wp:effectExtent l="0" t="0" r="2540" b="3810"/>
          <wp:docPr id="88" name="Picture 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3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4E"/>
    <w:rsid w:val="0009394E"/>
    <w:rsid w:val="0024648F"/>
    <w:rsid w:val="00417F48"/>
    <w:rsid w:val="00626699"/>
    <w:rsid w:val="00731C39"/>
    <w:rsid w:val="00AC1BD4"/>
    <w:rsid w:val="00D2280C"/>
    <w:rsid w:val="00DC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6E3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94E"/>
    <w:pPr>
      <w:suppressAutoHyphens/>
      <w:spacing w:before="120" w:after="60" w:line="26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C39"/>
    <w:pPr>
      <w:keepNext/>
      <w:keepLines/>
      <w:numPr>
        <w:ilvl w:val="1"/>
      </w:numPr>
      <w:spacing w:before="0" w:after="0" w:line="380" w:lineRule="exact"/>
      <w:contextualSpacing/>
      <w:outlineLvl w:val="0"/>
    </w:pPr>
    <w:rPr>
      <w:rFonts w:eastAsiaTheme="majorEastAsia" w:cstheme="majorBidi"/>
      <w:bCs/>
      <w:iCs/>
      <w:caps/>
      <w:color w:val="65C5B4"/>
      <w:spacing w:val="-10"/>
      <w:kern w:val="28"/>
      <w:sz w:val="38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C39"/>
    <w:pPr>
      <w:outlineLvl w:val="1"/>
    </w:pPr>
    <w:rPr>
      <w:rFonts w:eastAsia="Times New Roman" w:cstheme="minorHAnsi"/>
      <w:b/>
      <w:sz w:val="28"/>
      <w:szCs w:val="28"/>
      <w:lang w:val="en-AU" w:eastAsia="en-AU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9394E"/>
    <w:pPr>
      <w:spacing w:before="480" w:after="120" w:line="360" w:lineRule="atLeast"/>
      <w:contextualSpacing/>
      <w:outlineLvl w:val="2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394E"/>
    <w:rPr>
      <w:rFonts w:asciiTheme="majorHAnsi" w:eastAsiaTheme="majorEastAsia" w:hAnsiTheme="majorHAnsi" w:cstheme="majorBidi"/>
      <w:bCs/>
      <w:sz w:val="30"/>
      <w:szCs w:val="26"/>
      <w:lang w:val="en-GB"/>
    </w:rPr>
  </w:style>
  <w:style w:type="table" w:styleId="TableGrid">
    <w:name w:val="Table Grid"/>
    <w:basedOn w:val="TableNormal"/>
    <w:uiPriority w:val="59"/>
    <w:rsid w:val="0009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31C39"/>
    <w:rPr>
      <w:rFonts w:eastAsia="Times New Roman" w:cstheme="minorHAnsi"/>
      <w:b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9394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94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394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94E"/>
    <w:rPr>
      <w:lang w:val="en-GB"/>
    </w:rPr>
  </w:style>
  <w:style w:type="paragraph" w:styleId="Title">
    <w:name w:val="Title"/>
    <w:basedOn w:val="Heading1"/>
    <w:next w:val="Normal"/>
    <w:link w:val="TitleChar"/>
    <w:uiPriority w:val="10"/>
    <w:qFormat/>
    <w:rsid w:val="0024648F"/>
    <w:rPr>
      <w:b/>
      <w:bCs w:val="0"/>
      <w:caps w:val="0"/>
      <w:color w:val="auto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648F"/>
    <w:rPr>
      <w:rFonts w:asciiTheme="majorHAnsi" w:eastAsiaTheme="majorEastAsia" w:hAnsiTheme="majorHAnsi" w:cstheme="majorBidi"/>
      <w:b/>
      <w:bCs/>
      <w:caps/>
      <w:spacing w:val="-10"/>
      <w:kern w:val="28"/>
      <w:sz w:val="38"/>
      <w:szCs w:val="52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24648F"/>
    <w:pPr>
      <w:spacing w:before="60" w:after="300"/>
    </w:pPr>
    <w:rPr>
      <w:b w:val="0"/>
      <w:iCs w:val="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648F"/>
    <w:rPr>
      <w:rFonts w:eastAsiaTheme="majorEastAsia" w:cstheme="majorBidi"/>
      <w:bCs/>
      <w:iCs/>
      <w:caps/>
      <w:spacing w:val="-10"/>
      <w:kern w:val="28"/>
      <w:sz w:val="38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31C39"/>
    <w:rPr>
      <w:rFonts w:eastAsiaTheme="majorEastAsia" w:cstheme="majorBidi"/>
      <w:bCs/>
      <w:iCs/>
      <w:caps/>
      <w:color w:val="65C5B4"/>
      <w:spacing w:val="-10"/>
      <w:kern w:val="28"/>
      <w:sz w:val="3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3127</Characters>
  <Application>Microsoft Office Word</Application>
  <DocSecurity>0</DocSecurity>
  <Lines>107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Research And Evaluation Guidance Note</dc:title>
  <dc:subject/>
  <dc:creator/>
  <cp:keywords> [SEC=OFFICIAL]</cp:keywords>
  <dc:description/>
  <cp:lastModifiedBy/>
  <cp:revision>1</cp:revision>
  <dcterms:created xsi:type="dcterms:W3CDTF">2021-07-07T07:26:00Z</dcterms:created>
  <dcterms:modified xsi:type="dcterms:W3CDTF">2021-08-10T22:43:00Z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0D98D342F68E4FA3927CD0FCDDACA9BE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D9F6E5C82DFAF7AB6E3D596D48DD43C72EDFDAB4</vt:lpwstr>
  </property>
  <property fmtid="{D5CDD505-2E9C-101B-9397-08002B2CF9AE}" pid="11" name="PM_OriginationTimeStamp">
    <vt:lpwstr>2021-08-10T22:43:44Z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B1CEFF0F76B4C352BBC018B69C2B106F</vt:lpwstr>
  </property>
  <property fmtid="{D5CDD505-2E9C-101B-9397-08002B2CF9AE}" pid="20" name="PM_Hash_Salt">
    <vt:lpwstr>1691C3324145A7E3761760F56D4FF839</vt:lpwstr>
  </property>
  <property fmtid="{D5CDD505-2E9C-101B-9397-08002B2CF9AE}" pid="21" name="PM_Hash_SHA1">
    <vt:lpwstr>F2DDDAD57B6A658EF0E493524A8EFDB19DBCC537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