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C0D4C" w14:textId="35F40FC4" w:rsidR="00E17BFF" w:rsidRPr="00E176A8" w:rsidRDefault="00E17BFF" w:rsidP="00E176A8">
      <w:pPr>
        <w:pStyle w:val="Title"/>
      </w:pPr>
      <w:r w:rsidRPr="00E176A8">
        <w:t>DFAT Management Response</w:t>
      </w:r>
    </w:p>
    <w:p w14:paraId="35415560" w14:textId="35FCDC52" w:rsidR="00B15690" w:rsidRPr="00E176A8" w:rsidRDefault="0056649F" w:rsidP="00E176A8">
      <w:pPr>
        <w:pStyle w:val="Heading1"/>
      </w:pPr>
      <w:r w:rsidRPr="00E176A8">
        <w:t>Mid</w:t>
      </w:r>
      <w:r w:rsidR="008818A9" w:rsidRPr="00E176A8">
        <w:t>-</w:t>
      </w:r>
      <w:r w:rsidRPr="00E176A8">
        <w:t>Term</w:t>
      </w:r>
      <w:r w:rsidR="00E17BFF" w:rsidRPr="00E176A8">
        <w:t xml:space="preserve"> Review of </w:t>
      </w:r>
      <w:r w:rsidRPr="00E176A8">
        <w:t xml:space="preserve">Australia’s Support to </w:t>
      </w:r>
    </w:p>
    <w:p w14:paraId="4A86EB35" w14:textId="2C33A58A" w:rsidR="00624B8A" w:rsidRPr="00E176A8" w:rsidRDefault="00B15690" w:rsidP="00E176A8">
      <w:pPr>
        <w:pStyle w:val="Heading1"/>
      </w:pPr>
      <w:r w:rsidRPr="00E176A8">
        <w:t>T</w:t>
      </w:r>
      <w:r w:rsidR="0056649F" w:rsidRPr="00E176A8">
        <w:t>he Economic Research Institute for ASEAN and East Asia</w:t>
      </w:r>
      <w:r w:rsidR="00AB6AB8" w:rsidRPr="00E176A8">
        <w:t xml:space="preserve"> (</w:t>
      </w:r>
      <w:r w:rsidR="0056649F" w:rsidRPr="00E176A8">
        <w:t>ERIA</w:t>
      </w:r>
      <w:r w:rsidR="00AB6AB8" w:rsidRPr="00E176A8">
        <w:t>)</w:t>
      </w:r>
      <w:r w:rsidR="00E17BFF" w:rsidRPr="00E176A8">
        <w:t xml:space="preserve"> </w:t>
      </w:r>
    </w:p>
    <w:p w14:paraId="546266D7" w14:textId="77777777" w:rsidR="00A76014" w:rsidRPr="00B563D0" w:rsidRDefault="00A76014" w:rsidP="00A76014">
      <w:pPr>
        <w:spacing w:after="0" w:line="240" w:lineRule="auto"/>
        <w:jc w:val="center"/>
        <w:rPr>
          <w:rFonts w:cstheme="minorHAnsi"/>
          <w:b/>
          <w:sz w:val="24"/>
          <w:szCs w:val="24"/>
        </w:rPr>
      </w:pPr>
    </w:p>
    <w:p w14:paraId="34FA3ED9" w14:textId="77777777" w:rsidR="00513DE9" w:rsidRPr="00B563D0" w:rsidRDefault="00513DE9" w:rsidP="001F50FE">
      <w:pPr>
        <w:pStyle w:val="Bodycopy"/>
        <w:spacing w:after="0" w:line="240" w:lineRule="auto"/>
        <w:jc w:val="both"/>
        <w:rPr>
          <w:rFonts w:asciiTheme="minorHAnsi" w:hAnsiTheme="minorHAnsi" w:cstheme="minorHAnsi"/>
          <w:color w:val="auto"/>
          <w:sz w:val="24"/>
          <w:szCs w:val="24"/>
        </w:rPr>
      </w:pPr>
    </w:p>
    <w:p w14:paraId="7F49E890" w14:textId="0E051D4B" w:rsidR="00CF2D51" w:rsidRPr="00B563D0" w:rsidRDefault="001E2727" w:rsidP="00C13044">
      <w:pPr>
        <w:pStyle w:val="Bodycopy"/>
        <w:spacing w:after="0" w:line="240" w:lineRule="auto"/>
        <w:jc w:val="both"/>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DFAT </w:t>
      </w:r>
      <w:r w:rsidR="00E4310A" w:rsidRPr="00B563D0">
        <w:rPr>
          <w:rFonts w:asciiTheme="minorHAnsi" w:hAnsiTheme="minorHAnsi" w:cstheme="minorHAnsi"/>
          <w:color w:val="auto"/>
          <w:sz w:val="24"/>
          <w:szCs w:val="24"/>
        </w:rPr>
        <w:t xml:space="preserve">commissioned </w:t>
      </w:r>
      <w:r w:rsidR="00A54C9E" w:rsidRPr="00B563D0">
        <w:rPr>
          <w:rFonts w:asciiTheme="minorHAnsi" w:hAnsiTheme="minorHAnsi" w:cstheme="minorHAnsi"/>
          <w:color w:val="auto"/>
          <w:sz w:val="24"/>
          <w:szCs w:val="24"/>
        </w:rPr>
        <w:t>a</w:t>
      </w:r>
      <w:r w:rsidR="0056649F" w:rsidRPr="00B563D0">
        <w:rPr>
          <w:rFonts w:asciiTheme="minorHAnsi" w:hAnsiTheme="minorHAnsi" w:cstheme="minorHAnsi"/>
          <w:color w:val="auto"/>
          <w:sz w:val="24"/>
          <w:szCs w:val="24"/>
        </w:rPr>
        <w:t xml:space="preserve"> Mid</w:t>
      </w:r>
      <w:r w:rsidR="008818A9" w:rsidRPr="00B563D0">
        <w:rPr>
          <w:rFonts w:asciiTheme="minorHAnsi" w:hAnsiTheme="minorHAnsi" w:cstheme="minorHAnsi"/>
          <w:color w:val="auto"/>
          <w:sz w:val="24"/>
          <w:szCs w:val="24"/>
        </w:rPr>
        <w:t>-</w:t>
      </w:r>
      <w:r w:rsidR="0056649F" w:rsidRPr="00B563D0">
        <w:rPr>
          <w:rFonts w:asciiTheme="minorHAnsi" w:hAnsiTheme="minorHAnsi" w:cstheme="minorHAnsi"/>
          <w:color w:val="auto"/>
          <w:sz w:val="24"/>
          <w:szCs w:val="24"/>
        </w:rPr>
        <w:t xml:space="preserve">Term </w:t>
      </w:r>
      <w:r w:rsidR="00A54C9E" w:rsidRPr="00B563D0">
        <w:rPr>
          <w:rFonts w:asciiTheme="minorHAnsi" w:hAnsiTheme="minorHAnsi" w:cstheme="minorHAnsi"/>
          <w:color w:val="auto"/>
          <w:sz w:val="24"/>
          <w:szCs w:val="24"/>
        </w:rPr>
        <w:t>Review</w:t>
      </w:r>
      <w:r w:rsidR="00B14D49" w:rsidRPr="00B563D0">
        <w:rPr>
          <w:rFonts w:asciiTheme="minorHAnsi" w:hAnsiTheme="minorHAnsi" w:cstheme="minorHAnsi"/>
          <w:color w:val="auto"/>
          <w:sz w:val="24"/>
          <w:szCs w:val="24"/>
          <w:lang w:val="id-ID"/>
        </w:rPr>
        <w:t xml:space="preserve"> (MTR)</w:t>
      </w:r>
      <w:r w:rsidR="00A54C9E" w:rsidRPr="00B563D0">
        <w:rPr>
          <w:rFonts w:asciiTheme="minorHAnsi" w:hAnsiTheme="minorHAnsi" w:cstheme="minorHAnsi"/>
          <w:color w:val="auto"/>
          <w:sz w:val="24"/>
          <w:szCs w:val="24"/>
        </w:rPr>
        <w:t xml:space="preserve"> of </w:t>
      </w:r>
      <w:r w:rsidR="0056649F" w:rsidRPr="00B563D0">
        <w:rPr>
          <w:rFonts w:asciiTheme="minorHAnsi" w:hAnsiTheme="minorHAnsi" w:cstheme="minorHAnsi"/>
          <w:color w:val="auto"/>
          <w:sz w:val="24"/>
          <w:szCs w:val="24"/>
        </w:rPr>
        <w:t>Australia’s Support to the</w:t>
      </w:r>
      <w:r w:rsidR="0056649F" w:rsidRPr="00B563D0">
        <w:rPr>
          <w:rFonts w:asciiTheme="minorHAnsi" w:hAnsiTheme="minorHAnsi" w:cstheme="minorHAnsi"/>
          <w:b/>
          <w:color w:val="auto"/>
          <w:sz w:val="24"/>
          <w:szCs w:val="24"/>
        </w:rPr>
        <w:t xml:space="preserve"> </w:t>
      </w:r>
      <w:r w:rsidR="0056649F" w:rsidRPr="00B563D0">
        <w:rPr>
          <w:rFonts w:asciiTheme="minorHAnsi" w:hAnsiTheme="minorHAnsi" w:cstheme="minorHAnsi"/>
          <w:color w:val="auto"/>
          <w:sz w:val="24"/>
          <w:szCs w:val="24"/>
        </w:rPr>
        <w:t>Economic Research Institute for ASEAN and East Asia</w:t>
      </w:r>
      <w:r w:rsidR="0056649F" w:rsidRPr="00B563D0">
        <w:rPr>
          <w:rFonts w:asciiTheme="minorHAnsi" w:hAnsiTheme="minorHAnsi" w:cstheme="minorHAnsi"/>
          <w:b/>
          <w:color w:val="auto"/>
          <w:sz w:val="24"/>
          <w:szCs w:val="24"/>
        </w:rPr>
        <w:t xml:space="preserve"> </w:t>
      </w:r>
      <w:r w:rsidR="0056649F" w:rsidRPr="00B563D0">
        <w:rPr>
          <w:rFonts w:asciiTheme="minorHAnsi" w:hAnsiTheme="minorHAnsi" w:cstheme="minorHAnsi"/>
          <w:color w:val="auto"/>
          <w:sz w:val="24"/>
          <w:szCs w:val="24"/>
        </w:rPr>
        <w:t>(ERIA)</w:t>
      </w:r>
      <w:r w:rsidR="00AB6AB8" w:rsidRPr="00B563D0">
        <w:rPr>
          <w:rFonts w:asciiTheme="minorHAnsi" w:hAnsiTheme="minorHAnsi" w:cstheme="minorHAnsi"/>
          <w:color w:val="auto"/>
          <w:sz w:val="24"/>
          <w:szCs w:val="24"/>
        </w:rPr>
        <w:t xml:space="preserve"> </w:t>
      </w:r>
      <w:r w:rsidR="00513DE9" w:rsidRPr="00B563D0">
        <w:rPr>
          <w:rFonts w:asciiTheme="minorHAnsi" w:hAnsiTheme="minorHAnsi" w:cstheme="minorHAnsi"/>
          <w:color w:val="auto"/>
          <w:sz w:val="24"/>
          <w:szCs w:val="24"/>
        </w:rPr>
        <w:t xml:space="preserve">from </w:t>
      </w:r>
      <w:r w:rsidR="0056649F" w:rsidRPr="00B563D0">
        <w:rPr>
          <w:rFonts w:asciiTheme="minorHAnsi" w:hAnsiTheme="minorHAnsi" w:cstheme="minorHAnsi"/>
          <w:color w:val="auto"/>
          <w:sz w:val="24"/>
          <w:szCs w:val="24"/>
        </w:rPr>
        <w:t>July</w:t>
      </w:r>
      <w:r w:rsidR="00AB6AB8" w:rsidRPr="00B563D0">
        <w:rPr>
          <w:rFonts w:asciiTheme="minorHAnsi" w:hAnsiTheme="minorHAnsi" w:cstheme="minorHAnsi"/>
          <w:color w:val="auto"/>
          <w:sz w:val="24"/>
          <w:szCs w:val="24"/>
        </w:rPr>
        <w:t xml:space="preserve"> to December</w:t>
      </w:r>
      <w:r w:rsidR="0056649F" w:rsidRPr="00B563D0">
        <w:rPr>
          <w:rFonts w:asciiTheme="minorHAnsi" w:hAnsiTheme="minorHAnsi" w:cstheme="minorHAnsi"/>
          <w:color w:val="auto"/>
          <w:sz w:val="24"/>
          <w:szCs w:val="24"/>
        </w:rPr>
        <w:t xml:space="preserve"> 2020</w:t>
      </w:r>
      <w:r w:rsidR="002E4AE8" w:rsidRPr="00B563D0">
        <w:rPr>
          <w:rFonts w:asciiTheme="minorHAnsi" w:hAnsiTheme="minorHAnsi" w:cstheme="minorHAnsi"/>
          <w:color w:val="auto"/>
          <w:sz w:val="24"/>
          <w:szCs w:val="24"/>
        </w:rPr>
        <w:t xml:space="preserve">. </w:t>
      </w:r>
      <w:r w:rsidR="00D82150" w:rsidRPr="00B563D0">
        <w:rPr>
          <w:rFonts w:asciiTheme="minorHAnsi" w:hAnsiTheme="minorHAnsi" w:cstheme="minorHAnsi"/>
          <w:color w:val="auto"/>
          <w:sz w:val="24"/>
          <w:szCs w:val="24"/>
          <w:lang w:val="id-ID"/>
        </w:rPr>
        <w:t xml:space="preserve">Due to the ongoing COVID-19 </w:t>
      </w:r>
      <w:r w:rsidR="004D16EB" w:rsidRPr="00B563D0">
        <w:rPr>
          <w:rFonts w:asciiTheme="minorHAnsi" w:hAnsiTheme="minorHAnsi" w:cstheme="minorHAnsi"/>
          <w:color w:val="auto"/>
          <w:sz w:val="24"/>
          <w:szCs w:val="24"/>
          <w:lang w:val="en-AU"/>
        </w:rPr>
        <w:t>pandemic</w:t>
      </w:r>
      <w:r w:rsidR="00C114E6" w:rsidRPr="00B563D0">
        <w:rPr>
          <w:rFonts w:asciiTheme="minorHAnsi" w:hAnsiTheme="minorHAnsi" w:cstheme="minorHAnsi"/>
          <w:color w:val="auto"/>
          <w:sz w:val="24"/>
          <w:szCs w:val="24"/>
          <w:lang w:val="en-AU"/>
        </w:rPr>
        <w:t>,</w:t>
      </w:r>
      <w:r w:rsidR="00D82150" w:rsidRPr="00B563D0">
        <w:rPr>
          <w:rFonts w:asciiTheme="minorHAnsi" w:hAnsiTheme="minorHAnsi" w:cstheme="minorHAnsi"/>
          <w:color w:val="auto"/>
          <w:sz w:val="24"/>
          <w:szCs w:val="24"/>
          <w:lang w:val="id-ID"/>
        </w:rPr>
        <w:t xml:space="preserve"> t</w:t>
      </w:r>
      <w:r w:rsidR="006D0510" w:rsidRPr="00B563D0">
        <w:rPr>
          <w:rFonts w:asciiTheme="minorHAnsi" w:hAnsiTheme="minorHAnsi" w:cstheme="minorHAnsi"/>
          <w:color w:val="auto"/>
          <w:sz w:val="24"/>
          <w:szCs w:val="24"/>
        </w:rPr>
        <w:t>he</w:t>
      </w:r>
      <w:r w:rsidR="00AB6AB8" w:rsidRPr="00B563D0">
        <w:rPr>
          <w:rFonts w:asciiTheme="minorHAnsi" w:hAnsiTheme="minorHAnsi" w:cstheme="minorHAnsi"/>
          <w:color w:val="auto"/>
          <w:sz w:val="24"/>
          <w:szCs w:val="24"/>
        </w:rPr>
        <w:t xml:space="preserve"> </w:t>
      </w:r>
      <w:r w:rsidR="0056649F" w:rsidRPr="00B563D0">
        <w:rPr>
          <w:rFonts w:asciiTheme="minorHAnsi" w:hAnsiTheme="minorHAnsi" w:cstheme="minorHAnsi"/>
          <w:color w:val="auto"/>
          <w:sz w:val="24"/>
          <w:szCs w:val="24"/>
        </w:rPr>
        <w:t xml:space="preserve">review was conducted remotely by </w:t>
      </w:r>
      <w:r w:rsidR="003C3569" w:rsidRPr="00B563D0">
        <w:rPr>
          <w:rFonts w:asciiTheme="minorHAnsi" w:hAnsiTheme="minorHAnsi" w:cstheme="minorHAnsi"/>
          <w:color w:val="auto"/>
          <w:sz w:val="24"/>
          <w:szCs w:val="24"/>
        </w:rPr>
        <w:t xml:space="preserve">Clear Horizon, </w:t>
      </w:r>
      <w:r w:rsidR="0056649F" w:rsidRPr="00B563D0">
        <w:rPr>
          <w:rFonts w:asciiTheme="minorHAnsi" w:hAnsiTheme="minorHAnsi" w:cstheme="minorHAnsi"/>
          <w:color w:val="auto"/>
          <w:sz w:val="24"/>
          <w:szCs w:val="24"/>
        </w:rPr>
        <w:t>with online consultations</w:t>
      </w:r>
      <w:r w:rsidR="004B04F6" w:rsidRPr="00B563D0">
        <w:rPr>
          <w:rFonts w:asciiTheme="minorHAnsi" w:hAnsiTheme="minorHAnsi" w:cstheme="minorHAnsi"/>
          <w:color w:val="auto"/>
          <w:sz w:val="24"/>
          <w:szCs w:val="24"/>
        </w:rPr>
        <w:t xml:space="preserve"> and observations</w:t>
      </w:r>
      <w:r w:rsidR="0056649F" w:rsidRPr="00B563D0">
        <w:rPr>
          <w:rFonts w:asciiTheme="minorHAnsi" w:hAnsiTheme="minorHAnsi" w:cstheme="minorHAnsi"/>
          <w:color w:val="auto"/>
          <w:sz w:val="24"/>
          <w:szCs w:val="24"/>
        </w:rPr>
        <w:t xml:space="preserve">. The </w:t>
      </w:r>
      <w:r w:rsidR="00990474" w:rsidRPr="00B563D0">
        <w:rPr>
          <w:rFonts w:asciiTheme="minorHAnsi" w:hAnsiTheme="minorHAnsi" w:cstheme="minorHAnsi"/>
          <w:color w:val="auto"/>
          <w:sz w:val="24"/>
          <w:szCs w:val="24"/>
        </w:rPr>
        <w:t>overall purpose of the review was</w:t>
      </w:r>
      <w:r w:rsidR="0056649F" w:rsidRPr="00B563D0">
        <w:rPr>
          <w:rFonts w:asciiTheme="minorHAnsi" w:hAnsiTheme="minorHAnsi" w:cstheme="minorHAnsi"/>
          <w:color w:val="auto"/>
          <w:sz w:val="24"/>
          <w:szCs w:val="24"/>
        </w:rPr>
        <w:t xml:space="preserve"> to inform program improvement, assess effectiveness</w:t>
      </w:r>
      <w:r w:rsidR="0056649F" w:rsidRPr="00B563D0">
        <w:rPr>
          <w:rFonts w:asciiTheme="minorHAnsi" w:hAnsiTheme="minorHAnsi" w:cstheme="minorHAnsi"/>
          <w:color w:val="auto"/>
          <w:sz w:val="24"/>
          <w:szCs w:val="24"/>
          <w:lang w:val="id-ID"/>
        </w:rPr>
        <w:t xml:space="preserve"> and </w:t>
      </w:r>
      <w:r w:rsidR="0056649F" w:rsidRPr="00B563D0">
        <w:rPr>
          <w:rFonts w:asciiTheme="minorHAnsi" w:hAnsiTheme="minorHAnsi" w:cstheme="minorHAnsi"/>
          <w:color w:val="auto"/>
          <w:sz w:val="24"/>
          <w:szCs w:val="24"/>
        </w:rPr>
        <w:t xml:space="preserve">efficiency of the program, </w:t>
      </w:r>
      <w:r w:rsidR="0056649F" w:rsidRPr="00B563D0">
        <w:rPr>
          <w:rFonts w:asciiTheme="minorHAnsi" w:hAnsiTheme="minorHAnsi" w:cstheme="minorHAnsi"/>
          <w:color w:val="auto"/>
          <w:sz w:val="24"/>
          <w:szCs w:val="24"/>
          <w:lang w:val="id-ID"/>
        </w:rPr>
        <w:t>including</w:t>
      </w:r>
      <w:r w:rsidR="0056649F" w:rsidRPr="00B563D0">
        <w:rPr>
          <w:rFonts w:asciiTheme="minorHAnsi" w:hAnsiTheme="minorHAnsi" w:cstheme="minorHAnsi"/>
          <w:color w:val="auto"/>
          <w:sz w:val="24"/>
          <w:szCs w:val="24"/>
        </w:rPr>
        <w:t xml:space="preserve"> whether it has successfully pivoted </w:t>
      </w:r>
      <w:r w:rsidR="00146259" w:rsidRPr="00B563D0">
        <w:rPr>
          <w:rFonts w:asciiTheme="minorHAnsi" w:hAnsiTheme="minorHAnsi" w:cstheme="minorHAnsi"/>
          <w:color w:val="auto"/>
          <w:sz w:val="24"/>
          <w:szCs w:val="24"/>
        </w:rPr>
        <w:t>to address the impacts of COVID-</w:t>
      </w:r>
      <w:r w:rsidR="0056649F" w:rsidRPr="00B563D0">
        <w:rPr>
          <w:rFonts w:asciiTheme="minorHAnsi" w:hAnsiTheme="minorHAnsi" w:cstheme="minorHAnsi"/>
          <w:color w:val="auto"/>
          <w:sz w:val="24"/>
          <w:szCs w:val="24"/>
        </w:rPr>
        <w:t>19, and decisions about future funding of the program.</w:t>
      </w:r>
    </w:p>
    <w:p w14:paraId="75418542" w14:textId="42F06384" w:rsidR="00267F6A" w:rsidRPr="00B563D0" w:rsidRDefault="00267F6A" w:rsidP="00C13044">
      <w:pPr>
        <w:pStyle w:val="Bodycopy"/>
        <w:spacing w:after="0" w:line="240" w:lineRule="auto"/>
        <w:jc w:val="both"/>
        <w:rPr>
          <w:rFonts w:asciiTheme="minorHAnsi" w:hAnsiTheme="minorHAnsi" w:cstheme="minorHAnsi"/>
          <w:color w:val="auto"/>
          <w:sz w:val="24"/>
          <w:szCs w:val="24"/>
        </w:rPr>
      </w:pPr>
    </w:p>
    <w:p w14:paraId="6628AFF8" w14:textId="097834C7" w:rsidR="00C13044" w:rsidRPr="00B563D0" w:rsidRDefault="00C13044" w:rsidP="00C13044">
      <w:pPr>
        <w:spacing w:after="0" w:line="240" w:lineRule="auto"/>
        <w:rPr>
          <w:iCs/>
          <w:sz w:val="24"/>
          <w:szCs w:val="24"/>
        </w:rPr>
      </w:pPr>
      <w:r w:rsidRPr="00B563D0">
        <w:rPr>
          <w:iCs/>
          <w:sz w:val="24"/>
          <w:szCs w:val="24"/>
        </w:rPr>
        <w:t xml:space="preserve">The review was conducted before the 1 February </w:t>
      </w:r>
      <w:r w:rsidR="00F71FF3" w:rsidRPr="00B563D0">
        <w:rPr>
          <w:iCs/>
          <w:sz w:val="24"/>
          <w:szCs w:val="24"/>
        </w:rPr>
        <w:t xml:space="preserve">2021 </w:t>
      </w:r>
      <w:r w:rsidRPr="00B563D0">
        <w:rPr>
          <w:iCs/>
          <w:sz w:val="24"/>
          <w:szCs w:val="24"/>
        </w:rPr>
        <w:t>military coup in Myanmar, as were all the activities it considered. In response to the coup, the Australian Government is redirecting elements of its development assistance in Myanmar, and this may affect how some of the recommendations of the review are taken forward.</w:t>
      </w:r>
    </w:p>
    <w:p w14:paraId="3611D92B" w14:textId="77777777" w:rsidR="00C13044" w:rsidRPr="00B563D0" w:rsidRDefault="00C13044" w:rsidP="00C13044">
      <w:pPr>
        <w:pStyle w:val="Bodycopy"/>
        <w:spacing w:after="0" w:line="240" w:lineRule="auto"/>
        <w:jc w:val="both"/>
        <w:rPr>
          <w:rFonts w:asciiTheme="minorHAnsi" w:hAnsiTheme="minorHAnsi" w:cstheme="minorHAnsi"/>
          <w:color w:val="auto"/>
          <w:sz w:val="24"/>
          <w:szCs w:val="24"/>
        </w:rPr>
      </w:pPr>
    </w:p>
    <w:p w14:paraId="334D9663" w14:textId="338FFE0C" w:rsidR="00CF2D51" w:rsidRPr="00B563D0" w:rsidRDefault="00FC22E4" w:rsidP="00C13044">
      <w:pPr>
        <w:pStyle w:val="Bodycopy"/>
        <w:spacing w:after="0" w:line="240" w:lineRule="auto"/>
        <w:jc w:val="both"/>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The </w:t>
      </w:r>
      <w:r w:rsidR="001F50FE" w:rsidRPr="00B563D0">
        <w:rPr>
          <w:rFonts w:asciiTheme="minorHAnsi" w:hAnsiTheme="minorHAnsi" w:cstheme="minorHAnsi"/>
          <w:color w:val="auto"/>
          <w:sz w:val="24"/>
          <w:szCs w:val="24"/>
        </w:rPr>
        <w:t>review</w:t>
      </w:r>
      <w:r w:rsidR="00AB6AB8" w:rsidRPr="00B563D0">
        <w:rPr>
          <w:rFonts w:asciiTheme="minorHAnsi" w:hAnsiTheme="minorHAnsi" w:cstheme="minorHAnsi"/>
          <w:color w:val="auto"/>
          <w:sz w:val="24"/>
          <w:szCs w:val="24"/>
        </w:rPr>
        <w:t xml:space="preserve"> </w:t>
      </w:r>
      <w:r w:rsidR="0074427E" w:rsidRPr="00B563D0">
        <w:rPr>
          <w:rFonts w:asciiTheme="minorHAnsi" w:hAnsiTheme="minorHAnsi" w:cstheme="minorHAnsi"/>
          <w:color w:val="auto"/>
          <w:sz w:val="24"/>
          <w:szCs w:val="24"/>
        </w:rPr>
        <w:t>identified</w:t>
      </w:r>
      <w:r w:rsidR="005A33CA" w:rsidRPr="00B563D0">
        <w:rPr>
          <w:rFonts w:asciiTheme="minorHAnsi" w:hAnsiTheme="minorHAnsi"/>
          <w:color w:val="auto"/>
          <w:sz w:val="24"/>
          <w:szCs w:val="24"/>
          <w:lang w:val="id-ID"/>
        </w:rPr>
        <w:t xml:space="preserve"> </w:t>
      </w:r>
      <w:r w:rsidR="004B04F6" w:rsidRPr="00B563D0">
        <w:rPr>
          <w:rFonts w:asciiTheme="minorHAnsi" w:hAnsiTheme="minorHAnsi" w:cstheme="minorHAnsi"/>
          <w:color w:val="auto"/>
          <w:sz w:val="24"/>
          <w:szCs w:val="24"/>
        </w:rPr>
        <w:t xml:space="preserve">mechanisms to influence </w:t>
      </w:r>
      <w:r w:rsidR="0074427E" w:rsidRPr="00B563D0">
        <w:rPr>
          <w:rFonts w:asciiTheme="minorHAnsi" w:hAnsiTheme="minorHAnsi" w:cstheme="minorHAnsi"/>
          <w:color w:val="auto"/>
          <w:sz w:val="24"/>
          <w:szCs w:val="24"/>
        </w:rPr>
        <w:t xml:space="preserve">the </w:t>
      </w:r>
      <w:r w:rsidR="004B04F6" w:rsidRPr="00B563D0">
        <w:rPr>
          <w:rFonts w:asciiTheme="minorHAnsi" w:hAnsiTheme="minorHAnsi" w:cstheme="minorHAnsi"/>
          <w:color w:val="auto"/>
          <w:sz w:val="24"/>
          <w:szCs w:val="24"/>
        </w:rPr>
        <w:t xml:space="preserve">ASEAN and </w:t>
      </w:r>
      <w:r w:rsidR="00A506C1" w:rsidRPr="00B563D0">
        <w:rPr>
          <w:rFonts w:asciiTheme="minorHAnsi" w:hAnsiTheme="minorHAnsi" w:cstheme="minorHAnsi"/>
          <w:color w:val="auto"/>
          <w:sz w:val="24"/>
          <w:szCs w:val="24"/>
        </w:rPr>
        <w:t>East Asia Summit (</w:t>
      </w:r>
      <w:r w:rsidR="004B04F6" w:rsidRPr="00B563D0">
        <w:rPr>
          <w:rFonts w:asciiTheme="minorHAnsi" w:hAnsiTheme="minorHAnsi" w:cstheme="minorHAnsi"/>
          <w:color w:val="auto"/>
          <w:sz w:val="24"/>
          <w:szCs w:val="24"/>
        </w:rPr>
        <w:t>EAS</w:t>
      </w:r>
      <w:r w:rsidR="00A506C1" w:rsidRPr="00B563D0">
        <w:rPr>
          <w:rFonts w:asciiTheme="minorHAnsi" w:hAnsiTheme="minorHAnsi" w:cstheme="minorHAnsi"/>
          <w:color w:val="auto"/>
          <w:sz w:val="24"/>
          <w:szCs w:val="24"/>
        </w:rPr>
        <w:t>)</w:t>
      </w:r>
      <w:r w:rsidR="004B04F6" w:rsidRPr="00B563D0">
        <w:rPr>
          <w:rFonts w:asciiTheme="minorHAnsi" w:hAnsiTheme="minorHAnsi" w:cstheme="minorHAnsi"/>
          <w:color w:val="auto"/>
          <w:sz w:val="24"/>
          <w:szCs w:val="24"/>
        </w:rPr>
        <w:t xml:space="preserve"> policy debate</w:t>
      </w:r>
      <w:r w:rsidR="008E1488" w:rsidRPr="00B563D0">
        <w:rPr>
          <w:rFonts w:asciiTheme="minorHAnsi" w:hAnsiTheme="minorHAnsi" w:cstheme="minorHAnsi"/>
          <w:color w:val="auto"/>
          <w:sz w:val="24"/>
          <w:szCs w:val="24"/>
        </w:rPr>
        <w:t xml:space="preserve"> through the </w:t>
      </w:r>
      <w:r w:rsidR="005A33CA" w:rsidRPr="00B563D0">
        <w:rPr>
          <w:rFonts w:asciiTheme="minorHAnsi" w:hAnsiTheme="minorHAnsi" w:cstheme="minorHAnsi"/>
          <w:color w:val="auto"/>
          <w:sz w:val="24"/>
          <w:szCs w:val="24"/>
        </w:rPr>
        <w:t>ERIA program</w:t>
      </w:r>
      <w:r w:rsidR="004B04F6" w:rsidRPr="00B563D0">
        <w:rPr>
          <w:rFonts w:asciiTheme="minorHAnsi" w:hAnsiTheme="minorHAnsi" w:cstheme="minorHAnsi"/>
          <w:color w:val="auto"/>
          <w:sz w:val="24"/>
          <w:szCs w:val="24"/>
        </w:rPr>
        <w:t xml:space="preserve">, </w:t>
      </w:r>
      <w:r w:rsidR="0074427E" w:rsidRPr="00B563D0">
        <w:rPr>
          <w:rFonts w:asciiTheme="minorHAnsi" w:hAnsiTheme="minorHAnsi" w:cstheme="minorHAnsi"/>
          <w:color w:val="auto"/>
          <w:sz w:val="24"/>
          <w:szCs w:val="24"/>
        </w:rPr>
        <w:t xml:space="preserve">and provided </w:t>
      </w:r>
      <w:r w:rsidR="008A1153" w:rsidRPr="00B563D0">
        <w:rPr>
          <w:rFonts w:asciiTheme="minorHAnsi" w:hAnsiTheme="minorHAnsi" w:cstheme="minorHAnsi"/>
          <w:color w:val="auto"/>
          <w:sz w:val="24"/>
          <w:szCs w:val="24"/>
          <w:lang w:val="id-ID"/>
        </w:rPr>
        <w:t xml:space="preserve">a </w:t>
      </w:r>
      <w:r w:rsidR="00A506C1" w:rsidRPr="00B563D0">
        <w:rPr>
          <w:rFonts w:asciiTheme="minorHAnsi" w:hAnsiTheme="minorHAnsi" w:cstheme="minorHAnsi"/>
          <w:color w:val="auto"/>
          <w:sz w:val="24"/>
          <w:szCs w:val="24"/>
        </w:rPr>
        <w:t>key risk</w:t>
      </w:r>
      <w:r w:rsidR="008A1153" w:rsidRPr="00B563D0">
        <w:rPr>
          <w:rFonts w:asciiTheme="minorHAnsi" w:hAnsiTheme="minorHAnsi" w:cstheme="minorHAnsi"/>
          <w:color w:val="auto"/>
          <w:sz w:val="24"/>
          <w:szCs w:val="24"/>
          <w:lang w:val="id-ID"/>
        </w:rPr>
        <w:t xml:space="preserve"> management strategy</w:t>
      </w:r>
      <w:r w:rsidR="00A506C1" w:rsidRPr="00B563D0">
        <w:rPr>
          <w:rFonts w:asciiTheme="minorHAnsi" w:hAnsiTheme="minorHAnsi" w:cstheme="minorHAnsi"/>
          <w:color w:val="auto"/>
          <w:sz w:val="24"/>
          <w:szCs w:val="24"/>
        </w:rPr>
        <w:t xml:space="preserve">, </w:t>
      </w:r>
      <w:r w:rsidR="008A1153" w:rsidRPr="00B563D0">
        <w:rPr>
          <w:rFonts w:asciiTheme="minorHAnsi" w:hAnsiTheme="minorHAnsi" w:cstheme="minorHAnsi"/>
          <w:color w:val="auto"/>
          <w:sz w:val="24"/>
          <w:szCs w:val="24"/>
          <w:lang w:val="id-ID"/>
        </w:rPr>
        <w:t xml:space="preserve">analysis and </w:t>
      </w:r>
      <w:r w:rsidR="00E218D2" w:rsidRPr="00B563D0">
        <w:rPr>
          <w:rFonts w:asciiTheme="minorHAnsi" w:hAnsiTheme="minorHAnsi" w:cstheme="minorHAnsi"/>
          <w:color w:val="auto"/>
          <w:sz w:val="24"/>
          <w:szCs w:val="24"/>
          <w:lang w:val="id-ID"/>
        </w:rPr>
        <w:t xml:space="preserve">integration of cross cutting issues such as </w:t>
      </w:r>
      <w:r w:rsidR="00CB1682" w:rsidRPr="00B563D0">
        <w:rPr>
          <w:rFonts w:asciiTheme="minorHAnsi" w:hAnsiTheme="minorHAnsi" w:cstheme="minorHAnsi"/>
          <w:color w:val="auto"/>
          <w:sz w:val="24"/>
          <w:szCs w:val="24"/>
        </w:rPr>
        <w:t>gender</w:t>
      </w:r>
      <w:r w:rsidR="00A506C1" w:rsidRPr="00B563D0">
        <w:rPr>
          <w:rFonts w:asciiTheme="minorHAnsi" w:hAnsiTheme="minorHAnsi" w:cstheme="minorHAnsi"/>
          <w:color w:val="auto"/>
          <w:sz w:val="24"/>
          <w:szCs w:val="24"/>
        </w:rPr>
        <w:t xml:space="preserve">, revisions to the </w:t>
      </w:r>
      <w:r w:rsidR="004B04F6" w:rsidRPr="00B563D0">
        <w:rPr>
          <w:rFonts w:asciiTheme="minorHAnsi" w:hAnsiTheme="minorHAnsi" w:cstheme="minorHAnsi"/>
          <w:color w:val="auto"/>
          <w:sz w:val="24"/>
          <w:szCs w:val="24"/>
        </w:rPr>
        <w:t>program management</w:t>
      </w:r>
      <w:r w:rsidR="00AB6AB8" w:rsidRPr="00B563D0">
        <w:rPr>
          <w:rFonts w:asciiTheme="minorHAnsi" w:hAnsiTheme="minorHAnsi" w:cstheme="minorHAnsi"/>
          <w:color w:val="auto"/>
          <w:sz w:val="24"/>
          <w:szCs w:val="24"/>
        </w:rPr>
        <w:t xml:space="preserve"> approach</w:t>
      </w:r>
      <w:r w:rsidR="00A506C1" w:rsidRPr="00B563D0">
        <w:rPr>
          <w:rFonts w:asciiTheme="minorHAnsi" w:hAnsiTheme="minorHAnsi" w:cstheme="minorHAnsi"/>
          <w:color w:val="auto"/>
          <w:sz w:val="24"/>
          <w:szCs w:val="24"/>
        </w:rPr>
        <w:t xml:space="preserve"> and </w:t>
      </w:r>
      <w:r w:rsidR="00AB6AB8" w:rsidRPr="00B563D0">
        <w:rPr>
          <w:rFonts w:asciiTheme="minorHAnsi" w:hAnsiTheme="minorHAnsi" w:cstheme="minorHAnsi"/>
          <w:color w:val="auto"/>
          <w:sz w:val="24"/>
          <w:szCs w:val="24"/>
        </w:rPr>
        <w:t>monitoring and evaluation (M&amp;E)</w:t>
      </w:r>
      <w:r w:rsidR="000C0A2C" w:rsidRPr="00B563D0">
        <w:rPr>
          <w:rFonts w:asciiTheme="minorHAnsi" w:hAnsiTheme="minorHAnsi" w:cstheme="minorHAnsi"/>
          <w:color w:val="auto"/>
          <w:sz w:val="24"/>
          <w:szCs w:val="24"/>
        </w:rPr>
        <w:t>.</w:t>
      </w:r>
      <w:r w:rsidR="00AB6AB8" w:rsidRPr="00B563D0">
        <w:rPr>
          <w:rFonts w:asciiTheme="minorHAnsi" w:hAnsiTheme="minorHAnsi" w:cstheme="minorHAnsi"/>
          <w:color w:val="auto"/>
          <w:sz w:val="24"/>
          <w:szCs w:val="24"/>
        </w:rPr>
        <w:t xml:space="preserve"> </w:t>
      </w:r>
    </w:p>
    <w:p w14:paraId="428F1D3F" w14:textId="77777777" w:rsidR="00035C24" w:rsidRPr="00B563D0" w:rsidRDefault="00035C24" w:rsidP="000476B8">
      <w:pPr>
        <w:pStyle w:val="Bodycopy"/>
        <w:spacing w:after="0" w:line="240" w:lineRule="auto"/>
        <w:jc w:val="both"/>
        <w:rPr>
          <w:rFonts w:asciiTheme="minorHAnsi" w:hAnsiTheme="minorHAnsi" w:cstheme="minorHAnsi"/>
          <w:color w:val="auto"/>
          <w:sz w:val="24"/>
          <w:szCs w:val="24"/>
        </w:rPr>
      </w:pPr>
    </w:p>
    <w:p w14:paraId="0761C618" w14:textId="51D7FCA1" w:rsidR="00035C24" w:rsidRPr="00B563D0" w:rsidRDefault="00035C24" w:rsidP="000476B8">
      <w:pPr>
        <w:numPr>
          <w:ilvl w:val="0"/>
          <w:numId w:val="5"/>
        </w:numPr>
        <w:spacing w:after="0" w:line="240" w:lineRule="auto"/>
        <w:jc w:val="both"/>
        <w:rPr>
          <w:rFonts w:cstheme="minorHAnsi"/>
          <w:sz w:val="24"/>
          <w:szCs w:val="24"/>
        </w:rPr>
      </w:pPr>
      <w:r w:rsidRPr="00B563D0">
        <w:rPr>
          <w:rFonts w:cstheme="minorHAnsi"/>
          <w:sz w:val="24"/>
          <w:szCs w:val="24"/>
        </w:rPr>
        <w:t>The review’s overall finding is that “</w:t>
      </w:r>
      <w:r w:rsidR="004D4268" w:rsidRPr="00B563D0">
        <w:rPr>
          <w:rFonts w:cstheme="minorHAnsi"/>
          <w:i/>
          <w:sz w:val="24"/>
          <w:szCs w:val="24"/>
        </w:rPr>
        <w:t xml:space="preserve">There is sufficient evidence to suggest the program is having a positive impact in the region. </w:t>
      </w:r>
      <w:r w:rsidR="004B04F6" w:rsidRPr="00B563D0">
        <w:rPr>
          <w:rFonts w:cstheme="minorHAnsi"/>
          <w:i/>
          <w:sz w:val="24"/>
          <w:szCs w:val="24"/>
        </w:rPr>
        <w:t xml:space="preserve">The program has effectively pivoted to respond to COVID-19 </w:t>
      </w:r>
      <w:r w:rsidRPr="00B563D0">
        <w:rPr>
          <w:rFonts w:cstheme="minorHAnsi"/>
          <w:i/>
          <w:sz w:val="24"/>
          <w:szCs w:val="24"/>
        </w:rPr>
        <w:t xml:space="preserve">in delivering results linked to both ASEAN and Australian priorities in a </w:t>
      </w:r>
      <w:r w:rsidR="004B04F6" w:rsidRPr="00B563D0">
        <w:rPr>
          <w:rFonts w:cstheme="minorHAnsi"/>
          <w:i/>
          <w:sz w:val="24"/>
          <w:szCs w:val="24"/>
        </w:rPr>
        <w:t>resources</w:t>
      </w:r>
      <w:r w:rsidRPr="00B563D0">
        <w:rPr>
          <w:rFonts w:cstheme="minorHAnsi"/>
          <w:i/>
          <w:sz w:val="24"/>
          <w:szCs w:val="24"/>
        </w:rPr>
        <w:t>-</w:t>
      </w:r>
      <w:r w:rsidR="004B04F6" w:rsidRPr="00B563D0">
        <w:rPr>
          <w:rFonts w:cstheme="minorHAnsi"/>
          <w:i/>
          <w:sz w:val="24"/>
          <w:szCs w:val="24"/>
        </w:rPr>
        <w:t>efficient</w:t>
      </w:r>
      <w:r w:rsidRPr="00B563D0">
        <w:rPr>
          <w:rFonts w:cstheme="minorHAnsi"/>
          <w:i/>
          <w:sz w:val="24"/>
          <w:szCs w:val="24"/>
        </w:rPr>
        <w:t xml:space="preserve"> manner. </w:t>
      </w:r>
      <w:r w:rsidR="00654C57" w:rsidRPr="00B563D0">
        <w:rPr>
          <w:rFonts w:cstheme="minorHAnsi"/>
          <w:i/>
          <w:sz w:val="24"/>
          <w:szCs w:val="24"/>
        </w:rPr>
        <w:t xml:space="preserve">Building networks </w:t>
      </w:r>
      <w:r w:rsidRPr="00B563D0">
        <w:rPr>
          <w:rFonts w:cstheme="minorHAnsi"/>
          <w:i/>
          <w:sz w:val="24"/>
          <w:szCs w:val="24"/>
        </w:rPr>
        <w:t xml:space="preserve">should ensure </w:t>
      </w:r>
      <w:r w:rsidR="004D4268" w:rsidRPr="00B563D0">
        <w:rPr>
          <w:rFonts w:cstheme="minorHAnsi"/>
          <w:bCs/>
          <w:i/>
          <w:sz w:val="24"/>
          <w:szCs w:val="24"/>
        </w:rPr>
        <w:t>the ongoing sustainability of the investment in ERIA</w:t>
      </w:r>
      <w:r w:rsidRPr="00B563D0">
        <w:rPr>
          <w:rFonts w:cstheme="minorHAnsi"/>
          <w:i/>
          <w:sz w:val="24"/>
          <w:szCs w:val="24"/>
        </w:rPr>
        <w:t>.”</w:t>
      </w:r>
    </w:p>
    <w:p w14:paraId="4CF92FC7" w14:textId="77777777" w:rsidR="00B23082" w:rsidRPr="00B563D0" w:rsidRDefault="00B23082" w:rsidP="000476B8">
      <w:pPr>
        <w:pStyle w:val="Bodycopy"/>
        <w:spacing w:after="0" w:line="240" w:lineRule="auto"/>
        <w:jc w:val="both"/>
        <w:rPr>
          <w:rFonts w:asciiTheme="minorHAnsi" w:hAnsiTheme="minorHAnsi" w:cstheme="minorHAnsi"/>
          <w:color w:val="auto"/>
          <w:sz w:val="24"/>
          <w:szCs w:val="24"/>
        </w:rPr>
      </w:pPr>
    </w:p>
    <w:p w14:paraId="44E22E76" w14:textId="397DCF2B" w:rsidR="004D4268" w:rsidRPr="00B563D0" w:rsidRDefault="00B23082" w:rsidP="000476B8">
      <w:pPr>
        <w:numPr>
          <w:ilvl w:val="0"/>
          <w:numId w:val="20"/>
        </w:numPr>
        <w:spacing w:after="0" w:line="240" w:lineRule="auto"/>
        <w:jc w:val="both"/>
        <w:rPr>
          <w:rFonts w:cstheme="minorHAnsi"/>
          <w:sz w:val="24"/>
          <w:szCs w:val="24"/>
        </w:rPr>
      </w:pPr>
      <w:r w:rsidRPr="00B563D0">
        <w:rPr>
          <w:rFonts w:cstheme="minorHAnsi"/>
          <w:sz w:val="24"/>
          <w:szCs w:val="24"/>
        </w:rPr>
        <w:t xml:space="preserve">The review found that </w:t>
      </w:r>
      <w:r w:rsidR="004D4268" w:rsidRPr="00B563D0">
        <w:rPr>
          <w:rFonts w:cstheme="minorHAnsi"/>
          <w:bCs/>
          <w:sz w:val="24"/>
          <w:szCs w:val="24"/>
        </w:rPr>
        <w:t xml:space="preserve">the program is likely to </w:t>
      </w:r>
      <w:r w:rsidR="004D4268" w:rsidRPr="00A7441C">
        <w:rPr>
          <w:rStyle w:val="Heading2Char"/>
        </w:rPr>
        <w:t>partially achieve its end of program outcomes by June 2023</w:t>
      </w:r>
      <w:r w:rsidR="004D4268" w:rsidRPr="00B563D0">
        <w:rPr>
          <w:rFonts w:cstheme="minorHAnsi"/>
          <w:bCs/>
          <w:sz w:val="24"/>
          <w:szCs w:val="24"/>
        </w:rPr>
        <w:t xml:space="preserve">, </w:t>
      </w:r>
      <w:r w:rsidR="004D4268" w:rsidRPr="00B563D0">
        <w:rPr>
          <w:rFonts w:cstheme="minorHAnsi"/>
          <w:sz w:val="24"/>
          <w:szCs w:val="24"/>
        </w:rPr>
        <w:t xml:space="preserve">is using its </w:t>
      </w:r>
      <w:r w:rsidR="004D4268" w:rsidRPr="00A7441C">
        <w:rPr>
          <w:rStyle w:val="Heading2Char"/>
        </w:rPr>
        <w:t>moderate resources relatively efficiently</w:t>
      </w:r>
      <w:r w:rsidR="00762C5F" w:rsidRPr="00B563D0">
        <w:rPr>
          <w:rFonts w:cstheme="minorHAnsi"/>
          <w:sz w:val="24"/>
          <w:szCs w:val="24"/>
        </w:rPr>
        <w:t>,</w:t>
      </w:r>
      <w:r w:rsidR="004D4268" w:rsidRPr="00B563D0">
        <w:rPr>
          <w:rFonts w:cstheme="minorHAnsi"/>
          <w:sz w:val="24"/>
          <w:szCs w:val="24"/>
        </w:rPr>
        <w:t xml:space="preserve"> </w:t>
      </w:r>
      <w:r w:rsidR="00762C5F" w:rsidRPr="00B563D0">
        <w:rPr>
          <w:rFonts w:cstheme="minorHAnsi"/>
          <w:sz w:val="24"/>
          <w:szCs w:val="24"/>
        </w:rPr>
        <w:t xml:space="preserve">and is generally </w:t>
      </w:r>
      <w:r w:rsidR="00762C5F" w:rsidRPr="00A7441C">
        <w:rPr>
          <w:rStyle w:val="Heading2Char"/>
        </w:rPr>
        <w:t>performing well in promoting gender equality and women’s empowerment</w:t>
      </w:r>
      <w:r w:rsidR="00720C77" w:rsidRPr="00B563D0">
        <w:rPr>
          <w:rFonts w:cstheme="minorHAnsi"/>
          <w:bCs/>
          <w:sz w:val="24"/>
          <w:szCs w:val="24"/>
        </w:rPr>
        <w:t>. T</w:t>
      </w:r>
      <w:r w:rsidR="009B767F" w:rsidRPr="00B563D0">
        <w:rPr>
          <w:rFonts w:cstheme="minorHAnsi"/>
          <w:sz w:val="24"/>
          <w:szCs w:val="24"/>
        </w:rPr>
        <w:t xml:space="preserve">he </w:t>
      </w:r>
      <w:r w:rsidR="009B767F" w:rsidRPr="00A7441C">
        <w:rPr>
          <w:rStyle w:val="Heading2Char"/>
        </w:rPr>
        <w:t>main ri</w:t>
      </w:r>
      <w:r w:rsidR="00762C5F" w:rsidRPr="00A7441C">
        <w:rPr>
          <w:rStyle w:val="Heading2Char"/>
        </w:rPr>
        <w:t>sk</w:t>
      </w:r>
      <w:r w:rsidR="00762C5F" w:rsidRPr="00B563D0">
        <w:rPr>
          <w:rFonts w:cstheme="minorHAnsi"/>
          <w:sz w:val="24"/>
          <w:szCs w:val="24"/>
        </w:rPr>
        <w:t xml:space="preserve"> categories relate to COVID-</w:t>
      </w:r>
      <w:r w:rsidR="009B767F" w:rsidRPr="00B563D0">
        <w:rPr>
          <w:rFonts w:cstheme="minorHAnsi"/>
          <w:sz w:val="24"/>
          <w:szCs w:val="24"/>
        </w:rPr>
        <w:t xml:space="preserve">19, the program’s ability to demonstrate its impact and the ongoing </w:t>
      </w:r>
      <w:r w:rsidR="009B767F" w:rsidRPr="00A7441C">
        <w:rPr>
          <w:rStyle w:val="Heading2Char"/>
        </w:rPr>
        <w:t>sustainability of the investment in ERIA</w:t>
      </w:r>
      <w:r w:rsidR="009B767F" w:rsidRPr="00B563D0">
        <w:rPr>
          <w:rFonts w:cstheme="minorHAnsi"/>
          <w:sz w:val="24"/>
          <w:szCs w:val="24"/>
        </w:rPr>
        <w:t>.</w:t>
      </w:r>
      <w:r w:rsidR="00720C77" w:rsidRPr="00B563D0">
        <w:rPr>
          <w:rFonts w:cstheme="minorHAnsi"/>
          <w:sz w:val="24"/>
          <w:szCs w:val="24"/>
        </w:rPr>
        <w:t xml:space="preserve"> </w:t>
      </w:r>
      <w:r w:rsidR="0074427E" w:rsidRPr="00B563D0">
        <w:rPr>
          <w:rFonts w:cstheme="minorHAnsi"/>
          <w:sz w:val="24"/>
          <w:szCs w:val="24"/>
        </w:rPr>
        <w:t>T</w:t>
      </w:r>
      <w:r w:rsidR="00762C5F" w:rsidRPr="00B563D0">
        <w:rPr>
          <w:rFonts w:cstheme="minorHAnsi"/>
          <w:sz w:val="24"/>
          <w:szCs w:val="24"/>
        </w:rPr>
        <w:t>he</w:t>
      </w:r>
      <w:r w:rsidR="009B767F" w:rsidRPr="00B563D0">
        <w:rPr>
          <w:rFonts w:cstheme="minorHAnsi"/>
          <w:sz w:val="24"/>
          <w:szCs w:val="24"/>
        </w:rPr>
        <w:t xml:space="preserve"> </w:t>
      </w:r>
      <w:r w:rsidR="000F0B83" w:rsidRPr="00B563D0">
        <w:rPr>
          <w:rFonts w:cstheme="minorHAnsi"/>
          <w:sz w:val="24"/>
          <w:szCs w:val="24"/>
        </w:rPr>
        <w:t xml:space="preserve">review found that </w:t>
      </w:r>
      <w:r w:rsidR="000F0B83" w:rsidRPr="00A7441C">
        <w:rPr>
          <w:rStyle w:val="Heading2Char"/>
        </w:rPr>
        <w:t xml:space="preserve">the </w:t>
      </w:r>
      <w:r w:rsidR="009B767F" w:rsidRPr="00A7441C">
        <w:rPr>
          <w:rStyle w:val="Heading2Char"/>
        </w:rPr>
        <w:t>program has effectively pivoted to respond to COVID-19</w:t>
      </w:r>
      <w:r w:rsidR="009B767F" w:rsidRPr="00B563D0">
        <w:rPr>
          <w:rFonts w:cstheme="minorHAnsi"/>
          <w:sz w:val="24"/>
          <w:szCs w:val="24"/>
        </w:rPr>
        <w:t xml:space="preserve">. </w:t>
      </w:r>
      <w:r w:rsidR="0074427E" w:rsidRPr="00B563D0">
        <w:rPr>
          <w:rFonts w:cstheme="minorHAnsi"/>
          <w:sz w:val="24"/>
          <w:szCs w:val="24"/>
        </w:rPr>
        <w:t>It identified</w:t>
      </w:r>
      <w:r w:rsidR="009B767F" w:rsidRPr="00B563D0">
        <w:rPr>
          <w:rFonts w:cstheme="minorHAnsi"/>
          <w:sz w:val="24"/>
          <w:szCs w:val="24"/>
        </w:rPr>
        <w:t xml:space="preserve"> </w:t>
      </w:r>
      <w:r w:rsidR="0074427E" w:rsidRPr="00B563D0">
        <w:rPr>
          <w:rFonts w:cstheme="minorHAnsi"/>
          <w:sz w:val="24"/>
          <w:szCs w:val="24"/>
        </w:rPr>
        <w:t>scope</w:t>
      </w:r>
      <w:r w:rsidR="00720C77" w:rsidRPr="00B563D0">
        <w:rPr>
          <w:rFonts w:cstheme="minorHAnsi"/>
          <w:sz w:val="24"/>
          <w:szCs w:val="24"/>
        </w:rPr>
        <w:t xml:space="preserve"> for improvement </w:t>
      </w:r>
      <w:r w:rsidR="009B767F" w:rsidRPr="00B563D0">
        <w:rPr>
          <w:rFonts w:cstheme="minorHAnsi"/>
          <w:sz w:val="24"/>
          <w:szCs w:val="24"/>
        </w:rPr>
        <w:t xml:space="preserve">in incorporating </w:t>
      </w:r>
      <w:r w:rsidR="009B767F" w:rsidRPr="00B563D0">
        <w:rPr>
          <w:rFonts w:cstheme="minorHAnsi"/>
          <w:bCs/>
          <w:sz w:val="24"/>
          <w:szCs w:val="24"/>
          <w:lang w:val="en-GB"/>
        </w:rPr>
        <w:t xml:space="preserve">gender </w:t>
      </w:r>
      <w:r w:rsidR="00762C5F" w:rsidRPr="00B563D0">
        <w:rPr>
          <w:rFonts w:cstheme="minorHAnsi"/>
          <w:bCs/>
          <w:sz w:val="24"/>
          <w:szCs w:val="24"/>
          <w:lang w:val="en-GB"/>
        </w:rPr>
        <w:t xml:space="preserve">analysis </w:t>
      </w:r>
      <w:r w:rsidR="009B767F" w:rsidRPr="00B563D0">
        <w:rPr>
          <w:rFonts w:cstheme="minorHAnsi"/>
          <w:bCs/>
          <w:sz w:val="24"/>
          <w:szCs w:val="24"/>
          <w:lang w:val="en-GB"/>
        </w:rPr>
        <w:t>and</w:t>
      </w:r>
      <w:r w:rsidR="0074427E" w:rsidRPr="00B563D0">
        <w:rPr>
          <w:rFonts w:cstheme="minorHAnsi"/>
          <w:bCs/>
          <w:sz w:val="24"/>
          <w:szCs w:val="24"/>
          <w:lang w:val="en-GB"/>
        </w:rPr>
        <w:t xml:space="preserve"> made</w:t>
      </w:r>
      <w:r w:rsidR="009B767F" w:rsidRPr="00B563D0">
        <w:rPr>
          <w:rFonts w:cstheme="minorHAnsi"/>
          <w:bCs/>
          <w:sz w:val="24"/>
          <w:szCs w:val="24"/>
          <w:lang w:val="en-GB"/>
        </w:rPr>
        <w:t xml:space="preserve"> </w:t>
      </w:r>
      <w:r w:rsidR="009B767F" w:rsidRPr="00B563D0">
        <w:rPr>
          <w:rFonts w:cstheme="minorHAnsi"/>
          <w:sz w:val="24"/>
          <w:szCs w:val="24"/>
        </w:rPr>
        <w:t>specific recommendations to that end.</w:t>
      </w:r>
    </w:p>
    <w:p w14:paraId="0B67FCCC" w14:textId="77777777" w:rsidR="002926DE" w:rsidRPr="00B563D0" w:rsidRDefault="002926DE" w:rsidP="000476B8">
      <w:pPr>
        <w:numPr>
          <w:ilvl w:val="0"/>
          <w:numId w:val="20"/>
        </w:numPr>
        <w:spacing w:after="0" w:line="240" w:lineRule="auto"/>
        <w:jc w:val="both"/>
        <w:rPr>
          <w:rFonts w:cstheme="minorHAnsi"/>
          <w:sz w:val="24"/>
          <w:szCs w:val="24"/>
        </w:rPr>
      </w:pPr>
    </w:p>
    <w:p w14:paraId="16B1D526" w14:textId="1A86D400" w:rsidR="00DA1CF9" w:rsidRPr="00B563D0" w:rsidRDefault="00513DE9" w:rsidP="000476B8">
      <w:pPr>
        <w:pStyle w:val="Bodycopy"/>
        <w:spacing w:after="0" w:line="240" w:lineRule="auto"/>
        <w:jc w:val="both"/>
        <w:rPr>
          <w:rFonts w:asciiTheme="minorHAnsi" w:hAnsiTheme="minorHAnsi" w:cstheme="minorHAnsi"/>
          <w:color w:val="auto"/>
          <w:sz w:val="24"/>
          <w:szCs w:val="24"/>
          <w:lang w:val="id-ID"/>
        </w:rPr>
      </w:pPr>
      <w:r w:rsidRPr="00B563D0">
        <w:rPr>
          <w:rFonts w:asciiTheme="minorHAnsi" w:hAnsiTheme="minorHAnsi" w:cstheme="minorHAnsi"/>
          <w:color w:val="auto"/>
          <w:sz w:val="24"/>
          <w:szCs w:val="24"/>
        </w:rPr>
        <w:t xml:space="preserve">The </w:t>
      </w:r>
      <w:r w:rsidR="00B14D49" w:rsidRPr="00B563D0">
        <w:rPr>
          <w:rFonts w:asciiTheme="minorHAnsi" w:hAnsiTheme="minorHAnsi" w:cstheme="minorHAnsi"/>
          <w:color w:val="auto"/>
          <w:sz w:val="24"/>
          <w:szCs w:val="24"/>
          <w:lang w:val="id-ID"/>
        </w:rPr>
        <w:t xml:space="preserve">ERIA MTR </w:t>
      </w:r>
      <w:r w:rsidR="0074427E" w:rsidRPr="00B563D0">
        <w:rPr>
          <w:rFonts w:asciiTheme="minorHAnsi" w:hAnsiTheme="minorHAnsi" w:cstheme="minorHAnsi"/>
          <w:color w:val="auto"/>
          <w:sz w:val="24"/>
          <w:szCs w:val="24"/>
        </w:rPr>
        <w:t>report gave</w:t>
      </w:r>
      <w:r w:rsidR="00623F3B" w:rsidRPr="00B563D0">
        <w:rPr>
          <w:rFonts w:asciiTheme="minorHAnsi" w:hAnsiTheme="minorHAnsi" w:cstheme="minorHAnsi"/>
          <w:color w:val="auto"/>
          <w:sz w:val="24"/>
          <w:szCs w:val="24"/>
        </w:rPr>
        <w:t xml:space="preserve"> </w:t>
      </w:r>
      <w:r w:rsidR="00AB6AB8" w:rsidRPr="00B563D0">
        <w:rPr>
          <w:rFonts w:asciiTheme="minorHAnsi" w:hAnsiTheme="minorHAnsi" w:cstheme="minorHAnsi"/>
          <w:color w:val="auto"/>
          <w:sz w:val="24"/>
          <w:szCs w:val="24"/>
        </w:rPr>
        <w:t>nine</w:t>
      </w:r>
      <w:r w:rsidR="00623F3B" w:rsidRPr="00B563D0">
        <w:rPr>
          <w:rFonts w:asciiTheme="minorHAnsi" w:hAnsiTheme="minorHAnsi" w:cstheme="minorHAnsi"/>
          <w:color w:val="auto"/>
          <w:sz w:val="24"/>
          <w:szCs w:val="24"/>
        </w:rPr>
        <w:t xml:space="preserve"> recommendations</w:t>
      </w:r>
      <w:r w:rsidR="00AB6AB8" w:rsidRPr="00B563D0">
        <w:rPr>
          <w:rFonts w:asciiTheme="minorHAnsi" w:hAnsiTheme="minorHAnsi" w:cstheme="minorHAnsi"/>
          <w:color w:val="auto"/>
          <w:sz w:val="24"/>
          <w:szCs w:val="24"/>
        </w:rPr>
        <w:t xml:space="preserve"> for the current program and a further </w:t>
      </w:r>
      <w:r w:rsidR="00B15690" w:rsidRPr="00B563D0">
        <w:rPr>
          <w:rFonts w:asciiTheme="minorHAnsi" w:hAnsiTheme="minorHAnsi" w:cstheme="minorHAnsi"/>
          <w:color w:val="auto"/>
          <w:sz w:val="24"/>
          <w:szCs w:val="24"/>
        </w:rPr>
        <w:t>four</w:t>
      </w:r>
      <w:r w:rsidR="00AB6AB8" w:rsidRPr="00B563D0">
        <w:rPr>
          <w:rFonts w:asciiTheme="minorHAnsi" w:hAnsiTheme="minorHAnsi" w:cstheme="minorHAnsi"/>
          <w:color w:val="auto"/>
          <w:sz w:val="24"/>
          <w:szCs w:val="24"/>
        </w:rPr>
        <w:t xml:space="preserve"> for a future </w:t>
      </w:r>
      <w:r w:rsidR="00B15690" w:rsidRPr="00B563D0">
        <w:rPr>
          <w:rFonts w:asciiTheme="minorHAnsi" w:hAnsiTheme="minorHAnsi" w:cstheme="minorHAnsi"/>
          <w:color w:val="auto"/>
          <w:sz w:val="24"/>
          <w:szCs w:val="24"/>
        </w:rPr>
        <w:t xml:space="preserve">phase of the </w:t>
      </w:r>
      <w:r w:rsidR="00AB6AB8" w:rsidRPr="00B563D0">
        <w:rPr>
          <w:rFonts w:asciiTheme="minorHAnsi" w:hAnsiTheme="minorHAnsi" w:cstheme="minorHAnsi"/>
          <w:color w:val="auto"/>
          <w:sz w:val="24"/>
          <w:szCs w:val="24"/>
        </w:rPr>
        <w:t>program.</w:t>
      </w:r>
    </w:p>
    <w:p w14:paraId="3421FF3B" w14:textId="60783447" w:rsidR="00513DE9" w:rsidRPr="00B563D0" w:rsidRDefault="00513DE9" w:rsidP="000476B8">
      <w:pPr>
        <w:pStyle w:val="Bodycopy"/>
        <w:spacing w:after="0" w:line="240" w:lineRule="auto"/>
        <w:jc w:val="both"/>
        <w:rPr>
          <w:rFonts w:asciiTheme="minorHAnsi" w:hAnsiTheme="minorHAnsi" w:cstheme="minorHAnsi"/>
          <w:color w:val="auto"/>
          <w:sz w:val="24"/>
          <w:szCs w:val="24"/>
          <w:lang w:val="id-ID"/>
        </w:rPr>
      </w:pPr>
    </w:p>
    <w:p w14:paraId="1749394D" w14:textId="77777777" w:rsidR="00E17BFF" w:rsidRPr="00E176A8" w:rsidRDefault="002463B4" w:rsidP="00A7441C">
      <w:pPr>
        <w:pStyle w:val="Heading2"/>
      </w:pPr>
      <w:r w:rsidRPr="00E176A8">
        <w:t xml:space="preserve">Summary of DFAT </w:t>
      </w:r>
      <w:r w:rsidR="00513DE9" w:rsidRPr="00E176A8">
        <w:t xml:space="preserve">Management </w:t>
      </w:r>
      <w:r w:rsidRPr="00E176A8">
        <w:t>Response</w:t>
      </w:r>
    </w:p>
    <w:p w14:paraId="6F2801A8" w14:textId="77777777" w:rsidR="006D7CBE" w:rsidRPr="00B563D0" w:rsidRDefault="006D7CBE" w:rsidP="000476B8">
      <w:pPr>
        <w:pStyle w:val="Bodycopy"/>
        <w:spacing w:after="0" w:line="240" w:lineRule="auto"/>
        <w:jc w:val="both"/>
        <w:rPr>
          <w:rFonts w:asciiTheme="minorHAnsi" w:hAnsiTheme="minorHAnsi" w:cstheme="minorHAnsi"/>
          <w:b/>
          <w:color w:val="auto"/>
          <w:sz w:val="24"/>
          <w:szCs w:val="24"/>
        </w:rPr>
      </w:pPr>
    </w:p>
    <w:p w14:paraId="2ED3C80C" w14:textId="0CBBE2C5" w:rsidR="00AD3D4C" w:rsidRPr="00B563D0" w:rsidRDefault="00AD3D4C" w:rsidP="0075408D">
      <w:pPr>
        <w:numPr>
          <w:ilvl w:val="0"/>
          <w:numId w:val="21"/>
        </w:numPr>
        <w:spacing w:after="0" w:line="240" w:lineRule="auto"/>
        <w:jc w:val="both"/>
        <w:rPr>
          <w:rFonts w:cstheme="minorHAnsi"/>
          <w:sz w:val="24"/>
          <w:szCs w:val="24"/>
        </w:rPr>
      </w:pPr>
      <w:r w:rsidRPr="00B563D0">
        <w:rPr>
          <w:rFonts w:cstheme="minorHAnsi"/>
          <w:sz w:val="24"/>
          <w:szCs w:val="24"/>
        </w:rPr>
        <w:t>DFAT welco</w:t>
      </w:r>
      <w:r w:rsidR="006C47D6" w:rsidRPr="00B563D0">
        <w:rPr>
          <w:rFonts w:cstheme="minorHAnsi"/>
          <w:sz w:val="24"/>
          <w:szCs w:val="24"/>
        </w:rPr>
        <w:t xml:space="preserve">mes the findings of the review, </w:t>
      </w:r>
      <w:r w:rsidRPr="00B563D0">
        <w:rPr>
          <w:rFonts w:cstheme="minorHAnsi"/>
          <w:sz w:val="24"/>
          <w:szCs w:val="24"/>
        </w:rPr>
        <w:t xml:space="preserve">in particular the finding that </w:t>
      </w:r>
      <w:r w:rsidR="00EB4905" w:rsidRPr="00B563D0">
        <w:rPr>
          <w:rFonts w:cstheme="minorHAnsi"/>
          <w:sz w:val="24"/>
          <w:szCs w:val="24"/>
        </w:rPr>
        <w:t>there is sufficient evidence to suggest the program is having a positive impact.</w:t>
      </w:r>
    </w:p>
    <w:p w14:paraId="61E40E9B" w14:textId="77777777" w:rsidR="002926DE" w:rsidRPr="00B563D0" w:rsidRDefault="002926DE" w:rsidP="0075408D">
      <w:pPr>
        <w:numPr>
          <w:ilvl w:val="0"/>
          <w:numId w:val="21"/>
        </w:numPr>
        <w:spacing w:after="0" w:line="240" w:lineRule="auto"/>
        <w:jc w:val="both"/>
        <w:rPr>
          <w:rFonts w:cstheme="minorHAnsi"/>
          <w:sz w:val="24"/>
          <w:szCs w:val="24"/>
        </w:rPr>
      </w:pPr>
    </w:p>
    <w:p w14:paraId="796AFD46" w14:textId="646B64BA" w:rsidR="002F1554" w:rsidRPr="00B563D0" w:rsidRDefault="00467E64" w:rsidP="0075408D">
      <w:pPr>
        <w:pStyle w:val="FootnoteText"/>
        <w:jc w:val="both"/>
        <w:rPr>
          <w:rFonts w:asciiTheme="minorHAnsi" w:hAnsiTheme="minorHAnsi" w:cstheme="minorHAnsi"/>
          <w:color w:val="auto"/>
          <w:sz w:val="24"/>
          <w:szCs w:val="24"/>
          <w:lang w:val="id-ID"/>
        </w:rPr>
      </w:pPr>
      <w:r w:rsidRPr="00B563D0">
        <w:rPr>
          <w:rFonts w:asciiTheme="minorHAnsi" w:eastAsiaTheme="majorEastAsia" w:hAnsiTheme="minorHAnsi" w:cstheme="minorHAnsi"/>
          <w:bCs/>
          <w:color w:val="auto"/>
          <w:sz w:val="24"/>
          <w:szCs w:val="24"/>
        </w:rPr>
        <w:t xml:space="preserve">We agree with </w:t>
      </w:r>
      <w:r w:rsidR="00455050" w:rsidRPr="00B563D0">
        <w:rPr>
          <w:rFonts w:asciiTheme="minorHAnsi" w:eastAsiaTheme="majorEastAsia" w:hAnsiTheme="minorHAnsi" w:cstheme="minorHAnsi"/>
          <w:bCs/>
          <w:color w:val="auto"/>
          <w:sz w:val="24"/>
          <w:szCs w:val="24"/>
        </w:rPr>
        <w:t>eight</w:t>
      </w:r>
      <w:r w:rsidRPr="00B563D0">
        <w:rPr>
          <w:rFonts w:asciiTheme="minorHAnsi" w:eastAsiaTheme="majorEastAsia" w:hAnsiTheme="minorHAnsi" w:cstheme="minorHAnsi"/>
          <w:bCs/>
          <w:color w:val="auto"/>
          <w:sz w:val="24"/>
          <w:szCs w:val="24"/>
        </w:rPr>
        <w:t xml:space="preserve"> recommendations and partially agree with one recommendation. </w:t>
      </w:r>
      <w:r w:rsidR="002A22FD" w:rsidRPr="00B563D0">
        <w:rPr>
          <w:rFonts w:asciiTheme="minorHAnsi" w:hAnsiTheme="minorHAnsi" w:cstheme="minorHAnsi"/>
          <w:color w:val="auto"/>
          <w:sz w:val="24"/>
          <w:szCs w:val="24"/>
        </w:rPr>
        <w:t xml:space="preserve">Most of these recommendations </w:t>
      </w:r>
      <w:r w:rsidR="00B27815" w:rsidRPr="00B563D0">
        <w:rPr>
          <w:rFonts w:asciiTheme="minorHAnsi" w:hAnsiTheme="minorHAnsi" w:cstheme="minorHAnsi"/>
          <w:color w:val="auto"/>
          <w:sz w:val="24"/>
          <w:szCs w:val="24"/>
        </w:rPr>
        <w:t xml:space="preserve">were intended </w:t>
      </w:r>
      <w:r w:rsidR="002926DE" w:rsidRPr="00B563D0">
        <w:rPr>
          <w:rFonts w:asciiTheme="minorHAnsi" w:hAnsiTheme="minorHAnsi" w:cstheme="minorHAnsi"/>
          <w:color w:val="auto"/>
          <w:sz w:val="24"/>
          <w:szCs w:val="24"/>
        </w:rPr>
        <w:t xml:space="preserve">to inform </w:t>
      </w:r>
      <w:r w:rsidR="00EB4905" w:rsidRPr="00B563D0">
        <w:rPr>
          <w:rFonts w:asciiTheme="minorHAnsi" w:hAnsiTheme="minorHAnsi" w:cstheme="minorHAnsi"/>
          <w:color w:val="auto"/>
          <w:sz w:val="24"/>
          <w:szCs w:val="24"/>
        </w:rPr>
        <w:t>the current program</w:t>
      </w:r>
      <w:r w:rsidR="002A22FD" w:rsidRPr="00B563D0">
        <w:rPr>
          <w:rFonts w:asciiTheme="minorHAnsi" w:hAnsiTheme="minorHAnsi" w:cstheme="minorHAnsi"/>
          <w:color w:val="auto"/>
          <w:sz w:val="24"/>
          <w:szCs w:val="24"/>
        </w:rPr>
        <w:t xml:space="preserve">. </w:t>
      </w:r>
      <w:r w:rsidR="006C47D6" w:rsidRPr="00B563D0">
        <w:rPr>
          <w:rFonts w:asciiTheme="minorHAnsi" w:hAnsiTheme="minorHAnsi" w:cstheme="minorHAnsi"/>
          <w:color w:val="auto"/>
          <w:sz w:val="24"/>
          <w:szCs w:val="24"/>
        </w:rPr>
        <w:t>The review offered a</w:t>
      </w:r>
      <w:r w:rsidR="002A22FD" w:rsidRPr="00B563D0">
        <w:rPr>
          <w:rFonts w:asciiTheme="minorHAnsi" w:hAnsiTheme="minorHAnsi" w:cstheme="minorHAnsi"/>
          <w:color w:val="auto"/>
          <w:sz w:val="24"/>
          <w:szCs w:val="24"/>
        </w:rPr>
        <w:t xml:space="preserve"> smaller number</w:t>
      </w:r>
      <w:r w:rsidR="006C47D6" w:rsidRPr="00B563D0">
        <w:rPr>
          <w:rFonts w:asciiTheme="minorHAnsi" w:hAnsiTheme="minorHAnsi" w:cstheme="minorHAnsi"/>
          <w:color w:val="auto"/>
          <w:sz w:val="24"/>
          <w:szCs w:val="24"/>
        </w:rPr>
        <w:t xml:space="preserve"> of recommendations</w:t>
      </w:r>
      <w:r w:rsidR="002A22FD" w:rsidRPr="00B563D0">
        <w:rPr>
          <w:rFonts w:asciiTheme="minorHAnsi" w:hAnsiTheme="minorHAnsi" w:cstheme="minorHAnsi"/>
          <w:color w:val="auto"/>
          <w:sz w:val="24"/>
          <w:szCs w:val="24"/>
        </w:rPr>
        <w:t xml:space="preserve"> for the </w:t>
      </w:r>
      <w:r w:rsidR="00EB4905" w:rsidRPr="00B563D0">
        <w:rPr>
          <w:rFonts w:asciiTheme="minorHAnsi" w:hAnsiTheme="minorHAnsi" w:cstheme="minorHAnsi"/>
          <w:color w:val="auto"/>
          <w:sz w:val="24"/>
          <w:szCs w:val="24"/>
        </w:rPr>
        <w:t>future</w:t>
      </w:r>
      <w:r w:rsidR="006C47D6" w:rsidRPr="00B563D0">
        <w:rPr>
          <w:rFonts w:asciiTheme="minorHAnsi" w:hAnsiTheme="minorHAnsi" w:cstheme="minorHAnsi"/>
          <w:color w:val="auto"/>
          <w:sz w:val="24"/>
          <w:szCs w:val="24"/>
        </w:rPr>
        <w:t xml:space="preserve">, </w:t>
      </w:r>
      <w:r w:rsidR="00EB4905" w:rsidRPr="00B563D0">
        <w:rPr>
          <w:rFonts w:asciiTheme="minorHAnsi" w:hAnsiTheme="minorHAnsi" w:cstheme="minorHAnsi"/>
          <w:color w:val="auto"/>
          <w:sz w:val="24"/>
          <w:szCs w:val="24"/>
        </w:rPr>
        <w:t>including</w:t>
      </w:r>
      <w:r w:rsidR="0074427E" w:rsidRPr="00B563D0">
        <w:rPr>
          <w:rFonts w:asciiTheme="minorHAnsi" w:hAnsiTheme="minorHAnsi" w:cstheme="minorHAnsi"/>
          <w:color w:val="auto"/>
          <w:sz w:val="24"/>
          <w:szCs w:val="24"/>
        </w:rPr>
        <w:t xml:space="preserve"> that</w:t>
      </w:r>
      <w:r w:rsidR="00EB4905" w:rsidRPr="00B563D0">
        <w:rPr>
          <w:rFonts w:asciiTheme="minorHAnsi" w:hAnsiTheme="minorHAnsi" w:cstheme="minorHAnsi"/>
          <w:color w:val="auto"/>
          <w:sz w:val="24"/>
          <w:szCs w:val="24"/>
        </w:rPr>
        <w:t xml:space="preserve"> Australia fund a further phase of support to ERIA once the current phase finishes in June 2023. </w:t>
      </w:r>
    </w:p>
    <w:p w14:paraId="034A4F15" w14:textId="77777777" w:rsidR="002F1554" w:rsidRPr="00B563D0" w:rsidRDefault="002F1554" w:rsidP="0075408D">
      <w:pPr>
        <w:pStyle w:val="FootnoteText"/>
        <w:jc w:val="both"/>
        <w:rPr>
          <w:rFonts w:asciiTheme="minorHAnsi" w:hAnsiTheme="minorHAnsi" w:cstheme="minorHAnsi"/>
          <w:color w:val="auto"/>
          <w:sz w:val="24"/>
          <w:szCs w:val="24"/>
          <w:lang w:val="id-ID"/>
        </w:rPr>
      </w:pPr>
    </w:p>
    <w:p w14:paraId="3F80B292" w14:textId="79BE0BE8" w:rsidR="00561BA5" w:rsidRPr="00B563D0" w:rsidRDefault="002F1554" w:rsidP="00C114E6">
      <w:pPr>
        <w:pStyle w:val="Bodycopy"/>
        <w:spacing w:after="0" w:line="240" w:lineRule="auto"/>
        <w:jc w:val="both"/>
        <w:rPr>
          <w:rFonts w:asciiTheme="minorHAnsi" w:hAnsiTheme="minorHAnsi" w:cstheme="minorHAnsi"/>
          <w:color w:val="auto"/>
          <w:sz w:val="24"/>
          <w:szCs w:val="24"/>
          <w:lang w:val="id-ID"/>
        </w:rPr>
      </w:pPr>
      <w:r w:rsidRPr="00B563D0">
        <w:rPr>
          <w:rFonts w:asciiTheme="minorHAnsi" w:hAnsiTheme="minorHAnsi" w:cs="Arial"/>
          <w:color w:val="auto"/>
          <w:sz w:val="24"/>
          <w:szCs w:val="24"/>
          <w:shd w:val="clear" w:color="auto" w:fill="FFFFFF"/>
        </w:rPr>
        <w:t xml:space="preserve">While the COVID-19 pandemic has presented challenges </w:t>
      </w:r>
      <w:r w:rsidR="0074427E" w:rsidRPr="00B563D0">
        <w:rPr>
          <w:rFonts w:asciiTheme="minorHAnsi" w:hAnsiTheme="minorHAnsi" w:cs="Arial"/>
          <w:color w:val="auto"/>
          <w:sz w:val="24"/>
          <w:szCs w:val="24"/>
          <w:shd w:val="clear" w:color="auto" w:fill="FFFFFF"/>
        </w:rPr>
        <w:t>to the</w:t>
      </w:r>
      <w:r w:rsidRPr="00B563D0">
        <w:rPr>
          <w:rFonts w:asciiTheme="minorHAnsi" w:hAnsiTheme="minorHAnsi" w:cs="Arial"/>
          <w:color w:val="auto"/>
          <w:sz w:val="24"/>
          <w:szCs w:val="24"/>
          <w:shd w:val="clear" w:color="auto" w:fill="FFFFFF"/>
        </w:rPr>
        <w:t xml:space="preserve"> ways </w:t>
      </w:r>
      <w:r w:rsidR="0086620A" w:rsidRPr="00B563D0">
        <w:rPr>
          <w:rFonts w:asciiTheme="minorHAnsi" w:hAnsiTheme="minorHAnsi" w:cs="Arial"/>
          <w:color w:val="auto"/>
          <w:sz w:val="24"/>
          <w:szCs w:val="24"/>
          <w:shd w:val="clear" w:color="auto" w:fill="FFFFFF"/>
        </w:rPr>
        <w:t xml:space="preserve">in </w:t>
      </w:r>
      <w:r w:rsidRPr="00B563D0">
        <w:rPr>
          <w:rFonts w:asciiTheme="minorHAnsi" w:hAnsiTheme="minorHAnsi" w:cs="Arial"/>
          <w:color w:val="auto"/>
          <w:sz w:val="24"/>
          <w:szCs w:val="24"/>
          <w:shd w:val="clear" w:color="auto" w:fill="FFFFFF"/>
        </w:rPr>
        <w:t xml:space="preserve">which think tanks traditionally operate, it </w:t>
      </w:r>
      <w:r w:rsidR="0074427E" w:rsidRPr="00B563D0">
        <w:rPr>
          <w:rFonts w:asciiTheme="minorHAnsi" w:hAnsiTheme="minorHAnsi" w:cs="Arial"/>
          <w:color w:val="auto"/>
          <w:sz w:val="24"/>
          <w:szCs w:val="24"/>
          <w:shd w:val="clear" w:color="auto" w:fill="FFFFFF"/>
        </w:rPr>
        <w:t xml:space="preserve">has </w:t>
      </w:r>
      <w:r w:rsidRPr="00B563D0">
        <w:rPr>
          <w:rFonts w:asciiTheme="minorHAnsi" w:hAnsiTheme="minorHAnsi" w:cs="Arial"/>
          <w:color w:val="auto"/>
          <w:sz w:val="24"/>
          <w:szCs w:val="24"/>
          <w:shd w:val="clear" w:color="auto" w:fill="FFFFFF"/>
        </w:rPr>
        <w:t>also presented opportunities for digital transformation and amplified research outreach</w:t>
      </w:r>
      <w:r w:rsidRPr="00B563D0">
        <w:rPr>
          <w:rFonts w:asciiTheme="minorHAnsi" w:hAnsiTheme="minorHAnsi" w:cs="Arial"/>
          <w:color w:val="auto"/>
          <w:sz w:val="24"/>
          <w:szCs w:val="24"/>
          <w:shd w:val="clear" w:color="auto" w:fill="FFFFFF"/>
          <w:lang w:val="id-ID"/>
        </w:rPr>
        <w:t>.</w:t>
      </w:r>
      <w:r w:rsidRPr="00B563D0">
        <w:rPr>
          <w:rFonts w:asciiTheme="minorHAnsi" w:hAnsiTheme="minorHAnsi" w:cstheme="minorHAnsi"/>
          <w:color w:val="auto"/>
          <w:sz w:val="24"/>
          <w:szCs w:val="24"/>
        </w:rPr>
        <w:t xml:space="preserve"> </w:t>
      </w:r>
      <w:r w:rsidR="00561BA5" w:rsidRPr="00B563D0">
        <w:rPr>
          <w:rFonts w:asciiTheme="minorHAnsi" w:hAnsiTheme="minorHAnsi" w:cstheme="minorHAnsi"/>
          <w:color w:val="auto"/>
          <w:sz w:val="24"/>
          <w:szCs w:val="24"/>
        </w:rPr>
        <w:t>We note that</w:t>
      </w:r>
      <w:r w:rsidR="0074427E" w:rsidRPr="00B563D0">
        <w:rPr>
          <w:rFonts w:asciiTheme="minorHAnsi" w:hAnsiTheme="minorHAnsi" w:cstheme="minorHAnsi"/>
          <w:color w:val="auto"/>
          <w:sz w:val="24"/>
          <w:szCs w:val="24"/>
        </w:rPr>
        <w:t xml:space="preserve"> since the review was completed,</w:t>
      </w:r>
      <w:r w:rsidR="00561BA5" w:rsidRPr="00B563D0">
        <w:rPr>
          <w:rFonts w:asciiTheme="minorHAnsi" w:hAnsiTheme="minorHAnsi" w:cstheme="minorHAnsi"/>
          <w:color w:val="auto"/>
          <w:sz w:val="24"/>
          <w:szCs w:val="24"/>
        </w:rPr>
        <w:t xml:space="preserve"> ERIA has increased its</w:t>
      </w:r>
      <w:r w:rsidR="00E34698" w:rsidRPr="00B563D0">
        <w:rPr>
          <w:rFonts w:asciiTheme="minorHAnsi" w:hAnsiTheme="minorHAnsi" w:cstheme="minorHAnsi"/>
          <w:color w:val="auto"/>
          <w:sz w:val="24"/>
          <w:szCs w:val="24"/>
        </w:rPr>
        <w:t xml:space="preserve"> rank in the </w:t>
      </w:r>
      <w:r w:rsidR="00E34698" w:rsidRPr="00B563D0">
        <w:rPr>
          <w:rFonts w:asciiTheme="minorHAnsi" w:hAnsiTheme="minorHAnsi" w:cs="Arial"/>
          <w:color w:val="auto"/>
          <w:sz w:val="24"/>
          <w:szCs w:val="24"/>
        </w:rPr>
        <w:t>‘Top International Economic Policy Think Tanks’</w:t>
      </w:r>
      <w:r w:rsidR="006620A5" w:rsidRPr="00B563D0">
        <w:rPr>
          <w:rFonts w:asciiTheme="minorHAnsi" w:hAnsiTheme="minorHAnsi" w:cs="Arial"/>
          <w:color w:val="auto"/>
          <w:sz w:val="24"/>
          <w:szCs w:val="24"/>
        </w:rPr>
        <w:t> </w:t>
      </w:r>
      <w:r w:rsidR="00E34698" w:rsidRPr="00B563D0">
        <w:rPr>
          <w:rFonts w:asciiTheme="minorHAnsi" w:hAnsiTheme="minorHAnsi" w:cs="Arial"/>
          <w:color w:val="auto"/>
          <w:sz w:val="24"/>
          <w:szCs w:val="24"/>
        </w:rPr>
        <w:t xml:space="preserve">category </w:t>
      </w:r>
      <w:r w:rsidR="00D96EA9" w:rsidRPr="00B563D0">
        <w:rPr>
          <w:rFonts w:asciiTheme="minorHAnsi" w:hAnsiTheme="minorHAnsi" w:cstheme="minorHAnsi"/>
          <w:color w:val="auto"/>
          <w:sz w:val="24"/>
          <w:szCs w:val="24"/>
          <w:lang w:val="id-ID"/>
        </w:rPr>
        <w:t xml:space="preserve">from </w:t>
      </w:r>
      <w:r w:rsidR="00E34698" w:rsidRPr="00B563D0">
        <w:rPr>
          <w:rFonts w:asciiTheme="minorHAnsi" w:hAnsiTheme="minorHAnsi" w:cstheme="minorHAnsi"/>
          <w:color w:val="auto"/>
          <w:sz w:val="24"/>
          <w:szCs w:val="24"/>
          <w:lang w:val="en-AU"/>
        </w:rPr>
        <w:t xml:space="preserve"> thirteenth</w:t>
      </w:r>
      <w:r w:rsidR="00E34698" w:rsidRPr="00B563D0">
        <w:rPr>
          <w:rFonts w:asciiTheme="minorHAnsi" w:hAnsiTheme="minorHAnsi" w:cstheme="minorHAnsi"/>
          <w:color w:val="auto"/>
          <w:sz w:val="24"/>
          <w:szCs w:val="24"/>
          <w:lang w:val="id-ID"/>
        </w:rPr>
        <w:t xml:space="preserve"> </w:t>
      </w:r>
      <w:r w:rsidR="00D96EA9" w:rsidRPr="00B563D0">
        <w:rPr>
          <w:rFonts w:asciiTheme="minorHAnsi" w:hAnsiTheme="minorHAnsi" w:cstheme="minorHAnsi"/>
          <w:color w:val="auto"/>
          <w:sz w:val="24"/>
          <w:szCs w:val="24"/>
          <w:lang w:val="id-ID"/>
        </w:rPr>
        <w:t>to nin</w:t>
      </w:r>
      <w:r w:rsidR="000A417A" w:rsidRPr="00B563D0">
        <w:rPr>
          <w:rFonts w:asciiTheme="minorHAnsi" w:hAnsiTheme="minorHAnsi" w:cstheme="minorHAnsi"/>
          <w:color w:val="auto"/>
          <w:sz w:val="24"/>
          <w:szCs w:val="24"/>
          <w:lang w:val="en-AU"/>
        </w:rPr>
        <w:t>th</w:t>
      </w:r>
      <w:r w:rsidR="00D96EA9" w:rsidRPr="00B563D0">
        <w:rPr>
          <w:rFonts w:asciiTheme="minorHAnsi" w:hAnsiTheme="minorHAnsi" w:cstheme="minorHAnsi"/>
          <w:color w:val="auto"/>
          <w:sz w:val="24"/>
          <w:szCs w:val="24"/>
          <w:lang w:val="id-ID"/>
        </w:rPr>
        <w:t xml:space="preserve"> </w:t>
      </w:r>
      <w:r w:rsidR="00561BA5" w:rsidRPr="00B563D0">
        <w:rPr>
          <w:rFonts w:asciiTheme="minorHAnsi" w:hAnsiTheme="minorHAnsi" w:cs="Tahoma"/>
          <w:color w:val="auto"/>
          <w:sz w:val="24"/>
          <w:szCs w:val="24"/>
        </w:rPr>
        <w:t>in the 2020 Global Go To Think Tank Index Report (GGTTI)</w:t>
      </w:r>
      <w:r w:rsidR="00561BA5" w:rsidRPr="00B563D0">
        <w:rPr>
          <w:rStyle w:val="FootnoteReference"/>
          <w:rFonts w:asciiTheme="minorHAnsi" w:hAnsiTheme="minorHAnsi" w:cs="Tahoma"/>
          <w:color w:val="auto"/>
          <w:sz w:val="24"/>
          <w:szCs w:val="24"/>
        </w:rPr>
        <w:footnoteReference w:id="1"/>
      </w:r>
      <w:r w:rsidR="00561BA5" w:rsidRPr="00B563D0">
        <w:rPr>
          <w:rFonts w:asciiTheme="minorHAnsi" w:hAnsiTheme="minorHAnsi" w:cs="Tahoma"/>
          <w:color w:val="auto"/>
          <w:sz w:val="24"/>
          <w:szCs w:val="24"/>
        </w:rPr>
        <w:t>, published in January 2021.</w:t>
      </w:r>
    </w:p>
    <w:p w14:paraId="6084CA5C" w14:textId="77777777" w:rsidR="007D3F5E" w:rsidRPr="00B563D0" w:rsidRDefault="007D3F5E" w:rsidP="0075408D">
      <w:pPr>
        <w:spacing w:after="0" w:line="240" w:lineRule="auto"/>
        <w:jc w:val="both"/>
        <w:rPr>
          <w:rFonts w:cstheme="minorHAnsi"/>
          <w:sz w:val="24"/>
          <w:szCs w:val="24"/>
        </w:rPr>
      </w:pPr>
    </w:p>
    <w:p w14:paraId="0F9014E7" w14:textId="791504B3" w:rsidR="00727F2B" w:rsidRPr="00B563D0" w:rsidRDefault="002A22FD" w:rsidP="00E176A8">
      <w:pPr>
        <w:spacing w:after="0" w:line="240" w:lineRule="auto"/>
        <w:jc w:val="both"/>
        <w:rPr>
          <w:rFonts w:cstheme="minorHAnsi"/>
          <w:sz w:val="24"/>
          <w:szCs w:val="24"/>
        </w:rPr>
        <w:sectPr w:rsidR="00727F2B" w:rsidRPr="00B563D0">
          <w:footerReference w:type="default" r:id="rId8"/>
          <w:pgSz w:w="12240" w:h="15840"/>
          <w:pgMar w:top="1440" w:right="1440" w:bottom="1440" w:left="1440" w:header="720" w:footer="720" w:gutter="0"/>
          <w:cols w:space="720"/>
          <w:docGrid w:linePitch="360"/>
        </w:sectPr>
      </w:pPr>
      <w:r w:rsidRPr="00B563D0">
        <w:rPr>
          <w:rFonts w:cstheme="minorHAnsi"/>
          <w:sz w:val="24"/>
          <w:szCs w:val="24"/>
        </w:rPr>
        <w:t xml:space="preserve">As the following table sets out, DFAT agrees wholly or in part with </w:t>
      </w:r>
      <w:proofErr w:type="gramStart"/>
      <w:r w:rsidRPr="00B563D0">
        <w:rPr>
          <w:rFonts w:cstheme="minorHAnsi"/>
          <w:sz w:val="24"/>
          <w:szCs w:val="24"/>
        </w:rPr>
        <w:t>all of</w:t>
      </w:r>
      <w:proofErr w:type="gramEnd"/>
      <w:r w:rsidRPr="00B563D0">
        <w:rPr>
          <w:rFonts w:cstheme="minorHAnsi"/>
          <w:sz w:val="24"/>
          <w:szCs w:val="24"/>
        </w:rPr>
        <w:t xml:space="preserve"> the recommendations and where appropriate is already working to give them effect.</w:t>
      </w:r>
    </w:p>
    <w:tbl>
      <w:tblPr>
        <w:tblStyle w:val="DFATTable1"/>
        <w:tblpPr w:leftFromText="180" w:rightFromText="180" w:vertAnchor="page" w:horzAnchor="margin" w:tblpY="1906"/>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gridCol w:w="3402"/>
        <w:gridCol w:w="2976"/>
        <w:gridCol w:w="1560"/>
      </w:tblGrid>
      <w:tr w:rsidR="00A7441C" w:rsidRPr="00B563D0" w14:paraId="6EBDC176" w14:textId="77777777" w:rsidTr="00A7441C">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bottom w:val="single" w:sz="4" w:space="0" w:color="auto"/>
            </w:tcBorders>
            <w:vAlign w:val="center"/>
            <w:hideMark/>
          </w:tcPr>
          <w:p w14:paraId="4D7A2787" w14:textId="77777777" w:rsidR="00A7441C" w:rsidRPr="00B563D0" w:rsidRDefault="00A7441C" w:rsidP="00A7441C">
            <w:pPr>
              <w:suppressAutoHyphens/>
              <w:spacing w:before="0" w:after="0" w:line="240" w:lineRule="auto"/>
              <w:jc w:val="center"/>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lastRenderedPageBreak/>
              <w:t>Recommendation</w:t>
            </w:r>
          </w:p>
        </w:tc>
        <w:tc>
          <w:tcPr>
            <w:tcW w:w="1276" w:type="dxa"/>
            <w:tcBorders>
              <w:top w:val="single" w:sz="4" w:space="0" w:color="auto"/>
              <w:bottom w:val="single" w:sz="4" w:space="0" w:color="auto"/>
            </w:tcBorders>
            <w:vAlign w:val="center"/>
            <w:hideMark/>
          </w:tcPr>
          <w:p w14:paraId="624B34CA" w14:textId="77777777" w:rsidR="00A7441C" w:rsidRPr="00B563D0" w:rsidRDefault="00A7441C" w:rsidP="00A7441C">
            <w:pPr>
              <w:suppressAutoHyphen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Response</w:t>
            </w:r>
          </w:p>
        </w:tc>
        <w:tc>
          <w:tcPr>
            <w:tcW w:w="3402" w:type="dxa"/>
            <w:tcBorders>
              <w:top w:val="single" w:sz="4" w:space="0" w:color="auto"/>
              <w:bottom w:val="single" w:sz="4" w:space="0" w:color="auto"/>
            </w:tcBorders>
            <w:vAlign w:val="center"/>
            <w:hideMark/>
          </w:tcPr>
          <w:p w14:paraId="7A3525E9" w14:textId="77777777" w:rsidR="00A7441C" w:rsidRPr="00B563D0" w:rsidRDefault="00A7441C" w:rsidP="00A7441C">
            <w:pPr>
              <w:suppressAutoHyphen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Explanation</w:t>
            </w:r>
          </w:p>
        </w:tc>
        <w:tc>
          <w:tcPr>
            <w:tcW w:w="2976" w:type="dxa"/>
            <w:tcBorders>
              <w:top w:val="single" w:sz="4" w:space="0" w:color="auto"/>
              <w:bottom w:val="single" w:sz="4" w:space="0" w:color="auto"/>
            </w:tcBorders>
            <w:vAlign w:val="center"/>
            <w:hideMark/>
          </w:tcPr>
          <w:p w14:paraId="63FC5780" w14:textId="77777777" w:rsidR="00A7441C" w:rsidRPr="00B563D0" w:rsidRDefault="00A7441C" w:rsidP="00A7441C">
            <w:pPr>
              <w:suppressAutoHyphen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Action plan</w:t>
            </w:r>
          </w:p>
        </w:tc>
        <w:tc>
          <w:tcPr>
            <w:tcW w:w="1560" w:type="dxa"/>
            <w:tcBorders>
              <w:top w:val="single" w:sz="4" w:space="0" w:color="auto"/>
              <w:bottom w:val="single" w:sz="4" w:space="0" w:color="auto"/>
            </w:tcBorders>
            <w:vAlign w:val="center"/>
            <w:hideMark/>
          </w:tcPr>
          <w:p w14:paraId="62B5AD14" w14:textId="77777777" w:rsidR="00A7441C" w:rsidRPr="00B563D0" w:rsidRDefault="00A7441C" w:rsidP="00A7441C">
            <w:pPr>
              <w:suppressAutoHyphen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Timeframe</w:t>
            </w:r>
          </w:p>
        </w:tc>
      </w:tr>
      <w:tr w:rsidR="00A7441C" w:rsidRPr="00B563D0" w14:paraId="2D219BC7" w14:textId="77777777" w:rsidTr="00A7441C">
        <w:trPr>
          <w:cnfStyle w:val="000000100000" w:firstRow="0" w:lastRow="0" w:firstColumn="0" w:lastColumn="0" w:oddVBand="0" w:evenVBand="0" w:oddHBand="1" w:evenHBand="0" w:firstRowFirstColumn="0" w:firstRowLastColumn="0" w:lastRowFirstColumn="0" w:lastRowLastColumn="0"/>
          <w:trHeight w:val="1021"/>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shd w:val="clear" w:color="auto" w:fill="D9D9D9" w:themeFill="background1" w:themeFillShade="D9"/>
          </w:tcPr>
          <w:p w14:paraId="00B3CCF9" w14:textId="77777777" w:rsidR="00A7441C" w:rsidRPr="00B563D0" w:rsidRDefault="00A7441C" w:rsidP="00A7441C">
            <w:pPr>
              <w:suppressAutoHyphens/>
              <w:spacing w:after="0" w:line="240" w:lineRule="auto"/>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Recommendation 1:</w:t>
            </w:r>
          </w:p>
          <w:p w14:paraId="0CCB1EBD" w14:textId="77777777" w:rsidR="00A7441C" w:rsidRPr="00B563D0" w:rsidRDefault="00A7441C" w:rsidP="00A7441C">
            <w:pPr>
              <w:suppressAutoHyphens/>
              <w:spacing w:before="0" w:after="0" w:line="240" w:lineRule="auto"/>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Revise the program management approach so that monthly meetings include discussion on the strategic direction for the program and effective allocation of resources across the program’s priorities.</w:t>
            </w:r>
          </w:p>
        </w:tc>
        <w:tc>
          <w:tcPr>
            <w:tcW w:w="1276" w:type="dxa"/>
            <w:tcBorders>
              <w:top w:val="single" w:sz="4" w:space="0" w:color="auto"/>
            </w:tcBorders>
            <w:shd w:val="clear" w:color="auto" w:fill="70AD47" w:themeFill="accent6"/>
          </w:tcPr>
          <w:p w14:paraId="6766E790" w14:textId="77777777" w:rsidR="00A7441C" w:rsidRPr="00B563D0" w:rsidRDefault="00A7441C" w:rsidP="00A7441C">
            <w:pPr>
              <w:keepNext/>
              <w:keepLines/>
              <w:suppressAutoHyphen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color w:val="auto"/>
                <w:sz w:val="24"/>
                <w:szCs w:val="24"/>
              </w:rPr>
            </w:pPr>
            <w:r w:rsidRPr="00B563D0">
              <w:rPr>
                <w:rFonts w:asciiTheme="minorHAnsi" w:eastAsiaTheme="majorEastAsia" w:hAnsiTheme="minorHAnsi" w:cstheme="minorHAnsi"/>
                <w:bCs/>
                <w:color w:val="auto"/>
                <w:sz w:val="24"/>
                <w:szCs w:val="24"/>
              </w:rPr>
              <w:t>Agree</w:t>
            </w:r>
          </w:p>
        </w:tc>
        <w:tc>
          <w:tcPr>
            <w:tcW w:w="3402" w:type="dxa"/>
            <w:tcBorders>
              <w:top w:val="single" w:sz="4" w:space="0" w:color="auto"/>
            </w:tcBorders>
            <w:shd w:val="clear" w:color="auto" w:fill="D9D9D9" w:themeFill="background1" w:themeFillShade="D9"/>
          </w:tcPr>
          <w:p w14:paraId="71CE7FC6" w14:textId="77777777" w:rsidR="00A7441C" w:rsidRPr="00B563D0" w:rsidRDefault="00A7441C" w:rsidP="00A7441C">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Lack of an overall manager reduces strategic coherence across the program.</w:t>
            </w:r>
          </w:p>
          <w:p w14:paraId="1A08CC36" w14:textId="77777777" w:rsidR="00A7441C" w:rsidRPr="00B563D0" w:rsidRDefault="00A7441C" w:rsidP="00A7441C">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5E8F0211" w14:textId="77777777" w:rsidR="00A7441C" w:rsidRPr="00B563D0" w:rsidRDefault="00A7441C" w:rsidP="00A7441C">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The DFAT First Secretary ASEAN and DFAT Program Manager ASEAN could meet monthly with the ERIA Strategy and Partnership Director (SPD), ERIA Capacity Building Director (CBD) and ERIA Chief Operating Officer (COO) to discuss the strategic direction for the program and effective allocation of resources across the program’s priorities. The ERIA Communications Director could be an optional attendee at the meeting given some of the joint work with SPD. </w:t>
            </w:r>
          </w:p>
          <w:p w14:paraId="2F4F26D6" w14:textId="77777777" w:rsidR="00A7441C" w:rsidRPr="00B563D0" w:rsidRDefault="00A7441C" w:rsidP="00A7441C">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0A919F5C" w14:textId="77777777" w:rsidR="00A7441C" w:rsidRPr="00B563D0" w:rsidRDefault="00A7441C" w:rsidP="00A7441C">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The current ERIA fortnightly updates could be reduced to monthly updates which form the basis for this monthly meeting. </w:t>
            </w:r>
          </w:p>
        </w:tc>
        <w:tc>
          <w:tcPr>
            <w:tcW w:w="2976" w:type="dxa"/>
            <w:tcBorders>
              <w:top w:val="single" w:sz="4" w:space="0" w:color="auto"/>
            </w:tcBorders>
            <w:shd w:val="clear" w:color="auto" w:fill="D9D9D9" w:themeFill="background1" w:themeFillShade="D9"/>
          </w:tcPr>
          <w:p w14:paraId="0F9B4811" w14:textId="77777777" w:rsidR="00A7441C" w:rsidRPr="00B563D0" w:rsidRDefault="00A7441C" w:rsidP="00A7441C">
            <w:pPr>
              <w:pStyle w:val="ListParagraph"/>
              <w:numPr>
                <w:ilvl w:val="0"/>
                <w:numId w:val="22"/>
              </w:numPr>
              <w:spacing w:before="60" w:after="0" w:line="240" w:lineRule="auto"/>
              <w:ind w:left="357" w:hanging="35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DFAT First Secretary ASEAN and DFAT Program Manager ASEAN will meet monthly with ERIA SPD, CBD and COO. </w:t>
            </w:r>
          </w:p>
          <w:p w14:paraId="53287E21" w14:textId="77777777" w:rsidR="00A7441C" w:rsidRPr="00B563D0" w:rsidRDefault="00A7441C" w:rsidP="00A7441C">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537B9C8B" w14:textId="77777777" w:rsidR="00A7441C" w:rsidRPr="00B563D0" w:rsidRDefault="00A7441C" w:rsidP="00A7441C">
            <w:pPr>
              <w:pStyle w:val="ListParagraph"/>
              <w:numPr>
                <w:ilvl w:val="0"/>
                <w:numId w:val="22"/>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SPD and CBD will submit monthly updates to </w:t>
            </w:r>
            <w:r w:rsidRPr="00B563D0">
              <w:rPr>
                <w:rFonts w:asciiTheme="minorHAnsi" w:hAnsiTheme="minorHAnsi" w:cstheme="minorHAnsi"/>
                <w:color w:val="auto"/>
                <w:sz w:val="24"/>
                <w:szCs w:val="24"/>
                <w:lang w:val="id-ID"/>
              </w:rPr>
              <w:t xml:space="preserve">the </w:t>
            </w:r>
            <w:r w:rsidRPr="00B563D0">
              <w:rPr>
                <w:rFonts w:asciiTheme="minorHAnsi" w:hAnsiTheme="minorHAnsi" w:cstheme="minorHAnsi"/>
                <w:color w:val="auto"/>
                <w:sz w:val="24"/>
                <w:szCs w:val="24"/>
              </w:rPr>
              <w:t>DFAT Program Manager one week prior to the monthly meeting</w:t>
            </w:r>
            <w:r w:rsidRPr="00B563D0">
              <w:rPr>
                <w:rFonts w:asciiTheme="minorHAnsi" w:hAnsiTheme="minorHAnsi" w:cstheme="minorHAnsi"/>
                <w:color w:val="auto"/>
                <w:sz w:val="24"/>
                <w:szCs w:val="24"/>
                <w:lang w:val="id-ID"/>
              </w:rPr>
              <w:t>.</w:t>
            </w:r>
          </w:p>
          <w:p w14:paraId="48315132" w14:textId="77777777" w:rsidR="00A7441C" w:rsidRPr="00B563D0" w:rsidRDefault="00A7441C" w:rsidP="00A7441C">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4"/>
                <w:szCs w:val="24"/>
              </w:rPr>
            </w:pPr>
          </w:p>
          <w:p w14:paraId="2704B6B2" w14:textId="77777777" w:rsidR="00A7441C" w:rsidRPr="00B563D0" w:rsidRDefault="00A7441C" w:rsidP="00A7441C">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tc>
        <w:tc>
          <w:tcPr>
            <w:tcW w:w="1560" w:type="dxa"/>
            <w:tcBorders>
              <w:top w:val="single" w:sz="4" w:space="0" w:color="auto"/>
            </w:tcBorders>
            <w:shd w:val="clear" w:color="auto" w:fill="D9D9D9" w:themeFill="background1" w:themeFillShade="D9"/>
          </w:tcPr>
          <w:p w14:paraId="7AE181BC" w14:textId="77777777" w:rsidR="00A7441C" w:rsidRPr="00B563D0" w:rsidRDefault="00A7441C" w:rsidP="00A7441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Ongoing - starting January 2021 </w:t>
            </w:r>
          </w:p>
          <w:p w14:paraId="383AF68B" w14:textId="77777777" w:rsidR="00A7441C" w:rsidRPr="00B563D0" w:rsidRDefault="00A7441C" w:rsidP="00A744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4911060A" w14:textId="77777777" w:rsidR="00A7441C" w:rsidRPr="00B563D0" w:rsidRDefault="00A7441C" w:rsidP="00A7441C">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tc>
      </w:tr>
    </w:tbl>
    <w:p w14:paraId="6C09D272" w14:textId="1BF6203F" w:rsidR="00E176A8" w:rsidRDefault="00E176A8" w:rsidP="00A7441C">
      <w:pPr>
        <w:pStyle w:val="Heading2"/>
      </w:pPr>
      <w:r w:rsidRPr="00E176A8">
        <w:t>Management efficiency</w:t>
      </w:r>
    </w:p>
    <w:p w14:paraId="58CD1FC8" w14:textId="77777777" w:rsidR="00A7441C" w:rsidRDefault="00A7441C" w:rsidP="00A7441C">
      <w:pPr>
        <w:pStyle w:val="Heading2"/>
      </w:pPr>
    </w:p>
    <w:p w14:paraId="39583BBC" w14:textId="013491E1" w:rsidR="00A7441C" w:rsidRDefault="00A7441C" w:rsidP="00A7441C">
      <w:pPr>
        <w:pStyle w:val="Heading2"/>
      </w:pPr>
      <w:r w:rsidRPr="00A7441C">
        <w:lastRenderedPageBreak/>
        <w:t>Effectiveness of the Strategy and Partnership Program (SPP)</w:t>
      </w:r>
    </w:p>
    <w:tbl>
      <w:tblPr>
        <w:tblStyle w:val="DFATTable1"/>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gridCol w:w="3402"/>
        <w:gridCol w:w="2976"/>
        <w:gridCol w:w="1560"/>
      </w:tblGrid>
      <w:tr w:rsidR="00A7441C" w:rsidRPr="00B563D0" w14:paraId="15BC98B2" w14:textId="77777777" w:rsidTr="00A7441C">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bottom w:val="single" w:sz="4" w:space="0" w:color="auto"/>
              <w:right w:val="single" w:sz="4" w:space="0" w:color="auto"/>
            </w:tcBorders>
            <w:vAlign w:val="center"/>
          </w:tcPr>
          <w:p w14:paraId="31B1E6FF" w14:textId="77777777" w:rsidR="00A7441C" w:rsidRPr="00B563D0" w:rsidRDefault="00A7441C" w:rsidP="00A7441C">
            <w:pPr>
              <w:pStyle w:val="Heading2"/>
              <w:rPr>
                <w:lang w:val="en-GB"/>
              </w:rPr>
            </w:pPr>
            <w:r w:rsidRPr="00B563D0">
              <w:rPr>
                <w:rFonts w:asciiTheme="minorHAnsi" w:hAnsiTheme="minorHAnsi"/>
                <w:color w:val="auto"/>
                <w:lang w:val="en-GB"/>
              </w:rPr>
              <w:t>Recommendation</w:t>
            </w:r>
          </w:p>
        </w:tc>
        <w:tc>
          <w:tcPr>
            <w:tcW w:w="1276" w:type="dxa"/>
            <w:tcBorders>
              <w:top w:val="single" w:sz="4" w:space="0" w:color="auto"/>
              <w:left w:val="single" w:sz="4" w:space="0" w:color="auto"/>
              <w:bottom w:val="single" w:sz="4" w:space="0" w:color="auto"/>
              <w:right w:val="single" w:sz="4" w:space="0" w:color="auto"/>
            </w:tcBorders>
            <w:vAlign w:val="center"/>
          </w:tcPr>
          <w:p w14:paraId="10F78D18" w14:textId="77777777"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rPr>
                <w:rFonts w:eastAsiaTheme="majorEastAsia"/>
                <w:bCs/>
              </w:rPr>
            </w:pPr>
            <w:r w:rsidRPr="00B563D0">
              <w:rPr>
                <w:rFonts w:asciiTheme="minorHAnsi" w:hAnsiTheme="minorHAnsi"/>
                <w:color w:val="auto"/>
                <w:lang w:val="en-GB"/>
              </w:rPr>
              <w:t>Response</w:t>
            </w:r>
          </w:p>
        </w:tc>
        <w:tc>
          <w:tcPr>
            <w:tcW w:w="3402" w:type="dxa"/>
            <w:tcBorders>
              <w:top w:val="single" w:sz="4" w:space="0" w:color="auto"/>
              <w:left w:val="single" w:sz="4" w:space="0" w:color="auto"/>
              <w:bottom w:val="single" w:sz="4" w:space="0" w:color="auto"/>
              <w:right w:val="single" w:sz="4" w:space="0" w:color="auto"/>
            </w:tcBorders>
            <w:vAlign w:val="center"/>
          </w:tcPr>
          <w:p w14:paraId="03EC9E00" w14:textId="77777777"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pPr>
            <w:r w:rsidRPr="00B563D0">
              <w:rPr>
                <w:rFonts w:asciiTheme="minorHAnsi" w:hAnsiTheme="minorHAnsi"/>
                <w:color w:val="auto"/>
                <w:lang w:val="en-GB"/>
              </w:rPr>
              <w:t>Explanation</w:t>
            </w:r>
          </w:p>
        </w:tc>
        <w:tc>
          <w:tcPr>
            <w:tcW w:w="2976" w:type="dxa"/>
            <w:tcBorders>
              <w:top w:val="single" w:sz="4" w:space="0" w:color="auto"/>
              <w:left w:val="single" w:sz="4" w:space="0" w:color="auto"/>
              <w:bottom w:val="single" w:sz="4" w:space="0" w:color="auto"/>
              <w:right w:val="single" w:sz="4" w:space="0" w:color="auto"/>
            </w:tcBorders>
            <w:vAlign w:val="center"/>
          </w:tcPr>
          <w:p w14:paraId="27761608" w14:textId="77777777" w:rsidR="00A7441C" w:rsidRPr="00E930D4" w:rsidRDefault="00A7441C" w:rsidP="00A7441C">
            <w:pPr>
              <w:pStyle w:val="Heading2"/>
              <w:cnfStyle w:val="100000000000" w:firstRow="1" w:lastRow="0" w:firstColumn="0" w:lastColumn="0" w:oddVBand="0" w:evenVBand="0" w:oddHBand="0" w:evenHBand="0" w:firstRowFirstColumn="0" w:firstRowLastColumn="0" w:lastRowFirstColumn="0" w:lastRowLastColumn="0"/>
            </w:pPr>
            <w:r w:rsidRPr="00B563D0">
              <w:rPr>
                <w:rFonts w:asciiTheme="minorHAnsi" w:hAnsiTheme="minorHAnsi"/>
                <w:color w:val="auto"/>
                <w:lang w:val="en-GB"/>
              </w:rPr>
              <w:t>Action plan</w:t>
            </w:r>
          </w:p>
        </w:tc>
        <w:tc>
          <w:tcPr>
            <w:tcW w:w="1560" w:type="dxa"/>
            <w:tcBorders>
              <w:top w:val="single" w:sz="4" w:space="0" w:color="auto"/>
              <w:left w:val="single" w:sz="4" w:space="0" w:color="auto"/>
              <w:bottom w:val="single" w:sz="4" w:space="0" w:color="auto"/>
            </w:tcBorders>
            <w:vAlign w:val="center"/>
          </w:tcPr>
          <w:p w14:paraId="7837F4F0" w14:textId="77777777"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rPr>
                <w:lang w:val="en-GB"/>
              </w:rPr>
            </w:pPr>
            <w:r w:rsidRPr="00B563D0">
              <w:rPr>
                <w:rFonts w:asciiTheme="minorHAnsi" w:hAnsiTheme="minorHAnsi"/>
                <w:color w:val="auto"/>
                <w:lang w:val="en-GB"/>
              </w:rPr>
              <w:t>Timeframe</w:t>
            </w:r>
          </w:p>
        </w:tc>
      </w:tr>
      <w:tr w:rsidR="00A7441C" w:rsidRPr="00B563D0" w14:paraId="405D3024" w14:textId="77777777" w:rsidTr="00A7441C">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shd w:val="clear" w:color="auto" w:fill="D9D9D9" w:themeFill="background1" w:themeFillShade="D9"/>
          </w:tcPr>
          <w:p w14:paraId="7F3AA1BA" w14:textId="77777777" w:rsidR="00A7441C" w:rsidRPr="00B563D0" w:rsidRDefault="00A7441C" w:rsidP="00A7441C">
            <w:pPr>
              <w:suppressAutoHyphens/>
              <w:spacing w:after="0" w:line="240" w:lineRule="auto"/>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Recommendation 2:</w:t>
            </w:r>
          </w:p>
          <w:p w14:paraId="075B5E33" w14:textId="77777777" w:rsidR="00A7441C" w:rsidRPr="00B563D0" w:rsidRDefault="00A7441C" w:rsidP="00A7441C">
            <w:pPr>
              <w:suppressAutoHyphens/>
              <w:spacing w:before="0" w:after="0" w:line="240" w:lineRule="auto"/>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The Draft Strategic Outreach Strategy for ERIA be re-written to clearly articulate its purpose, goals, objectives, challenges, strategies and actions.</w:t>
            </w:r>
          </w:p>
        </w:tc>
        <w:tc>
          <w:tcPr>
            <w:tcW w:w="1276" w:type="dxa"/>
            <w:tcBorders>
              <w:top w:val="single" w:sz="4" w:space="0" w:color="auto"/>
            </w:tcBorders>
            <w:shd w:val="clear" w:color="auto" w:fill="70AD47" w:themeFill="accent6"/>
          </w:tcPr>
          <w:p w14:paraId="5739874B" w14:textId="77777777" w:rsidR="00A7441C" w:rsidRPr="00B563D0" w:rsidRDefault="00A7441C" w:rsidP="00A7441C">
            <w:pPr>
              <w:keepNext/>
              <w:keepLines/>
              <w:suppressAutoHyphen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color w:val="auto"/>
                <w:sz w:val="24"/>
                <w:szCs w:val="24"/>
              </w:rPr>
            </w:pPr>
            <w:r w:rsidRPr="00B563D0">
              <w:rPr>
                <w:rFonts w:asciiTheme="minorHAnsi" w:eastAsiaTheme="majorEastAsia" w:hAnsiTheme="minorHAnsi" w:cstheme="minorHAnsi"/>
                <w:bCs/>
                <w:color w:val="auto"/>
                <w:sz w:val="24"/>
                <w:szCs w:val="24"/>
              </w:rPr>
              <w:t xml:space="preserve">Agree </w:t>
            </w:r>
          </w:p>
        </w:tc>
        <w:tc>
          <w:tcPr>
            <w:tcW w:w="3402" w:type="dxa"/>
            <w:tcBorders>
              <w:top w:val="single" w:sz="4" w:space="0" w:color="auto"/>
              <w:bottom w:val="single" w:sz="4" w:space="0" w:color="auto"/>
            </w:tcBorders>
            <w:shd w:val="clear" w:color="auto" w:fill="D9D9D9" w:themeFill="background1" w:themeFillShade="D9"/>
          </w:tcPr>
          <w:p w14:paraId="35D9831A" w14:textId="5851B20B" w:rsidR="00A7441C" w:rsidRPr="00B563D0" w:rsidRDefault="00A7441C" w:rsidP="00CD6BA0">
            <w:pPr>
              <w:suppressAutoHyphen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The draft ERIA Outreach Strategy is a work in progress but could benefit from a more structured and strategic approach supported by the findings from the review.</w:t>
            </w:r>
          </w:p>
          <w:p w14:paraId="067EE646" w14:textId="5F56F603" w:rsidR="00A7441C" w:rsidRPr="00B563D0" w:rsidRDefault="00A7441C" w:rsidP="00CD6BA0">
            <w:pPr>
              <w:tabs>
                <w:tab w:val="left" w:pos="425"/>
              </w:tabs>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lang w:val="en-GB"/>
              </w:rPr>
              <w:t>The drafting process will require time and the SPD will need to work with other ERIA colleagues and DFAT to clarify the intent of such Strategy, given that a number of other key colleagues in ERIA are also involved in strategic outreach (COO, President Office, Communications Director, etc).</w:t>
            </w:r>
          </w:p>
          <w:p w14:paraId="4D54C067" w14:textId="77777777" w:rsidR="00A7441C" w:rsidRPr="00B563D0" w:rsidRDefault="00A7441C" w:rsidP="00A7441C">
            <w:pPr>
              <w:tabs>
                <w:tab w:val="left" w:pos="425"/>
              </w:tabs>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lang w:val="en-GB"/>
              </w:rPr>
              <w:t>The Strategy should also be mapped according to the ASEAN Comprehensive Recovery Framework (ACRF) to show how the program activities will contribute to it.</w:t>
            </w:r>
          </w:p>
        </w:tc>
        <w:tc>
          <w:tcPr>
            <w:tcW w:w="2976" w:type="dxa"/>
            <w:tcBorders>
              <w:top w:val="single" w:sz="4" w:space="0" w:color="auto"/>
              <w:bottom w:val="single" w:sz="4" w:space="0" w:color="auto"/>
            </w:tcBorders>
            <w:shd w:val="clear" w:color="auto" w:fill="D9D9D9" w:themeFill="background1" w:themeFillShade="D9"/>
          </w:tcPr>
          <w:p w14:paraId="32E7FED8" w14:textId="7CC6EEE1" w:rsidR="00A7441C" w:rsidRPr="00CD6BA0" w:rsidRDefault="00A7441C" w:rsidP="00CD6BA0">
            <w:pPr>
              <w:pStyle w:val="ListParagraph"/>
              <w:numPr>
                <w:ilvl w:val="0"/>
                <w:numId w:val="23"/>
              </w:numPr>
              <w:tabs>
                <w:tab w:val="left" w:pos="425"/>
              </w:tabs>
              <w:autoSpaceDE w:val="0"/>
              <w:autoSpaceDN w:val="0"/>
              <w:adjustRightInd w:val="0"/>
              <w:spacing w:before="60" w:line="240" w:lineRule="auto"/>
              <w:ind w:left="357" w:hanging="35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DFAT Program Manager and SPD will work together to clarify the intent of a </w:t>
            </w:r>
            <w:r w:rsidRPr="00B563D0">
              <w:rPr>
                <w:rFonts w:asciiTheme="minorHAnsi" w:hAnsiTheme="minorHAnsi" w:cstheme="minorHAnsi"/>
                <w:bCs/>
                <w:color w:val="auto"/>
                <w:sz w:val="24"/>
                <w:szCs w:val="24"/>
              </w:rPr>
              <w:t xml:space="preserve">draft ERIA outreach strategy, </w:t>
            </w:r>
            <w:r w:rsidRPr="00B563D0">
              <w:rPr>
                <w:rFonts w:asciiTheme="minorHAnsi" w:hAnsiTheme="minorHAnsi" w:cstheme="minorHAnsi"/>
                <w:color w:val="auto"/>
                <w:sz w:val="24"/>
                <w:szCs w:val="24"/>
                <w:lang w:val="en-GB"/>
              </w:rPr>
              <w:t>involving the CBD, ERIA Communications Director and DFAT.</w:t>
            </w:r>
            <w:r w:rsidR="00CD6BA0">
              <w:rPr>
                <w:rFonts w:asciiTheme="minorHAnsi" w:hAnsiTheme="minorHAnsi" w:cstheme="minorHAnsi"/>
                <w:color w:val="auto"/>
                <w:sz w:val="24"/>
                <w:szCs w:val="24"/>
                <w:lang w:val="en-GB"/>
              </w:rPr>
              <w:br/>
            </w:r>
          </w:p>
          <w:p w14:paraId="09287A31" w14:textId="77777777" w:rsidR="00A7441C" w:rsidRPr="00B563D0" w:rsidRDefault="00A7441C" w:rsidP="00CD6BA0">
            <w:pPr>
              <w:pStyle w:val="ListParagraph"/>
              <w:numPr>
                <w:ilvl w:val="0"/>
                <w:numId w:val="23"/>
              </w:numPr>
              <w:tabs>
                <w:tab w:val="left" w:pos="425"/>
              </w:tabs>
              <w:autoSpaceDE w:val="0"/>
              <w:autoSpaceDN w:val="0"/>
              <w:adjustRightInd w:val="0"/>
              <w:spacing w:after="0" w:line="240" w:lineRule="auto"/>
              <w:ind w:left="357" w:hanging="35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SPD will rewrite the draft Outreach Strategy, map the Strategy according to the ACRF and submit it to DFAT Program Manager.</w:t>
            </w:r>
          </w:p>
          <w:p w14:paraId="70E4557B" w14:textId="77777777" w:rsidR="00A7441C" w:rsidRPr="00B563D0" w:rsidRDefault="00A7441C" w:rsidP="00A7441C">
            <w:pPr>
              <w:pStyle w:val="ListParagraph"/>
              <w:numPr>
                <w:ilvl w:val="0"/>
                <w:numId w:val="0"/>
              </w:numPr>
              <w:suppressAutoHyphen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tc>
        <w:tc>
          <w:tcPr>
            <w:tcW w:w="1560" w:type="dxa"/>
            <w:tcBorders>
              <w:top w:val="single" w:sz="4" w:space="0" w:color="auto"/>
              <w:bottom w:val="single" w:sz="4" w:space="0" w:color="auto"/>
            </w:tcBorders>
            <w:shd w:val="clear" w:color="auto" w:fill="D9D9D9" w:themeFill="background1" w:themeFillShade="D9"/>
          </w:tcPr>
          <w:p w14:paraId="02B04BEB" w14:textId="77777777" w:rsidR="00A7441C" w:rsidRPr="00B563D0" w:rsidRDefault="00A7441C" w:rsidP="00A7441C">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lang w:val="en-GB"/>
              </w:rPr>
              <w:t xml:space="preserve">A revised draft </w:t>
            </w:r>
            <w:r w:rsidRPr="00B563D0">
              <w:rPr>
                <w:rFonts w:asciiTheme="minorHAnsi" w:hAnsiTheme="minorHAnsi" w:cstheme="minorHAnsi"/>
                <w:color w:val="auto"/>
                <w:sz w:val="24"/>
                <w:szCs w:val="24"/>
              </w:rPr>
              <w:t xml:space="preserve">ERIA Outreach Strategy to be submitted by </w:t>
            </w:r>
            <w:r>
              <w:rPr>
                <w:rFonts w:asciiTheme="minorHAnsi" w:hAnsiTheme="minorHAnsi" w:cstheme="minorHAnsi"/>
                <w:color w:val="auto"/>
                <w:sz w:val="24"/>
                <w:szCs w:val="24"/>
                <w:lang w:val="en-GB"/>
              </w:rPr>
              <w:t>July</w:t>
            </w:r>
            <w:r w:rsidRPr="00B563D0">
              <w:rPr>
                <w:rFonts w:asciiTheme="minorHAnsi" w:hAnsiTheme="minorHAnsi" w:cstheme="minorHAnsi"/>
                <w:color w:val="auto"/>
                <w:sz w:val="24"/>
                <w:szCs w:val="24"/>
                <w:lang w:val="en-GB"/>
              </w:rPr>
              <w:t xml:space="preserve"> 2021 </w:t>
            </w:r>
          </w:p>
        </w:tc>
      </w:tr>
      <w:tr w:rsidR="00A7441C" w:rsidRPr="00B563D0" w14:paraId="6FC00455" w14:textId="77777777" w:rsidTr="00A7441C">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681" w:type="dxa"/>
            <w:shd w:val="clear" w:color="auto" w:fill="D9D9D9" w:themeFill="background1" w:themeFillShade="D9"/>
          </w:tcPr>
          <w:p w14:paraId="520CB0A4" w14:textId="77777777" w:rsidR="00A7441C" w:rsidRPr="00B563D0" w:rsidRDefault="00A7441C" w:rsidP="00A7441C">
            <w:pPr>
              <w:suppressAutoHyphens/>
              <w:spacing w:after="0" w:line="240" w:lineRule="auto"/>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Recommendation 3:</w:t>
            </w:r>
          </w:p>
          <w:p w14:paraId="4BE17312" w14:textId="77777777" w:rsidR="00A7441C" w:rsidRPr="00B563D0" w:rsidRDefault="00A7441C" w:rsidP="00A7441C">
            <w:pPr>
              <w:suppressAutoHyphens/>
              <w:spacing w:before="0" w:after="0" w:line="240" w:lineRule="auto"/>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 xml:space="preserve">The SPD work with the ERIA Communications Team to develop </w:t>
            </w:r>
            <w:r w:rsidRPr="00B563D0">
              <w:rPr>
                <w:rFonts w:asciiTheme="minorHAnsi" w:hAnsiTheme="minorHAnsi" w:cstheme="minorHAnsi"/>
                <w:color w:val="auto"/>
                <w:sz w:val="24"/>
                <w:szCs w:val="24"/>
              </w:rPr>
              <w:lastRenderedPageBreak/>
              <w:t>regional policy briefs and work with Program Advisors in Cambodia, Laos and Myanmar (CLM) to develop opinion pieces for local publications.</w:t>
            </w:r>
          </w:p>
        </w:tc>
        <w:tc>
          <w:tcPr>
            <w:tcW w:w="1276" w:type="dxa"/>
            <w:tcBorders>
              <w:bottom w:val="single" w:sz="4" w:space="0" w:color="auto"/>
            </w:tcBorders>
            <w:shd w:val="clear" w:color="auto" w:fill="EF8B47"/>
          </w:tcPr>
          <w:p w14:paraId="23085E2B" w14:textId="77777777" w:rsidR="00A7441C" w:rsidRPr="00B563D0" w:rsidRDefault="00A7441C" w:rsidP="00A7441C">
            <w:pPr>
              <w:keepNext/>
              <w:keepLines/>
              <w:suppressAutoHyphens/>
              <w:spacing w:after="0" w:line="240" w:lineRule="auto"/>
              <w:outlineLvl w:val="2"/>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HAnsi"/>
                <w:bCs/>
                <w:color w:val="auto"/>
                <w:sz w:val="24"/>
                <w:szCs w:val="24"/>
                <w:lang w:val="en-US"/>
              </w:rPr>
            </w:pPr>
            <w:r w:rsidRPr="00B563D0">
              <w:rPr>
                <w:rFonts w:asciiTheme="minorHAnsi" w:eastAsiaTheme="majorEastAsia" w:hAnsiTheme="minorHAnsi" w:cstheme="minorHAnsi"/>
                <w:bCs/>
                <w:color w:val="auto"/>
                <w:sz w:val="24"/>
                <w:szCs w:val="24"/>
              </w:rPr>
              <w:lastRenderedPageBreak/>
              <w:t>Partially Agree</w:t>
            </w:r>
          </w:p>
          <w:p w14:paraId="13116F4A" w14:textId="77777777" w:rsidR="00A7441C" w:rsidRPr="00B563D0" w:rsidRDefault="00A7441C" w:rsidP="00A7441C">
            <w:pPr>
              <w:keepNext/>
              <w:keepLines/>
              <w:suppressAutoHyphens/>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HAnsi"/>
                <w:bCs/>
                <w:color w:val="auto"/>
                <w:sz w:val="24"/>
                <w:szCs w:val="24"/>
              </w:rPr>
            </w:pPr>
          </w:p>
        </w:tc>
        <w:tc>
          <w:tcPr>
            <w:tcW w:w="3402" w:type="dxa"/>
            <w:tcBorders>
              <w:bottom w:val="single" w:sz="4" w:space="0" w:color="auto"/>
            </w:tcBorders>
            <w:shd w:val="clear" w:color="auto" w:fill="D9D9D9" w:themeFill="background1" w:themeFillShade="D9"/>
          </w:tcPr>
          <w:p w14:paraId="1EE7314B" w14:textId="77777777" w:rsidR="00A7441C" w:rsidRPr="00B563D0" w:rsidRDefault="00A7441C" w:rsidP="00A7441C">
            <w:pPr>
              <w:suppressAutoHyphens/>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The SPD does not develop many policy briefs or opinion pieces for local publications in CLM </w:t>
            </w:r>
            <w:r w:rsidRPr="00B563D0">
              <w:rPr>
                <w:rFonts w:asciiTheme="minorHAnsi" w:hAnsiTheme="minorHAnsi" w:cstheme="minorHAnsi"/>
                <w:color w:val="auto"/>
                <w:sz w:val="24"/>
                <w:szCs w:val="24"/>
              </w:rPr>
              <w:lastRenderedPageBreak/>
              <w:t xml:space="preserve">because the SPP led by SPD has a regional focus beyond CLM. </w:t>
            </w:r>
          </w:p>
        </w:tc>
        <w:tc>
          <w:tcPr>
            <w:tcW w:w="2976" w:type="dxa"/>
            <w:tcBorders>
              <w:bottom w:val="single" w:sz="4" w:space="0" w:color="auto"/>
            </w:tcBorders>
            <w:shd w:val="clear" w:color="auto" w:fill="D9D9D9" w:themeFill="background1" w:themeFillShade="D9"/>
          </w:tcPr>
          <w:p w14:paraId="265AC1B2" w14:textId="77777777" w:rsidR="00A7441C" w:rsidRPr="00B563D0" w:rsidRDefault="00A7441C" w:rsidP="00A7441C">
            <w:pPr>
              <w:pStyle w:val="ListParagraph"/>
              <w:numPr>
                <w:ilvl w:val="0"/>
                <w:numId w:val="9"/>
              </w:numPr>
              <w:suppressAutoHyphens/>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lastRenderedPageBreak/>
              <w:t xml:space="preserve">DFAT and ERIA to further discuss the SPD working with Program </w:t>
            </w:r>
            <w:r w:rsidRPr="00B563D0">
              <w:rPr>
                <w:rFonts w:asciiTheme="minorHAnsi" w:hAnsiTheme="minorHAnsi" w:cstheme="minorHAnsi"/>
                <w:color w:val="auto"/>
                <w:sz w:val="24"/>
                <w:szCs w:val="24"/>
              </w:rPr>
              <w:lastRenderedPageBreak/>
              <w:t>Advisors in CLM to develop opinion pieces for local publications</w:t>
            </w:r>
            <w:r w:rsidRPr="00B563D0">
              <w:rPr>
                <w:rFonts w:asciiTheme="minorHAnsi" w:hAnsiTheme="minorHAnsi" w:cstheme="minorHAnsi"/>
                <w:color w:val="auto"/>
                <w:sz w:val="24"/>
                <w:szCs w:val="24"/>
                <w:lang w:val="id-ID"/>
              </w:rPr>
              <w:t>.</w:t>
            </w:r>
          </w:p>
        </w:tc>
        <w:tc>
          <w:tcPr>
            <w:tcW w:w="1560" w:type="dxa"/>
            <w:tcBorders>
              <w:bottom w:val="single" w:sz="4" w:space="0" w:color="auto"/>
            </w:tcBorders>
            <w:shd w:val="clear" w:color="auto" w:fill="D9D9D9" w:themeFill="background1" w:themeFillShade="D9"/>
          </w:tcPr>
          <w:p w14:paraId="02C58D07" w14:textId="77777777" w:rsidR="00A7441C" w:rsidRPr="00B563D0" w:rsidRDefault="00A7441C" w:rsidP="00A7441C">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lang w:val="en-GB"/>
              </w:rPr>
            </w:pPr>
            <w:r>
              <w:rPr>
                <w:rFonts w:asciiTheme="minorHAnsi" w:hAnsiTheme="minorHAnsi" w:cstheme="minorHAnsi"/>
                <w:color w:val="auto"/>
                <w:sz w:val="24"/>
                <w:szCs w:val="24"/>
              </w:rPr>
              <w:lastRenderedPageBreak/>
              <w:t>May</w:t>
            </w:r>
            <w:r w:rsidRPr="00B563D0">
              <w:rPr>
                <w:rFonts w:asciiTheme="minorHAnsi" w:hAnsiTheme="minorHAnsi" w:cstheme="minorHAnsi"/>
                <w:color w:val="auto"/>
                <w:sz w:val="24"/>
                <w:szCs w:val="24"/>
              </w:rPr>
              <w:t xml:space="preserve"> 2021</w:t>
            </w:r>
          </w:p>
        </w:tc>
      </w:tr>
    </w:tbl>
    <w:p w14:paraId="54819CEF" w14:textId="3C9069F6" w:rsidR="00E176A8" w:rsidRDefault="00A7441C" w:rsidP="00A7441C">
      <w:pPr>
        <w:pStyle w:val="Heading2"/>
        <w:spacing w:before="240"/>
      </w:pPr>
      <w:r w:rsidRPr="00B563D0">
        <w:t>Incorporating gender in the program</w:t>
      </w:r>
    </w:p>
    <w:tbl>
      <w:tblPr>
        <w:tblStyle w:val="DFATTable1"/>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gridCol w:w="3402"/>
        <w:gridCol w:w="2976"/>
        <w:gridCol w:w="1560"/>
      </w:tblGrid>
      <w:tr w:rsidR="00A7441C" w:rsidRPr="00B563D0" w14:paraId="28EBF74C" w14:textId="77777777" w:rsidTr="00A7441C">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bottom w:val="single" w:sz="4" w:space="0" w:color="auto"/>
              <w:right w:val="single" w:sz="4" w:space="0" w:color="auto"/>
            </w:tcBorders>
            <w:vAlign w:val="center"/>
          </w:tcPr>
          <w:p w14:paraId="1291B1DA" w14:textId="1B196A8E" w:rsidR="00A7441C" w:rsidRPr="00B563D0" w:rsidRDefault="00A7441C" w:rsidP="00A7441C">
            <w:pPr>
              <w:pStyle w:val="Heading2"/>
              <w:rPr>
                <w:lang w:val="en-GB"/>
              </w:rPr>
            </w:pPr>
            <w:r w:rsidRPr="00B563D0">
              <w:rPr>
                <w:rFonts w:asciiTheme="minorHAnsi" w:hAnsiTheme="minorHAnsi"/>
                <w:color w:val="auto"/>
                <w:lang w:val="en-GB"/>
              </w:rPr>
              <w:t>Recommendation</w:t>
            </w:r>
          </w:p>
        </w:tc>
        <w:tc>
          <w:tcPr>
            <w:tcW w:w="1276" w:type="dxa"/>
            <w:tcBorders>
              <w:top w:val="single" w:sz="4" w:space="0" w:color="auto"/>
              <w:left w:val="single" w:sz="4" w:space="0" w:color="auto"/>
              <w:bottom w:val="single" w:sz="4" w:space="0" w:color="auto"/>
              <w:right w:val="single" w:sz="4" w:space="0" w:color="auto"/>
            </w:tcBorders>
            <w:vAlign w:val="center"/>
          </w:tcPr>
          <w:p w14:paraId="7A60A839" w14:textId="23CE0A3E"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rPr>
                <w:rFonts w:eastAsiaTheme="majorEastAsia"/>
                <w:bCs/>
              </w:rPr>
            </w:pPr>
            <w:r w:rsidRPr="00B563D0">
              <w:rPr>
                <w:rFonts w:asciiTheme="minorHAnsi" w:hAnsiTheme="minorHAnsi"/>
                <w:color w:val="auto"/>
                <w:lang w:val="en-GB"/>
              </w:rPr>
              <w:t>Response</w:t>
            </w:r>
          </w:p>
        </w:tc>
        <w:tc>
          <w:tcPr>
            <w:tcW w:w="3402" w:type="dxa"/>
            <w:tcBorders>
              <w:top w:val="single" w:sz="4" w:space="0" w:color="auto"/>
              <w:left w:val="single" w:sz="4" w:space="0" w:color="auto"/>
              <w:bottom w:val="single" w:sz="4" w:space="0" w:color="auto"/>
              <w:right w:val="single" w:sz="4" w:space="0" w:color="auto"/>
            </w:tcBorders>
            <w:vAlign w:val="center"/>
          </w:tcPr>
          <w:p w14:paraId="69227D1A" w14:textId="68D70FC9"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pPr>
            <w:r w:rsidRPr="00B563D0">
              <w:rPr>
                <w:rFonts w:asciiTheme="minorHAnsi" w:hAnsiTheme="minorHAnsi"/>
                <w:color w:val="auto"/>
                <w:lang w:val="en-GB"/>
              </w:rPr>
              <w:t>Explanation</w:t>
            </w:r>
          </w:p>
        </w:tc>
        <w:tc>
          <w:tcPr>
            <w:tcW w:w="2976" w:type="dxa"/>
            <w:tcBorders>
              <w:top w:val="single" w:sz="4" w:space="0" w:color="auto"/>
              <w:left w:val="single" w:sz="4" w:space="0" w:color="auto"/>
              <w:bottom w:val="single" w:sz="4" w:space="0" w:color="auto"/>
              <w:right w:val="single" w:sz="4" w:space="0" w:color="auto"/>
            </w:tcBorders>
            <w:vAlign w:val="center"/>
          </w:tcPr>
          <w:p w14:paraId="6B264BF3" w14:textId="276170BA" w:rsidR="00A7441C" w:rsidRPr="00B563D0" w:rsidRDefault="00A7441C" w:rsidP="00A7441C">
            <w:pPr>
              <w:pStyle w:val="ListParagraph"/>
              <w:numPr>
                <w:ilvl w:val="0"/>
                <w:numId w:val="0"/>
              </w:numPr>
              <w:suppressAutoHyphens/>
              <w:spacing w:after="0" w:line="240" w:lineRule="auto"/>
              <w:ind w:left="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b/>
                <w:color w:val="auto"/>
                <w:sz w:val="24"/>
                <w:szCs w:val="24"/>
                <w:lang w:val="en-GB"/>
              </w:rPr>
              <w:t>Action plan</w:t>
            </w:r>
          </w:p>
        </w:tc>
        <w:tc>
          <w:tcPr>
            <w:tcW w:w="1560" w:type="dxa"/>
            <w:tcBorders>
              <w:top w:val="single" w:sz="4" w:space="0" w:color="auto"/>
              <w:left w:val="single" w:sz="4" w:space="0" w:color="auto"/>
              <w:bottom w:val="single" w:sz="4" w:space="0" w:color="auto"/>
            </w:tcBorders>
            <w:vAlign w:val="center"/>
          </w:tcPr>
          <w:p w14:paraId="373C8CA2" w14:textId="6D278E7D" w:rsidR="00A7441C" w:rsidRDefault="00A7441C" w:rsidP="00A7441C">
            <w:pPr>
              <w:pStyle w:val="BodyText"/>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563D0">
              <w:rPr>
                <w:rFonts w:asciiTheme="minorHAnsi" w:hAnsiTheme="minorHAnsi" w:cstheme="minorHAnsi"/>
                <w:b/>
                <w:color w:val="auto"/>
                <w:sz w:val="24"/>
                <w:szCs w:val="24"/>
                <w:lang w:val="en-GB"/>
              </w:rPr>
              <w:t>Timeframe</w:t>
            </w:r>
          </w:p>
        </w:tc>
      </w:tr>
      <w:tr w:rsidR="00B563D0" w:rsidRPr="00B563D0" w14:paraId="29CA0016" w14:textId="77777777" w:rsidTr="00A7441C">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shd w:val="clear" w:color="auto" w:fill="D9D9D9" w:themeFill="background1" w:themeFillShade="D9"/>
          </w:tcPr>
          <w:p w14:paraId="37A1ED61" w14:textId="77777777" w:rsidR="00371C74" w:rsidRPr="00B563D0" w:rsidRDefault="00371C74" w:rsidP="00E930D4">
            <w:pPr>
              <w:shd w:val="clear" w:color="auto" w:fill="D9D9D9" w:themeFill="background1" w:themeFillShade="D9"/>
              <w:suppressAutoHyphens/>
              <w:spacing w:after="0" w:line="240" w:lineRule="auto"/>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Recommendation 4:</w:t>
            </w:r>
          </w:p>
          <w:p w14:paraId="24286EC8" w14:textId="25E301B6" w:rsidR="003A697A" w:rsidRPr="003A697A" w:rsidRDefault="00371C74" w:rsidP="00E930D4">
            <w:pPr>
              <w:shd w:val="clear" w:color="auto" w:fill="D9D9D9" w:themeFill="background1" w:themeFillShade="D9"/>
              <w:suppressAutoHyphens/>
              <w:spacing w:before="0" w:after="0" w:line="240" w:lineRule="auto"/>
              <w:rPr>
                <w:rFonts w:asciiTheme="minorHAnsi" w:hAnsiTheme="minorHAnsi" w:cstheme="minorHAnsi"/>
                <w:color w:val="auto"/>
                <w:sz w:val="24"/>
                <w:szCs w:val="24"/>
              </w:rPr>
            </w:pPr>
            <w:r w:rsidRPr="00B563D0">
              <w:rPr>
                <w:rFonts w:asciiTheme="minorHAnsi" w:hAnsiTheme="minorHAnsi" w:cstheme="minorHAnsi"/>
                <w:color w:val="auto"/>
                <w:sz w:val="24"/>
                <w:szCs w:val="24"/>
              </w:rPr>
              <w:t>Australia continues to actively champion gender and continues to make available its internal technical expertise on gender for ERIA to access.</w:t>
            </w:r>
          </w:p>
        </w:tc>
        <w:tc>
          <w:tcPr>
            <w:tcW w:w="1276" w:type="dxa"/>
            <w:tcBorders>
              <w:top w:val="single" w:sz="4" w:space="0" w:color="auto"/>
              <w:bottom w:val="single" w:sz="4" w:space="0" w:color="auto"/>
            </w:tcBorders>
            <w:shd w:val="clear" w:color="auto" w:fill="70AD47" w:themeFill="accent6"/>
          </w:tcPr>
          <w:p w14:paraId="3E2EB277" w14:textId="77777777" w:rsidR="00371C74" w:rsidRPr="00B563D0" w:rsidRDefault="00371C74" w:rsidP="00371C74">
            <w:pPr>
              <w:keepNext/>
              <w:keepLines/>
              <w:suppressAutoHyphen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color w:val="auto"/>
                <w:sz w:val="24"/>
                <w:szCs w:val="24"/>
                <w:lang w:val="en-US"/>
              </w:rPr>
            </w:pPr>
            <w:r w:rsidRPr="00B563D0">
              <w:rPr>
                <w:rFonts w:asciiTheme="minorHAnsi" w:eastAsiaTheme="majorEastAsia" w:hAnsiTheme="minorHAnsi" w:cstheme="minorHAnsi"/>
                <w:bCs/>
                <w:color w:val="auto"/>
                <w:sz w:val="24"/>
                <w:szCs w:val="24"/>
                <w:lang w:val="en-US"/>
              </w:rPr>
              <w:t>Agree</w:t>
            </w:r>
          </w:p>
          <w:p w14:paraId="208167D5" w14:textId="77777777" w:rsidR="00371C74" w:rsidRPr="00B563D0" w:rsidRDefault="00371C74" w:rsidP="00371C74">
            <w:pPr>
              <w:keepNext/>
              <w:keepLines/>
              <w:suppressAutoHyphen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color w:val="auto"/>
                <w:sz w:val="24"/>
                <w:szCs w:val="24"/>
              </w:rPr>
            </w:pPr>
          </w:p>
        </w:tc>
        <w:tc>
          <w:tcPr>
            <w:tcW w:w="3402" w:type="dxa"/>
            <w:tcBorders>
              <w:top w:val="single" w:sz="4" w:space="0" w:color="auto"/>
              <w:bottom w:val="single" w:sz="4" w:space="0" w:color="auto"/>
            </w:tcBorders>
            <w:shd w:val="clear" w:color="auto" w:fill="D9D9D9" w:themeFill="background1" w:themeFillShade="D9"/>
          </w:tcPr>
          <w:p w14:paraId="0720DF55" w14:textId="5F3AD788" w:rsidR="00A57F23" w:rsidRPr="00CD6BA0" w:rsidRDefault="006B5F91" w:rsidP="00CD6BA0">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 xml:space="preserve">Gender expertise for ERIA will help incorporate gender considerations into ERIA research </w:t>
            </w:r>
            <w:r w:rsidRPr="00B563D0">
              <w:rPr>
                <w:rFonts w:asciiTheme="minorHAnsi" w:hAnsiTheme="minorHAnsi" w:cstheme="minorHAnsi"/>
                <w:color w:val="auto"/>
                <w:sz w:val="24"/>
                <w:szCs w:val="24"/>
                <w:lang w:val="en-GB"/>
              </w:rPr>
              <w:t xml:space="preserve">and therefore </w:t>
            </w:r>
            <w:r w:rsidR="00706B58" w:rsidRPr="00B563D0">
              <w:rPr>
                <w:rFonts w:asciiTheme="minorHAnsi" w:hAnsiTheme="minorHAnsi" w:cstheme="minorHAnsi"/>
                <w:color w:val="auto"/>
                <w:sz w:val="24"/>
                <w:szCs w:val="24"/>
                <w:lang w:val="en-GB"/>
              </w:rPr>
              <w:t xml:space="preserve">strengthen gender capacity and policy advocacy </w:t>
            </w:r>
            <w:r w:rsidR="00D2237B" w:rsidRPr="00B563D0">
              <w:rPr>
                <w:rFonts w:asciiTheme="minorHAnsi" w:hAnsiTheme="minorHAnsi" w:cstheme="minorHAnsi"/>
                <w:color w:val="auto"/>
                <w:sz w:val="24"/>
                <w:szCs w:val="24"/>
                <w:lang w:val="en-GB"/>
              </w:rPr>
              <w:t xml:space="preserve">topics being delivered </w:t>
            </w:r>
            <w:r w:rsidRPr="00B563D0">
              <w:rPr>
                <w:rFonts w:asciiTheme="minorHAnsi" w:hAnsiTheme="minorHAnsi" w:cstheme="minorHAnsi"/>
                <w:color w:val="auto"/>
                <w:sz w:val="24"/>
                <w:szCs w:val="24"/>
                <w:lang w:val="en-GB"/>
              </w:rPr>
              <w:t xml:space="preserve">under the </w:t>
            </w:r>
            <w:r w:rsidR="003D72B9" w:rsidRPr="00B563D0">
              <w:rPr>
                <w:rFonts w:asciiTheme="minorHAnsi" w:hAnsiTheme="minorHAnsi" w:cstheme="minorHAnsi"/>
                <w:color w:val="auto"/>
                <w:sz w:val="24"/>
                <w:szCs w:val="24"/>
                <w:lang w:val="en-GB"/>
              </w:rPr>
              <w:t>program</w:t>
            </w:r>
            <w:r w:rsidRPr="00B563D0">
              <w:rPr>
                <w:rFonts w:asciiTheme="minorHAnsi" w:hAnsiTheme="minorHAnsi" w:cstheme="minorHAnsi"/>
                <w:color w:val="auto"/>
                <w:sz w:val="24"/>
                <w:szCs w:val="24"/>
              </w:rPr>
              <w:t xml:space="preserve">. </w:t>
            </w:r>
          </w:p>
          <w:p w14:paraId="6B960271" w14:textId="6F6941FC" w:rsidR="009D1624" w:rsidRPr="00B563D0" w:rsidRDefault="00A81AF9" w:rsidP="006B5F91">
            <w:pPr>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lang w:val="en-GB"/>
              </w:rPr>
              <w:t>The review found that g</w:t>
            </w:r>
            <w:r w:rsidR="009D1624" w:rsidRPr="00B563D0">
              <w:rPr>
                <w:rFonts w:asciiTheme="minorHAnsi" w:hAnsiTheme="minorHAnsi" w:cstheme="minorHAnsi"/>
                <w:color w:val="auto"/>
                <w:sz w:val="24"/>
                <w:szCs w:val="24"/>
                <w:lang w:val="en-GB"/>
              </w:rPr>
              <w:t xml:space="preserve">ender analysis in relation to the economic and trade themes are an area where more could be done and there was untapped potential. Program’s linkages with gender expertise </w:t>
            </w:r>
            <w:r w:rsidR="003D2CE2" w:rsidRPr="00B563D0">
              <w:rPr>
                <w:rFonts w:asciiTheme="minorHAnsi" w:hAnsiTheme="minorHAnsi" w:cstheme="minorHAnsi"/>
                <w:color w:val="auto"/>
                <w:sz w:val="24"/>
                <w:szCs w:val="24"/>
                <w:lang w:val="en-GB"/>
              </w:rPr>
              <w:t xml:space="preserve">from internal and external DFAT </w:t>
            </w:r>
            <w:r w:rsidR="009D1624" w:rsidRPr="00B563D0">
              <w:rPr>
                <w:rFonts w:asciiTheme="minorHAnsi" w:hAnsiTheme="minorHAnsi" w:cstheme="minorHAnsi"/>
                <w:color w:val="auto"/>
                <w:sz w:val="24"/>
                <w:szCs w:val="24"/>
                <w:lang w:val="en-GB"/>
              </w:rPr>
              <w:t xml:space="preserve">will </w:t>
            </w:r>
            <w:r w:rsidR="003D2CE2" w:rsidRPr="00B563D0">
              <w:rPr>
                <w:rFonts w:asciiTheme="minorHAnsi" w:hAnsiTheme="minorHAnsi" w:cstheme="minorHAnsi"/>
                <w:color w:val="auto"/>
                <w:sz w:val="24"/>
                <w:szCs w:val="24"/>
                <w:lang w:val="en-GB"/>
              </w:rPr>
              <w:t xml:space="preserve">help ERIA </w:t>
            </w:r>
            <w:r w:rsidR="006B5F91" w:rsidRPr="00B563D0">
              <w:rPr>
                <w:rFonts w:asciiTheme="minorHAnsi" w:hAnsiTheme="minorHAnsi" w:cstheme="minorHAnsi"/>
                <w:color w:val="auto"/>
                <w:sz w:val="24"/>
                <w:szCs w:val="24"/>
                <w:lang w:val="en-GB"/>
              </w:rPr>
              <w:t xml:space="preserve">with </w:t>
            </w:r>
            <w:r w:rsidR="003D2CE2" w:rsidRPr="00B563D0">
              <w:rPr>
                <w:rFonts w:asciiTheme="minorHAnsi" w:hAnsiTheme="minorHAnsi" w:cstheme="minorHAnsi"/>
                <w:color w:val="auto"/>
                <w:sz w:val="24"/>
                <w:szCs w:val="24"/>
                <w:lang w:val="en-GB"/>
              </w:rPr>
              <w:t>the analysis.</w:t>
            </w:r>
          </w:p>
          <w:p w14:paraId="1F791FBC" w14:textId="59589B27" w:rsidR="00691A76" w:rsidRPr="00B563D0" w:rsidRDefault="00691A76" w:rsidP="00371C74">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auto"/>
                <w:sz w:val="24"/>
                <w:szCs w:val="24"/>
                <w:lang w:val="en-GB"/>
              </w:rPr>
            </w:pPr>
          </w:p>
        </w:tc>
        <w:tc>
          <w:tcPr>
            <w:tcW w:w="2976" w:type="dxa"/>
            <w:tcBorders>
              <w:top w:val="single" w:sz="4" w:space="0" w:color="auto"/>
              <w:bottom w:val="single" w:sz="4" w:space="0" w:color="auto"/>
            </w:tcBorders>
            <w:shd w:val="clear" w:color="auto" w:fill="D9D9D9" w:themeFill="background1" w:themeFillShade="D9"/>
          </w:tcPr>
          <w:p w14:paraId="4E19DD6E" w14:textId="6A29E0A9" w:rsidR="006B5F91" w:rsidRPr="00B563D0" w:rsidRDefault="00567309" w:rsidP="006B5F91">
            <w:pPr>
              <w:pStyle w:val="ListParagraph"/>
              <w:numPr>
                <w:ilvl w:val="0"/>
                <w:numId w:val="6"/>
              </w:numPr>
              <w:spacing w:before="60" w:after="0" w:line="240" w:lineRule="auto"/>
              <w:ind w:left="351"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Subject to budget availability, DFAT will engage a consultant to establish</w:t>
            </w:r>
            <w:r w:rsidR="003D2CE2" w:rsidRPr="00B563D0">
              <w:rPr>
                <w:rFonts w:asciiTheme="minorHAnsi" w:hAnsiTheme="minorHAnsi" w:cstheme="minorHAnsi"/>
                <w:color w:val="auto"/>
                <w:sz w:val="24"/>
                <w:szCs w:val="24"/>
              </w:rPr>
              <w:t xml:space="preserve"> </w:t>
            </w:r>
            <w:r w:rsidR="00691A76" w:rsidRPr="00B563D0">
              <w:rPr>
                <w:rFonts w:asciiTheme="minorHAnsi" w:hAnsiTheme="minorHAnsi" w:cstheme="minorHAnsi"/>
                <w:color w:val="auto"/>
                <w:sz w:val="24"/>
                <w:szCs w:val="24"/>
              </w:rPr>
              <w:t xml:space="preserve">the program’s </w:t>
            </w:r>
            <w:r w:rsidR="00727F2B" w:rsidRPr="00B563D0">
              <w:rPr>
                <w:rFonts w:asciiTheme="minorHAnsi" w:hAnsiTheme="minorHAnsi" w:cstheme="minorHAnsi"/>
                <w:color w:val="auto"/>
                <w:sz w:val="24"/>
                <w:szCs w:val="24"/>
              </w:rPr>
              <w:t xml:space="preserve">gender equality, disability and </w:t>
            </w:r>
            <w:r w:rsidR="00691A76" w:rsidRPr="00B563D0">
              <w:rPr>
                <w:rFonts w:asciiTheme="minorHAnsi" w:hAnsiTheme="minorHAnsi" w:cstheme="minorHAnsi"/>
                <w:color w:val="auto"/>
                <w:sz w:val="24"/>
                <w:szCs w:val="24"/>
              </w:rPr>
              <w:t xml:space="preserve">social inclusion </w:t>
            </w:r>
            <w:r w:rsidR="00727F2B" w:rsidRPr="00B563D0">
              <w:rPr>
                <w:rFonts w:asciiTheme="minorHAnsi" w:hAnsiTheme="minorHAnsi" w:cstheme="minorHAnsi"/>
                <w:color w:val="auto"/>
                <w:sz w:val="24"/>
                <w:szCs w:val="24"/>
              </w:rPr>
              <w:t xml:space="preserve">(GEDSI) </w:t>
            </w:r>
            <w:r w:rsidR="00691A76" w:rsidRPr="00B563D0">
              <w:rPr>
                <w:rFonts w:asciiTheme="minorHAnsi" w:hAnsiTheme="minorHAnsi" w:cstheme="minorHAnsi"/>
                <w:color w:val="auto"/>
                <w:sz w:val="24"/>
                <w:szCs w:val="24"/>
              </w:rPr>
              <w:t>strategy</w:t>
            </w:r>
            <w:r w:rsidRPr="00B563D0">
              <w:rPr>
                <w:rFonts w:asciiTheme="minorHAnsi" w:hAnsiTheme="minorHAnsi" w:cstheme="minorHAnsi"/>
                <w:color w:val="auto"/>
                <w:sz w:val="24"/>
                <w:szCs w:val="24"/>
              </w:rPr>
              <w:t>, in consultation with DFAT Gender Equality Branch and ERIA.</w:t>
            </w:r>
            <w:r w:rsidR="00691A76" w:rsidRPr="00B563D0">
              <w:rPr>
                <w:rFonts w:asciiTheme="minorHAnsi" w:hAnsiTheme="minorHAnsi" w:cstheme="minorHAnsi"/>
                <w:color w:val="auto"/>
                <w:sz w:val="24"/>
                <w:szCs w:val="24"/>
              </w:rPr>
              <w:t xml:space="preserve"> This work will </w:t>
            </w:r>
            <w:r w:rsidR="004650F6" w:rsidRPr="00B563D0">
              <w:rPr>
                <w:rFonts w:asciiTheme="minorHAnsi" w:hAnsiTheme="minorHAnsi" w:cstheme="minorHAnsi"/>
                <w:color w:val="auto"/>
                <w:sz w:val="24"/>
                <w:szCs w:val="24"/>
              </w:rPr>
              <w:t xml:space="preserve">commence </w:t>
            </w:r>
            <w:r w:rsidR="00691A76" w:rsidRPr="00B563D0">
              <w:rPr>
                <w:rFonts w:asciiTheme="minorHAnsi" w:hAnsiTheme="minorHAnsi" w:cstheme="minorHAnsi"/>
                <w:color w:val="auto"/>
                <w:sz w:val="24"/>
                <w:szCs w:val="24"/>
              </w:rPr>
              <w:t>after the M&amp;E</w:t>
            </w:r>
            <w:r w:rsidR="004650F6" w:rsidRPr="00B563D0">
              <w:rPr>
                <w:rFonts w:asciiTheme="minorHAnsi" w:hAnsiTheme="minorHAnsi" w:cstheme="minorHAnsi"/>
                <w:color w:val="auto"/>
                <w:sz w:val="24"/>
                <w:szCs w:val="24"/>
              </w:rPr>
              <w:t xml:space="preserve"> Plan</w:t>
            </w:r>
            <w:r w:rsidR="00691A76" w:rsidRPr="00B563D0">
              <w:rPr>
                <w:rFonts w:asciiTheme="minorHAnsi" w:hAnsiTheme="minorHAnsi" w:cstheme="minorHAnsi"/>
                <w:color w:val="auto"/>
                <w:sz w:val="24"/>
                <w:szCs w:val="24"/>
              </w:rPr>
              <w:t xml:space="preserve"> revision (see also Recommendation 9) which will include a plan to incorporate </w:t>
            </w:r>
            <w:r w:rsidR="003D2CE2" w:rsidRPr="00B563D0">
              <w:rPr>
                <w:rFonts w:asciiTheme="minorHAnsi" w:hAnsiTheme="minorHAnsi" w:cstheme="minorHAnsi"/>
                <w:color w:val="auto"/>
                <w:sz w:val="24"/>
                <w:szCs w:val="24"/>
              </w:rPr>
              <w:t xml:space="preserve">a </w:t>
            </w:r>
            <w:r w:rsidR="004A6DC7" w:rsidRPr="00B563D0">
              <w:rPr>
                <w:rFonts w:asciiTheme="minorHAnsi" w:hAnsiTheme="minorHAnsi" w:cstheme="minorHAnsi"/>
                <w:color w:val="auto"/>
                <w:sz w:val="24"/>
                <w:szCs w:val="24"/>
              </w:rPr>
              <w:lastRenderedPageBreak/>
              <w:t xml:space="preserve">GEDSI </w:t>
            </w:r>
            <w:r w:rsidR="00691A76" w:rsidRPr="00B563D0">
              <w:rPr>
                <w:rFonts w:asciiTheme="minorHAnsi" w:hAnsiTheme="minorHAnsi" w:cstheme="minorHAnsi"/>
                <w:color w:val="auto"/>
                <w:sz w:val="24"/>
                <w:szCs w:val="24"/>
              </w:rPr>
              <w:t>strategy into the program.</w:t>
            </w:r>
          </w:p>
          <w:p w14:paraId="606D44B9" w14:textId="77777777" w:rsidR="006B5F91" w:rsidRPr="00B563D0" w:rsidRDefault="006B5F91" w:rsidP="006B5F91">
            <w:pPr>
              <w:pStyle w:val="ListParagraph"/>
              <w:numPr>
                <w:ilvl w:val="0"/>
                <w:numId w:val="0"/>
              </w:numPr>
              <w:spacing w:before="0" w:after="0" w:line="240" w:lineRule="auto"/>
              <w:ind w:left="35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5D4EE379" w14:textId="01002184" w:rsidR="006B5F91" w:rsidRPr="00B563D0" w:rsidRDefault="006B5F91" w:rsidP="006B5F91">
            <w:pPr>
              <w:pStyle w:val="ListParagraph"/>
              <w:numPr>
                <w:ilvl w:val="0"/>
                <w:numId w:val="6"/>
              </w:numPr>
              <w:spacing w:before="0" w:after="0" w:line="240" w:lineRule="auto"/>
              <w:ind w:left="352" w:hanging="35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DFAT will link the program to gender advisors in CLM Posts and relevant work on gender in bilateral </w:t>
            </w:r>
            <w:r w:rsidR="00706B58" w:rsidRPr="00B563D0">
              <w:rPr>
                <w:rFonts w:asciiTheme="minorHAnsi" w:hAnsiTheme="minorHAnsi" w:cstheme="minorHAnsi"/>
                <w:color w:val="auto"/>
                <w:sz w:val="24"/>
                <w:szCs w:val="24"/>
              </w:rPr>
              <w:t xml:space="preserve">and other regional </w:t>
            </w:r>
            <w:r w:rsidRPr="00B563D0">
              <w:rPr>
                <w:rFonts w:asciiTheme="minorHAnsi" w:hAnsiTheme="minorHAnsi" w:cstheme="minorHAnsi"/>
                <w:color w:val="auto"/>
                <w:sz w:val="24"/>
                <w:szCs w:val="24"/>
              </w:rPr>
              <w:t>programs.</w:t>
            </w:r>
          </w:p>
          <w:p w14:paraId="04C34279" w14:textId="7B3C4AB8" w:rsidR="004A6DC7" w:rsidRPr="00B563D0" w:rsidRDefault="004A6DC7" w:rsidP="007D3F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tc>
        <w:tc>
          <w:tcPr>
            <w:tcW w:w="1560" w:type="dxa"/>
            <w:tcBorders>
              <w:top w:val="single" w:sz="4" w:space="0" w:color="auto"/>
            </w:tcBorders>
            <w:shd w:val="clear" w:color="auto" w:fill="D9D9D9" w:themeFill="background1" w:themeFillShade="D9"/>
          </w:tcPr>
          <w:p w14:paraId="57310A3F" w14:textId="25C82579" w:rsidR="00371C74" w:rsidRPr="00B563D0" w:rsidRDefault="00203CEF" w:rsidP="006B5F91">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lastRenderedPageBreak/>
              <w:t>July</w:t>
            </w:r>
            <w:r w:rsidR="00737B7F" w:rsidRPr="00B563D0">
              <w:rPr>
                <w:rFonts w:asciiTheme="minorHAnsi" w:hAnsiTheme="minorHAnsi" w:cstheme="minorHAnsi"/>
                <w:color w:val="auto"/>
                <w:sz w:val="24"/>
                <w:szCs w:val="24"/>
              </w:rPr>
              <w:t xml:space="preserve"> </w:t>
            </w:r>
            <w:r w:rsidR="00371C74" w:rsidRPr="00B563D0">
              <w:rPr>
                <w:rFonts w:asciiTheme="minorHAnsi" w:hAnsiTheme="minorHAnsi" w:cstheme="minorHAnsi"/>
                <w:color w:val="auto"/>
                <w:sz w:val="24"/>
                <w:szCs w:val="24"/>
              </w:rPr>
              <w:t>2021</w:t>
            </w:r>
          </w:p>
          <w:p w14:paraId="52936D02" w14:textId="77777777" w:rsidR="00691A76" w:rsidRPr="00B563D0" w:rsidRDefault="00691A76"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65E8F1A3" w14:textId="77777777" w:rsidR="00691A76" w:rsidRPr="00B563D0" w:rsidRDefault="00691A76"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36C9408D" w14:textId="77777777" w:rsidR="00691A76" w:rsidRPr="00B563D0" w:rsidRDefault="00691A76"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284CAE36" w14:textId="77777777" w:rsidR="00691A76" w:rsidRPr="00B563D0" w:rsidRDefault="00691A76"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2C9B3FDF" w14:textId="77777777" w:rsidR="00691A76" w:rsidRPr="00B563D0" w:rsidRDefault="00691A76"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6E38FE0E" w14:textId="77777777" w:rsidR="00691A76" w:rsidRPr="00B563D0" w:rsidRDefault="00691A76"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p w14:paraId="1DC086A0" w14:textId="77777777" w:rsidR="00691A76" w:rsidRPr="00B563D0" w:rsidRDefault="00691A76"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2E485D98" w14:textId="77777777" w:rsidR="006B5F91" w:rsidRPr="00B563D0" w:rsidRDefault="006B5F91"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01ED60E6" w14:textId="77777777" w:rsidR="006B5F91" w:rsidRPr="00B563D0" w:rsidRDefault="006B5F91"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14486E8B" w14:textId="77777777" w:rsidR="006B5F91" w:rsidRPr="00B563D0" w:rsidRDefault="006B5F91"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26329B50" w14:textId="22E0ABF1" w:rsidR="006B5F91" w:rsidRPr="00B563D0" w:rsidRDefault="006B5F91"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2030FD5E" w14:textId="77777777" w:rsidR="006B5F91" w:rsidRPr="00B563D0" w:rsidRDefault="006B5F91"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71EBD128" w14:textId="6561157F" w:rsidR="006B5F91" w:rsidRPr="00B563D0" w:rsidRDefault="006B5F91"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58829DCD" w14:textId="25EC9432" w:rsidR="00036646" w:rsidRPr="00B563D0" w:rsidRDefault="00036646"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7FFE0A04" w14:textId="77777777" w:rsidR="00036646" w:rsidRPr="00B563D0" w:rsidRDefault="00036646" w:rsidP="006B5F9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4CEAE2FF" w14:textId="77777777" w:rsidR="006B5F91" w:rsidRPr="00B563D0" w:rsidRDefault="006B5F91" w:rsidP="006B5F91">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Ongoing</w:t>
            </w:r>
          </w:p>
          <w:p w14:paraId="51D9C0E5" w14:textId="431560E2" w:rsidR="006B5F91" w:rsidRPr="00B563D0" w:rsidRDefault="006B5F91" w:rsidP="00371C74">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tc>
      </w:tr>
    </w:tbl>
    <w:p w14:paraId="0B6E6713" w14:textId="77BCC372" w:rsidR="00E176A8" w:rsidRDefault="00A7441C" w:rsidP="00A7441C">
      <w:pPr>
        <w:pStyle w:val="Heading2"/>
        <w:spacing w:before="240"/>
      </w:pPr>
      <w:r w:rsidRPr="00B563D0">
        <w:lastRenderedPageBreak/>
        <w:t>Pivot to COVID-19</w:t>
      </w:r>
    </w:p>
    <w:tbl>
      <w:tblPr>
        <w:tblStyle w:val="DFATTable1"/>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gridCol w:w="3543"/>
        <w:gridCol w:w="2977"/>
        <w:gridCol w:w="1418"/>
      </w:tblGrid>
      <w:tr w:rsidR="00CD6BA0" w:rsidRPr="00B563D0" w14:paraId="14D3FAE5" w14:textId="77777777" w:rsidTr="00CD6BA0">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bottom w:val="single" w:sz="4" w:space="0" w:color="auto"/>
              <w:right w:val="single" w:sz="4" w:space="0" w:color="auto"/>
            </w:tcBorders>
            <w:vAlign w:val="center"/>
          </w:tcPr>
          <w:p w14:paraId="246B5CA0" w14:textId="7E183482" w:rsidR="00A7441C" w:rsidRPr="00B563D0" w:rsidRDefault="00A7441C" w:rsidP="00A7441C">
            <w:pPr>
              <w:pStyle w:val="Heading2"/>
              <w:rPr>
                <w:lang w:val="en-GB"/>
              </w:rPr>
            </w:pPr>
            <w:r w:rsidRPr="00B563D0">
              <w:rPr>
                <w:rFonts w:asciiTheme="minorHAnsi" w:hAnsiTheme="minorHAnsi"/>
                <w:color w:val="auto"/>
                <w:lang w:val="en-GB"/>
              </w:rPr>
              <w:t>Recommendation</w:t>
            </w:r>
          </w:p>
        </w:tc>
        <w:tc>
          <w:tcPr>
            <w:tcW w:w="1276" w:type="dxa"/>
            <w:tcBorders>
              <w:top w:val="single" w:sz="4" w:space="0" w:color="auto"/>
              <w:left w:val="single" w:sz="4" w:space="0" w:color="auto"/>
              <w:bottom w:val="single" w:sz="4" w:space="0" w:color="auto"/>
              <w:right w:val="single" w:sz="4" w:space="0" w:color="auto"/>
            </w:tcBorders>
            <w:vAlign w:val="center"/>
          </w:tcPr>
          <w:p w14:paraId="45CD1C86" w14:textId="745A07A7"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rPr>
                <w:rFonts w:eastAsiaTheme="majorEastAsia"/>
                <w:bCs/>
              </w:rPr>
            </w:pPr>
            <w:r w:rsidRPr="00B563D0">
              <w:rPr>
                <w:rFonts w:asciiTheme="minorHAnsi" w:hAnsiTheme="minorHAnsi"/>
                <w:color w:val="auto"/>
                <w:lang w:val="en-GB"/>
              </w:rPr>
              <w:t>Response</w:t>
            </w:r>
          </w:p>
        </w:tc>
        <w:tc>
          <w:tcPr>
            <w:tcW w:w="3543" w:type="dxa"/>
            <w:tcBorders>
              <w:top w:val="single" w:sz="4" w:space="0" w:color="auto"/>
              <w:left w:val="single" w:sz="4" w:space="0" w:color="auto"/>
              <w:bottom w:val="single" w:sz="4" w:space="0" w:color="auto"/>
              <w:right w:val="single" w:sz="4" w:space="0" w:color="auto"/>
            </w:tcBorders>
            <w:vAlign w:val="center"/>
          </w:tcPr>
          <w:p w14:paraId="68CC1592" w14:textId="25BA6C60"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pPr>
            <w:r w:rsidRPr="00B563D0">
              <w:rPr>
                <w:rFonts w:asciiTheme="minorHAnsi" w:hAnsiTheme="minorHAnsi"/>
                <w:color w:val="auto"/>
                <w:lang w:val="en-GB"/>
              </w:rPr>
              <w:t>Explanation</w:t>
            </w:r>
          </w:p>
        </w:tc>
        <w:tc>
          <w:tcPr>
            <w:tcW w:w="2977" w:type="dxa"/>
            <w:tcBorders>
              <w:top w:val="single" w:sz="4" w:space="0" w:color="auto"/>
              <w:left w:val="single" w:sz="4" w:space="0" w:color="auto"/>
              <w:bottom w:val="single" w:sz="4" w:space="0" w:color="auto"/>
              <w:right w:val="single" w:sz="4" w:space="0" w:color="auto"/>
            </w:tcBorders>
            <w:vAlign w:val="center"/>
          </w:tcPr>
          <w:p w14:paraId="78647A85" w14:textId="4F66EBD2" w:rsidR="00A7441C" w:rsidRPr="00E930D4" w:rsidRDefault="00A7441C" w:rsidP="00A7441C">
            <w:pPr>
              <w:pStyle w:val="Heading2"/>
              <w:cnfStyle w:val="100000000000" w:firstRow="1" w:lastRow="0" w:firstColumn="0" w:lastColumn="0" w:oddVBand="0" w:evenVBand="0" w:oddHBand="0" w:evenHBand="0" w:firstRowFirstColumn="0" w:firstRowLastColumn="0" w:lastRowFirstColumn="0" w:lastRowLastColumn="0"/>
            </w:pPr>
            <w:r w:rsidRPr="00B563D0">
              <w:rPr>
                <w:rFonts w:asciiTheme="minorHAnsi" w:hAnsiTheme="minorHAnsi"/>
                <w:color w:val="auto"/>
                <w:lang w:val="en-GB"/>
              </w:rPr>
              <w:t>Action plan</w:t>
            </w:r>
          </w:p>
        </w:tc>
        <w:tc>
          <w:tcPr>
            <w:tcW w:w="1418" w:type="dxa"/>
            <w:tcBorders>
              <w:top w:val="single" w:sz="4" w:space="0" w:color="auto"/>
              <w:left w:val="single" w:sz="4" w:space="0" w:color="auto"/>
              <w:bottom w:val="single" w:sz="4" w:space="0" w:color="auto"/>
            </w:tcBorders>
            <w:vAlign w:val="center"/>
          </w:tcPr>
          <w:p w14:paraId="41BD4384" w14:textId="39EC6AE6" w:rsidR="00A7441C" w:rsidRDefault="00A7441C" w:rsidP="00A7441C">
            <w:pPr>
              <w:pStyle w:val="Heading2"/>
              <w:cnfStyle w:val="100000000000" w:firstRow="1" w:lastRow="0" w:firstColumn="0" w:lastColumn="0" w:oddVBand="0" w:evenVBand="0" w:oddHBand="0" w:evenHBand="0" w:firstRowFirstColumn="0" w:firstRowLastColumn="0" w:lastRowFirstColumn="0" w:lastRowLastColumn="0"/>
            </w:pPr>
            <w:r w:rsidRPr="00B563D0">
              <w:rPr>
                <w:rFonts w:asciiTheme="minorHAnsi" w:hAnsiTheme="minorHAnsi"/>
                <w:color w:val="auto"/>
                <w:lang w:val="en-GB"/>
              </w:rPr>
              <w:t>Timeframe</w:t>
            </w:r>
          </w:p>
        </w:tc>
      </w:tr>
      <w:tr w:rsidR="00B563D0" w:rsidRPr="00B563D0" w14:paraId="76A9FBD8" w14:textId="77777777" w:rsidTr="00CD6BA0">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shd w:val="clear" w:color="auto" w:fill="D9D9D9" w:themeFill="background1" w:themeFillShade="D9"/>
          </w:tcPr>
          <w:p w14:paraId="69119E1D" w14:textId="77777777" w:rsidR="008C34D1" w:rsidRPr="00B563D0" w:rsidRDefault="008C34D1" w:rsidP="00A63858">
            <w:pPr>
              <w:tabs>
                <w:tab w:val="left" w:pos="29"/>
              </w:tabs>
              <w:suppressAutoHyphens/>
              <w:spacing w:after="0" w:line="240" w:lineRule="auto"/>
              <w:ind w:hanging="28"/>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Recommendation 5:</w:t>
            </w:r>
          </w:p>
          <w:p w14:paraId="1D191BBC" w14:textId="099828C0" w:rsidR="008C34D1" w:rsidRPr="00B563D0" w:rsidRDefault="008C34D1" w:rsidP="008C34D1">
            <w:pPr>
              <w:tabs>
                <w:tab w:val="left" w:pos="29"/>
              </w:tabs>
              <w:suppressAutoHyphens/>
              <w:spacing w:before="0" w:after="0" w:line="240" w:lineRule="auto"/>
              <w:ind w:hanging="29"/>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The program’s work</w:t>
            </w:r>
            <w:r w:rsidR="002C4C18" w:rsidRPr="00B563D0">
              <w:rPr>
                <w:rFonts w:asciiTheme="minorHAnsi" w:hAnsiTheme="minorHAnsi" w:cstheme="minorHAnsi"/>
                <w:color w:val="auto"/>
                <w:sz w:val="24"/>
                <w:szCs w:val="24"/>
                <w:lang w:val="id-ID"/>
              </w:rPr>
              <w:t xml:space="preserve"> </w:t>
            </w:r>
            <w:r w:rsidRPr="00B563D0">
              <w:rPr>
                <w:rFonts w:asciiTheme="minorHAnsi" w:hAnsiTheme="minorHAnsi" w:cstheme="minorHAnsi"/>
                <w:color w:val="auto"/>
                <w:sz w:val="24"/>
                <w:szCs w:val="24"/>
              </w:rPr>
              <w:t xml:space="preserve">plan includes funds to pay for technical skills to help design effective online CBP courses where online courses are deemed feasible and appropriate. </w:t>
            </w:r>
          </w:p>
        </w:tc>
        <w:tc>
          <w:tcPr>
            <w:tcW w:w="1276" w:type="dxa"/>
            <w:tcBorders>
              <w:top w:val="single" w:sz="4" w:space="0" w:color="auto"/>
              <w:bottom w:val="single" w:sz="4" w:space="0" w:color="auto"/>
            </w:tcBorders>
            <w:shd w:val="clear" w:color="auto" w:fill="70AD47" w:themeFill="accent6"/>
          </w:tcPr>
          <w:p w14:paraId="6749CEEA" w14:textId="37E0D8FB" w:rsidR="008C34D1" w:rsidRPr="00B563D0" w:rsidRDefault="008C34D1" w:rsidP="008C34D1">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eastAsiaTheme="majorEastAsia" w:hAnsiTheme="minorHAnsi" w:cstheme="minorHAnsi"/>
                <w:bCs/>
                <w:color w:val="auto"/>
                <w:sz w:val="24"/>
                <w:szCs w:val="24"/>
              </w:rPr>
              <w:t>Agree</w:t>
            </w:r>
          </w:p>
        </w:tc>
        <w:tc>
          <w:tcPr>
            <w:tcW w:w="3543" w:type="dxa"/>
            <w:tcBorders>
              <w:top w:val="single" w:sz="4" w:space="0" w:color="auto"/>
              <w:bottom w:val="single" w:sz="4" w:space="0" w:color="auto"/>
            </w:tcBorders>
            <w:shd w:val="clear" w:color="auto" w:fill="D9D9D9" w:themeFill="background1" w:themeFillShade="D9"/>
          </w:tcPr>
          <w:p w14:paraId="161F79E1" w14:textId="5F089718" w:rsidR="00567309" w:rsidRPr="00B563D0" w:rsidRDefault="002E1C50" w:rsidP="00CD6BA0">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DFAT acknowledges the review finding that t</w:t>
            </w:r>
            <w:r w:rsidR="008C34D1" w:rsidRPr="00B563D0">
              <w:rPr>
                <w:rFonts w:asciiTheme="minorHAnsi" w:hAnsiTheme="minorHAnsi" w:cstheme="minorHAnsi"/>
                <w:color w:val="auto"/>
                <w:sz w:val="24"/>
                <w:szCs w:val="24"/>
              </w:rPr>
              <w:t xml:space="preserve">he delivery of online CBP content is </w:t>
            </w:r>
            <w:proofErr w:type="gramStart"/>
            <w:r w:rsidR="008C34D1" w:rsidRPr="00B563D0">
              <w:rPr>
                <w:rFonts w:asciiTheme="minorHAnsi" w:hAnsiTheme="minorHAnsi" w:cstheme="minorHAnsi"/>
                <w:color w:val="auto"/>
                <w:sz w:val="24"/>
                <w:szCs w:val="24"/>
              </w:rPr>
              <w:t>challenging, and</w:t>
            </w:r>
            <w:proofErr w:type="gramEnd"/>
            <w:r w:rsidR="008C34D1" w:rsidRPr="00B563D0">
              <w:rPr>
                <w:rFonts w:asciiTheme="minorHAnsi" w:hAnsiTheme="minorHAnsi" w:cstheme="minorHAnsi"/>
                <w:color w:val="auto"/>
                <w:sz w:val="24"/>
                <w:szCs w:val="24"/>
              </w:rPr>
              <w:t xml:space="preserve"> has created a risk around the achievement of the program’s outcomes.</w:t>
            </w:r>
            <w:r w:rsidRPr="00B563D0">
              <w:rPr>
                <w:rFonts w:asciiTheme="minorHAnsi" w:hAnsiTheme="minorHAnsi" w:cstheme="minorHAnsi"/>
                <w:color w:val="auto"/>
                <w:sz w:val="24"/>
                <w:szCs w:val="24"/>
              </w:rPr>
              <w:t xml:space="preserve"> </w:t>
            </w:r>
          </w:p>
          <w:p w14:paraId="6D8AE828" w14:textId="0B2F8710" w:rsidR="003F18E4" w:rsidRPr="00B563D0" w:rsidRDefault="00567309" w:rsidP="00CD6BA0">
            <w:pPr>
              <w:pStyle w:val="BodyText"/>
              <w:spacing w:before="24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lang w:val="en-GB"/>
              </w:rPr>
              <w:t xml:space="preserve">The design of online courses was a </w:t>
            </w:r>
            <w:r w:rsidR="00441BA9" w:rsidRPr="00B563D0">
              <w:rPr>
                <w:rFonts w:asciiTheme="minorHAnsi" w:hAnsiTheme="minorHAnsi" w:cstheme="minorHAnsi"/>
                <w:color w:val="auto"/>
                <w:sz w:val="24"/>
                <w:szCs w:val="24"/>
                <w:lang w:val="en-GB"/>
              </w:rPr>
              <w:t xml:space="preserve">challenge </w:t>
            </w:r>
            <w:r w:rsidRPr="00B563D0">
              <w:rPr>
                <w:rFonts w:asciiTheme="minorHAnsi" w:hAnsiTheme="minorHAnsi" w:cstheme="minorHAnsi"/>
                <w:color w:val="auto"/>
                <w:sz w:val="24"/>
                <w:szCs w:val="24"/>
                <w:lang w:val="en-GB"/>
              </w:rPr>
              <w:t xml:space="preserve">in the beginning of </w:t>
            </w:r>
            <w:r w:rsidR="0045661D" w:rsidRPr="00B563D0">
              <w:rPr>
                <w:rFonts w:asciiTheme="minorHAnsi" w:hAnsiTheme="minorHAnsi" w:cstheme="minorHAnsi"/>
                <w:color w:val="auto"/>
                <w:sz w:val="24"/>
                <w:szCs w:val="24"/>
                <w:lang w:val="en-GB"/>
              </w:rPr>
              <w:t xml:space="preserve">the </w:t>
            </w:r>
            <w:r w:rsidRPr="00B563D0">
              <w:rPr>
                <w:rFonts w:asciiTheme="minorHAnsi" w:hAnsiTheme="minorHAnsi" w:cstheme="minorHAnsi"/>
                <w:color w:val="auto"/>
                <w:sz w:val="24"/>
                <w:szCs w:val="24"/>
                <w:lang w:val="en-GB"/>
              </w:rPr>
              <w:t xml:space="preserve">COVID-19 </w:t>
            </w:r>
            <w:r w:rsidR="002E1C50" w:rsidRPr="00B563D0">
              <w:rPr>
                <w:rFonts w:asciiTheme="minorHAnsi" w:hAnsiTheme="minorHAnsi" w:cstheme="minorHAnsi"/>
                <w:color w:val="auto"/>
                <w:sz w:val="24"/>
                <w:szCs w:val="24"/>
                <w:lang w:val="en-GB"/>
              </w:rPr>
              <w:t>pandemic. CBP managed to deliver e</w:t>
            </w:r>
            <w:r w:rsidRPr="00B563D0">
              <w:rPr>
                <w:rFonts w:asciiTheme="minorHAnsi" w:hAnsiTheme="minorHAnsi" w:cstheme="minorHAnsi"/>
                <w:color w:val="auto"/>
                <w:sz w:val="24"/>
                <w:szCs w:val="24"/>
                <w:lang w:val="en-GB"/>
              </w:rPr>
              <w:t xml:space="preserve">-commerce courses for Myanmar and </w:t>
            </w:r>
            <w:r w:rsidRPr="00B563D0">
              <w:rPr>
                <w:rFonts w:asciiTheme="minorHAnsi" w:hAnsiTheme="minorHAnsi" w:cstheme="minorHAnsi"/>
                <w:color w:val="auto"/>
                <w:sz w:val="24"/>
                <w:szCs w:val="24"/>
                <w:lang w:val="en-GB"/>
              </w:rPr>
              <w:lastRenderedPageBreak/>
              <w:t>Cambodia</w:t>
            </w:r>
            <w:r w:rsidR="002E1C50" w:rsidRPr="00B563D0">
              <w:rPr>
                <w:rFonts w:asciiTheme="minorHAnsi" w:hAnsiTheme="minorHAnsi" w:cstheme="minorHAnsi"/>
                <w:color w:val="auto"/>
                <w:sz w:val="24"/>
                <w:szCs w:val="24"/>
                <w:lang w:val="en-GB"/>
              </w:rPr>
              <w:t xml:space="preserve"> in 2020. These online courses </w:t>
            </w:r>
            <w:r w:rsidRPr="00B563D0">
              <w:rPr>
                <w:rFonts w:asciiTheme="minorHAnsi" w:hAnsiTheme="minorHAnsi" w:cstheme="minorHAnsi"/>
                <w:color w:val="auto"/>
                <w:sz w:val="24"/>
                <w:szCs w:val="24"/>
                <w:lang w:val="en-GB"/>
              </w:rPr>
              <w:t>we</w:t>
            </w:r>
            <w:r w:rsidR="002E1C50" w:rsidRPr="00B563D0">
              <w:rPr>
                <w:rFonts w:asciiTheme="minorHAnsi" w:hAnsiTheme="minorHAnsi" w:cstheme="minorHAnsi"/>
                <w:color w:val="auto"/>
                <w:sz w:val="24"/>
                <w:szCs w:val="24"/>
                <w:lang w:val="en-GB"/>
              </w:rPr>
              <w:t>re well-</w:t>
            </w:r>
            <w:r w:rsidRPr="00B563D0">
              <w:rPr>
                <w:rFonts w:asciiTheme="minorHAnsi" w:hAnsiTheme="minorHAnsi" w:cstheme="minorHAnsi"/>
                <w:color w:val="auto"/>
                <w:sz w:val="24"/>
                <w:szCs w:val="24"/>
                <w:lang w:val="en-GB"/>
              </w:rPr>
              <w:t xml:space="preserve">designed. The </w:t>
            </w:r>
            <w:r w:rsidR="003A2CDB" w:rsidRPr="00B563D0">
              <w:rPr>
                <w:rFonts w:asciiTheme="minorHAnsi" w:hAnsiTheme="minorHAnsi" w:cstheme="minorHAnsi"/>
                <w:color w:val="auto"/>
                <w:sz w:val="24"/>
                <w:szCs w:val="24"/>
                <w:lang w:val="en-GB"/>
              </w:rPr>
              <w:t>remaining</w:t>
            </w:r>
            <w:r w:rsidRPr="00B563D0">
              <w:rPr>
                <w:rFonts w:asciiTheme="minorHAnsi" w:hAnsiTheme="minorHAnsi" w:cstheme="minorHAnsi"/>
                <w:color w:val="auto"/>
                <w:sz w:val="24"/>
                <w:szCs w:val="24"/>
                <w:lang w:val="en-GB"/>
              </w:rPr>
              <w:t xml:space="preserve"> challenge</w:t>
            </w:r>
            <w:r w:rsidR="003A2CDB" w:rsidRPr="00B563D0">
              <w:rPr>
                <w:rFonts w:asciiTheme="minorHAnsi" w:hAnsiTheme="minorHAnsi" w:cstheme="minorHAnsi"/>
                <w:color w:val="auto"/>
                <w:sz w:val="24"/>
                <w:szCs w:val="24"/>
                <w:lang w:val="en-GB"/>
              </w:rPr>
              <w:t>, outside ERIA’s control,</w:t>
            </w:r>
            <w:r w:rsidRPr="00B563D0">
              <w:rPr>
                <w:rFonts w:asciiTheme="minorHAnsi" w:hAnsiTheme="minorHAnsi" w:cstheme="minorHAnsi"/>
                <w:color w:val="auto"/>
                <w:sz w:val="24"/>
                <w:szCs w:val="24"/>
                <w:lang w:val="en-GB"/>
              </w:rPr>
              <w:t xml:space="preserve"> is</w:t>
            </w:r>
            <w:r w:rsidR="003A2CDB" w:rsidRPr="00B563D0">
              <w:rPr>
                <w:rFonts w:asciiTheme="minorHAnsi" w:hAnsiTheme="minorHAnsi" w:cstheme="minorHAnsi"/>
                <w:color w:val="auto"/>
                <w:sz w:val="24"/>
                <w:szCs w:val="24"/>
                <w:lang w:val="en-GB"/>
              </w:rPr>
              <w:t xml:space="preserve"> variable</w:t>
            </w:r>
            <w:r w:rsidRPr="00B563D0">
              <w:rPr>
                <w:rFonts w:asciiTheme="minorHAnsi" w:hAnsiTheme="minorHAnsi" w:cstheme="minorHAnsi"/>
                <w:color w:val="auto"/>
                <w:sz w:val="24"/>
                <w:szCs w:val="24"/>
                <w:lang w:val="en-GB"/>
              </w:rPr>
              <w:t xml:space="preserve"> internet connectivity for government officials to be able to participate in online activities.</w:t>
            </w:r>
            <w:r w:rsidR="0046708F" w:rsidRPr="00B563D0">
              <w:rPr>
                <w:rFonts w:asciiTheme="minorHAnsi" w:hAnsiTheme="minorHAnsi" w:cstheme="minorHAnsi"/>
                <w:color w:val="auto"/>
                <w:sz w:val="24"/>
                <w:szCs w:val="24"/>
                <w:lang w:val="en-GB"/>
              </w:rPr>
              <w:t xml:space="preserve"> </w:t>
            </w:r>
          </w:p>
          <w:p w14:paraId="37FA33D8" w14:textId="77777777" w:rsidR="003F18E4" w:rsidRDefault="003F18E4" w:rsidP="00983FEA">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p w14:paraId="473CBC74" w14:textId="5AF65A7C" w:rsidR="00B563D0" w:rsidRPr="00B563D0" w:rsidRDefault="00B563D0" w:rsidP="00983FEA">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p>
        </w:tc>
        <w:tc>
          <w:tcPr>
            <w:tcW w:w="2977" w:type="dxa"/>
            <w:tcBorders>
              <w:top w:val="single" w:sz="4" w:space="0" w:color="auto"/>
              <w:bottom w:val="single" w:sz="4" w:space="0" w:color="auto"/>
            </w:tcBorders>
            <w:shd w:val="clear" w:color="auto" w:fill="D9D9D9" w:themeFill="background1" w:themeFillShade="D9"/>
          </w:tcPr>
          <w:p w14:paraId="001691A6" w14:textId="3C1946EF" w:rsidR="008C34D1" w:rsidRPr="00B563D0" w:rsidRDefault="0046708F" w:rsidP="00DC316A">
            <w:pPr>
              <w:pStyle w:val="BodyText"/>
              <w:numPr>
                <w:ilvl w:val="0"/>
                <w:numId w:val="10"/>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lang w:val="en-GB"/>
              </w:rPr>
              <w:lastRenderedPageBreak/>
              <w:t xml:space="preserve">CBD will </w:t>
            </w:r>
            <w:r w:rsidRPr="00B563D0">
              <w:rPr>
                <w:rFonts w:asciiTheme="minorHAnsi" w:hAnsiTheme="minorHAnsi" w:cstheme="minorHAnsi"/>
                <w:color w:val="auto"/>
                <w:sz w:val="24"/>
                <w:szCs w:val="24"/>
              </w:rPr>
              <w:t>pay for technical skills to help design effective online CBP courses where online courses are deemed feasible and appropriate.</w:t>
            </w:r>
          </w:p>
        </w:tc>
        <w:tc>
          <w:tcPr>
            <w:tcW w:w="1418" w:type="dxa"/>
            <w:tcBorders>
              <w:top w:val="single" w:sz="4" w:space="0" w:color="auto"/>
              <w:bottom w:val="single" w:sz="4" w:space="0" w:color="auto"/>
            </w:tcBorders>
            <w:shd w:val="clear" w:color="auto" w:fill="D9D9D9" w:themeFill="background1" w:themeFillShade="D9"/>
          </w:tcPr>
          <w:p w14:paraId="7CDE492B" w14:textId="47FFD65E" w:rsidR="008C34D1" w:rsidRPr="00B563D0" w:rsidRDefault="0046708F" w:rsidP="008C34D1">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Ongoing</w:t>
            </w:r>
          </w:p>
        </w:tc>
      </w:tr>
    </w:tbl>
    <w:p w14:paraId="25750D1C" w14:textId="480F6943" w:rsidR="00E176A8" w:rsidRDefault="00A7441C" w:rsidP="00A7441C">
      <w:pPr>
        <w:pStyle w:val="Heading2"/>
        <w:spacing w:before="240"/>
      </w:pPr>
      <w:proofErr w:type="spellStart"/>
      <w:r w:rsidRPr="00B563D0">
        <w:t>Maximising</w:t>
      </w:r>
      <w:proofErr w:type="spellEnd"/>
      <w:r w:rsidRPr="00B563D0">
        <w:t xml:space="preserve"> the effectiveness of the Capacity Building Program (CBP)</w:t>
      </w:r>
    </w:p>
    <w:tbl>
      <w:tblPr>
        <w:tblStyle w:val="DFATTable1"/>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76"/>
        <w:gridCol w:w="3685"/>
        <w:gridCol w:w="2977"/>
        <w:gridCol w:w="1418"/>
      </w:tblGrid>
      <w:tr w:rsidR="00CD6BA0" w:rsidRPr="00B563D0" w14:paraId="6FDCA31E" w14:textId="77777777" w:rsidTr="00CD6BA0">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bottom w:val="single" w:sz="4" w:space="0" w:color="auto"/>
              <w:right w:val="single" w:sz="4" w:space="0" w:color="auto"/>
            </w:tcBorders>
            <w:vAlign w:val="center"/>
          </w:tcPr>
          <w:p w14:paraId="6FF1A1B6" w14:textId="3253E167" w:rsidR="00A7441C" w:rsidRPr="00B563D0" w:rsidRDefault="00A7441C" w:rsidP="00A7441C">
            <w:pPr>
              <w:pStyle w:val="Heading2"/>
              <w:rPr>
                <w:lang w:val="en-GB"/>
              </w:rPr>
            </w:pPr>
            <w:r w:rsidRPr="00B563D0">
              <w:rPr>
                <w:rFonts w:asciiTheme="minorHAnsi" w:hAnsiTheme="minorHAnsi"/>
                <w:color w:val="auto"/>
                <w:lang w:val="en-GB"/>
              </w:rPr>
              <w:t>Recommendation</w:t>
            </w:r>
          </w:p>
        </w:tc>
        <w:tc>
          <w:tcPr>
            <w:tcW w:w="1276" w:type="dxa"/>
            <w:tcBorders>
              <w:top w:val="single" w:sz="4" w:space="0" w:color="auto"/>
              <w:left w:val="single" w:sz="4" w:space="0" w:color="auto"/>
              <w:bottom w:val="single" w:sz="4" w:space="0" w:color="auto"/>
              <w:right w:val="single" w:sz="4" w:space="0" w:color="auto"/>
            </w:tcBorders>
            <w:vAlign w:val="center"/>
          </w:tcPr>
          <w:p w14:paraId="23D5B144" w14:textId="744C04C1"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rPr>
                <w:rFonts w:eastAsiaTheme="majorEastAsia"/>
                <w:bCs/>
              </w:rPr>
            </w:pPr>
            <w:r w:rsidRPr="00B563D0">
              <w:rPr>
                <w:rFonts w:asciiTheme="minorHAnsi" w:hAnsiTheme="minorHAnsi"/>
                <w:color w:val="auto"/>
                <w:lang w:val="en-GB"/>
              </w:rPr>
              <w:t>Response</w:t>
            </w:r>
          </w:p>
        </w:tc>
        <w:tc>
          <w:tcPr>
            <w:tcW w:w="3685" w:type="dxa"/>
            <w:tcBorders>
              <w:top w:val="single" w:sz="4" w:space="0" w:color="auto"/>
              <w:left w:val="single" w:sz="4" w:space="0" w:color="auto"/>
              <w:bottom w:val="single" w:sz="4" w:space="0" w:color="auto"/>
              <w:right w:val="single" w:sz="4" w:space="0" w:color="auto"/>
            </w:tcBorders>
            <w:vAlign w:val="center"/>
          </w:tcPr>
          <w:p w14:paraId="57FE31C7" w14:textId="1A0DB70F" w:rsidR="00A7441C" w:rsidRPr="00B563D0" w:rsidRDefault="00A7441C" w:rsidP="00A7441C">
            <w:pPr>
              <w:pStyle w:val="BodyText"/>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563D0">
              <w:rPr>
                <w:rFonts w:asciiTheme="minorHAnsi" w:hAnsiTheme="minorHAnsi" w:cstheme="minorHAnsi"/>
                <w:b/>
                <w:color w:val="auto"/>
                <w:sz w:val="24"/>
                <w:szCs w:val="24"/>
                <w:lang w:val="en-GB"/>
              </w:rPr>
              <w:t>Explanation</w:t>
            </w:r>
          </w:p>
        </w:tc>
        <w:tc>
          <w:tcPr>
            <w:tcW w:w="2977" w:type="dxa"/>
            <w:tcBorders>
              <w:top w:val="single" w:sz="4" w:space="0" w:color="auto"/>
              <w:left w:val="single" w:sz="4" w:space="0" w:color="auto"/>
              <w:bottom w:val="single" w:sz="4" w:space="0" w:color="auto"/>
              <w:right w:val="single" w:sz="4" w:space="0" w:color="auto"/>
            </w:tcBorders>
            <w:vAlign w:val="center"/>
          </w:tcPr>
          <w:p w14:paraId="4DC88259" w14:textId="4738B9F3" w:rsidR="00A7441C" w:rsidRPr="00B563D0" w:rsidRDefault="00A7441C" w:rsidP="00A7441C">
            <w:pPr>
              <w:pStyle w:val="BodyText"/>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4"/>
                <w:szCs w:val="24"/>
                <w:lang w:val="en-GB"/>
              </w:rPr>
            </w:pPr>
            <w:r w:rsidRPr="00B563D0">
              <w:rPr>
                <w:rFonts w:asciiTheme="minorHAnsi" w:hAnsiTheme="minorHAnsi" w:cstheme="minorHAnsi"/>
                <w:b/>
                <w:color w:val="auto"/>
                <w:sz w:val="24"/>
                <w:szCs w:val="24"/>
                <w:lang w:val="en-GB"/>
              </w:rPr>
              <w:t>Action plan</w:t>
            </w:r>
          </w:p>
        </w:tc>
        <w:tc>
          <w:tcPr>
            <w:tcW w:w="1418" w:type="dxa"/>
            <w:tcBorders>
              <w:top w:val="single" w:sz="4" w:space="0" w:color="auto"/>
              <w:left w:val="single" w:sz="4" w:space="0" w:color="auto"/>
              <w:bottom w:val="single" w:sz="4" w:space="0" w:color="auto"/>
            </w:tcBorders>
            <w:vAlign w:val="center"/>
          </w:tcPr>
          <w:p w14:paraId="203D6F1E" w14:textId="1D69F9E0"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pPr>
            <w:r w:rsidRPr="00B563D0">
              <w:rPr>
                <w:rFonts w:asciiTheme="minorHAnsi" w:hAnsiTheme="minorHAnsi"/>
                <w:color w:val="auto"/>
                <w:lang w:val="en-GB"/>
              </w:rPr>
              <w:t>Timeframe</w:t>
            </w:r>
          </w:p>
        </w:tc>
      </w:tr>
      <w:tr w:rsidR="00B563D0" w:rsidRPr="00B563D0" w14:paraId="69839976" w14:textId="77777777" w:rsidTr="00CD6BA0">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tcBorders>
            <w:shd w:val="clear" w:color="auto" w:fill="D9D9D9" w:themeFill="background1" w:themeFillShade="D9"/>
          </w:tcPr>
          <w:p w14:paraId="7334556E" w14:textId="77777777" w:rsidR="008C34D1" w:rsidRPr="00B563D0" w:rsidRDefault="008C34D1" w:rsidP="00A63858">
            <w:pPr>
              <w:tabs>
                <w:tab w:val="left" w:pos="213"/>
              </w:tabs>
              <w:suppressAutoHyphens/>
              <w:spacing w:after="0" w:line="240" w:lineRule="auto"/>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Recommendation 6:</w:t>
            </w:r>
          </w:p>
          <w:p w14:paraId="6CB68DA2" w14:textId="58A5D1F2" w:rsidR="008C34D1" w:rsidRPr="00B563D0" w:rsidRDefault="008C34D1" w:rsidP="008C34D1">
            <w:pPr>
              <w:tabs>
                <w:tab w:val="left" w:pos="213"/>
              </w:tabs>
              <w:suppressAutoHyphens/>
              <w:spacing w:before="0" w:after="0" w:line="240" w:lineRule="auto"/>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 xml:space="preserve">CBD and SPD, with DFAT, look for more opportunities to build synergies with bilateral program economic initiatives by working closely with CLM </w:t>
            </w:r>
            <w:r w:rsidR="00331923" w:rsidRPr="00B563D0">
              <w:rPr>
                <w:rFonts w:asciiTheme="minorHAnsi" w:hAnsiTheme="minorHAnsi" w:cstheme="minorHAnsi"/>
                <w:color w:val="auto"/>
                <w:sz w:val="24"/>
                <w:szCs w:val="24"/>
              </w:rPr>
              <w:t>P</w:t>
            </w:r>
            <w:r w:rsidRPr="00B563D0">
              <w:rPr>
                <w:rFonts w:asciiTheme="minorHAnsi" w:hAnsiTheme="minorHAnsi" w:cstheme="minorHAnsi"/>
                <w:color w:val="auto"/>
                <w:sz w:val="24"/>
                <w:szCs w:val="24"/>
              </w:rPr>
              <w:t xml:space="preserve">osts. </w:t>
            </w:r>
          </w:p>
        </w:tc>
        <w:tc>
          <w:tcPr>
            <w:tcW w:w="1276" w:type="dxa"/>
            <w:tcBorders>
              <w:top w:val="single" w:sz="4" w:space="0" w:color="auto"/>
            </w:tcBorders>
            <w:shd w:val="clear" w:color="auto" w:fill="70AD47" w:themeFill="accent6"/>
          </w:tcPr>
          <w:p w14:paraId="32647D5C" w14:textId="297C0AF3" w:rsidR="008C34D1" w:rsidRPr="00B563D0" w:rsidRDefault="008C34D1" w:rsidP="00776330">
            <w:pPr>
              <w:keepNext/>
              <w:keepLines/>
              <w:suppressAutoHyphens/>
              <w:spacing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color w:val="auto"/>
                <w:sz w:val="24"/>
                <w:szCs w:val="24"/>
              </w:rPr>
            </w:pPr>
            <w:r w:rsidRPr="00B563D0">
              <w:rPr>
                <w:rFonts w:asciiTheme="minorHAnsi" w:eastAsiaTheme="majorEastAsia" w:hAnsiTheme="minorHAnsi" w:cstheme="minorHAnsi"/>
                <w:bCs/>
                <w:color w:val="auto"/>
                <w:sz w:val="24"/>
                <w:szCs w:val="24"/>
              </w:rPr>
              <w:t>Agree</w:t>
            </w:r>
          </w:p>
        </w:tc>
        <w:tc>
          <w:tcPr>
            <w:tcW w:w="3685" w:type="dxa"/>
            <w:tcBorders>
              <w:top w:val="single" w:sz="4" w:space="0" w:color="auto"/>
              <w:bottom w:val="single" w:sz="4" w:space="0" w:color="auto"/>
            </w:tcBorders>
            <w:shd w:val="clear" w:color="auto" w:fill="D9D9D9" w:themeFill="background1" w:themeFillShade="D9"/>
          </w:tcPr>
          <w:p w14:paraId="44213E68" w14:textId="57CD774F" w:rsidR="00567309" w:rsidRPr="00B563D0" w:rsidRDefault="008C34D1" w:rsidP="00CD6BA0">
            <w:pPr>
              <w:pStyle w:val="Body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The CBP work could be strengthened through a greater on the ground presence to engage with partners and assist them to apply their CBP learnings.</w:t>
            </w:r>
          </w:p>
          <w:p w14:paraId="6E9A6153" w14:textId="2E6C0215" w:rsidR="00983FEA" w:rsidRPr="00B563D0" w:rsidRDefault="00567309" w:rsidP="00CD6BA0">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CBP has develop</w:t>
            </w:r>
            <w:r w:rsidR="003A2CDB" w:rsidRPr="00B563D0">
              <w:rPr>
                <w:rFonts w:asciiTheme="minorHAnsi" w:hAnsiTheme="minorHAnsi" w:cstheme="minorHAnsi"/>
                <w:color w:val="auto"/>
                <w:sz w:val="24"/>
                <w:szCs w:val="24"/>
              </w:rPr>
              <w:t>ed</w:t>
            </w:r>
            <w:r w:rsidRPr="00B563D0">
              <w:rPr>
                <w:rFonts w:asciiTheme="minorHAnsi" w:hAnsiTheme="minorHAnsi" w:cstheme="minorHAnsi"/>
                <w:color w:val="auto"/>
                <w:sz w:val="24"/>
                <w:szCs w:val="24"/>
              </w:rPr>
              <w:t xml:space="preserve"> a donor mapping matrix in CLM and is keen to work with other programs. Some synergies are already happening e.g. CBP e-commerce worked with other </w:t>
            </w:r>
            <w:r w:rsidR="003A2CDB" w:rsidRPr="00B563D0">
              <w:rPr>
                <w:rFonts w:asciiTheme="minorHAnsi" w:hAnsiTheme="minorHAnsi" w:cstheme="minorHAnsi"/>
                <w:color w:val="auto"/>
                <w:sz w:val="24"/>
                <w:szCs w:val="24"/>
              </w:rPr>
              <w:t>DFAT grant recipients and work</w:t>
            </w:r>
            <w:r w:rsidRPr="00B563D0">
              <w:rPr>
                <w:rFonts w:asciiTheme="minorHAnsi" w:hAnsiTheme="minorHAnsi" w:cstheme="minorHAnsi"/>
                <w:color w:val="auto"/>
                <w:sz w:val="24"/>
                <w:szCs w:val="24"/>
              </w:rPr>
              <w:t xml:space="preserve"> with </w:t>
            </w:r>
            <w:r w:rsidR="00A63858" w:rsidRPr="00B563D0">
              <w:rPr>
                <w:rFonts w:asciiTheme="minorHAnsi" w:hAnsiTheme="minorHAnsi" w:cstheme="minorHAnsi"/>
                <w:color w:val="auto"/>
                <w:sz w:val="24"/>
                <w:szCs w:val="24"/>
              </w:rPr>
              <w:t xml:space="preserve">a key donor </w:t>
            </w:r>
            <w:r w:rsidRPr="00B563D0">
              <w:rPr>
                <w:rFonts w:asciiTheme="minorHAnsi" w:hAnsiTheme="minorHAnsi" w:cstheme="minorHAnsi"/>
                <w:color w:val="auto"/>
                <w:sz w:val="24"/>
                <w:szCs w:val="24"/>
              </w:rPr>
              <w:t xml:space="preserve">on negative lists. The </w:t>
            </w:r>
            <w:r w:rsidRPr="00B563D0">
              <w:rPr>
                <w:rFonts w:asciiTheme="minorHAnsi" w:hAnsiTheme="minorHAnsi" w:cstheme="minorHAnsi"/>
                <w:color w:val="auto"/>
                <w:sz w:val="24"/>
                <w:szCs w:val="24"/>
              </w:rPr>
              <w:lastRenderedPageBreak/>
              <w:t>opportunities for synergies should also go beyond CLM.</w:t>
            </w:r>
          </w:p>
          <w:p w14:paraId="0143CE78" w14:textId="199E30CB" w:rsidR="00567309" w:rsidRPr="00B563D0" w:rsidRDefault="00983FEA" w:rsidP="00983FE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DFAT agrees that t</w:t>
            </w:r>
            <w:r w:rsidR="00567309" w:rsidRPr="00B563D0">
              <w:rPr>
                <w:rFonts w:asciiTheme="minorHAnsi" w:hAnsiTheme="minorHAnsi" w:cstheme="minorHAnsi"/>
                <w:color w:val="auto"/>
                <w:sz w:val="24"/>
                <w:szCs w:val="24"/>
              </w:rPr>
              <w:t>he effort could be better connected with bilateral programs.</w:t>
            </w:r>
          </w:p>
        </w:tc>
        <w:tc>
          <w:tcPr>
            <w:tcW w:w="2977" w:type="dxa"/>
            <w:tcBorders>
              <w:top w:val="single" w:sz="4" w:space="0" w:color="auto"/>
              <w:bottom w:val="single" w:sz="4" w:space="0" w:color="auto"/>
            </w:tcBorders>
            <w:shd w:val="clear" w:color="auto" w:fill="D9D9D9" w:themeFill="background1" w:themeFillShade="D9"/>
          </w:tcPr>
          <w:p w14:paraId="334CAB97" w14:textId="7321E2E5" w:rsidR="008C34D1" w:rsidRPr="00B563D0" w:rsidRDefault="008C34D1" w:rsidP="00983FEA">
            <w:pPr>
              <w:pStyle w:val="BodyText"/>
              <w:numPr>
                <w:ilvl w:val="0"/>
                <w:numId w:val="11"/>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lastRenderedPageBreak/>
              <w:t xml:space="preserve">DFAT </w:t>
            </w:r>
            <w:r w:rsidR="003A3DD1" w:rsidRPr="00B563D0">
              <w:rPr>
                <w:rFonts w:asciiTheme="minorHAnsi" w:hAnsiTheme="minorHAnsi" w:cstheme="minorHAnsi"/>
                <w:color w:val="auto"/>
                <w:sz w:val="24"/>
                <w:szCs w:val="24"/>
              </w:rPr>
              <w:t xml:space="preserve">will </w:t>
            </w:r>
            <w:r w:rsidRPr="00B563D0">
              <w:rPr>
                <w:rFonts w:asciiTheme="minorHAnsi" w:hAnsiTheme="minorHAnsi" w:cstheme="minorHAnsi"/>
                <w:color w:val="auto"/>
                <w:sz w:val="24"/>
                <w:szCs w:val="24"/>
              </w:rPr>
              <w:t>link the program to relevant bilateral economic programs in CLM Posts</w:t>
            </w:r>
            <w:r w:rsidR="003F18E4" w:rsidRPr="00B563D0">
              <w:rPr>
                <w:rFonts w:asciiTheme="minorHAnsi" w:hAnsiTheme="minorHAnsi" w:cstheme="minorHAnsi"/>
                <w:color w:val="auto"/>
                <w:sz w:val="24"/>
                <w:szCs w:val="24"/>
              </w:rPr>
              <w:t xml:space="preserve">. CBD and SPD will </w:t>
            </w:r>
            <w:r w:rsidR="00331923" w:rsidRPr="00B563D0">
              <w:rPr>
                <w:rFonts w:asciiTheme="minorHAnsi" w:hAnsiTheme="minorHAnsi" w:cstheme="minorHAnsi"/>
                <w:color w:val="auto"/>
                <w:sz w:val="24"/>
                <w:szCs w:val="24"/>
              </w:rPr>
              <w:t>help maintain the linkages once established by working closely with CLM Posts</w:t>
            </w:r>
            <w:r w:rsidR="003F18E4" w:rsidRPr="00B563D0">
              <w:rPr>
                <w:rFonts w:asciiTheme="minorHAnsi" w:hAnsiTheme="minorHAnsi" w:cstheme="minorHAnsi"/>
                <w:color w:val="auto"/>
                <w:sz w:val="24"/>
                <w:szCs w:val="24"/>
              </w:rPr>
              <w:t>.</w:t>
            </w:r>
          </w:p>
        </w:tc>
        <w:tc>
          <w:tcPr>
            <w:tcW w:w="1418" w:type="dxa"/>
            <w:tcBorders>
              <w:top w:val="single" w:sz="4" w:space="0" w:color="auto"/>
              <w:bottom w:val="single" w:sz="4" w:space="0" w:color="auto"/>
            </w:tcBorders>
            <w:shd w:val="clear" w:color="auto" w:fill="D9D9D9" w:themeFill="background1" w:themeFillShade="D9"/>
          </w:tcPr>
          <w:p w14:paraId="370F858F" w14:textId="6D60DBEC" w:rsidR="008C34D1" w:rsidRPr="00B563D0" w:rsidRDefault="00983FEA" w:rsidP="00983FEA">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Ongoing</w:t>
            </w:r>
          </w:p>
        </w:tc>
      </w:tr>
      <w:tr w:rsidR="00B563D0" w:rsidRPr="00B563D0" w14:paraId="191675C5" w14:textId="77777777" w:rsidTr="00CD6BA0">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14:paraId="4897EC4C" w14:textId="77777777" w:rsidR="008C34D1" w:rsidRPr="00B563D0" w:rsidRDefault="008C34D1" w:rsidP="00A63858">
            <w:pPr>
              <w:tabs>
                <w:tab w:val="left" w:pos="263"/>
              </w:tabs>
              <w:suppressAutoHyphens/>
              <w:spacing w:after="0" w:line="240" w:lineRule="auto"/>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Recommendation 7:</w:t>
            </w:r>
          </w:p>
          <w:p w14:paraId="78A32DE3" w14:textId="48AA220D" w:rsidR="008C34D1" w:rsidRPr="00B563D0" w:rsidRDefault="008C34D1" w:rsidP="008C34D1">
            <w:pPr>
              <w:tabs>
                <w:tab w:val="left" w:pos="263"/>
              </w:tabs>
              <w:suppressAutoHyphens/>
              <w:spacing w:before="0" w:after="0" w:line="240" w:lineRule="auto"/>
              <w:rPr>
                <w:rFonts w:asciiTheme="minorHAnsi" w:hAnsiTheme="minorHAnsi" w:cstheme="minorHAnsi"/>
                <w:b/>
                <w:color w:val="auto"/>
                <w:sz w:val="24"/>
                <w:szCs w:val="24"/>
                <w:lang w:val="en-GB"/>
              </w:rPr>
            </w:pPr>
            <w:r w:rsidRPr="00B563D0">
              <w:rPr>
                <w:rFonts w:asciiTheme="minorHAnsi" w:hAnsiTheme="minorHAnsi" w:cstheme="minorHAnsi"/>
                <w:color w:val="auto"/>
                <w:sz w:val="24"/>
                <w:szCs w:val="24"/>
              </w:rPr>
              <w:t>CBD and SPD strengthen relationships with policy analysts and political advisors based in CLM countries who can help to provide direct face-to-face engagement and activity support to help with the implementation of knowledge built during the CBP sessions.</w:t>
            </w:r>
          </w:p>
        </w:tc>
        <w:tc>
          <w:tcPr>
            <w:tcW w:w="1276" w:type="dxa"/>
            <w:shd w:val="clear" w:color="auto" w:fill="70AD47" w:themeFill="accent6"/>
          </w:tcPr>
          <w:p w14:paraId="27245E7E" w14:textId="77777777" w:rsidR="008C34D1" w:rsidRPr="00B563D0" w:rsidRDefault="008C34D1" w:rsidP="008C34D1">
            <w:pPr>
              <w:keepNext/>
              <w:keepLines/>
              <w:suppressAutoHyphens/>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HAnsi"/>
                <w:bCs/>
                <w:color w:val="auto"/>
                <w:sz w:val="24"/>
                <w:szCs w:val="24"/>
              </w:rPr>
            </w:pPr>
            <w:r w:rsidRPr="00B563D0">
              <w:rPr>
                <w:rFonts w:asciiTheme="minorHAnsi" w:eastAsiaTheme="majorEastAsia" w:hAnsiTheme="minorHAnsi" w:cstheme="minorHAnsi"/>
                <w:bCs/>
                <w:color w:val="auto"/>
                <w:sz w:val="24"/>
                <w:szCs w:val="24"/>
              </w:rPr>
              <w:t>Agree</w:t>
            </w:r>
          </w:p>
        </w:tc>
        <w:tc>
          <w:tcPr>
            <w:tcW w:w="3685" w:type="dxa"/>
            <w:shd w:val="clear" w:color="auto" w:fill="D9D9D9" w:themeFill="background1" w:themeFillShade="D9"/>
          </w:tcPr>
          <w:p w14:paraId="25960932" w14:textId="395D300B" w:rsidR="008C34D1" w:rsidRPr="00B563D0" w:rsidRDefault="009607C1" w:rsidP="00983FEA">
            <w:pPr>
              <w:tabs>
                <w:tab w:val="left" w:pos="263"/>
              </w:tabs>
              <w:suppressAutoHyphens/>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The program should</w:t>
            </w:r>
            <w:r w:rsidR="008C34D1" w:rsidRPr="00B563D0">
              <w:rPr>
                <w:rFonts w:asciiTheme="minorHAnsi" w:hAnsiTheme="minorHAnsi" w:cstheme="minorHAnsi"/>
                <w:color w:val="auto"/>
                <w:sz w:val="24"/>
                <w:szCs w:val="24"/>
              </w:rPr>
              <w:t xml:space="preserve"> ensure capacity building knowledge is retained and applied by program partners.</w:t>
            </w:r>
          </w:p>
          <w:p w14:paraId="3949D985" w14:textId="3C0113E0" w:rsidR="00567309" w:rsidRPr="00B563D0" w:rsidRDefault="00567309" w:rsidP="00A57F23">
            <w:pPr>
              <w:tabs>
                <w:tab w:val="left" w:pos="425"/>
              </w:tabs>
              <w:autoSpaceDE w:val="0"/>
              <w:autoSpaceDN w:val="0"/>
              <w:adjustRightInd w:val="0"/>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lang w:val="en-GB"/>
              </w:rPr>
              <w:t xml:space="preserve">A solid plan is needed to action this recommendation. The challenges are in finding the interest and experts for a </w:t>
            </w:r>
            <w:proofErr w:type="gramStart"/>
            <w:r w:rsidRPr="00B563D0">
              <w:rPr>
                <w:rFonts w:asciiTheme="minorHAnsi" w:hAnsiTheme="minorHAnsi" w:cstheme="minorHAnsi"/>
                <w:color w:val="auto"/>
                <w:sz w:val="24"/>
                <w:szCs w:val="24"/>
                <w:lang w:val="en-GB"/>
              </w:rPr>
              <w:t>longer term</w:t>
            </w:r>
            <w:proofErr w:type="gramEnd"/>
            <w:r w:rsidRPr="00B563D0">
              <w:rPr>
                <w:rFonts w:asciiTheme="minorHAnsi" w:hAnsiTheme="minorHAnsi" w:cstheme="minorHAnsi"/>
                <w:color w:val="auto"/>
                <w:sz w:val="24"/>
                <w:szCs w:val="24"/>
                <w:lang w:val="en-GB"/>
              </w:rPr>
              <w:t xml:space="preserve"> engagement in certain topics.</w:t>
            </w:r>
          </w:p>
        </w:tc>
        <w:tc>
          <w:tcPr>
            <w:tcW w:w="2977" w:type="dxa"/>
            <w:shd w:val="clear" w:color="auto" w:fill="D9D9D9" w:themeFill="background1" w:themeFillShade="D9"/>
          </w:tcPr>
          <w:p w14:paraId="79EB7F1A" w14:textId="619CAF7C" w:rsidR="00B006B6" w:rsidRPr="00B563D0" w:rsidRDefault="00B006B6" w:rsidP="00160852">
            <w:pPr>
              <w:pStyle w:val="ListParagraph"/>
              <w:numPr>
                <w:ilvl w:val="0"/>
                <w:numId w:val="26"/>
              </w:numPr>
              <w:tabs>
                <w:tab w:val="left" w:pos="0"/>
              </w:tabs>
              <w:suppressAutoHyphens/>
              <w:spacing w:before="6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CBD and SPD will</w:t>
            </w:r>
            <w:r w:rsidR="0025005C" w:rsidRPr="00B563D0">
              <w:rPr>
                <w:rFonts w:asciiTheme="minorHAnsi" w:hAnsiTheme="minorHAnsi" w:cstheme="minorHAnsi"/>
                <w:color w:val="auto"/>
                <w:sz w:val="24"/>
                <w:szCs w:val="24"/>
                <w:lang w:val="en-GB"/>
              </w:rPr>
              <w:t xml:space="preserve"> find the </w:t>
            </w:r>
            <w:r w:rsidR="00160852" w:rsidRPr="00B563D0">
              <w:rPr>
                <w:rFonts w:asciiTheme="minorHAnsi" w:hAnsiTheme="minorHAnsi" w:cstheme="minorHAnsi"/>
                <w:color w:val="auto"/>
                <w:sz w:val="24"/>
                <w:szCs w:val="24"/>
                <w:lang w:val="en-GB"/>
              </w:rPr>
              <w:t xml:space="preserve">interest and </w:t>
            </w:r>
            <w:r w:rsidR="0025005C" w:rsidRPr="00B563D0">
              <w:rPr>
                <w:rFonts w:asciiTheme="minorHAnsi" w:hAnsiTheme="minorHAnsi" w:cstheme="minorHAnsi"/>
                <w:color w:val="auto"/>
                <w:sz w:val="24"/>
                <w:szCs w:val="24"/>
                <w:lang w:val="en-GB"/>
              </w:rPr>
              <w:t xml:space="preserve">experts for a </w:t>
            </w:r>
            <w:proofErr w:type="gramStart"/>
            <w:r w:rsidR="0025005C" w:rsidRPr="00B563D0">
              <w:rPr>
                <w:rFonts w:asciiTheme="minorHAnsi" w:hAnsiTheme="minorHAnsi" w:cstheme="minorHAnsi"/>
                <w:color w:val="auto"/>
                <w:sz w:val="24"/>
                <w:szCs w:val="24"/>
                <w:lang w:val="en-GB"/>
              </w:rPr>
              <w:t>longer term</w:t>
            </w:r>
            <w:proofErr w:type="gramEnd"/>
            <w:r w:rsidR="0025005C" w:rsidRPr="00B563D0">
              <w:rPr>
                <w:rFonts w:asciiTheme="minorHAnsi" w:hAnsiTheme="minorHAnsi" w:cstheme="minorHAnsi"/>
                <w:color w:val="auto"/>
                <w:sz w:val="24"/>
                <w:szCs w:val="24"/>
                <w:lang w:val="en-GB"/>
              </w:rPr>
              <w:t xml:space="preserve"> engagement in certain topics.</w:t>
            </w:r>
          </w:p>
          <w:p w14:paraId="612AA3AC" w14:textId="53050E9F" w:rsidR="009607C1" w:rsidRPr="00B563D0" w:rsidRDefault="009607C1" w:rsidP="00267F6A">
            <w:pPr>
              <w:pStyle w:val="ListParagraph"/>
              <w:numPr>
                <w:ilvl w:val="0"/>
                <w:numId w:val="26"/>
              </w:numPr>
              <w:tabs>
                <w:tab w:val="left" w:pos="0"/>
              </w:tabs>
              <w:suppressAutoHyphens/>
              <w:spacing w:before="6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DFAT will </w:t>
            </w:r>
            <w:r w:rsidR="00267F6A" w:rsidRPr="00B563D0">
              <w:rPr>
                <w:rFonts w:asciiTheme="minorHAnsi" w:hAnsiTheme="minorHAnsi" w:cstheme="minorHAnsi"/>
                <w:color w:val="auto"/>
                <w:sz w:val="24"/>
                <w:szCs w:val="24"/>
              </w:rPr>
              <w:t>consider</w:t>
            </w:r>
            <w:r w:rsidRPr="00B563D0">
              <w:rPr>
                <w:rFonts w:asciiTheme="minorHAnsi" w:hAnsiTheme="minorHAnsi" w:cstheme="minorHAnsi"/>
                <w:color w:val="auto"/>
                <w:sz w:val="24"/>
                <w:szCs w:val="24"/>
              </w:rPr>
              <w:t xml:space="preserve"> potential support through relevant</w:t>
            </w:r>
            <w:r w:rsidR="00267F6A" w:rsidRPr="00B563D0">
              <w:rPr>
                <w:rFonts w:asciiTheme="minorHAnsi" w:hAnsiTheme="minorHAnsi" w:cstheme="minorHAnsi"/>
                <w:color w:val="auto"/>
                <w:sz w:val="24"/>
                <w:szCs w:val="24"/>
              </w:rPr>
              <w:t xml:space="preserve"> CLM</w:t>
            </w:r>
            <w:r w:rsidRPr="00B563D0">
              <w:rPr>
                <w:rFonts w:asciiTheme="minorHAnsi" w:hAnsiTheme="minorHAnsi" w:cstheme="minorHAnsi"/>
                <w:color w:val="auto"/>
                <w:sz w:val="24"/>
                <w:szCs w:val="24"/>
              </w:rPr>
              <w:t xml:space="preserve"> bilateral programs</w:t>
            </w:r>
          </w:p>
        </w:tc>
        <w:tc>
          <w:tcPr>
            <w:tcW w:w="1418" w:type="dxa"/>
            <w:shd w:val="clear" w:color="auto" w:fill="D9D9D9" w:themeFill="background1" w:themeFillShade="D9"/>
          </w:tcPr>
          <w:p w14:paraId="3BD5EDF4" w14:textId="760A5F8D" w:rsidR="008C34D1" w:rsidRPr="00B563D0" w:rsidRDefault="00150588" w:rsidP="008C34D1">
            <w:pPr>
              <w:tabs>
                <w:tab w:val="left" w:pos="263"/>
              </w:tabs>
              <w:suppressAutoHyphens/>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June 2021</w:t>
            </w:r>
          </w:p>
        </w:tc>
      </w:tr>
      <w:tr w:rsidR="00B563D0" w:rsidRPr="00B563D0" w14:paraId="1B8794BF" w14:textId="77777777" w:rsidTr="00CD6BA0">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14:paraId="399A4F83" w14:textId="77777777" w:rsidR="008C34D1" w:rsidRPr="00B563D0" w:rsidRDefault="008C34D1" w:rsidP="00B006B6">
            <w:pPr>
              <w:numPr>
                <w:ilvl w:val="0"/>
                <w:numId w:val="5"/>
              </w:numPr>
              <w:tabs>
                <w:tab w:val="left" w:pos="425"/>
              </w:tabs>
              <w:autoSpaceDE w:val="0"/>
              <w:autoSpaceDN w:val="0"/>
              <w:adjustRightInd w:val="0"/>
              <w:spacing w:after="0" w:line="240" w:lineRule="auto"/>
              <w:rPr>
                <w:rFonts w:asciiTheme="minorHAnsi" w:hAnsiTheme="minorHAnsi" w:cstheme="minorHAnsi"/>
                <w:b/>
                <w:color w:val="auto"/>
                <w:sz w:val="24"/>
                <w:szCs w:val="24"/>
              </w:rPr>
            </w:pPr>
            <w:r w:rsidRPr="00B563D0">
              <w:rPr>
                <w:rFonts w:asciiTheme="minorHAnsi" w:hAnsiTheme="minorHAnsi" w:cstheme="minorHAnsi"/>
                <w:b/>
                <w:color w:val="auto"/>
                <w:sz w:val="24"/>
                <w:szCs w:val="24"/>
                <w:lang w:val="en-GB"/>
              </w:rPr>
              <w:t>Recommendation 8:</w:t>
            </w:r>
          </w:p>
          <w:p w14:paraId="73B4C485" w14:textId="706CAD7C" w:rsidR="008C34D1" w:rsidRPr="00B563D0" w:rsidRDefault="008C34D1" w:rsidP="00A63858">
            <w:pPr>
              <w:tabs>
                <w:tab w:val="left" w:pos="263"/>
              </w:tabs>
              <w:suppressAutoHyphens/>
              <w:spacing w:before="0" w:after="0" w:line="240" w:lineRule="auto"/>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The Program Advisors work with the CBD to establish an ‘alumni network’ or ‘community of practice’ in each country around key topics to help maintain interest, networks and momentum on critical policy issues.</w:t>
            </w:r>
          </w:p>
        </w:tc>
        <w:tc>
          <w:tcPr>
            <w:tcW w:w="1276" w:type="dxa"/>
            <w:tcBorders>
              <w:bottom w:val="single" w:sz="4" w:space="0" w:color="auto"/>
            </w:tcBorders>
            <w:shd w:val="clear" w:color="auto" w:fill="70AD47" w:themeFill="accent6"/>
          </w:tcPr>
          <w:p w14:paraId="78E40E49" w14:textId="5CF96DF8" w:rsidR="008C34D1" w:rsidRPr="00B563D0" w:rsidRDefault="00B006B6" w:rsidP="008C34D1">
            <w:pPr>
              <w:keepNext/>
              <w:keepLines/>
              <w:suppressAutoHyphens/>
              <w:spacing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color w:val="auto"/>
                <w:sz w:val="24"/>
                <w:szCs w:val="24"/>
              </w:rPr>
            </w:pPr>
            <w:r w:rsidRPr="00B563D0">
              <w:rPr>
                <w:rFonts w:asciiTheme="minorHAnsi" w:eastAsiaTheme="majorEastAsia" w:hAnsiTheme="minorHAnsi" w:cstheme="minorHAnsi"/>
                <w:bCs/>
                <w:color w:val="auto"/>
                <w:sz w:val="24"/>
                <w:szCs w:val="24"/>
              </w:rPr>
              <w:t>Agree</w:t>
            </w:r>
          </w:p>
        </w:tc>
        <w:tc>
          <w:tcPr>
            <w:tcW w:w="3685" w:type="dxa"/>
            <w:tcBorders>
              <w:bottom w:val="single" w:sz="4" w:space="0" w:color="auto"/>
            </w:tcBorders>
            <w:shd w:val="clear" w:color="auto" w:fill="D9D9D9" w:themeFill="background1" w:themeFillShade="D9"/>
          </w:tcPr>
          <w:p w14:paraId="264704C6" w14:textId="149E628C" w:rsidR="00A57F23" w:rsidRPr="00CD6BA0" w:rsidRDefault="00567309" w:rsidP="00CD6BA0">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lang w:val="en-GB"/>
              </w:rPr>
              <w:t>CB</w:t>
            </w:r>
            <w:r w:rsidR="00044FFC" w:rsidRPr="00B563D0">
              <w:rPr>
                <w:rFonts w:asciiTheme="minorHAnsi" w:hAnsiTheme="minorHAnsi" w:cstheme="minorHAnsi"/>
                <w:color w:val="auto"/>
                <w:sz w:val="24"/>
                <w:szCs w:val="24"/>
                <w:lang w:val="en-GB"/>
              </w:rPr>
              <w:t>D</w:t>
            </w:r>
            <w:r w:rsidRPr="00B563D0">
              <w:rPr>
                <w:rFonts w:asciiTheme="minorHAnsi" w:hAnsiTheme="minorHAnsi" w:cstheme="minorHAnsi"/>
                <w:color w:val="auto"/>
                <w:sz w:val="24"/>
                <w:szCs w:val="24"/>
                <w:lang w:val="en-GB"/>
              </w:rPr>
              <w:t xml:space="preserve"> has (informal) alumni networks via various platforms.</w:t>
            </w:r>
            <w:r w:rsidR="00B006B6" w:rsidRPr="00B563D0">
              <w:rPr>
                <w:rFonts w:asciiTheme="minorHAnsi" w:hAnsiTheme="minorHAnsi" w:cstheme="minorHAnsi"/>
                <w:color w:val="auto"/>
                <w:sz w:val="24"/>
                <w:szCs w:val="24"/>
                <w:lang w:val="en-GB"/>
              </w:rPr>
              <w:t xml:space="preserve"> </w:t>
            </w:r>
            <w:r w:rsidRPr="00B563D0">
              <w:rPr>
                <w:rFonts w:asciiTheme="minorHAnsi" w:hAnsiTheme="minorHAnsi" w:cstheme="minorHAnsi"/>
                <w:color w:val="auto"/>
                <w:sz w:val="24"/>
                <w:szCs w:val="24"/>
                <w:lang w:val="en-GB"/>
              </w:rPr>
              <w:t xml:space="preserve">DFAT </w:t>
            </w:r>
            <w:r w:rsidR="00B006B6" w:rsidRPr="00B563D0">
              <w:rPr>
                <w:rFonts w:asciiTheme="minorHAnsi" w:hAnsiTheme="minorHAnsi" w:cstheme="minorHAnsi"/>
                <w:color w:val="auto"/>
                <w:sz w:val="24"/>
                <w:szCs w:val="24"/>
                <w:lang w:val="en-GB"/>
              </w:rPr>
              <w:t xml:space="preserve">agrees that </w:t>
            </w:r>
            <w:r w:rsidRPr="00B563D0">
              <w:rPr>
                <w:rFonts w:asciiTheme="minorHAnsi" w:hAnsiTheme="minorHAnsi" w:cstheme="minorHAnsi"/>
                <w:color w:val="auto"/>
                <w:sz w:val="24"/>
                <w:szCs w:val="24"/>
                <w:lang w:val="en-GB"/>
              </w:rPr>
              <w:t>the program should have a more formalised network.</w:t>
            </w:r>
          </w:p>
          <w:p w14:paraId="6004FCFB" w14:textId="3C0A0A82" w:rsidR="00656D21" w:rsidRPr="00B563D0" w:rsidRDefault="0010005E" w:rsidP="00CD6BA0">
            <w:pPr>
              <w:tabs>
                <w:tab w:val="left" w:pos="263"/>
              </w:tabs>
              <w:suppressAutoHyphens/>
              <w:spacing w:before="24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Australia has established alumni networks in most countries where it provides university scholarships and short courses to local students. It is recommended that the program tap into these existing </w:t>
            </w:r>
            <w:r w:rsidRPr="00B563D0">
              <w:rPr>
                <w:rFonts w:asciiTheme="minorHAnsi" w:hAnsiTheme="minorHAnsi" w:cstheme="minorHAnsi"/>
                <w:color w:val="auto"/>
                <w:sz w:val="24"/>
                <w:szCs w:val="24"/>
              </w:rPr>
              <w:lastRenderedPageBreak/>
              <w:t>networks and experts rather than duplicating these structures.</w:t>
            </w:r>
          </w:p>
        </w:tc>
        <w:tc>
          <w:tcPr>
            <w:tcW w:w="2977" w:type="dxa"/>
            <w:tcBorders>
              <w:bottom w:val="single" w:sz="4" w:space="0" w:color="auto"/>
            </w:tcBorders>
            <w:shd w:val="clear" w:color="auto" w:fill="D9D9D9" w:themeFill="background1" w:themeFillShade="D9"/>
          </w:tcPr>
          <w:p w14:paraId="3A6A09C4" w14:textId="77A343CD" w:rsidR="008C34D1" w:rsidRPr="00CD6BA0" w:rsidRDefault="00B006B6" w:rsidP="00CD6BA0">
            <w:pPr>
              <w:pStyle w:val="CommentText"/>
              <w:numPr>
                <w:ilvl w:val="0"/>
                <w:numId w:val="28"/>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B563D0">
              <w:rPr>
                <w:rFonts w:asciiTheme="minorHAnsi" w:hAnsiTheme="minorHAnsi" w:cstheme="minorHAnsi"/>
                <w:color w:val="auto"/>
                <w:sz w:val="24"/>
                <w:szCs w:val="24"/>
                <w:lang w:val="en-GB"/>
              </w:rPr>
              <w:lastRenderedPageBreak/>
              <w:t xml:space="preserve">CBD will work with Program Advisors in CLM </w:t>
            </w:r>
            <w:r w:rsidR="00C03E95" w:rsidRPr="00B563D0">
              <w:rPr>
                <w:rFonts w:asciiTheme="minorHAnsi" w:hAnsiTheme="minorHAnsi" w:cstheme="minorHAnsi"/>
                <w:color w:val="auto"/>
                <w:sz w:val="24"/>
                <w:szCs w:val="24"/>
                <w:lang w:val="en-GB"/>
              </w:rPr>
              <w:t xml:space="preserve">to </w:t>
            </w:r>
            <w:r w:rsidR="00C03E95" w:rsidRPr="00B563D0">
              <w:rPr>
                <w:rFonts w:asciiTheme="minorHAnsi" w:hAnsiTheme="minorHAnsi" w:cstheme="minorHAnsi"/>
                <w:color w:val="auto"/>
                <w:sz w:val="24"/>
                <w:szCs w:val="24"/>
              </w:rPr>
              <w:t>establish an ‘alumni network’ or ‘community of practice’ in each country around key topics to help maintain interest, networks and momentum on critical policy issues</w:t>
            </w:r>
            <w:r w:rsidR="007F5D1F" w:rsidRPr="00B563D0">
              <w:rPr>
                <w:rFonts w:asciiTheme="minorHAnsi" w:hAnsiTheme="minorHAnsi" w:cstheme="minorHAnsi"/>
                <w:color w:val="auto"/>
                <w:sz w:val="24"/>
                <w:szCs w:val="24"/>
              </w:rPr>
              <w:t xml:space="preserve"> a</w:t>
            </w:r>
            <w:r w:rsidR="007F5D1F" w:rsidRPr="00B563D0">
              <w:rPr>
                <w:color w:val="auto"/>
                <w:sz w:val="24"/>
                <w:szCs w:val="24"/>
              </w:rPr>
              <w:t xml:space="preserve">nd ensure that this network is well linked with existing </w:t>
            </w:r>
            <w:r w:rsidR="007F5D1F" w:rsidRPr="00B563D0">
              <w:rPr>
                <w:color w:val="auto"/>
                <w:sz w:val="24"/>
                <w:szCs w:val="24"/>
              </w:rPr>
              <w:lastRenderedPageBreak/>
              <w:t>Australian alumni networks</w:t>
            </w:r>
            <w:r w:rsidR="002C39AF" w:rsidRPr="00B563D0">
              <w:rPr>
                <w:color w:val="auto"/>
                <w:sz w:val="24"/>
                <w:szCs w:val="24"/>
              </w:rPr>
              <w:t>.</w:t>
            </w:r>
          </w:p>
        </w:tc>
        <w:tc>
          <w:tcPr>
            <w:tcW w:w="1418" w:type="dxa"/>
            <w:shd w:val="clear" w:color="auto" w:fill="D9D9D9" w:themeFill="background1" w:themeFillShade="D9"/>
          </w:tcPr>
          <w:p w14:paraId="11058337" w14:textId="341DF3D5" w:rsidR="008C34D1" w:rsidRPr="00B563D0" w:rsidRDefault="00C03E95" w:rsidP="008C34D1">
            <w:pPr>
              <w:tabs>
                <w:tab w:val="left" w:pos="263"/>
              </w:tabs>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lastRenderedPageBreak/>
              <w:t>Ongoing</w:t>
            </w:r>
          </w:p>
        </w:tc>
      </w:tr>
    </w:tbl>
    <w:p w14:paraId="1684B069" w14:textId="4E748FAC" w:rsidR="00E176A8" w:rsidRDefault="00A7441C" w:rsidP="00A7441C">
      <w:pPr>
        <w:pStyle w:val="Heading2"/>
        <w:spacing w:before="240"/>
      </w:pPr>
      <w:r w:rsidRPr="00B563D0">
        <w:t>Simplifying and strengthening the program’s Monitoring and Evaluation (M&amp;E)</w:t>
      </w:r>
    </w:p>
    <w:tbl>
      <w:tblPr>
        <w:tblStyle w:val="DFATTable1"/>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76"/>
        <w:gridCol w:w="3685"/>
        <w:gridCol w:w="2835"/>
        <w:gridCol w:w="1560"/>
      </w:tblGrid>
      <w:tr w:rsidR="00A7441C" w:rsidRPr="00B563D0" w14:paraId="5604964A" w14:textId="77777777" w:rsidTr="00CD6BA0">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bottom w:val="single" w:sz="4" w:space="0" w:color="auto"/>
              <w:right w:val="single" w:sz="4" w:space="0" w:color="auto"/>
            </w:tcBorders>
            <w:vAlign w:val="center"/>
          </w:tcPr>
          <w:p w14:paraId="0709B7F5" w14:textId="424E502F" w:rsidR="00A7441C" w:rsidRPr="00B563D0" w:rsidRDefault="00A7441C" w:rsidP="00A7441C">
            <w:pPr>
              <w:pStyle w:val="Heading2"/>
              <w:rPr>
                <w:lang w:val="en-GB"/>
              </w:rPr>
            </w:pPr>
            <w:r w:rsidRPr="00B563D0">
              <w:rPr>
                <w:rFonts w:asciiTheme="minorHAnsi" w:hAnsiTheme="minorHAnsi"/>
                <w:color w:val="auto"/>
                <w:lang w:val="en-GB"/>
              </w:rPr>
              <w:t>Recommendation</w:t>
            </w:r>
          </w:p>
        </w:tc>
        <w:tc>
          <w:tcPr>
            <w:tcW w:w="1276" w:type="dxa"/>
            <w:tcBorders>
              <w:top w:val="single" w:sz="4" w:space="0" w:color="auto"/>
              <w:left w:val="single" w:sz="4" w:space="0" w:color="auto"/>
              <w:bottom w:val="single" w:sz="4" w:space="0" w:color="auto"/>
              <w:right w:val="single" w:sz="4" w:space="0" w:color="auto"/>
            </w:tcBorders>
            <w:vAlign w:val="center"/>
          </w:tcPr>
          <w:p w14:paraId="1AE2D9F1" w14:textId="742DB96E"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rPr>
                <w:rFonts w:eastAsiaTheme="majorEastAsia"/>
                <w:bCs/>
              </w:rPr>
            </w:pPr>
            <w:r w:rsidRPr="00B563D0">
              <w:rPr>
                <w:rFonts w:asciiTheme="minorHAnsi" w:hAnsiTheme="minorHAnsi"/>
                <w:color w:val="auto"/>
                <w:lang w:val="en-GB"/>
              </w:rPr>
              <w:t>Response</w:t>
            </w:r>
          </w:p>
        </w:tc>
        <w:tc>
          <w:tcPr>
            <w:tcW w:w="3685" w:type="dxa"/>
            <w:tcBorders>
              <w:top w:val="single" w:sz="4" w:space="0" w:color="auto"/>
              <w:left w:val="single" w:sz="4" w:space="0" w:color="auto"/>
              <w:bottom w:val="single" w:sz="4" w:space="0" w:color="auto"/>
              <w:right w:val="single" w:sz="4" w:space="0" w:color="auto"/>
            </w:tcBorders>
            <w:vAlign w:val="center"/>
          </w:tcPr>
          <w:p w14:paraId="0BCFC546" w14:textId="532B66C5"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rPr>
                <w:lang w:val="en-GB"/>
              </w:rPr>
            </w:pPr>
            <w:r w:rsidRPr="00B563D0">
              <w:rPr>
                <w:rFonts w:asciiTheme="minorHAnsi" w:hAnsiTheme="minorHAnsi"/>
                <w:color w:val="auto"/>
                <w:lang w:val="en-GB"/>
              </w:rPr>
              <w:t>Explanation</w:t>
            </w:r>
          </w:p>
        </w:tc>
        <w:tc>
          <w:tcPr>
            <w:tcW w:w="2835" w:type="dxa"/>
            <w:tcBorders>
              <w:top w:val="single" w:sz="4" w:space="0" w:color="auto"/>
              <w:left w:val="single" w:sz="4" w:space="0" w:color="auto"/>
              <w:bottom w:val="single" w:sz="4" w:space="0" w:color="auto"/>
              <w:right w:val="single" w:sz="4" w:space="0" w:color="auto"/>
            </w:tcBorders>
            <w:vAlign w:val="center"/>
          </w:tcPr>
          <w:p w14:paraId="3CCFD649" w14:textId="34A8A434" w:rsidR="00A7441C" w:rsidRPr="00B563D0" w:rsidRDefault="00A7441C" w:rsidP="00A7441C">
            <w:pPr>
              <w:pStyle w:val="CommentText"/>
              <w:ind w:left="360"/>
              <w:cnfStyle w:val="100000000000" w:firstRow="1" w:lastRow="0" w:firstColumn="0" w:lastColumn="0" w:oddVBand="0" w:evenVBand="0" w:oddHBand="0" w:evenHBand="0" w:firstRowFirstColumn="0" w:firstRowLastColumn="0" w:lastRowFirstColumn="0" w:lastRowLastColumn="0"/>
              <w:rPr>
                <w:rFonts w:cstheme="minorHAnsi"/>
                <w:sz w:val="24"/>
                <w:szCs w:val="24"/>
                <w:lang w:val="en-GB"/>
              </w:rPr>
            </w:pPr>
            <w:r w:rsidRPr="00B563D0">
              <w:rPr>
                <w:rFonts w:asciiTheme="minorHAnsi" w:hAnsiTheme="minorHAnsi" w:cstheme="minorHAnsi"/>
                <w:b/>
                <w:color w:val="auto"/>
                <w:sz w:val="24"/>
                <w:szCs w:val="24"/>
                <w:lang w:val="en-GB"/>
              </w:rPr>
              <w:t>Action plan</w:t>
            </w:r>
          </w:p>
        </w:tc>
        <w:tc>
          <w:tcPr>
            <w:tcW w:w="1560" w:type="dxa"/>
            <w:tcBorders>
              <w:top w:val="single" w:sz="4" w:space="0" w:color="auto"/>
              <w:left w:val="single" w:sz="4" w:space="0" w:color="auto"/>
              <w:bottom w:val="single" w:sz="4" w:space="0" w:color="auto"/>
            </w:tcBorders>
            <w:vAlign w:val="center"/>
          </w:tcPr>
          <w:p w14:paraId="0C5C8FC8" w14:textId="381588C1" w:rsidR="00A7441C" w:rsidRPr="00B563D0" w:rsidRDefault="00A7441C" w:rsidP="00A7441C">
            <w:pPr>
              <w:pStyle w:val="Heading2"/>
              <w:cnfStyle w:val="100000000000" w:firstRow="1" w:lastRow="0" w:firstColumn="0" w:lastColumn="0" w:oddVBand="0" w:evenVBand="0" w:oddHBand="0" w:evenHBand="0" w:firstRowFirstColumn="0" w:firstRowLastColumn="0" w:lastRowFirstColumn="0" w:lastRowLastColumn="0"/>
            </w:pPr>
            <w:r w:rsidRPr="00B563D0">
              <w:rPr>
                <w:rFonts w:asciiTheme="minorHAnsi" w:hAnsiTheme="minorHAnsi"/>
                <w:color w:val="auto"/>
                <w:lang w:val="en-GB"/>
              </w:rPr>
              <w:t>Timeframe</w:t>
            </w:r>
          </w:p>
        </w:tc>
      </w:tr>
      <w:tr w:rsidR="00CD6BA0" w:rsidRPr="00B563D0" w14:paraId="0D7C56CB" w14:textId="77777777" w:rsidTr="00CD6BA0">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tcBorders>
            <w:shd w:val="clear" w:color="auto" w:fill="D9D9D9" w:themeFill="background1" w:themeFillShade="D9"/>
          </w:tcPr>
          <w:p w14:paraId="73A08A79" w14:textId="77777777" w:rsidR="008C34D1" w:rsidRPr="00B563D0" w:rsidRDefault="008C34D1" w:rsidP="00C03E95">
            <w:pPr>
              <w:tabs>
                <w:tab w:val="left" w:pos="263"/>
              </w:tabs>
              <w:suppressAutoHyphens/>
              <w:spacing w:after="0" w:line="240" w:lineRule="auto"/>
              <w:rPr>
                <w:rFonts w:asciiTheme="minorHAnsi" w:hAnsiTheme="minorHAnsi" w:cstheme="minorHAnsi"/>
                <w:b/>
                <w:color w:val="auto"/>
                <w:sz w:val="24"/>
                <w:szCs w:val="24"/>
                <w:lang w:val="en-GB"/>
              </w:rPr>
            </w:pPr>
            <w:r w:rsidRPr="00B563D0">
              <w:rPr>
                <w:rFonts w:asciiTheme="minorHAnsi" w:hAnsiTheme="minorHAnsi" w:cstheme="minorHAnsi"/>
                <w:b/>
                <w:color w:val="auto"/>
                <w:sz w:val="24"/>
                <w:szCs w:val="24"/>
                <w:lang w:val="en-GB"/>
              </w:rPr>
              <w:t>Recommendation 9:</w:t>
            </w:r>
          </w:p>
          <w:p w14:paraId="2B88917E" w14:textId="17E4A362" w:rsidR="008C34D1" w:rsidRPr="00B563D0" w:rsidRDefault="008C34D1" w:rsidP="00C03E95">
            <w:pPr>
              <w:tabs>
                <w:tab w:val="left" w:pos="263"/>
              </w:tabs>
              <w:suppressAutoHyphens/>
              <w:spacing w:after="0" w:line="240" w:lineRule="auto"/>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 xml:space="preserve">The Program’s Theory of Change (ToC) be revised and the M&amp;E </w:t>
            </w:r>
            <w:r w:rsidR="00C03E95" w:rsidRPr="00B563D0">
              <w:rPr>
                <w:rFonts w:asciiTheme="minorHAnsi" w:hAnsiTheme="minorHAnsi" w:cstheme="minorHAnsi"/>
                <w:color w:val="auto"/>
                <w:sz w:val="24"/>
                <w:szCs w:val="24"/>
              </w:rPr>
              <w:t>P</w:t>
            </w:r>
            <w:r w:rsidRPr="00B563D0">
              <w:rPr>
                <w:rFonts w:asciiTheme="minorHAnsi" w:hAnsiTheme="minorHAnsi" w:cstheme="minorHAnsi"/>
                <w:color w:val="auto"/>
                <w:sz w:val="24"/>
                <w:szCs w:val="24"/>
              </w:rPr>
              <w:t xml:space="preserve">lan simplified to better target data collection around capacity building activities and instead increase the focus on strategic reporting. The program should engage a </w:t>
            </w:r>
            <w:proofErr w:type="gramStart"/>
            <w:r w:rsidRPr="00B563D0">
              <w:rPr>
                <w:rFonts w:asciiTheme="minorHAnsi" w:hAnsiTheme="minorHAnsi" w:cstheme="minorHAnsi"/>
                <w:color w:val="auto"/>
                <w:sz w:val="24"/>
                <w:szCs w:val="24"/>
              </w:rPr>
              <w:t>Short Term</w:t>
            </w:r>
            <w:proofErr w:type="gramEnd"/>
            <w:r w:rsidRPr="00B563D0">
              <w:rPr>
                <w:rFonts w:asciiTheme="minorHAnsi" w:hAnsiTheme="minorHAnsi" w:cstheme="minorHAnsi"/>
                <w:color w:val="auto"/>
                <w:sz w:val="24"/>
                <w:szCs w:val="24"/>
              </w:rPr>
              <w:t xml:space="preserve"> Advisor (STA) to support the program to regularly assess progress and write its Annual Progress Reports.</w:t>
            </w:r>
          </w:p>
        </w:tc>
        <w:tc>
          <w:tcPr>
            <w:tcW w:w="1276" w:type="dxa"/>
            <w:tcBorders>
              <w:top w:val="single" w:sz="4" w:space="0" w:color="auto"/>
            </w:tcBorders>
            <w:shd w:val="clear" w:color="auto" w:fill="70AD47" w:themeFill="accent6"/>
          </w:tcPr>
          <w:p w14:paraId="314256EE" w14:textId="3D2958EB" w:rsidR="008C34D1" w:rsidRPr="00B563D0" w:rsidRDefault="00533006" w:rsidP="008C34D1">
            <w:pPr>
              <w:keepNext/>
              <w:keepLines/>
              <w:suppressAutoHyphens/>
              <w:spacing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color w:val="auto"/>
                <w:sz w:val="24"/>
                <w:szCs w:val="24"/>
              </w:rPr>
            </w:pPr>
            <w:r w:rsidRPr="00B563D0">
              <w:rPr>
                <w:rFonts w:asciiTheme="minorHAnsi" w:eastAsiaTheme="majorEastAsia" w:hAnsiTheme="minorHAnsi" w:cstheme="minorHAnsi"/>
                <w:bCs/>
                <w:color w:val="auto"/>
                <w:sz w:val="24"/>
                <w:szCs w:val="24"/>
              </w:rPr>
              <w:t>Agree</w:t>
            </w:r>
          </w:p>
        </w:tc>
        <w:tc>
          <w:tcPr>
            <w:tcW w:w="3685" w:type="dxa"/>
            <w:tcBorders>
              <w:top w:val="single" w:sz="4" w:space="0" w:color="auto"/>
              <w:bottom w:val="single" w:sz="4" w:space="0" w:color="auto"/>
            </w:tcBorders>
            <w:shd w:val="clear" w:color="auto" w:fill="D9D9D9" w:themeFill="background1" w:themeFillShade="D9"/>
          </w:tcPr>
          <w:p w14:paraId="3A519193" w14:textId="2E2EE890" w:rsidR="00A57F23" w:rsidRPr="00A7441C" w:rsidRDefault="008C34D1" w:rsidP="00A7441C">
            <w:pPr>
              <w:numPr>
                <w:ilvl w:val="0"/>
                <w:numId w:val="5"/>
              </w:numPr>
              <w:spacing w:before="10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The </w:t>
            </w:r>
            <w:r w:rsidR="00C03E95" w:rsidRPr="00B563D0">
              <w:rPr>
                <w:rFonts w:asciiTheme="minorHAnsi" w:hAnsiTheme="minorHAnsi" w:cstheme="minorHAnsi"/>
                <w:color w:val="auto"/>
                <w:sz w:val="24"/>
                <w:szCs w:val="24"/>
              </w:rPr>
              <w:t xml:space="preserve">review found that the </w:t>
            </w:r>
            <w:r w:rsidRPr="00B563D0">
              <w:rPr>
                <w:rFonts w:asciiTheme="minorHAnsi" w:hAnsiTheme="minorHAnsi" w:cstheme="minorHAnsi"/>
                <w:color w:val="auto"/>
                <w:sz w:val="24"/>
                <w:szCs w:val="24"/>
              </w:rPr>
              <w:t>program is likely to partially achieve its end of program outcomes</w:t>
            </w:r>
            <w:r w:rsidR="00C03E95" w:rsidRPr="00B563D0">
              <w:rPr>
                <w:rFonts w:asciiTheme="minorHAnsi" w:hAnsiTheme="minorHAnsi" w:cstheme="minorHAnsi"/>
                <w:color w:val="auto"/>
                <w:sz w:val="24"/>
                <w:szCs w:val="24"/>
              </w:rPr>
              <w:t xml:space="preserve"> which </w:t>
            </w:r>
            <w:r w:rsidR="00C03E95" w:rsidRPr="00B563D0">
              <w:rPr>
                <w:rFonts w:asciiTheme="minorHAnsi" w:hAnsiTheme="minorHAnsi" w:cstheme="minorHAnsi"/>
                <w:color w:val="auto"/>
                <w:sz w:val="24"/>
                <w:szCs w:val="24"/>
                <w:lang w:val="en-GB"/>
              </w:rPr>
              <w:t xml:space="preserve">suggests that the current ToC (M&amp;E Program Logic) should be reviewed to consider whether the end of program outcomes are too high level. The ToC could </w:t>
            </w:r>
            <w:r w:rsidR="00533006" w:rsidRPr="00B563D0">
              <w:rPr>
                <w:rFonts w:asciiTheme="minorHAnsi" w:hAnsiTheme="minorHAnsi" w:cstheme="minorHAnsi"/>
                <w:color w:val="auto"/>
                <w:sz w:val="24"/>
                <w:szCs w:val="24"/>
                <w:lang w:val="en-GB"/>
              </w:rPr>
              <w:t xml:space="preserve">also </w:t>
            </w:r>
            <w:r w:rsidR="00C03E95" w:rsidRPr="00B563D0">
              <w:rPr>
                <w:rFonts w:asciiTheme="minorHAnsi" w:hAnsiTheme="minorHAnsi" w:cstheme="minorHAnsi"/>
                <w:color w:val="auto"/>
                <w:sz w:val="24"/>
                <w:szCs w:val="24"/>
                <w:lang w:val="en-GB"/>
              </w:rPr>
              <w:t>be simplified.</w:t>
            </w:r>
          </w:p>
          <w:p w14:paraId="590DBF3A" w14:textId="2407A675" w:rsidR="008C34D1" w:rsidRPr="00B563D0" w:rsidRDefault="004A6DC7" w:rsidP="00A7441C">
            <w:pPr>
              <w:spacing w:before="24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lang w:val="en-GB"/>
              </w:rPr>
              <w:t xml:space="preserve">The </w:t>
            </w:r>
            <w:r w:rsidRPr="00B563D0">
              <w:rPr>
                <w:rFonts w:asciiTheme="minorHAnsi" w:hAnsiTheme="minorHAnsi" w:cstheme="minorHAnsi"/>
                <w:color w:val="auto"/>
                <w:sz w:val="24"/>
                <w:szCs w:val="24"/>
              </w:rPr>
              <w:t>current program’s Annual Reports are focused on activities and outputs and could be structured better to capture outcome and impact information.</w:t>
            </w:r>
          </w:p>
        </w:tc>
        <w:tc>
          <w:tcPr>
            <w:tcW w:w="2835" w:type="dxa"/>
            <w:tcBorders>
              <w:top w:val="single" w:sz="4" w:space="0" w:color="auto"/>
              <w:bottom w:val="single" w:sz="4" w:space="0" w:color="auto"/>
            </w:tcBorders>
            <w:shd w:val="clear" w:color="auto" w:fill="D9D9D9" w:themeFill="background1" w:themeFillShade="D9"/>
          </w:tcPr>
          <w:p w14:paraId="75ACC790" w14:textId="6593D640" w:rsidR="00533006" w:rsidRPr="00B563D0" w:rsidRDefault="00567309" w:rsidP="00533006">
            <w:pPr>
              <w:pStyle w:val="ListParagraph"/>
              <w:numPr>
                <w:ilvl w:val="0"/>
                <w:numId w:val="14"/>
              </w:numPr>
              <w:tabs>
                <w:tab w:val="left" w:pos="263"/>
              </w:tabs>
              <w:suppressAutoHyphens/>
              <w:spacing w:before="6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 xml:space="preserve">Subject to budget availability, DFAT </w:t>
            </w:r>
            <w:r w:rsidR="00C03E95" w:rsidRPr="00B563D0">
              <w:rPr>
                <w:rFonts w:asciiTheme="minorHAnsi" w:hAnsiTheme="minorHAnsi" w:cstheme="minorHAnsi"/>
                <w:color w:val="auto"/>
                <w:sz w:val="24"/>
                <w:szCs w:val="24"/>
              </w:rPr>
              <w:t>will</w:t>
            </w:r>
            <w:r w:rsidRPr="00B563D0">
              <w:rPr>
                <w:rFonts w:asciiTheme="minorHAnsi" w:hAnsiTheme="minorHAnsi" w:cstheme="minorHAnsi"/>
                <w:color w:val="auto"/>
                <w:sz w:val="24"/>
                <w:szCs w:val="24"/>
              </w:rPr>
              <w:t xml:space="preserve"> engage a </w:t>
            </w:r>
            <w:proofErr w:type="gramStart"/>
            <w:r w:rsidR="00A16893" w:rsidRPr="00B563D0">
              <w:rPr>
                <w:rFonts w:asciiTheme="minorHAnsi" w:hAnsiTheme="minorHAnsi" w:cstheme="minorHAnsi"/>
                <w:color w:val="auto"/>
                <w:sz w:val="24"/>
                <w:szCs w:val="24"/>
              </w:rPr>
              <w:t>short term</w:t>
            </w:r>
            <w:proofErr w:type="gramEnd"/>
            <w:r w:rsidR="00A16893" w:rsidRPr="00B563D0">
              <w:rPr>
                <w:rFonts w:asciiTheme="minorHAnsi" w:hAnsiTheme="minorHAnsi" w:cstheme="minorHAnsi"/>
                <w:color w:val="auto"/>
                <w:sz w:val="24"/>
                <w:szCs w:val="24"/>
              </w:rPr>
              <w:t xml:space="preserve"> advis</w:t>
            </w:r>
            <w:r w:rsidR="00150588" w:rsidRPr="00B563D0">
              <w:rPr>
                <w:rFonts w:asciiTheme="minorHAnsi" w:hAnsiTheme="minorHAnsi" w:cstheme="minorHAnsi"/>
                <w:color w:val="auto"/>
                <w:sz w:val="24"/>
                <w:szCs w:val="24"/>
              </w:rPr>
              <w:t>o</w:t>
            </w:r>
            <w:r w:rsidR="00A16893" w:rsidRPr="00B563D0">
              <w:rPr>
                <w:rFonts w:asciiTheme="minorHAnsi" w:hAnsiTheme="minorHAnsi" w:cstheme="minorHAnsi"/>
                <w:color w:val="auto"/>
                <w:sz w:val="24"/>
                <w:szCs w:val="24"/>
              </w:rPr>
              <w:t>r</w:t>
            </w:r>
            <w:r w:rsidR="00C03E95" w:rsidRPr="00B563D0">
              <w:rPr>
                <w:rFonts w:asciiTheme="minorHAnsi" w:hAnsiTheme="minorHAnsi" w:cstheme="minorHAnsi"/>
                <w:color w:val="auto"/>
                <w:sz w:val="24"/>
                <w:szCs w:val="24"/>
              </w:rPr>
              <w:t xml:space="preserve"> </w:t>
            </w:r>
            <w:r w:rsidRPr="00B563D0">
              <w:rPr>
                <w:rFonts w:asciiTheme="minorHAnsi" w:hAnsiTheme="minorHAnsi" w:cstheme="minorHAnsi"/>
                <w:color w:val="auto"/>
                <w:sz w:val="24"/>
                <w:szCs w:val="24"/>
              </w:rPr>
              <w:t xml:space="preserve">to revise the M&amp;E </w:t>
            </w:r>
            <w:r w:rsidR="00C03E95" w:rsidRPr="00B563D0">
              <w:rPr>
                <w:rFonts w:asciiTheme="minorHAnsi" w:hAnsiTheme="minorHAnsi" w:cstheme="minorHAnsi"/>
                <w:color w:val="auto"/>
                <w:sz w:val="24"/>
                <w:szCs w:val="24"/>
              </w:rPr>
              <w:t>Plan</w:t>
            </w:r>
            <w:r w:rsidRPr="00B563D0">
              <w:rPr>
                <w:rFonts w:asciiTheme="minorHAnsi" w:hAnsiTheme="minorHAnsi" w:cstheme="minorHAnsi"/>
                <w:color w:val="auto"/>
                <w:sz w:val="24"/>
                <w:szCs w:val="24"/>
              </w:rPr>
              <w:t xml:space="preserve">, support the program to regularly assess progress and </w:t>
            </w:r>
            <w:r w:rsidR="00BA62F7" w:rsidRPr="00B563D0">
              <w:rPr>
                <w:rFonts w:asciiTheme="minorHAnsi" w:hAnsiTheme="minorHAnsi" w:cstheme="minorHAnsi"/>
                <w:color w:val="auto"/>
                <w:sz w:val="24"/>
                <w:szCs w:val="24"/>
                <w:lang w:val="id-ID"/>
              </w:rPr>
              <w:t>facilitate</w:t>
            </w:r>
            <w:r w:rsidRPr="00B563D0">
              <w:rPr>
                <w:rFonts w:asciiTheme="minorHAnsi" w:hAnsiTheme="minorHAnsi" w:cstheme="minorHAnsi"/>
                <w:color w:val="auto"/>
                <w:sz w:val="24"/>
                <w:szCs w:val="24"/>
              </w:rPr>
              <w:t xml:space="preserve"> its Annual Reports</w:t>
            </w:r>
            <w:r w:rsidR="008E23AC" w:rsidRPr="00B563D0">
              <w:rPr>
                <w:rFonts w:asciiTheme="minorHAnsi" w:hAnsiTheme="minorHAnsi" w:cstheme="minorHAnsi"/>
                <w:color w:val="auto"/>
                <w:sz w:val="24"/>
                <w:szCs w:val="24"/>
              </w:rPr>
              <w:t xml:space="preserve"> preparation</w:t>
            </w:r>
            <w:r w:rsidRPr="00B563D0">
              <w:rPr>
                <w:rFonts w:asciiTheme="minorHAnsi" w:hAnsiTheme="minorHAnsi" w:cstheme="minorHAnsi"/>
                <w:color w:val="auto"/>
                <w:sz w:val="24"/>
                <w:szCs w:val="24"/>
              </w:rPr>
              <w:t xml:space="preserve">. </w:t>
            </w:r>
          </w:p>
          <w:p w14:paraId="7F6DFAF1" w14:textId="26AE3DE2" w:rsidR="00567309" w:rsidRPr="00A7441C" w:rsidRDefault="00567309" w:rsidP="00A7441C">
            <w:pPr>
              <w:pStyle w:val="ListParagraph"/>
              <w:numPr>
                <w:ilvl w:val="0"/>
                <w:numId w:val="0"/>
              </w:numPr>
              <w:tabs>
                <w:tab w:val="left" w:pos="425"/>
              </w:tabs>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tc>
        <w:tc>
          <w:tcPr>
            <w:tcW w:w="1560" w:type="dxa"/>
            <w:tcBorders>
              <w:top w:val="single" w:sz="4" w:space="0" w:color="auto"/>
              <w:bottom w:val="single" w:sz="4" w:space="0" w:color="auto"/>
            </w:tcBorders>
            <w:shd w:val="clear" w:color="auto" w:fill="D9D9D9" w:themeFill="background1" w:themeFillShade="D9"/>
          </w:tcPr>
          <w:p w14:paraId="3A977214" w14:textId="289B2934" w:rsidR="00C03E95" w:rsidRPr="00B563D0" w:rsidRDefault="004943BA" w:rsidP="00CD6BA0">
            <w:pPr>
              <w:tabs>
                <w:tab w:val="left" w:pos="263"/>
              </w:tabs>
              <w:suppressAutoHyphen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B563D0">
              <w:rPr>
                <w:rFonts w:asciiTheme="minorHAnsi" w:hAnsiTheme="minorHAnsi" w:cstheme="minorHAnsi"/>
                <w:color w:val="auto"/>
                <w:sz w:val="24"/>
                <w:szCs w:val="24"/>
              </w:rPr>
              <w:t xml:space="preserve">The </w:t>
            </w:r>
            <w:r w:rsidR="00C03E95" w:rsidRPr="00B563D0">
              <w:rPr>
                <w:rFonts w:asciiTheme="minorHAnsi" w:hAnsiTheme="minorHAnsi" w:cstheme="minorHAnsi"/>
                <w:color w:val="auto"/>
                <w:sz w:val="24"/>
                <w:szCs w:val="24"/>
              </w:rPr>
              <w:t xml:space="preserve">Annual Report </w:t>
            </w:r>
            <w:r w:rsidR="004822D8">
              <w:rPr>
                <w:rFonts w:asciiTheme="minorHAnsi" w:hAnsiTheme="minorHAnsi" w:cstheme="minorHAnsi"/>
                <w:color w:val="auto"/>
                <w:sz w:val="24"/>
                <w:szCs w:val="24"/>
              </w:rPr>
              <w:t xml:space="preserve">was </w:t>
            </w:r>
            <w:r w:rsidR="00C03E95" w:rsidRPr="00B563D0">
              <w:rPr>
                <w:rFonts w:asciiTheme="minorHAnsi" w:hAnsiTheme="minorHAnsi" w:cstheme="minorHAnsi"/>
                <w:color w:val="auto"/>
                <w:sz w:val="24"/>
                <w:szCs w:val="24"/>
              </w:rPr>
              <w:t xml:space="preserve">submitted </w:t>
            </w:r>
            <w:r w:rsidR="004822D8">
              <w:rPr>
                <w:rFonts w:asciiTheme="minorHAnsi" w:hAnsiTheme="minorHAnsi" w:cstheme="minorHAnsi"/>
                <w:color w:val="auto"/>
                <w:sz w:val="24"/>
                <w:szCs w:val="24"/>
              </w:rPr>
              <w:t>o</w:t>
            </w:r>
            <w:r w:rsidR="003F18E4" w:rsidRPr="00B563D0">
              <w:rPr>
                <w:rFonts w:asciiTheme="minorHAnsi" w:hAnsiTheme="minorHAnsi" w:cstheme="minorHAnsi"/>
                <w:color w:val="auto"/>
                <w:sz w:val="24"/>
                <w:szCs w:val="24"/>
              </w:rPr>
              <w:t>n</w:t>
            </w:r>
            <w:r w:rsidR="00C03E95" w:rsidRPr="00B563D0">
              <w:rPr>
                <w:rFonts w:asciiTheme="minorHAnsi" w:hAnsiTheme="minorHAnsi" w:cstheme="minorHAnsi"/>
                <w:color w:val="auto"/>
                <w:sz w:val="24"/>
                <w:szCs w:val="24"/>
              </w:rPr>
              <w:t xml:space="preserve"> </w:t>
            </w:r>
            <w:r w:rsidR="00B563D0">
              <w:rPr>
                <w:rFonts w:asciiTheme="minorHAnsi" w:hAnsiTheme="minorHAnsi" w:cstheme="minorHAnsi"/>
                <w:color w:val="auto"/>
                <w:sz w:val="24"/>
                <w:szCs w:val="24"/>
              </w:rPr>
              <w:t>31</w:t>
            </w:r>
            <w:r w:rsidR="00BA62F7" w:rsidRPr="00B563D0">
              <w:rPr>
                <w:rFonts w:asciiTheme="minorHAnsi" w:hAnsiTheme="minorHAnsi" w:cstheme="minorHAnsi"/>
                <w:color w:val="auto"/>
                <w:sz w:val="24"/>
                <w:szCs w:val="24"/>
                <w:lang w:val="id-ID"/>
              </w:rPr>
              <w:t xml:space="preserve"> </w:t>
            </w:r>
            <w:r w:rsidR="00B563D0">
              <w:rPr>
                <w:rFonts w:asciiTheme="minorHAnsi" w:hAnsiTheme="minorHAnsi" w:cstheme="minorHAnsi"/>
                <w:color w:val="auto"/>
                <w:sz w:val="24"/>
                <w:szCs w:val="24"/>
              </w:rPr>
              <w:t>March</w:t>
            </w:r>
            <w:r w:rsidR="00C03E95" w:rsidRPr="00B563D0">
              <w:rPr>
                <w:rFonts w:asciiTheme="minorHAnsi" w:hAnsiTheme="minorHAnsi" w:cstheme="minorHAnsi"/>
                <w:color w:val="auto"/>
                <w:sz w:val="24"/>
                <w:szCs w:val="24"/>
              </w:rPr>
              <w:t xml:space="preserve"> 2021</w:t>
            </w:r>
            <w:r w:rsidRPr="00B563D0">
              <w:rPr>
                <w:rFonts w:asciiTheme="minorHAnsi" w:hAnsiTheme="minorHAnsi" w:cstheme="minorHAnsi"/>
                <w:color w:val="auto"/>
                <w:sz w:val="24"/>
                <w:szCs w:val="24"/>
              </w:rPr>
              <w:t xml:space="preserve"> and the revised M&amp;E Plan will be submitted in </w:t>
            </w:r>
            <w:r w:rsidR="00203CEF">
              <w:rPr>
                <w:rFonts w:asciiTheme="minorHAnsi" w:hAnsiTheme="minorHAnsi" w:cstheme="minorHAnsi"/>
                <w:color w:val="auto"/>
                <w:sz w:val="24"/>
                <w:szCs w:val="24"/>
              </w:rPr>
              <w:t>June</w:t>
            </w:r>
            <w:r w:rsidRPr="00B563D0">
              <w:rPr>
                <w:rFonts w:asciiTheme="minorHAnsi" w:hAnsiTheme="minorHAnsi" w:cstheme="minorHAnsi"/>
                <w:color w:val="auto"/>
                <w:sz w:val="24"/>
                <w:szCs w:val="24"/>
              </w:rPr>
              <w:t xml:space="preserve"> 2021</w:t>
            </w:r>
            <w:r w:rsidR="00C03E95" w:rsidRPr="00B563D0">
              <w:rPr>
                <w:rFonts w:asciiTheme="minorHAnsi" w:hAnsiTheme="minorHAnsi" w:cstheme="minorHAnsi"/>
                <w:color w:val="auto"/>
                <w:sz w:val="24"/>
                <w:szCs w:val="24"/>
              </w:rPr>
              <w:t>.</w:t>
            </w:r>
          </w:p>
          <w:p w14:paraId="3940FED0" w14:textId="35E8DB21" w:rsidR="00C03E95" w:rsidRPr="00B563D0" w:rsidRDefault="00C03E95" w:rsidP="00C03E95">
            <w:pPr>
              <w:tabs>
                <w:tab w:val="left" w:pos="263"/>
              </w:tabs>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GB"/>
              </w:rPr>
            </w:pPr>
            <w:r w:rsidRPr="00B563D0">
              <w:rPr>
                <w:rFonts w:asciiTheme="minorHAnsi" w:hAnsiTheme="minorHAnsi" w:cstheme="minorHAnsi"/>
                <w:color w:val="auto"/>
                <w:sz w:val="24"/>
                <w:szCs w:val="24"/>
              </w:rPr>
              <w:t>The regular assessment of</w:t>
            </w:r>
            <w:r w:rsidR="00CD47DD" w:rsidRPr="00B563D0">
              <w:rPr>
                <w:rFonts w:asciiTheme="minorHAnsi" w:hAnsiTheme="minorHAnsi" w:cstheme="minorHAnsi"/>
                <w:color w:val="auto"/>
                <w:sz w:val="24"/>
                <w:szCs w:val="24"/>
                <w:lang w:val="id-ID"/>
              </w:rPr>
              <w:t xml:space="preserve"> the</w:t>
            </w:r>
            <w:r w:rsidRPr="00B563D0">
              <w:rPr>
                <w:rFonts w:asciiTheme="minorHAnsi" w:hAnsiTheme="minorHAnsi" w:cstheme="minorHAnsi"/>
                <w:color w:val="auto"/>
                <w:sz w:val="24"/>
                <w:szCs w:val="24"/>
              </w:rPr>
              <w:t xml:space="preserve"> program’s progress will be ongoing.</w:t>
            </w:r>
            <w:r w:rsidRPr="00B563D0">
              <w:rPr>
                <w:rFonts w:asciiTheme="minorHAnsi" w:hAnsiTheme="minorHAnsi" w:cstheme="minorHAnsi"/>
                <w:color w:val="auto"/>
                <w:sz w:val="24"/>
                <w:szCs w:val="24"/>
                <w:lang w:val="en-GB"/>
              </w:rPr>
              <w:t xml:space="preserve"> </w:t>
            </w:r>
          </w:p>
        </w:tc>
      </w:tr>
    </w:tbl>
    <w:p w14:paraId="4FB0A367" w14:textId="36A295EC" w:rsidR="00CD6BA0" w:rsidRDefault="00CD6BA0">
      <w:pPr>
        <w:rPr>
          <w:rFonts w:cstheme="minorHAnsi"/>
          <w:sz w:val="24"/>
          <w:szCs w:val="24"/>
        </w:rPr>
      </w:pPr>
    </w:p>
    <w:p w14:paraId="064F98B9" w14:textId="3C7E90D1" w:rsidR="003A697A" w:rsidRDefault="00CD6BA0">
      <w:pPr>
        <w:rPr>
          <w:rFonts w:cstheme="minorHAnsi"/>
          <w:sz w:val="24"/>
          <w:szCs w:val="24"/>
        </w:rPr>
      </w:pPr>
      <w:r>
        <w:rPr>
          <w:rFonts w:cstheme="minorHAnsi"/>
          <w:sz w:val="24"/>
          <w:szCs w:val="24"/>
        </w:rPr>
        <w:br w:type="page"/>
      </w:r>
    </w:p>
    <w:tbl>
      <w:tblPr>
        <w:tblStyle w:val="DFATTable1"/>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5"/>
      </w:tblGrid>
      <w:tr w:rsidR="00B563D0" w:rsidRPr="00B563D0" w14:paraId="31298FE6" w14:textId="77777777" w:rsidTr="004730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95" w:type="dxa"/>
            <w:vAlign w:val="center"/>
          </w:tcPr>
          <w:p w14:paraId="5302E575" w14:textId="1881BC77" w:rsidR="0049243D" w:rsidRPr="00B563D0" w:rsidRDefault="0049243D" w:rsidP="00E86B53">
            <w:pPr>
              <w:suppressAutoHyphens/>
              <w:spacing w:after="0" w:line="240" w:lineRule="auto"/>
              <w:rPr>
                <w:rFonts w:asciiTheme="minorHAnsi" w:hAnsiTheme="minorHAnsi" w:cstheme="minorHAnsi"/>
                <w:b/>
                <w:iCs/>
                <w:color w:val="auto"/>
                <w:sz w:val="24"/>
                <w:szCs w:val="24"/>
                <w:lang w:val="en-GB"/>
              </w:rPr>
            </w:pPr>
            <w:r w:rsidRPr="00B563D0">
              <w:rPr>
                <w:rFonts w:asciiTheme="minorHAnsi" w:hAnsiTheme="minorHAnsi" w:cstheme="minorHAnsi"/>
                <w:b/>
                <w:iCs/>
                <w:color w:val="auto"/>
                <w:sz w:val="24"/>
                <w:szCs w:val="24"/>
                <w:lang w:val="en-GB"/>
              </w:rPr>
              <w:lastRenderedPageBreak/>
              <w:t>Recommendations 1</w:t>
            </w:r>
            <w:r w:rsidR="0047308C" w:rsidRPr="00B563D0">
              <w:rPr>
                <w:rFonts w:asciiTheme="minorHAnsi" w:hAnsiTheme="minorHAnsi" w:cstheme="minorHAnsi"/>
                <w:b/>
                <w:iCs/>
                <w:color w:val="auto"/>
                <w:sz w:val="24"/>
                <w:szCs w:val="24"/>
                <w:lang w:val="en-GB"/>
              </w:rPr>
              <w:t>0</w:t>
            </w:r>
            <w:r w:rsidRPr="00B563D0">
              <w:rPr>
                <w:rFonts w:asciiTheme="minorHAnsi" w:hAnsiTheme="minorHAnsi" w:cstheme="minorHAnsi"/>
                <w:b/>
                <w:iCs/>
                <w:color w:val="auto"/>
                <w:sz w:val="24"/>
                <w:szCs w:val="24"/>
                <w:lang w:val="en-GB"/>
              </w:rPr>
              <w:t>-1</w:t>
            </w:r>
            <w:r w:rsidR="00E86B53" w:rsidRPr="00B563D0">
              <w:rPr>
                <w:rFonts w:asciiTheme="minorHAnsi" w:hAnsiTheme="minorHAnsi" w:cstheme="minorHAnsi"/>
                <w:b/>
                <w:iCs/>
                <w:color w:val="auto"/>
                <w:sz w:val="24"/>
                <w:szCs w:val="24"/>
                <w:lang w:val="en-GB"/>
              </w:rPr>
              <w:t>3</w:t>
            </w:r>
            <w:r w:rsidRPr="00B563D0">
              <w:rPr>
                <w:rFonts w:asciiTheme="minorHAnsi" w:hAnsiTheme="minorHAnsi" w:cstheme="minorHAnsi"/>
                <w:b/>
                <w:iCs/>
                <w:color w:val="auto"/>
                <w:sz w:val="24"/>
                <w:szCs w:val="24"/>
                <w:lang w:val="en-GB"/>
              </w:rPr>
              <w:t xml:space="preserve"> are for </w:t>
            </w:r>
            <w:r w:rsidR="00E86B53" w:rsidRPr="00B563D0">
              <w:rPr>
                <w:rFonts w:asciiTheme="minorHAnsi" w:hAnsiTheme="minorHAnsi" w:cstheme="minorHAnsi"/>
                <w:b/>
                <w:bCs/>
                <w:color w:val="auto"/>
                <w:sz w:val="24"/>
                <w:szCs w:val="24"/>
              </w:rPr>
              <w:t>a future phase of the program</w:t>
            </w:r>
            <w:r w:rsidR="00E86B53" w:rsidRPr="00B563D0">
              <w:rPr>
                <w:rFonts w:asciiTheme="minorHAnsi" w:hAnsiTheme="minorHAnsi" w:cstheme="minorHAnsi"/>
                <w:b/>
                <w:iCs/>
                <w:color w:val="auto"/>
                <w:sz w:val="24"/>
                <w:szCs w:val="24"/>
                <w:lang w:val="en-GB"/>
              </w:rPr>
              <w:t xml:space="preserve"> </w:t>
            </w:r>
            <w:r w:rsidRPr="00B563D0">
              <w:rPr>
                <w:rFonts w:asciiTheme="minorHAnsi" w:hAnsiTheme="minorHAnsi" w:cstheme="minorHAnsi"/>
                <w:b/>
                <w:iCs/>
                <w:color w:val="auto"/>
                <w:sz w:val="24"/>
                <w:szCs w:val="24"/>
                <w:lang w:val="en-GB"/>
              </w:rPr>
              <w:t>and will be considered at that time</w:t>
            </w:r>
          </w:p>
        </w:tc>
      </w:tr>
      <w:tr w:rsidR="00B563D0" w:rsidRPr="00B563D0" w14:paraId="77422DFE" w14:textId="77777777" w:rsidTr="003A69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95" w:type="dxa"/>
            <w:shd w:val="clear" w:color="auto" w:fill="D9D9D9" w:themeFill="background1" w:themeFillShade="D9"/>
            <w:vAlign w:val="center"/>
          </w:tcPr>
          <w:p w14:paraId="22822E97" w14:textId="6D54A6AF" w:rsidR="0047308C" w:rsidRPr="00B563D0" w:rsidRDefault="00E86B53" w:rsidP="0049243D">
            <w:pPr>
              <w:suppressAutoHyphens/>
              <w:spacing w:after="0" w:line="240" w:lineRule="auto"/>
              <w:rPr>
                <w:rFonts w:asciiTheme="minorHAnsi" w:hAnsiTheme="minorHAnsi" w:cstheme="minorHAnsi"/>
                <w:b/>
                <w:iCs/>
                <w:color w:val="auto"/>
                <w:sz w:val="24"/>
                <w:szCs w:val="24"/>
                <w:lang w:val="en-GB"/>
              </w:rPr>
            </w:pPr>
            <w:r w:rsidRPr="00B563D0">
              <w:rPr>
                <w:rFonts w:asciiTheme="minorHAnsi" w:hAnsiTheme="minorHAnsi" w:cstheme="minorHAnsi"/>
                <w:b/>
                <w:color w:val="auto"/>
                <w:sz w:val="24"/>
                <w:szCs w:val="24"/>
              </w:rPr>
              <w:t>A further phase of support</w:t>
            </w:r>
          </w:p>
        </w:tc>
      </w:tr>
      <w:tr w:rsidR="00B563D0" w:rsidRPr="00B563D0" w14:paraId="23A74EB8" w14:textId="77777777" w:rsidTr="003A69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95" w:type="dxa"/>
            <w:shd w:val="clear" w:color="auto" w:fill="D9D9D9" w:themeFill="background1" w:themeFillShade="D9"/>
            <w:vAlign w:val="center"/>
          </w:tcPr>
          <w:p w14:paraId="40EB72FE" w14:textId="3EE8EBFD" w:rsidR="0047308C" w:rsidRPr="00B563D0" w:rsidRDefault="0047308C" w:rsidP="0010005E">
            <w:pPr>
              <w:suppressAutoHyphens/>
              <w:spacing w:after="0" w:line="240" w:lineRule="auto"/>
              <w:rPr>
                <w:rFonts w:asciiTheme="minorHAnsi" w:hAnsiTheme="minorHAnsi" w:cstheme="minorHAnsi"/>
                <w:b/>
                <w:iCs/>
                <w:color w:val="auto"/>
                <w:sz w:val="24"/>
                <w:szCs w:val="24"/>
                <w:lang w:val="en-GB"/>
              </w:rPr>
            </w:pPr>
            <w:r w:rsidRPr="00B563D0">
              <w:rPr>
                <w:rFonts w:asciiTheme="minorHAnsi" w:hAnsiTheme="minorHAnsi" w:cstheme="minorHAnsi"/>
                <w:iCs/>
                <w:color w:val="auto"/>
                <w:sz w:val="24"/>
                <w:szCs w:val="24"/>
                <w:lang w:val="en-GB"/>
              </w:rPr>
              <w:t xml:space="preserve">10. </w:t>
            </w:r>
            <w:r w:rsidR="00E86B53" w:rsidRPr="00B563D0">
              <w:rPr>
                <w:rFonts w:asciiTheme="minorHAnsi" w:hAnsiTheme="minorHAnsi" w:cstheme="minorHAnsi"/>
                <w:color w:val="auto"/>
                <w:sz w:val="24"/>
                <w:szCs w:val="24"/>
              </w:rPr>
              <w:t>Australia fund a further phase of support to ERIA once the current phase finishes in June 2023.</w:t>
            </w:r>
          </w:p>
        </w:tc>
      </w:tr>
      <w:tr w:rsidR="00B563D0" w:rsidRPr="00B563D0" w14:paraId="2C243884" w14:textId="77777777" w:rsidTr="003A69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95" w:type="dxa"/>
            <w:shd w:val="clear" w:color="auto" w:fill="D9D9D9" w:themeFill="background1" w:themeFillShade="D9"/>
            <w:vAlign w:val="center"/>
          </w:tcPr>
          <w:p w14:paraId="6483B784" w14:textId="5F8C8B1C" w:rsidR="00024CD1" w:rsidRPr="00B563D0" w:rsidRDefault="00E86B53" w:rsidP="0049243D">
            <w:pPr>
              <w:suppressAutoHyphens/>
              <w:spacing w:before="0" w:after="0" w:line="240" w:lineRule="auto"/>
              <w:rPr>
                <w:rFonts w:asciiTheme="minorHAnsi" w:hAnsiTheme="minorHAnsi" w:cstheme="minorHAnsi"/>
                <w:b/>
                <w:iCs/>
                <w:color w:val="auto"/>
                <w:sz w:val="24"/>
                <w:szCs w:val="24"/>
                <w:lang w:val="en-GB"/>
              </w:rPr>
            </w:pPr>
            <w:r w:rsidRPr="00B563D0">
              <w:rPr>
                <w:rFonts w:asciiTheme="minorHAnsi" w:hAnsiTheme="minorHAnsi" w:cstheme="minorHAnsi"/>
                <w:b/>
                <w:color w:val="auto"/>
                <w:sz w:val="24"/>
                <w:szCs w:val="24"/>
              </w:rPr>
              <w:t>Improving program effectiveness and efficiency</w:t>
            </w:r>
          </w:p>
        </w:tc>
      </w:tr>
      <w:tr w:rsidR="00B563D0" w:rsidRPr="00B563D0" w14:paraId="7BAB12CD" w14:textId="77777777" w:rsidTr="003A697A">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2895" w:type="dxa"/>
            <w:shd w:val="clear" w:color="auto" w:fill="D9D9D9" w:themeFill="background1" w:themeFillShade="D9"/>
          </w:tcPr>
          <w:p w14:paraId="0498F992" w14:textId="38BAA725" w:rsidR="0049243D" w:rsidRPr="00B563D0" w:rsidRDefault="00371C74" w:rsidP="0010005E">
            <w:pPr>
              <w:tabs>
                <w:tab w:val="left" w:pos="250"/>
              </w:tabs>
              <w:suppressAutoHyphens/>
              <w:spacing w:before="0" w:after="0" w:line="240" w:lineRule="auto"/>
              <w:rPr>
                <w:rFonts w:asciiTheme="minorHAnsi" w:hAnsiTheme="minorHAnsi" w:cstheme="minorHAnsi"/>
                <w:iCs/>
                <w:color w:val="auto"/>
                <w:sz w:val="24"/>
                <w:szCs w:val="24"/>
                <w:lang w:val="en-GB"/>
              </w:rPr>
            </w:pPr>
            <w:r w:rsidRPr="00B563D0">
              <w:rPr>
                <w:rFonts w:asciiTheme="minorHAnsi" w:hAnsiTheme="minorHAnsi" w:cstheme="minorHAnsi"/>
                <w:iCs/>
                <w:color w:val="auto"/>
                <w:sz w:val="24"/>
                <w:szCs w:val="24"/>
                <w:lang w:val="en-GB"/>
              </w:rPr>
              <w:t xml:space="preserve">11. </w:t>
            </w:r>
            <w:r w:rsidRPr="00B563D0">
              <w:rPr>
                <w:rFonts w:asciiTheme="minorHAnsi" w:hAnsiTheme="minorHAnsi" w:cstheme="minorHAnsi"/>
                <w:color w:val="auto"/>
                <w:sz w:val="24"/>
                <w:szCs w:val="24"/>
              </w:rPr>
              <w:t>Under the new program, budget management becomes the responsibility of the COO and the SPD and CBD report to the COO regarding their budget allocations.</w:t>
            </w:r>
          </w:p>
        </w:tc>
      </w:tr>
      <w:tr w:rsidR="00B563D0" w:rsidRPr="00B563D0" w14:paraId="3CEB2701" w14:textId="77777777" w:rsidTr="003A697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2895" w:type="dxa"/>
            <w:shd w:val="clear" w:color="auto" w:fill="D9D9D9" w:themeFill="background1" w:themeFillShade="D9"/>
          </w:tcPr>
          <w:p w14:paraId="6B231BB7" w14:textId="27B1E194" w:rsidR="00152FEB" w:rsidRPr="00B563D0" w:rsidRDefault="00152FEB" w:rsidP="00EF5EEB">
            <w:pPr>
              <w:tabs>
                <w:tab w:val="left" w:pos="250"/>
              </w:tabs>
              <w:suppressAutoHyphens/>
              <w:spacing w:after="0" w:line="240" w:lineRule="auto"/>
              <w:rPr>
                <w:rFonts w:asciiTheme="minorHAnsi" w:hAnsiTheme="minorHAnsi" w:cstheme="minorHAnsi"/>
                <w:b/>
                <w:iCs/>
                <w:color w:val="auto"/>
                <w:sz w:val="24"/>
                <w:szCs w:val="24"/>
                <w:lang w:val="en-GB"/>
              </w:rPr>
            </w:pPr>
            <w:r w:rsidRPr="00B563D0">
              <w:rPr>
                <w:rFonts w:asciiTheme="minorHAnsi" w:hAnsiTheme="minorHAnsi" w:cstheme="minorHAnsi"/>
                <w:b/>
                <w:color w:val="auto"/>
                <w:sz w:val="24"/>
                <w:szCs w:val="24"/>
              </w:rPr>
              <w:t>Better incorporating gender</w:t>
            </w:r>
          </w:p>
        </w:tc>
      </w:tr>
      <w:tr w:rsidR="00B563D0" w:rsidRPr="00B563D0" w14:paraId="4CBCC41B" w14:textId="77777777" w:rsidTr="003A697A">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895" w:type="dxa"/>
            <w:shd w:val="clear" w:color="auto" w:fill="D9D9D9" w:themeFill="background1" w:themeFillShade="D9"/>
          </w:tcPr>
          <w:p w14:paraId="6CFD4E96" w14:textId="4381B3C9" w:rsidR="0049243D" w:rsidRPr="00B563D0" w:rsidRDefault="00152FEB" w:rsidP="00A5357C">
            <w:pPr>
              <w:tabs>
                <w:tab w:val="left" w:pos="250"/>
              </w:tabs>
              <w:suppressAutoHyphens/>
              <w:spacing w:before="0" w:after="0" w:line="240" w:lineRule="auto"/>
              <w:rPr>
                <w:rFonts w:asciiTheme="minorHAnsi" w:hAnsiTheme="minorHAnsi" w:cstheme="minorHAnsi"/>
                <w:b/>
                <w:iCs/>
                <w:color w:val="auto"/>
                <w:sz w:val="24"/>
                <w:szCs w:val="24"/>
                <w:lang w:val="en-GB"/>
              </w:rPr>
            </w:pPr>
            <w:r w:rsidRPr="00B563D0">
              <w:rPr>
                <w:rFonts w:asciiTheme="minorHAnsi" w:hAnsiTheme="minorHAnsi" w:cstheme="minorHAnsi"/>
                <w:iCs/>
                <w:color w:val="auto"/>
                <w:sz w:val="24"/>
                <w:szCs w:val="24"/>
                <w:lang w:val="en-GB"/>
              </w:rPr>
              <w:t>12.</w:t>
            </w:r>
            <w:r w:rsidRPr="00A7441C">
              <w:rPr>
                <w:rStyle w:val="Heading2Char"/>
              </w:rPr>
              <w:t xml:space="preserve"> </w:t>
            </w:r>
            <w:r w:rsidR="00371C74" w:rsidRPr="00B563D0">
              <w:rPr>
                <w:rFonts w:asciiTheme="minorHAnsi" w:hAnsiTheme="minorHAnsi" w:cstheme="minorHAnsi"/>
                <w:color w:val="auto"/>
                <w:sz w:val="24"/>
                <w:szCs w:val="24"/>
              </w:rPr>
              <w:t xml:space="preserve">Australia fund a gender advisor to support ERIA to </w:t>
            </w:r>
            <w:r w:rsidR="00727F2B" w:rsidRPr="00B563D0">
              <w:rPr>
                <w:rFonts w:asciiTheme="minorHAnsi" w:hAnsiTheme="minorHAnsi" w:cstheme="minorHAnsi"/>
                <w:color w:val="auto"/>
                <w:sz w:val="24"/>
                <w:szCs w:val="24"/>
              </w:rPr>
              <w:t>includ</w:t>
            </w:r>
            <w:r w:rsidR="00A5357C" w:rsidRPr="00B563D0">
              <w:rPr>
                <w:rFonts w:asciiTheme="minorHAnsi" w:hAnsiTheme="minorHAnsi" w:cstheme="minorHAnsi"/>
                <w:color w:val="auto"/>
                <w:sz w:val="24"/>
                <w:szCs w:val="24"/>
              </w:rPr>
              <w:t>ing</w:t>
            </w:r>
            <w:r w:rsidR="00371C74" w:rsidRPr="00B563D0">
              <w:rPr>
                <w:rFonts w:asciiTheme="minorHAnsi" w:hAnsiTheme="minorHAnsi" w:cstheme="minorHAnsi"/>
                <w:color w:val="auto"/>
                <w:sz w:val="24"/>
                <w:szCs w:val="24"/>
              </w:rPr>
              <w:t xml:space="preserve"> gender considerations and to help ERIA build linkages with other organisations working in this area</w:t>
            </w:r>
            <w:r w:rsidRPr="00B563D0">
              <w:rPr>
                <w:rFonts w:asciiTheme="minorHAnsi" w:hAnsiTheme="minorHAnsi" w:cstheme="minorHAnsi"/>
                <w:color w:val="auto"/>
                <w:sz w:val="24"/>
                <w:szCs w:val="24"/>
              </w:rPr>
              <w:t>.</w:t>
            </w:r>
          </w:p>
        </w:tc>
      </w:tr>
      <w:tr w:rsidR="00B563D0" w:rsidRPr="00B563D0" w14:paraId="407EB0F8" w14:textId="77777777" w:rsidTr="003A697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895" w:type="dxa"/>
            <w:shd w:val="clear" w:color="auto" w:fill="D9D9D9" w:themeFill="background1" w:themeFillShade="D9"/>
          </w:tcPr>
          <w:p w14:paraId="28BB9CE4" w14:textId="6B2C2E98" w:rsidR="00152FEB" w:rsidRPr="00B563D0" w:rsidRDefault="00152FEB" w:rsidP="00C1798F">
            <w:pPr>
              <w:tabs>
                <w:tab w:val="left" w:pos="250"/>
              </w:tabs>
              <w:suppressAutoHyphens/>
              <w:spacing w:after="0" w:line="240" w:lineRule="auto"/>
              <w:rPr>
                <w:rFonts w:asciiTheme="minorHAnsi" w:hAnsiTheme="minorHAnsi" w:cstheme="minorHAnsi"/>
                <w:b/>
                <w:iCs/>
                <w:color w:val="auto"/>
                <w:sz w:val="24"/>
                <w:szCs w:val="24"/>
                <w:lang w:val="en-GB"/>
              </w:rPr>
            </w:pPr>
            <w:r w:rsidRPr="00B563D0">
              <w:rPr>
                <w:rFonts w:asciiTheme="minorHAnsi" w:hAnsiTheme="minorHAnsi" w:cstheme="minorHAnsi"/>
                <w:b/>
                <w:color w:val="auto"/>
                <w:sz w:val="24"/>
                <w:szCs w:val="24"/>
              </w:rPr>
              <w:t>Improving likelihood of sustainability</w:t>
            </w:r>
          </w:p>
        </w:tc>
      </w:tr>
      <w:tr w:rsidR="00B563D0" w:rsidRPr="00B563D0" w14:paraId="4CC334DF" w14:textId="77777777" w:rsidTr="003A697A">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2895" w:type="dxa"/>
            <w:shd w:val="clear" w:color="auto" w:fill="D9D9D9" w:themeFill="background1" w:themeFillShade="D9"/>
          </w:tcPr>
          <w:p w14:paraId="00BC2424" w14:textId="49FE5062" w:rsidR="0049243D" w:rsidRPr="00B563D0" w:rsidRDefault="00152FEB" w:rsidP="009C6A09">
            <w:pPr>
              <w:tabs>
                <w:tab w:val="left" w:pos="175"/>
              </w:tabs>
              <w:suppressAutoHyphens/>
              <w:spacing w:before="0" w:after="0" w:line="240" w:lineRule="auto"/>
              <w:rPr>
                <w:rFonts w:asciiTheme="minorHAnsi" w:hAnsiTheme="minorHAnsi" w:cstheme="minorHAnsi"/>
                <w:b/>
                <w:iCs/>
                <w:color w:val="auto"/>
                <w:sz w:val="24"/>
                <w:szCs w:val="24"/>
                <w:lang w:val="en-GB"/>
              </w:rPr>
            </w:pPr>
            <w:r w:rsidRPr="00B563D0">
              <w:rPr>
                <w:rFonts w:asciiTheme="minorHAnsi" w:hAnsiTheme="minorHAnsi" w:cstheme="minorHAnsi"/>
                <w:iCs/>
                <w:color w:val="auto"/>
                <w:sz w:val="24"/>
                <w:szCs w:val="24"/>
                <w:lang w:val="en-GB"/>
              </w:rPr>
              <w:t>13.</w:t>
            </w:r>
            <w:r w:rsidRPr="00A7441C">
              <w:rPr>
                <w:rStyle w:val="Heading2Char"/>
              </w:rPr>
              <w:t xml:space="preserve"> </w:t>
            </w:r>
            <w:r w:rsidR="00371C74" w:rsidRPr="00B563D0">
              <w:rPr>
                <w:rFonts w:asciiTheme="minorHAnsi" w:hAnsiTheme="minorHAnsi" w:cstheme="minorHAnsi"/>
                <w:color w:val="auto"/>
                <w:sz w:val="24"/>
                <w:szCs w:val="24"/>
              </w:rPr>
              <w:t xml:space="preserve">Engage with other donors, including the private sector, to encourage them to consider supporting ERIA and diversifying the funding base. </w:t>
            </w:r>
          </w:p>
        </w:tc>
      </w:tr>
    </w:tbl>
    <w:p w14:paraId="48F87798" w14:textId="3D7F47B9" w:rsidR="00E053AB" w:rsidRPr="00B563D0" w:rsidRDefault="00E053AB" w:rsidP="00CF2D51">
      <w:pPr>
        <w:rPr>
          <w:rFonts w:cstheme="minorHAnsi"/>
          <w:sz w:val="24"/>
          <w:szCs w:val="24"/>
        </w:rPr>
      </w:pPr>
    </w:p>
    <w:sectPr w:rsidR="00E053AB" w:rsidRPr="00B563D0" w:rsidSect="002232E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CA0A1" w14:textId="77777777" w:rsidR="00500422" w:rsidRDefault="00500422" w:rsidP="00347CCF">
      <w:pPr>
        <w:spacing w:after="0" w:line="240" w:lineRule="auto"/>
      </w:pPr>
      <w:r>
        <w:separator/>
      </w:r>
    </w:p>
  </w:endnote>
  <w:endnote w:type="continuationSeparator" w:id="0">
    <w:p w14:paraId="1F2D2C26" w14:textId="77777777" w:rsidR="00500422" w:rsidRDefault="00500422" w:rsidP="0034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598543"/>
      <w:docPartObj>
        <w:docPartGallery w:val="Page Numbers (Bottom of Page)"/>
        <w:docPartUnique/>
      </w:docPartObj>
    </w:sdtPr>
    <w:sdtEndPr>
      <w:rPr>
        <w:noProof/>
      </w:rPr>
    </w:sdtEndPr>
    <w:sdtContent>
      <w:p w14:paraId="3948A7A6" w14:textId="6D46E195" w:rsidR="001029CB" w:rsidRDefault="001029CB">
        <w:pPr>
          <w:pStyle w:val="Footer"/>
          <w:jc w:val="center"/>
        </w:pPr>
        <w:r>
          <w:fldChar w:fldCharType="begin"/>
        </w:r>
        <w:r>
          <w:instrText xml:space="preserve"> PAGE   \* MERGEFORMAT </w:instrText>
        </w:r>
        <w:r>
          <w:fldChar w:fldCharType="separate"/>
        </w:r>
        <w:r w:rsidR="00203CEF">
          <w:rPr>
            <w:noProof/>
          </w:rPr>
          <w:t>1</w:t>
        </w:r>
        <w:r>
          <w:rPr>
            <w:noProof/>
          </w:rPr>
          <w:fldChar w:fldCharType="end"/>
        </w:r>
      </w:p>
    </w:sdtContent>
  </w:sdt>
  <w:p w14:paraId="33546213" w14:textId="77777777" w:rsidR="001029CB" w:rsidRDefault="00102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C7062" w14:textId="77777777" w:rsidR="00500422" w:rsidRDefault="00500422" w:rsidP="00347CCF">
      <w:pPr>
        <w:spacing w:after="0" w:line="240" w:lineRule="auto"/>
      </w:pPr>
      <w:r>
        <w:separator/>
      </w:r>
    </w:p>
  </w:footnote>
  <w:footnote w:type="continuationSeparator" w:id="0">
    <w:p w14:paraId="4088A13C" w14:textId="77777777" w:rsidR="00500422" w:rsidRDefault="00500422" w:rsidP="00347CCF">
      <w:pPr>
        <w:spacing w:after="0" w:line="240" w:lineRule="auto"/>
      </w:pPr>
      <w:r>
        <w:continuationSeparator/>
      </w:r>
    </w:p>
  </w:footnote>
  <w:footnote w:id="1">
    <w:p w14:paraId="72E85A60" w14:textId="7FCA1CA9" w:rsidR="00561BA5" w:rsidRPr="00F414A0" w:rsidRDefault="00561BA5">
      <w:pPr>
        <w:pStyle w:val="FootnoteText"/>
        <w:rPr>
          <w:color w:val="auto"/>
        </w:rPr>
      </w:pPr>
      <w:r w:rsidRPr="005A33CA">
        <w:rPr>
          <w:rStyle w:val="FootnoteReference"/>
          <w:rFonts w:asciiTheme="minorHAnsi" w:hAnsiTheme="minorHAnsi"/>
        </w:rPr>
        <w:footnoteRef/>
      </w:r>
      <w:r w:rsidRPr="005A33CA">
        <w:rPr>
          <w:rFonts w:asciiTheme="minorHAnsi" w:hAnsiTheme="minorHAnsi"/>
        </w:rPr>
        <w:t xml:space="preserve"> </w:t>
      </w:r>
      <w:r w:rsidRPr="00F414A0">
        <w:rPr>
          <w:rFonts w:asciiTheme="minorHAnsi" w:hAnsiTheme="minorHAnsi"/>
          <w:color w:val="auto"/>
          <w:sz w:val="20"/>
        </w:rPr>
        <w:t>The report c</w:t>
      </w:r>
      <w:r w:rsidRPr="00F414A0">
        <w:rPr>
          <w:rFonts w:asciiTheme="minorHAnsi" w:hAnsiTheme="minorHAnsi" w:cs="Arial"/>
          <w:color w:val="auto"/>
          <w:sz w:val="20"/>
        </w:rPr>
        <w:t>onducted by the Think Tanks and Civil Societies Program (TTSCSP) at the University of Pennsylvania.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4A4"/>
    <w:multiLevelType w:val="hybridMultilevel"/>
    <w:tmpl w:val="03B21DEC"/>
    <w:lvl w:ilvl="0" w:tplc="0E402D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1C5977"/>
    <w:multiLevelType w:val="hybridMultilevel"/>
    <w:tmpl w:val="0780FD44"/>
    <w:lvl w:ilvl="0" w:tplc="0E402D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7A5FFB"/>
    <w:multiLevelType w:val="multilevel"/>
    <w:tmpl w:val="C920726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5B9BD5" w:themeColor="accent1"/>
      </w:rPr>
    </w:lvl>
    <w:lvl w:ilvl="2">
      <w:start w:val="1"/>
      <w:numFmt w:val="lowerLetter"/>
      <w:lvlText w:val="%3."/>
      <w:lvlJc w:val="left"/>
      <w:pPr>
        <w:ind w:left="864" w:hanging="432"/>
      </w:pPr>
      <w:rPr>
        <w:rFonts w:asciiTheme="minorHAnsi" w:hAnsiTheme="minorHAnsi"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B10415"/>
    <w:multiLevelType w:val="hybridMultilevel"/>
    <w:tmpl w:val="2FD0A7E2"/>
    <w:lvl w:ilvl="0" w:tplc="F99805EC">
      <w:start w:val="1"/>
      <w:numFmt w:val="decimal"/>
      <w:pStyle w:val="ListParagraph"/>
      <w:lvlText w:val="%1."/>
      <w:lvlJc w:val="left"/>
      <w:pPr>
        <w:ind w:left="1780" w:hanging="360"/>
      </w:pPr>
      <w:rPr>
        <w:rFonts w:hint="default"/>
        <w:b w:val="0"/>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4" w15:restartNumberingAfterBreak="0">
    <w:nsid w:val="10542222"/>
    <w:multiLevelType w:val="hybridMultilevel"/>
    <w:tmpl w:val="6E0EAC9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D5A4F15"/>
    <w:multiLevelType w:val="hybridMultilevel"/>
    <w:tmpl w:val="C43E09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E559EC"/>
    <w:multiLevelType w:val="multilevel"/>
    <w:tmpl w:val="A79A4758"/>
    <w:lvl w:ilvl="0">
      <w:start w:val="1"/>
      <w:numFmt w:val="none"/>
      <w:suff w:val="nothing"/>
      <w:lvlText w:val="%1"/>
      <w:lvlJc w:val="left"/>
      <w:pPr>
        <w:ind w:left="0" w:firstLine="0"/>
      </w:pPr>
    </w:lvl>
    <w:lvl w:ilvl="1">
      <w:start w:val="1"/>
      <w:numFmt w:val="decimal"/>
      <w:lvlText w:val="%2."/>
      <w:lvlJc w:val="left"/>
      <w:pPr>
        <w:ind w:left="432" w:hanging="432"/>
      </w:pPr>
      <w:rPr>
        <w:rFonts w:asciiTheme="minorHAnsi" w:hAnsiTheme="minorHAnsi" w:cs="Times New Roman" w:hint="default"/>
        <w:color w:val="5B9BD5" w:themeColor="accent1"/>
      </w:rPr>
    </w:lvl>
    <w:lvl w:ilvl="2">
      <w:start w:val="1"/>
      <w:numFmt w:val="lowerLetter"/>
      <w:lvlText w:val="%3."/>
      <w:lvlJc w:val="left"/>
      <w:pPr>
        <w:ind w:left="864" w:hanging="432"/>
      </w:pPr>
      <w:rPr>
        <w:rFonts w:asciiTheme="minorHAnsi" w:hAnsiTheme="minorHAnsi" w:cs="Times New Roman" w:hint="default"/>
        <w:color w:val="A5A5A5" w:themeColor="accent3"/>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1F229E"/>
    <w:multiLevelType w:val="hybridMultilevel"/>
    <w:tmpl w:val="8AA0980C"/>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C64A75"/>
    <w:multiLevelType w:val="hybridMultilevel"/>
    <w:tmpl w:val="B77ED63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0961C2"/>
    <w:multiLevelType w:val="hybridMultilevel"/>
    <w:tmpl w:val="439E726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687E4B"/>
    <w:multiLevelType w:val="hybridMultilevel"/>
    <w:tmpl w:val="9EC800C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51E0A10"/>
    <w:multiLevelType w:val="multilevel"/>
    <w:tmpl w:val="2000F8B2"/>
    <w:lvl w:ilvl="0">
      <w:start w:val="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35523E54"/>
    <w:multiLevelType w:val="hybridMultilevel"/>
    <w:tmpl w:val="3AEA7DA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BD76265"/>
    <w:multiLevelType w:val="hybridMultilevel"/>
    <w:tmpl w:val="2A520340"/>
    <w:lvl w:ilvl="0" w:tplc="0E402D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D1F17DD"/>
    <w:multiLevelType w:val="hybridMultilevel"/>
    <w:tmpl w:val="724EA7D0"/>
    <w:lvl w:ilvl="0" w:tplc="4386B88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8B0F22"/>
    <w:multiLevelType w:val="hybridMultilevel"/>
    <w:tmpl w:val="9B54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156F15"/>
    <w:multiLevelType w:val="hybridMultilevel"/>
    <w:tmpl w:val="96F6CDB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5113EFB"/>
    <w:multiLevelType w:val="hybridMultilevel"/>
    <w:tmpl w:val="19066A1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8E75897"/>
    <w:multiLevelType w:val="hybridMultilevel"/>
    <w:tmpl w:val="E4227C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56080B"/>
    <w:multiLevelType w:val="hybridMultilevel"/>
    <w:tmpl w:val="7DC69D7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D2E72D8"/>
    <w:multiLevelType w:val="hybridMultilevel"/>
    <w:tmpl w:val="102839FC"/>
    <w:lvl w:ilvl="0" w:tplc="EC9CA98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2E47DA"/>
    <w:multiLevelType w:val="hybridMultilevel"/>
    <w:tmpl w:val="6980EA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5513DD"/>
    <w:multiLevelType w:val="hybridMultilevel"/>
    <w:tmpl w:val="B77ED63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728479E"/>
    <w:multiLevelType w:val="hybridMultilevel"/>
    <w:tmpl w:val="3EC8E0A8"/>
    <w:lvl w:ilvl="0" w:tplc="0E402D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CE71AFD"/>
    <w:multiLevelType w:val="multilevel"/>
    <w:tmpl w:val="C920726E"/>
    <w:numStyleLink w:val="NumberedLists"/>
  </w:abstractNum>
  <w:abstractNum w:abstractNumId="25" w15:restartNumberingAfterBreak="0">
    <w:nsid w:val="6F125A7B"/>
    <w:multiLevelType w:val="hybridMultilevel"/>
    <w:tmpl w:val="C43E09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2E63673"/>
    <w:multiLevelType w:val="hybridMultilevel"/>
    <w:tmpl w:val="4CF48570"/>
    <w:lvl w:ilvl="0" w:tplc="0E402D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97F60AD"/>
    <w:multiLevelType w:val="hybridMultilevel"/>
    <w:tmpl w:val="3CBEB7BA"/>
    <w:lvl w:ilvl="0" w:tplc="0809001B">
      <w:start w:val="1"/>
      <w:numFmt w:val="lowerRoman"/>
      <w:pStyle w:val="ListNumber"/>
      <w:lvlText w:val="%1."/>
      <w:lvlJc w:val="right"/>
      <w:pPr>
        <w:ind w:left="180" w:hanging="180"/>
      </w:pPr>
      <w:rPr>
        <w:rFonts w:hint="default"/>
        <w:b w:val="0"/>
      </w:rPr>
    </w:lvl>
    <w:lvl w:ilvl="1" w:tplc="08090019">
      <w:start w:val="1"/>
      <w:numFmt w:val="lowerLetter"/>
      <w:lvlText w:val="%2."/>
      <w:lvlJc w:val="left"/>
      <w:pPr>
        <w:ind w:left="1080" w:hanging="360"/>
      </w:pPr>
    </w:lvl>
    <w:lvl w:ilvl="2" w:tplc="8EB650D4">
      <w:start w:val="1"/>
      <w:numFmt w:val="lowerRoman"/>
      <w:pStyle w:val="List-number-1"/>
      <w:lvlText w:val="%3."/>
      <w:lvlJc w:val="right"/>
      <w:pPr>
        <w:ind w:left="1980" w:hanging="36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E1124E"/>
    <w:multiLevelType w:val="hybridMultilevel"/>
    <w:tmpl w:val="BC582FC2"/>
    <w:lvl w:ilvl="0" w:tplc="934A2110">
      <w:start w:val="1"/>
      <w:numFmt w:val="lowerLetter"/>
      <w:pStyle w:val="ListNumber2"/>
      <w:lvlText w:val="%1."/>
      <w:lvlJc w:val="left"/>
      <w:pPr>
        <w:tabs>
          <w:tab w:val="num" w:pos="868"/>
        </w:tabs>
        <w:ind w:left="868" w:hanging="283"/>
      </w:pPr>
      <w:rPr>
        <w:rFonts w:hint="default"/>
      </w:rPr>
    </w:lvl>
    <w:lvl w:ilvl="1" w:tplc="FFFFFFFF">
      <w:start w:val="1"/>
      <w:numFmt w:val="lowerLetter"/>
      <w:lvlText w:val="%2."/>
      <w:lvlJc w:val="left"/>
      <w:pPr>
        <w:tabs>
          <w:tab w:val="num" w:pos="1741"/>
        </w:tabs>
        <w:ind w:left="1741" w:hanging="360"/>
      </w:pPr>
    </w:lvl>
    <w:lvl w:ilvl="2" w:tplc="FFFFFFFF">
      <w:start w:val="1"/>
      <w:numFmt w:val="lowerRoman"/>
      <w:lvlText w:val="%3."/>
      <w:lvlJc w:val="right"/>
      <w:pPr>
        <w:tabs>
          <w:tab w:val="num" w:pos="2461"/>
        </w:tabs>
        <w:ind w:left="2461" w:hanging="180"/>
      </w:pPr>
    </w:lvl>
    <w:lvl w:ilvl="3" w:tplc="FFFFFFFF" w:tentative="1">
      <w:start w:val="1"/>
      <w:numFmt w:val="decimal"/>
      <w:lvlText w:val="%4."/>
      <w:lvlJc w:val="left"/>
      <w:pPr>
        <w:tabs>
          <w:tab w:val="num" w:pos="3181"/>
        </w:tabs>
        <w:ind w:left="3181" w:hanging="360"/>
      </w:pPr>
    </w:lvl>
    <w:lvl w:ilvl="4" w:tplc="FFFFFFFF" w:tentative="1">
      <w:start w:val="1"/>
      <w:numFmt w:val="lowerLetter"/>
      <w:lvlText w:val="%5."/>
      <w:lvlJc w:val="left"/>
      <w:pPr>
        <w:tabs>
          <w:tab w:val="num" w:pos="3901"/>
        </w:tabs>
        <w:ind w:left="3901" w:hanging="360"/>
      </w:pPr>
    </w:lvl>
    <w:lvl w:ilvl="5" w:tplc="FFFFFFFF" w:tentative="1">
      <w:start w:val="1"/>
      <w:numFmt w:val="lowerRoman"/>
      <w:lvlText w:val="%6."/>
      <w:lvlJc w:val="right"/>
      <w:pPr>
        <w:tabs>
          <w:tab w:val="num" w:pos="4621"/>
        </w:tabs>
        <w:ind w:left="4621" w:hanging="180"/>
      </w:pPr>
    </w:lvl>
    <w:lvl w:ilvl="6" w:tplc="FFFFFFFF" w:tentative="1">
      <w:start w:val="1"/>
      <w:numFmt w:val="decimal"/>
      <w:lvlText w:val="%7."/>
      <w:lvlJc w:val="left"/>
      <w:pPr>
        <w:tabs>
          <w:tab w:val="num" w:pos="5341"/>
        </w:tabs>
        <w:ind w:left="5341" w:hanging="360"/>
      </w:pPr>
    </w:lvl>
    <w:lvl w:ilvl="7" w:tplc="FFFFFFFF" w:tentative="1">
      <w:start w:val="1"/>
      <w:numFmt w:val="lowerLetter"/>
      <w:lvlText w:val="%8."/>
      <w:lvlJc w:val="left"/>
      <w:pPr>
        <w:tabs>
          <w:tab w:val="num" w:pos="6061"/>
        </w:tabs>
        <w:ind w:left="6061" w:hanging="360"/>
      </w:pPr>
    </w:lvl>
    <w:lvl w:ilvl="8" w:tplc="FFFFFFFF" w:tentative="1">
      <w:start w:val="1"/>
      <w:numFmt w:val="lowerRoman"/>
      <w:lvlText w:val="%9."/>
      <w:lvlJc w:val="right"/>
      <w:pPr>
        <w:tabs>
          <w:tab w:val="num" w:pos="6781"/>
        </w:tabs>
        <w:ind w:left="6781" w:hanging="180"/>
      </w:pPr>
    </w:lvl>
  </w:abstractNum>
  <w:num w:numId="1">
    <w:abstractNumId w:val="28"/>
  </w:num>
  <w:num w:numId="2">
    <w:abstractNumId w:val="27"/>
  </w:num>
  <w:num w:numId="3">
    <w:abstractNumId w:val="3"/>
  </w:num>
  <w:num w:numId="4">
    <w:abstractNumId w:val="2"/>
  </w:num>
  <w:num w:numId="5">
    <w:abstractNumId w:val="24"/>
  </w:num>
  <w:num w:numId="6">
    <w:abstractNumId w:val="7"/>
  </w:num>
  <w:num w:numId="7">
    <w:abstractNumId w:val="14"/>
  </w:num>
  <w:num w:numId="8">
    <w:abstractNumId w:val="8"/>
  </w:num>
  <w:num w:numId="9">
    <w:abstractNumId w:val="22"/>
  </w:num>
  <w:num w:numId="10">
    <w:abstractNumId w:val="4"/>
  </w:num>
  <w:num w:numId="11">
    <w:abstractNumId w:val="12"/>
  </w:num>
  <w:num w:numId="12">
    <w:abstractNumId w:val="17"/>
  </w:num>
  <w:num w:numId="13">
    <w:abstractNumId w:val="9"/>
  </w:num>
  <w:num w:numId="14">
    <w:abstractNumId w:val="20"/>
  </w:num>
  <w:num w:numId="15">
    <w:abstractNumId w:val="13"/>
  </w:num>
  <w:num w:numId="16">
    <w:abstractNumId w:val="1"/>
  </w:num>
  <w:num w:numId="17">
    <w:abstractNumId w:val="26"/>
  </w:num>
  <w:num w:numId="18">
    <w:abstractNumId w:val="0"/>
  </w:num>
  <w:num w:numId="19">
    <w:abstractNumId w:val="2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9"/>
  </w:num>
  <w:num w:numId="25">
    <w:abstractNumId w:val="21"/>
  </w:num>
  <w:num w:numId="26">
    <w:abstractNumId w:val="25"/>
  </w:num>
  <w:num w:numId="27">
    <w:abstractNumId w:val="16"/>
  </w:num>
  <w:num w:numId="28">
    <w:abstractNumId w:val="5"/>
  </w:num>
  <w:num w:numId="29">
    <w:abstractNumId w:val="11"/>
  </w:num>
  <w:num w:numId="3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1A"/>
    <w:rsid w:val="00005856"/>
    <w:rsid w:val="00007758"/>
    <w:rsid w:val="00014E8F"/>
    <w:rsid w:val="00015472"/>
    <w:rsid w:val="00022511"/>
    <w:rsid w:val="00024CD1"/>
    <w:rsid w:val="00025988"/>
    <w:rsid w:val="00027AE5"/>
    <w:rsid w:val="00034C6D"/>
    <w:rsid w:val="00035C24"/>
    <w:rsid w:val="00036646"/>
    <w:rsid w:val="00040D5A"/>
    <w:rsid w:val="00043A5E"/>
    <w:rsid w:val="00044344"/>
    <w:rsid w:val="00044FFC"/>
    <w:rsid w:val="000476B8"/>
    <w:rsid w:val="000542AA"/>
    <w:rsid w:val="00055F4E"/>
    <w:rsid w:val="000639B4"/>
    <w:rsid w:val="000647CC"/>
    <w:rsid w:val="00064D62"/>
    <w:rsid w:val="00070F6A"/>
    <w:rsid w:val="0007223E"/>
    <w:rsid w:val="00076943"/>
    <w:rsid w:val="00077726"/>
    <w:rsid w:val="00090B45"/>
    <w:rsid w:val="00095EC8"/>
    <w:rsid w:val="00095F6B"/>
    <w:rsid w:val="000A0C90"/>
    <w:rsid w:val="000A3339"/>
    <w:rsid w:val="000A417A"/>
    <w:rsid w:val="000A4D2D"/>
    <w:rsid w:val="000A7FAC"/>
    <w:rsid w:val="000B6911"/>
    <w:rsid w:val="000C0A2C"/>
    <w:rsid w:val="000C31B7"/>
    <w:rsid w:val="000C4868"/>
    <w:rsid w:val="000D109F"/>
    <w:rsid w:val="000D1852"/>
    <w:rsid w:val="000D5555"/>
    <w:rsid w:val="000D72DF"/>
    <w:rsid w:val="000E0B4F"/>
    <w:rsid w:val="000F0B83"/>
    <w:rsid w:val="000F2BD8"/>
    <w:rsid w:val="000F76FD"/>
    <w:rsid w:val="0010005E"/>
    <w:rsid w:val="001021A8"/>
    <w:rsid w:val="001029CB"/>
    <w:rsid w:val="00103E49"/>
    <w:rsid w:val="00103EB0"/>
    <w:rsid w:val="00107A3A"/>
    <w:rsid w:val="001156C9"/>
    <w:rsid w:val="00122DE8"/>
    <w:rsid w:val="001243E7"/>
    <w:rsid w:val="001377CA"/>
    <w:rsid w:val="00145D8A"/>
    <w:rsid w:val="00145F1A"/>
    <w:rsid w:val="00146259"/>
    <w:rsid w:val="001467FE"/>
    <w:rsid w:val="00150588"/>
    <w:rsid w:val="00150912"/>
    <w:rsid w:val="00152C8B"/>
    <w:rsid w:val="00152FEB"/>
    <w:rsid w:val="0015592A"/>
    <w:rsid w:val="00156146"/>
    <w:rsid w:val="00157BE2"/>
    <w:rsid w:val="00160852"/>
    <w:rsid w:val="00160F64"/>
    <w:rsid w:val="001741D4"/>
    <w:rsid w:val="00174767"/>
    <w:rsid w:val="00177B36"/>
    <w:rsid w:val="00180801"/>
    <w:rsid w:val="00180D11"/>
    <w:rsid w:val="00181310"/>
    <w:rsid w:val="001859A4"/>
    <w:rsid w:val="00190F71"/>
    <w:rsid w:val="0019455D"/>
    <w:rsid w:val="00196F0D"/>
    <w:rsid w:val="001A063E"/>
    <w:rsid w:val="001A0E57"/>
    <w:rsid w:val="001A226C"/>
    <w:rsid w:val="001A2B51"/>
    <w:rsid w:val="001A31DF"/>
    <w:rsid w:val="001A71C9"/>
    <w:rsid w:val="001B0C76"/>
    <w:rsid w:val="001B6604"/>
    <w:rsid w:val="001C44B9"/>
    <w:rsid w:val="001C4CAC"/>
    <w:rsid w:val="001C4D28"/>
    <w:rsid w:val="001C530A"/>
    <w:rsid w:val="001C62CB"/>
    <w:rsid w:val="001C6730"/>
    <w:rsid w:val="001D0325"/>
    <w:rsid w:val="001D03F7"/>
    <w:rsid w:val="001D3823"/>
    <w:rsid w:val="001D3B9E"/>
    <w:rsid w:val="001D4217"/>
    <w:rsid w:val="001D4BB9"/>
    <w:rsid w:val="001D5E74"/>
    <w:rsid w:val="001D7AF0"/>
    <w:rsid w:val="001E03B8"/>
    <w:rsid w:val="001E05C1"/>
    <w:rsid w:val="001E11AE"/>
    <w:rsid w:val="001E1D54"/>
    <w:rsid w:val="001E2727"/>
    <w:rsid w:val="001E5467"/>
    <w:rsid w:val="001E660A"/>
    <w:rsid w:val="001F161C"/>
    <w:rsid w:val="001F1EE3"/>
    <w:rsid w:val="001F50FE"/>
    <w:rsid w:val="001F5446"/>
    <w:rsid w:val="001F5AB0"/>
    <w:rsid w:val="0020241A"/>
    <w:rsid w:val="00203CEF"/>
    <w:rsid w:val="00204D72"/>
    <w:rsid w:val="00207402"/>
    <w:rsid w:val="0021162F"/>
    <w:rsid w:val="00214BB2"/>
    <w:rsid w:val="002157E0"/>
    <w:rsid w:val="002162DD"/>
    <w:rsid w:val="002166E6"/>
    <w:rsid w:val="00220A59"/>
    <w:rsid w:val="00222E72"/>
    <w:rsid w:val="002232E3"/>
    <w:rsid w:val="002253EA"/>
    <w:rsid w:val="00230E73"/>
    <w:rsid w:val="002341FA"/>
    <w:rsid w:val="00235DD3"/>
    <w:rsid w:val="002408B1"/>
    <w:rsid w:val="002417C9"/>
    <w:rsid w:val="00242083"/>
    <w:rsid w:val="002435A4"/>
    <w:rsid w:val="00245FEC"/>
    <w:rsid w:val="002463B4"/>
    <w:rsid w:val="0025005C"/>
    <w:rsid w:val="00251473"/>
    <w:rsid w:val="0025359E"/>
    <w:rsid w:val="002537EA"/>
    <w:rsid w:val="00253905"/>
    <w:rsid w:val="00253915"/>
    <w:rsid w:val="00261339"/>
    <w:rsid w:val="002670BD"/>
    <w:rsid w:val="00267F6A"/>
    <w:rsid w:val="00270D00"/>
    <w:rsid w:val="0027359E"/>
    <w:rsid w:val="00277356"/>
    <w:rsid w:val="0029139B"/>
    <w:rsid w:val="002926DE"/>
    <w:rsid w:val="00293140"/>
    <w:rsid w:val="002971AA"/>
    <w:rsid w:val="002A029C"/>
    <w:rsid w:val="002A1AF8"/>
    <w:rsid w:val="002A22FD"/>
    <w:rsid w:val="002A3DD9"/>
    <w:rsid w:val="002A4D1C"/>
    <w:rsid w:val="002A5A97"/>
    <w:rsid w:val="002C39AF"/>
    <w:rsid w:val="002C4C18"/>
    <w:rsid w:val="002D4400"/>
    <w:rsid w:val="002D515A"/>
    <w:rsid w:val="002E1C50"/>
    <w:rsid w:val="002E41D0"/>
    <w:rsid w:val="002E4AE8"/>
    <w:rsid w:val="002E7111"/>
    <w:rsid w:val="002F0459"/>
    <w:rsid w:val="002F08D6"/>
    <w:rsid w:val="002F1554"/>
    <w:rsid w:val="002F7318"/>
    <w:rsid w:val="003039E1"/>
    <w:rsid w:val="003058F5"/>
    <w:rsid w:val="00310FDF"/>
    <w:rsid w:val="0031488D"/>
    <w:rsid w:val="003179E5"/>
    <w:rsid w:val="003208B6"/>
    <w:rsid w:val="00324AA9"/>
    <w:rsid w:val="00331923"/>
    <w:rsid w:val="00334416"/>
    <w:rsid w:val="00344C93"/>
    <w:rsid w:val="00344FE7"/>
    <w:rsid w:val="003453CA"/>
    <w:rsid w:val="00347965"/>
    <w:rsid w:val="00347CCF"/>
    <w:rsid w:val="00350B82"/>
    <w:rsid w:val="00351299"/>
    <w:rsid w:val="00351F26"/>
    <w:rsid w:val="00352EE5"/>
    <w:rsid w:val="00363189"/>
    <w:rsid w:val="00363B6D"/>
    <w:rsid w:val="003660E5"/>
    <w:rsid w:val="00370D36"/>
    <w:rsid w:val="00371C74"/>
    <w:rsid w:val="00373029"/>
    <w:rsid w:val="00373B2F"/>
    <w:rsid w:val="003827B7"/>
    <w:rsid w:val="00382BD9"/>
    <w:rsid w:val="00383258"/>
    <w:rsid w:val="0039224D"/>
    <w:rsid w:val="003944AC"/>
    <w:rsid w:val="00395E88"/>
    <w:rsid w:val="003A2173"/>
    <w:rsid w:val="003A2CDB"/>
    <w:rsid w:val="003A3DD1"/>
    <w:rsid w:val="003A5F5F"/>
    <w:rsid w:val="003A66C4"/>
    <w:rsid w:val="003A697A"/>
    <w:rsid w:val="003B4328"/>
    <w:rsid w:val="003B5CB7"/>
    <w:rsid w:val="003C3569"/>
    <w:rsid w:val="003D0FCA"/>
    <w:rsid w:val="003D16C8"/>
    <w:rsid w:val="003D2CE2"/>
    <w:rsid w:val="003D3D4D"/>
    <w:rsid w:val="003D470B"/>
    <w:rsid w:val="003D535D"/>
    <w:rsid w:val="003D6D28"/>
    <w:rsid w:val="003D72B9"/>
    <w:rsid w:val="003E063C"/>
    <w:rsid w:val="003E168F"/>
    <w:rsid w:val="003F18E4"/>
    <w:rsid w:val="003F4F29"/>
    <w:rsid w:val="0040287A"/>
    <w:rsid w:val="004035B6"/>
    <w:rsid w:val="00406923"/>
    <w:rsid w:val="004130D3"/>
    <w:rsid w:val="004148F4"/>
    <w:rsid w:val="00417880"/>
    <w:rsid w:val="00422802"/>
    <w:rsid w:val="004243D5"/>
    <w:rsid w:val="004251E1"/>
    <w:rsid w:val="00426E06"/>
    <w:rsid w:val="004303A8"/>
    <w:rsid w:val="004332A7"/>
    <w:rsid w:val="00435FE0"/>
    <w:rsid w:val="004403D0"/>
    <w:rsid w:val="00440F0B"/>
    <w:rsid w:val="00441BA9"/>
    <w:rsid w:val="00442CBB"/>
    <w:rsid w:val="00445AA1"/>
    <w:rsid w:val="00447724"/>
    <w:rsid w:val="004518E9"/>
    <w:rsid w:val="00451AAC"/>
    <w:rsid w:val="0045200E"/>
    <w:rsid w:val="00455050"/>
    <w:rsid w:val="0045661D"/>
    <w:rsid w:val="00463D5B"/>
    <w:rsid w:val="004650F6"/>
    <w:rsid w:val="0046535B"/>
    <w:rsid w:val="0046708F"/>
    <w:rsid w:val="00467E64"/>
    <w:rsid w:val="0047029E"/>
    <w:rsid w:val="0047308C"/>
    <w:rsid w:val="00474C9F"/>
    <w:rsid w:val="00475C23"/>
    <w:rsid w:val="00480ED4"/>
    <w:rsid w:val="004822D8"/>
    <w:rsid w:val="00487AC6"/>
    <w:rsid w:val="0049243D"/>
    <w:rsid w:val="00492F8C"/>
    <w:rsid w:val="004943BA"/>
    <w:rsid w:val="00496460"/>
    <w:rsid w:val="00497839"/>
    <w:rsid w:val="004A3DF8"/>
    <w:rsid w:val="004A46E7"/>
    <w:rsid w:val="004A6DC7"/>
    <w:rsid w:val="004B04F6"/>
    <w:rsid w:val="004B4520"/>
    <w:rsid w:val="004B547C"/>
    <w:rsid w:val="004C6B96"/>
    <w:rsid w:val="004D0704"/>
    <w:rsid w:val="004D16EB"/>
    <w:rsid w:val="004D360C"/>
    <w:rsid w:val="004D4268"/>
    <w:rsid w:val="004D7D4C"/>
    <w:rsid w:val="004E1EAD"/>
    <w:rsid w:val="004E7AF6"/>
    <w:rsid w:val="004F05F4"/>
    <w:rsid w:val="004F6CFF"/>
    <w:rsid w:val="00500422"/>
    <w:rsid w:val="00502FA2"/>
    <w:rsid w:val="00506550"/>
    <w:rsid w:val="00506F4C"/>
    <w:rsid w:val="0051134B"/>
    <w:rsid w:val="00513410"/>
    <w:rsid w:val="00513DE9"/>
    <w:rsid w:val="00517BA2"/>
    <w:rsid w:val="00521A8F"/>
    <w:rsid w:val="0052490B"/>
    <w:rsid w:val="00524EDA"/>
    <w:rsid w:val="005253F8"/>
    <w:rsid w:val="00525DCD"/>
    <w:rsid w:val="00527023"/>
    <w:rsid w:val="00533006"/>
    <w:rsid w:val="005346DD"/>
    <w:rsid w:val="005355B5"/>
    <w:rsid w:val="00536993"/>
    <w:rsid w:val="005449C9"/>
    <w:rsid w:val="0054770B"/>
    <w:rsid w:val="00547C40"/>
    <w:rsid w:val="005568A8"/>
    <w:rsid w:val="00560807"/>
    <w:rsid w:val="00561117"/>
    <w:rsid w:val="00561BA5"/>
    <w:rsid w:val="005633C0"/>
    <w:rsid w:val="00563563"/>
    <w:rsid w:val="0056649F"/>
    <w:rsid w:val="00567309"/>
    <w:rsid w:val="00567F69"/>
    <w:rsid w:val="005742E2"/>
    <w:rsid w:val="00577E35"/>
    <w:rsid w:val="00592C8C"/>
    <w:rsid w:val="005948FD"/>
    <w:rsid w:val="005955AC"/>
    <w:rsid w:val="00596244"/>
    <w:rsid w:val="005A33CA"/>
    <w:rsid w:val="005A499F"/>
    <w:rsid w:val="005B357B"/>
    <w:rsid w:val="005C04EB"/>
    <w:rsid w:val="005C114D"/>
    <w:rsid w:val="005D358B"/>
    <w:rsid w:val="005D58FE"/>
    <w:rsid w:val="005E4D2B"/>
    <w:rsid w:val="005E6E9F"/>
    <w:rsid w:val="005F1181"/>
    <w:rsid w:val="005F18A5"/>
    <w:rsid w:val="005F7E32"/>
    <w:rsid w:val="00600DDD"/>
    <w:rsid w:val="00602B01"/>
    <w:rsid w:val="006047FF"/>
    <w:rsid w:val="006106B2"/>
    <w:rsid w:val="006115EC"/>
    <w:rsid w:val="00611D07"/>
    <w:rsid w:val="0061375C"/>
    <w:rsid w:val="006140AF"/>
    <w:rsid w:val="0061538B"/>
    <w:rsid w:val="00616F12"/>
    <w:rsid w:val="00620DF4"/>
    <w:rsid w:val="00623F3B"/>
    <w:rsid w:val="00624B8A"/>
    <w:rsid w:val="00631BC3"/>
    <w:rsid w:val="00633C62"/>
    <w:rsid w:val="00636649"/>
    <w:rsid w:val="006466E6"/>
    <w:rsid w:val="00650E4C"/>
    <w:rsid w:val="00654C57"/>
    <w:rsid w:val="00655F47"/>
    <w:rsid w:val="00656D21"/>
    <w:rsid w:val="00661330"/>
    <w:rsid w:val="006620A5"/>
    <w:rsid w:val="0066318B"/>
    <w:rsid w:val="006704C8"/>
    <w:rsid w:val="006713BA"/>
    <w:rsid w:val="00673C5E"/>
    <w:rsid w:val="00673E14"/>
    <w:rsid w:val="00682558"/>
    <w:rsid w:val="00682F4A"/>
    <w:rsid w:val="00683AFF"/>
    <w:rsid w:val="00685947"/>
    <w:rsid w:val="00691A76"/>
    <w:rsid w:val="00693BE1"/>
    <w:rsid w:val="006A1FD4"/>
    <w:rsid w:val="006A42A1"/>
    <w:rsid w:val="006A5190"/>
    <w:rsid w:val="006A7B99"/>
    <w:rsid w:val="006B5F91"/>
    <w:rsid w:val="006B70D7"/>
    <w:rsid w:val="006B79CF"/>
    <w:rsid w:val="006C4179"/>
    <w:rsid w:val="006C47D6"/>
    <w:rsid w:val="006C6F67"/>
    <w:rsid w:val="006D0510"/>
    <w:rsid w:val="006D1CFF"/>
    <w:rsid w:val="006D7604"/>
    <w:rsid w:val="006D7CBE"/>
    <w:rsid w:val="006E07E9"/>
    <w:rsid w:val="006E2D4E"/>
    <w:rsid w:val="006E60C6"/>
    <w:rsid w:val="006F0736"/>
    <w:rsid w:val="006F0F8D"/>
    <w:rsid w:val="006F2452"/>
    <w:rsid w:val="006F40C1"/>
    <w:rsid w:val="006F5943"/>
    <w:rsid w:val="00705615"/>
    <w:rsid w:val="00706B58"/>
    <w:rsid w:val="0071267E"/>
    <w:rsid w:val="007138DF"/>
    <w:rsid w:val="00720C77"/>
    <w:rsid w:val="007268CF"/>
    <w:rsid w:val="00727F2B"/>
    <w:rsid w:val="00736CD1"/>
    <w:rsid w:val="00737B7F"/>
    <w:rsid w:val="007423C9"/>
    <w:rsid w:val="0074349B"/>
    <w:rsid w:val="0074427E"/>
    <w:rsid w:val="0074543B"/>
    <w:rsid w:val="007477FE"/>
    <w:rsid w:val="00750055"/>
    <w:rsid w:val="0075408D"/>
    <w:rsid w:val="00760FC4"/>
    <w:rsid w:val="00762C5F"/>
    <w:rsid w:val="007657FD"/>
    <w:rsid w:val="00773591"/>
    <w:rsid w:val="00774477"/>
    <w:rsid w:val="007758C6"/>
    <w:rsid w:val="007758D4"/>
    <w:rsid w:val="00776330"/>
    <w:rsid w:val="00783CD9"/>
    <w:rsid w:val="00783F3F"/>
    <w:rsid w:val="00785F50"/>
    <w:rsid w:val="0078688F"/>
    <w:rsid w:val="00797149"/>
    <w:rsid w:val="007A0E85"/>
    <w:rsid w:val="007A37FB"/>
    <w:rsid w:val="007A533D"/>
    <w:rsid w:val="007A53B3"/>
    <w:rsid w:val="007A7499"/>
    <w:rsid w:val="007A7847"/>
    <w:rsid w:val="007B023A"/>
    <w:rsid w:val="007B0419"/>
    <w:rsid w:val="007B1DA8"/>
    <w:rsid w:val="007C23F0"/>
    <w:rsid w:val="007C3901"/>
    <w:rsid w:val="007C4CC8"/>
    <w:rsid w:val="007C5335"/>
    <w:rsid w:val="007C7765"/>
    <w:rsid w:val="007D3F5E"/>
    <w:rsid w:val="007D4245"/>
    <w:rsid w:val="007D570F"/>
    <w:rsid w:val="007D62BE"/>
    <w:rsid w:val="007D65A0"/>
    <w:rsid w:val="007D72D3"/>
    <w:rsid w:val="007E0A44"/>
    <w:rsid w:val="007F1C90"/>
    <w:rsid w:val="007F4B6C"/>
    <w:rsid w:val="007F5469"/>
    <w:rsid w:val="007F5D1F"/>
    <w:rsid w:val="00800797"/>
    <w:rsid w:val="00801950"/>
    <w:rsid w:val="00806939"/>
    <w:rsid w:val="00820F12"/>
    <w:rsid w:val="008226B3"/>
    <w:rsid w:val="008227B5"/>
    <w:rsid w:val="00823008"/>
    <w:rsid w:val="00824F31"/>
    <w:rsid w:val="00825E61"/>
    <w:rsid w:val="00834F26"/>
    <w:rsid w:val="00835CAE"/>
    <w:rsid w:val="008415B5"/>
    <w:rsid w:val="00842644"/>
    <w:rsid w:val="008432AF"/>
    <w:rsid w:val="008473EC"/>
    <w:rsid w:val="008539D7"/>
    <w:rsid w:val="008562D3"/>
    <w:rsid w:val="00856D15"/>
    <w:rsid w:val="00860DB0"/>
    <w:rsid w:val="00863158"/>
    <w:rsid w:val="0086620A"/>
    <w:rsid w:val="00866A3D"/>
    <w:rsid w:val="008704E9"/>
    <w:rsid w:val="00872EBD"/>
    <w:rsid w:val="0087668E"/>
    <w:rsid w:val="00880281"/>
    <w:rsid w:val="008818A9"/>
    <w:rsid w:val="00885C43"/>
    <w:rsid w:val="008909DB"/>
    <w:rsid w:val="008A0B7B"/>
    <w:rsid w:val="008A1153"/>
    <w:rsid w:val="008B0338"/>
    <w:rsid w:val="008C34D1"/>
    <w:rsid w:val="008C6646"/>
    <w:rsid w:val="008D13EA"/>
    <w:rsid w:val="008D284F"/>
    <w:rsid w:val="008D36E4"/>
    <w:rsid w:val="008D4993"/>
    <w:rsid w:val="008D7026"/>
    <w:rsid w:val="008E0A0F"/>
    <w:rsid w:val="008E0D2F"/>
    <w:rsid w:val="008E1488"/>
    <w:rsid w:val="008E23AC"/>
    <w:rsid w:val="008E2DA5"/>
    <w:rsid w:val="008E3507"/>
    <w:rsid w:val="008E437E"/>
    <w:rsid w:val="008E4C53"/>
    <w:rsid w:val="008F00F3"/>
    <w:rsid w:val="008F0291"/>
    <w:rsid w:val="008F3953"/>
    <w:rsid w:val="008F3F9D"/>
    <w:rsid w:val="008F4D80"/>
    <w:rsid w:val="008F5CD7"/>
    <w:rsid w:val="008F6158"/>
    <w:rsid w:val="008F62BF"/>
    <w:rsid w:val="00903AE0"/>
    <w:rsid w:val="00903DA6"/>
    <w:rsid w:val="0090624F"/>
    <w:rsid w:val="00910B82"/>
    <w:rsid w:val="00923B89"/>
    <w:rsid w:val="009258A7"/>
    <w:rsid w:val="009267AF"/>
    <w:rsid w:val="00927090"/>
    <w:rsid w:val="00932125"/>
    <w:rsid w:val="00932ED9"/>
    <w:rsid w:val="00936D6C"/>
    <w:rsid w:val="00937EB8"/>
    <w:rsid w:val="009503C7"/>
    <w:rsid w:val="009607C1"/>
    <w:rsid w:val="0096298F"/>
    <w:rsid w:val="00963E53"/>
    <w:rsid w:val="00970FEB"/>
    <w:rsid w:val="00983FEA"/>
    <w:rsid w:val="009841A3"/>
    <w:rsid w:val="00987B05"/>
    <w:rsid w:val="00990334"/>
    <w:rsid w:val="00990474"/>
    <w:rsid w:val="00990637"/>
    <w:rsid w:val="009906C4"/>
    <w:rsid w:val="009947AA"/>
    <w:rsid w:val="00997BD7"/>
    <w:rsid w:val="009A2A36"/>
    <w:rsid w:val="009A476C"/>
    <w:rsid w:val="009A4F7D"/>
    <w:rsid w:val="009B73F5"/>
    <w:rsid w:val="009B7590"/>
    <w:rsid w:val="009B767F"/>
    <w:rsid w:val="009C1FBF"/>
    <w:rsid w:val="009C3271"/>
    <w:rsid w:val="009C6A09"/>
    <w:rsid w:val="009D060F"/>
    <w:rsid w:val="009D1624"/>
    <w:rsid w:val="009D4E8B"/>
    <w:rsid w:val="009D5EB6"/>
    <w:rsid w:val="009D62E0"/>
    <w:rsid w:val="009D7136"/>
    <w:rsid w:val="009E10F4"/>
    <w:rsid w:val="009E41A2"/>
    <w:rsid w:val="009F2F04"/>
    <w:rsid w:val="009F4B93"/>
    <w:rsid w:val="009F58CD"/>
    <w:rsid w:val="00A009E7"/>
    <w:rsid w:val="00A01E00"/>
    <w:rsid w:val="00A1077E"/>
    <w:rsid w:val="00A11079"/>
    <w:rsid w:val="00A16893"/>
    <w:rsid w:val="00A2045F"/>
    <w:rsid w:val="00A24987"/>
    <w:rsid w:val="00A3193C"/>
    <w:rsid w:val="00A32A2B"/>
    <w:rsid w:val="00A41CEA"/>
    <w:rsid w:val="00A43FFD"/>
    <w:rsid w:val="00A44699"/>
    <w:rsid w:val="00A4763C"/>
    <w:rsid w:val="00A506C1"/>
    <w:rsid w:val="00A52A15"/>
    <w:rsid w:val="00A5357C"/>
    <w:rsid w:val="00A54AD2"/>
    <w:rsid w:val="00A54C9E"/>
    <w:rsid w:val="00A54EFD"/>
    <w:rsid w:val="00A55AB5"/>
    <w:rsid w:val="00A57319"/>
    <w:rsid w:val="00A576BC"/>
    <w:rsid w:val="00A57A3A"/>
    <w:rsid w:val="00A57F23"/>
    <w:rsid w:val="00A63858"/>
    <w:rsid w:val="00A651E3"/>
    <w:rsid w:val="00A73E8D"/>
    <w:rsid w:val="00A7441C"/>
    <w:rsid w:val="00A76014"/>
    <w:rsid w:val="00A81469"/>
    <w:rsid w:val="00A81AF9"/>
    <w:rsid w:val="00A8200B"/>
    <w:rsid w:val="00A92B36"/>
    <w:rsid w:val="00A95F63"/>
    <w:rsid w:val="00A96026"/>
    <w:rsid w:val="00AA6676"/>
    <w:rsid w:val="00AB134D"/>
    <w:rsid w:val="00AB52E5"/>
    <w:rsid w:val="00AB5AA5"/>
    <w:rsid w:val="00AB6AB8"/>
    <w:rsid w:val="00AC1BB4"/>
    <w:rsid w:val="00AC20AB"/>
    <w:rsid w:val="00AD13CD"/>
    <w:rsid w:val="00AD3D4C"/>
    <w:rsid w:val="00AE010E"/>
    <w:rsid w:val="00AE1F4E"/>
    <w:rsid w:val="00AE308B"/>
    <w:rsid w:val="00AE3499"/>
    <w:rsid w:val="00AE55C5"/>
    <w:rsid w:val="00AE5736"/>
    <w:rsid w:val="00AF1526"/>
    <w:rsid w:val="00B006B6"/>
    <w:rsid w:val="00B0225D"/>
    <w:rsid w:val="00B035D6"/>
    <w:rsid w:val="00B06674"/>
    <w:rsid w:val="00B066B0"/>
    <w:rsid w:val="00B06FF6"/>
    <w:rsid w:val="00B07ED4"/>
    <w:rsid w:val="00B11A67"/>
    <w:rsid w:val="00B14D49"/>
    <w:rsid w:val="00B15690"/>
    <w:rsid w:val="00B15F09"/>
    <w:rsid w:val="00B20950"/>
    <w:rsid w:val="00B22F44"/>
    <w:rsid w:val="00B23082"/>
    <w:rsid w:val="00B27815"/>
    <w:rsid w:val="00B31B88"/>
    <w:rsid w:val="00B33D68"/>
    <w:rsid w:val="00B33DBE"/>
    <w:rsid w:val="00B37809"/>
    <w:rsid w:val="00B40120"/>
    <w:rsid w:val="00B42DDA"/>
    <w:rsid w:val="00B44027"/>
    <w:rsid w:val="00B4470B"/>
    <w:rsid w:val="00B46C8F"/>
    <w:rsid w:val="00B479CD"/>
    <w:rsid w:val="00B50EB1"/>
    <w:rsid w:val="00B5229F"/>
    <w:rsid w:val="00B549C9"/>
    <w:rsid w:val="00B563D0"/>
    <w:rsid w:val="00B65215"/>
    <w:rsid w:val="00B6795A"/>
    <w:rsid w:val="00B70FBF"/>
    <w:rsid w:val="00B778BB"/>
    <w:rsid w:val="00B810C1"/>
    <w:rsid w:val="00B849B5"/>
    <w:rsid w:val="00B87DA5"/>
    <w:rsid w:val="00B92153"/>
    <w:rsid w:val="00B92329"/>
    <w:rsid w:val="00B954FD"/>
    <w:rsid w:val="00BA03D1"/>
    <w:rsid w:val="00BA4A18"/>
    <w:rsid w:val="00BA5C79"/>
    <w:rsid w:val="00BA62F7"/>
    <w:rsid w:val="00BB00D8"/>
    <w:rsid w:val="00BB105C"/>
    <w:rsid w:val="00BB1865"/>
    <w:rsid w:val="00BB621C"/>
    <w:rsid w:val="00BC0D09"/>
    <w:rsid w:val="00BC0FDF"/>
    <w:rsid w:val="00BC5633"/>
    <w:rsid w:val="00BC5727"/>
    <w:rsid w:val="00BE3020"/>
    <w:rsid w:val="00BE3BA1"/>
    <w:rsid w:val="00BE5B38"/>
    <w:rsid w:val="00BF3B91"/>
    <w:rsid w:val="00C03E95"/>
    <w:rsid w:val="00C069C9"/>
    <w:rsid w:val="00C10351"/>
    <w:rsid w:val="00C114E6"/>
    <w:rsid w:val="00C13044"/>
    <w:rsid w:val="00C137D3"/>
    <w:rsid w:val="00C13E1E"/>
    <w:rsid w:val="00C1798F"/>
    <w:rsid w:val="00C2245E"/>
    <w:rsid w:val="00C235DA"/>
    <w:rsid w:val="00C25E47"/>
    <w:rsid w:val="00C310E4"/>
    <w:rsid w:val="00C32E65"/>
    <w:rsid w:val="00C33AAA"/>
    <w:rsid w:val="00C361FA"/>
    <w:rsid w:val="00C522D0"/>
    <w:rsid w:val="00C529AE"/>
    <w:rsid w:val="00C548DC"/>
    <w:rsid w:val="00C62AAB"/>
    <w:rsid w:val="00C67A23"/>
    <w:rsid w:val="00C73291"/>
    <w:rsid w:val="00C75769"/>
    <w:rsid w:val="00C81B29"/>
    <w:rsid w:val="00C8257D"/>
    <w:rsid w:val="00C835C6"/>
    <w:rsid w:val="00C8394C"/>
    <w:rsid w:val="00C85C25"/>
    <w:rsid w:val="00C875B7"/>
    <w:rsid w:val="00C87AC5"/>
    <w:rsid w:val="00C922ED"/>
    <w:rsid w:val="00C92DA2"/>
    <w:rsid w:val="00C9390A"/>
    <w:rsid w:val="00CA0C6A"/>
    <w:rsid w:val="00CB1682"/>
    <w:rsid w:val="00CB296D"/>
    <w:rsid w:val="00CB304D"/>
    <w:rsid w:val="00CC04B7"/>
    <w:rsid w:val="00CC75B2"/>
    <w:rsid w:val="00CD1057"/>
    <w:rsid w:val="00CD18F6"/>
    <w:rsid w:val="00CD47DD"/>
    <w:rsid w:val="00CD6BA0"/>
    <w:rsid w:val="00CE0327"/>
    <w:rsid w:val="00CE0DCB"/>
    <w:rsid w:val="00CE1F7F"/>
    <w:rsid w:val="00CE7609"/>
    <w:rsid w:val="00CF2D51"/>
    <w:rsid w:val="00CF5EC9"/>
    <w:rsid w:val="00CF643B"/>
    <w:rsid w:val="00D0269C"/>
    <w:rsid w:val="00D0602B"/>
    <w:rsid w:val="00D1025F"/>
    <w:rsid w:val="00D1247A"/>
    <w:rsid w:val="00D16520"/>
    <w:rsid w:val="00D203BD"/>
    <w:rsid w:val="00D2237B"/>
    <w:rsid w:val="00D2563F"/>
    <w:rsid w:val="00D31AA0"/>
    <w:rsid w:val="00D37060"/>
    <w:rsid w:val="00D409A4"/>
    <w:rsid w:val="00D4135E"/>
    <w:rsid w:val="00D4504E"/>
    <w:rsid w:val="00D46D11"/>
    <w:rsid w:val="00D47F71"/>
    <w:rsid w:val="00D55097"/>
    <w:rsid w:val="00D65065"/>
    <w:rsid w:val="00D7296F"/>
    <w:rsid w:val="00D73262"/>
    <w:rsid w:val="00D73400"/>
    <w:rsid w:val="00D76C00"/>
    <w:rsid w:val="00D80003"/>
    <w:rsid w:val="00D82150"/>
    <w:rsid w:val="00D83F6C"/>
    <w:rsid w:val="00D86A99"/>
    <w:rsid w:val="00D874D7"/>
    <w:rsid w:val="00D9025E"/>
    <w:rsid w:val="00D9135C"/>
    <w:rsid w:val="00D92242"/>
    <w:rsid w:val="00D9332F"/>
    <w:rsid w:val="00D964CB"/>
    <w:rsid w:val="00D96EA9"/>
    <w:rsid w:val="00DA0024"/>
    <w:rsid w:val="00DA1CF9"/>
    <w:rsid w:val="00DA4C92"/>
    <w:rsid w:val="00DA70E4"/>
    <w:rsid w:val="00DB1487"/>
    <w:rsid w:val="00DB1A40"/>
    <w:rsid w:val="00DC25FB"/>
    <w:rsid w:val="00DC316A"/>
    <w:rsid w:val="00DC626C"/>
    <w:rsid w:val="00DC7D8F"/>
    <w:rsid w:val="00DD6BC8"/>
    <w:rsid w:val="00DE0E46"/>
    <w:rsid w:val="00DE41C6"/>
    <w:rsid w:val="00DE5904"/>
    <w:rsid w:val="00DE6D21"/>
    <w:rsid w:val="00DF4FB5"/>
    <w:rsid w:val="00DF6F77"/>
    <w:rsid w:val="00DF72E9"/>
    <w:rsid w:val="00E005C1"/>
    <w:rsid w:val="00E04E10"/>
    <w:rsid w:val="00E053AB"/>
    <w:rsid w:val="00E05597"/>
    <w:rsid w:val="00E1002E"/>
    <w:rsid w:val="00E11CF3"/>
    <w:rsid w:val="00E1538E"/>
    <w:rsid w:val="00E176A8"/>
    <w:rsid w:val="00E17BFF"/>
    <w:rsid w:val="00E218D2"/>
    <w:rsid w:val="00E257D9"/>
    <w:rsid w:val="00E264D2"/>
    <w:rsid w:val="00E305A0"/>
    <w:rsid w:val="00E34698"/>
    <w:rsid w:val="00E4030E"/>
    <w:rsid w:val="00E4310A"/>
    <w:rsid w:val="00E50724"/>
    <w:rsid w:val="00E52C97"/>
    <w:rsid w:val="00E53819"/>
    <w:rsid w:val="00E573DF"/>
    <w:rsid w:val="00E573F5"/>
    <w:rsid w:val="00E576B6"/>
    <w:rsid w:val="00E61279"/>
    <w:rsid w:val="00E71DA9"/>
    <w:rsid w:val="00E7255F"/>
    <w:rsid w:val="00E81D41"/>
    <w:rsid w:val="00E86AF9"/>
    <w:rsid w:val="00E86B53"/>
    <w:rsid w:val="00E930D4"/>
    <w:rsid w:val="00E94D6D"/>
    <w:rsid w:val="00E96AFE"/>
    <w:rsid w:val="00E971E4"/>
    <w:rsid w:val="00EA3CA3"/>
    <w:rsid w:val="00EA5EEA"/>
    <w:rsid w:val="00EA72D7"/>
    <w:rsid w:val="00EA7F85"/>
    <w:rsid w:val="00EB4905"/>
    <w:rsid w:val="00EB7373"/>
    <w:rsid w:val="00ED0401"/>
    <w:rsid w:val="00EE5229"/>
    <w:rsid w:val="00EE6EBC"/>
    <w:rsid w:val="00EE7E75"/>
    <w:rsid w:val="00EF345F"/>
    <w:rsid w:val="00EF5558"/>
    <w:rsid w:val="00EF5EEB"/>
    <w:rsid w:val="00EF7FC3"/>
    <w:rsid w:val="00F06179"/>
    <w:rsid w:val="00F0762A"/>
    <w:rsid w:val="00F11535"/>
    <w:rsid w:val="00F1573C"/>
    <w:rsid w:val="00F167F1"/>
    <w:rsid w:val="00F179B5"/>
    <w:rsid w:val="00F17BA5"/>
    <w:rsid w:val="00F229D2"/>
    <w:rsid w:val="00F25416"/>
    <w:rsid w:val="00F30DED"/>
    <w:rsid w:val="00F31BAF"/>
    <w:rsid w:val="00F33125"/>
    <w:rsid w:val="00F360D6"/>
    <w:rsid w:val="00F414A0"/>
    <w:rsid w:val="00F430C8"/>
    <w:rsid w:val="00F46487"/>
    <w:rsid w:val="00F47546"/>
    <w:rsid w:val="00F541E1"/>
    <w:rsid w:val="00F567CB"/>
    <w:rsid w:val="00F60E20"/>
    <w:rsid w:val="00F658BB"/>
    <w:rsid w:val="00F714C9"/>
    <w:rsid w:val="00F71FF3"/>
    <w:rsid w:val="00F74D0A"/>
    <w:rsid w:val="00F762BD"/>
    <w:rsid w:val="00F81C1C"/>
    <w:rsid w:val="00F82ACF"/>
    <w:rsid w:val="00F86EA2"/>
    <w:rsid w:val="00F92B86"/>
    <w:rsid w:val="00F947F3"/>
    <w:rsid w:val="00FA5998"/>
    <w:rsid w:val="00FA62B8"/>
    <w:rsid w:val="00FB67CC"/>
    <w:rsid w:val="00FC1157"/>
    <w:rsid w:val="00FC22E4"/>
    <w:rsid w:val="00FC3C92"/>
    <w:rsid w:val="00FD5A35"/>
    <w:rsid w:val="00FD63BA"/>
    <w:rsid w:val="00FD72AB"/>
    <w:rsid w:val="00FD7C0C"/>
    <w:rsid w:val="00FE2998"/>
    <w:rsid w:val="00FE2C87"/>
    <w:rsid w:val="00FE3EA8"/>
    <w:rsid w:val="00FE5053"/>
    <w:rsid w:val="00FF3AAA"/>
    <w:rsid w:val="00FF53A7"/>
    <w:rsid w:val="00FF6287"/>
    <w:rsid w:val="00FF6872"/>
    <w:rsid w:val="00FF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4D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00"/>
  </w:style>
  <w:style w:type="paragraph" w:styleId="Heading1">
    <w:name w:val="heading 1"/>
    <w:basedOn w:val="Normal"/>
    <w:next w:val="Normal"/>
    <w:link w:val="Heading1Char"/>
    <w:uiPriority w:val="9"/>
    <w:qFormat/>
    <w:rsid w:val="00E176A8"/>
    <w:pPr>
      <w:spacing w:after="0" w:line="240" w:lineRule="auto"/>
      <w:jc w:val="center"/>
      <w:outlineLvl w:val="0"/>
    </w:pPr>
    <w:rPr>
      <w:rFonts w:cstheme="minorHAnsi"/>
      <w:b/>
      <w:sz w:val="24"/>
      <w:szCs w:val="24"/>
    </w:rPr>
  </w:style>
  <w:style w:type="paragraph" w:styleId="Heading2">
    <w:name w:val="heading 2"/>
    <w:basedOn w:val="Normal"/>
    <w:next w:val="Normal"/>
    <w:link w:val="Heading2Char"/>
    <w:uiPriority w:val="9"/>
    <w:unhideWhenUsed/>
    <w:qFormat/>
    <w:rsid w:val="00A7441C"/>
    <w:pPr>
      <w:outlineLvl w:val="1"/>
    </w:pPr>
    <w:rPr>
      <w:rFonts w:cstheme="minorHAnsi"/>
      <w:b/>
      <w:sz w:val="24"/>
      <w:szCs w:val="24"/>
    </w:rPr>
  </w:style>
  <w:style w:type="paragraph" w:styleId="Heading3">
    <w:name w:val="heading 3"/>
    <w:basedOn w:val="Normal"/>
    <w:next w:val="Normal"/>
    <w:link w:val="Heading3Char"/>
    <w:uiPriority w:val="9"/>
    <w:unhideWhenUsed/>
    <w:qFormat/>
    <w:rsid w:val="00517B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947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947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993"/>
    <w:pPr>
      <w:spacing w:after="0" w:line="240" w:lineRule="auto"/>
    </w:pPr>
    <w:rPr>
      <w:rFonts w:ascii="Verdana" w:hAnsi="Verdana"/>
    </w:rPr>
  </w:style>
  <w:style w:type="character" w:customStyle="1" w:styleId="Heading1Char">
    <w:name w:val="Heading 1 Char"/>
    <w:basedOn w:val="DefaultParagraphFont"/>
    <w:link w:val="Heading1"/>
    <w:uiPriority w:val="9"/>
    <w:rsid w:val="00E176A8"/>
    <w:rPr>
      <w:rFonts w:cstheme="minorHAnsi"/>
      <w:b/>
      <w:sz w:val="24"/>
      <w:szCs w:val="24"/>
    </w:rPr>
  </w:style>
  <w:style w:type="character" w:customStyle="1" w:styleId="Heading2Char">
    <w:name w:val="Heading 2 Char"/>
    <w:basedOn w:val="DefaultParagraphFont"/>
    <w:link w:val="Heading2"/>
    <w:uiPriority w:val="9"/>
    <w:rsid w:val="00A7441C"/>
    <w:rPr>
      <w:rFonts w:cstheme="minorHAnsi"/>
      <w:b/>
      <w:sz w:val="24"/>
      <w:szCs w:val="24"/>
    </w:rPr>
  </w:style>
  <w:style w:type="paragraph" w:styleId="Title">
    <w:name w:val="Title"/>
    <w:basedOn w:val="Normal"/>
    <w:next w:val="Normal"/>
    <w:link w:val="TitleChar"/>
    <w:uiPriority w:val="10"/>
    <w:qFormat/>
    <w:rsid w:val="00E176A8"/>
    <w:pPr>
      <w:jc w:val="center"/>
    </w:pPr>
    <w:rPr>
      <w:rFonts w:cstheme="minorHAnsi"/>
      <w:b/>
      <w:sz w:val="24"/>
      <w:szCs w:val="24"/>
    </w:rPr>
  </w:style>
  <w:style w:type="character" w:customStyle="1" w:styleId="TitleChar">
    <w:name w:val="Title Char"/>
    <w:basedOn w:val="DefaultParagraphFont"/>
    <w:link w:val="Title"/>
    <w:uiPriority w:val="10"/>
    <w:rsid w:val="00E176A8"/>
    <w:rPr>
      <w:rFonts w:cstheme="minorHAnsi"/>
      <w:b/>
      <w:sz w:val="24"/>
      <w:szCs w:val="24"/>
    </w:rPr>
  </w:style>
  <w:style w:type="character" w:customStyle="1" w:styleId="Heading3Char">
    <w:name w:val="Heading 3 Char"/>
    <w:basedOn w:val="DefaultParagraphFont"/>
    <w:link w:val="Heading3"/>
    <w:uiPriority w:val="9"/>
    <w:rsid w:val="00517B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47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947F3"/>
    <w:rPr>
      <w:rFonts w:asciiTheme="majorHAnsi" w:eastAsiaTheme="majorEastAsia" w:hAnsiTheme="majorHAnsi" w:cstheme="majorBidi"/>
      <w:color w:val="2E74B5" w:themeColor="accent1" w:themeShade="BF"/>
    </w:rPr>
  </w:style>
  <w:style w:type="paragraph" w:customStyle="1" w:styleId="Bodycopy">
    <w:name w:val="Body copy"/>
    <w:link w:val="BodycopyChar"/>
    <w:qFormat/>
    <w:rsid w:val="00475C23"/>
    <w:pPr>
      <w:suppressAutoHyphens/>
      <w:spacing w:after="240" w:line="240" w:lineRule="exact"/>
    </w:pPr>
    <w:rPr>
      <w:rFonts w:ascii="Arial" w:eastAsia="Times" w:hAnsi="Arial" w:cs="Times New Roman"/>
      <w:color w:val="000000"/>
      <w:sz w:val="19"/>
      <w:szCs w:val="20"/>
    </w:rPr>
  </w:style>
  <w:style w:type="character" w:customStyle="1" w:styleId="BodycopyChar">
    <w:name w:val="Body copy Char"/>
    <w:basedOn w:val="DefaultParagraphFont"/>
    <w:link w:val="Bodycopy"/>
    <w:rsid w:val="00475C23"/>
    <w:rPr>
      <w:rFonts w:ascii="Arial" w:eastAsia="Times" w:hAnsi="Arial" w:cs="Times New Roman"/>
      <w:color w:val="000000"/>
      <w:sz w:val="19"/>
      <w:szCs w:val="20"/>
    </w:rPr>
  </w:style>
  <w:style w:type="table" w:customStyle="1" w:styleId="Table-Grid">
    <w:name w:val="Table-Grid"/>
    <w:basedOn w:val="TableNormal"/>
    <w:uiPriority w:val="99"/>
    <w:rsid w:val="00475C23"/>
    <w:pPr>
      <w:spacing w:after="0" w:line="240" w:lineRule="auto"/>
    </w:pPr>
    <w:rPr>
      <w:rFonts w:ascii="Times New Roman" w:eastAsia="Times New Roman" w:hAnsi="Times New Roman" w:cs="Times New Roman"/>
      <w:sz w:val="20"/>
      <w:szCs w:val="20"/>
      <w:lang w:val="en-NZ"/>
    </w:rPr>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paragraph" w:customStyle="1" w:styleId="Sectionsub-heading">
    <w:name w:val="Section sub-heading"/>
    <w:basedOn w:val="Normal"/>
    <w:link w:val="Sectionsub-headingChar"/>
    <w:rsid w:val="00475C23"/>
    <w:pPr>
      <w:keepNext/>
      <w:spacing w:after="240" w:line="240" w:lineRule="auto"/>
      <w:ind w:left="720" w:hanging="720"/>
      <w:jc w:val="both"/>
    </w:pPr>
    <w:rPr>
      <w:rFonts w:ascii="Arial" w:eastAsia="Times New Roman" w:hAnsi="Arial" w:cs="Arial"/>
      <w:b/>
      <w:color w:val="44546A" w:themeColor="text2"/>
      <w:szCs w:val="20"/>
      <w:lang w:val="en-NZ"/>
    </w:rPr>
  </w:style>
  <w:style w:type="character" w:customStyle="1" w:styleId="Sectionsub-headingChar">
    <w:name w:val="Section sub-heading Char"/>
    <w:basedOn w:val="DefaultParagraphFont"/>
    <w:link w:val="Sectionsub-heading"/>
    <w:rsid w:val="00475C23"/>
    <w:rPr>
      <w:rFonts w:ascii="Arial" w:eastAsia="Times New Roman" w:hAnsi="Arial" w:cs="Arial"/>
      <w:b/>
      <w:color w:val="44546A" w:themeColor="text2"/>
      <w:szCs w:val="20"/>
      <w:lang w:val="en-NZ"/>
    </w:rPr>
  </w:style>
  <w:style w:type="paragraph" w:styleId="ListNumber2">
    <w:name w:val="List Number 2"/>
    <w:basedOn w:val="ListNumber"/>
    <w:uiPriority w:val="99"/>
    <w:qFormat/>
    <w:rsid w:val="00347CCF"/>
    <w:pPr>
      <w:numPr>
        <w:numId w:val="1"/>
      </w:numPr>
      <w:tabs>
        <w:tab w:val="clear" w:pos="868"/>
        <w:tab w:val="num" w:pos="360"/>
        <w:tab w:val="left" w:pos="426"/>
      </w:tabs>
      <w:spacing w:after="120" w:line="280" w:lineRule="exact"/>
      <w:ind w:left="360" w:hanging="360"/>
      <w:contextualSpacing w:val="0"/>
    </w:pPr>
    <w:rPr>
      <w:rFonts w:ascii="Franklin Gothic Book" w:eastAsia="Times New Roman" w:hAnsi="Franklin Gothic Book" w:cs="Times New Roman"/>
      <w:color w:val="000000" w:themeColor="text1"/>
      <w:sz w:val="20"/>
      <w:szCs w:val="20"/>
    </w:rPr>
  </w:style>
  <w:style w:type="character" w:styleId="Hyperlink">
    <w:name w:val="Hyperlink"/>
    <w:uiPriority w:val="99"/>
    <w:rsid w:val="00347CCF"/>
    <w:rPr>
      <w:color w:val="00467F"/>
      <w:sz w:val="20"/>
      <w:szCs w:val="20"/>
      <w:u w:val="none"/>
    </w:rPr>
  </w:style>
  <w:style w:type="paragraph" w:styleId="FootnoteText">
    <w:name w:val="footnote text"/>
    <w:aliases w:val="ft,single space,footnote text Char Char Char,footnote text Char,footnote text Char Char,footnote text Char Char Char Char Char,FOOTNOTES,fn,Footnote Text Char Char Char Char,Footnote Text Char Char Char,ADB,Fußnotentext Char,A"/>
    <w:basedOn w:val="BodyText"/>
    <w:link w:val="FootnoteTextChar"/>
    <w:uiPriority w:val="99"/>
    <w:unhideWhenUsed/>
    <w:qFormat/>
    <w:rsid w:val="00347CCF"/>
    <w:pPr>
      <w:spacing w:after="0" w:line="240" w:lineRule="auto"/>
      <w:contextualSpacing/>
    </w:pPr>
    <w:rPr>
      <w:rFonts w:ascii="Franklin Gothic Book" w:eastAsia="Times New Roman" w:hAnsi="Franklin Gothic Book" w:cs="Times New Roman"/>
      <w:color w:val="000000" w:themeColor="text1"/>
      <w:sz w:val="16"/>
      <w:szCs w:val="20"/>
      <w:lang w:val="en-AU"/>
    </w:rPr>
  </w:style>
  <w:style w:type="character" w:customStyle="1" w:styleId="FootnoteTextChar">
    <w:name w:val="Footnote Text Char"/>
    <w:aliases w:val="ft Char,single space Char,footnote text Char Char Char Char,footnote text Char Char1,footnote text Char Char Char1,footnote text Char Char Char Char Char Char,FOOTNOTES Char,fn Char,Footnote Text Char Char Char Char Char,ADB Char"/>
    <w:basedOn w:val="DefaultParagraphFont"/>
    <w:link w:val="FootnoteText"/>
    <w:uiPriority w:val="99"/>
    <w:rsid w:val="00347CCF"/>
    <w:rPr>
      <w:rFonts w:ascii="Franklin Gothic Book" w:eastAsia="Times New Roman" w:hAnsi="Franklin Gothic Book" w:cs="Times New Roman"/>
      <w:color w:val="000000" w:themeColor="text1"/>
      <w:sz w:val="16"/>
      <w:szCs w:val="20"/>
      <w:lang w:val="en-AU"/>
    </w:rPr>
  </w:style>
  <w:style w:type="character" w:styleId="FootnoteReference">
    <w:name w:val="footnote reference"/>
    <w:aliases w:val="Normal + Font:9 Point,Superscript 3 Point Times,ftref,BVI fnr,footnote ref,16 Point,Superscript 6 Point,Footnote text,fr,(NECG) Footnote Reference,Footnote + Arial,10 pt,Black,SUPERS,Footnote"/>
    <w:uiPriority w:val="99"/>
    <w:rsid w:val="00347CCF"/>
    <w:rPr>
      <w:rFonts w:ascii="Times New Roman" w:hAnsi="Times New Roman"/>
      <w:w w:val="100"/>
      <w:position w:val="6"/>
      <w:sz w:val="16"/>
      <w:szCs w:val="12"/>
      <w:vertAlign w:val="baseline"/>
    </w:rPr>
  </w:style>
  <w:style w:type="paragraph" w:styleId="ListParagraph">
    <w:name w:val="List Paragraph"/>
    <w:aliases w:val="List Paragraph1,List Paragraph11,L,Recommendation,CV text,Table text,Bullets level 1,List Paragraph - Dani,List Paragraph 1 - Dani,Akapit z listą BS,Table/Figure Heading,F5 List Paragraph,Dot pt,List Paragraph111,Medium Grid 1 - Accent 21"/>
    <w:basedOn w:val="BodyText"/>
    <w:link w:val="ListParagraphChar"/>
    <w:uiPriority w:val="34"/>
    <w:qFormat/>
    <w:rsid w:val="00347CCF"/>
    <w:pPr>
      <w:numPr>
        <w:numId w:val="3"/>
      </w:numPr>
      <w:spacing w:before="80" w:line="276" w:lineRule="auto"/>
      <w:ind w:left="142" w:hanging="426"/>
    </w:pPr>
    <w:rPr>
      <w:rFonts w:ascii="Franklin Gothic Book" w:eastAsia="SimSun" w:hAnsi="Franklin Gothic Book" w:cs="Times New Roman"/>
      <w:color w:val="000000" w:themeColor="text1"/>
      <w:sz w:val="20"/>
      <w:szCs w:val="20"/>
    </w:rPr>
  </w:style>
  <w:style w:type="paragraph" w:customStyle="1" w:styleId="List-number-1">
    <w:name w:val="List-number-1"/>
    <w:basedOn w:val="ListParagraph"/>
    <w:link w:val="List-number-1Char"/>
    <w:qFormat/>
    <w:rsid w:val="00347CCF"/>
    <w:pPr>
      <w:numPr>
        <w:ilvl w:val="2"/>
        <w:numId w:val="2"/>
      </w:numPr>
      <w:tabs>
        <w:tab w:val="num" w:pos="360"/>
      </w:tabs>
      <w:ind w:left="142" w:hanging="426"/>
    </w:pPr>
  </w:style>
  <w:style w:type="character" w:customStyle="1" w:styleId="List-number-1Char">
    <w:name w:val="List-number-1 Char"/>
    <w:link w:val="List-number-1"/>
    <w:rsid w:val="00347CCF"/>
    <w:rPr>
      <w:rFonts w:ascii="Franklin Gothic Book" w:eastAsia="SimSun" w:hAnsi="Franklin Gothic Book" w:cs="Times New Roman"/>
      <w:color w:val="000000" w:themeColor="text1"/>
      <w:sz w:val="20"/>
      <w:szCs w:val="20"/>
    </w:rPr>
  </w:style>
  <w:style w:type="character" w:customStyle="1" w:styleId="ListParagraphChar">
    <w:name w:val="List Paragraph Char"/>
    <w:aliases w:val="List Paragraph1 Char,List Paragraph11 Char,L Char,Recommendation Char,CV text Char,Table text Char,Bullets level 1 Char,List Paragraph - Dani Char,List Paragraph 1 - Dani Char,Akapit z listą BS Char,Table/Figure Heading Char"/>
    <w:basedOn w:val="DefaultParagraphFont"/>
    <w:link w:val="ListParagraph"/>
    <w:uiPriority w:val="34"/>
    <w:qFormat/>
    <w:locked/>
    <w:rsid w:val="00347CCF"/>
    <w:rPr>
      <w:rFonts w:ascii="Franklin Gothic Book" w:eastAsia="SimSun" w:hAnsi="Franklin Gothic Book" w:cs="Times New Roman"/>
      <w:color w:val="000000" w:themeColor="text1"/>
      <w:sz w:val="20"/>
      <w:szCs w:val="20"/>
    </w:rPr>
  </w:style>
  <w:style w:type="paragraph" w:styleId="ListNumber">
    <w:name w:val="List Number"/>
    <w:basedOn w:val="Normal"/>
    <w:uiPriority w:val="99"/>
    <w:unhideWhenUsed/>
    <w:qFormat/>
    <w:rsid w:val="00347CCF"/>
    <w:pPr>
      <w:numPr>
        <w:numId w:val="2"/>
      </w:numPr>
      <w:contextualSpacing/>
    </w:pPr>
  </w:style>
  <w:style w:type="paragraph" w:styleId="BodyText">
    <w:name w:val="Body Text"/>
    <w:basedOn w:val="Normal"/>
    <w:link w:val="BodyTextChar"/>
    <w:uiPriority w:val="99"/>
    <w:unhideWhenUsed/>
    <w:rsid w:val="00347CCF"/>
    <w:pPr>
      <w:spacing w:after="120"/>
    </w:pPr>
  </w:style>
  <w:style w:type="character" w:customStyle="1" w:styleId="BodyTextChar">
    <w:name w:val="Body Text Char"/>
    <w:basedOn w:val="DefaultParagraphFont"/>
    <w:link w:val="BodyText"/>
    <w:uiPriority w:val="99"/>
    <w:rsid w:val="00347CCF"/>
  </w:style>
  <w:style w:type="paragraph" w:styleId="Header">
    <w:name w:val="header"/>
    <w:basedOn w:val="Normal"/>
    <w:link w:val="HeaderChar"/>
    <w:uiPriority w:val="99"/>
    <w:unhideWhenUsed/>
    <w:rsid w:val="0062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F3B"/>
  </w:style>
  <w:style w:type="paragraph" w:styleId="Footer">
    <w:name w:val="footer"/>
    <w:basedOn w:val="Normal"/>
    <w:link w:val="FooterChar"/>
    <w:uiPriority w:val="99"/>
    <w:unhideWhenUsed/>
    <w:rsid w:val="0062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F3B"/>
  </w:style>
  <w:style w:type="paragraph" w:customStyle="1" w:styleId="TableHeaderRow">
    <w:name w:val="Table Header Row"/>
    <w:basedOn w:val="Normal"/>
    <w:uiPriority w:val="99"/>
    <w:rsid w:val="00623F3B"/>
    <w:pPr>
      <w:spacing w:before="60" w:after="60" w:line="260" w:lineRule="atLeast"/>
    </w:pPr>
    <w:rPr>
      <w:rFonts w:ascii="Calibri" w:hAnsi="Calibri" w:cs="Calibri"/>
      <w:b/>
      <w:bCs/>
      <w:color w:val="FFFFFF"/>
    </w:rPr>
  </w:style>
  <w:style w:type="table" w:styleId="TableGrid">
    <w:name w:val="Table Grid"/>
    <w:basedOn w:val="TableNormal"/>
    <w:uiPriority w:val="39"/>
    <w:rsid w:val="00773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
    <w:name w:val="DFAT Table 1"/>
    <w:basedOn w:val="TableNormal"/>
    <w:uiPriority w:val="99"/>
    <w:rsid w:val="00773591"/>
    <w:pPr>
      <w:spacing w:before="60" w:after="60" w:line="260" w:lineRule="atLeast"/>
    </w:pPr>
    <w:rPr>
      <w:rFonts w:ascii="Calibri" w:hAnsi="Calibri"/>
      <w:color w:val="44546A" w:themeColor="text2"/>
      <w:lang w:val="en-AU"/>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customStyle="1" w:styleId="Default">
    <w:name w:val="Default"/>
    <w:rsid w:val="005449C9"/>
    <w:pPr>
      <w:autoSpaceDE w:val="0"/>
      <w:autoSpaceDN w:val="0"/>
      <w:adjustRightInd w:val="0"/>
      <w:spacing w:after="0" w:line="240" w:lineRule="auto"/>
    </w:pPr>
    <w:rPr>
      <w:rFonts w:ascii="Cambria" w:hAnsi="Cambria" w:cs="Cambria"/>
      <w:color w:val="000000"/>
      <w:sz w:val="24"/>
      <w:szCs w:val="24"/>
      <w:lang w:val="en-AU"/>
    </w:rPr>
  </w:style>
  <w:style w:type="paragraph" w:styleId="BalloonText">
    <w:name w:val="Balloon Text"/>
    <w:basedOn w:val="Normal"/>
    <w:link w:val="BalloonTextChar"/>
    <w:uiPriority w:val="99"/>
    <w:semiHidden/>
    <w:unhideWhenUsed/>
    <w:rsid w:val="009D5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B6"/>
    <w:rPr>
      <w:rFonts w:ascii="Segoe UI" w:hAnsi="Segoe UI" w:cs="Segoe UI"/>
      <w:sz w:val="18"/>
      <w:szCs w:val="18"/>
    </w:rPr>
  </w:style>
  <w:style w:type="character" w:styleId="CommentReference">
    <w:name w:val="annotation reference"/>
    <w:basedOn w:val="DefaultParagraphFont"/>
    <w:uiPriority w:val="99"/>
    <w:semiHidden/>
    <w:unhideWhenUsed/>
    <w:rsid w:val="00513410"/>
    <w:rPr>
      <w:sz w:val="16"/>
      <w:szCs w:val="16"/>
    </w:rPr>
  </w:style>
  <w:style w:type="paragraph" w:styleId="CommentText">
    <w:name w:val="annotation text"/>
    <w:basedOn w:val="Normal"/>
    <w:link w:val="CommentTextChar"/>
    <w:uiPriority w:val="99"/>
    <w:unhideWhenUsed/>
    <w:rsid w:val="00513410"/>
    <w:pPr>
      <w:spacing w:line="240" w:lineRule="auto"/>
    </w:pPr>
    <w:rPr>
      <w:sz w:val="20"/>
      <w:szCs w:val="20"/>
    </w:rPr>
  </w:style>
  <w:style w:type="character" w:customStyle="1" w:styleId="CommentTextChar">
    <w:name w:val="Comment Text Char"/>
    <w:basedOn w:val="DefaultParagraphFont"/>
    <w:link w:val="CommentText"/>
    <w:uiPriority w:val="99"/>
    <w:rsid w:val="00513410"/>
    <w:rPr>
      <w:sz w:val="20"/>
      <w:szCs w:val="20"/>
    </w:rPr>
  </w:style>
  <w:style w:type="paragraph" w:styleId="CommentSubject">
    <w:name w:val="annotation subject"/>
    <w:basedOn w:val="CommentText"/>
    <w:next w:val="CommentText"/>
    <w:link w:val="CommentSubjectChar"/>
    <w:uiPriority w:val="99"/>
    <w:semiHidden/>
    <w:unhideWhenUsed/>
    <w:rsid w:val="00513410"/>
    <w:rPr>
      <w:b/>
      <w:bCs/>
    </w:rPr>
  </w:style>
  <w:style w:type="character" w:customStyle="1" w:styleId="CommentSubjectChar">
    <w:name w:val="Comment Subject Char"/>
    <w:basedOn w:val="CommentTextChar"/>
    <w:link w:val="CommentSubject"/>
    <w:uiPriority w:val="99"/>
    <w:semiHidden/>
    <w:rsid w:val="00513410"/>
    <w:rPr>
      <w:b/>
      <w:bCs/>
      <w:sz w:val="20"/>
      <w:szCs w:val="20"/>
    </w:rPr>
  </w:style>
  <w:style w:type="numbering" w:customStyle="1" w:styleId="NumberedLists">
    <w:name w:val="NumberedLists"/>
    <w:uiPriority w:val="99"/>
    <w:rsid w:val="00654C57"/>
    <w:pPr>
      <w:numPr>
        <w:numId w:val="4"/>
      </w:numPr>
    </w:pPr>
  </w:style>
  <w:style w:type="paragraph" w:styleId="ListNumber3">
    <w:name w:val="List Number 3"/>
    <w:basedOn w:val="Normal"/>
    <w:uiPriority w:val="99"/>
    <w:semiHidden/>
    <w:unhideWhenUsed/>
    <w:rsid w:val="00654C57"/>
    <w:pPr>
      <w:spacing w:after="210" w:line="276" w:lineRule="auto"/>
      <w:ind w:left="1440" w:hanging="360"/>
      <w:contextualSpacing/>
    </w:pPr>
    <w:rPr>
      <w:rFonts w:cs="Times New Roman"/>
      <w:color w:val="000000" w:themeColor="text1"/>
      <w:sz w:val="21"/>
      <w:szCs w:val="21"/>
      <w:lang w:val="en-AU"/>
    </w:rPr>
  </w:style>
  <w:style w:type="paragraph" w:styleId="ListNumber4">
    <w:name w:val="List Number 4"/>
    <w:basedOn w:val="Normal"/>
    <w:uiPriority w:val="99"/>
    <w:semiHidden/>
    <w:unhideWhenUsed/>
    <w:rsid w:val="00654C57"/>
    <w:pPr>
      <w:spacing w:after="210" w:line="276" w:lineRule="auto"/>
      <w:ind w:left="1800" w:hanging="360"/>
      <w:contextualSpacing/>
    </w:pPr>
    <w:rPr>
      <w:rFonts w:cs="Times New Roman"/>
      <w:color w:val="000000" w:themeColor="text1"/>
      <w:sz w:val="21"/>
      <w:szCs w:val="21"/>
      <w:lang w:val="en-AU"/>
    </w:rPr>
  </w:style>
  <w:style w:type="paragraph" w:styleId="ListNumber5">
    <w:name w:val="List Number 5"/>
    <w:basedOn w:val="Normal"/>
    <w:uiPriority w:val="99"/>
    <w:semiHidden/>
    <w:unhideWhenUsed/>
    <w:rsid w:val="00654C57"/>
    <w:pPr>
      <w:spacing w:after="210" w:line="276" w:lineRule="auto"/>
      <w:ind w:left="2160" w:hanging="360"/>
      <w:contextualSpacing/>
    </w:pPr>
    <w:rPr>
      <w:rFonts w:cs="Times New Roman"/>
      <w:color w:val="000000" w:themeColor="text1"/>
      <w:sz w:val="21"/>
      <w:szCs w:val="21"/>
      <w:lang w:val="en-AU"/>
    </w:rPr>
  </w:style>
  <w:style w:type="paragraph" w:styleId="Revision">
    <w:name w:val="Revision"/>
    <w:hidden/>
    <w:uiPriority w:val="99"/>
    <w:semiHidden/>
    <w:rsid w:val="009C6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63987">
      <w:bodyDiv w:val="1"/>
      <w:marLeft w:val="0"/>
      <w:marRight w:val="0"/>
      <w:marTop w:val="0"/>
      <w:marBottom w:val="0"/>
      <w:divBdr>
        <w:top w:val="none" w:sz="0" w:space="0" w:color="auto"/>
        <w:left w:val="none" w:sz="0" w:space="0" w:color="auto"/>
        <w:bottom w:val="none" w:sz="0" w:space="0" w:color="auto"/>
        <w:right w:val="none" w:sz="0" w:space="0" w:color="auto"/>
      </w:divBdr>
    </w:div>
    <w:div w:id="283924725">
      <w:bodyDiv w:val="1"/>
      <w:marLeft w:val="0"/>
      <w:marRight w:val="0"/>
      <w:marTop w:val="0"/>
      <w:marBottom w:val="0"/>
      <w:divBdr>
        <w:top w:val="none" w:sz="0" w:space="0" w:color="auto"/>
        <w:left w:val="none" w:sz="0" w:space="0" w:color="auto"/>
        <w:bottom w:val="none" w:sz="0" w:space="0" w:color="auto"/>
        <w:right w:val="none" w:sz="0" w:space="0" w:color="auto"/>
      </w:divBdr>
    </w:div>
    <w:div w:id="362944675">
      <w:bodyDiv w:val="1"/>
      <w:marLeft w:val="0"/>
      <w:marRight w:val="0"/>
      <w:marTop w:val="0"/>
      <w:marBottom w:val="0"/>
      <w:divBdr>
        <w:top w:val="none" w:sz="0" w:space="0" w:color="auto"/>
        <w:left w:val="none" w:sz="0" w:space="0" w:color="auto"/>
        <w:bottom w:val="none" w:sz="0" w:space="0" w:color="auto"/>
        <w:right w:val="none" w:sz="0" w:space="0" w:color="auto"/>
      </w:divBdr>
    </w:div>
    <w:div w:id="367336183">
      <w:bodyDiv w:val="1"/>
      <w:marLeft w:val="0"/>
      <w:marRight w:val="0"/>
      <w:marTop w:val="0"/>
      <w:marBottom w:val="0"/>
      <w:divBdr>
        <w:top w:val="none" w:sz="0" w:space="0" w:color="auto"/>
        <w:left w:val="none" w:sz="0" w:space="0" w:color="auto"/>
        <w:bottom w:val="none" w:sz="0" w:space="0" w:color="auto"/>
        <w:right w:val="none" w:sz="0" w:space="0" w:color="auto"/>
      </w:divBdr>
    </w:div>
    <w:div w:id="419448405">
      <w:bodyDiv w:val="1"/>
      <w:marLeft w:val="0"/>
      <w:marRight w:val="0"/>
      <w:marTop w:val="0"/>
      <w:marBottom w:val="0"/>
      <w:divBdr>
        <w:top w:val="none" w:sz="0" w:space="0" w:color="auto"/>
        <w:left w:val="none" w:sz="0" w:space="0" w:color="auto"/>
        <w:bottom w:val="none" w:sz="0" w:space="0" w:color="auto"/>
        <w:right w:val="none" w:sz="0" w:space="0" w:color="auto"/>
      </w:divBdr>
    </w:div>
    <w:div w:id="574053181">
      <w:bodyDiv w:val="1"/>
      <w:marLeft w:val="0"/>
      <w:marRight w:val="0"/>
      <w:marTop w:val="0"/>
      <w:marBottom w:val="0"/>
      <w:divBdr>
        <w:top w:val="none" w:sz="0" w:space="0" w:color="auto"/>
        <w:left w:val="none" w:sz="0" w:space="0" w:color="auto"/>
        <w:bottom w:val="none" w:sz="0" w:space="0" w:color="auto"/>
        <w:right w:val="none" w:sz="0" w:space="0" w:color="auto"/>
      </w:divBdr>
    </w:div>
    <w:div w:id="1043168033">
      <w:bodyDiv w:val="1"/>
      <w:marLeft w:val="0"/>
      <w:marRight w:val="0"/>
      <w:marTop w:val="0"/>
      <w:marBottom w:val="0"/>
      <w:divBdr>
        <w:top w:val="none" w:sz="0" w:space="0" w:color="auto"/>
        <w:left w:val="none" w:sz="0" w:space="0" w:color="auto"/>
        <w:bottom w:val="none" w:sz="0" w:space="0" w:color="auto"/>
        <w:right w:val="none" w:sz="0" w:space="0" w:color="auto"/>
      </w:divBdr>
    </w:div>
    <w:div w:id="1289120018">
      <w:bodyDiv w:val="1"/>
      <w:marLeft w:val="0"/>
      <w:marRight w:val="0"/>
      <w:marTop w:val="0"/>
      <w:marBottom w:val="0"/>
      <w:divBdr>
        <w:top w:val="none" w:sz="0" w:space="0" w:color="auto"/>
        <w:left w:val="none" w:sz="0" w:space="0" w:color="auto"/>
        <w:bottom w:val="none" w:sz="0" w:space="0" w:color="auto"/>
        <w:right w:val="none" w:sz="0" w:space="0" w:color="auto"/>
      </w:divBdr>
    </w:div>
    <w:div w:id="19170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BC81-0146-484B-A9C4-D5B36934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2076</Words>
  <Characters>11393</Characters>
  <Application>Microsoft Office Word</Application>
  <DocSecurity>4</DocSecurity>
  <Lines>497</Lines>
  <Paragraphs>131</Paragraphs>
  <ScaleCrop>false</ScaleCrop>
  <HeadingPairs>
    <vt:vector size="2" baseType="variant">
      <vt:variant>
        <vt:lpstr>Title</vt:lpstr>
      </vt:variant>
      <vt:variant>
        <vt:i4>1</vt:i4>
      </vt:variant>
    </vt:vector>
  </HeadingPairs>
  <TitlesOfParts>
    <vt:vector size="1" baseType="lpstr">
      <vt:lpstr>Management Response to Independent Review Report of ASEAN-Australia Development Cooperation Program Phase II (AADCP II)</vt:lpstr>
    </vt:vector>
  </TitlesOfParts>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Independent Review Report of ASEAN-Australia Development Cooperation Program Phase II (AADCP II)</dc:title>
  <dc:creator/>
  <cp:keywords> [SEC=OFFICIAL]</cp:keywords>
  <cp:lastModifiedBy/>
  <cp:revision>1</cp:revision>
  <dcterms:created xsi:type="dcterms:W3CDTF">2021-05-24T22:53:00Z</dcterms:created>
  <dcterms:modified xsi:type="dcterms:W3CDTF">2021-05-24T22:53:00Z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73e88de0-a4e0-4615-ae62-d2f17285a23f</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E0D7CEBE27424A6B9DF3E7F1B5C98205</vt:lpwstr>
  </property>
  <property fmtid="{D5CDD505-2E9C-101B-9397-08002B2CF9AE}" pid="11" name="PM_ProtectiveMarkingValue_Footer">
    <vt:lpwstr>OFFICIAL</vt:lpwstr>
  </property>
  <property fmtid="{D5CDD505-2E9C-101B-9397-08002B2CF9AE}" pid="12" name="PM_Originator_Hash_SHA1">
    <vt:lpwstr>899E4EA469A04FB023F4432B63374BB33589BF8A</vt:lpwstr>
  </property>
  <property fmtid="{D5CDD505-2E9C-101B-9397-08002B2CF9AE}" pid="13" name="PM_OriginationTimeStamp">
    <vt:lpwstr>2021-05-24T22:23:47Z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03496971E1C0EAA07CD987876FF86645</vt:lpwstr>
  </property>
  <property fmtid="{D5CDD505-2E9C-101B-9397-08002B2CF9AE}" pid="23" name="PM_Hash_Salt">
    <vt:lpwstr>823AF307A1997F17FFBDAB00846A77B2</vt:lpwstr>
  </property>
  <property fmtid="{D5CDD505-2E9C-101B-9397-08002B2CF9AE}" pid="24" name="PM_Hash_SHA1">
    <vt:lpwstr>F48A59BAC99DD601F8CF4AA7123418E918CFC4C1</vt:lpwstr>
  </property>
  <property fmtid="{D5CDD505-2E9C-101B-9397-08002B2CF9AE}" pid="25" name="PM_SecurityClassification_Prev">
    <vt:lpwstr>OFFICIAL</vt:lpwstr>
  </property>
  <property fmtid="{D5CDD505-2E9C-101B-9397-08002B2CF9AE}" pid="26" name="PM_Qualifier_Prev">
    <vt:lpwstr/>
  </property>
</Properties>
</file>