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1ED21F1D" w:rsidR="00F85388" w:rsidRDefault="005D4B1F" w:rsidP="00EA4AC1">
      <w:pPr>
        <w:pStyle w:val="Boxheading"/>
      </w:pPr>
      <w:bookmarkStart w:id="0" w:name="_GoBack"/>
      <w:bookmarkEnd w:id="0"/>
      <w:r>
        <w:drawing>
          <wp:anchor distT="0" distB="0" distL="114300" distR="114300" simplePos="0" relativeHeight="251812864" behindDoc="1" locked="0" layoutInCell="1" allowOverlap="1" wp14:anchorId="5A146736" wp14:editId="4C3AD83C">
            <wp:simplePos x="0" y="0"/>
            <wp:positionH relativeFrom="column">
              <wp:posOffset>-720090</wp:posOffset>
            </wp:positionH>
            <wp:positionV relativeFrom="paragraph">
              <wp:posOffset>-1683650</wp:posOffset>
            </wp:positionV>
            <wp:extent cx="7618420" cy="10688129"/>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ule 17 covers_Founda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3383" cy="10695092"/>
                    </a:xfrm>
                    <a:prstGeom prst="rect">
                      <a:avLst/>
                    </a:prstGeom>
                  </pic:spPr>
                </pic:pic>
              </a:graphicData>
            </a:graphic>
            <wp14:sizeRelH relativeFrom="margin">
              <wp14:pctWidth>0</wp14:pctWidth>
            </wp14:sizeRelH>
            <wp14:sizeRelV relativeFrom="margin">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1D963D1C">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B4592D" w:rsidRPr="00426D07" w:rsidRDefault="00B4592D"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B4592D" w:rsidRPr="00426D07" w:rsidRDefault="00B4592D"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326084" w:rsidR="00F85388" w:rsidRDefault="00F85388" w:rsidP="00EA4AC1">
      <w:pPr>
        <w:rPr>
          <w:noProof/>
          <w:lang w:eastAsia="en-AU"/>
        </w:rPr>
      </w:pPr>
    </w:p>
    <w:p w14:paraId="35646558" w14:textId="30642C69" w:rsidR="00F85388" w:rsidRDefault="00F85388" w:rsidP="00EA4AC1">
      <w:pPr>
        <w:rPr>
          <w:noProof/>
          <w:lang w:eastAsia="en-AU"/>
        </w:rPr>
      </w:pPr>
    </w:p>
    <w:p w14:paraId="6790B137" w14:textId="295281A7" w:rsidR="00F85388" w:rsidRDefault="00F85388" w:rsidP="00EA4AC1">
      <w:pPr>
        <w:rPr>
          <w:noProof/>
          <w:lang w:eastAsia="en-AU"/>
        </w:rPr>
      </w:pPr>
    </w:p>
    <w:p w14:paraId="7BAEA2BD" w14:textId="485110AE" w:rsidR="00F4699C" w:rsidRDefault="00F4699C" w:rsidP="00EA4AC1">
      <w:pPr>
        <w:rPr>
          <w:noProof/>
          <w:lang w:eastAsia="en-AU"/>
        </w:rPr>
      </w:pPr>
    </w:p>
    <w:p w14:paraId="75A6243E" w14:textId="38BE8197" w:rsidR="00F4699C" w:rsidRDefault="00F4699C" w:rsidP="00EA4AC1">
      <w:pPr>
        <w:rPr>
          <w:noProof/>
          <w:lang w:eastAsia="en-AU"/>
        </w:rPr>
      </w:pPr>
    </w:p>
    <w:p w14:paraId="01C95AD5" w14:textId="7B4DD98C" w:rsidR="00F4699C" w:rsidRDefault="00F4699C" w:rsidP="00EA4AC1">
      <w:pPr>
        <w:rPr>
          <w:noProof/>
          <w:lang w:eastAsia="en-AU"/>
        </w:rPr>
      </w:pPr>
    </w:p>
    <w:p w14:paraId="24AE5E0B" w14:textId="02CD5074" w:rsidR="00F4699C" w:rsidRDefault="00BA42F0" w:rsidP="00EA4AC1">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6A62D97F">
                <wp:simplePos x="0" y="0"/>
                <wp:positionH relativeFrom="page">
                  <wp:posOffset>0</wp:posOffset>
                </wp:positionH>
                <wp:positionV relativeFrom="paragraph">
                  <wp:posOffset>4506248</wp:posOffset>
                </wp:positionV>
                <wp:extent cx="5962650" cy="1932317"/>
                <wp:effectExtent l="0" t="0" r="0" b="0"/>
                <wp:wrapNone/>
                <wp:docPr id="6" name="Text Box 6"/>
                <wp:cNvGraphicFramePr/>
                <a:graphic xmlns:a="http://schemas.openxmlformats.org/drawingml/2006/main">
                  <a:graphicData uri="http://schemas.microsoft.com/office/word/2010/wordprocessingShape">
                    <wps:wsp>
                      <wps:cNvSpPr txBox="1"/>
                      <wps:spPr>
                        <a:xfrm>
                          <a:off x="0" y="0"/>
                          <a:ext cx="5962650" cy="193231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FF9FF8" w14:textId="28AC2824" w:rsidR="00B4592D" w:rsidRPr="005E0712" w:rsidRDefault="00B4592D"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education sector</w:t>
                            </w:r>
                          </w:p>
                          <w:p w14:paraId="57D7B623" w14:textId="1C1E58BC" w:rsidR="00B4592D" w:rsidRPr="005E0712" w:rsidRDefault="00B4592D"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interconnections</w:t>
                            </w:r>
                          </w:p>
                          <w:p w14:paraId="09733CB4" w14:textId="244414B9" w:rsidR="00B4592D" w:rsidRPr="005E0712" w:rsidRDefault="00B4592D"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2E53A33B" w14:textId="77777777" w:rsidR="00B4592D" w:rsidRDefault="00B4592D"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5E0712">
                              <w:rPr>
                                <w:rFonts w:asciiTheme="minorHAnsi" w:hAnsiTheme="minorHAnsi"/>
                                <w:caps w:val="0"/>
                                <w:color w:val="FFFFFF" w:themeColor="background1"/>
                                <w:spacing w:val="-10"/>
                                <w:sz w:val="44"/>
                                <w:szCs w:val="44"/>
                                <w:lang w:val="en-US" w:eastAsia="en-US"/>
                              </w:rPr>
                              <w:t>Foundation Level</w:t>
                            </w:r>
                          </w:p>
                          <w:p w14:paraId="24EC6CA8" w14:textId="662F57E0" w:rsidR="00B4592D" w:rsidRPr="00AE5826" w:rsidRDefault="00B4592D"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2018</w:t>
                            </w:r>
                            <w:r w:rsidRPr="00AE5826">
                              <w:rPr>
                                <w:rFonts w:asciiTheme="minorHAnsi" w:hAnsiTheme="minorHAnsi"/>
                                <w:caps w:val="0"/>
                                <w:color w:val="FFFFFF" w:themeColor="background1"/>
                                <w:spacing w:val="-10"/>
                                <w:sz w:val="44"/>
                                <w:szCs w:val="44"/>
                                <w:lang w:val="en-U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569C1" id="_x0000_t202" coordsize="21600,21600" o:spt="202" path="m,l,21600r21600,l21600,xe">
                <v:stroke joinstyle="miter"/>
                <v:path gradientshapeok="t" o:connecttype="rect"/>
              </v:shapetype>
              <v:shape id="Text Box 6" o:spid="_x0000_s1027" type="#_x0000_t202" style="position:absolute;margin-left:0;margin-top:354.8pt;width:469.5pt;height:152.1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" filled="f" stroked="f">
                <v:textbox>
                  <w:txbxContent>
                    <w:p w14:paraId="2FFF9FF8" w14:textId="28AC2824" w:rsidR="00B4592D" w:rsidRPr="005E0712" w:rsidRDefault="00B4592D"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education sector</w:t>
                      </w:r>
                    </w:p>
                    <w:p w14:paraId="57D7B623" w14:textId="1C1E58BC" w:rsidR="00B4592D" w:rsidRPr="005E0712" w:rsidRDefault="00B4592D"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interconnections</w:t>
                      </w:r>
                    </w:p>
                    <w:p w14:paraId="09733CB4" w14:textId="244414B9" w:rsidR="00B4592D" w:rsidRPr="005E0712" w:rsidRDefault="00B4592D"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2E53A33B" w14:textId="77777777" w:rsidR="00B4592D" w:rsidRDefault="00B4592D"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5E0712">
                        <w:rPr>
                          <w:rFonts w:asciiTheme="minorHAnsi" w:hAnsiTheme="minorHAnsi"/>
                          <w:caps w:val="0"/>
                          <w:color w:val="FFFFFF" w:themeColor="background1"/>
                          <w:spacing w:val="-10"/>
                          <w:sz w:val="44"/>
                          <w:szCs w:val="44"/>
                          <w:lang w:val="en-US" w:eastAsia="en-US"/>
                        </w:rPr>
                        <w:t>Foundation Level</w:t>
                      </w:r>
                    </w:p>
                    <w:p w14:paraId="24EC6CA8" w14:textId="662F57E0" w:rsidR="00B4592D" w:rsidRPr="00AE5826" w:rsidRDefault="00B4592D"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2018</w:t>
                      </w:r>
                      <w:r w:rsidRPr="00AE5826">
                        <w:rPr>
                          <w:rFonts w:asciiTheme="minorHAnsi" w:hAnsiTheme="minorHAnsi"/>
                          <w:caps w:val="0"/>
                          <w:color w:val="FFFFFF" w:themeColor="background1"/>
                          <w:spacing w:val="-10"/>
                          <w:sz w:val="44"/>
                          <w:szCs w:val="44"/>
                          <w:lang w:val="en-US" w:eastAsia="en-US"/>
                        </w:rPr>
                        <w:t xml:space="preserve"> </w:t>
                      </w:r>
                    </w:p>
                  </w:txbxContent>
                </v:textbox>
                <w10:wrap anchorx="page"/>
              </v:shape>
            </w:pict>
          </mc:Fallback>
        </mc:AlternateContent>
      </w:r>
    </w:p>
    <w:p w14:paraId="505A9C79" w14:textId="2804EC50" w:rsidR="00BA42F0" w:rsidRDefault="00BA42F0" w:rsidP="00EA4AC1">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EA4AC1">
      <w:pPr>
        <w:pStyle w:val="NoTOCHeading1"/>
        <w:widowControl/>
        <w:rPr>
          <w:sz w:val="48"/>
          <w:szCs w:val="48"/>
        </w:rPr>
      </w:pPr>
      <w:r w:rsidRPr="0060365D">
        <w:rPr>
          <w:sz w:val="48"/>
          <w:szCs w:val="48"/>
        </w:rPr>
        <w:lastRenderedPageBreak/>
        <w:t>CONTENTS</w:t>
      </w:r>
    </w:p>
    <w:p w14:paraId="6D2A83DC" w14:textId="77777777" w:rsidR="00376D2F" w:rsidRDefault="00376D2F" w:rsidP="00EA4AC1">
      <w:pPr>
        <w:pStyle w:val="BodyText"/>
        <w:widowControl/>
      </w:pPr>
    </w:p>
    <w:p w14:paraId="57C4D582" w14:textId="77777777" w:rsidR="004C0365"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22804277" w:history="1">
        <w:r w:rsidR="004C0365" w:rsidRPr="000441A0">
          <w:rPr>
            <w:rStyle w:val="Hyperlink"/>
            <w:noProof/>
          </w:rPr>
          <w:t>Acronyms</w:t>
        </w:r>
        <w:r w:rsidR="004C0365">
          <w:rPr>
            <w:noProof/>
            <w:webHidden/>
          </w:rPr>
          <w:tab/>
        </w:r>
        <w:r w:rsidR="004C0365">
          <w:rPr>
            <w:noProof/>
            <w:webHidden/>
          </w:rPr>
          <w:fldChar w:fldCharType="begin"/>
        </w:r>
        <w:r w:rsidR="004C0365">
          <w:rPr>
            <w:noProof/>
            <w:webHidden/>
          </w:rPr>
          <w:instrText xml:space="preserve"> PAGEREF _Toc522804277 \h </w:instrText>
        </w:r>
        <w:r w:rsidR="004C0365">
          <w:rPr>
            <w:noProof/>
            <w:webHidden/>
          </w:rPr>
        </w:r>
        <w:r w:rsidR="004C0365">
          <w:rPr>
            <w:noProof/>
            <w:webHidden/>
          </w:rPr>
          <w:fldChar w:fldCharType="separate"/>
        </w:r>
        <w:r w:rsidR="0067782D">
          <w:rPr>
            <w:noProof/>
            <w:webHidden/>
          </w:rPr>
          <w:t>3</w:t>
        </w:r>
        <w:r w:rsidR="004C0365">
          <w:rPr>
            <w:noProof/>
            <w:webHidden/>
          </w:rPr>
          <w:fldChar w:fldCharType="end"/>
        </w:r>
      </w:hyperlink>
    </w:p>
    <w:p w14:paraId="353FCE45" w14:textId="77777777" w:rsidR="004C0365" w:rsidRDefault="00614C33">
      <w:pPr>
        <w:pStyle w:val="TOC1"/>
        <w:rPr>
          <w:rFonts w:eastAsiaTheme="minorEastAsia"/>
          <w:noProof/>
          <w:sz w:val="22"/>
          <w:lang w:eastAsia="en-AU"/>
        </w:rPr>
      </w:pPr>
      <w:hyperlink w:anchor="_Toc522804278" w:history="1">
        <w:r w:rsidR="004C0365" w:rsidRPr="000441A0">
          <w:rPr>
            <w:rStyle w:val="Hyperlink"/>
            <w:noProof/>
          </w:rPr>
          <w:t>1</w:t>
        </w:r>
        <w:r w:rsidR="004C0365">
          <w:rPr>
            <w:rFonts w:eastAsiaTheme="minorEastAsia"/>
            <w:noProof/>
            <w:sz w:val="22"/>
            <w:lang w:eastAsia="en-AU"/>
          </w:rPr>
          <w:tab/>
        </w:r>
        <w:r w:rsidR="004C0365" w:rsidRPr="000441A0">
          <w:rPr>
            <w:rStyle w:val="Hyperlink"/>
            <w:noProof/>
          </w:rPr>
          <w:t>Introduction</w:t>
        </w:r>
        <w:r w:rsidR="004C0365">
          <w:rPr>
            <w:noProof/>
            <w:webHidden/>
          </w:rPr>
          <w:tab/>
        </w:r>
        <w:r w:rsidR="004C0365">
          <w:rPr>
            <w:noProof/>
            <w:webHidden/>
          </w:rPr>
          <w:fldChar w:fldCharType="begin"/>
        </w:r>
        <w:r w:rsidR="004C0365">
          <w:rPr>
            <w:noProof/>
            <w:webHidden/>
          </w:rPr>
          <w:instrText xml:space="preserve"> PAGEREF _Toc522804278 \h </w:instrText>
        </w:r>
        <w:r w:rsidR="004C0365">
          <w:rPr>
            <w:noProof/>
            <w:webHidden/>
          </w:rPr>
        </w:r>
        <w:r w:rsidR="004C0365">
          <w:rPr>
            <w:noProof/>
            <w:webHidden/>
          </w:rPr>
          <w:fldChar w:fldCharType="separate"/>
        </w:r>
        <w:r w:rsidR="0067782D">
          <w:rPr>
            <w:noProof/>
            <w:webHidden/>
          </w:rPr>
          <w:t>4</w:t>
        </w:r>
        <w:r w:rsidR="004C0365">
          <w:rPr>
            <w:noProof/>
            <w:webHidden/>
          </w:rPr>
          <w:fldChar w:fldCharType="end"/>
        </w:r>
      </w:hyperlink>
    </w:p>
    <w:p w14:paraId="6BD8F213" w14:textId="77777777" w:rsidR="004C0365" w:rsidRDefault="00614C33">
      <w:pPr>
        <w:pStyle w:val="TOC1"/>
        <w:rPr>
          <w:rFonts w:eastAsiaTheme="minorEastAsia"/>
          <w:noProof/>
          <w:sz w:val="22"/>
          <w:lang w:eastAsia="en-AU"/>
        </w:rPr>
      </w:pPr>
      <w:hyperlink w:anchor="_Toc522804279" w:history="1">
        <w:r w:rsidR="004C0365" w:rsidRPr="000441A0">
          <w:rPr>
            <w:rStyle w:val="Hyperlink"/>
            <w:noProof/>
          </w:rPr>
          <w:t>2</w:t>
        </w:r>
        <w:r w:rsidR="004C0365">
          <w:rPr>
            <w:rFonts w:eastAsiaTheme="minorEastAsia"/>
            <w:noProof/>
            <w:sz w:val="22"/>
            <w:lang w:eastAsia="en-AU"/>
          </w:rPr>
          <w:tab/>
        </w:r>
        <w:r w:rsidR="004C0365" w:rsidRPr="000441A0">
          <w:rPr>
            <w:rStyle w:val="Hyperlink"/>
            <w:noProof/>
          </w:rPr>
          <w:t>What are the main sub-sectors in an education system?</w:t>
        </w:r>
        <w:r w:rsidR="004C0365">
          <w:rPr>
            <w:noProof/>
            <w:webHidden/>
          </w:rPr>
          <w:tab/>
        </w:r>
        <w:r w:rsidR="004C0365">
          <w:rPr>
            <w:noProof/>
            <w:webHidden/>
          </w:rPr>
          <w:fldChar w:fldCharType="begin"/>
        </w:r>
        <w:r w:rsidR="004C0365">
          <w:rPr>
            <w:noProof/>
            <w:webHidden/>
          </w:rPr>
          <w:instrText xml:space="preserve"> PAGEREF _Toc522804279 \h </w:instrText>
        </w:r>
        <w:r w:rsidR="004C0365">
          <w:rPr>
            <w:noProof/>
            <w:webHidden/>
          </w:rPr>
        </w:r>
        <w:r w:rsidR="004C0365">
          <w:rPr>
            <w:noProof/>
            <w:webHidden/>
          </w:rPr>
          <w:fldChar w:fldCharType="separate"/>
        </w:r>
        <w:r w:rsidR="0067782D">
          <w:rPr>
            <w:noProof/>
            <w:webHidden/>
          </w:rPr>
          <w:t>4</w:t>
        </w:r>
        <w:r w:rsidR="004C0365">
          <w:rPr>
            <w:noProof/>
            <w:webHidden/>
          </w:rPr>
          <w:fldChar w:fldCharType="end"/>
        </w:r>
      </w:hyperlink>
    </w:p>
    <w:p w14:paraId="7CCBA7E7" w14:textId="30DA2605" w:rsidR="004C0365" w:rsidRDefault="00614C33">
      <w:pPr>
        <w:pStyle w:val="TOC1"/>
        <w:rPr>
          <w:rFonts w:eastAsiaTheme="minorEastAsia"/>
          <w:noProof/>
          <w:sz w:val="22"/>
          <w:lang w:eastAsia="en-AU"/>
        </w:rPr>
      </w:pPr>
      <w:hyperlink w:anchor="_Toc522804280" w:history="1">
        <w:r w:rsidR="004C0365" w:rsidRPr="000441A0">
          <w:rPr>
            <w:rStyle w:val="Hyperlink"/>
            <w:noProof/>
          </w:rPr>
          <w:t>3</w:t>
        </w:r>
        <w:r w:rsidR="004C0365">
          <w:rPr>
            <w:rFonts w:eastAsiaTheme="minorEastAsia"/>
            <w:noProof/>
            <w:sz w:val="22"/>
            <w:lang w:eastAsia="en-AU"/>
          </w:rPr>
          <w:tab/>
        </w:r>
        <w:r w:rsidR="0031036E">
          <w:rPr>
            <w:rStyle w:val="Hyperlink"/>
            <w:noProof/>
          </w:rPr>
          <w:t>Early childhood development</w:t>
        </w:r>
        <w:r w:rsidR="004C0365">
          <w:rPr>
            <w:noProof/>
            <w:webHidden/>
          </w:rPr>
          <w:tab/>
        </w:r>
        <w:r w:rsidR="004C0365">
          <w:rPr>
            <w:noProof/>
            <w:webHidden/>
          </w:rPr>
          <w:fldChar w:fldCharType="begin"/>
        </w:r>
        <w:r w:rsidR="004C0365">
          <w:rPr>
            <w:noProof/>
            <w:webHidden/>
          </w:rPr>
          <w:instrText xml:space="preserve"> PAGEREF _Toc522804280 \h </w:instrText>
        </w:r>
        <w:r w:rsidR="004C0365">
          <w:rPr>
            <w:noProof/>
            <w:webHidden/>
          </w:rPr>
        </w:r>
        <w:r w:rsidR="004C0365">
          <w:rPr>
            <w:noProof/>
            <w:webHidden/>
          </w:rPr>
          <w:fldChar w:fldCharType="separate"/>
        </w:r>
        <w:r w:rsidR="0067782D">
          <w:rPr>
            <w:noProof/>
            <w:webHidden/>
          </w:rPr>
          <w:t>4</w:t>
        </w:r>
        <w:r w:rsidR="004C0365">
          <w:rPr>
            <w:noProof/>
            <w:webHidden/>
          </w:rPr>
          <w:fldChar w:fldCharType="end"/>
        </w:r>
      </w:hyperlink>
    </w:p>
    <w:p w14:paraId="2BF5436D" w14:textId="77777777" w:rsidR="004C0365" w:rsidRDefault="00614C33">
      <w:pPr>
        <w:pStyle w:val="TOC1"/>
        <w:rPr>
          <w:rFonts w:eastAsiaTheme="minorEastAsia"/>
          <w:noProof/>
          <w:sz w:val="22"/>
          <w:lang w:eastAsia="en-AU"/>
        </w:rPr>
      </w:pPr>
      <w:hyperlink w:anchor="_Toc522804281" w:history="1">
        <w:r w:rsidR="004C0365" w:rsidRPr="000441A0">
          <w:rPr>
            <w:rStyle w:val="Hyperlink"/>
            <w:noProof/>
          </w:rPr>
          <w:t>4</w:t>
        </w:r>
        <w:r w:rsidR="004C0365">
          <w:rPr>
            <w:rFonts w:eastAsiaTheme="minorEastAsia"/>
            <w:noProof/>
            <w:sz w:val="22"/>
            <w:lang w:eastAsia="en-AU"/>
          </w:rPr>
          <w:tab/>
        </w:r>
        <w:r w:rsidR="004C0365" w:rsidRPr="000441A0">
          <w:rPr>
            <w:rStyle w:val="Hyperlink"/>
            <w:noProof/>
          </w:rPr>
          <w:t>Primary education</w:t>
        </w:r>
        <w:r w:rsidR="004C0365">
          <w:rPr>
            <w:noProof/>
            <w:webHidden/>
          </w:rPr>
          <w:tab/>
        </w:r>
        <w:r w:rsidR="004C0365">
          <w:rPr>
            <w:noProof/>
            <w:webHidden/>
          </w:rPr>
          <w:fldChar w:fldCharType="begin"/>
        </w:r>
        <w:r w:rsidR="004C0365">
          <w:rPr>
            <w:noProof/>
            <w:webHidden/>
          </w:rPr>
          <w:instrText xml:space="preserve"> PAGEREF _Toc522804281 \h </w:instrText>
        </w:r>
        <w:r w:rsidR="004C0365">
          <w:rPr>
            <w:noProof/>
            <w:webHidden/>
          </w:rPr>
        </w:r>
        <w:r w:rsidR="004C0365">
          <w:rPr>
            <w:noProof/>
            <w:webHidden/>
          </w:rPr>
          <w:fldChar w:fldCharType="separate"/>
        </w:r>
        <w:r w:rsidR="0067782D">
          <w:rPr>
            <w:noProof/>
            <w:webHidden/>
          </w:rPr>
          <w:t>6</w:t>
        </w:r>
        <w:r w:rsidR="004C0365">
          <w:rPr>
            <w:noProof/>
            <w:webHidden/>
          </w:rPr>
          <w:fldChar w:fldCharType="end"/>
        </w:r>
      </w:hyperlink>
    </w:p>
    <w:p w14:paraId="7B2885D5" w14:textId="77777777" w:rsidR="004C0365" w:rsidRDefault="00614C33">
      <w:pPr>
        <w:pStyle w:val="TOC1"/>
        <w:rPr>
          <w:rFonts w:eastAsiaTheme="minorEastAsia"/>
          <w:noProof/>
          <w:sz w:val="22"/>
          <w:lang w:eastAsia="en-AU"/>
        </w:rPr>
      </w:pPr>
      <w:hyperlink w:anchor="_Toc522804282" w:history="1">
        <w:r w:rsidR="004C0365" w:rsidRPr="000441A0">
          <w:rPr>
            <w:rStyle w:val="Hyperlink"/>
            <w:noProof/>
          </w:rPr>
          <w:t>5</w:t>
        </w:r>
        <w:r w:rsidR="004C0365">
          <w:rPr>
            <w:rFonts w:eastAsiaTheme="minorEastAsia"/>
            <w:noProof/>
            <w:sz w:val="22"/>
            <w:lang w:eastAsia="en-AU"/>
          </w:rPr>
          <w:tab/>
        </w:r>
        <w:r w:rsidR="004C0365" w:rsidRPr="000441A0">
          <w:rPr>
            <w:rStyle w:val="Hyperlink"/>
            <w:noProof/>
          </w:rPr>
          <w:t>Secondary education</w:t>
        </w:r>
        <w:r w:rsidR="004C0365">
          <w:rPr>
            <w:noProof/>
            <w:webHidden/>
          </w:rPr>
          <w:tab/>
        </w:r>
        <w:r w:rsidR="004C0365">
          <w:rPr>
            <w:noProof/>
            <w:webHidden/>
          </w:rPr>
          <w:fldChar w:fldCharType="begin"/>
        </w:r>
        <w:r w:rsidR="004C0365">
          <w:rPr>
            <w:noProof/>
            <w:webHidden/>
          </w:rPr>
          <w:instrText xml:space="preserve"> PAGEREF _Toc522804282 \h </w:instrText>
        </w:r>
        <w:r w:rsidR="004C0365">
          <w:rPr>
            <w:noProof/>
            <w:webHidden/>
          </w:rPr>
        </w:r>
        <w:r w:rsidR="004C0365">
          <w:rPr>
            <w:noProof/>
            <w:webHidden/>
          </w:rPr>
          <w:fldChar w:fldCharType="separate"/>
        </w:r>
        <w:r w:rsidR="0067782D">
          <w:rPr>
            <w:noProof/>
            <w:webHidden/>
          </w:rPr>
          <w:t>10</w:t>
        </w:r>
        <w:r w:rsidR="004C0365">
          <w:rPr>
            <w:noProof/>
            <w:webHidden/>
          </w:rPr>
          <w:fldChar w:fldCharType="end"/>
        </w:r>
      </w:hyperlink>
    </w:p>
    <w:p w14:paraId="5CA34964" w14:textId="6D37282E" w:rsidR="004C0365" w:rsidRDefault="00614C33">
      <w:pPr>
        <w:pStyle w:val="TOC1"/>
        <w:rPr>
          <w:rFonts w:eastAsiaTheme="minorEastAsia"/>
          <w:noProof/>
          <w:sz w:val="22"/>
          <w:lang w:eastAsia="en-AU"/>
        </w:rPr>
      </w:pPr>
      <w:hyperlink w:anchor="_Toc522804283" w:history="1">
        <w:r w:rsidR="004C0365" w:rsidRPr="000441A0">
          <w:rPr>
            <w:rStyle w:val="Hyperlink"/>
            <w:noProof/>
          </w:rPr>
          <w:t>6</w:t>
        </w:r>
        <w:r w:rsidR="004C0365">
          <w:rPr>
            <w:rFonts w:eastAsiaTheme="minorEastAsia"/>
            <w:noProof/>
            <w:sz w:val="22"/>
            <w:lang w:eastAsia="en-AU"/>
          </w:rPr>
          <w:tab/>
        </w:r>
        <w:r w:rsidR="004C0365" w:rsidRPr="000441A0">
          <w:rPr>
            <w:rStyle w:val="Hyperlink"/>
            <w:noProof/>
          </w:rPr>
          <w:t>Technical and vo</w:t>
        </w:r>
        <w:r w:rsidR="0031036E">
          <w:rPr>
            <w:rStyle w:val="Hyperlink"/>
            <w:noProof/>
          </w:rPr>
          <w:t>cational education and training</w:t>
        </w:r>
        <w:r w:rsidR="004C0365">
          <w:rPr>
            <w:noProof/>
            <w:webHidden/>
          </w:rPr>
          <w:tab/>
        </w:r>
        <w:r w:rsidR="004C0365">
          <w:rPr>
            <w:noProof/>
            <w:webHidden/>
          </w:rPr>
          <w:fldChar w:fldCharType="begin"/>
        </w:r>
        <w:r w:rsidR="004C0365">
          <w:rPr>
            <w:noProof/>
            <w:webHidden/>
          </w:rPr>
          <w:instrText xml:space="preserve"> PAGEREF _Toc522804283 \h </w:instrText>
        </w:r>
        <w:r w:rsidR="004C0365">
          <w:rPr>
            <w:noProof/>
            <w:webHidden/>
          </w:rPr>
        </w:r>
        <w:r w:rsidR="004C0365">
          <w:rPr>
            <w:noProof/>
            <w:webHidden/>
          </w:rPr>
          <w:fldChar w:fldCharType="separate"/>
        </w:r>
        <w:r w:rsidR="0067782D">
          <w:rPr>
            <w:noProof/>
            <w:webHidden/>
          </w:rPr>
          <w:t>12</w:t>
        </w:r>
        <w:r w:rsidR="004C0365">
          <w:rPr>
            <w:noProof/>
            <w:webHidden/>
          </w:rPr>
          <w:fldChar w:fldCharType="end"/>
        </w:r>
      </w:hyperlink>
    </w:p>
    <w:p w14:paraId="7F437BD5" w14:textId="77777777" w:rsidR="004C0365" w:rsidRDefault="00614C33">
      <w:pPr>
        <w:pStyle w:val="TOC1"/>
        <w:rPr>
          <w:rFonts w:eastAsiaTheme="minorEastAsia"/>
          <w:noProof/>
          <w:sz w:val="22"/>
          <w:lang w:eastAsia="en-AU"/>
        </w:rPr>
      </w:pPr>
      <w:hyperlink w:anchor="_Toc522804284" w:history="1">
        <w:r w:rsidR="004C0365" w:rsidRPr="000441A0">
          <w:rPr>
            <w:rStyle w:val="Hyperlink"/>
            <w:noProof/>
          </w:rPr>
          <w:t>7</w:t>
        </w:r>
        <w:r w:rsidR="004C0365">
          <w:rPr>
            <w:rFonts w:eastAsiaTheme="minorEastAsia"/>
            <w:noProof/>
            <w:sz w:val="22"/>
            <w:lang w:eastAsia="en-AU"/>
          </w:rPr>
          <w:tab/>
        </w:r>
        <w:r w:rsidR="004C0365" w:rsidRPr="000441A0">
          <w:rPr>
            <w:rStyle w:val="Hyperlink"/>
            <w:noProof/>
          </w:rPr>
          <w:t>Higher education</w:t>
        </w:r>
        <w:r w:rsidR="004C0365">
          <w:rPr>
            <w:noProof/>
            <w:webHidden/>
          </w:rPr>
          <w:tab/>
        </w:r>
        <w:r w:rsidR="004C0365">
          <w:rPr>
            <w:noProof/>
            <w:webHidden/>
          </w:rPr>
          <w:fldChar w:fldCharType="begin"/>
        </w:r>
        <w:r w:rsidR="004C0365">
          <w:rPr>
            <w:noProof/>
            <w:webHidden/>
          </w:rPr>
          <w:instrText xml:space="preserve"> PAGEREF _Toc522804284 \h </w:instrText>
        </w:r>
        <w:r w:rsidR="004C0365">
          <w:rPr>
            <w:noProof/>
            <w:webHidden/>
          </w:rPr>
        </w:r>
        <w:r w:rsidR="004C0365">
          <w:rPr>
            <w:noProof/>
            <w:webHidden/>
          </w:rPr>
          <w:fldChar w:fldCharType="separate"/>
        </w:r>
        <w:r w:rsidR="0067782D">
          <w:rPr>
            <w:noProof/>
            <w:webHidden/>
          </w:rPr>
          <w:t>15</w:t>
        </w:r>
        <w:r w:rsidR="004C0365">
          <w:rPr>
            <w:noProof/>
            <w:webHidden/>
          </w:rPr>
          <w:fldChar w:fldCharType="end"/>
        </w:r>
      </w:hyperlink>
    </w:p>
    <w:p w14:paraId="5AF299E8" w14:textId="77777777" w:rsidR="004C0365" w:rsidRDefault="00614C33">
      <w:pPr>
        <w:pStyle w:val="TOC1"/>
        <w:rPr>
          <w:rFonts w:eastAsiaTheme="minorEastAsia"/>
          <w:noProof/>
          <w:sz w:val="22"/>
          <w:lang w:eastAsia="en-AU"/>
        </w:rPr>
      </w:pPr>
      <w:hyperlink w:anchor="_Toc522804285" w:history="1">
        <w:r w:rsidR="004C0365" w:rsidRPr="000441A0">
          <w:rPr>
            <w:rStyle w:val="Hyperlink"/>
            <w:noProof/>
          </w:rPr>
          <w:t>8</w:t>
        </w:r>
        <w:r w:rsidR="004C0365">
          <w:rPr>
            <w:rFonts w:eastAsiaTheme="minorEastAsia"/>
            <w:noProof/>
            <w:sz w:val="22"/>
            <w:lang w:eastAsia="en-AU"/>
          </w:rPr>
          <w:tab/>
        </w:r>
        <w:r w:rsidR="004C0365" w:rsidRPr="000441A0">
          <w:rPr>
            <w:rStyle w:val="Hyperlink"/>
            <w:noProof/>
          </w:rPr>
          <w:t>Non-formal education and lifelong learning</w:t>
        </w:r>
        <w:r w:rsidR="004C0365">
          <w:rPr>
            <w:noProof/>
            <w:webHidden/>
          </w:rPr>
          <w:tab/>
        </w:r>
        <w:r w:rsidR="004C0365">
          <w:rPr>
            <w:noProof/>
            <w:webHidden/>
          </w:rPr>
          <w:fldChar w:fldCharType="begin"/>
        </w:r>
        <w:r w:rsidR="004C0365">
          <w:rPr>
            <w:noProof/>
            <w:webHidden/>
          </w:rPr>
          <w:instrText xml:space="preserve"> PAGEREF _Toc522804285 \h </w:instrText>
        </w:r>
        <w:r w:rsidR="004C0365">
          <w:rPr>
            <w:noProof/>
            <w:webHidden/>
          </w:rPr>
        </w:r>
        <w:r w:rsidR="004C0365">
          <w:rPr>
            <w:noProof/>
            <w:webHidden/>
          </w:rPr>
          <w:fldChar w:fldCharType="separate"/>
        </w:r>
        <w:r w:rsidR="0067782D">
          <w:rPr>
            <w:noProof/>
            <w:webHidden/>
          </w:rPr>
          <w:t>16</w:t>
        </w:r>
        <w:r w:rsidR="004C0365">
          <w:rPr>
            <w:noProof/>
            <w:webHidden/>
          </w:rPr>
          <w:fldChar w:fldCharType="end"/>
        </w:r>
      </w:hyperlink>
    </w:p>
    <w:p w14:paraId="2807391E" w14:textId="17343E0E" w:rsidR="004C0365" w:rsidRDefault="00614C33">
      <w:pPr>
        <w:pStyle w:val="TOC1"/>
        <w:rPr>
          <w:rFonts w:eastAsiaTheme="minorEastAsia"/>
          <w:noProof/>
          <w:sz w:val="22"/>
          <w:lang w:eastAsia="en-AU"/>
        </w:rPr>
      </w:pPr>
      <w:hyperlink w:anchor="_Toc522804286" w:history="1">
        <w:r w:rsidR="004C0365" w:rsidRPr="000441A0">
          <w:rPr>
            <w:rStyle w:val="Hyperlink"/>
            <w:noProof/>
          </w:rPr>
          <w:t>9</w:t>
        </w:r>
        <w:r w:rsidR="004C0365">
          <w:rPr>
            <w:rFonts w:eastAsiaTheme="minorEastAsia"/>
            <w:noProof/>
            <w:sz w:val="22"/>
            <w:lang w:eastAsia="en-AU"/>
          </w:rPr>
          <w:tab/>
        </w:r>
        <w:r w:rsidR="004C0365" w:rsidRPr="000441A0">
          <w:rPr>
            <w:rStyle w:val="Hyperlink"/>
            <w:noProof/>
          </w:rPr>
          <w:t>Pathways through education and training</w:t>
        </w:r>
        <w:r w:rsidR="004C0365">
          <w:rPr>
            <w:noProof/>
            <w:webHidden/>
          </w:rPr>
          <w:tab/>
        </w:r>
        <w:r w:rsidR="004C0365">
          <w:rPr>
            <w:noProof/>
            <w:webHidden/>
          </w:rPr>
          <w:fldChar w:fldCharType="begin"/>
        </w:r>
        <w:r w:rsidR="004C0365">
          <w:rPr>
            <w:noProof/>
            <w:webHidden/>
          </w:rPr>
          <w:instrText xml:space="preserve"> PAGEREF _Toc522804286 \h </w:instrText>
        </w:r>
        <w:r w:rsidR="004C0365">
          <w:rPr>
            <w:noProof/>
            <w:webHidden/>
          </w:rPr>
        </w:r>
        <w:r w:rsidR="004C0365">
          <w:rPr>
            <w:noProof/>
            <w:webHidden/>
          </w:rPr>
          <w:fldChar w:fldCharType="separate"/>
        </w:r>
        <w:r w:rsidR="0067782D">
          <w:rPr>
            <w:noProof/>
            <w:webHidden/>
          </w:rPr>
          <w:t>16</w:t>
        </w:r>
        <w:r w:rsidR="004C0365">
          <w:rPr>
            <w:noProof/>
            <w:webHidden/>
          </w:rPr>
          <w:fldChar w:fldCharType="end"/>
        </w:r>
      </w:hyperlink>
    </w:p>
    <w:p w14:paraId="3826F397" w14:textId="4A3D66DE" w:rsidR="004C0365" w:rsidRDefault="00614C33">
      <w:pPr>
        <w:pStyle w:val="TOC1"/>
        <w:rPr>
          <w:rFonts w:eastAsiaTheme="minorEastAsia"/>
          <w:noProof/>
          <w:sz w:val="22"/>
          <w:lang w:eastAsia="en-AU"/>
        </w:rPr>
      </w:pPr>
      <w:hyperlink w:anchor="_Toc522804287" w:history="1">
        <w:r w:rsidR="004C0365" w:rsidRPr="000441A0">
          <w:rPr>
            <w:rStyle w:val="Hyperlink"/>
            <w:noProof/>
          </w:rPr>
          <w:t>10</w:t>
        </w:r>
        <w:r w:rsidR="004C0365">
          <w:rPr>
            <w:rFonts w:eastAsiaTheme="minorEastAsia"/>
            <w:noProof/>
            <w:sz w:val="22"/>
            <w:lang w:eastAsia="en-AU"/>
          </w:rPr>
          <w:tab/>
        </w:r>
        <w:r w:rsidR="004C0365" w:rsidRPr="000441A0">
          <w:rPr>
            <w:rStyle w:val="Hyperlink"/>
            <w:noProof/>
          </w:rPr>
          <w:t>Gender considerations</w:t>
        </w:r>
        <w:r w:rsidR="004C0365">
          <w:rPr>
            <w:noProof/>
            <w:webHidden/>
          </w:rPr>
          <w:tab/>
        </w:r>
        <w:r w:rsidR="004C0365">
          <w:rPr>
            <w:noProof/>
            <w:webHidden/>
          </w:rPr>
          <w:fldChar w:fldCharType="begin"/>
        </w:r>
        <w:r w:rsidR="004C0365">
          <w:rPr>
            <w:noProof/>
            <w:webHidden/>
          </w:rPr>
          <w:instrText xml:space="preserve"> PAGEREF _Toc522804287 \h </w:instrText>
        </w:r>
        <w:r w:rsidR="004C0365">
          <w:rPr>
            <w:noProof/>
            <w:webHidden/>
          </w:rPr>
        </w:r>
        <w:r w:rsidR="004C0365">
          <w:rPr>
            <w:noProof/>
            <w:webHidden/>
          </w:rPr>
          <w:fldChar w:fldCharType="separate"/>
        </w:r>
        <w:r w:rsidR="0067782D">
          <w:rPr>
            <w:noProof/>
            <w:webHidden/>
          </w:rPr>
          <w:t>19</w:t>
        </w:r>
        <w:r w:rsidR="004C0365">
          <w:rPr>
            <w:noProof/>
            <w:webHidden/>
          </w:rPr>
          <w:fldChar w:fldCharType="end"/>
        </w:r>
      </w:hyperlink>
    </w:p>
    <w:p w14:paraId="495BAA77" w14:textId="30A02CF0" w:rsidR="004C0365" w:rsidRDefault="00614C33">
      <w:pPr>
        <w:pStyle w:val="TOC1"/>
        <w:rPr>
          <w:rFonts w:eastAsiaTheme="minorEastAsia"/>
          <w:noProof/>
          <w:sz w:val="22"/>
          <w:lang w:eastAsia="en-AU"/>
        </w:rPr>
      </w:pPr>
      <w:hyperlink w:anchor="_Toc522804288" w:history="1">
        <w:r w:rsidR="004C0365" w:rsidRPr="000441A0">
          <w:rPr>
            <w:rStyle w:val="Hyperlink"/>
            <w:noProof/>
          </w:rPr>
          <w:t>11</w:t>
        </w:r>
        <w:r w:rsidR="004C0365">
          <w:rPr>
            <w:rFonts w:eastAsiaTheme="minorEastAsia"/>
            <w:noProof/>
            <w:sz w:val="22"/>
            <w:lang w:eastAsia="en-AU"/>
          </w:rPr>
          <w:tab/>
        </w:r>
        <w:r w:rsidR="004C0365" w:rsidRPr="000441A0">
          <w:rPr>
            <w:rStyle w:val="Hyperlink"/>
            <w:noProof/>
          </w:rPr>
          <w:t>Test your knowledge</w:t>
        </w:r>
        <w:r w:rsidR="004C0365">
          <w:rPr>
            <w:noProof/>
            <w:webHidden/>
          </w:rPr>
          <w:tab/>
        </w:r>
        <w:r w:rsidR="004C0365">
          <w:rPr>
            <w:noProof/>
            <w:webHidden/>
          </w:rPr>
          <w:fldChar w:fldCharType="begin"/>
        </w:r>
        <w:r w:rsidR="004C0365">
          <w:rPr>
            <w:noProof/>
            <w:webHidden/>
          </w:rPr>
          <w:instrText xml:space="preserve"> PAGEREF _Toc522804288 \h </w:instrText>
        </w:r>
        <w:r w:rsidR="004C0365">
          <w:rPr>
            <w:noProof/>
            <w:webHidden/>
          </w:rPr>
        </w:r>
        <w:r w:rsidR="004C0365">
          <w:rPr>
            <w:noProof/>
            <w:webHidden/>
          </w:rPr>
          <w:fldChar w:fldCharType="separate"/>
        </w:r>
        <w:r w:rsidR="0067782D">
          <w:rPr>
            <w:noProof/>
            <w:webHidden/>
          </w:rPr>
          <w:t>22</w:t>
        </w:r>
        <w:r w:rsidR="004C0365">
          <w:rPr>
            <w:noProof/>
            <w:webHidden/>
          </w:rPr>
          <w:fldChar w:fldCharType="end"/>
        </w:r>
      </w:hyperlink>
    </w:p>
    <w:p w14:paraId="5CA7836D" w14:textId="0BE8C84F" w:rsidR="004C0365" w:rsidRDefault="00614C33">
      <w:pPr>
        <w:pStyle w:val="TOC1"/>
        <w:rPr>
          <w:rFonts w:eastAsiaTheme="minorEastAsia"/>
          <w:noProof/>
          <w:sz w:val="22"/>
          <w:lang w:eastAsia="en-AU"/>
        </w:rPr>
      </w:pPr>
      <w:hyperlink w:anchor="_Toc522804289" w:history="1">
        <w:r w:rsidR="004C0365" w:rsidRPr="000441A0">
          <w:rPr>
            <w:rStyle w:val="Hyperlink"/>
            <w:noProof/>
          </w:rPr>
          <w:t>References and links</w:t>
        </w:r>
        <w:r w:rsidR="004C0365">
          <w:rPr>
            <w:noProof/>
            <w:webHidden/>
          </w:rPr>
          <w:tab/>
        </w:r>
        <w:r w:rsidR="004C0365">
          <w:rPr>
            <w:noProof/>
            <w:webHidden/>
          </w:rPr>
          <w:fldChar w:fldCharType="begin"/>
        </w:r>
        <w:r w:rsidR="004C0365">
          <w:rPr>
            <w:noProof/>
            <w:webHidden/>
          </w:rPr>
          <w:instrText xml:space="preserve"> PAGEREF _Toc522804289 \h </w:instrText>
        </w:r>
        <w:r w:rsidR="004C0365">
          <w:rPr>
            <w:noProof/>
            <w:webHidden/>
          </w:rPr>
        </w:r>
        <w:r w:rsidR="004C0365">
          <w:rPr>
            <w:noProof/>
            <w:webHidden/>
          </w:rPr>
          <w:fldChar w:fldCharType="separate"/>
        </w:r>
        <w:r w:rsidR="0067782D">
          <w:rPr>
            <w:noProof/>
            <w:webHidden/>
          </w:rPr>
          <w:t>26</w:t>
        </w:r>
        <w:r w:rsidR="004C0365">
          <w:rPr>
            <w:noProof/>
            <w:webHidden/>
          </w:rPr>
          <w:fldChar w:fldCharType="end"/>
        </w:r>
      </w:hyperlink>
    </w:p>
    <w:p w14:paraId="45C30F68" w14:textId="2D41B885" w:rsidR="000B3EF1" w:rsidRDefault="00C06D35" w:rsidP="00EA4AC1">
      <w:pPr>
        <w:pStyle w:val="BodyText"/>
        <w:widowControl/>
      </w:pPr>
      <w:r>
        <w:fldChar w:fldCharType="end"/>
      </w:r>
      <w:r w:rsidR="000B3EF1">
        <w:br w:type="page"/>
      </w:r>
    </w:p>
    <w:p w14:paraId="17B4EA41" w14:textId="54B3FD8E" w:rsidR="00737935" w:rsidRPr="0060365D" w:rsidRDefault="00635D0F" w:rsidP="00EA4AC1">
      <w:pPr>
        <w:pStyle w:val="Heading1"/>
        <w:widowControl/>
        <w:numPr>
          <w:ilvl w:val="0"/>
          <w:numId w:val="0"/>
        </w:numPr>
        <w:rPr>
          <w:szCs w:val="48"/>
        </w:rPr>
      </w:pPr>
      <w:bookmarkStart w:id="1" w:name="_Toc491237947"/>
      <w:bookmarkStart w:id="2" w:name="_Toc491238027"/>
      <w:bookmarkStart w:id="3" w:name="_Toc522804277"/>
      <w:r w:rsidRPr="0060365D">
        <w:rPr>
          <w:szCs w:val="48"/>
        </w:rPr>
        <w:lastRenderedPageBreak/>
        <w:t>A</w:t>
      </w:r>
      <w:bookmarkEnd w:id="1"/>
      <w:bookmarkEnd w:id="2"/>
      <w:r w:rsidRPr="0060365D">
        <w:rPr>
          <w:szCs w:val="48"/>
        </w:rPr>
        <w:t>cronyms</w:t>
      </w:r>
      <w:bookmarkEnd w:id="3"/>
    </w:p>
    <w:p w14:paraId="128B6C33" w14:textId="77777777" w:rsidR="00376D2F" w:rsidRDefault="00376D2F" w:rsidP="00EA4AC1">
      <w:pPr>
        <w:pStyle w:val="BodyText"/>
        <w:widowControl/>
      </w:pPr>
    </w:p>
    <w:p w14:paraId="2F3E1BB3" w14:textId="77777777" w:rsidR="005E0712" w:rsidRDefault="005E0712" w:rsidP="00EA4AC1">
      <w:pPr>
        <w:pStyle w:val="BodyText"/>
        <w:widowControl/>
        <w:tabs>
          <w:tab w:val="left" w:pos="1134"/>
        </w:tabs>
      </w:pPr>
      <w:r>
        <w:t>DFAT</w:t>
      </w:r>
      <w:r>
        <w:tab/>
        <w:t>Department of Foreign Affairs and Trade</w:t>
      </w:r>
    </w:p>
    <w:p w14:paraId="7CB95FD7" w14:textId="77777777" w:rsidR="005E0712" w:rsidRDefault="005E0712" w:rsidP="00EA4AC1">
      <w:pPr>
        <w:pStyle w:val="BodyText"/>
        <w:widowControl/>
        <w:tabs>
          <w:tab w:val="left" w:pos="1134"/>
        </w:tabs>
      </w:pPr>
      <w:r>
        <w:t>ECD</w:t>
      </w:r>
      <w:r>
        <w:tab/>
        <w:t>early childhood development</w:t>
      </w:r>
    </w:p>
    <w:p w14:paraId="6E9EB5B0" w14:textId="703A9CB3" w:rsidR="005E0712" w:rsidRDefault="005E0712" w:rsidP="00EA4AC1">
      <w:pPr>
        <w:pStyle w:val="BodyText"/>
        <w:widowControl/>
        <w:tabs>
          <w:tab w:val="left" w:pos="1134"/>
        </w:tabs>
      </w:pPr>
      <w:r>
        <w:t>GER</w:t>
      </w:r>
      <w:r>
        <w:tab/>
        <w:t>g</w:t>
      </w:r>
      <w:r w:rsidRPr="00AE5826">
        <w:t xml:space="preserve">ross enrolment </w:t>
      </w:r>
      <w:r w:rsidR="0031036E">
        <w:t>ratio</w:t>
      </w:r>
    </w:p>
    <w:p w14:paraId="59AD0112" w14:textId="77777777" w:rsidR="005E0712" w:rsidRDefault="005E0712" w:rsidP="00EA4AC1">
      <w:pPr>
        <w:pStyle w:val="BodyText"/>
        <w:widowControl/>
        <w:tabs>
          <w:tab w:val="left" w:pos="1134"/>
        </w:tabs>
      </w:pPr>
      <w:r>
        <w:t>GPI</w:t>
      </w:r>
      <w:r>
        <w:tab/>
      </w:r>
      <w:r w:rsidRPr="00AE5826">
        <w:t>Gender Parity Index</w:t>
      </w:r>
    </w:p>
    <w:p w14:paraId="5D0EEB2D" w14:textId="77777777" w:rsidR="005E0712" w:rsidRDefault="005E0712" w:rsidP="00EA4AC1">
      <w:pPr>
        <w:pStyle w:val="BodyText"/>
        <w:widowControl/>
        <w:tabs>
          <w:tab w:val="left" w:pos="1134"/>
        </w:tabs>
      </w:pPr>
      <w:r>
        <w:t>ICT</w:t>
      </w:r>
      <w:r>
        <w:tab/>
        <w:t>information and communication technology</w:t>
      </w:r>
    </w:p>
    <w:p w14:paraId="2060FCCF" w14:textId="77777777" w:rsidR="005E0712" w:rsidRDefault="005E0712" w:rsidP="00EA4AC1">
      <w:pPr>
        <w:pStyle w:val="BodyText"/>
        <w:widowControl/>
        <w:tabs>
          <w:tab w:val="left" w:pos="1134"/>
        </w:tabs>
      </w:pPr>
      <w:r>
        <w:t>MDGs</w:t>
      </w:r>
      <w:r>
        <w:tab/>
      </w:r>
      <w:r w:rsidRPr="00A34107">
        <w:t>Millennium Development Goals</w:t>
      </w:r>
    </w:p>
    <w:p w14:paraId="1033A1CF" w14:textId="27D32D96" w:rsidR="006267AE" w:rsidRDefault="006267AE" w:rsidP="00EA4AC1">
      <w:pPr>
        <w:pStyle w:val="BodyText"/>
        <w:widowControl/>
        <w:tabs>
          <w:tab w:val="left" w:pos="1134"/>
        </w:tabs>
      </w:pPr>
      <w:r>
        <w:t>MTC</w:t>
      </w:r>
      <w:r>
        <w:tab/>
        <w:t>Marine Training Centre (Kiribati)</w:t>
      </w:r>
    </w:p>
    <w:p w14:paraId="43CF5469" w14:textId="5EB75279" w:rsidR="005E0712" w:rsidRDefault="005E0712" w:rsidP="00EA4AC1">
      <w:pPr>
        <w:pStyle w:val="BodyText"/>
        <w:widowControl/>
        <w:tabs>
          <w:tab w:val="left" w:pos="1134"/>
        </w:tabs>
      </w:pPr>
      <w:r>
        <w:t>NER</w:t>
      </w:r>
      <w:r>
        <w:tab/>
        <w:t>n</w:t>
      </w:r>
      <w:r w:rsidRPr="00AE5826">
        <w:t xml:space="preserve">et enrolment </w:t>
      </w:r>
      <w:r w:rsidR="0031036E">
        <w:t>rate</w:t>
      </w:r>
    </w:p>
    <w:p w14:paraId="03E6175D" w14:textId="77777777" w:rsidR="005E0712" w:rsidRDefault="005E0712" w:rsidP="00EA4AC1">
      <w:pPr>
        <w:pStyle w:val="BodyText"/>
        <w:widowControl/>
        <w:tabs>
          <w:tab w:val="left" w:pos="1134"/>
        </w:tabs>
      </w:pPr>
      <w:r>
        <w:t>PCR</w:t>
      </w:r>
      <w:r>
        <w:tab/>
      </w:r>
      <w:r w:rsidRPr="00AE5826">
        <w:t>primary completion rate</w:t>
      </w:r>
    </w:p>
    <w:p w14:paraId="2D1B0EBF" w14:textId="77777777" w:rsidR="005E0712" w:rsidRDefault="005E0712" w:rsidP="00EA4AC1">
      <w:pPr>
        <w:pStyle w:val="BodyText"/>
        <w:widowControl/>
        <w:tabs>
          <w:tab w:val="left" w:pos="1134"/>
        </w:tabs>
      </w:pPr>
      <w:r>
        <w:t>PNG</w:t>
      </w:r>
      <w:r>
        <w:tab/>
        <w:t>Papua New Guinea</w:t>
      </w:r>
    </w:p>
    <w:p w14:paraId="02118590" w14:textId="77777777" w:rsidR="005E0712" w:rsidRDefault="005E0712" w:rsidP="00EA4AC1">
      <w:pPr>
        <w:pStyle w:val="BodyText"/>
        <w:widowControl/>
        <w:tabs>
          <w:tab w:val="left" w:pos="1134"/>
        </w:tabs>
      </w:pPr>
      <w:r>
        <w:t>SDGs</w:t>
      </w:r>
      <w:r>
        <w:tab/>
        <w:t>Sustainable Development</w:t>
      </w:r>
      <w:r>
        <w:rPr>
          <w:spacing w:val="-16"/>
        </w:rPr>
        <w:t xml:space="preserve"> </w:t>
      </w:r>
      <w:r>
        <w:t>Goals</w:t>
      </w:r>
    </w:p>
    <w:p w14:paraId="753DA66C" w14:textId="77777777" w:rsidR="005E0712" w:rsidRDefault="005E0712" w:rsidP="00EA4AC1">
      <w:pPr>
        <w:pStyle w:val="BodyText"/>
        <w:widowControl/>
        <w:tabs>
          <w:tab w:val="left" w:pos="1134"/>
        </w:tabs>
      </w:pPr>
      <w:r>
        <w:t>TVET</w:t>
      </w:r>
      <w:r>
        <w:tab/>
        <w:t>technical and vocational education</w:t>
      </w:r>
      <w:r>
        <w:rPr>
          <w:spacing w:val="-23"/>
        </w:rPr>
        <w:t xml:space="preserve"> </w:t>
      </w:r>
      <w:r>
        <w:t>and</w:t>
      </w:r>
      <w:r>
        <w:rPr>
          <w:spacing w:val="-12"/>
        </w:rPr>
        <w:t xml:space="preserve"> t</w:t>
      </w:r>
      <w:r>
        <w:t>raining</w:t>
      </w:r>
    </w:p>
    <w:p w14:paraId="59267785" w14:textId="77777777" w:rsidR="005E0712" w:rsidRDefault="005E0712" w:rsidP="00EA4AC1">
      <w:pPr>
        <w:pStyle w:val="BodyText"/>
        <w:widowControl/>
        <w:tabs>
          <w:tab w:val="left" w:pos="1134"/>
        </w:tabs>
      </w:pPr>
      <w:r w:rsidRPr="00C949D4">
        <w:t>UIS</w:t>
      </w:r>
      <w:r w:rsidRPr="00C949D4">
        <w:tab/>
        <w:t>UNESCO Institute of Statistics</w:t>
      </w:r>
    </w:p>
    <w:p w14:paraId="33C404A8" w14:textId="77777777" w:rsidR="005E0712" w:rsidRDefault="005E0712" w:rsidP="00EA4AC1">
      <w:pPr>
        <w:pStyle w:val="BodyText"/>
        <w:widowControl/>
        <w:tabs>
          <w:tab w:val="left" w:pos="1134"/>
        </w:tabs>
      </w:pPr>
      <w:r>
        <w:t>UNESCO</w:t>
      </w:r>
      <w:r>
        <w:tab/>
        <w:t>United</w:t>
      </w:r>
      <w:r>
        <w:rPr>
          <w:spacing w:val="-13"/>
        </w:rPr>
        <w:t xml:space="preserve"> </w:t>
      </w:r>
      <w:r>
        <w:t>Nations</w:t>
      </w:r>
      <w:r>
        <w:rPr>
          <w:spacing w:val="-14"/>
        </w:rPr>
        <w:t xml:space="preserve"> </w:t>
      </w:r>
      <w:r>
        <w:t>Educational,</w:t>
      </w:r>
      <w:r>
        <w:rPr>
          <w:spacing w:val="-14"/>
        </w:rPr>
        <w:t xml:space="preserve"> </w:t>
      </w:r>
      <w:r>
        <w:t>Scientific</w:t>
      </w:r>
      <w:r>
        <w:rPr>
          <w:spacing w:val="-14"/>
        </w:rPr>
        <w:t xml:space="preserve"> </w:t>
      </w:r>
      <w:r>
        <w:t>and</w:t>
      </w:r>
      <w:r>
        <w:rPr>
          <w:spacing w:val="-14"/>
        </w:rPr>
        <w:t xml:space="preserve"> </w:t>
      </w:r>
      <w:r>
        <w:t>Cultural</w:t>
      </w:r>
      <w:r>
        <w:rPr>
          <w:spacing w:val="-14"/>
        </w:rPr>
        <w:t xml:space="preserve"> </w:t>
      </w:r>
      <w:r>
        <w:t>Organization</w:t>
      </w:r>
    </w:p>
    <w:p w14:paraId="01F3649F" w14:textId="77777777" w:rsidR="005E0712" w:rsidRDefault="005E0712" w:rsidP="00EA4AC1">
      <w:pPr>
        <w:pStyle w:val="BodyText"/>
        <w:widowControl/>
        <w:tabs>
          <w:tab w:val="left" w:pos="1134"/>
        </w:tabs>
      </w:pPr>
      <w:r>
        <w:t>UNEVOC</w:t>
      </w:r>
      <w:r>
        <w:tab/>
        <w:t>International Centre for Technical and Vocational Education and Training</w:t>
      </w:r>
    </w:p>
    <w:p w14:paraId="140E1F88" w14:textId="766FC516" w:rsidR="00737935" w:rsidRDefault="00737935" w:rsidP="00EA4AC1">
      <w:pPr>
        <w:pStyle w:val="BodyText"/>
        <w:widowControl/>
        <w:tabs>
          <w:tab w:val="left" w:pos="5595"/>
        </w:tabs>
      </w:pPr>
      <w:r>
        <w:br w:type="page"/>
      </w:r>
    </w:p>
    <w:p w14:paraId="56A1C12B" w14:textId="77777777" w:rsidR="005E0712" w:rsidRPr="006865A1" w:rsidRDefault="005E0712" w:rsidP="00EA4AC1">
      <w:pPr>
        <w:pStyle w:val="Heading1"/>
        <w:widowControl/>
        <w:tabs>
          <w:tab w:val="clear" w:pos="709"/>
          <w:tab w:val="left" w:pos="851"/>
        </w:tabs>
        <w:spacing w:before="240"/>
        <w:ind w:left="851" w:hanging="851"/>
      </w:pPr>
      <w:bookmarkStart w:id="4" w:name="_Toc491237948"/>
      <w:bookmarkStart w:id="5" w:name="_Toc491238028"/>
      <w:bookmarkStart w:id="6" w:name="_Toc496276447"/>
      <w:bookmarkStart w:id="7" w:name="_Toc522804278"/>
      <w:r w:rsidRPr="006865A1">
        <w:t>Introduction</w:t>
      </w:r>
      <w:bookmarkEnd w:id="4"/>
      <w:bookmarkEnd w:id="5"/>
      <w:bookmarkEnd w:id="6"/>
      <w:bookmarkEnd w:id="7"/>
    </w:p>
    <w:p w14:paraId="167C7474" w14:textId="77777777" w:rsidR="005E0712" w:rsidRDefault="005E0712" w:rsidP="00EA4AC1">
      <w:pPr>
        <w:pStyle w:val="BodyText"/>
        <w:widowControl/>
      </w:pPr>
      <w:r w:rsidRPr="00DA26BC">
        <w:t>The purpose of this module is to provide an introduction to the key sub-sectors of education and the way they link and interconnect with each other. It provides a foundation to engage in this topic and apply advice from staff with operational or expert levels of knowledge in education. On successful completion you will be able to be an informed participant in forums related to education sector interconnections.</w:t>
      </w:r>
    </w:p>
    <w:p w14:paraId="3F8C33D9" w14:textId="77777777" w:rsidR="005E0712" w:rsidRPr="00DA26BC" w:rsidRDefault="005E0712" w:rsidP="00EA4AC1">
      <w:pPr>
        <w:pStyle w:val="Paraspace"/>
        <w:widowControl/>
      </w:pPr>
    </w:p>
    <w:p w14:paraId="00ADDE08" w14:textId="77777777" w:rsidR="005E0712" w:rsidRPr="006865A1" w:rsidRDefault="005E0712" w:rsidP="00EA4AC1">
      <w:pPr>
        <w:pStyle w:val="Heading1"/>
        <w:widowControl/>
        <w:tabs>
          <w:tab w:val="clear" w:pos="709"/>
          <w:tab w:val="left" w:pos="851"/>
        </w:tabs>
        <w:spacing w:before="240"/>
        <w:ind w:left="851" w:hanging="851"/>
      </w:pPr>
      <w:bookmarkStart w:id="8" w:name="_Toc496276448"/>
      <w:bookmarkStart w:id="9" w:name="_Toc522804279"/>
      <w:r w:rsidRPr="006865A1">
        <w:t>What are the main sub-sectors in an education system?</w:t>
      </w:r>
      <w:bookmarkEnd w:id="8"/>
      <w:bookmarkEnd w:id="9"/>
    </w:p>
    <w:p w14:paraId="292B9659" w14:textId="77777777" w:rsidR="005E0712" w:rsidRPr="00773300" w:rsidRDefault="005E0712" w:rsidP="00EA4AC1">
      <w:pPr>
        <w:pStyle w:val="BodyText"/>
        <w:widowControl/>
      </w:pPr>
      <w:r w:rsidRPr="00773300">
        <w:t xml:space="preserve">Education is a complex sector. It is more than just the school system. It includes all the education and training services available in a country, from pre-school through to adulthood. As well as the government, all countries have a range of other providers who own and manage education and training institutions. Each has their own management structure and educational philosophy. </w:t>
      </w:r>
      <w:r>
        <w:t xml:space="preserve">The sections below describe the </w:t>
      </w:r>
      <w:r w:rsidRPr="00773300">
        <w:t>important linkages and transition points for students between sub-sectors.</w:t>
      </w:r>
    </w:p>
    <w:p w14:paraId="0833AC14" w14:textId="77777777" w:rsidR="005E0712" w:rsidRDefault="005E0712" w:rsidP="00EA4AC1">
      <w:pPr>
        <w:pStyle w:val="Paraspace"/>
        <w:widowControl/>
      </w:pPr>
    </w:p>
    <w:p w14:paraId="415D2EC7" w14:textId="460235CF" w:rsidR="005E0712" w:rsidRDefault="005E0712" w:rsidP="00EA4AC1">
      <w:pPr>
        <w:pStyle w:val="Heading1"/>
        <w:widowControl/>
        <w:tabs>
          <w:tab w:val="clear" w:pos="709"/>
          <w:tab w:val="left" w:pos="851"/>
        </w:tabs>
        <w:spacing w:before="240"/>
        <w:ind w:left="851" w:hanging="851"/>
      </w:pPr>
      <w:bookmarkStart w:id="10" w:name="_Toc496276449"/>
      <w:bookmarkStart w:id="11" w:name="_Toc522804280"/>
      <w:r>
        <w:t>Early childhood development</w:t>
      </w:r>
      <w:bookmarkEnd w:id="10"/>
      <w:bookmarkEnd w:id="11"/>
    </w:p>
    <w:p w14:paraId="2ED870A2" w14:textId="304E7575" w:rsidR="005E0712" w:rsidRDefault="005E0712" w:rsidP="00EA4AC1">
      <w:pPr>
        <w:pStyle w:val="BodyText"/>
        <w:widowControl/>
      </w:pPr>
      <w:r>
        <w:t>E</w:t>
      </w:r>
      <w:r w:rsidRPr="00115CC2">
        <w:t>arly childhood has traditionally covered the period of a child</w:t>
      </w:r>
      <w:r>
        <w:t>’</w:t>
      </w:r>
      <w:r w:rsidRPr="00115CC2">
        <w:t xml:space="preserve">s development from birth to entry into formal schooling; </w:t>
      </w:r>
      <w:r w:rsidR="006267AE">
        <w:t>that is,</w:t>
      </w:r>
      <w:r w:rsidRPr="00115CC2">
        <w:t xml:space="preserve"> ages </w:t>
      </w:r>
      <w:r>
        <w:t>zero to six years</w:t>
      </w:r>
      <w:r w:rsidRPr="00115CC2">
        <w:t>. In recent years, however, research has expanded this definition to the prenatal period fro</w:t>
      </w:r>
      <w:r>
        <w:t>m conception through pregnancy—</w:t>
      </w:r>
      <w:r w:rsidRPr="00115CC2">
        <w:t xml:space="preserve">when the health and nutrition of the mother become important determinants of foetal </w:t>
      </w:r>
      <w:r w:rsidRPr="0087648D">
        <w:rPr>
          <w:lang w:val="en-AU"/>
        </w:rPr>
        <w:t>development</w:t>
      </w:r>
      <w:r>
        <w:t>—</w:t>
      </w:r>
      <w:r w:rsidRPr="00115CC2">
        <w:t xml:space="preserve">to the successful transition from the home (and sometimes an early childhood development program) into the </w:t>
      </w:r>
      <w:r>
        <w:t>early grades of primary school</w:t>
      </w:r>
      <w:r w:rsidR="006267AE">
        <w:t xml:space="preserve">, </w:t>
      </w:r>
      <w:r w:rsidRPr="00115CC2">
        <w:t xml:space="preserve">when young </w:t>
      </w:r>
      <w:r>
        <w:t>children</w:t>
      </w:r>
      <w:r w:rsidRPr="00115CC2">
        <w:t xml:space="preserve"> are meant to gain a firm foundation for later learning. </w:t>
      </w:r>
    </w:p>
    <w:p w14:paraId="4065BB09" w14:textId="77777777" w:rsidR="005E0712" w:rsidRPr="00115CC2" w:rsidRDefault="005E0712" w:rsidP="00EA4AC1">
      <w:pPr>
        <w:pStyle w:val="BodyText"/>
        <w:widowControl/>
      </w:pPr>
      <w:r w:rsidRPr="00115CC2">
        <w:t>Early childhood, in other words, encompasses the period of human development from conception to the age of eight years.</w:t>
      </w:r>
    </w:p>
    <w:p w14:paraId="19C52D5A" w14:textId="078A8D45" w:rsidR="005E0712" w:rsidRDefault="005E0712" w:rsidP="00EA4AC1">
      <w:pPr>
        <w:pStyle w:val="BodyText"/>
        <w:widowControl/>
      </w:pPr>
      <w:r w:rsidRPr="00115CC2">
        <w:t xml:space="preserve">The importance of </w:t>
      </w:r>
      <w:r>
        <w:t>early childhood development (</w:t>
      </w:r>
      <w:r w:rsidRPr="00115CC2">
        <w:t>ECD</w:t>
      </w:r>
      <w:r>
        <w:t>)</w:t>
      </w:r>
      <w:r w:rsidRPr="00115CC2">
        <w:t xml:space="preserve"> is reaffirmed in Sustainable Development Goal 4 (SDG</w:t>
      </w:r>
      <w:r w:rsidR="0031036E">
        <w:t xml:space="preserve"> </w:t>
      </w:r>
      <w:r w:rsidRPr="00115CC2">
        <w:t>4) and its target to ensure that all boys and girls have access to quality ECD, care and pre-primary education by 2030.</w:t>
      </w:r>
    </w:p>
    <w:p w14:paraId="3C698A72" w14:textId="77777777" w:rsidR="005E0712" w:rsidRPr="00B92207" w:rsidRDefault="005E0712" w:rsidP="00EA4AC1">
      <w:pPr>
        <w:pStyle w:val="Heading2"/>
        <w:keepNext w:val="0"/>
        <w:keepLines w:val="0"/>
      </w:pPr>
      <w:r w:rsidRPr="00B92207">
        <w:t xml:space="preserve">What </w:t>
      </w:r>
      <w:r>
        <w:t>is ECD</w:t>
      </w:r>
      <w:r w:rsidRPr="00B92207">
        <w:t>?</w:t>
      </w:r>
    </w:p>
    <w:p w14:paraId="37F10C75" w14:textId="7E22DFCC" w:rsidR="005E0712" w:rsidRDefault="006267AE" w:rsidP="00EA4AC1">
      <w:pPr>
        <w:pStyle w:val="BodyText"/>
        <w:widowControl/>
      </w:pPr>
      <w:r>
        <w:t>Early childhood development (</w:t>
      </w:r>
      <w:r w:rsidRPr="00115CC2">
        <w:t>ECD</w:t>
      </w:r>
      <w:r>
        <w:t xml:space="preserve">) </w:t>
      </w:r>
      <w:r w:rsidR="005E0712" w:rsidRPr="00115CC2">
        <w:t>typically refers to the many skills and milestones that children are expected to attain by the time they reach the age of eight. These milestones include learning how to walk and run, how to talk using simple sentences and how to play with others. In most cases, this type of development occurs naturally when parents and children spend time together in the home, augmented by other activities and experiences.</w:t>
      </w:r>
    </w:p>
    <w:p w14:paraId="3577C490" w14:textId="77777777" w:rsidR="005E0712" w:rsidRDefault="005E0712" w:rsidP="00EA4AC1">
      <w:pPr>
        <w:pStyle w:val="BodyText"/>
        <w:widowControl/>
      </w:pPr>
      <w:r w:rsidRPr="00115CC2">
        <w:t>In an ECD program, age-appropriate learning activities are vital in this critical period of girls</w:t>
      </w:r>
      <w:r>
        <w:t>’</w:t>
      </w:r>
      <w:r w:rsidRPr="00115CC2">
        <w:t xml:space="preserve"> and boys</w:t>
      </w:r>
      <w:r>
        <w:t>’</w:t>
      </w:r>
      <w:r w:rsidRPr="00115CC2">
        <w:t xml:space="preserve"> cognitive, social and emotional development. These early years are a time of remarkable brain growth and so lay the foundation for subsequent learning and development. Good ECD programs attend to a child</w:t>
      </w:r>
      <w:r>
        <w:t>’</w:t>
      </w:r>
      <w:r w:rsidRPr="00115CC2">
        <w:t>s health, nutrition, and security as well as providing purposeful learning for their holistic development. ECD is a term that captures this multi-faceted nature of a good early childhood program.</w:t>
      </w:r>
    </w:p>
    <w:p w14:paraId="597A6F44" w14:textId="77777777" w:rsidR="00FC3A17" w:rsidRPr="00831C3C" w:rsidRDefault="00FC3A17" w:rsidP="00EA4AC1">
      <w:pPr>
        <w:pStyle w:val="Paraspace"/>
        <w:widowControl/>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FC3A17" w14:paraId="687174F7" w14:textId="77777777" w:rsidTr="00B87873">
        <w:trPr>
          <w:trHeight w:val="3136"/>
        </w:trPr>
        <w:tc>
          <w:tcPr>
            <w:tcW w:w="8926" w:type="dxa"/>
          </w:tcPr>
          <w:p w14:paraId="490B6EED" w14:textId="6EE290BB" w:rsidR="00FC3A17" w:rsidRPr="007A029D" w:rsidRDefault="00FC3A17" w:rsidP="00EA4AC1">
            <w:pPr>
              <w:pStyle w:val="Boxheading"/>
            </w:pPr>
            <w:r w:rsidRPr="007A029D">
              <w:drawing>
                <wp:anchor distT="0" distB="0" distL="114300" distR="114300" simplePos="0" relativeHeight="251762688" behindDoc="1" locked="0" layoutInCell="1" allowOverlap="1" wp14:anchorId="379FD7D8" wp14:editId="0A284347">
                  <wp:simplePos x="0" y="0"/>
                  <wp:positionH relativeFrom="column">
                    <wp:posOffset>4163695</wp:posOffset>
                  </wp:positionH>
                  <wp:positionV relativeFrom="paragraph">
                    <wp:posOffset>252730</wp:posOffset>
                  </wp:positionV>
                  <wp:extent cx="1106170" cy="8528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00B87873">
              <w:t>UNESCO definition of ECD</w:t>
            </w:r>
          </w:p>
          <w:p w14:paraId="0C718539" w14:textId="727662E0" w:rsidR="00B87873" w:rsidRDefault="00B87873" w:rsidP="00EA4AC1">
            <w:pPr>
              <w:pStyle w:val="Boxtext"/>
            </w:pPr>
            <w:r w:rsidRPr="008D678B">
              <w:t xml:space="preserve">Programs that in addition to providing children with care, offer a structured and purposeful set of learning activities, either in a formal institution (pre-primary) or as part of a non-formal child development program. ECD programs are usually designed for children from age </w:t>
            </w:r>
            <w:r w:rsidR="006267AE">
              <w:t>three</w:t>
            </w:r>
            <w:r w:rsidRPr="008D678B">
              <w:t xml:space="preserve"> and include organised learning activities that constitute, on average, the equivalent of at least </w:t>
            </w:r>
            <w:r w:rsidR="006267AE">
              <w:t>two</w:t>
            </w:r>
            <w:r w:rsidRPr="008D678B">
              <w:t xml:space="preserve"> hours per day and 100 days per year.</w:t>
            </w:r>
          </w:p>
          <w:p w14:paraId="71F53EA7" w14:textId="559747FA" w:rsidR="000810B4" w:rsidRDefault="00E24D2A" w:rsidP="006267AE">
            <w:pPr>
              <w:pStyle w:val="Boxsource"/>
            </w:pPr>
            <w:r w:rsidRPr="00E24D2A">
              <w:t xml:space="preserve">Source: </w:t>
            </w:r>
            <w:r w:rsidR="000810B4" w:rsidRPr="00E24D2A">
              <w:t xml:space="preserve">UNESCO Institute for Statistics 2011a, </w:t>
            </w:r>
            <w:hyperlink r:id="rId16" w:history="1">
              <w:r w:rsidR="000810B4" w:rsidRPr="00E24D2A">
                <w:t>ISCED level 0</w:t>
              </w:r>
              <w:r w:rsidR="0087648D">
                <w:t xml:space="preserve"> </w:t>
              </w:r>
              <w:r w:rsidR="000810B4" w:rsidRPr="00E24D2A">
                <w:t>- early childhood education</w:t>
              </w:r>
            </w:hyperlink>
            <w:r w:rsidR="000810B4" w:rsidRPr="00E24D2A">
              <w:t>, pp. 26-29</w:t>
            </w:r>
            <w:r w:rsidR="006267AE">
              <w:rPr>
                <w:noProof/>
              </w:rPr>
              <w:t>.</w:t>
            </w:r>
            <w:r w:rsidR="000810B4" w:rsidRPr="007F5926">
              <w:rPr>
                <w:noProof/>
              </w:rPr>
              <w:t xml:space="preserve"> </w:t>
            </w:r>
          </w:p>
        </w:tc>
      </w:tr>
    </w:tbl>
    <w:p w14:paraId="486C2E39" w14:textId="77777777" w:rsidR="00B87873" w:rsidRDefault="00B87873" w:rsidP="00EA4AC1">
      <w:pPr>
        <w:pStyle w:val="Paraspace"/>
        <w:widowControl/>
      </w:pPr>
    </w:p>
    <w:p w14:paraId="1A9E82AA" w14:textId="77777777" w:rsidR="005E0712" w:rsidRDefault="005E0712" w:rsidP="00EA4AC1">
      <w:pPr>
        <w:pStyle w:val="Heading2"/>
        <w:keepNext w:val="0"/>
        <w:keepLines w:val="0"/>
      </w:pPr>
      <w:r>
        <w:t>What are the benefits of ECD</w:t>
      </w:r>
      <w:r w:rsidRPr="00177F84">
        <w:t>?</w:t>
      </w:r>
    </w:p>
    <w:p w14:paraId="4E077B9D" w14:textId="77777777" w:rsidR="005E0712" w:rsidRDefault="005E0712" w:rsidP="00EA4AC1">
      <w:pPr>
        <w:pStyle w:val="BodyText"/>
        <w:widowControl/>
      </w:pPr>
      <w:r>
        <w:t>A good ECD program can provide girls and boys with the following benefits:</w:t>
      </w:r>
    </w:p>
    <w:p w14:paraId="101E174C" w14:textId="77777777" w:rsidR="005E0712" w:rsidRPr="00177F84" w:rsidRDefault="005E0712" w:rsidP="00EA4AC1">
      <w:pPr>
        <w:pStyle w:val="ListParagraph"/>
        <w:widowControl/>
        <w:numPr>
          <w:ilvl w:val="0"/>
          <w:numId w:val="10"/>
        </w:numPr>
        <w:spacing w:before="0"/>
        <w:ind w:right="0"/>
      </w:pPr>
      <w:r>
        <w:t>h</w:t>
      </w:r>
      <w:r w:rsidRPr="00177F84">
        <w:t>elp to improve a child</w:t>
      </w:r>
      <w:r>
        <w:t>’</w:t>
      </w:r>
      <w:r w:rsidRPr="00177F84">
        <w:t>s socialisation (e.g. capacity to interact confidently and cooperate with others)</w:t>
      </w:r>
    </w:p>
    <w:p w14:paraId="6D70693E" w14:textId="77777777" w:rsidR="005E0712" w:rsidRPr="00177F84" w:rsidRDefault="005E0712" w:rsidP="00EA4AC1">
      <w:pPr>
        <w:pStyle w:val="ListParagraph"/>
        <w:widowControl/>
        <w:numPr>
          <w:ilvl w:val="0"/>
          <w:numId w:val="10"/>
        </w:numPr>
        <w:spacing w:before="0"/>
        <w:ind w:right="0"/>
      </w:pPr>
      <w:r>
        <w:t>d</w:t>
      </w:r>
      <w:r w:rsidRPr="00177F84">
        <w:t>evelop their pre-literacy and pre-numeracy skills</w:t>
      </w:r>
    </w:p>
    <w:p w14:paraId="0C8256EE" w14:textId="77777777" w:rsidR="005E0712" w:rsidRPr="00177F84" w:rsidRDefault="005E0712" w:rsidP="00EA4AC1">
      <w:pPr>
        <w:pStyle w:val="LastBulletpoint0"/>
        <w:widowControl/>
        <w:numPr>
          <w:ilvl w:val="0"/>
          <w:numId w:val="10"/>
        </w:numPr>
        <w:ind w:right="0"/>
        <w:rPr>
          <w:szCs w:val="24"/>
        </w:rPr>
      </w:pPr>
      <w:r>
        <w:t>i</w:t>
      </w:r>
      <w:r w:rsidRPr="00177F84">
        <w:t>mprove their knowledge about health and hygiene</w:t>
      </w:r>
      <w:r>
        <w:t>.</w:t>
      </w:r>
    </w:p>
    <w:p w14:paraId="7F4D8F0C" w14:textId="77777777" w:rsidR="005E0712" w:rsidRPr="0087379E" w:rsidRDefault="005E0712" w:rsidP="00EA4AC1">
      <w:pPr>
        <w:pStyle w:val="BodyText"/>
        <w:widowControl/>
        <w:rPr>
          <w:b/>
        </w:rPr>
      </w:pPr>
      <w:r w:rsidRPr="0087379E">
        <w:rPr>
          <w:b/>
        </w:rPr>
        <w:t>ECD can help girls and boys prepare for primary school.</w:t>
      </w:r>
    </w:p>
    <w:p w14:paraId="5D75AE1A" w14:textId="77777777" w:rsidR="005E0712" w:rsidRDefault="005E0712" w:rsidP="00EA4AC1">
      <w:pPr>
        <w:pStyle w:val="BodyText"/>
        <w:widowControl/>
      </w:pPr>
      <w:r>
        <w:t>Pre-literacy skills include the ability to identify letters, numbers, or shapes. They also include important skills such as oral language and phonological and phonemic awareness (the awareness of sounds), as well as knowledge of the alphabet and an understanding of common print concepts (e.g. in writing systems such as English, print goes from left to right and from top to bottom on a page).</w:t>
      </w:r>
    </w:p>
    <w:p w14:paraId="06A50745" w14:textId="77777777" w:rsidR="005E0712" w:rsidRDefault="005E0712" w:rsidP="00EA4AC1">
      <w:pPr>
        <w:pStyle w:val="BodyText"/>
        <w:widowControl/>
      </w:pPr>
      <w:r>
        <w:t>Pre-numeracy skills include counting, matching, ordering, sorting and classifying (according to colour, shape, size, weight, etc.) and pattern awareness (red, yellow, blue, red, yellow... what comes next?). Key mathematical terminology is introduced (e.g. more, less, plus, equals, match).</w:t>
      </w:r>
    </w:p>
    <w:p w14:paraId="0414A428" w14:textId="77777777" w:rsidR="005E0712" w:rsidRPr="001425E9" w:rsidRDefault="005E0712" w:rsidP="00EA4AC1">
      <w:pPr>
        <w:pStyle w:val="BodyText"/>
        <w:widowControl/>
        <w:rPr>
          <w:b/>
        </w:rPr>
      </w:pPr>
      <w:r w:rsidRPr="001425E9">
        <w:rPr>
          <w:b/>
        </w:rPr>
        <w:t>A good ECD program can also benefit a child’s future primary education in the following ways:</w:t>
      </w:r>
    </w:p>
    <w:p w14:paraId="26EA4DF4" w14:textId="77777777" w:rsidR="005E0712" w:rsidRPr="001D3AD7" w:rsidRDefault="005E0712" w:rsidP="00EA4AC1">
      <w:pPr>
        <w:pStyle w:val="ListParagraph"/>
        <w:widowControl/>
        <w:numPr>
          <w:ilvl w:val="0"/>
          <w:numId w:val="10"/>
        </w:numPr>
        <w:spacing w:before="0"/>
        <w:ind w:right="0"/>
      </w:pPr>
      <w:r>
        <w:t>b</w:t>
      </w:r>
      <w:r w:rsidRPr="001D3AD7">
        <w:t>etter performance in literacy and numeracy skills</w:t>
      </w:r>
    </w:p>
    <w:p w14:paraId="05BD3EB2" w14:textId="77777777" w:rsidR="005E0712" w:rsidRPr="001D3AD7" w:rsidRDefault="005E0712" w:rsidP="00EA4AC1">
      <w:pPr>
        <w:pStyle w:val="ListParagraph"/>
        <w:widowControl/>
        <w:numPr>
          <w:ilvl w:val="0"/>
          <w:numId w:val="10"/>
        </w:numPr>
        <w:spacing w:before="0"/>
        <w:ind w:right="0"/>
      </w:pPr>
      <w:r>
        <w:t>h</w:t>
      </w:r>
      <w:r w:rsidRPr="001D3AD7">
        <w:t>igher attention span, due to experience in a classroom setting and/or group learning environments</w:t>
      </w:r>
    </w:p>
    <w:p w14:paraId="481AD6DB" w14:textId="77777777" w:rsidR="005E0712" w:rsidRPr="001D3AD7" w:rsidRDefault="005E0712" w:rsidP="00EA4AC1">
      <w:pPr>
        <w:pStyle w:val="ListParagraph"/>
        <w:widowControl/>
        <w:numPr>
          <w:ilvl w:val="0"/>
          <w:numId w:val="10"/>
        </w:numPr>
        <w:spacing w:before="0"/>
        <w:ind w:right="0"/>
      </w:pPr>
      <w:r>
        <w:t>m</w:t>
      </w:r>
      <w:r w:rsidRPr="001D3AD7">
        <w:t>ore active class participation</w:t>
      </w:r>
    </w:p>
    <w:p w14:paraId="48B15F22" w14:textId="77777777" w:rsidR="005E0712" w:rsidRDefault="005E0712" w:rsidP="00EA4AC1">
      <w:pPr>
        <w:pStyle w:val="LastBulletpoint0"/>
        <w:widowControl/>
        <w:numPr>
          <w:ilvl w:val="0"/>
          <w:numId w:val="10"/>
        </w:numPr>
        <w:ind w:left="1003" w:right="0" w:hanging="357"/>
      </w:pPr>
      <w:r>
        <w:t>a</w:t>
      </w:r>
      <w:r w:rsidRPr="001D3AD7">
        <w:t>n overall increase in years a child spends in education and their performance.</w:t>
      </w:r>
    </w:p>
    <w:p w14:paraId="579B7171" w14:textId="77777777" w:rsidR="005E0712" w:rsidRDefault="005E0712" w:rsidP="00EA4AC1">
      <w:pPr>
        <w:pStyle w:val="Heading2"/>
        <w:keepNext w:val="0"/>
        <w:keepLines w:val="0"/>
      </w:pPr>
      <w:r>
        <w:t>Key</w:t>
      </w:r>
      <w:r w:rsidRPr="001D3AD7">
        <w:t xml:space="preserve"> issues </w:t>
      </w:r>
      <w:r>
        <w:t>in</w:t>
      </w:r>
      <w:r w:rsidRPr="001D3AD7">
        <w:t xml:space="preserve"> ECD</w:t>
      </w:r>
    </w:p>
    <w:p w14:paraId="015BF0F1" w14:textId="77777777" w:rsidR="005E0712" w:rsidRPr="004F241B" w:rsidRDefault="005E0712" w:rsidP="00EA4AC1">
      <w:pPr>
        <w:pStyle w:val="BodyText"/>
        <w:widowControl/>
        <w:rPr>
          <w:b/>
        </w:rPr>
      </w:pPr>
      <w:r w:rsidRPr="004F241B">
        <w:rPr>
          <w:b/>
        </w:rPr>
        <w:t>There are two key related issues regarding ECD.</w:t>
      </w:r>
    </w:p>
    <w:p w14:paraId="3F370ED0" w14:textId="77777777" w:rsidR="005E0712" w:rsidRDefault="005E0712" w:rsidP="00EA4AC1">
      <w:pPr>
        <w:pStyle w:val="Numberedlist"/>
        <w:widowControl/>
      </w:pPr>
      <w:r>
        <w:t>Equitable access to ECD is a major problem in developing countries</w:t>
      </w:r>
      <w:r w:rsidRPr="004F241B">
        <w:rPr>
          <w:b w:val="0"/>
        </w:rPr>
        <w:t>. Despite the compelling evidence that participation in high-quality ECD brings long-lasting academic, social and economic benefits, the most needy—the poorest and most marginalised children, including girls and children with disabilities—are often not reached by good quality ECD provision.</w:t>
      </w:r>
    </w:p>
    <w:p w14:paraId="3E40236C" w14:textId="3588B8FA" w:rsidR="005E0712" w:rsidRPr="004F241B" w:rsidRDefault="005E0712" w:rsidP="00EA4AC1">
      <w:pPr>
        <w:pStyle w:val="Numberedlist"/>
        <w:widowControl/>
        <w:rPr>
          <w:b w:val="0"/>
        </w:rPr>
      </w:pPr>
      <w:r>
        <w:t xml:space="preserve">Governments often allocate only a very limited proportion of their education budget to ECD. </w:t>
      </w:r>
      <w:r w:rsidRPr="004F241B">
        <w:rPr>
          <w:b w:val="0"/>
        </w:rPr>
        <w:t>Provision of services is usually shared with private providers (churches, communities etc.) and equitable access to good quality ECD</w:t>
      </w:r>
      <w:r w:rsidR="006267AE" w:rsidRPr="004F241B">
        <w:rPr>
          <w:b w:val="0"/>
        </w:rPr>
        <w:t>—</w:t>
      </w:r>
      <w:r w:rsidRPr="004F241B">
        <w:rPr>
          <w:rFonts w:cs="Arial"/>
          <w:b w:val="0"/>
          <w:color w:val="auto"/>
        </w:rPr>
        <w:t>for girls and boys, children with disabilities or from marginalised groups</w:t>
      </w:r>
      <w:r w:rsidR="006267AE" w:rsidRPr="004F241B">
        <w:rPr>
          <w:b w:val="0"/>
        </w:rPr>
        <w:t>—</w:t>
      </w:r>
      <w:r w:rsidRPr="004F241B">
        <w:rPr>
          <w:b w:val="0"/>
        </w:rPr>
        <w:t>is highly variable.</w:t>
      </w:r>
    </w:p>
    <w:p w14:paraId="3D9BADB7" w14:textId="77777777" w:rsidR="005E0712" w:rsidRPr="001D3AD7" w:rsidRDefault="005E0712" w:rsidP="00EA4AC1">
      <w:pPr>
        <w:pStyle w:val="Paraspace"/>
        <w:widowControl/>
      </w:pPr>
    </w:p>
    <w:p w14:paraId="18642A43" w14:textId="77777777" w:rsidR="005E0712" w:rsidRPr="001D3AD7" w:rsidRDefault="005E0712" w:rsidP="00EA4AC1">
      <w:pPr>
        <w:pStyle w:val="Heading1"/>
        <w:widowControl/>
        <w:tabs>
          <w:tab w:val="clear" w:pos="709"/>
          <w:tab w:val="left" w:pos="851"/>
        </w:tabs>
        <w:spacing w:before="240"/>
        <w:ind w:left="851" w:hanging="851"/>
      </w:pPr>
      <w:bookmarkStart w:id="12" w:name="_Toc496276450"/>
      <w:bookmarkStart w:id="13" w:name="_Toc522804281"/>
      <w:r>
        <w:t>Primary education</w:t>
      </w:r>
      <w:bookmarkEnd w:id="12"/>
      <w:bookmarkEnd w:id="13"/>
    </w:p>
    <w:p w14:paraId="55B60B94" w14:textId="77777777" w:rsidR="005E0712" w:rsidRDefault="005E0712" w:rsidP="00EA4AC1">
      <w:pPr>
        <w:pStyle w:val="Heading2"/>
        <w:keepNext w:val="0"/>
        <w:keepLines w:val="0"/>
      </w:pPr>
      <w:r>
        <w:t>What is primary education?</w:t>
      </w:r>
    </w:p>
    <w:p w14:paraId="43E7124B" w14:textId="312BC46E" w:rsidR="005E0712" w:rsidRDefault="005E0712" w:rsidP="00EA4AC1">
      <w:pPr>
        <w:pStyle w:val="BodyText"/>
        <w:widowControl/>
      </w:pPr>
      <w:r>
        <w:t>P</w:t>
      </w:r>
      <w:r w:rsidRPr="00B71E85">
        <w:t xml:space="preserve">rimary education typically encompasses the first six years of formal schooling. If children enrol at the official entry age, that generally includes </w:t>
      </w:r>
      <w:r>
        <w:t>six</w:t>
      </w:r>
      <w:r w:rsidRPr="00B71E85">
        <w:t xml:space="preserve"> to 12 year olds. In the Pacific, for example, primary education has traditionally been a six-year primary cycle (</w:t>
      </w:r>
      <w:r w:rsidR="006267AE">
        <w:t xml:space="preserve">such as, </w:t>
      </w:r>
      <w:r>
        <w:t xml:space="preserve">in </w:t>
      </w:r>
      <w:r w:rsidRPr="00B71E85">
        <w:t>Vanuatu) but in some cases (</w:t>
      </w:r>
      <w:r w:rsidR="006267AE">
        <w:t xml:space="preserve">such as, in </w:t>
      </w:r>
      <w:r w:rsidRPr="00B71E85">
        <w:t>Palau) primary education is an eight-year cycle</w:t>
      </w:r>
      <w:r>
        <w:t>.</w:t>
      </w:r>
    </w:p>
    <w:p w14:paraId="13B1123B" w14:textId="77777777" w:rsidR="00FC3A17" w:rsidRPr="00831C3C" w:rsidRDefault="00FC3A17" w:rsidP="00EA4AC1">
      <w:pPr>
        <w:pStyle w:val="Paraspace"/>
        <w:widowControl/>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FC3A17" w14:paraId="208635F9" w14:textId="77777777" w:rsidTr="001425E9">
        <w:trPr>
          <w:trHeight w:val="2692"/>
        </w:trPr>
        <w:tc>
          <w:tcPr>
            <w:tcW w:w="8926" w:type="dxa"/>
          </w:tcPr>
          <w:p w14:paraId="0B152B2B" w14:textId="0D5C36DB" w:rsidR="00FC3A17" w:rsidRPr="007A029D" w:rsidRDefault="00FC3A17" w:rsidP="00EA4AC1">
            <w:pPr>
              <w:pStyle w:val="Boxheading"/>
            </w:pPr>
            <w:r w:rsidRPr="007A029D">
              <w:drawing>
                <wp:anchor distT="0" distB="0" distL="114300" distR="114300" simplePos="0" relativeHeight="251764736" behindDoc="1" locked="0" layoutInCell="1" allowOverlap="1" wp14:anchorId="1279748F" wp14:editId="587953E3">
                  <wp:simplePos x="0" y="0"/>
                  <wp:positionH relativeFrom="column">
                    <wp:posOffset>4163695</wp:posOffset>
                  </wp:positionH>
                  <wp:positionV relativeFrom="paragraph">
                    <wp:posOffset>252730</wp:posOffset>
                  </wp:positionV>
                  <wp:extent cx="1106170" cy="8528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001D6483">
              <w:t>UNESCO definition of primary education</w:t>
            </w:r>
          </w:p>
          <w:p w14:paraId="793D0BEC" w14:textId="702805D2" w:rsidR="00FC3A17" w:rsidRDefault="001D6483" w:rsidP="00EA4AC1">
            <w:pPr>
              <w:pStyle w:val="Boxtext"/>
            </w:pPr>
            <w:r w:rsidRPr="008D678B">
              <w:t xml:space="preserve">Programs </w:t>
            </w:r>
            <w:r>
              <w:t xml:space="preserve">are </w:t>
            </w:r>
            <w:r w:rsidRPr="008D678B">
              <w:t>generally designed on a unit or project basis to give pupils a sound basic education in reading, writing and mathematics, and an elementary understanding of subjects such as history, geography, natural sciences, social sciences, art and music.</w:t>
            </w:r>
          </w:p>
          <w:p w14:paraId="35FF5C57" w14:textId="7353C4AB" w:rsidR="00FC3A17" w:rsidRPr="00564DFB" w:rsidRDefault="001D6483" w:rsidP="00564DFB">
            <w:pPr>
              <w:pStyle w:val="Boxsource"/>
            </w:pPr>
            <w:r w:rsidRPr="00564DFB">
              <w:t xml:space="preserve">Source: UNESCO Institute for Statistics 2011b, </w:t>
            </w:r>
            <w:hyperlink r:id="rId17" w:history="1">
              <w:r w:rsidRPr="00564DFB">
                <w:rPr>
                  <w:rStyle w:val="Hyperlink"/>
                  <w:color w:val="808285"/>
                  <w:u w:val="none"/>
                </w:rPr>
                <w:t>ISCED level 1</w:t>
              </w:r>
              <w:r w:rsidR="0087648D">
                <w:rPr>
                  <w:rStyle w:val="Hyperlink"/>
                  <w:color w:val="808285"/>
                  <w:u w:val="none"/>
                </w:rPr>
                <w:t xml:space="preserve"> </w:t>
              </w:r>
              <w:r w:rsidRPr="00564DFB">
                <w:rPr>
                  <w:rStyle w:val="Hyperlink"/>
                  <w:color w:val="808285"/>
                  <w:u w:val="none"/>
                </w:rPr>
                <w:t>- primary education</w:t>
              </w:r>
            </w:hyperlink>
            <w:r w:rsidRPr="00564DFB">
              <w:t>, pp. 30-32.</w:t>
            </w:r>
          </w:p>
        </w:tc>
      </w:tr>
    </w:tbl>
    <w:p w14:paraId="1ED5E642" w14:textId="77777777" w:rsidR="006267AE" w:rsidRDefault="006267AE" w:rsidP="006267AE">
      <w:pPr>
        <w:pStyle w:val="Paraspace"/>
      </w:pPr>
    </w:p>
    <w:p w14:paraId="59C1ABE7" w14:textId="77777777" w:rsidR="005E0712" w:rsidRDefault="005E0712" w:rsidP="00EA4AC1">
      <w:pPr>
        <w:pStyle w:val="Heading2"/>
        <w:keepNext w:val="0"/>
        <w:keepLines w:val="0"/>
      </w:pPr>
      <w:r>
        <w:t>Primary or basic education?</w:t>
      </w:r>
    </w:p>
    <w:p w14:paraId="75ECB57A" w14:textId="162F2FA3" w:rsidR="005E0712" w:rsidRDefault="005E0712" w:rsidP="00EA4AC1">
      <w:pPr>
        <w:pStyle w:val="BodyText"/>
        <w:widowControl/>
      </w:pPr>
      <w:r w:rsidRPr="00F2126F">
        <w:t xml:space="preserve">In many countries the term </w:t>
      </w:r>
      <w:r>
        <w:t>‘</w:t>
      </w:r>
      <w:r w:rsidRPr="00F2126F">
        <w:t>basic education</w:t>
      </w:r>
      <w:r>
        <w:t>’</w:t>
      </w:r>
      <w:r w:rsidRPr="00F2126F">
        <w:t xml:space="preserve"> refers to the primary school years, plus the first two or three years of junior secondary school (an eight or nine-year cycle). Some countries include pre-school in their definition of basic education. For example, the Solomon Islands define</w:t>
      </w:r>
      <w:r w:rsidR="006267AE">
        <w:t>s</w:t>
      </w:r>
      <w:r w:rsidRPr="00F2126F">
        <w:t xml:space="preserve"> basic education to include ECD, primary school, and junior secondary schooling</w:t>
      </w:r>
      <w:r>
        <w:t>.</w:t>
      </w:r>
    </w:p>
    <w:p w14:paraId="2C37052C" w14:textId="77777777" w:rsidR="006267AE" w:rsidRDefault="006267AE" w:rsidP="00EA4AC1">
      <w:pPr>
        <w:pStyle w:val="BodyText"/>
        <w:widowControl/>
      </w:pPr>
    </w:p>
    <w:p w14:paraId="55CE3D47" w14:textId="77777777" w:rsidR="006267AE" w:rsidRPr="00F2126F" w:rsidRDefault="006267AE" w:rsidP="00EA4AC1">
      <w:pPr>
        <w:pStyle w:val="BodyText"/>
        <w:widowControl/>
      </w:pPr>
    </w:p>
    <w:p w14:paraId="14FAED21" w14:textId="77777777" w:rsidR="005E0712" w:rsidRDefault="005E0712" w:rsidP="00EA4AC1">
      <w:pPr>
        <w:pStyle w:val="Heading2"/>
        <w:keepNext w:val="0"/>
        <w:keepLines w:val="0"/>
      </w:pPr>
      <w:r>
        <w:t>What is the purpose of primary education?</w:t>
      </w:r>
    </w:p>
    <w:p w14:paraId="7967BC5D" w14:textId="77777777" w:rsidR="005E0712" w:rsidRDefault="005E0712" w:rsidP="00EA4AC1">
      <w:pPr>
        <w:pStyle w:val="BodyText"/>
        <w:widowControl/>
      </w:pPr>
      <w:r>
        <w:t>The purpose of primary education is to support girls and boys in progressively gaining core skills in literacy, numeracy, critical thinking and culturally-appropriate learning content areas. Children develop rapidly between the ages of six and 12, so teaching and learning approaches must be designed to reflect developmental stages.</w:t>
      </w:r>
    </w:p>
    <w:p w14:paraId="1BB23087" w14:textId="77777777" w:rsidR="005E0712" w:rsidRDefault="005E0712" w:rsidP="00EA4AC1">
      <w:pPr>
        <w:pStyle w:val="BodyText"/>
        <w:widowControl/>
      </w:pPr>
      <w:r>
        <w:t>An important first step is understanding who is—and who is not—in school. Listed below are some of the main indicators used in education:</w:t>
      </w:r>
    </w:p>
    <w:p w14:paraId="1DFC5E85" w14:textId="67780F04" w:rsidR="005E0712" w:rsidRDefault="005E0712" w:rsidP="00EA4AC1">
      <w:pPr>
        <w:pStyle w:val="ListParagraph"/>
        <w:widowControl/>
        <w:numPr>
          <w:ilvl w:val="0"/>
          <w:numId w:val="10"/>
        </w:numPr>
        <w:spacing w:before="0"/>
      </w:pPr>
      <w:r>
        <w:t xml:space="preserve">gross enrolment </w:t>
      </w:r>
      <w:r w:rsidR="0031036E">
        <w:t>ratio</w:t>
      </w:r>
      <w:r>
        <w:t xml:space="preserve"> (GER) – the percentage of ‘any age’ children enrolled</w:t>
      </w:r>
    </w:p>
    <w:p w14:paraId="75C2E5FC" w14:textId="18D60F0C" w:rsidR="005E0712" w:rsidRDefault="005E0712" w:rsidP="00EA4AC1">
      <w:pPr>
        <w:pStyle w:val="ListParagraph"/>
        <w:widowControl/>
        <w:numPr>
          <w:ilvl w:val="0"/>
          <w:numId w:val="10"/>
        </w:numPr>
        <w:spacing w:before="0"/>
      </w:pPr>
      <w:r>
        <w:t xml:space="preserve">net enrolment </w:t>
      </w:r>
      <w:r w:rsidR="00DF3712">
        <w:t>ratio</w:t>
      </w:r>
      <w:r>
        <w:t xml:space="preserve"> (NER) – the percentage of ‘right age’ children enrolled</w:t>
      </w:r>
    </w:p>
    <w:p w14:paraId="50FDF44D" w14:textId="77777777" w:rsidR="005E0712" w:rsidRDefault="005E0712" w:rsidP="00EA4AC1">
      <w:pPr>
        <w:pStyle w:val="ListParagraph"/>
        <w:widowControl/>
        <w:numPr>
          <w:ilvl w:val="0"/>
          <w:numId w:val="10"/>
        </w:numPr>
        <w:spacing w:before="0"/>
      </w:pPr>
      <w:r>
        <w:t>primary drop-out rate</w:t>
      </w:r>
    </w:p>
    <w:p w14:paraId="3991FC46" w14:textId="77777777" w:rsidR="005E0712" w:rsidRDefault="005E0712" w:rsidP="00EA4AC1">
      <w:pPr>
        <w:pStyle w:val="ListParagraph"/>
        <w:widowControl/>
        <w:numPr>
          <w:ilvl w:val="0"/>
          <w:numId w:val="10"/>
        </w:numPr>
        <w:spacing w:before="0"/>
      </w:pPr>
      <w:r>
        <w:t>grade repetition rate – calculated by gender and population sub-groups</w:t>
      </w:r>
    </w:p>
    <w:p w14:paraId="3087DC27" w14:textId="77777777" w:rsidR="005E0712" w:rsidRDefault="005E0712" w:rsidP="00EA4AC1">
      <w:pPr>
        <w:pStyle w:val="ListParagraph"/>
        <w:widowControl/>
        <w:numPr>
          <w:ilvl w:val="0"/>
          <w:numId w:val="10"/>
        </w:numPr>
        <w:spacing w:before="0"/>
      </w:pPr>
      <w:r>
        <w:t>the primary completion rate (PCR) – the proportion of Year 1 starters that complete six years of primary education</w:t>
      </w:r>
    </w:p>
    <w:p w14:paraId="67158C06" w14:textId="77777777" w:rsidR="005E0712" w:rsidRDefault="005E0712" w:rsidP="00B9532A">
      <w:pPr>
        <w:pStyle w:val="LastBulletpoint0"/>
        <w:widowControl/>
        <w:numPr>
          <w:ilvl w:val="0"/>
          <w:numId w:val="10"/>
        </w:numPr>
        <w:spacing w:after="120"/>
        <w:ind w:left="1003" w:hanging="357"/>
      </w:pPr>
      <w:r>
        <w:t>Gender Parity Index (GPI) – the ratio of girls to boys in education.</w:t>
      </w:r>
    </w:p>
    <w:p w14:paraId="44243BC2" w14:textId="3D155AF1" w:rsidR="00FD6F88" w:rsidRDefault="00FD6F88" w:rsidP="00B9532A">
      <w:pPr>
        <w:pStyle w:val="Heading2"/>
        <w:keepNext w:val="0"/>
        <w:keepLines w:val="0"/>
        <w:spacing w:after="120"/>
      </w:pPr>
      <w:r>
        <w:t>GER explained</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7"/>
      </w:tblGrid>
      <w:tr w:rsidR="00FC3A17" w14:paraId="4CAAB916" w14:textId="77777777" w:rsidTr="001D6483">
        <w:trPr>
          <w:trHeight w:val="2697"/>
        </w:trPr>
        <w:tc>
          <w:tcPr>
            <w:tcW w:w="8957" w:type="dxa"/>
          </w:tcPr>
          <w:tbl>
            <w:tblPr>
              <w:tblStyle w:val="TableGrid"/>
              <w:tblW w:w="8705"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705"/>
            </w:tblGrid>
            <w:tr w:rsidR="00FC3A17" w14:paraId="241FD082" w14:textId="77777777" w:rsidTr="00C946D8">
              <w:trPr>
                <w:trHeight w:val="6727"/>
              </w:trPr>
              <w:tc>
                <w:tcPr>
                  <w:tcW w:w="8705" w:type="dxa"/>
                </w:tcPr>
                <w:p w14:paraId="0AB60DD6" w14:textId="352C8299" w:rsidR="00FC3A17" w:rsidRDefault="00FC3A17" w:rsidP="00B9532A">
                  <w:pPr>
                    <w:pStyle w:val="Boxheading"/>
                    <w:ind w:left="92"/>
                  </w:pPr>
                  <w:r w:rsidRPr="007A029D">
                    <w:drawing>
                      <wp:anchor distT="0" distB="0" distL="114300" distR="114300" simplePos="0" relativeHeight="251770880" behindDoc="1" locked="0" layoutInCell="1" allowOverlap="1" wp14:anchorId="4C8B5390" wp14:editId="18119B99">
                        <wp:simplePos x="0" y="0"/>
                        <wp:positionH relativeFrom="column">
                          <wp:posOffset>4163695</wp:posOffset>
                        </wp:positionH>
                        <wp:positionV relativeFrom="paragraph">
                          <wp:posOffset>252730</wp:posOffset>
                        </wp:positionV>
                        <wp:extent cx="1106170" cy="8528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00056C50">
                    <w:t>What is the defi</w:t>
                  </w:r>
                  <w:r w:rsidR="008E511B">
                    <w:t>n</w:t>
                  </w:r>
                  <w:r w:rsidR="00056C50">
                    <w:t xml:space="preserve">ition of primary school GER? </w:t>
                  </w:r>
                </w:p>
                <w:p w14:paraId="3AD9B499" w14:textId="77777777" w:rsidR="00056C50" w:rsidRPr="00C946D8" w:rsidRDefault="00056C50" w:rsidP="00C946D8">
                  <w:pPr>
                    <w:pStyle w:val="Boxtext"/>
                  </w:pPr>
                  <w:r w:rsidRPr="00C946D8">
                    <w:t>The gross enrolment ratio (GER) is defined as the total enrolment in a specific level of education, regardless of age, expressed as a percentage of the eligible official school-age population.</w:t>
                  </w:r>
                </w:p>
                <w:p w14:paraId="4CF22055" w14:textId="77777777" w:rsidR="00056C50" w:rsidRPr="00C946D8" w:rsidRDefault="00056C50" w:rsidP="00C946D8">
                  <w:pPr>
                    <w:pStyle w:val="Boxtext"/>
                    <w:ind w:right="459"/>
                  </w:pPr>
                  <w:r w:rsidRPr="00C946D8">
                    <w:t>To calculate primary school GER divide the number of pupils enrolled in primary education, regardless of age, by the number of children of primary age (e.g. from census data).</w:t>
                  </w:r>
                </w:p>
                <w:p w14:paraId="7FCF330B" w14:textId="77777777" w:rsidR="00056C50" w:rsidRPr="00C946D8" w:rsidRDefault="00056C50" w:rsidP="00C946D8">
                  <w:pPr>
                    <w:pStyle w:val="Boxtext"/>
                    <w:ind w:right="459"/>
                  </w:pPr>
                  <w:r w:rsidRPr="00C946D8">
                    <w:t>For example, if a nation has 900,000 children enrolled in primary schools in 2017/18, this number is divided by the total number of primary-aged individuals. Suppose this total is 1,000,000. This makes a GER of 90 per cent (900,000 divided by 1,000,000).</w:t>
                  </w:r>
                </w:p>
                <w:p w14:paraId="4AE628DA" w14:textId="77777777" w:rsidR="00056C50" w:rsidRPr="00C946D8" w:rsidRDefault="00056C50" w:rsidP="00C946D8">
                  <w:pPr>
                    <w:pStyle w:val="Boxtext"/>
                    <w:ind w:right="459"/>
                  </w:pPr>
                  <w:r w:rsidRPr="00C946D8">
                    <w:t>GER can be greater than 100 per cent as a result of grade repetition and entry at ages younger or older than the typical age at that grade level. That is, you can have 1.1 million children in primary school, with a 1,000,000 ‘right age’ population. That would give you a GER of 110 per cent. For this reason, the GER figure needs to be used with care, as a GER close to 100 per cent could consist of large numbers of over-age, late-entry or grade repeating children.</w:t>
                  </w:r>
                </w:p>
                <w:p w14:paraId="053D84E4" w14:textId="0696A18C" w:rsidR="00FC3A17" w:rsidRPr="00C946D8" w:rsidRDefault="00C946D8" w:rsidP="00C946D8">
                  <w:pPr>
                    <w:pStyle w:val="Boxsource"/>
                  </w:pPr>
                  <w:r w:rsidRPr="00C946D8">
                    <w:t xml:space="preserve">Source:  UNESCO Institute for Statistics n.d., </w:t>
                  </w:r>
                  <w:hyperlink r:id="rId18" w:history="1">
                    <w:r w:rsidRPr="00C946D8">
                      <w:t xml:space="preserve">UIS Stat.; </w:t>
                    </w:r>
                  </w:hyperlink>
                  <w:r w:rsidRPr="00C946D8">
                    <w:t xml:space="preserve">2017b, </w:t>
                  </w:r>
                  <w:hyperlink r:id="rId19" w:history="1">
                    <w:r w:rsidRPr="00C946D8">
                      <w:t>Gross enrolment ratio</w:t>
                    </w:r>
                  </w:hyperlink>
                  <w:r w:rsidRPr="00C946D8">
                    <w:t xml:space="preserve">. </w:t>
                  </w:r>
                </w:p>
              </w:tc>
            </w:tr>
          </w:tbl>
          <w:p w14:paraId="0F265580" w14:textId="07A4026C" w:rsidR="00FC3A17" w:rsidRPr="00FD6F88" w:rsidRDefault="00FC3A17" w:rsidP="00EA4AC1">
            <w:pPr>
              <w:pStyle w:val="Paraspace"/>
              <w:widowControl/>
              <w:rPr>
                <w:color w:val="231F20"/>
              </w:rPr>
            </w:pPr>
          </w:p>
        </w:tc>
      </w:tr>
    </w:tbl>
    <w:p w14:paraId="62ACF385" w14:textId="77777777" w:rsidR="008E511B" w:rsidRDefault="008E511B" w:rsidP="008E511B">
      <w:pPr>
        <w:pStyle w:val="Paraspace"/>
      </w:pPr>
    </w:p>
    <w:p w14:paraId="20072855" w14:textId="77777777" w:rsidR="008E511B" w:rsidRDefault="008E511B" w:rsidP="008E511B">
      <w:pPr>
        <w:pStyle w:val="Paraspace"/>
      </w:pPr>
    </w:p>
    <w:p w14:paraId="4DA317C0" w14:textId="77777777" w:rsidR="008E511B" w:rsidRDefault="008E511B" w:rsidP="008E511B">
      <w:pPr>
        <w:pStyle w:val="Paraspace"/>
      </w:pPr>
    </w:p>
    <w:p w14:paraId="04D2F68C" w14:textId="77777777" w:rsidR="008E511B" w:rsidRDefault="008E511B" w:rsidP="008E511B">
      <w:pPr>
        <w:pStyle w:val="Paraspace"/>
      </w:pPr>
    </w:p>
    <w:p w14:paraId="2E7A4810" w14:textId="2DD2DEC2" w:rsidR="00843D90" w:rsidRDefault="00843D90" w:rsidP="00B9532A">
      <w:pPr>
        <w:pStyle w:val="Heading2"/>
        <w:keepNext w:val="0"/>
        <w:keepLines w:val="0"/>
        <w:spacing w:after="120"/>
      </w:pPr>
      <w:r>
        <w:t>NER explained</w:t>
      </w: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734AB5" w14:paraId="14A03535" w14:textId="77777777" w:rsidTr="00813CAA">
        <w:trPr>
          <w:trHeight w:val="3882"/>
        </w:trPr>
        <w:tc>
          <w:tcPr>
            <w:tcW w:w="8926" w:type="dxa"/>
          </w:tcPr>
          <w:p w14:paraId="7F93095C" w14:textId="520C9BB3" w:rsidR="00734AB5" w:rsidRPr="007A029D" w:rsidRDefault="00734AB5" w:rsidP="00EA4AC1">
            <w:pPr>
              <w:pStyle w:val="Boxheading"/>
            </w:pPr>
            <w:r w:rsidRPr="007A029D">
              <w:drawing>
                <wp:anchor distT="0" distB="0" distL="114300" distR="114300" simplePos="0" relativeHeight="251783168" behindDoc="1" locked="0" layoutInCell="1" allowOverlap="1" wp14:anchorId="05023316" wp14:editId="406E7A8E">
                  <wp:simplePos x="0" y="0"/>
                  <wp:positionH relativeFrom="column">
                    <wp:posOffset>4163695</wp:posOffset>
                  </wp:positionH>
                  <wp:positionV relativeFrom="paragraph">
                    <wp:posOffset>252730</wp:posOffset>
                  </wp:positionV>
                  <wp:extent cx="1106170" cy="852805"/>
                  <wp:effectExtent l="0" t="0" r="0" b="4445"/>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00FD6F88">
              <w:t xml:space="preserve">What is the definition of primary school NER? </w:t>
            </w:r>
          </w:p>
          <w:p w14:paraId="31EEDD29" w14:textId="2E6E2D9A" w:rsidR="00FD6F88" w:rsidRPr="008D678B" w:rsidRDefault="00FD6F88" w:rsidP="00EA4AC1">
            <w:pPr>
              <w:pStyle w:val="BodyText"/>
              <w:widowControl/>
              <w:ind w:left="346" w:right="2300"/>
              <w:rPr>
                <w:sz w:val="23"/>
                <w:szCs w:val="23"/>
              </w:rPr>
            </w:pPr>
            <w:r>
              <w:rPr>
                <w:sz w:val="23"/>
                <w:szCs w:val="23"/>
              </w:rPr>
              <w:t>T</w:t>
            </w:r>
            <w:r w:rsidRPr="008D678B">
              <w:rPr>
                <w:sz w:val="23"/>
                <w:szCs w:val="23"/>
              </w:rPr>
              <w:t>he primary school net enrolment ratio (NER) is the number of children of official primary school age that are enrolled in primary school, divided by the total number of primary-aged individuals. For this reason, the NER cannot exceed 100 per cent. For example, according to the 2015 UNESCO Institute of Statistics data, Liberia had the lowest primary education NER in the world, at 38 per cent. This means that out of every 100 children within the official age</w:t>
            </w:r>
            <w:r w:rsidR="008E511B">
              <w:rPr>
                <w:sz w:val="23"/>
                <w:szCs w:val="23"/>
              </w:rPr>
              <w:t xml:space="preserve"> </w:t>
            </w:r>
            <w:r w:rsidRPr="008D678B">
              <w:rPr>
                <w:sz w:val="23"/>
                <w:szCs w:val="23"/>
              </w:rPr>
              <w:t>group for primary education, only 38 were enrolled in school.</w:t>
            </w:r>
          </w:p>
          <w:p w14:paraId="5C391324" w14:textId="34A067D1" w:rsidR="00C946D8" w:rsidRPr="00C946D8" w:rsidRDefault="00C946D8" w:rsidP="00C946D8">
            <w:pPr>
              <w:pStyle w:val="Boxsource"/>
            </w:pPr>
            <w:r w:rsidRPr="00C946D8">
              <w:t xml:space="preserve">Sources: UNESCO Institute for Statistics n.d., </w:t>
            </w:r>
            <w:hyperlink r:id="rId20" w:history="1">
              <w:r w:rsidRPr="00C946D8">
                <w:rPr>
                  <w:rStyle w:val="Hyperlink"/>
                  <w:color w:val="808285"/>
                  <w:u w:val="none"/>
                </w:rPr>
                <w:t xml:space="preserve">UIS Stat.; </w:t>
              </w:r>
            </w:hyperlink>
            <w:r w:rsidRPr="00C946D8">
              <w:t>2017a, ‘</w:t>
            </w:r>
            <w:hyperlink r:id="rId21" w:history="1">
              <w:r w:rsidRPr="00C946D8">
                <w:rPr>
                  <w:rStyle w:val="Hyperlink"/>
                  <w:color w:val="808285"/>
                  <w:u w:val="none"/>
                </w:rPr>
                <w:t>Net enrolment rate</w:t>
              </w:r>
            </w:hyperlink>
            <w:r w:rsidRPr="00C946D8">
              <w:t>’.</w:t>
            </w:r>
          </w:p>
        </w:tc>
      </w:tr>
    </w:tbl>
    <w:p w14:paraId="27A7EE2C" w14:textId="77777777" w:rsidR="00734AB5" w:rsidRDefault="00734AB5" w:rsidP="00EA4AC1">
      <w:pPr>
        <w:pStyle w:val="Paraspace"/>
        <w:widowControl/>
      </w:pPr>
    </w:p>
    <w:p w14:paraId="02EF1EB3" w14:textId="77777777" w:rsidR="005E0712" w:rsidRDefault="005E0712" w:rsidP="00EA4AC1">
      <w:pPr>
        <w:pStyle w:val="Heading2"/>
        <w:keepNext w:val="0"/>
        <w:keepLines w:val="0"/>
      </w:pPr>
      <w:r>
        <w:t>Primary completion rates by country</w:t>
      </w:r>
    </w:p>
    <w:p w14:paraId="2A797280" w14:textId="1E1AA8A7" w:rsidR="005E0712" w:rsidRDefault="005E0712" w:rsidP="00EA4AC1">
      <w:pPr>
        <w:pStyle w:val="BodyText"/>
        <w:widowControl/>
      </w:pPr>
      <w:r>
        <w:t>T</w:t>
      </w:r>
      <w:r w:rsidRPr="00EA413E">
        <w:t>he bar chart</w:t>
      </w:r>
      <w:r>
        <w:t xml:space="preserve"> in Table 1</w:t>
      </w:r>
      <w:r w:rsidRPr="00EA413E">
        <w:t xml:space="preserve"> shows wide variety in primary completion rates (PCR). There are several ways to calculate the PCR, but all determine the proportion of Year 1 starters who complete six years of primary education. The PCR includes all children, so we can see that Indonesia has a PCR </w:t>
      </w:r>
      <w:r w:rsidR="008E511B">
        <w:t xml:space="preserve">of </w:t>
      </w:r>
      <w:r w:rsidRPr="00EA413E">
        <w:t>over 100 per cent.</w:t>
      </w:r>
    </w:p>
    <w:p w14:paraId="0E3AC37C" w14:textId="17CB5997" w:rsidR="005E0712" w:rsidRDefault="005E0712" w:rsidP="00EA4AC1">
      <w:pPr>
        <w:pStyle w:val="Tablecaption"/>
        <w:widowControl/>
      </w:pPr>
      <w:r w:rsidRPr="0067736E">
        <w:t xml:space="preserve">Table 1 – </w:t>
      </w:r>
      <w:r>
        <w:t>201</w:t>
      </w:r>
      <w:r w:rsidR="000D03C5">
        <w:t>6</w:t>
      </w:r>
      <w:r>
        <w:t xml:space="preserve"> </w:t>
      </w:r>
      <w:r w:rsidRPr="0067736E">
        <w:t>Primary completion rates by country</w:t>
      </w:r>
    </w:p>
    <w:p w14:paraId="7F6A291C" w14:textId="6F38A4FC" w:rsidR="005E0712" w:rsidRPr="00AE5826" w:rsidRDefault="000D03C5" w:rsidP="00EA4AC1">
      <w:pPr>
        <w:tabs>
          <w:tab w:val="left" w:pos="3767"/>
        </w:tabs>
      </w:pPr>
      <w:r>
        <w:rPr>
          <w:noProof/>
          <w:lang w:eastAsia="en-AU"/>
        </w:rPr>
        <w:drawing>
          <wp:inline distT="0" distB="0" distL="0" distR="0" wp14:anchorId="47E08419" wp14:editId="7FF8A084">
            <wp:extent cx="5647334" cy="2743200"/>
            <wp:effectExtent l="0" t="0" r="1079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B818CD" w14:textId="1828BB14" w:rsidR="005E0712" w:rsidRPr="008E511B" w:rsidRDefault="005E0712" w:rsidP="008E511B">
      <w:pPr>
        <w:pStyle w:val="Source"/>
        <w:rPr>
          <w:rStyle w:val="Hyperlink"/>
          <w:color w:val="808285"/>
          <w:u w:val="none"/>
        </w:rPr>
      </w:pPr>
      <w:r w:rsidRPr="008E511B">
        <w:t xml:space="preserve">Source: World Bank 2017, </w:t>
      </w:r>
      <w:hyperlink r:id="rId23" w:history="1">
        <w:r w:rsidRPr="008E511B">
          <w:rPr>
            <w:rStyle w:val="Hyperlink"/>
            <w:color w:val="808285"/>
            <w:u w:val="none"/>
          </w:rPr>
          <w:t>DataBank: World development indicators</w:t>
        </w:r>
        <w:r w:rsidR="00843D90" w:rsidRPr="008E511B">
          <w:rPr>
            <w:rStyle w:val="Hyperlink"/>
            <w:color w:val="808285"/>
            <w:u w:val="none"/>
          </w:rPr>
          <w:t>.</w:t>
        </w:r>
      </w:hyperlink>
    </w:p>
    <w:p w14:paraId="030DCEB4" w14:textId="77777777" w:rsidR="00734AB5" w:rsidRDefault="00734AB5" w:rsidP="004C0365">
      <w:pPr>
        <w:pStyle w:val="Paraspace"/>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734AB5" w:rsidRPr="0076572C" w14:paraId="1FA41704" w14:textId="77777777" w:rsidTr="00B9532A">
        <w:trPr>
          <w:trHeight w:val="6379"/>
        </w:trPr>
        <w:tc>
          <w:tcPr>
            <w:tcW w:w="8931" w:type="dxa"/>
            <w:tcBorders>
              <w:top w:val="nil"/>
              <w:bottom w:val="nil"/>
            </w:tcBorders>
            <w:shd w:val="clear" w:color="auto" w:fill="D9D9D9" w:themeFill="background1" w:themeFillShade="D9"/>
          </w:tcPr>
          <w:p w14:paraId="22BB0936" w14:textId="43DDCF6F" w:rsidR="00B7355A" w:rsidRPr="00B7355A" w:rsidRDefault="00B7355A" w:rsidP="00EA4AC1">
            <w:pPr>
              <w:pStyle w:val="Boxheading"/>
            </w:pPr>
            <w:r w:rsidRPr="00673528">
              <w:drawing>
                <wp:anchor distT="0" distB="0" distL="114300" distR="114300" simplePos="0" relativeHeight="251785216" behindDoc="1" locked="0" layoutInCell="1" allowOverlap="1" wp14:anchorId="3DA9E736" wp14:editId="65349AAD">
                  <wp:simplePos x="0" y="0"/>
                  <wp:positionH relativeFrom="column">
                    <wp:posOffset>4215765</wp:posOffset>
                  </wp:positionH>
                  <wp:positionV relativeFrom="paragraph">
                    <wp:posOffset>261620</wp:posOffset>
                  </wp:positionV>
                  <wp:extent cx="1106170" cy="842010"/>
                  <wp:effectExtent l="0" t="0" r="0" b="0"/>
                  <wp:wrapSquare wrapText="bothSides"/>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B7355A">
              <w:t>An activity for you</w:t>
            </w:r>
          </w:p>
          <w:p w14:paraId="2ACD7307" w14:textId="45797AD3" w:rsidR="00FD6F88" w:rsidRPr="00FD6F88" w:rsidRDefault="00FD6F88" w:rsidP="00EA4AC1">
            <w:pPr>
              <w:pStyle w:val="Boxtext"/>
              <w:rPr>
                <w:b/>
              </w:rPr>
            </w:pPr>
            <w:r w:rsidRPr="00FD6F88">
              <w:rPr>
                <w:b/>
              </w:rPr>
              <w:t>Review the table below. Which option is most likely to illustrate the average GER and NER for girls and boys in primary education in developing countries (2015)?</w:t>
            </w:r>
          </w:p>
          <w:tbl>
            <w:tblPr>
              <w:tblStyle w:val="DiplomaticAcademysasp"/>
              <w:tblpPr w:leftFromText="180" w:rightFromText="180" w:vertAnchor="text" w:horzAnchor="margin" w:tblpX="284" w:tblpY="-86"/>
              <w:tblOverlap w:val="never"/>
              <w:tblW w:w="0" w:type="auto"/>
              <w:tblLayout w:type="fixed"/>
              <w:tblLook w:val="04A0" w:firstRow="1" w:lastRow="0" w:firstColumn="1" w:lastColumn="0" w:noHBand="0" w:noVBand="1"/>
            </w:tblPr>
            <w:tblGrid>
              <w:gridCol w:w="1719"/>
              <w:gridCol w:w="1352"/>
              <w:gridCol w:w="1465"/>
              <w:gridCol w:w="1418"/>
              <w:gridCol w:w="992"/>
              <w:gridCol w:w="284"/>
            </w:tblGrid>
            <w:tr w:rsidR="00FD6F88" w:rsidRPr="00D411F3" w14:paraId="7760F749" w14:textId="77777777" w:rsidTr="00EF08BA">
              <w:trPr>
                <w:cnfStyle w:val="100000000000" w:firstRow="1" w:lastRow="0" w:firstColumn="0" w:lastColumn="0" w:oddVBand="0" w:evenVBand="0" w:oddHBand="0" w:evenHBand="0" w:firstRowFirstColumn="0" w:firstRowLastColumn="0" w:lastRowFirstColumn="0" w:lastRowLastColumn="0"/>
                <w:trHeight w:val="602"/>
              </w:trPr>
              <w:tc>
                <w:tcPr>
                  <w:tcW w:w="1719" w:type="dxa"/>
                  <w:shd w:val="clear" w:color="auto" w:fill="007C89"/>
                </w:tcPr>
                <w:p w14:paraId="23AC73EC" w14:textId="77777777" w:rsidR="00FD6F88" w:rsidRPr="003024AA" w:rsidRDefault="00FD6F88" w:rsidP="00EA4AC1">
                  <w:pPr>
                    <w:pStyle w:val="Tablecolumnheading"/>
                    <w:keepNext w:val="0"/>
                    <w:ind w:left="176"/>
                    <w:rPr>
                      <w:b/>
                    </w:rPr>
                  </w:pPr>
                  <w:r w:rsidRPr="00AE5826">
                    <w:rPr>
                      <w:b/>
                      <w:bCs/>
                    </w:rPr>
                    <w:t>Options</w:t>
                  </w:r>
                </w:p>
              </w:tc>
              <w:tc>
                <w:tcPr>
                  <w:tcW w:w="1352" w:type="dxa"/>
                  <w:shd w:val="clear" w:color="auto" w:fill="007C89"/>
                </w:tcPr>
                <w:p w14:paraId="29E7E71F" w14:textId="77777777" w:rsidR="00FD6F88" w:rsidRPr="00ED0079" w:rsidRDefault="00FD6F88" w:rsidP="00EA4AC1">
                  <w:pPr>
                    <w:pStyle w:val="Tablecolumnheading"/>
                    <w:keepNext w:val="0"/>
                    <w:ind w:left="16"/>
                    <w:rPr>
                      <w:b/>
                    </w:rPr>
                  </w:pPr>
                  <w:r w:rsidRPr="00AE5826">
                    <w:rPr>
                      <w:b/>
                      <w:bCs/>
                    </w:rPr>
                    <w:t>Boys GER</w:t>
                  </w:r>
                </w:p>
              </w:tc>
              <w:tc>
                <w:tcPr>
                  <w:tcW w:w="1465" w:type="dxa"/>
                  <w:shd w:val="clear" w:color="auto" w:fill="007C89"/>
                </w:tcPr>
                <w:p w14:paraId="409A678E" w14:textId="77777777" w:rsidR="00FD6F88" w:rsidRPr="00ED0079" w:rsidRDefault="00FD6F88" w:rsidP="00EA4AC1">
                  <w:pPr>
                    <w:pStyle w:val="Tablecolumnheading"/>
                    <w:keepNext w:val="0"/>
                    <w:ind w:left="82" w:right="164"/>
                    <w:rPr>
                      <w:b/>
                    </w:rPr>
                  </w:pPr>
                  <w:r w:rsidRPr="00AE5826">
                    <w:rPr>
                      <w:b/>
                      <w:bCs/>
                    </w:rPr>
                    <w:t>Girls GER</w:t>
                  </w:r>
                </w:p>
              </w:tc>
              <w:tc>
                <w:tcPr>
                  <w:tcW w:w="1418" w:type="dxa"/>
                  <w:shd w:val="clear" w:color="auto" w:fill="007C89"/>
                </w:tcPr>
                <w:p w14:paraId="7E837D83" w14:textId="4D9F7164" w:rsidR="00FD6F88" w:rsidRPr="00ED0079" w:rsidRDefault="00FD6F88" w:rsidP="00EA4AC1">
                  <w:pPr>
                    <w:pStyle w:val="Tablecolumnheading"/>
                    <w:keepNext w:val="0"/>
                    <w:ind w:left="45"/>
                    <w:rPr>
                      <w:b/>
                    </w:rPr>
                  </w:pPr>
                  <w:r w:rsidRPr="00AE5826">
                    <w:rPr>
                      <w:b/>
                      <w:bCs/>
                    </w:rPr>
                    <w:t>Boys NER</w:t>
                  </w:r>
                </w:p>
              </w:tc>
              <w:tc>
                <w:tcPr>
                  <w:tcW w:w="1276" w:type="dxa"/>
                  <w:gridSpan w:val="2"/>
                  <w:shd w:val="clear" w:color="auto" w:fill="007C89"/>
                </w:tcPr>
                <w:p w14:paraId="1572FD02" w14:textId="2F2670F5" w:rsidR="00FD6F88" w:rsidRPr="00ED0079" w:rsidRDefault="00FD6F88" w:rsidP="00EA4AC1">
                  <w:pPr>
                    <w:pStyle w:val="Tablecolumnheading"/>
                    <w:keepNext w:val="0"/>
                    <w:ind w:left="34"/>
                    <w:rPr>
                      <w:b/>
                    </w:rPr>
                  </w:pPr>
                  <w:r w:rsidRPr="00AE5826">
                    <w:rPr>
                      <w:b/>
                      <w:bCs/>
                    </w:rPr>
                    <w:t>Girls NER</w:t>
                  </w:r>
                </w:p>
              </w:tc>
            </w:tr>
            <w:tr w:rsidR="00FD6F88" w:rsidRPr="003A7698" w14:paraId="1A49BA0C" w14:textId="77777777" w:rsidTr="00EF08BA">
              <w:trPr>
                <w:gridAfter w:val="1"/>
                <w:wAfter w:w="284" w:type="dxa"/>
                <w:trHeight w:val="343"/>
              </w:trPr>
              <w:tc>
                <w:tcPr>
                  <w:tcW w:w="1719" w:type="dxa"/>
                </w:tcPr>
                <w:p w14:paraId="5DFBA93F" w14:textId="77777777" w:rsidR="00FD6F88" w:rsidRPr="00950CD1" w:rsidRDefault="00FD6F88" w:rsidP="00B9532A">
                  <w:pPr>
                    <w:pStyle w:val="Tablebodytext"/>
                    <w:spacing w:before="120"/>
                    <w:ind w:left="176"/>
                    <w:rPr>
                      <w:color w:val="auto"/>
                    </w:rPr>
                  </w:pPr>
                  <w:r w:rsidRPr="00950CD1">
                    <w:rPr>
                      <w:color w:val="auto"/>
                    </w:rPr>
                    <w:t>Option a</w:t>
                  </w:r>
                </w:p>
              </w:tc>
              <w:tc>
                <w:tcPr>
                  <w:tcW w:w="1352" w:type="dxa"/>
                </w:tcPr>
                <w:p w14:paraId="1A98CE4D" w14:textId="2A08353E" w:rsidR="00FD6F88" w:rsidRPr="00950CD1" w:rsidRDefault="00FD6F88" w:rsidP="00B9532A">
                  <w:pPr>
                    <w:pStyle w:val="Tablebodytext"/>
                    <w:tabs>
                      <w:tab w:val="right" w:pos="1008"/>
                    </w:tabs>
                    <w:spacing w:before="120"/>
                    <w:ind w:left="158" w:right="128" w:hanging="158"/>
                    <w:jc w:val="right"/>
                    <w:rPr>
                      <w:color w:val="auto"/>
                    </w:rPr>
                  </w:pPr>
                  <w:r w:rsidRPr="00950CD1">
                    <w:rPr>
                      <w:color w:val="auto"/>
                    </w:rPr>
                    <w:t>92%</w:t>
                  </w:r>
                </w:p>
              </w:tc>
              <w:tc>
                <w:tcPr>
                  <w:tcW w:w="1465" w:type="dxa"/>
                </w:tcPr>
                <w:p w14:paraId="732F0F79" w14:textId="3FF15A91" w:rsidR="00FD6F88" w:rsidRPr="00950CD1" w:rsidRDefault="00FD6F88" w:rsidP="00B9532A">
                  <w:pPr>
                    <w:pStyle w:val="Tablebodytext"/>
                    <w:tabs>
                      <w:tab w:val="right" w:pos="1074"/>
                    </w:tabs>
                    <w:spacing w:before="120"/>
                    <w:ind w:left="82" w:right="164"/>
                    <w:jc w:val="right"/>
                    <w:rPr>
                      <w:color w:val="auto"/>
                    </w:rPr>
                  </w:pPr>
                  <w:r w:rsidRPr="00950CD1">
                    <w:rPr>
                      <w:color w:val="auto"/>
                    </w:rPr>
                    <w:t>98%</w:t>
                  </w:r>
                </w:p>
              </w:tc>
              <w:tc>
                <w:tcPr>
                  <w:tcW w:w="1418" w:type="dxa"/>
                </w:tcPr>
                <w:p w14:paraId="6F719B4D" w14:textId="5146FC46" w:rsidR="00FD6F88" w:rsidRPr="00950CD1" w:rsidRDefault="00FD6F88" w:rsidP="00B9532A">
                  <w:pPr>
                    <w:pStyle w:val="Tablebodytext"/>
                    <w:tabs>
                      <w:tab w:val="right" w:pos="885"/>
                    </w:tabs>
                    <w:spacing w:before="120"/>
                    <w:ind w:left="45" w:right="176"/>
                    <w:jc w:val="right"/>
                    <w:rPr>
                      <w:color w:val="auto"/>
                    </w:rPr>
                  </w:pPr>
                  <w:r w:rsidRPr="00950CD1">
                    <w:rPr>
                      <w:color w:val="auto"/>
                    </w:rPr>
                    <w:t>57%</w:t>
                  </w:r>
                </w:p>
              </w:tc>
              <w:tc>
                <w:tcPr>
                  <w:tcW w:w="992" w:type="dxa"/>
                </w:tcPr>
                <w:p w14:paraId="745FCD09" w14:textId="7FA63E7C" w:rsidR="00FD6F88" w:rsidRPr="00950CD1" w:rsidRDefault="00FD6F88" w:rsidP="00B9532A">
                  <w:pPr>
                    <w:pStyle w:val="Tablebodytext"/>
                    <w:tabs>
                      <w:tab w:val="right" w:pos="583"/>
                    </w:tabs>
                    <w:spacing w:before="120"/>
                    <w:ind w:left="-32" w:firstLine="52"/>
                    <w:jc w:val="right"/>
                    <w:rPr>
                      <w:color w:val="auto"/>
                    </w:rPr>
                  </w:pPr>
                  <w:r w:rsidRPr="00950CD1">
                    <w:rPr>
                      <w:color w:val="auto"/>
                    </w:rPr>
                    <w:t>82%</w:t>
                  </w:r>
                </w:p>
              </w:tc>
            </w:tr>
            <w:tr w:rsidR="00FD6F88" w:rsidRPr="003A7698" w14:paraId="7727E081" w14:textId="77777777" w:rsidTr="00EF08BA">
              <w:trPr>
                <w:gridAfter w:val="1"/>
                <w:wAfter w:w="284" w:type="dxa"/>
                <w:trHeight w:val="358"/>
              </w:trPr>
              <w:tc>
                <w:tcPr>
                  <w:tcW w:w="1719" w:type="dxa"/>
                </w:tcPr>
                <w:p w14:paraId="197327DE" w14:textId="77777777" w:rsidR="00FD6F88" w:rsidRPr="00950CD1" w:rsidRDefault="00FD6F88" w:rsidP="00B9532A">
                  <w:pPr>
                    <w:pStyle w:val="Tablebodytext"/>
                    <w:spacing w:before="120"/>
                    <w:ind w:left="176"/>
                    <w:rPr>
                      <w:color w:val="auto"/>
                    </w:rPr>
                  </w:pPr>
                  <w:r w:rsidRPr="00950CD1">
                    <w:rPr>
                      <w:color w:val="auto"/>
                    </w:rPr>
                    <w:t>Option b</w:t>
                  </w:r>
                </w:p>
              </w:tc>
              <w:tc>
                <w:tcPr>
                  <w:tcW w:w="1352" w:type="dxa"/>
                </w:tcPr>
                <w:p w14:paraId="71CD2A64" w14:textId="55CB758F" w:rsidR="00FD6F88" w:rsidRPr="00950CD1" w:rsidRDefault="00FD6F88" w:rsidP="00B9532A">
                  <w:pPr>
                    <w:pStyle w:val="Tablebodytext"/>
                    <w:tabs>
                      <w:tab w:val="right" w:pos="1008"/>
                    </w:tabs>
                    <w:spacing w:before="120"/>
                    <w:ind w:left="158" w:right="128" w:hanging="158"/>
                    <w:jc w:val="right"/>
                    <w:rPr>
                      <w:color w:val="auto"/>
                    </w:rPr>
                  </w:pPr>
                  <w:r w:rsidRPr="00950CD1">
                    <w:rPr>
                      <w:color w:val="auto"/>
                    </w:rPr>
                    <w:t>105%</w:t>
                  </w:r>
                </w:p>
              </w:tc>
              <w:tc>
                <w:tcPr>
                  <w:tcW w:w="1465" w:type="dxa"/>
                </w:tcPr>
                <w:p w14:paraId="66E027C0" w14:textId="292C44A5" w:rsidR="00FD6F88" w:rsidRPr="00950CD1" w:rsidRDefault="00FD6F88" w:rsidP="00B9532A">
                  <w:pPr>
                    <w:pStyle w:val="Tablebodytext"/>
                    <w:tabs>
                      <w:tab w:val="right" w:pos="1074"/>
                    </w:tabs>
                    <w:spacing w:before="120"/>
                    <w:ind w:left="82" w:right="164"/>
                    <w:jc w:val="right"/>
                    <w:rPr>
                      <w:color w:val="auto"/>
                    </w:rPr>
                  </w:pPr>
                  <w:r w:rsidRPr="00950CD1">
                    <w:rPr>
                      <w:color w:val="auto"/>
                    </w:rPr>
                    <w:t>104%</w:t>
                  </w:r>
                </w:p>
              </w:tc>
              <w:tc>
                <w:tcPr>
                  <w:tcW w:w="1418" w:type="dxa"/>
                </w:tcPr>
                <w:p w14:paraId="4061E078" w14:textId="2B48DC9A" w:rsidR="00FD6F88" w:rsidRPr="00950CD1" w:rsidRDefault="00FD6F88" w:rsidP="00B9532A">
                  <w:pPr>
                    <w:pStyle w:val="Tablebodytext"/>
                    <w:tabs>
                      <w:tab w:val="right" w:pos="885"/>
                    </w:tabs>
                    <w:spacing w:before="120"/>
                    <w:ind w:left="45" w:right="176"/>
                    <w:jc w:val="right"/>
                    <w:rPr>
                      <w:color w:val="auto"/>
                    </w:rPr>
                  </w:pPr>
                  <w:r w:rsidRPr="00950CD1">
                    <w:rPr>
                      <w:color w:val="auto"/>
                    </w:rPr>
                    <w:t>90%</w:t>
                  </w:r>
                </w:p>
              </w:tc>
              <w:tc>
                <w:tcPr>
                  <w:tcW w:w="992" w:type="dxa"/>
                </w:tcPr>
                <w:p w14:paraId="05ED2EC5" w14:textId="77777777" w:rsidR="00FD6F88" w:rsidRPr="00950CD1" w:rsidRDefault="00FD6F88" w:rsidP="00B9532A">
                  <w:pPr>
                    <w:pStyle w:val="Tablebodytext"/>
                    <w:tabs>
                      <w:tab w:val="right" w:pos="583"/>
                    </w:tabs>
                    <w:spacing w:before="120"/>
                    <w:ind w:left="-32" w:firstLine="52"/>
                    <w:jc w:val="right"/>
                    <w:rPr>
                      <w:color w:val="auto"/>
                    </w:rPr>
                  </w:pPr>
                  <w:r w:rsidRPr="00950CD1">
                    <w:rPr>
                      <w:color w:val="auto"/>
                    </w:rPr>
                    <w:t>88%</w:t>
                  </w:r>
                </w:p>
              </w:tc>
            </w:tr>
            <w:tr w:rsidR="00FD6F88" w:rsidRPr="00D411F3" w14:paraId="6FEFB25A" w14:textId="77777777" w:rsidTr="00EF08BA">
              <w:trPr>
                <w:gridAfter w:val="1"/>
                <w:wAfter w:w="284" w:type="dxa"/>
                <w:trHeight w:val="358"/>
              </w:trPr>
              <w:tc>
                <w:tcPr>
                  <w:tcW w:w="1719" w:type="dxa"/>
                </w:tcPr>
                <w:p w14:paraId="4FDCA3C2" w14:textId="77777777" w:rsidR="00FD6F88" w:rsidRPr="00950CD1" w:rsidRDefault="00FD6F88" w:rsidP="00B9532A">
                  <w:pPr>
                    <w:pStyle w:val="Tablebodytext"/>
                    <w:spacing w:before="120"/>
                    <w:ind w:left="176"/>
                    <w:rPr>
                      <w:color w:val="auto"/>
                    </w:rPr>
                  </w:pPr>
                  <w:r w:rsidRPr="00950CD1">
                    <w:rPr>
                      <w:color w:val="auto"/>
                    </w:rPr>
                    <w:t>Option c</w:t>
                  </w:r>
                </w:p>
              </w:tc>
              <w:tc>
                <w:tcPr>
                  <w:tcW w:w="1352" w:type="dxa"/>
                </w:tcPr>
                <w:p w14:paraId="5E831CB8" w14:textId="6D8A598C" w:rsidR="00FD6F88" w:rsidRPr="00950CD1" w:rsidRDefault="00FD6F88" w:rsidP="00B9532A">
                  <w:pPr>
                    <w:pStyle w:val="Tablebodytext"/>
                    <w:tabs>
                      <w:tab w:val="right" w:pos="1008"/>
                    </w:tabs>
                    <w:spacing w:before="120"/>
                    <w:ind w:left="158" w:right="128" w:hanging="158"/>
                    <w:jc w:val="right"/>
                    <w:rPr>
                      <w:color w:val="auto"/>
                    </w:rPr>
                  </w:pPr>
                  <w:r w:rsidRPr="00950CD1">
                    <w:rPr>
                      <w:color w:val="auto"/>
                    </w:rPr>
                    <w:t>105%</w:t>
                  </w:r>
                </w:p>
              </w:tc>
              <w:tc>
                <w:tcPr>
                  <w:tcW w:w="1465" w:type="dxa"/>
                </w:tcPr>
                <w:p w14:paraId="66F1B77A" w14:textId="22522ADC" w:rsidR="00FD6F88" w:rsidRPr="00950CD1" w:rsidRDefault="00FD6F88" w:rsidP="00B9532A">
                  <w:pPr>
                    <w:pStyle w:val="Tablebodytext"/>
                    <w:tabs>
                      <w:tab w:val="right" w:pos="1074"/>
                    </w:tabs>
                    <w:spacing w:before="120"/>
                    <w:ind w:left="82" w:right="164"/>
                    <w:jc w:val="right"/>
                    <w:rPr>
                      <w:color w:val="auto"/>
                    </w:rPr>
                  </w:pPr>
                  <w:r w:rsidRPr="00950CD1">
                    <w:rPr>
                      <w:color w:val="auto"/>
                    </w:rPr>
                    <w:t>85%</w:t>
                  </w:r>
                </w:p>
              </w:tc>
              <w:tc>
                <w:tcPr>
                  <w:tcW w:w="1418" w:type="dxa"/>
                </w:tcPr>
                <w:p w14:paraId="6218AE17" w14:textId="2543CB40" w:rsidR="00FD6F88" w:rsidRPr="00950CD1" w:rsidRDefault="00FD6F88" w:rsidP="00B9532A">
                  <w:pPr>
                    <w:pStyle w:val="Tablebodytext"/>
                    <w:tabs>
                      <w:tab w:val="right" w:pos="885"/>
                    </w:tabs>
                    <w:spacing w:before="120"/>
                    <w:ind w:left="45" w:right="176"/>
                    <w:jc w:val="right"/>
                    <w:rPr>
                      <w:color w:val="auto"/>
                    </w:rPr>
                  </w:pPr>
                  <w:r w:rsidRPr="00950CD1">
                    <w:rPr>
                      <w:color w:val="auto"/>
                    </w:rPr>
                    <w:t>103%</w:t>
                  </w:r>
                </w:p>
              </w:tc>
              <w:tc>
                <w:tcPr>
                  <w:tcW w:w="992" w:type="dxa"/>
                </w:tcPr>
                <w:p w14:paraId="67DBA256" w14:textId="77777777" w:rsidR="00FD6F88" w:rsidRPr="00950CD1" w:rsidRDefault="00FD6F88" w:rsidP="00B9532A">
                  <w:pPr>
                    <w:pStyle w:val="Tablebodytext"/>
                    <w:tabs>
                      <w:tab w:val="right" w:pos="583"/>
                    </w:tabs>
                    <w:spacing w:before="120"/>
                    <w:ind w:left="-32" w:firstLine="52"/>
                    <w:jc w:val="right"/>
                    <w:rPr>
                      <w:color w:val="auto"/>
                    </w:rPr>
                  </w:pPr>
                  <w:r w:rsidRPr="00950CD1">
                    <w:rPr>
                      <w:color w:val="auto"/>
                    </w:rPr>
                    <w:t>96%</w:t>
                  </w:r>
                </w:p>
              </w:tc>
            </w:tr>
            <w:tr w:rsidR="00FD6F88" w:rsidRPr="00D411F3" w14:paraId="0DA5C043" w14:textId="77777777" w:rsidTr="00EF08BA">
              <w:trPr>
                <w:gridAfter w:val="1"/>
                <w:wAfter w:w="284" w:type="dxa"/>
                <w:trHeight w:val="343"/>
              </w:trPr>
              <w:tc>
                <w:tcPr>
                  <w:tcW w:w="1719" w:type="dxa"/>
                </w:tcPr>
                <w:p w14:paraId="599A233A" w14:textId="77777777" w:rsidR="00FD6F88" w:rsidRPr="00950CD1" w:rsidRDefault="00FD6F88" w:rsidP="00B9532A">
                  <w:pPr>
                    <w:pStyle w:val="Tablebodytext"/>
                    <w:spacing w:before="120"/>
                    <w:ind w:left="176"/>
                    <w:rPr>
                      <w:color w:val="auto"/>
                    </w:rPr>
                  </w:pPr>
                  <w:r w:rsidRPr="00950CD1">
                    <w:rPr>
                      <w:color w:val="auto"/>
                    </w:rPr>
                    <w:t>Option d</w:t>
                  </w:r>
                </w:p>
              </w:tc>
              <w:tc>
                <w:tcPr>
                  <w:tcW w:w="1352" w:type="dxa"/>
                </w:tcPr>
                <w:p w14:paraId="09463DB8" w14:textId="0D0CD26D" w:rsidR="00FD6F88" w:rsidRPr="00950CD1" w:rsidRDefault="00FD6F88" w:rsidP="00B9532A">
                  <w:pPr>
                    <w:pStyle w:val="Tablebodytext"/>
                    <w:tabs>
                      <w:tab w:val="right" w:pos="1008"/>
                    </w:tabs>
                    <w:spacing w:before="120"/>
                    <w:ind w:left="158" w:right="128" w:hanging="158"/>
                    <w:jc w:val="right"/>
                    <w:rPr>
                      <w:color w:val="auto"/>
                    </w:rPr>
                  </w:pPr>
                  <w:r w:rsidRPr="00950CD1">
                    <w:rPr>
                      <w:color w:val="auto"/>
                    </w:rPr>
                    <w:t>85%</w:t>
                  </w:r>
                </w:p>
              </w:tc>
              <w:tc>
                <w:tcPr>
                  <w:tcW w:w="1465" w:type="dxa"/>
                </w:tcPr>
                <w:p w14:paraId="66BA608E" w14:textId="77FE6746" w:rsidR="00FD6F88" w:rsidRPr="00950CD1" w:rsidRDefault="00FD6F88" w:rsidP="00B9532A">
                  <w:pPr>
                    <w:pStyle w:val="Tablebodytext"/>
                    <w:tabs>
                      <w:tab w:val="right" w:pos="1074"/>
                    </w:tabs>
                    <w:spacing w:before="120"/>
                    <w:ind w:left="82" w:right="164"/>
                    <w:jc w:val="right"/>
                    <w:rPr>
                      <w:color w:val="auto"/>
                    </w:rPr>
                  </w:pPr>
                  <w:r w:rsidRPr="00950CD1">
                    <w:rPr>
                      <w:color w:val="auto"/>
                    </w:rPr>
                    <w:t>115%</w:t>
                  </w:r>
                </w:p>
              </w:tc>
              <w:tc>
                <w:tcPr>
                  <w:tcW w:w="1418" w:type="dxa"/>
                </w:tcPr>
                <w:p w14:paraId="171727F1" w14:textId="34D91EC8" w:rsidR="00FD6F88" w:rsidRPr="00950CD1" w:rsidRDefault="00FD6F88" w:rsidP="00B9532A">
                  <w:pPr>
                    <w:pStyle w:val="Tablebodytext"/>
                    <w:tabs>
                      <w:tab w:val="right" w:pos="885"/>
                    </w:tabs>
                    <w:spacing w:before="120"/>
                    <w:ind w:left="45" w:right="176"/>
                    <w:jc w:val="right"/>
                    <w:rPr>
                      <w:color w:val="auto"/>
                    </w:rPr>
                  </w:pPr>
                  <w:r w:rsidRPr="00950CD1">
                    <w:rPr>
                      <w:color w:val="auto"/>
                    </w:rPr>
                    <w:t>88%</w:t>
                  </w:r>
                </w:p>
              </w:tc>
              <w:tc>
                <w:tcPr>
                  <w:tcW w:w="992" w:type="dxa"/>
                </w:tcPr>
                <w:p w14:paraId="6E6401CB" w14:textId="3BF3920E" w:rsidR="00FD6F88" w:rsidRPr="00950CD1" w:rsidRDefault="00FD6F88" w:rsidP="00B9532A">
                  <w:pPr>
                    <w:pStyle w:val="Tablebodytext"/>
                    <w:tabs>
                      <w:tab w:val="right" w:pos="583"/>
                    </w:tabs>
                    <w:spacing w:before="120"/>
                    <w:ind w:left="-32" w:firstLine="52"/>
                    <w:jc w:val="right"/>
                    <w:rPr>
                      <w:color w:val="auto"/>
                    </w:rPr>
                  </w:pPr>
                  <w:r w:rsidRPr="00950CD1">
                    <w:rPr>
                      <w:color w:val="auto"/>
                    </w:rPr>
                    <w:t>102%</w:t>
                  </w:r>
                </w:p>
              </w:tc>
            </w:tr>
          </w:tbl>
          <w:p w14:paraId="6560360C" w14:textId="4036FFB3" w:rsidR="00FD6F88" w:rsidRDefault="00FD6F88" w:rsidP="00EA4AC1">
            <w:pPr>
              <w:pStyle w:val="Boxtext"/>
            </w:pPr>
          </w:p>
          <w:p w14:paraId="37064E17" w14:textId="7A89A170" w:rsidR="00FD6F88" w:rsidRDefault="00FD6F88" w:rsidP="00EA4AC1">
            <w:pPr>
              <w:pStyle w:val="Boxtext"/>
            </w:pPr>
          </w:p>
          <w:p w14:paraId="07EE9922" w14:textId="77777777" w:rsidR="00FD6F88" w:rsidRDefault="00FD6F88" w:rsidP="00EA4AC1">
            <w:pPr>
              <w:pStyle w:val="Boxtext"/>
            </w:pPr>
          </w:p>
          <w:p w14:paraId="7E070B69" w14:textId="77777777" w:rsidR="00FD6F88" w:rsidRDefault="00FD6F88" w:rsidP="00EA4AC1">
            <w:pPr>
              <w:pStyle w:val="Boxtext"/>
              <w:rPr>
                <w:b/>
                <w:color w:val="231F20"/>
                <w:sz w:val="24"/>
              </w:rPr>
            </w:pPr>
          </w:p>
          <w:p w14:paraId="6F4DB99F" w14:textId="77777777" w:rsidR="00FD6F88" w:rsidRDefault="00FD6F88" w:rsidP="00EA4AC1">
            <w:pPr>
              <w:pStyle w:val="Boxtext"/>
              <w:rPr>
                <w:b/>
                <w:color w:val="231F20"/>
                <w:sz w:val="24"/>
              </w:rPr>
            </w:pPr>
          </w:p>
          <w:p w14:paraId="1D7B715F" w14:textId="62DDF83C" w:rsidR="00734AB5" w:rsidRPr="0076572C" w:rsidRDefault="00734AB5" w:rsidP="00EA4AC1">
            <w:pPr>
              <w:pStyle w:val="Boxtext"/>
              <w:rPr>
                <w:color w:val="231F20"/>
                <w:sz w:val="24"/>
              </w:rPr>
            </w:pPr>
            <w:r w:rsidRPr="00B7355A">
              <w:rPr>
                <w:b/>
                <w:color w:val="231F20"/>
                <w:sz w:val="24"/>
              </w:rPr>
              <w:t>Check your answer.</w:t>
            </w:r>
          </w:p>
          <w:p w14:paraId="3284EEC1" w14:textId="77777777" w:rsidR="00B7355A" w:rsidRPr="0067736E" w:rsidRDefault="00B7355A" w:rsidP="00EA4AC1">
            <w:pPr>
              <w:pStyle w:val="Boxtext"/>
            </w:pPr>
            <w:r w:rsidRPr="0067736E">
              <w:t xml:space="preserve">The average GER in developing countries in primary education is 105 per cent </w:t>
            </w:r>
            <w:r>
              <w:t xml:space="preserve">for </w:t>
            </w:r>
            <w:r w:rsidRPr="0067736E">
              <w:t xml:space="preserve">boys and 104 per cent </w:t>
            </w:r>
            <w:r>
              <w:t xml:space="preserve">for </w:t>
            </w:r>
            <w:r w:rsidRPr="0067736E">
              <w:t>girls (Option b).</w:t>
            </w:r>
          </w:p>
          <w:p w14:paraId="30C82686" w14:textId="77777777" w:rsidR="00B7355A" w:rsidRDefault="00B7355A" w:rsidP="00EA4AC1">
            <w:pPr>
              <w:pStyle w:val="Boxtext"/>
            </w:pPr>
            <w:r w:rsidRPr="0067736E">
              <w:t xml:space="preserve">The average NER is 90 per cent for boys and 88 per cent for </w:t>
            </w:r>
            <w:r>
              <w:t>girls</w:t>
            </w:r>
            <w:r w:rsidRPr="0067736E">
              <w:t xml:space="preserve"> (Option b).</w:t>
            </w:r>
          </w:p>
          <w:p w14:paraId="615F49EE" w14:textId="1F44FA33" w:rsidR="00734AB5" w:rsidRPr="00813CAA" w:rsidRDefault="00B7355A" w:rsidP="00813CAA">
            <w:pPr>
              <w:pStyle w:val="Boxsource"/>
            </w:pPr>
            <w:r w:rsidRPr="00813CAA">
              <w:t xml:space="preserve">Source: UNESCO Institute for Statistics n.d., </w:t>
            </w:r>
            <w:hyperlink r:id="rId25" w:history="1">
              <w:r w:rsidRPr="00813CAA">
                <w:rPr>
                  <w:rStyle w:val="Hyperlink"/>
                  <w:color w:val="808285"/>
                  <w:u w:val="none"/>
                </w:rPr>
                <w:t xml:space="preserve">UIS Stat. </w:t>
              </w:r>
            </w:hyperlink>
          </w:p>
        </w:tc>
      </w:tr>
    </w:tbl>
    <w:p w14:paraId="56B3F9DF" w14:textId="77777777" w:rsidR="004C0365" w:rsidRDefault="004C0365" w:rsidP="004C0365">
      <w:pPr>
        <w:pStyle w:val="Paraspace"/>
      </w:pPr>
      <w:bookmarkStart w:id="14" w:name="_Toc370729629"/>
      <w:bookmarkStart w:id="15" w:name="_Toc370729766"/>
    </w:p>
    <w:p w14:paraId="3218E531" w14:textId="77777777" w:rsidR="005E0712" w:rsidRPr="00AE5826" w:rsidRDefault="005E0712" w:rsidP="00EA4AC1">
      <w:pPr>
        <w:pStyle w:val="Heading2"/>
        <w:keepNext w:val="0"/>
        <w:keepLines w:val="0"/>
      </w:pPr>
      <w:r w:rsidRPr="00AE5826">
        <w:t xml:space="preserve">Key issues </w:t>
      </w:r>
      <w:r>
        <w:t>in</w:t>
      </w:r>
      <w:r w:rsidRPr="00AE5826">
        <w:t xml:space="preserve"> primary education</w:t>
      </w:r>
      <w:bookmarkEnd w:id="14"/>
      <w:bookmarkEnd w:id="15"/>
    </w:p>
    <w:p w14:paraId="001D61AC" w14:textId="77777777" w:rsidR="005E0712" w:rsidRPr="00AE5826" w:rsidRDefault="005E0712" w:rsidP="00EA4AC1">
      <w:pPr>
        <w:pStyle w:val="BodyText"/>
        <w:widowControl/>
      </w:pPr>
      <w:r w:rsidRPr="00AE5826">
        <w:t>Equitable access, quality and completion of primary education are critical. Despite vast improvements in the enrolment rate globally, a large proportion of the school age population, especially girls, is not on track to complete the primary level</w:t>
      </w:r>
      <w:r>
        <w:t xml:space="preserve"> in many countries</w:t>
      </w:r>
      <w:r w:rsidRPr="00AE5826">
        <w:t>.</w:t>
      </w:r>
    </w:p>
    <w:p w14:paraId="0238A0EF" w14:textId="77777777" w:rsidR="005E0712" w:rsidRDefault="005E0712" w:rsidP="00EA4AC1">
      <w:pPr>
        <w:pStyle w:val="BodyText"/>
        <w:widowControl/>
      </w:pPr>
      <w:r w:rsidRPr="00AE5826">
        <w:t>Access, participation and completion are all important indicators to track. Disaggregated indicators such as the NER, GER, GPI, primary drop-out, grade repetition and primary completion rates are all tools to show how equitable and efficient a school system is.</w:t>
      </w:r>
    </w:p>
    <w:p w14:paraId="370935BC" w14:textId="77777777" w:rsidR="00B9532A" w:rsidRDefault="00B9532A" w:rsidP="00B9532A">
      <w:pPr>
        <w:pStyle w:val="Paraspace"/>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FC3A17" w:rsidRPr="0076572C" w14:paraId="37EA7F77" w14:textId="77777777" w:rsidTr="00950CD1">
        <w:trPr>
          <w:trHeight w:val="3969"/>
        </w:trPr>
        <w:tc>
          <w:tcPr>
            <w:tcW w:w="8931" w:type="dxa"/>
            <w:shd w:val="clear" w:color="auto" w:fill="D9D9D9" w:themeFill="background1" w:themeFillShade="D9"/>
          </w:tcPr>
          <w:p w14:paraId="31012AA4" w14:textId="77777777" w:rsidR="00FC3A17" w:rsidRPr="00673528" w:rsidRDefault="00FC3A17" w:rsidP="00EA4AC1">
            <w:pPr>
              <w:pStyle w:val="Boxheading"/>
              <w:ind w:right="318"/>
              <w:rPr>
                <w:rFonts w:eastAsiaTheme="majorEastAsia"/>
              </w:rPr>
            </w:pPr>
            <w:r w:rsidRPr="00673528">
              <w:drawing>
                <wp:anchor distT="0" distB="0" distL="114300" distR="114300" simplePos="0" relativeHeight="251772928" behindDoc="1" locked="0" layoutInCell="1" allowOverlap="1" wp14:anchorId="4807B121" wp14:editId="6A231886">
                  <wp:simplePos x="0" y="0"/>
                  <wp:positionH relativeFrom="column">
                    <wp:posOffset>4157980</wp:posOffset>
                  </wp:positionH>
                  <wp:positionV relativeFrom="paragraph">
                    <wp:posOffset>252095</wp:posOffset>
                  </wp:positionV>
                  <wp:extent cx="1106170" cy="842010"/>
                  <wp:effectExtent l="0" t="0" r="0" b="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1DFF184A" w14:textId="77777777" w:rsidR="00B7355A" w:rsidRPr="00950CD1" w:rsidRDefault="00B7355A" w:rsidP="00EA4AC1">
            <w:pPr>
              <w:pStyle w:val="Tabletext0"/>
              <w:ind w:left="284" w:right="2105"/>
              <w:rPr>
                <w:b/>
                <w:sz w:val="23"/>
              </w:rPr>
            </w:pPr>
            <w:r w:rsidRPr="00950CD1">
              <w:rPr>
                <w:b/>
                <w:sz w:val="23"/>
              </w:rPr>
              <w:t>Compare these case studies:</w:t>
            </w:r>
          </w:p>
          <w:p w14:paraId="5E53946A" w14:textId="3F41DFD1" w:rsidR="00B7355A" w:rsidRPr="00813CAA" w:rsidRDefault="00614C33" w:rsidP="00813CAA">
            <w:pPr>
              <w:pStyle w:val="Link"/>
              <w:numPr>
                <w:ilvl w:val="0"/>
                <w:numId w:val="13"/>
              </w:numPr>
              <w:rPr>
                <w:rStyle w:val="Hyperlink"/>
                <w:color w:val="007C89"/>
                <w:u w:val="none"/>
              </w:rPr>
            </w:pPr>
            <w:hyperlink r:id="rId26" w:history="1">
              <w:r w:rsidR="00B7355A" w:rsidRPr="00813CAA">
                <w:rPr>
                  <w:rStyle w:val="Hyperlink"/>
                  <w:color w:val="007C89"/>
                  <w:u w:val="none"/>
                </w:rPr>
                <w:t>Primary school on the island of Manono in Samoa</w:t>
              </w:r>
            </w:hyperlink>
          </w:p>
          <w:p w14:paraId="477195ED" w14:textId="124C36D0" w:rsidR="00B7355A" w:rsidRPr="00813CAA" w:rsidRDefault="00614C33" w:rsidP="00813CAA">
            <w:pPr>
              <w:pStyle w:val="Link"/>
              <w:numPr>
                <w:ilvl w:val="0"/>
                <w:numId w:val="13"/>
              </w:numPr>
            </w:pPr>
            <w:hyperlink r:id="rId27" w:history="1">
              <w:r w:rsidR="00B7355A" w:rsidRPr="00813CAA">
                <w:rPr>
                  <w:rStyle w:val="Hyperlink"/>
                  <w:color w:val="007C89"/>
                  <w:u w:val="none"/>
                </w:rPr>
                <w:t xml:space="preserve">Malawi </w:t>
              </w:r>
              <w:r w:rsidR="008E511B">
                <w:rPr>
                  <w:rStyle w:val="Hyperlink"/>
                  <w:color w:val="007C89"/>
                  <w:u w:val="none"/>
                </w:rPr>
                <w:t>b</w:t>
              </w:r>
              <w:r w:rsidR="00B7355A" w:rsidRPr="00813CAA">
                <w:rPr>
                  <w:rStyle w:val="Hyperlink"/>
                  <w:color w:val="007C89"/>
                  <w:u w:val="none"/>
                </w:rPr>
                <w:t>log post on teacher shortage</w:t>
              </w:r>
            </w:hyperlink>
          </w:p>
          <w:p w14:paraId="4E3B6CEB" w14:textId="1F4F7491" w:rsidR="00FC3A17" w:rsidRPr="00950CD1" w:rsidRDefault="00B7355A" w:rsidP="00EA4AC1">
            <w:pPr>
              <w:pStyle w:val="Boxtext"/>
            </w:pPr>
            <w:r w:rsidRPr="00950CD1">
              <w:t>Watch the short film of children at their primary school on the small island of Manono in Samoa and contrast their situation with the children in the Malawi blog post. Complete the activity by reading the short blog. Take note of the differences of the class size statistics.</w:t>
            </w:r>
          </w:p>
          <w:p w14:paraId="4C5A1BD4" w14:textId="5C00FDD6" w:rsidR="00FC3A17" w:rsidRPr="00813CAA" w:rsidRDefault="00950CD1" w:rsidP="008E511B">
            <w:pPr>
              <w:pStyle w:val="Boxsource"/>
            </w:pPr>
            <w:r w:rsidRPr="00813CAA">
              <w:t xml:space="preserve">Sources: </w:t>
            </w:r>
            <w:r w:rsidR="008E511B" w:rsidRPr="00813CAA">
              <w:t xml:space="preserve">We Said Go Travel 2011, </w:t>
            </w:r>
            <w:r w:rsidR="008E511B" w:rsidRPr="008E511B">
              <w:rPr>
                <w:rStyle w:val="Hyperlink"/>
                <w:color w:val="808285"/>
                <w:u w:val="none"/>
              </w:rPr>
              <w:t>Manono Island schoolchildren</w:t>
            </w:r>
            <w:r w:rsidR="008E511B">
              <w:rPr>
                <w:rStyle w:val="Hyperlink"/>
                <w:color w:val="808285"/>
                <w:u w:val="none"/>
              </w:rPr>
              <w:t>; A</w:t>
            </w:r>
            <w:r w:rsidRPr="00813CAA">
              <w:t xml:space="preserve">ntoninis 2014, </w:t>
            </w:r>
            <w:r w:rsidRPr="008E511B">
              <w:rPr>
                <w:rStyle w:val="Hyperlink"/>
                <w:color w:val="808285"/>
                <w:u w:val="none"/>
              </w:rPr>
              <w:t>Malawi: A shortage of teachers is putting children’s learning at risk</w:t>
            </w:r>
            <w:r w:rsidR="008E511B">
              <w:t>.</w:t>
            </w:r>
          </w:p>
        </w:tc>
      </w:tr>
    </w:tbl>
    <w:p w14:paraId="676C6B2A" w14:textId="77777777" w:rsidR="005E0712" w:rsidRPr="006865A1" w:rsidRDefault="005E0712" w:rsidP="00EA4AC1">
      <w:pPr>
        <w:pStyle w:val="Heading1"/>
        <w:widowControl/>
        <w:tabs>
          <w:tab w:val="clear" w:pos="709"/>
          <w:tab w:val="left" w:pos="851"/>
        </w:tabs>
        <w:spacing w:before="120"/>
        <w:ind w:left="851" w:hanging="851"/>
      </w:pPr>
      <w:bookmarkStart w:id="16" w:name="_Toc492047145"/>
      <w:bookmarkStart w:id="17" w:name="_Toc496276451"/>
      <w:bookmarkStart w:id="18" w:name="_Toc522804282"/>
      <w:r w:rsidRPr="006865A1">
        <w:t>Secondary education</w:t>
      </w:r>
      <w:bookmarkEnd w:id="16"/>
      <w:bookmarkEnd w:id="17"/>
      <w:bookmarkEnd w:id="18"/>
    </w:p>
    <w:p w14:paraId="45581C26" w14:textId="77777777" w:rsidR="005E0712" w:rsidRDefault="005E0712" w:rsidP="00EA4AC1">
      <w:pPr>
        <w:pStyle w:val="Heading2"/>
        <w:keepNext w:val="0"/>
        <w:keepLines w:val="0"/>
      </w:pPr>
      <w:r>
        <w:t>What is secondary education?</w:t>
      </w:r>
    </w:p>
    <w:p w14:paraId="603CBB3D" w14:textId="22EAEDC9" w:rsidR="005E0712" w:rsidRPr="00AE5826" w:rsidRDefault="005E0712" w:rsidP="00EA4AC1">
      <w:pPr>
        <w:pStyle w:val="BodyText"/>
        <w:widowControl/>
      </w:pPr>
      <w:r w:rsidRPr="00AE5826">
        <w:t xml:space="preserve">Secondary education typically relates to the six years of schooling from Years 7 to 12. This is often broken into two parts: </w:t>
      </w:r>
      <w:r>
        <w:t>j</w:t>
      </w:r>
      <w:r w:rsidRPr="00AE5826">
        <w:t xml:space="preserve">unior </w:t>
      </w:r>
      <w:r>
        <w:t>s</w:t>
      </w:r>
      <w:r w:rsidRPr="00AE5826">
        <w:t xml:space="preserve">econdary (Years 7-9); and </w:t>
      </w:r>
      <w:r>
        <w:t>s</w:t>
      </w:r>
      <w:r w:rsidRPr="00AE5826">
        <w:t xml:space="preserve">enior </w:t>
      </w:r>
      <w:r>
        <w:t>s</w:t>
      </w:r>
      <w:r w:rsidRPr="00AE5826">
        <w:t xml:space="preserve">econdary (Years 10-12). </w:t>
      </w:r>
      <w:r>
        <w:t xml:space="preserve"> </w:t>
      </w:r>
      <w:r w:rsidRPr="00AE5826">
        <w:t xml:space="preserve">In terms of global targets this is important because, as noted earlier, </w:t>
      </w:r>
      <w:r>
        <w:t>‘b</w:t>
      </w:r>
      <w:r w:rsidRPr="00AE5826">
        <w:t xml:space="preserve">asic </w:t>
      </w:r>
      <w:r>
        <w:t>e</w:t>
      </w:r>
      <w:r w:rsidRPr="00AE5826">
        <w:t>ducation</w:t>
      </w:r>
      <w:r>
        <w:t>’</w:t>
      </w:r>
      <w:r w:rsidRPr="00AE5826">
        <w:t xml:space="preserve"> is often defined as the completion of eight or nine years of schooling (primary plus </w:t>
      </w:r>
      <w:r>
        <w:t>j</w:t>
      </w:r>
      <w:r w:rsidRPr="00AE5826">
        <w:t xml:space="preserve">unior </w:t>
      </w:r>
      <w:r>
        <w:t>s</w:t>
      </w:r>
      <w:r w:rsidRPr="00AE5826">
        <w:t xml:space="preserve">econdary). The </w:t>
      </w:r>
      <w:r>
        <w:t xml:space="preserve">SDG </w:t>
      </w:r>
      <w:r w:rsidRPr="00AE5826">
        <w:t>target calls for free, equitable and quality primary and secondary education for all girls and boys.</w:t>
      </w:r>
    </w:p>
    <w:p w14:paraId="14E80069" w14:textId="77777777" w:rsidR="005E0712" w:rsidRDefault="005E0712" w:rsidP="00EA4AC1">
      <w:pPr>
        <w:pStyle w:val="BodyText"/>
        <w:widowControl/>
      </w:pPr>
      <w:r w:rsidRPr="00AE5826">
        <w:t xml:space="preserve">Many secondary school systems introduce technical and vocational subjects, facilitating learning pathways into apprenticeships and technical training, as well as traditional academic subjects. </w:t>
      </w:r>
    </w:p>
    <w:p w14:paraId="2364692E" w14:textId="77777777" w:rsidR="005E0712" w:rsidRPr="00AE5826" w:rsidRDefault="005E0712" w:rsidP="00EA4AC1">
      <w:pPr>
        <w:pStyle w:val="BodyText"/>
        <w:widowControl/>
      </w:pPr>
      <w:r w:rsidRPr="00AE5826">
        <w:t>The key indicators in secondary education relate to transition points or interconnections, including:</w:t>
      </w:r>
    </w:p>
    <w:p w14:paraId="5E23C38E" w14:textId="77777777" w:rsidR="005E0712" w:rsidRPr="00CE3347" w:rsidRDefault="005E0712" w:rsidP="00EA4AC1">
      <w:pPr>
        <w:pStyle w:val="ListParagraph"/>
        <w:widowControl/>
        <w:numPr>
          <w:ilvl w:val="0"/>
          <w:numId w:val="10"/>
        </w:numPr>
        <w:spacing w:before="0"/>
      </w:pPr>
      <w:r w:rsidRPr="00CE3347">
        <w:t>primary–secondary transition rate (the proportion of primary completers who enrol in secondary)</w:t>
      </w:r>
    </w:p>
    <w:p w14:paraId="1D12011E" w14:textId="77777777" w:rsidR="005E0712" w:rsidRPr="00CE3347" w:rsidRDefault="005E0712" w:rsidP="00EA4AC1">
      <w:pPr>
        <w:pStyle w:val="ListParagraph"/>
        <w:widowControl/>
        <w:numPr>
          <w:ilvl w:val="0"/>
          <w:numId w:val="10"/>
        </w:numPr>
        <w:spacing w:before="0"/>
      </w:pPr>
      <w:r w:rsidRPr="00CE3347">
        <w:t>junior secondary–senior secondary transition rate</w:t>
      </w:r>
    </w:p>
    <w:p w14:paraId="56C1B044" w14:textId="77777777" w:rsidR="005E0712" w:rsidRPr="00AE5826" w:rsidRDefault="005E0712" w:rsidP="00EA4AC1">
      <w:pPr>
        <w:pStyle w:val="LastBulletpoint0"/>
        <w:widowControl/>
        <w:numPr>
          <w:ilvl w:val="0"/>
          <w:numId w:val="10"/>
        </w:numPr>
      </w:pPr>
      <w:r>
        <w:t>s</w:t>
      </w:r>
      <w:r w:rsidRPr="00AE5826">
        <w:t>econdary completion rate.</w:t>
      </w:r>
    </w:p>
    <w:p w14:paraId="5F940EC5" w14:textId="77777777" w:rsidR="005E0712" w:rsidRDefault="005E0712" w:rsidP="00EA4AC1">
      <w:pPr>
        <w:pStyle w:val="BodyText"/>
        <w:widowControl/>
      </w:pPr>
      <w:r w:rsidRPr="00AE5826">
        <w:t>Many countries have high stakes exams at these transition points.</w:t>
      </w:r>
    </w:p>
    <w:p w14:paraId="522BBED8" w14:textId="77777777" w:rsidR="00950CD1" w:rsidRPr="00831C3C" w:rsidRDefault="00950CD1" w:rsidP="00EA4AC1">
      <w:pPr>
        <w:pStyle w:val="Paraspace"/>
        <w:widowControl/>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950CD1" w14:paraId="065E0E96" w14:textId="77777777" w:rsidTr="00512E45">
        <w:trPr>
          <w:trHeight w:val="4499"/>
        </w:trPr>
        <w:tc>
          <w:tcPr>
            <w:tcW w:w="8926" w:type="dxa"/>
          </w:tcPr>
          <w:p w14:paraId="73454473" w14:textId="50BF14F8" w:rsidR="00950CD1" w:rsidRPr="007A029D" w:rsidRDefault="00950CD1" w:rsidP="00EA4AC1">
            <w:pPr>
              <w:pStyle w:val="Boxheading"/>
              <w:ind w:left="171"/>
            </w:pPr>
            <w:r w:rsidRPr="007A029D">
              <w:drawing>
                <wp:anchor distT="0" distB="0" distL="114300" distR="114300" simplePos="0" relativeHeight="251793408" behindDoc="1" locked="0" layoutInCell="1" allowOverlap="1" wp14:anchorId="41162C86" wp14:editId="0AB6EE32">
                  <wp:simplePos x="0" y="0"/>
                  <wp:positionH relativeFrom="column">
                    <wp:posOffset>4163695</wp:posOffset>
                  </wp:positionH>
                  <wp:positionV relativeFrom="paragraph">
                    <wp:posOffset>252730</wp:posOffset>
                  </wp:positionV>
                  <wp:extent cx="1106170" cy="8528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UNESCO definition of secondary education</w:t>
            </w:r>
          </w:p>
          <w:p w14:paraId="3D83A1E0" w14:textId="77777777" w:rsidR="00950CD1" w:rsidRPr="005A66F8" w:rsidRDefault="00950CD1" w:rsidP="00EA4AC1">
            <w:pPr>
              <w:pStyle w:val="BodyText"/>
              <w:widowControl/>
              <w:ind w:left="171" w:right="2159"/>
              <w:rPr>
                <w:sz w:val="23"/>
                <w:szCs w:val="23"/>
              </w:rPr>
            </w:pPr>
            <w:r w:rsidRPr="005A66F8">
              <w:rPr>
                <w:sz w:val="23"/>
                <w:szCs w:val="23"/>
              </w:rPr>
              <w:t>Secondary education is made up of two stages: lower and upper secondary.</w:t>
            </w:r>
          </w:p>
          <w:p w14:paraId="7DE5E54A" w14:textId="77777777" w:rsidR="00950CD1" w:rsidRDefault="00950CD1" w:rsidP="00512E45">
            <w:pPr>
              <w:pStyle w:val="BodyText"/>
              <w:widowControl/>
              <w:tabs>
                <w:tab w:val="left" w:pos="8392"/>
              </w:tabs>
              <w:ind w:left="171" w:right="318"/>
              <w:rPr>
                <w:sz w:val="23"/>
                <w:szCs w:val="23"/>
              </w:rPr>
            </w:pPr>
            <w:r w:rsidRPr="005A66F8">
              <w:rPr>
                <w:sz w:val="23"/>
                <w:szCs w:val="23"/>
              </w:rPr>
              <w:t>Lower secondary is generally designed to continue the basic programs of the primary level but the teaching is more typically subject-focused, requiring more specialised teachers for each subject area. The end of this level often coincides with the end of compulsory education.</w:t>
            </w:r>
          </w:p>
          <w:p w14:paraId="779A3CB1" w14:textId="77777777" w:rsidR="00950CD1" w:rsidRPr="00512E45" w:rsidRDefault="00950CD1" w:rsidP="00512E45">
            <w:pPr>
              <w:pStyle w:val="BodyText"/>
              <w:widowControl/>
              <w:tabs>
                <w:tab w:val="left" w:pos="8392"/>
              </w:tabs>
              <w:ind w:left="171" w:right="459"/>
              <w:rPr>
                <w:sz w:val="23"/>
                <w:szCs w:val="23"/>
              </w:rPr>
            </w:pPr>
            <w:r w:rsidRPr="00512E45">
              <w:rPr>
                <w:sz w:val="23"/>
                <w:szCs w:val="23"/>
              </w:rPr>
              <w:t>In upper secondary, the final stage of secondary education in most countries, instruction is often organised even more along subject lines, and teachers typically need a higher or more subject specific qualification than at lower secondary.</w:t>
            </w:r>
          </w:p>
          <w:p w14:paraId="6FE6DAA0" w14:textId="2566F847" w:rsidR="00950CD1" w:rsidRPr="00950CD1" w:rsidRDefault="00950CD1" w:rsidP="00EA4AC1">
            <w:pPr>
              <w:pStyle w:val="Boxsource"/>
              <w:ind w:left="171"/>
            </w:pPr>
            <w:r w:rsidRPr="00950CD1">
              <w:t xml:space="preserve">Source: UNESCO Institute for Statistics 2011c, </w:t>
            </w:r>
            <w:hyperlink r:id="rId28" w:history="1">
              <w:r w:rsidRPr="00950CD1">
                <w:rPr>
                  <w:rStyle w:val="Hyperlink"/>
                  <w:color w:val="808285"/>
                  <w:u w:val="none"/>
                </w:rPr>
                <w:t>ISCED level 2- lower secondary education</w:t>
              </w:r>
            </w:hyperlink>
            <w:r w:rsidRPr="00950CD1">
              <w:t xml:space="preserve">, pp. 33-37; 2011d, </w:t>
            </w:r>
            <w:hyperlink r:id="rId29" w:history="1">
              <w:r w:rsidRPr="00950CD1">
                <w:rPr>
                  <w:rStyle w:val="Hyperlink"/>
                  <w:color w:val="808285"/>
                  <w:u w:val="none"/>
                </w:rPr>
                <w:t>ISCED level 3- upper secondary education</w:t>
              </w:r>
            </w:hyperlink>
            <w:r w:rsidRPr="00950CD1">
              <w:t>, pp. 38-42.</w:t>
            </w:r>
          </w:p>
        </w:tc>
      </w:tr>
    </w:tbl>
    <w:p w14:paraId="7636E8CF" w14:textId="77777777" w:rsidR="009D1A06" w:rsidRDefault="009D1A06" w:rsidP="00EA4AC1">
      <w:pPr>
        <w:pStyle w:val="Paraspace"/>
        <w:widowControl/>
      </w:pPr>
    </w:p>
    <w:tbl>
      <w:tblPr>
        <w:tblStyle w:val="TableGrid"/>
        <w:tblW w:w="9072" w:type="dxa"/>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9072"/>
      </w:tblGrid>
      <w:tr w:rsidR="009D1A06" w:rsidRPr="0076572C" w14:paraId="46D33DF8" w14:textId="77777777" w:rsidTr="00CB6F23">
        <w:trPr>
          <w:trHeight w:val="8506"/>
        </w:trPr>
        <w:tc>
          <w:tcPr>
            <w:tcW w:w="9072" w:type="dxa"/>
            <w:shd w:val="clear" w:color="auto" w:fill="D9D9D9" w:themeFill="background1" w:themeFillShade="D9"/>
          </w:tcPr>
          <w:p w14:paraId="587983E4" w14:textId="77777777" w:rsidR="009D1A06" w:rsidRPr="00950CD1" w:rsidRDefault="009D1A06" w:rsidP="00EA4AC1">
            <w:pPr>
              <w:pStyle w:val="Heading2"/>
              <w:keepNext w:val="0"/>
              <w:keepLines w:val="0"/>
              <w:spacing w:before="240" w:after="120"/>
              <w:ind w:left="318"/>
              <w:outlineLvl w:val="1"/>
              <w:rPr>
                <w:rFonts w:eastAsia="Calibri"/>
                <w:sz w:val="28"/>
                <w:szCs w:val="28"/>
                <w:lang w:val="en-US"/>
              </w:rPr>
            </w:pPr>
            <w:r w:rsidRPr="00950CD1">
              <w:rPr>
                <w:rFonts w:ascii="Calibri" w:eastAsia="Calibri" w:hAnsi="Calibri" w:cs="Calibri"/>
                <w:bCs/>
                <w:noProof/>
                <w:sz w:val="28"/>
                <w:szCs w:val="28"/>
                <w:lang w:eastAsia="en-AU"/>
              </w:rPr>
              <w:drawing>
                <wp:anchor distT="0" distB="0" distL="114300" distR="114300" simplePos="0" relativeHeight="251799552" behindDoc="1" locked="0" layoutInCell="1" allowOverlap="1" wp14:anchorId="48C59E4A" wp14:editId="1FE3479F">
                  <wp:simplePos x="0" y="0"/>
                  <wp:positionH relativeFrom="column">
                    <wp:posOffset>4385640</wp:posOffset>
                  </wp:positionH>
                  <wp:positionV relativeFrom="paragraph">
                    <wp:posOffset>250190</wp:posOffset>
                  </wp:positionV>
                  <wp:extent cx="1106170" cy="853440"/>
                  <wp:effectExtent l="0" t="0" r="0" b="3810"/>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el graphic_whit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6170" cy="853440"/>
                          </a:xfrm>
                          <a:prstGeom prst="rect">
                            <a:avLst/>
                          </a:prstGeom>
                        </pic:spPr>
                      </pic:pic>
                    </a:graphicData>
                  </a:graphic>
                </wp:anchor>
              </w:drawing>
            </w:r>
            <w:r w:rsidRPr="00950CD1">
              <w:rPr>
                <w:rFonts w:ascii="Calibri" w:eastAsia="Calibri" w:hAnsi="Calibri" w:cs="Calibri"/>
                <w:bCs/>
                <w:sz w:val="28"/>
                <w:szCs w:val="28"/>
                <w:lang w:val="en-US"/>
              </w:rPr>
              <w:t>An activity for you</w:t>
            </w:r>
          </w:p>
          <w:p w14:paraId="2C5B809C" w14:textId="77777777" w:rsidR="009D1A06" w:rsidRDefault="009D1A06" w:rsidP="00EA4AC1">
            <w:pPr>
              <w:spacing w:before="110"/>
              <w:ind w:left="318"/>
              <w:rPr>
                <w:b/>
                <w:sz w:val="23"/>
                <w:szCs w:val="23"/>
              </w:rPr>
            </w:pPr>
            <w:r>
              <w:rPr>
                <w:b/>
                <w:sz w:val="23"/>
                <w:szCs w:val="23"/>
              </w:rPr>
              <w:t xml:space="preserve">Go to the UIS Statistics database. </w:t>
            </w:r>
            <w:r w:rsidRPr="00AE78FF">
              <w:rPr>
                <w:b/>
                <w:sz w:val="23"/>
                <w:szCs w:val="23"/>
              </w:rPr>
              <w:t>Using the table below</w:t>
            </w:r>
            <w:r>
              <w:rPr>
                <w:b/>
                <w:sz w:val="23"/>
                <w:szCs w:val="23"/>
              </w:rPr>
              <w:t>,</w:t>
            </w:r>
            <w:r w:rsidRPr="00AE78FF">
              <w:rPr>
                <w:b/>
                <w:sz w:val="23"/>
                <w:szCs w:val="23"/>
              </w:rPr>
              <w:t xml:space="preserve"> what is the average </w:t>
            </w:r>
            <w:r>
              <w:rPr>
                <w:b/>
                <w:sz w:val="23"/>
                <w:szCs w:val="23"/>
              </w:rPr>
              <w:t>GER</w:t>
            </w:r>
            <w:r w:rsidRPr="00AE78FF">
              <w:rPr>
                <w:b/>
                <w:sz w:val="23"/>
                <w:szCs w:val="23"/>
              </w:rPr>
              <w:t xml:space="preserve"> of young people in:</w:t>
            </w:r>
          </w:p>
          <w:p w14:paraId="4D61B08C" w14:textId="6831C0A8" w:rsidR="009D1A06" w:rsidRPr="00AE78FF" w:rsidRDefault="009D1A06" w:rsidP="00EA4AC1">
            <w:pPr>
              <w:tabs>
                <w:tab w:val="left" w:pos="3767"/>
                <w:tab w:val="right" w:pos="9418"/>
              </w:tabs>
              <w:spacing w:before="120"/>
              <w:ind w:left="318"/>
              <w:rPr>
                <w:sz w:val="23"/>
                <w:szCs w:val="23"/>
              </w:rPr>
            </w:pPr>
            <w:r w:rsidRPr="00AE78FF">
              <w:rPr>
                <w:b/>
                <w:sz w:val="23"/>
                <w:szCs w:val="23"/>
              </w:rPr>
              <w:t>A</w:t>
            </w:r>
            <w:r w:rsidRPr="00AE78FF">
              <w:rPr>
                <w:sz w:val="23"/>
                <w:szCs w:val="23"/>
              </w:rPr>
              <w:t xml:space="preserve"> - Lower secondary schooling in developing countries in 2015?</w:t>
            </w:r>
            <w:r w:rsidR="00512E45">
              <w:rPr>
                <w:sz w:val="23"/>
                <w:szCs w:val="23"/>
              </w:rPr>
              <w:t>;</w:t>
            </w:r>
            <w:r>
              <w:rPr>
                <w:sz w:val="23"/>
                <w:szCs w:val="23"/>
              </w:rPr>
              <w:t xml:space="preserve"> and</w:t>
            </w:r>
          </w:p>
          <w:p w14:paraId="14B2A6D2" w14:textId="2A6AB146" w:rsidR="009D1A06" w:rsidRPr="00F54564" w:rsidRDefault="009D1A06" w:rsidP="00EA4AC1">
            <w:pPr>
              <w:pStyle w:val="Boxtext"/>
              <w:spacing w:before="120" w:after="120"/>
              <w:ind w:left="318" w:right="0"/>
            </w:pPr>
            <w:r w:rsidRPr="00AE78FF">
              <w:rPr>
                <w:b/>
              </w:rPr>
              <w:t xml:space="preserve">B </w:t>
            </w:r>
            <w:r w:rsidRPr="00AE78FF">
              <w:t>- Upper secondary schooling in developing countries in 2015?</w:t>
            </w:r>
          </w:p>
          <w:tbl>
            <w:tblPr>
              <w:tblStyle w:val="DiplomaticAcademysasp"/>
              <w:tblW w:w="0" w:type="auto"/>
              <w:tblInd w:w="284" w:type="dxa"/>
              <w:tblLook w:val="04A0" w:firstRow="1" w:lastRow="0" w:firstColumn="1" w:lastColumn="0" w:noHBand="0" w:noVBand="1"/>
            </w:tblPr>
            <w:tblGrid>
              <w:gridCol w:w="1985"/>
              <w:gridCol w:w="3010"/>
              <w:gridCol w:w="2693"/>
            </w:tblGrid>
            <w:tr w:rsidR="009D1A06" w:rsidRPr="00D411F3" w14:paraId="286C4613" w14:textId="77777777" w:rsidTr="00CB6F23">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007C89"/>
                </w:tcPr>
                <w:p w14:paraId="6EAA3545" w14:textId="77777777" w:rsidR="009D1A06" w:rsidRPr="00950CD1" w:rsidRDefault="009D1A06" w:rsidP="00CB6F23">
                  <w:pPr>
                    <w:pStyle w:val="Tablecolumnheading"/>
                    <w:keepNext w:val="0"/>
                    <w:spacing w:before="0"/>
                    <w:jc w:val="left"/>
                    <w:rPr>
                      <w:b/>
                    </w:rPr>
                  </w:pPr>
                  <w:r w:rsidRPr="00950CD1">
                    <w:rPr>
                      <w:b/>
                      <w:bCs/>
                    </w:rPr>
                    <w:t>Options</w:t>
                  </w:r>
                </w:p>
              </w:tc>
              <w:tc>
                <w:tcPr>
                  <w:tcW w:w="3010" w:type="dxa"/>
                  <w:shd w:val="clear" w:color="auto" w:fill="007C89"/>
                </w:tcPr>
                <w:p w14:paraId="12CA79ED" w14:textId="77777777" w:rsidR="009D1A06" w:rsidRPr="00950CD1" w:rsidRDefault="009D1A06" w:rsidP="00CB6F23">
                  <w:pPr>
                    <w:pStyle w:val="Tablecolumnheading"/>
                    <w:keepNext w:val="0"/>
                    <w:spacing w:before="0"/>
                    <w:jc w:val="left"/>
                    <w:rPr>
                      <w:b/>
                    </w:rPr>
                  </w:pPr>
                  <w:r w:rsidRPr="00950CD1">
                    <w:rPr>
                      <w:b/>
                      <w:bCs/>
                    </w:rPr>
                    <w:t>GER lower secondary</w:t>
                  </w:r>
                </w:p>
              </w:tc>
              <w:tc>
                <w:tcPr>
                  <w:tcW w:w="2693" w:type="dxa"/>
                  <w:shd w:val="clear" w:color="auto" w:fill="007C89"/>
                </w:tcPr>
                <w:p w14:paraId="7CB43543" w14:textId="77777777" w:rsidR="009D1A06" w:rsidRPr="00950CD1" w:rsidRDefault="009D1A06" w:rsidP="00CB6F23">
                  <w:pPr>
                    <w:pStyle w:val="Tablecolumnheading"/>
                    <w:keepNext w:val="0"/>
                    <w:spacing w:before="0"/>
                    <w:jc w:val="left"/>
                    <w:rPr>
                      <w:b/>
                    </w:rPr>
                  </w:pPr>
                  <w:r w:rsidRPr="00950CD1">
                    <w:rPr>
                      <w:b/>
                      <w:bCs/>
                    </w:rPr>
                    <w:t>GER upper secondary</w:t>
                  </w:r>
                </w:p>
              </w:tc>
            </w:tr>
            <w:tr w:rsidR="009D1A06" w:rsidRPr="003A7698" w14:paraId="14BE1EA6" w14:textId="77777777" w:rsidTr="00CB6F23">
              <w:tc>
                <w:tcPr>
                  <w:tcW w:w="1985" w:type="dxa"/>
                </w:tcPr>
                <w:p w14:paraId="5CC90EC2" w14:textId="77777777" w:rsidR="009D1A06" w:rsidRPr="00EF08BA" w:rsidRDefault="009D1A06" w:rsidP="00EA4AC1">
                  <w:pPr>
                    <w:pStyle w:val="Tablebodytext"/>
                    <w:spacing w:before="0"/>
                    <w:rPr>
                      <w:color w:val="auto"/>
                    </w:rPr>
                  </w:pPr>
                  <w:r w:rsidRPr="00EF08BA">
                    <w:rPr>
                      <w:color w:val="auto"/>
                    </w:rPr>
                    <w:t>Option a</w:t>
                  </w:r>
                </w:p>
              </w:tc>
              <w:tc>
                <w:tcPr>
                  <w:tcW w:w="3010" w:type="dxa"/>
                </w:tcPr>
                <w:p w14:paraId="284809BC" w14:textId="77777777" w:rsidR="009D1A06" w:rsidRPr="00EF08BA" w:rsidRDefault="009D1A06" w:rsidP="00EA4AC1">
                  <w:pPr>
                    <w:pStyle w:val="Tablebodytext"/>
                    <w:spacing w:before="0"/>
                    <w:jc w:val="center"/>
                    <w:rPr>
                      <w:color w:val="auto"/>
                    </w:rPr>
                  </w:pPr>
                  <w:r w:rsidRPr="00EF08BA">
                    <w:rPr>
                      <w:color w:val="auto"/>
                    </w:rPr>
                    <w:t>65%</w:t>
                  </w:r>
                </w:p>
              </w:tc>
              <w:tc>
                <w:tcPr>
                  <w:tcW w:w="2693" w:type="dxa"/>
                </w:tcPr>
                <w:p w14:paraId="6EAA424B" w14:textId="77777777" w:rsidR="009D1A06" w:rsidRPr="00EF08BA" w:rsidRDefault="009D1A06" w:rsidP="00EA4AC1">
                  <w:pPr>
                    <w:pStyle w:val="Tablebodytext"/>
                    <w:spacing w:before="0"/>
                    <w:jc w:val="center"/>
                    <w:rPr>
                      <w:color w:val="auto"/>
                    </w:rPr>
                  </w:pPr>
                  <w:r w:rsidRPr="00EF08BA">
                    <w:rPr>
                      <w:color w:val="auto"/>
                    </w:rPr>
                    <w:t>40%</w:t>
                  </w:r>
                </w:p>
              </w:tc>
            </w:tr>
            <w:tr w:rsidR="009D1A06" w:rsidRPr="003A7698" w14:paraId="75D86172" w14:textId="77777777" w:rsidTr="00CB6F23">
              <w:tc>
                <w:tcPr>
                  <w:tcW w:w="1985" w:type="dxa"/>
                </w:tcPr>
                <w:p w14:paraId="5CAA9341" w14:textId="77777777" w:rsidR="009D1A06" w:rsidRPr="00EF08BA" w:rsidRDefault="009D1A06" w:rsidP="00EA4AC1">
                  <w:pPr>
                    <w:pStyle w:val="Tablebodytext"/>
                    <w:spacing w:before="0"/>
                    <w:rPr>
                      <w:color w:val="auto"/>
                    </w:rPr>
                  </w:pPr>
                  <w:r w:rsidRPr="00EF08BA">
                    <w:rPr>
                      <w:color w:val="auto"/>
                    </w:rPr>
                    <w:t>Option b</w:t>
                  </w:r>
                </w:p>
              </w:tc>
              <w:tc>
                <w:tcPr>
                  <w:tcW w:w="3010" w:type="dxa"/>
                </w:tcPr>
                <w:p w14:paraId="16E0135C" w14:textId="77777777" w:rsidR="009D1A06" w:rsidRPr="00EF08BA" w:rsidRDefault="009D1A06" w:rsidP="00EA4AC1">
                  <w:pPr>
                    <w:pStyle w:val="Tablebodytext"/>
                    <w:spacing w:before="0"/>
                    <w:jc w:val="center"/>
                    <w:rPr>
                      <w:color w:val="auto"/>
                    </w:rPr>
                  </w:pPr>
                  <w:r w:rsidRPr="00EF08BA">
                    <w:rPr>
                      <w:color w:val="auto"/>
                    </w:rPr>
                    <w:t>90%</w:t>
                  </w:r>
                </w:p>
              </w:tc>
              <w:tc>
                <w:tcPr>
                  <w:tcW w:w="2693" w:type="dxa"/>
                </w:tcPr>
                <w:p w14:paraId="2D5375BB" w14:textId="77777777" w:rsidR="009D1A06" w:rsidRPr="00EF08BA" w:rsidRDefault="009D1A06" w:rsidP="00EA4AC1">
                  <w:pPr>
                    <w:pStyle w:val="Tablebodytext"/>
                    <w:spacing w:before="0"/>
                    <w:jc w:val="center"/>
                    <w:rPr>
                      <w:color w:val="auto"/>
                    </w:rPr>
                  </w:pPr>
                  <w:r w:rsidRPr="00EF08BA">
                    <w:rPr>
                      <w:color w:val="auto"/>
                    </w:rPr>
                    <w:t>70%</w:t>
                  </w:r>
                </w:p>
              </w:tc>
            </w:tr>
            <w:tr w:rsidR="009D1A06" w:rsidRPr="00D411F3" w14:paraId="1A98F68F" w14:textId="77777777" w:rsidTr="00CB6F23">
              <w:tc>
                <w:tcPr>
                  <w:tcW w:w="1985" w:type="dxa"/>
                </w:tcPr>
                <w:p w14:paraId="091F3C71" w14:textId="77777777" w:rsidR="009D1A06" w:rsidRPr="00EF08BA" w:rsidRDefault="009D1A06" w:rsidP="00EA4AC1">
                  <w:pPr>
                    <w:pStyle w:val="Tablebodytext"/>
                    <w:spacing w:before="0"/>
                    <w:rPr>
                      <w:color w:val="auto"/>
                    </w:rPr>
                  </w:pPr>
                  <w:r w:rsidRPr="00EF08BA">
                    <w:rPr>
                      <w:color w:val="auto"/>
                    </w:rPr>
                    <w:t>Option c</w:t>
                  </w:r>
                </w:p>
              </w:tc>
              <w:tc>
                <w:tcPr>
                  <w:tcW w:w="3010" w:type="dxa"/>
                </w:tcPr>
                <w:p w14:paraId="0E5E6F6E" w14:textId="77777777" w:rsidR="009D1A06" w:rsidRPr="00EF08BA" w:rsidRDefault="009D1A06" w:rsidP="00EA4AC1">
                  <w:pPr>
                    <w:pStyle w:val="Tablebodytext"/>
                    <w:spacing w:before="0"/>
                    <w:jc w:val="center"/>
                    <w:rPr>
                      <w:color w:val="auto"/>
                    </w:rPr>
                  </w:pPr>
                  <w:r w:rsidRPr="00EF08BA">
                    <w:rPr>
                      <w:color w:val="auto"/>
                    </w:rPr>
                    <w:t>55%</w:t>
                  </w:r>
                </w:p>
              </w:tc>
              <w:tc>
                <w:tcPr>
                  <w:tcW w:w="2693" w:type="dxa"/>
                </w:tcPr>
                <w:p w14:paraId="57E58129" w14:textId="77777777" w:rsidR="009D1A06" w:rsidRPr="00EF08BA" w:rsidRDefault="009D1A06" w:rsidP="00EA4AC1">
                  <w:pPr>
                    <w:pStyle w:val="Tablebodytext"/>
                    <w:spacing w:before="0"/>
                    <w:jc w:val="center"/>
                    <w:rPr>
                      <w:color w:val="auto"/>
                    </w:rPr>
                  </w:pPr>
                  <w:r w:rsidRPr="00EF08BA">
                    <w:rPr>
                      <w:color w:val="auto"/>
                    </w:rPr>
                    <w:t>30%</w:t>
                  </w:r>
                </w:p>
              </w:tc>
            </w:tr>
            <w:tr w:rsidR="009D1A06" w:rsidRPr="00D411F3" w14:paraId="11F86528" w14:textId="77777777" w:rsidTr="00CB6F23">
              <w:trPr>
                <w:trHeight w:val="70"/>
              </w:trPr>
              <w:tc>
                <w:tcPr>
                  <w:tcW w:w="1985" w:type="dxa"/>
                </w:tcPr>
                <w:p w14:paraId="79379EAB" w14:textId="77777777" w:rsidR="009D1A06" w:rsidRPr="00EF08BA" w:rsidRDefault="009D1A06" w:rsidP="00EA4AC1">
                  <w:pPr>
                    <w:pStyle w:val="Tablebodytext"/>
                    <w:spacing w:before="0"/>
                    <w:rPr>
                      <w:color w:val="auto"/>
                    </w:rPr>
                  </w:pPr>
                  <w:r w:rsidRPr="00EF08BA">
                    <w:rPr>
                      <w:color w:val="auto"/>
                    </w:rPr>
                    <w:t>Option d</w:t>
                  </w:r>
                </w:p>
              </w:tc>
              <w:tc>
                <w:tcPr>
                  <w:tcW w:w="3010" w:type="dxa"/>
                </w:tcPr>
                <w:p w14:paraId="65CEF457" w14:textId="77777777" w:rsidR="009D1A06" w:rsidRPr="00EF08BA" w:rsidRDefault="009D1A06" w:rsidP="00EA4AC1">
                  <w:pPr>
                    <w:pStyle w:val="Tablebodytext"/>
                    <w:spacing w:before="0"/>
                    <w:jc w:val="center"/>
                    <w:rPr>
                      <w:color w:val="auto"/>
                    </w:rPr>
                  </w:pPr>
                  <w:r w:rsidRPr="00EF08BA">
                    <w:rPr>
                      <w:color w:val="auto"/>
                    </w:rPr>
                    <w:t>83%</w:t>
                  </w:r>
                </w:p>
              </w:tc>
              <w:tc>
                <w:tcPr>
                  <w:tcW w:w="2693" w:type="dxa"/>
                </w:tcPr>
                <w:p w14:paraId="4F808EF0" w14:textId="77777777" w:rsidR="009D1A06" w:rsidRPr="00EF08BA" w:rsidRDefault="009D1A06" w:rsidP="00EA4AC1">
                  <w:pPr>
                    <w:pStyle w:val="Tablebodytext"/>
                    <w:spacing w:before="0"/>
                    <w:jc w:val="center"/>
                    <w:rPr>
                      <w:color w:val="auto"/>
                    </w:rPr>
                  </w:pPr>
                  <w:r w:rsidRPr="00EF08BA">
                    <w:rPr>
                      <w:color w:val="auto"/>
                    </w:rPr>
                    <w:t>63%</w:t>
                  </w:r>
                </w:p>
              </w:tc>
            </w:tr>
          </w:tbl>
          <w:p w14:paraId="24B671E6" w14:textId="07F1F431" w:rsidR="009D1A06" w:rsidRPr="0076572C" w:rsidRDefault="009D1A06" w:rsidP="00EA4AC1">
            <w:pPr>
              <w:pStyle w:val="Boxtext"/>
              <w:spacing w:before="80"/>
              <w:ind w:left="318" w:right="0"/>
              <w:rPr>
                <w:color w:val="231F20"/>
                <w:sz w:val="24"/>
              </w:rPr>
            </w:pPr>
            <w:r w:rsidRPr="009D1A06">
              <w:rPr>
                <w:b/>
                <w:color w:val="231F20"/>
                <w:sz w:val="24"/>
              </w:rPr>
              <w:t>Check your answer</w:t>
            </w:r>
            <w:r w:rsidR="00512E45">
              <w:rPr>
                <w:b/>
                <w:color w:val="231F20"/>
                <w:sz w:val="24"/>
              </w:rPr>
              <w:t>s</w:t>
            </w:r>
            <w:r w:rsidRPr="009D1A06">
              <w:rPr>
                <w:b/>
                <w:color w:val="231F20"/>
                <w:sz w:val="24"/>
              </w:rPr>
              <w:t>.</w:t>
            </w:r>
          </w:p>
          <w:p w14:paraId="51D64E55" w14:textId="77777777" w:rsidR="009D1A06" w:rsidRPr="00043F8C" w:rsidRDefault="009D1A06" w:rsidP="00512E45">
            <w:pPr>
              <w:pStyle w:val="Activityboxtext"/>
              <w:widowControl/>
              <w:spacing w:before="80"/>
              <w:ind w:left="318" w:right="0"/>
            </w:pPr>
            <w:r w:rsidRPr="00043F8C">
              <w:rPr>
                <w:b/>
              </w:rPr>
              <w:t>A -</w:t>
            </w:r>
            <w:r w:rsidRPr="00043F8C">
              <w:t xml:space="preserve"> Gross enrolment in developing countries in lower secondary education was 83 per cent in 2015 (Option d).</w:t>
            </w:r>
          </w:p>
          <w:p w14:paraId="2587E407" w14:textId="77777777" w:rsidR="009D1A06" w:rsidRDefault="009D1A06" w:rsidP="00512E45">
            <w:pPr>
              <w:pStyle w:val="Activityboxtext"/>
              <w:widowControl/>
              <w:spacing w:before="80"/>
              <w:ind w:left="318" w:right="0"/>
            </w:pPr>
            <w:r w:rsidRPr="00043F8C">
              <w:rPr>
                <w:b/>
              </w:rPr>
              <w:t xml:space="preserve">B </w:t>
            </w:r>
            <w:r w:rsidRPr="00043F8C">
              <w:t>- Gross enrolment in developing countries in upper secondary was 63 per cent in 2015 (Option d).</w:t>
            </w:r>
          </w:p>
          <w:p w14:paraId="6943AF84" w14:textId="1C74C236" w:rsidR="009D1A06" w:rsidRDefault="009D1A06" w:rsidP="00512E45">
            <w:pPr>
              <w:pStyle w:val="Activityboxtext"/>
              <w:widowControl/>
              <w:spacing w:before="80"/>
              <w:ind w:left="318" w:right="0"/>
            </w:pPr>
            <w:r w:rsidRPr="00043F8C">
              <w:t>If we look at these rates by gender</w:t>
            </w:r>
            <w:r w:rsidR="00512E45">
              <w:t>,</w:t>
            </w:r>
            <w:r w:rsidRPr="00043F8C">
              <w:t xml:space="preserve"> some interesting differences emerge. For instance, across all developing countries, there is no significant difference in the percentage of boys enrolled in secondary education compared to girls. At the lower secondary level, 83</w:t>
            </w:r>
            <w:r>
              <w:t> </w:t>
            </w:r>
            <w:r w:rsidRPr="00043F8C">
              <w:t xml:space="preserve">per cent of boys are enrolled, compared to 82 per cent for girls; at the upper secondary level, 63 per cent of boys are enrolled, compared to 62 per cent for girls (2015). </w:t>
            </w:r>
          </w:p>
          <w:p w14:paraId="64B14606" w14:textId="02C183F7" w:rsidR="009D1A06" w:rsidRDefault="009D1A06" w:rsidP="00512E45">
            <w:pPr>
              <w:pStyle w:val="Activityboxtext"/>
              <w:widowControl/>
              <w:spacing w:before="80"/>
              <w:ind w:left="318" w:right="0"/>
            </w:pPr>
            <w:r w:rsidRPr="00043F8C">
              <w:t>However, at the country level, the gender disparity is clearer. Available data shows that in Lao PDR</w:t>
            </w:r>
            <w:r>
              <w:t>,</w:t>
            </w:r>
            <w:r w:rsidRPr="00043F8C">
              <w:t xml:space="preserve"> 41 per cent of girls are in upper secondary compared with 46 per cent</w:t>
            </w:r>
            <w:r>
              <w:t xml:space="preserve"> </w:t>
            </w:r>
            <w:r w:rsidRPr="00043F8C">
              <w:t>of boys. In Pakistan it is 30 per cent and 40 per cent respectively. But in Samoa, 85 per cent of girls are enrolled in upper secondary, compared with 71 per cent of boys</w:t>
            </w:r>
            <w:r w:rsidR="00512E45">
              <w:t>.</w:t>
            </w:r>
          </w:p>
          <w:p w14:paraId="4F1DD723" w14:textId="24194AF1" w:rsidR="009D1A06" w:rsidRPr="0076572C" w:rsidRDefault="009D1A06" w:rsidP="00EA4AC1">
            <w:pPr>
              <w:pStyle w:val="Boxsource"/>
            </w:pPr>
            <w:r w:rsidRPr="00AE78FF">
              <w:t xml:space="preserve">Source: UNESCO Institute of Statistics </w:t>
            </w:r>
            <w:r>
              <w:t xml:space="preserve"> (UIS) </w:t>
            </w:r>
            <w:r w:rsidRPr="00B7355A">
              <w:t xml:space="preserve">n.d., </w:t>
            </w:r>
            <w:hyperlink r:id="rId31" w:history="1">
              <w:r w:rsidRPr="00B7355A">
                <w:rPr>
                  <w:rStyle w:val="Hyperlink"/>
                  <w:color w:val="808285"/>
                  <w:u w:val="none"/>
                </w:rPr>
                <w:t xml:space="preserve">UIS Stat. </w:t>
              </w:r>
            </w:hyperlink>
            <w:r w:rsidDel="00EF08BA">
              <w:rPr>
                <w:rStyle w:val="CommentReference"/>
                <w:rFonts w:ascii="Arial" w:eastAsiaTheme="minorEastAsia" w:hAnsi="Arial"/>
                <w:color w:val="53534A"/>
                <w:lang w:eastAsia="en-AU"/>
              </w:rPr>
              <w:t xml:space="preserve"> </w:t>
            </w:r>
          </w:p>
        </w:tc>
      </w:tr>
    </w:tbl>
    <w:p w14:paraId="585186F5" w14:textId="77777777" w:rsidR="005E0712" w:rsidRPr="00AE5826" w:rsidRDefault="005E0712" w:rsidP="00EA4AC1">
      <w:pPr>
        <w:pStyle w:val="Heading2"/>
        <w:keepNext w:val="0"/>
        <w:keepLines w:val="0"/>
      </w:pPr>
      <w:bookmarkStart w:id="19" w:name="_Toc370729634"/>
      <w:bookmarkStart w:id="20" w:name="_Toc370729771"/>
      <w:r w:rsidRPr="00AE5826">
        <w:t>Key issues in secondary education</w:t>
      </w:r>
      <w:bookmarkEnd w:id="19"/>
      <w:bookmarkEnd w:id="20"/>
    </w:p>
    <w:p w14:paraId="4AB345A9" w14:textId="77777777" w:rsidR="005E0712" w:rsidRPr="00AE5826" w:rsidRDefault="005E0712" w:rsidP="00512E45">
      <w:pPr>
        <w:pStyle w:val="BodyText"/>
        <w:widowControl/>
        <w:ind w:right="-142"/>
      </w:pPr>
      <w:r w:rsidRPr="00AE5826">
        <w:t>There are significant access, equity and quality issues in secondary education, especially when good quality secondary schools are not available in all parts of the country. In many partner countries, gender inequality and low levels of income are reflected in significant variations in secondary enrolment. Key issues include:</w:t>
      </w:r>
    </w:p>
    <w:p w14:paraId="5A844A5F" w14:textId="77777777" w:rsidR="005E0712" w:rsidRPr="00AE5826" w:rsidRDefault="005E0712" w:rsidP="00512E45">
      <w:pPr>
        <w:pStyle w:val="ListParagraph"/>
        <w:widowControl/>
        <w:numPr>
          <w:ilvl w:val="0"/>
          <w:numId w:val="10"/>
        </w:numPr>
        <w:spacing w:before="0"/>
        <w:ind w:left="567" w:right="-142" w:hanging="283"/>
      </w:pPr>
      <w:r>
        <w:t>s</w:t>
      </w:r>
      <w:r w:rsidRPr="00AE5826">
        <w:t xml:space="preserve">econdary schools are expensive for parents (e.g. for tuition fees, books, uniforms, </w:t>
      </w:r>
      <w:r>
        <w:t>t</w:t>
      </w:r>
      <w:r w:rsidRPr="00AE5826">
        <w:t>ransport, boarding and income foregone)</w:t>
      </w:r>
    </w:p>
    <w:p w14:paraId="20260085" w14:textId="77777777" w:rsidR="005E0712" w:rsidRPr="00AE5826" w:rsidRDefault="005E0712" w:rsidP="00512E45">
      <w:pPr>
        <w:pStyle w:val="ListParagraph"/>
        <w:widowControl/>
        <w:numPr>
          <w:ilvl w:val="0"/>
          <w:numId w:val="10"/>
        </w:numPr>
        <w:spacing w:before="0"/>
        <w:ind w:left="567" w:right="-142" w:hanging="283"/>
      </w:pPr>
      <w:r>
        <w:t>p</w:t>
      </w:r>
      <w:r w:rsidRPr="00AE5826">
        <w:t>oorer families struggle to meet the costs and often favour educating boys rather than girls</w:t>
      </w:r>
    </w:p>
    <w:p w14:paraId="6CEEB845" w14:textId="77777777" w:rsidR="005E0712" w:rsidRPr="00AE5826" w:rsidRDefault="005E0712" w:rsidP="00512E45">
      <w:pPr>
        <w:pStyle w:val="ListParagraph"/>
        <w:widowControl/>
        <w:numPr>
          <w:ilvl w:val="0"/>
          <w:numId w:val="10"/>
        </w:numPr>
        <w:spacing w:before="0"/>
        <w:ind w:left="567" w:right="-142" w:hanging="283"/>
      </w:pPr>
      <w:r>
        <w:t>t</w:t>
      </w:r>
      <w:r w:rsidRPr="00AE5826">
        <w:t>he curriculum may have limited relevance to needs for life skills or the local job market</w:t>
      </w:r>
    </w:p>
    <w:p w14:paraId="0BE3136B" w14:textId="77777777" w:rsidR="004C0FA6" w:rsidRDefault="005E0712" w:rsidP="00512E45">
      <w:pPr>
        <w:pStyle w:val="ListParagraph"/>
        <w:widowControl/>
        <w:numPr>
          <w:ilvl w:val="0"/>
          <w:numId w:val="10"/>
        </w:numPr>
        <w:spacing w:before="0"/>
        <w:ind w:left="567" w:right="-142" w:hanging="283"/>
      </w:pPr>
      <w:r>
        <w:t>t</w:t>
      </w:r>
      <w:r w:rsidRPr="00AE5826">
        <w:t>eacher training may be inadequate and qualified teachers may be in short supply</w:t>
      </w:r>
    </w:p>
    <w:p w14:paraId="1D20139F" w14:textId="081F9102" w:rsidR="005E0712" w:rsidRPr="00AE5826" w:rsidRDefault="004C0FA6" w:rsidP="00512E45">
      <w:pPr>
        <w:pStyle w:val="ListParagraph"/>
        <w:widowControl/>
        <w:numPr>
          <w:ilvl w:val="0"/>
          <w:numId w:val="10"/>
        </w:numPr>
        <w:spacing w:before="0"/>
        <w:ind w:left="567" w:right="-142" w:hanging="283"/>
      </w:pPr>
      <w:r>
        <w:t>l</w:t>
      </w:r>
      <w:r w:rsidR="005E0712" w:rsidRPr="00AE5826">
        <w:t>ower numbers of female teachers may affect parental choice about whether to educate girls</w:t>
      </w:r>
    </w:p>
    <w:p w14:paraId="729D8B9B" w14:textId="77777777" w:rsidR="005E0712" w:rsidRPr="00AE5826" w:rsidRDefault="005E0712" w:rsidP="00512E45">
      <w:pPr>
        <w:pStyle w:val="ListParagraph"/>
        <w:widowControl/>
        <w:numPr>
          <w:ilvl w:val="0"/>
          <w:numId w:val="10"/>
        </w:numPr>
        <w:spacing w:before="0"/>
        <w:ind w:left="567" w:right="-142" w:hanging="283"/>
      </w:pPr>
      <w:r>
        <w:t>l</w:t>
      </w:r>
      <w:r w:rsidRPr="00AE5826">
        <w:t>earning materials may be inappropriate to the national context</w:t>
      </w:r>
    </w:p>
    <w:p w14:paraId="2101B923" w14:textId="77777777" w:rsidR="005E0712" w:rsidRDefault="005E0712" w:rsidP="00512E45">
      <w:pPr>
        <w:pStyle w:val="LastBulletpoint0"/>
        <w:widowControl/>
        <w:numPr>
          <w:ilvl w:val="0"/>
          <w:numId w:val="10"/>
        </w:numPr>
        <w:spacing w:after="0"/>
        <w:ind w:left="567" w:hanging="283"/>
      </w:pPr>
      <w:r>
        <w:t>i</w:t>
      </w:r>
      <w:r w:rsidRPr="00AE5826">
        <w:t>nadequate facilities may discourage attendance (e.g. for girls or children</w:t>
      </w:r>
      <w:r>
        <w:t xml:space="preserve"> with disabilities</w:t>
      </w:r>
      <w:r w:rsidRPr="00AE5826">
        <w:t>).</w:t>
      </w:r>
    </w:p>
    <w:p w14:paraId="56879A04" w14:textId="77777777" w:rsidR="005E0712" w:rsidRPr="0058610F" w:rsidRDefault="005E0712" w:rsidP="00EA4AC1">
      <w:pPr>
        <w:pStyle w:val="Heading1"/>
        <w:widowControl/>
        <w:tabs>
          <w:tab w:val="clear" w:pos="709"/>
          <w:tab w:val="left" w:pos="851"/>
        </w:tabs>
        <w:spacing w:before="240"/>
        <w:ind w:left="851" w:hanging="851"/>
      </w:pPr>
      <w:bookmarkStart w:id="21" w:name="_Toc370729772"/>
      <w:bookmarkStart w:id="22" w:name="_Toc492047146"/>
      <w:bookmarkStart w:id="23" w:name="_Toc496276452"/>
      <w:bookmarkStart w:id="24" w:name="_Toc522804283"/>
      <w:r w:rsidRPr="0058610F">
        <w:t>T</w:t>
      </w:r>
      <w:r>
        <w:t xml:space="preserve">echnical and vocational education and training </w:t>
      </w:r>
      <w:r w:rsidRPr="0058610F">
        <w:t>(TVET)</w:t>
      </w:r>
      <w:bookmarkEnd w:id="21"/>
      <w:bookmarkEnd w:id="22"/>
      <w:bookmarkEnd w:id="23"/>
      <w:bookmarkEnd w:id="24"/>
    </w:p>
    <w:p w14:paraId="2B2C75EE" w14:textId="77777777" w:rsidR="005E0712" w:rsidRDefault="005E0712" w:rsidP="00EA4AC1">
      <w:pPr>
        <w:pStyle w:val="Heading2"/>
        <w:keepNext w:val="0"/>
        <w:keepLines w:val="0"/>
      </w:pPr>
      <w:r w:rsidRPr="0058610F">
        <w:t>What is TVET?</w:t>
      </w:r>
    </w:p>
    <w:p w14:paraId="045FFDEE" w14:textId="71844B0E" w:rsidR="005144D2" w:rsidRPr="008D678B" w:rsidRDefault="00512E45" w:rsidP="005144D2">
      <w:pPr>
        <w:pStyle w:val="BodyText"/>
        <w:widowControl/>
        <w:ind w:right="-2"/>
        <w:rPr>
          <w:sz w:val="23"/>
          <w:szCs w:val="23"/>
        </w:rPr>
      </w:pPr>
      <w:r>
        <w:rPr>
          <w:sz w:val="23"/>
          <w:szCs w:val="23"/>
        </w:rPr>
        <w:t xml:space="preserve">Technical and vocational education and training (TVET) </w:t>
      </w:r>
      <w:r w:rsidR="005144D2">
        <w:rPr>
          <w:sz w:val="23"/>
          <w:szCs w:val="23"/>
        </w:rPr>
        <w:t>programs</w:t>
      </w:r>
      <w:r w:rsidR="005144D2" w:rsidRPr="008D678B">
        <w:rPr>
          <w:sz w:val="23"/>
          <w:szCs w:val="23"/>
        </w:rPr>
        <w:t xml:space="preserve"> are designed mainly to prepare students for direct entry into a particular occupation or trade.</w:t>
      </w:r>
    </w:p>
    <w:p w14:paraId="0765481E" w14:textId="77777777" w:rsidR="00734AB5" w:rsidRPr="00831C3C" w:rsidRDefault="00734AB5" w:rsidP="00EA4AC1">
      <w:pPr>
        <w:pStyle w:val="Paraspace"/>
        <w:widowControl/>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734AB5" w14:paraId="09EF4572" w14:textId="77777777" w:rsidTr="005144D2">
        <w:trPr>
          <w:trHeight w:val="2447"/>
        </w:trPr>
        <w:tc>
          <w:tcPr>
            <w:tcW w:w="8926" w:type="dxa"/>
          </w:tcPr>
          <w:p w14:paraId="538C6EAE" w14:textId="356BD81E" w:rsidR="00734AB5" w:rsidRPr="007A029D" w:rsidRDefault="00734AB5" w:rsidP="00EA4AC1">
            <w:pPr>
              <w:pStyle w:val="Boxheading"/>
            </w:pPr>
            <w:r w:rsidRPr="007A029D">
              <w:drawing>
                <wp:anchor distT="0" distB="0" distL="114300" distR="114300" simplePos="0" relativeHeight="251789312" behindDoc="1" locked="0" layoutInCell="1" allowOverlap="1" wp14:anchorId="4F1CEA63" wp14:editId="2358B4E1">
                  <wp:simplePos x="0" y="0"/>
                  <wp:positionH relativeFrom="column">
                    <wp:posOffset>4163695</wp:posOffset>
                  </wp:positionH>
                  <wp:positionV relativeFrom="paragraph">
                    <wp:posOffset>252730</wp:posOffset>
                  </wp:positionV>
                  <wp:extent cx="1106170" cy="852805"/>
                  <wp:effectExtent l="0" t="0" r="0" b="4445"/>
                  <wp:wrapSquare wrapText="bothSides"/>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Pr="007A029D">
              <w:t xml:space="preserve">Definitions </w:t>
            </w:r>
            <w:r w:rsidR="009D1A06">
              <w:t>of TVET from UNESCO and UNEVOC</w:t>
            </w:r>
          </w:p>
          <w:p w14:paraId="3C4FA2C0" w14:textId="5623649C" w:rsidR="009D1A06" w:rsidRDefault="009D1A06" w:rsidP="00EA4AC1">
            <w:pPr>
              <w:pStyle w:val="Boxtext"/>
            </w:pPr>
            <w:r>
              <w:t>TVET</w:t>
            </w:r>
            <w:r w:rsidRPr="008D678B">
              <w:t xml:space="preserve"> is used as a comprehensive term referring to the study of technologies and related sciences, and the acquisition of practical skills, attitudes, understanding and knowledge related to occupations in various secto</w:t>
            </w:r>
            <w:r>
              <w:t>rs of economic and social life.</w:t>
            </w:r>
          </w:p>
          <w:p w14:paraId="1CCD457B" w14:textId="7B404D92" w:rsidR="00734AB5" w:rsidRPr="005144D2" w:rsidRDefault="00843D90" w:rsidP="005144D2">
            <w:pPr>
              <w:pStyle w:val="Boxsource"/>
            </w:pPr>
            <w:r w:rsidRPr="005144D2">
              <w:t>Source: UNESCO-UNEVO</w:t>
            </w:r>
            <w:r w:rsidR="00512E45">
              <w:t>C</w:t>
            </w:r>
            <w:r w:rsidRPr="005144D2">
              <w:t xml:space="preserve"> 2017, </w:t>
            </w:r>
            <w:hyperlink r:id="rId32" w:history="1">
              <w:r w:rsidRPr="005144D2">
                <w:rPr>
                  <w:rStyle w:val="Hyperlink"/>
                  <w:color w:val="808285"/>
                  <w:u w:val="none"/>
                </w:rPr>
                <w:t>What is TVET?</w:t>
              </w:r>
            </w:hyperlink>
          </w:p>
        </w:tc>
      </w:tr>
    </w:tbl>
    <w:p w14:paraId="6F18086F" w14:textId="77777777" w:rsidR="009D1A06" w:rsidRDefault="009D1A06" w:rsidP="00EA4AC1">
      <w:pPr>
        <w:pStyle w:val="Paraspace"/>
        <w:widowControl/>
      </w:pPr>
    </w:p>
    <w:p w14:paraId="1C80D4AC" w14:textId="77777777" w:rsidR="005E0712" w:rsidRPr="00A36654" w:rsidRDefault="005E0712" w:rsidP="00EA4AC1">
      <w:pPr>
        <w:pStyle w:val="BodyText"/>
        <w:widowControl/>
        <w:spacing w:before="120"/>
      </w:pPr>
      <w:r w:rsidRPr="0058610F">
        <w:t>For the first time, TVET has been introduced into the global development agenda with specific targets (SDG targets 4.3, 4.4 and 4.5) for measuring access, equity and quality outcomes for all girls and boys, men and women. It recognises the importance of a skilled and educated population that can adapt to a broad range of employment pathways.</w:t>
      </w:r>
    </w:p>
    <w:p w14:paraId="156B7EDD" w14:textId="77777777" w:rsidR="005E0712" w:rsidRPr="0058610F" w:rsidRDefault="005E0712" w:rsidP="00EA4AC1">
      <w:pPr>
        <w:pStyle w:val="BodyText"/>
        <w:widowControl/>
        <w:spacing w:before="120"/>
      </w:pPr>
      <w:r w:rsidRPr="0058610F">
        <w:t xml:space="preserve">Examples of </w:t>
      </w:r>
      <w:r>
        <w:t>‘</w:t>
      </w:r>
      <w:r w:rsidRPr="0058610F">
        <w:t>traditional</w:t>
      </w:r>
      <w:r>
        <w:t>’</w:t>
      </w:r>
      <w:r w:rsidRPr="0058610F">
        <w:t xml:space="preserve"> trade subjects taught in TVET courses</w:t>
      </w:r>
      <w:r>
        <w:t>, include:</w:t>
      </w:r>
    </w:p>
    <w:p w14:paraId="57EE967C" w14:textId="77777777" w:rsidR="005E0712" w:rsidRPr="00577C0E" w:rsidRDefault="005E0712" w:rsidP="00EA4AC1">
      <w:pPr>
        <w:pStyle w:val="ListParagraph"/>
        <w:widowControl/>
        <w:numPr>
          <w:ilvl w:val="0"/>
          <w:numId w:val="10"/>
        </w:numPr>
        <w:spacing w:before="0"/>
      </w:pPr>
      <w:r>
        <w:t>c</w:t>
      </w:r>
      <w:r w:rsidRPr="00577C0E">
        <w:t>arpentry</w:t>
      </w:r>
    </w:p>
    <w:p w14:paraId="771007B5" w14:textId="77777777" w:rsidR="005E0712" w:rsidRPr="00577C0E" w:rsidRDefault="005E0712" w:rsidP="00EA4AC1">
      <w:pPr>
        <w:pStyle w:val="ListParagraph"/>
        <w:widowControl/>
        <w:numPr>
          <w:ilvl w:val="0"/>
          <w:numId w:val="10"/>
        </w:numPr>
        <w:spacing w:before="0"/>
      </w:pPr>
      <w:r>
        <w:t>p</w:t>
      </w:r>
      <w:r w:rsidRPr="00577C0E">
        <w:t>lumbing</w:t>
      </w:r>
    </w:p>
    <w:p w14:paraId="3D04A3D7" w14:textId="77777777" w:rsidR="005E0712" w:rsidRPr="00577C0E" w:rsidRDefault="005E0712" w:rsidP="00EA4AC1">
      <w:pPr>
        <w:pStyle w:val="ListParagraph"/>
        <w:widowControl/>
        <w:numPr>
          <w:ilvl w:val="0"/>
          <w:numId w:val="10"/>
        </w:numPr>
        <w:spacing w:before="0"/>
      </w:pPr>
      <w:r>
        <w:t>e</w:t>
      </w:r>
      <w:r w:rsidRPr="00577C0E">
        <w:t>lectrical work</w:t>
      </w:r>
    </w:p>
    <w:p w14:paraId="760E36F5" w14:textId="77777777" w:rsidR="005E0712" w:rsidRPr="00577C0E" w:rsidRDefault="005E0712" w:rsidP="00EA4AC1">
      <w:pPr>
        <w:pStyle w:val="ListParagraph"/>
        <w:widowControl/>
        <w:numPr>
          <w:ilvl w:val="0"/>
          <w:numId w:val="10"/>
        </w:numPr>
        <w:spacing w:before="0"/>
      </w:pPr>
      <w:r>
        <w:t>m</w:t>
      </w:r>
      <w:r w:rsidRPr="00577C0E">
        <w:t>echanics</w:t>
      </w:r>
    </w:p>
    <w:p w14:paraId="1A5F5CA0" w14:textId="77777777" w:rsidR="005E0712" w:rsidRPr="00577C0E" w:rsidRDefault="005E0712" w:rsidP="00EA4AC1">
      <w:pPr>
        <w:pStyle w:val="ListParagraph"/>
        <w:widowControl/>
        <w:numPr>
          <w:ilvl w:val="0"/>
          <w:numId w:val="10"/>
        </w:numPr>
        <w:spacing w:before="0"/>
      </w:pPr>
      <w:r>
        <w:t>m</w:t>
      </w:r>
      <w:r w:rsidRPr="00577C0E">
        <w:t>etal work</w:t>
      </w:r>
    </w:p>
    <w:p w14:paraId="57713745" w14:textId="77777777" w:rsidR="005E0712" w:rsidRDefault="005E0712" w:rsidP="00EA4AC1">
      <w:pPr>
        <w:pStyle w:val="LastBulletpoint0"/>
        <w:widowControl/>
        <w:numPr>
          <w:ilvl w:val="0"/>
          <w:numId w:val="10"/>
        </w:numPr>
      </w:pPr>
      <w:r>
        <w:t>c</w:t>
      </w:r>
      <w:r w:rsidRPr="00AE5826">
        <w:t>onstruction work.</w:t>
      </w:r>
    </w:p>
    <w:p w14:paraId="2D624768" w14:textId="77777777" w:rsidR="005E0712" w:rsidRPr="00154089" w:rsidRDefault="005E0712" w:rsidP="00EA4AC1">
      <w:pPr>
        <w:pStyle w:val="BodyText"/>
        <w:widowControl/>
        <w:spacing w:before="120"/>
      </w:pPr>
      <w:r w:rsidRPr="00154089">
        <w:t>Examples of service-based subjects taught in TVET courses</w:t>
      </w:r>
      <w:r>
        <w:t>, include:</w:t>
      </w:r>
    </w:p>
    <w:p w14:paraId="2E5A257E" w14:textId="77777777" w:rsidR="005E0712" w:rsidRPr="00577C0E" w:rsidRDefault="005E0712" w:rsidP="00EA4AC1">
      <w:pPr>
        <w:pStyle w:val="ListParagraph"/>
        <w:widowControl/>
        <w:numPr>
          <w:ilvl w:val="0"/>
          <w:numId w:val="10"/>
        </w:numPr>
        <w:spacing w:before="0"/>
      </w:pPr>
      <w:r>
        <w:t>t</w:t>
      </w:r>
      <w:r w:rsidRPr="00577C0E">
        <w:t>ourism</w:t>
      </w:r>
    </w:p>
    <w:p w14:paraId="535D1BE7" w14:textId="77777777" w:rsidR="005E0712" w:rsidRPr="00577C0E" w:rsidRDefault="005E0712" w:rsidP="00EA4AC1">
      <w:pPr>
        <w:pStyle w:val="ListParagraph"/>
        <w:widowControl/>
        <w:numPr>
          <w:ilvl w:val="0"/>
          <w:numId w:val="10"/>
        </w:numPr>
        <w:spacing w:before="0"/>
      </w:pPr>
      <w:r>
        <w:t>h</w:t>
      </w:r>
      <w:r w:rsidRPr="00577C0E">
        <w:t>ealth services</w:t>
      </w:r>
    </w:p>
    <w:p w14:paraId="3604518C" w14:textId="77777777" w:rsidR="005E0712" w:rsidRPr="00577C0E" w:rsidRDefault="005E0712" w:rsidP="00EA4AC1">
      <w:pPr>
        <w:pStyle w:val="ListParagraph"/>
        <w:widowControl/>
        <w:numPr>
          <w:ilvl w:val="0"/>
          <w:numId w:val="10"/>
        </w:numPr>
        <w:spacing w:before="0"/>
      </w:pPr>
      <w:r>
        <w:t>h</w:t>
      </w:r>
      <w:r w:rsidRPr="00577C0E">
        <w:t>ospitality</w:t>
      </w:r>
    </w:p>
    <w:p w14:paraId="5EB93F86" w14:textId="77777777" w:rsidR="005E0712" w:rsidRPr="00AE5826" w:rsidRDefault="005E0712" w:rsidP="00EA4AC1">
      <w:pPr>
        <w:pStyle w:val="LastBulletpoint0"/>
        <w:widowControl/>
        <w:numPr>
          <w:ilvl w:val="0"/>
          <w:numId w:val="10"/>
        </w:numPr>
      </w:pPr>
      <w:r>
        <w:t>i</w:t>
      </w:r>
      <w:r w:rsidRPr="00AE5826">
        <w:t>nformation and communication technology (ICT).</w:t>
      </w:r>
    </w:p>
    <w:p w14:paraId="03C6E574" w14:textId="77777777" w:rsidR="005E0712" w:rsidRPr="00154089" w:rsidRDefault="005E0712" w:rsidP="00EA4AC1">
      <w:pPr>
        <w:pStyle w:val="BodyText"/>
        <w:widowControl/>
        <w:spacing w:before="120"/>
      </w:pPr>
      <w:r w:rsidRPr="00154089">
        <w:t xml:space="preserve">TVET programs </w:t>
      </w:r>
      <w:r>
        <w:t>are typically:</w:t>
      </w:r>
    </w:p>
    <w:p w14:paraId="005D4A97" w14:textId="77777777" w:rsidR="005E0712" w:rsidRPr="00577C0E" w:rsidRDefault="005E0712" w:rsidP="00EA4AC1">
      <w:pPr>
        <w:pStyle w:val="ListParagraph"/>
        <w:widowControl/>
        <w:numPr>
          <w:ilvl w:val="0"/>
          <w:numId w:val="10"/>
        </w:numPr>
        <w:spacing w:before="0"/>
      </w:pPr>
      <w:r>
        <w:t>s</w:t>
      </w:r>
      <w:r w:rsidRPr="00577C0E">
        <w:t>chool-based (e.g. integrated within secondary schools)</w:t>
      </w:r>
    </w:p>
    <w:p w14:paraId="16034638" w14:textId="77777777" w:rsidR="005E0712" w:rsidRPr="00577C0E" w:rsidRDefault="005E0712" w:rsidP="00EA4AC1">
      <w:pPr>
        <w:pStyle w:val="ListParagraph"/>
        <w:widowControl/>
        <w:numPr>
          <w:ilvl w:val="0"/>
          <w:numId w:val="10"/>
        </w:numPr>
        <w:spacing w:before="0"/>
      </w:pPr>
      <w:r>
        <w:t>c</w:t>
      </w:r>
      <w:r w:rsidRPr="00577C0E">
        <w:t>entre-based (e.g. in dedicated trade training facilities)</w:t>
      </w:r>
    </w:p>
    <w:p w14:paraId="11348D5A" w14:textId="68C8D7FE" w:rsidR="00734AB5" w:rsidRDefault="005E0712" w:rsidP="00EA4AC1">
      <w:pPr>
        <w:pStyle w:val="LastBulletpoint0"/>
        <w:widowControl/>
        <w:numPr>
          <w:ilvl w:val="0"/>
          <w:numId w:val="10"/>
        </w:numPr>
      </w:pPr>
      <w:r>
        <w:t>e</w:t>
      </w:r>
      <w:r w:rsidRPr="009A1B35">
        <w:t xml:space="preserve">nterprise-based </w:t>
      </w:r>
      <w:r w:rsidR="00512E45">
        <w:t>–</w:t>
      </w:r>
      <w:r w:rsidRPr="009A1B35">
        <w:t xml:space="preserve"> in businesses (e.g. apprenticeship schemes).</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734AB5" w14:paraId="6CC12925" w14:textId="77777777" w:rsidTr="00460956">
        <w:trPr>
          <w:cantSplit/>
          <w:trHeight w:val="6521"/>
        </w:trPr>
        <w:tc>
          <w:tcPr>
            <w:tcW w:w="8931" w:type="dxa"/>
            <w:tcBorders>
              <w:top w:val="nil"/>
              <w:bottom w:val="nil"/>
            </w:tcBorders>
            <w:shd w:val="clear" w:color="auto" w:fill="C8E1E1"/>
          </w:tcPr>
          <w:p w14:paraId="281F5ED5" w14:textId="51180FB1" w:rsidR="00734AB5" w:rsidRPr="00106E2E" w:rsidRDefault="00734AB5" w:rsidP="00EA4AC1">
            <w:pPr>
              <w:pStyle w:val="Boxheading"/>
            </w:pPr>
            <w:r w:rsidRPr="00106E2E">
              <w:drawing>
                <wp:anchor distT="0" distB="0" distL="114300" distR="114300" simplePos="0" relativeHeight="251779072" behindDoc="1" locked="0" layoutInCell="1" allowOverlap="1" wp14:anchorId="4359165B" wp14:editId="4BBB816A">
                  <wp:simplePos x="0" y="0"/>
                  <wp:positionH relativeFrom="column">
                    <wp:posOffset>4157980</wp:posOffset>
                  </wp:positionH>
                  <wp:positionV relativeFrom="paragraph">
                    <wp:posOffset>248285</wp:posOffset>
                  </wp:positionV>
                  <wp:extent cx="1106170" cy="842010"/>
                  <wp:effectExtent l="0" t="0" r="0" b="0"/>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00B84ECD">
              <w:t>C</w:t>
            </w:r>
            <w:r w:rsidRPr="00106E2E">
              <w:t xml:space="preserve">ase study: </w:t>
            </w:r>
            <w:r w:rsidR="00B84ECD">
              <w:t>Marine Training Centre in Kiribati</w:t>
            </w:r>
          </w:p>
          <w:p w14:paraId="0DA4478A" w14:textId="77777777" w:rsidR="00B84ECD" w:rsidRPr="00ED6782" w:rsidRDefault="00B84ECD" w:rsidP="00EA4AC1">
            <w:pPr>
              <w:pStyle w:val="Boxtext"/>
              <w:rPr>
                <w:lang w:val="en-US"/>
              </w:rPr>
            </w:pPr>
            <w:r w:rsidRPr="00ED6782">
              <w:rPr>
                <w:lang w:val="en-US"/>
              </w:rPr>
              <w:t xml:space="preserve">The Marine Training Centre (MTC) was established with the assistance of funding primarily from Australia and New Zealand. As an island nation, Kiribati </w:t>
            </w:r>
            <w:r>
              <w:rPr>
                <w:lang w:val="en-US"/>
              </w:rPr>
              <w:t>has</w:t>
            </w:r>
            <w:r w:rsidRPr="00ED6782">
              <w:rPr>
                <w:lang w:val="en-US"/>
              </w:rPr>
              <w:t xml:space="preserve"> limited natural resources</w:t>
            </w:r>
            <w:r>
              <w:rPr>
                <w:lang w:val="en-US"/>
              </w:rPr>
              <w:t xml:space="preserve">. The MTC </w:t>
            </w:r>
            <w:r w:rsidRPr="00ED6782">
              <w:rPr>
                <w:lang w:val="en-US"/>
              </w:rPr>
              <w:t xml:space="preserve">recognises the long and proud tradition that the country has established as sea-farers and aims to build on those skills and experiences. Other than technical sea-faring competencies, it also focuses on self and time management skills. </w:t>
            </w:r>
            <w:r>
              <w:rPr>
                <w:lang w:val="en-US"/>
              </w:rPr>
              <w:t xml:space="preserve"> </w:t>
            </w:r>
          </w:p>
          <w:p w14:paraId="72593034" w14:textId="4F4CE61B" w:rsidR="00B84ECD" w:rsidRDefault="00B84ECD" w:rsidP="00EA4AC1">
            <w:pPr>
              <w:pStyle w:val="Boxtext"/>
              <w:rPr>
                <w:lang w:val="en-US"/>
              </w:rPr>
            </w:pPr>
            <w:r w:rsidRPr="00ED6782">
              <w:rPr>
                <w:lang w:val="en-US"/>
              </w:rPr>
              <w:t xml:space="preserve">Given the limited employment opportunities on the islands, it was imperative the </w:t>
            </w:r>
            <w:r w:rsidR="00512E45">
              <w:rPr>
                <w:lang w:val="en-US"/>
              </w:rPr>
              <w:t>MTC’s</w:t>
            </w:r>
            <w:r w:rsidRPr="00ED6782">
              <w:rPr>
                <w:lang w:val="en-US"/>
              </w:rPr>
              <w:t xml:space="preserve"> qualifications were internationally recognised, enhancing the job prospects of its graduates. </w:t>
            </w:r>
            <w:r>
              <w:rPr>
                <w:lang w:val="en-US"/>
              </w:rPr>
              <w:t>T</w:t>
            </w:r>
            <w:r w:rsidRPr="00ED6782">
              <w:rPr>
                <w:lang w:val="en-US"/>
              </w:rPr>
              <w:t xml:space="preserve">he money repatriated by expatriate Kiribati seamen to their families is a major source of income for their respective local economies. The funding provided by the donor partners has been invested in a clinic, training equipment, vessels and facilities, training programs and the training of MTC instructors. </w:t>
            </w:r>
            <w:r>
              <w:rPr>
                <w:lang w:val="en-US"/>
              </w:rPr>
              <w:t>‘</w:t>
            </w:r>
            <w:r w:rsidRPr="00ED6782">
              <w:rPr>
                <w:lang w:val="en-US"/>
              </w:rPr>
              <w:t>Observers</w:t>
            </w:r>
            <w:r>
              <w:rPr>
                <w:lang w:val="en-US"/>
              </w:rPr>
              <w:t>’</w:t>
            </w:r>
            <w:r w:rsidRPr="00ED6782">
              <w:rPr>
                <w:lang w:val="en-US"/>
              </w:rPr>
              <w:t xml:space="preserve"> trained at the </w:t>
            </w:r>
            <w:r>
              <w:rPr>
                <w:lang w:val="en-US"/>
              </w:rPr>
              <w:t>MTC</w:t>
            </w:r>
            <w:r w:rsidRPr="00ED6782">
              <w:rPr>
                <w:lang w:val="en-US"/>
              </w:rPr>
              <w:t xml:space="preserve"> play a crucial role in overseeing the international fishing licences sold to generate significant income for Kiribati. Hospitality and first aid skills are also developed in the </w:t>
            </w:r>
            <w:r>
              <w:rPr>
                <w:lang w:val="en-US"/>
              </w:rPr>
              <w:t>MTC</w:t>
            </w:r>
            <w:r w:rsidRPr="00ED6782">
              <w:rPr>
                <w:lang w:val="en-US"/>
              </w:rPr>
              <w:t>.</w:t>
            </w:r>
            <w:r>
              <w:rPr>
                <w:lang w:val="en-US"/>
              </w:rPr>
              <w:t xml:space="preserve"> </w:t>
            </w:r>
          </w:p>
          <w:p w14:paraId="7AA2061A" w14:textId="77777777" w:rsidR="00460956" w:rsidRDefault="00B84ECD" w:rsidP="00EA4AC1">
            <w:pPr>
              <w:pStyle w:val="Boxtext"/>
              <w:rPr>
                <w:lang w:val="en-US"/>
              </w:rPr>
            </w:pPr>
            <w:r w:rsidRPr="00ED6782">
              <w:rPr>
                <w:lang w:val="en-US"/>
              </w:rPr>
              <w:t xml:space="preserve">If you have access, take a look at the film about the </w:t>
            </w:r>
            <w:hyperlink r:id="rId34" w:history="1">
              <w:r w:rsidRPr="00512E45">
                <w:rPr>
                  <w:rStyle w:val="LinkChar"/>
                  <w:sz w:val="23"/>
                </w:rPr>
                <w:t>Marine Training Centre in Kiribati</w:t>
              </w:r>
            </w:hyperlink>
            <w:r w:rsidR="00460956" w:rsidRPr="00512E45">
              <w:rPr>
                <w:rStyle w:val="LinkChar"/>
                <w:sz w:val="23"/>
              </w:rPr>
              <w:t>.</w:t>
            </w:r>
            <w:r w:rsidRPr="00ED6782">
              <w:rPr>
                <w:lang w:val="en-US"/>
              </w:rPr>
              <w:t xml:space="preserve"> </w:t>
            </w:r>
          </w:p>
          <w:p w14:paraId="01852AA2" w14:textId="4039C51E" w:rsidR="00460956" w:rsidRPr="00807F0F" w:rsidRDefault="00460956" w:rsidP="00DF3712">
            <w:pPr>
              <w:pStyle w:val="Boxsource"/>
            </w:pPr>
            <w:r w:rsidRPr="00807F0F">
              <w:t xml:space="preserve">Source: </w:t>
            </w:r>
            <w:r w:rsidRPr="00460956">
              <w:t>Australian Agency for International Development (A</w:t>
            </w:r>
            <w:r w:rsidR="00DF3712">
              <w:t>usAID</w:t>
            </w:r>
            <w:r w:rsidRPr="00460956">
              <w:t>) 2010</w:t>
            </w:r>
            <w:r>
              <w:t>.</w:t>
            </w:r>
          </w:p>
        </w:tc>
      </w:tr>
    </w:tbl>
    <w:p w14:paraId="49958D92" w14:textId="39883016" w:rsidR="00CB6F23" w:rsidRDefault="00CB6F23" w:rsidP="005144D2">
      <w:pPr>
        <w:pStyle w:val="Paraspace"/>
      </w:pPr>
      <w:bookmarkStart w:id="25" w:name="_Toc370729637"/>
      <w:bookmarkStart w:id="26" w:name="_Toc370729774"/>
    </w:p>
    <w:p w14:paraId="1DF556E0" w14:textId="77777777" w:rsidR="00CB6F23" w:rsidRDefault="00CB6F23" w:rsidP="005144D2">
      <w:pPr>
        <w:pStyle w:val="Paraspace"/>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CB6F23" w14:paraId="0D02E6EF" w14:textId="77777777" w:rsidTr="006267AE">
        <w:trPr>
          <w:cantSplit/>
          <w:trHeight w:val="6096"/>
        </w:trPr>
        <w:tc>
          <w:tcPr>
            <w:tcW w:w="8931" w:type="dxa"/>
            <w:tcBorders>
              <w:top w:val="nil"/>
              <w:bottom w:val="nil"/>
            </w:tcBorders>
            <w:shd w:val="clear" w:color="auto" w:fill="C8E1E1"/>
          </w:tcPr>
          <w:p w14:paraId="13591D31" w14:textId="77777777" w:rsidR="00CB6F23" w:rsidRPr="00106E2E" w:rsidRDefault="00CB6F23" w:rsidP="006267AE">
            <w:pPr>
              <w:pStyle w:val="Boxheading"/>
            </w:pPr>
            <w:r w:rsidRPr="00106E2E">
              <w:drawing>
                <wp:anchor distT="0" distB="0" distL="114300" distR="114300" simplePos="0" relativeHeight="251811840" behindDoc="1" locked="0" layoutInCell="1" allowOverlap="1" wp14:anchorId="4362293A" wp14:editId="27D47E13">
                  <wp:simplePos x="0" y="0"/>
                  <wp:positionH relativeFrom="column">
                    <wp:posOffset>4157980</wp:posOffset>
                  </wp:positionH>
                  <wp:positionV relativeFrom="paragraph">
                    <wp:posOffset>248285</wp:posOffset>
                  </wp:positionV>
                  <wp:extent cx="1106170" cy="8420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850D41">
              <w:t xml:space="preserve">Case study 2: TVET reform in Bangladesh </w:t>
            </w:r>
          </w:p>
          <w:p w14:paraId="5CC1A356" w14:textId="77777777" w:rsidR="00CB6F23" w:rsidRPr="00850D41" w:rsidRDefault="00CB6F23" w:rsidP="006267AE">
            <w:pPr>
              <w:pStyle w:val="Boxtext"/>
            </w:pPr>
            <w:r w:rsidRPr="00850D41">
              <w:t xml:space="preserve">The TVET reform project in Bangladesh focused on promoting a market-orientated and flexible TVET system to respond to the demand for competitive skills of the modern sector, as well as the needs of young people and under-privileged groups. </w:t>
            </w:r>
          </w:p>
          <w:p w14:paraId="0BA3FF79" w14:textId="77777777" w:rsidR="00CB6F23" w:rsidRPr="00850D41" w:rsidRDefault="00CB6F23" w:rsidP="006267AE">
            <w:pPr>
              <w:pStyle w:val="Boxtext"/>
            </w:pPr>
            <w:r w:rsidRPr="00850D41">
              <w:t>The skills development sector in Bangladesh reflects gender inequalities, which lead to gender divisions in many roles. Increasing access to TVET and employment opportunities for women was an important feature of the project. For example, the leather industry was identified as a growth industry which could provide employment for young people, and especially women.</w:t>
            </w:r>
          </w:p>
          <w:p w14:paraId="2D8C87A5" w14:textId="77777777" w:rsidR="00CB6F23" w:rsidRPr="00850D41" w:rsidRDefault="00CB6F23" w:rsidP="006267AE">
            <w:pPr>
              <w:pStyle w:val="Boxtext"/>
            </w:pPr>
            <w:r w:rsidRPr="00850D41">
              <w:t>The project achieved a number of results. These included the approval of a National Skills Development Policy, a National Technical and Vocational Qualification Framework, the establishment of industry skills councils, and a model for informal apprenticeships in more than 12 trades. A target of 25 per cent public female TVET students was achieved.</w:t>
            </w:r>
          </w:p>
          <w:p w14:paraId="033C91BF" w14:textId="77777777" w:rsidR="00CB6F23" w:rsidRPr="00850D41" w:rsidRDefault="00CB6F23" w:rsidP="006267AE">
            <w:pPr>
              <w:pStyle w:val="Boxtext"/>
              <w:rPr>
                <w:rStyle w:val="Hyperlink"/>
              </w:rPr>
            </w:pPr>
            <w:r w:rsidRPr="00850D41">
              <w:t xml:space="preserve">Take a look at the </w:t>
            </w:r>
            <w:r>
              <w:fldChar w:fldCharType="begin"/>
            </w:r>
            <w:r>
              <w:instrText xml:space="preserve"> HYPERLINK "https://ec.europa.eu/europeaid/node/114906_de" </w:instrText>
            </w:r>
            <w:r>
              <w:fldChar w:fldCharType="separate"/>
            </w:r>
            <w:r w:rsidRPr="00512E45">
              <w:rPr>
                <w:rStyle w:val="LinkChar"/>
                <w:sz w:val="23"/>
              </w:rPr>
              <w:t>testimonial of a female project beneficiary</w:t>
            </w:r>
            <w:r w:rsidRPr="00512E45">
              <w:rPr>
                <w:rStyle w:val="Hyperlink"/>
                <w:color w:val="auto"/>
                <w:u w:val="none"/>
              </w:rPr>
              <w:t>.</w:t>
            </w:r>
          </w:p>
          <w:p w14:paraId="45B006D5" w14:textId="78844960" w:rsidR="00CB6F23" w:rsidRPr="005144D2" w:rsidRDefault="00CB6F23" w:rsidP="006267AE">
            <w:pPr>
              <w:pStyle w:val="Boxsource"/>
            </w:pPr>
            <w:r>
              <w:rPr>
                <w:sz w:val="23"/>
                <w:szCs w:val="23"/>
              </w:rPr>
              <w:fldChar w:fldCharType="end"/>
            </w:r>
            <w:r w:rsidRPr="005144D2">
              <w:t xml:space="preserve">Source: International Cooperation and Development 2018, </w:t>
            </w:r>
            <w:r w:rsidRPr="00512E45">
              <w:rPr>
                <w:rStyle w:val="Hyperlink"/>
                <w:color w:val="808285"/>
                <w:u w:val="none"/>
              </w:rPr>
              <w:t>Technical and Vocational Education and Training (TVET) Reform in Bangladesh: Testimony, Amina Akhter, project beneficiar</w:t>
            </w:r>
            <w:r w:rsidR="00512E45">
              <w:t>y.</w:t>
            </w:r>
            <w:r w:rsidRPr="005144D2">
              <w:t xml:space="preserve"> </w:t>
            </w:r>
          </w:p>
        </w:tc>
      </w:tr>
    </w:tbl>
    <w:p w14:paraId="6B410C77" w14:textId="5A22BDDD" w:rsidR="00CB6F23" w:rsidRDefault="00CB6F23">
      <w:pPr>
        <w:rPr>
          <w:rFonts w:ascii="Calibri" w:eastAsia="Calibri" w:hAnsi="Calibri" w:cs="Calibri"/>
          <w:sz w:val="24"/>
          <w:szCs w:val="24"/>
          <w:lang w:val="en-US"/>
        </w:rPr>
      </w:pPr>
      <w:r>
        <w:br w:type="page"/>
      </w:r>
    </w:p>
    <w:p w14:paraId="18BDA299" w14:textId="77777777" w:rsidR="005E0712" w:rsidRPr="00AE5826" w:rsidRDefault="005E0712" w:rsidP="00EA4AC1">
      <w:pPr>
        <w:pStyle w:val="Heading2"/>
        <w:keepNext w:val="0"/>
        <w:keepLines w:val="0"/>
      </w:pPr>
      <w:r w:rsidRPr="00AE5826">
        <w:t>Understanding how a TVET program works</w:t>
      </w:r>
      <w:bookmarkEnd w:id="25"/>
      <w:bookmarkEnd w:id="26"/>
    </w:p>
    <w:p w14:paraId="3E1383AD" w14:textId="44C02C96" w:rsidR="005E0712" w:rsidRDefault="00512E45" w:rsidP="00EA4AC1">
      <w:pPr>
        <w:pStyle w:val="BodyText"/>
        <w:widowControl/>
      </w:pPr>
      <w:r>
        <w:t xml:space="preserve">Technical and vocational education and training </w:t>
      </w:r>
      <w:r w:rsidR="005E0712" w:rsidRPr="00AE5826">
        <w:t>programs frequently offer multiple entry points for school leavers and out-of-school youth, and enable adult participation. Many countries build connections between secondary education, TVET, adult education and the university system, so that people have the opportunity to access all education and training streams, irrespective of their learning background.</w:t>
      </w:r>
    </w:p>
    <w:p w14:paraId="0DAF5141" w14:textId="7D840F84" w:rsidR="005E0712" w:rsidRDefault="005E0712" w:rsidP="00EA4AC1">
      <w:pPr>
        <w:pStyle w:val="BodyText"/>
        <w:widowControl/>
      </w:pPr>
      <w:r w:rsidRPr="00AE5826">
        <w:t>Vocational training that provides women and men with skills and knowledge specific to a particular job, trade or vocation enhances their ability to do that job and their marketability as labour suppliers. However</w:t>
      </w:r>
      <w:r w:rsidR="007A377C">
        <w:t>,</w:t>
      </w:r>
      <w:r w:rsidRPr="00AE5826">
        <w:t xml:space="preserve"> girls and women are often over-represented in the </w:t>
      </w:r>
      <w:r>
        <w:t>‘</w:t>
      </w:r>
      <w:r w:rsidRPr="00AE5826">
        <w:t>traditional</w:t>
      </w:r>
      <w:r>
        <w:t>’</w:t>
      </w:r>
      <w:r w:rsidRPr="00AE5826">
        <w:t xml:space="preserve"> female training programs like tailoring, hairdressing, secretarial studies, nursing, food and nutrition. Boys and men dominate </w:t>
      </w:r>
      <w:r>
        <w:t>‘</w:t>
      </w:r>
      <w:r w:rsidRPr="00AE5826">
        <w:t>traditional</w:t>
      </w:r>
      <w:r>
        <w:t>’</w:t>
      </w:r>
      <w:r w:rsidRPr="00AE5826">
        <w:t xml:space="preserve"> male fields like carpentry, bricklaying, motor mechanics and engineering. These different paths usually result in different outcomes and, in particular, different earnings. Currently, the nature of the labour market is changing and an increasing number of occupations today are technical and/or require the application of technology.</w:t>
      </w:r>
    </w:p>
    <w:p w14:paraId="19CCD015" w14:textId="61E89F87" w:rsidR="005E0712" w:rsidRDefault="005E0712" w:rsidP="00B9532A">
      <w:pPr>
        <w:pStyle w:val="Tablecaption"/>
        <w:widowControl/>
      </w:pPr>
      <w:r w:rsidRPr="00663BA9">
        <w:t>Figure 1 –</w:t>
      </w:r>
      <w:r w:rsidR="00512E45">
        <w:t xml:space="preserve"> </w:t>
      </w:r>
      <w:r>
        <w:t xml:space="preserve">An example </w:t>
      </w:r>
      <w:r w:rsidR="00512E45">
        <w:t xml:space="preserve">of a </w:t>
      </w:r>
      <w:r w:rsidRPr="00663BA9">
        <w:t xml:space="preserve">TVET </w:t>
      </w:r>
      <w:r>
        <w:t>structure</w:t>
      </w:r>
      <w:r w:rsidRPr="00663BA9">
        <w:t xml:space="preserve"> </w:t>
      </w:r>
    </w:p>
    <w:p w14:paraId="61576236" w14:textId="77777777" w:rsidR="005E0712" w:rsidRPr="00AE5826" w:rsidRDefault="005E0712" w:rsidP="00B9532A">
      <w:pPr>
        <w:tabs>
          <w:tab w:val="left" w:pos="3767"/>
        </w:tabs>
        <w:rPr>
          <w:b/>
        </w:rPr>
      </w:pPr>
      <w:r w:rsidRPr="00AE5826">
        <w:rPr>
          <w:noProof/>
          <w:lang w:eastAsia="en-AU"/>
        </w:rPr>
        <w:drawing>
          <wp:inline distT="0" distB="0" distL="0" distR="0" wp14:anchorId="4142C7E3" wp14:editId="1AEF2F79">
            <wp:extent cx="5138420" cy="4604561"/>
            <wp:effectExtent l="0" t="0" r="5080" b="5715"/>
            <wp:docPr id="72" name="Picture 72" descr="The diagram illustrates the multiple entry points of a country's TVE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iagram illustrates the multiple entry points of a country's TVET stru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4340" cy="4636749"/>
                    </a:xfrm>
                    <a:prstGeom prst="rect">
                      <a:avLst/>
                    </a:prstGeom>
                    <a:noFill/>
                    <a:ln>
                      <a:noFill/>
                    </a:ln>
                  </pic:spPr>
                </pic:pic>
              </a:graphicData>
            </a:graphic>
          </wp:inline>
        </w:drawing>
      </w:r>
    </w:p>
    <w:p w14:paraId="1CE5F422" w14:textId="0B74E623" w:rsidR="005E0712" w:rsidRDefault="005E0712" w:rsidP="00512E45">
      <w:pPr>
        <w:pStyle w:val="Source"/>
      </w:pPr>
      <w:r w:rsidRPr="00512E45">
        <w:t>Source:</w:t>
      </w:r>
      <w:r w:rsidR="00512E45" w:rsidRPr="00512E45">
        <w:t xml:space="preserve"> </w:t>
      </w:r>
      <w:hyperlink r:id="rId36" w:history="1">
        <w:r w:rsidR="00512E45" w:rsidRPr="00512E45">
          <w:rPr>
            <w:rStyle w:val="Hyperlink"/>
            <w:color w:val="808285"/>
            <w:u w:val="none"/>
          </w:rPr>
          <w:t>UNESCO-UNEVOC 2012, World TVET Database: Palestine</w:t>
        </w:r>
      </w:hyperlink>
      <w:r w:rsidR="00512E45" w:rsidRPr="00512E45">
        <w:t>.</w:t>
      </w:r>
    </w:p>
    <w:p w14:paraId="55CC70D2" w14:textId="77777777" w:rsidR="00E93537" w:rsidRPr="00512E45" w:rsidRDefault="00E93537" w:rsidP="00512E45">
      <w:pPr>
        <w:pStyle w:val="Source"/>
      </w:pPr>
    </w:p>
    <w:p w14:paraId="3CD38E8C" w14:textId="77777777" w:rsidR="005E0712" w:rsidRPr="00AE5826" w:rsidRDefault="005E0712" w:rsidP="00B9532A">
      <w:pPr>
        <w:pStyle w:val="Heading1"/>
        <w:widowControl/>
        <w:tabs>
          <w:tab w:val="clear" w:pos="709"/>
          <w:tab w:val="left" w:pos="851"/>
        </w:tabs>
        <w:spacing w:before="240"/>
        <w:ind w:left="851" w:hanging="851"/>
      </w:pPr>
      <w:bookmarkStart w:id="27" w:name="_Toc370729775"/>
      <w:bookmarkStart w:id="28" w:name="_Toc492047147"/>
      <w:bookmarkStart w:id="29" w:name="_Toc496276453"/>
      <w:bookmarkStart w:id="30" w:name="_Toc522804284"/>
      <w:r w:rsidRPr="00AE5826">
        <w:t xml:space="preserve">Higher </w:t>
      </w:r>
      <w:r>
        <w:t>e</w:t>
      </w:r>
      <w:r w:rsidRPr="00AE5826">
        <w:t>ducation</w:t>
      </w:r>
      <w:bookmarkEnd w:id="27"/>
      <w:bookmarkEnd w:id="28"/>
      <w:bookmarkEnd w:id="29"/>
      <w:bookmarkEnd w:id="30"/>
    </w:p>
    <w:p w14:paraId="1B1074AB" w14:textId="77777777" w:rsidR="005E0712" w:rsidRDefault="005E0712" w:rsidP="00EA4AC1">
      <w:pPr>
        <w:pStyle w:val="Heading2"/>
        <w:keepNext w:val="0"/>
        <w:keepLines w:val="0"/>
      </w:pPr>
      <w:r>
        <w:t>What is higher education?</w:t>
      </w:r>
    </w:p>
    <w:p w14:paraId="6158757F" w14:textId="77777777" w:rsidR="005E0712" w:rsidRPr="00AE5826" w:rsidRDefault="005E0712" w:rsidP="00EA4AC1">
      <w:pPr>
        <w:pStyle w:val="BodyText"/>
        <w:widowControl/>
      </w:pPr>
      <w:r w:rsidRPr="00AE5826">
        <w:t>Higher education typically refers to university level study. It often includes teacher education institutions and other specialised training institutions.</w:t>
      </w:r>
    </w:p>
    <w:p w14:paraId="19A07DE1" w14:textId="77777777" w:rsidR="005E0712" w:rsidRPr="00AE5826" w:rsidRDefault="005E0712" w:rsidP="00EA4AC1">
      <w:pPr>
        <w:pStyle w:val="BodyText"/>
        <w:widowControl/>
      </w:pPr>
      <w:r w:rsidRPr="00AE5826">
        <w:t>University education represents degree-based programs at the post-secondary (higher) level. For many developing countries, a relatively small proportion of the population has access to university education, or has completed a degree. This is important because the cost to a country of providing a year at university is typically 10 times (sometimes much more) the cost of a year at primary school.</w:t>
      </w:r>
    </w:p>
    <w:p w14:paraId="3D09D411" w14:textId="77777777" w:rsidR="005E0712" w:rsidRDefault="005E0712" w:rsidP="00EA4AC1">
      <w:pPr>
        <w:pStyle w:val="BodyText"/>
        <w:widowControl/>
      </w:pPr>
      <w:r w:rsidRPr="00AE5826">
        <w:t>The allocation of funding by education sub-sector is often a significant element of sector planning, in terms of equity and access. Most of the larger developing countries have universities. Some smaller countries have access to a regional university such as the University of the South Pacific. Some students study through distance learning and some gain scholarships to study overseas.</w:t>
      </w:r>
    </w:p>
    <w:p w14:paraId="3D1953E9" w14:textId="77777777" w:rsidR="005E0712" w:rsidRDefault="005E0712" w:rsidP="00EA4AC1">
      <w:pPr>
        <w:pStyle w:val="Heading2"/>
        <w:keepNext w:val="0"/>
        <w:keepLines w:val="0"/>
      </w:pPr>
      <w:r>
        <w:t>Key issues in higher education</w:t>
      </w:r>
    </w:p>
    <w:p w14:paraId="0FB4F348" w14:textId="77777777" w:rsidR="005E0712" w:rsidRPr="0087379E" w:rsidRDefault="005E0712" w:rsidP="00EA4AC1">
      <w:pPr>
        <w:pStyle w:val="BodyText"/>
        <w:widowControl/>
        <w:rPr>
          <w:rStyle w:val="Heading3Char"/>
          <w:b/>
          <w:lang w:val="en-AU"/>
        </w:rPr>
      </w:pPr>
      <w:r w:rsidRPr="0087379E">
        <w:rPr>
          <w:rStyle w:val="Heading3Char"/>
          <w:b/>
          <w:lang w:val="en-AU"/>
        </w:rPr>
        <w:t>Disadvantage</w:t>
      </w:r>
      <w:r>
        <w:rPr>
          <w:rStyle w:val="Heading3Char"/>
          <w:b/>
          <w:lang w:val="en-AU"/>
        </w:rPr>
        <w:t>d</w:t>
      </w:r>
      <w:r w:rsidRPr="0087379E">
        <w:rPr>
          <w:rStyle w:val="Heading3Char"/>
          <w:b/>
          <w:lang w:val="en-AU"/>
        </w:rPr>
        <w:t xml:space="preserve"> Groups</w:t>
      </w:r>
    </w:p>
    <w:p w14:paraId="2BE5B845" w14:textId="1F10FED5" w:rsidR="005E0712" w:rsidRPr="00AE5826" w:rsidRDefault="005E0712" w:rsidP="00EA4AC1">
      <w:pPr>
        <w:pStyle w:val="BodyText"/>
        <w:widowControl/>
      </w:pPr>
      <w:r w:rsidRPr="00AE5826">
        <w:t>Female students, ethnic minorities, people with disabilities, and people living in rural/remote areas tend to be under-represented at the higher education level as a result of being disadvantaged at the primary and secondary levels. In this way, disadvantage or exclusion at one stage of the education system can carry forward to later stages. If parts of the population are excluded from primary or secondary education, they are likely to be excluded from higher education too.</w:t>
      </w:r>
    </w:p>
    <w:p w14:paraId="26DB01DD" w14:textId="77777777" w:rsidR="005E0712" w:rsidRDefault="005E0712" w:rsidP="00EA4AC1">
      <w:pPr>
        <w:pStyle w:val="BodyText"/>
        <w:widowControl/>
        <w:rPr>
          <w:rFonts w:eastAsia="Times New Roman" w:cs="Arial"/>
          <w:color w:val="auto"/>
          <w:sz w:val="20"/>
          <w:szCs w:val="20"/>
        </w:rPr>
      </w:pPr>
      <w:r w:rsidRPr="00AE5826">
        <w:t xml:space="preserve">Recognising the disadvantage faced by many people in accessing tertiary education (including TVET and university education), the global target for education calls for a substantial increase in the number of scholarships available to low-income countries and small island states for </w:t>
      </w:r>
      <w:r w:rsidRPr="002D308B">
        <w:t>enrolment in higher education in developed countries (SDG 4.b).</w:t>
      </w:r>
      <w:r>
        <w:rPr>
          <w:rFonts w:eastAsia="Times New Roman" w:cs="Arial"/>
          <w:color w:val="auto"/>
          <w:sz w:val="20"/>
          <w:szCs w:val="20"/>
        </w:rPr>
        <w:t xml:space="preserve"> </w:t>
      </w:r>
    </w:p>
    <w:p w14:paraId="3AE34A1C" w14:textId="5FEBA5C2" w:rsidR="005E0712" w:rsidRPr="00E81485" w:rsidRDefault="005E0712" w:rsidP="00E81485">
      <w:pPr>
        <w:pStyle w:val="Source"/>
      </w:pPr>
      <w:r w:rsidRPr="00E81485">
        <w:t xml:space="preserve">Source: UNESCO 2016, </w:t>
      </w:r>
      <w:hyperlink r:id="rId37" w:history="1">
        <w:r w:rsidRPr="00E81485">
          <w:rPr>
            <w:rStyle w:val="Hyperlink"/>
            <w:color w:val="808285"/>
            <w:u w:val="none"/>
          </w:rPr>
          <w:t>Laying the foundation to measure Sustainable Development Goal 4</w:t>
        </w:r>
      </w:hyperlink>
      <w:r w:rsidR="00EA4AC1" w:rsidRPr="00E81485">
        <w:t>.</w:t>
      </w:r>
    </w:p>
    <w:p w14:paraId="3C9EF14F" w14:textId="77777777" w:rsidR="005E0712" w:rsidRPr="0087379E" w:rsidRDefault="005E0712" w:rsidP="00EA4AC1">
      <w:pPr>
        <w:tabs>
          <w:tab w:val="left" w:pos="3767"/>
        </w:tabs>
        <w:rPr>
          <w:rStyle w:val="Heading3Char"/>
          <w:b/>
        </w:rPr>
      </w:pPr>
      <w:r w:rsidRPr="0087379E">
        <w:rPr>
          <w:rStyle w:val="Heading3Char"/>
          <w:b/>
        </w:rPr>
        <w:t>Challenges</w:t>
      </w:r>
    </w:p>
    <w:p w14:paraId="389C3512" w14:textId="77777777" w:rsidR="005E0712" w:rsidRPr="005E6587" w:rsidRDefault="005E0712" w:rsidP="00EA4AC1">
      <w:pPr>
        <w:tabs>
          <w:tab w:val="left" w:pos="3767"/>
        </w:tabs>
        <w:rPr>
          <w:sz w:val="24"/>
          <w:szCs w:val="24"/>
        </w:rPr>
      </w:pPr>
      <w:r w:rsidRPr="005E6587">
        <w:rPr>
          <w:sz w:val="24"/>
          <w:szCs w:val="24"/>
        </w:rPr>
        <w:t xml:space="preserve">Universities in developing countries face considerable challenges. Funding is a major issue. Others </w:t>
      </w:r>
      <w:r>
        <w:rPr>
          <w:sz w:val="24"/>
          <w:szCs w:val="24"/>
        </w:rPr>
        <w:t xml:space="preserve">challenges </w:t>
      </w:r>
      <w:r w:rsidRPr="005E6587">
        <w:rPr>
          <w:sz w:val="24"/>
          <w:szCs w:val="24"/>
        </w:rPr>
        <w:t>include:</w:t>
      </w:r>
    </w:p>
    <w:p w14:paraId="5BACD76B" w14:textId="77777777" w:rsidR="005E0712" w:rsidRPr="00241C27" w:rsidRDefault="005E0712" w:rsidP="00EA4AC1">
      <w:pPr>
        <w:pStyle w:val="ListParagraph"/>
        <w:widowControl/>
        <w:numPr>
          <w:ilvl w:val="0"/>
          <w:numId w:val="10"/>
        </w:numPr>
        <w:spacing w:before="0"/>
      </w:pPr>
      <w:r w:rsidRPr="00241C27">
        <w:t>establishing and maintaining quality assurance standards</w:t>
      </w:r>
    </w:p>
    <w:p w14:paraId="10D10295" w14:textId="77777777" w:rsidR="005E0712" w:rsidRPr="00241C27" w:rsidRDefault="005E0712" w:rsidP="00EA4AC1">
      <w:pPr>
        <w:pStyle w:val="ListParagraph"/>
        <w:widowControl/>
        <w:numPr>
          <w:ilvl w:val="0"/>
          <w:numId w:val="10"/>
        </w:numPr>
        <w:spacing w:before="0"/>
      </w:pPr>
      <w:r w:rsidRPr="00241C27">
        <w:t>attracting and retaining good quality staff and addressing gender imbalance</w:t>
      </w:r>
    </w:p>
    <w:p w14:paraId="3D5CD862" w14:textId="77777777" w:rsidR="005E0712" w:rsidRPr="00241C27" w:rsidRDefault="005E0712" w:rsidP="00EA4AC1">
      <w:pPr>
        <w:pStyle w:val="ListParagraph"/>
        <w:widowControl/>
        <w:numPr>
          <w:ilvl w:val="0"/>
          <w:numId w:val="10"/>
        </w:numPr>
        <w:spacing w:before="0"/>
      </w:pPr>
      <w:r w:rsidRPr="00241C27">
        <w:t>providing student accommodation</w:t>
      </w:r>
    </w:p>
    <w:p w14:paraId="2DE601AB" w14:textId="77777777" w:rsidR="005E0712" w:rsidRPr="009A1B35" w:rsidRDefault="005E0712" w:rsidP="00EA4AC1">
      <w:pPr>
        <w:pStyle w:val="LastBulletpoint0"/>
        <w:widowControl/>
        <w:numPr>
          <w:ilvl w:val="0"/>
          <w:numId w:val="10"/>
        </w:numPr>
      </w:pPr>
      <w:r>
        <w:t>d</w:t>
      </w:r>
      <w:r w:rsidRPr="009A1B35">
        <w:t>eveloping a robust research culture.</w:t>
      </w:r>
    </w:p>
    <w:p w14:paraId="3632790F" w14:textId="77777777" w:rsidR="005E0712" w:rsidRPr="00AE5826" w:rsidRDefault="005E0712" w:rsidP="00EA4AC1">
      <w:pPr>
        <w:pStyle w:val="Heading1"/>
        <w:widowControl/>
        <w:tabs>
          <w:tab w:val="clear" w:pos="709"/>
          <w:tab w:val="left" w:pos="851"/>
        </w:tabs>
        <w:spacing w:before="240"/>
        <w:ind w:left="851" w:hanging="851"/>
      </w:pPr>
      <w:bookmarkStart w:id="31" w:name="_Toc370729778"/>
      <w:bookmarkStart w:id="32" w:name="_Toc492047148"/>
      <w:bookmarkStart w:id="33" w:name="_Toc496276454"/>
      <w:bookmarkStart w:id="34" w:name="_Toc522804285"/>
      <w:r w:rsidRPr="00AE5826">
        <w:t xml:space="preserve">Non-formal </w:t>
      </w:r>
      <w:r>
        <w:t>e</w:t>
      </w:r>
      <w:r w:rsidRPr="00AE5826">
        <w:t xml:space="preserve">ducation and </w:t>
      </w:r>
      <w:r>
        <w:t>l</w:t>
      </w:r>
      <w:r w:rsidRPr="00AE5826">
        <w:t xml:space="preserve">ifelong </w:t>
      </w:r>
      <w:r>
        <w:t>l</w:t>
      </w:r>
      <w:r w:rsidRPr="00AE5826">
        <w:t>earning</w:t>
      </w:r>
      <w:bookmarkEnd w:id="31"/>
      <w:bookmarkEnd w:id="32"/>
      <w:bookmarkEnd w:id="33"/>
      <w:bookmarkEnd w:id="34"/>
    </w:p>
    <w:p w14:paraId="495B0F7D" w14:textId="77777777" w:rsidR="005E0712" w:rsidRDefault="005E0712" w:rsidP="00EA4AC1">
      <w:pPr>
        <w:pStyle w:val="Heading2"/>
        <w:keepNext w:val="0"/>
        <w:keepLines w:val="0"/>
      </w:pPr>
      <w:r>
        <w:t>What are non-formal education and lifelong learning?</w:t>
      </w:r>
    </w:p>
    <w:p w14:paraId="456DFC7C" w14:textId="35417D06" w:rsidR="005E0712" w:rsidRPr="00AE5826" w:rsidRDefault="005E0712" w:rsidP="00EA4AC1">
      <w:pPr>
        <w:pStyle w:val="BodyText"/>
        <w:widowControl/>
      </w:pPr>
      <w:r w:rsidRPr="00AE5826">
        <w:t>Non-formal education refers to structured learning activities that do not usually result in the award of a qualification. They are organised outside the formal education system. Examples include training workshops, community-based information sessions, adult literacy programs, and applied learning activities (e.g. community training on school maintenance; school-community workshops on improved water and sanitation). They often target out-of-school children and youth, providing education fundamentals (e.g.</w:t>
      </w:r>
      <w:r w:rsidR="00E93537">
        <w:t> </w:t>
      </w:r>
      <w:r w:rsidRPr="00AE5826">
        <w:t>functional literacy/numeracy), life skills, work skills and reinforcing general culture.</w:t>
      </w:r>
    </w:p>
    <w:p w14:paraId="277C053A" w14:textId="77777777" w:rsidR="005E0712" w:rsidRDefault="005E0712" w:rsidP="00EA4AC1">
      <w:pPr>
        <w:pStyle w:val="BodyText"/>
        <w:widowControl/>
      </w:pPr>
      <w:r w:rsidRPr="00AE5826">
        <w:t xml:space="preserve">Lifelong learning encompasses non-formal education and acknowledges that learning never stops. The priority of lifelong learning in many developing countries is on increasing adult literacy rates, linked with sustainable livelihood topics. Lifelong learning also targets the development of skills and knowledge directly applicable to the workplace. A substantial proportion of capacity building investment provided by DFAT and other </w:t>
      </w:r>
      <w:r>
        <w:t>development partners</w:t>
      </w:r>
      <w:r w:rsidRPr="00AE5826">
        <w:t xml:space="preserve"> may be categorised as non-formal education and lifelong learning. This may include on-the-job training, domestic/international workshops, peer support or tailored training programs.</w:t>
      </w:r>
    </w:p>
    <w:p w14:paraId="6B30C4AA" w14:textId="77777777" w:rsidR="00EA4AC1" w:rsidRDefault="00EA4AC1" w:rsidP="00EA4AC1">
      <w:pPr>
        <w:pStyle w:val="Paraspace"/>
      </w:pPr>
    </w:p>
    <w:p w14:paraId="5BE1564A" w14:textId="77777777" w:rsidR="005E0712" w:rsidRPr="00AE5826" w:rsidRDefault="005E0712" w:rsidP="00EA4AC1">
      <w:pPr>
        <w:pStyle w:val="Heading1"/>
        <w:widowControl/>
        <w:tabs>
          <w:tab w:val="clear" w:pos="709"/>
          <w:tab w:val="left" w:pos="851"/>
        </w:tabs>
        <w:spacing w:before="240"/>
        <w:ind w:left="851" w:hanging="851"/>
      </w:pPr>
      <w:bookmarkStart w:id="35" w:name="_Toc370729779"/>
      <w:bookmarkStart w:id="36" w:name="_Toc492047149"/>
      <w:bookmarkStart w:id="37" w:name="_Toc496276455"/>
      <w:bookmarkStart w:id="38" w:name="_Toc522804286"/>
      <w:r w:rsidRPr="00AE5826">
        <w:t>Pathwa</w:t>
      </w:r>
      <w:r>
        <w:t>ys t</w:t>
      </w:r>
      <w:r w:rsidRPr="00AE5826">
        <w:t xml:space="preserve">hrough </w:t>
      </w:r>
      <w:r>
        <w:t>e</w:t>
      </w:r>
      <w:r w:rsidRPr="00AE5826">
        <w:t xml:space="preserve">ducation and </w:t>
      </w:r>
      <w:r>
        <w:t>t</w:t>
      </w:r>
      <w:r w:rsidRPr="00AE5826">
        <w:t>raining</w:t>
      </w:r>
      <w:bookmarkEnd w:id="35"/>
      <w:bookmarkEnd w:id="36"/>
      <w:bookmarkEnd w:id="37"/>
      <w:bookmarkEnd w:id="38"/>
    </w:p>
    <w:p w14:paraId="6EB83503" w14:textId="77777777" w:rsidR="005E0712" w:rsidRDefault="005E0712" w:rsidP="00EA4AC1">
      <w:pPr>
        <w:pStyle w:val="Heading2"/>
        <w:keepNext w:val="0"/>
        <w:keepLines w:val="0"/>
      </w:pPr>
      <w:r>
        <w:t>Education systems try to build in flexibility</w:t>
      </w:r>
    </w:p>
    <w:p w14:paraId="2BD6B604" w14:textId="6C37FC5D" w:rsidR="005E0712" w:rsidRPr="00EA4AC1" w:rsidRDefault="005E0712" w:rsidP="00EA4AC1">
      <w:pPr>
        <w:pStyle w:val="BodyText"/>
      </w:pPr>
      <w:r w:rsidRPr="00EA4AC1">
        <w:t>The education sub-sectors are generally designed as a straight and direct pathway (e.g.</w:t>
      </w:r>
      <w:r w:rsidR="00E93537">
        <w:t> </w:t>
      </w:r>
      <w:r w:rsidRPr="00EA4AC1">
        <w:t>early childhood education → primary → secondary → TVET/higher education), facilitating a smooth passage through the education system. However</w:t>
      </w:r>
      <w:r w:rsidR="00A20762">
        <w:t>,</w:t>
      </w:r>
      <w:r w:rsidRPr="00EA4AC1">
        <w:t xml:space="preserve"> for some learners the pathway is not so smooth.</w:t>
      </w:r>
    </w:p>
    <w:p w14:paraId="67119017" w14:textId="77777777" w:rsidR="005E0712" w:rsidRPr="00EA4AC1" w:rsidRDefault="005E0712" w:rsidP="00EA4AC1">
      <w:pPr>
        <w:pStyle w:val="Heading3"/>
        <w:rPr>
          <w:b/>
        </w:rPr>
      </w:pPr>
      <w:r w:rsidRPr="00EA4AC1">
        <w:rPr>
          <w:b/>
        </w:rPr>
        <w:t>What reasons could influence a learner's education pathway?</w:t>
      </w:r>
    </w:p>
    <w:p w14:paraId="27D1BDFD" w14:textId="0ECACC70" w:rsidR="005E0712" w:rsidRDefault="005E0712" w:rsidP="00EA4AC1">
      <w:pPr>
        <w:pStyle w:val="BodyText"/>
        <w:rPr>
          <w:rStyle w:val="Heading3Char"/>
        </w:rPr>
      </w:pPr>
      <w:r>
        <w:t>A learner’s education pathway may be influenced by</w:t>
      </w:r>
      <w:r w:rsidR="00EA4AC1">
        <w:t>:</w:t>
      </w:r>
    </w:p>
    <w:p w14:paraId="34726183" w14:textId="77777777" w:rsidR="005E0712" w:rsidRPr="00EA4AC1" w:rsidRDefault="005E0712" w:rsidP="00EA4AC1">
      <w:pPr>
        <w:pStyle w:val="ListParagraph"/>
      </w:pPr>
      <w:r w:rsidRPr="00EA4AC1">
        <w:t>late start to education</w:t>
      </w:r>
    </w:p>
    <w:p w14:paraId="2313A6D3" w14:textId="77777777" w:rsidR="005E0712" w:rsidRPr="00EA4AC1" w:rsidRDefault="005E0712" w:rsidP="00EA4AC1">
      <w:pPr>
        <w:pStyle w:val="ListParagraph"/>
      </w:pPr>
      <w:r w:rsidRPr="00EA4AC1">
        <w:t>dropout and later return</w:t>
      </w:r>
    </w:p>
    <w:p w14:paraId="43F3A406" w14:textId="77777777" w:rsidR="005E0712" w:rsidRDefault="005E0712" w:rsidP="00EA4AC1">
      <w:pPr>
        <w:pStyle w:val="LastBulletPoint"/>
      </w:pPr>
      <w:r w:rsidRPr="00EA4AC1">
        <w:t>missed stages.</w:t>
      </w: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E81485" w14:paraId="500FDAA2" w14:textId="77777777" w:rsidTr="00E81485">
        <w:trPr>
          <w:cantSplit/>
          <w:trHeight w:val="4772"/>
        </w:trPr>
        <w:tc>
          <w:tcPr>
            <w:tcW w:w="8926" w:type="dxa"/>
            <w:shd w:val="clear" w:color="auto" w:fill="auto"/>
          </w:tcPr>
          <w:p w14:paraId="1D93941B" w14:textId="2C380D1C" w:rsidR="00E81485" w:rsidRPr="00106E2E" w:rsidRDefault="00E81485" w:rsidP="00AA49D9">
            <w:pPr>
              <w:pStyle w:val="Boxheading"/>
            </w:pPr>
            <w:r w:rsidRPr="00106E2E">
              <w:drawing>
                <wp:anchor distT="0" distB="0" distL="114300" distR="114300" simplePos="0" relativeHeight="251803648" behindDoc="0" locked="0" layoutInCell="1" allowOverlap="1" wp14:anchorId="2F976FAF" wp14:editId="5FA44E6F">
                  <wp:simplePos x="0" y="0"/>
                  <wp:positionH relativeFrom="column">
                    <wp:posOffset>4191635</wp:posOffset>
                  </wp:positionH>
                  <wp:positionV relativeFrom="paragraph">
                    <wp:posOffset>236220</wp:posOffset>
                  </wp:positionV>
                  <wp:extent cx="1106170" cy="8528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Reasons for missing stages of education</w:t>
            </w:r>
          </w:p>
          <w:p w14:paraId="7F5DEC3E" w14:textId="77777777" w:rsidR="00E81485" w:rsidRPr="00E81485" w:rsidRDefault="00E81485" w:rsidP="00E81485">
            <w:pPr>
              <w:pStyle w:val="Boxtext"/>
            </w:pPr>
            <w:r w:rsidRPr="00E81485">
              <w:t>People may miss stages of their education owing to:</w:t>
            </w:r>
          </w:p>
          <w:p w14:paraId="513CFEB5" w14:textId="22E671C4" w:rsidR="00E81485" w:rsidRPr="00E81485" w:rsidRDefault="00E81485" w:rsidP="00E81485">
            <w:pPr>
              <w:pStyle w:val="ListParagraph"/>
              <w:ind w:left="738" w:hanging="284"/>
              <w:rPr>
                <w:sz w:val="23"/>
                <w:szCs w:val="23"/>
              </w:rPr>
            </w:pPr>
            <w:r w:rsidRPr="00E81485">
              <w:rPr>
                <w:sz w:val="23"/>
                <w:szCs w:val="23"/>
              </w:rPr>
              <w:t>natural disasters</w:t>
            </w:r>
          </w:p>
          <w:p w14:paraId="2C044D15" w14:textId="13BE569D" w:rsidR="00E81485" w:rsidRPr="00E81485" w:rsidRDefault="00E81485" w:rsidP="00E81485">
            <w:pPr>
              <w:pStyle w:val="ListParagraph"/>
              <w:ind w:left="738" w:hanging="284"/>
              <w:rPr>
                <w:sz w:val="23"/>
                <w:szCs w:val="23"/>
              </w:rPr>
            </w:pPr>
            <w:r w:rsidRPr="00E81485">
              <w:rPr>
                <w:sz w:val="23"/>
                <w:szCs w:val="23"/>
              </w:rPr>
              <w:t>conflict</w:t>
            </w:r>
          </w:p>
          <w:p w14:paraId="3C0DE49D" w14:textId="08310721" w:rsidR="00E81485" w:rsidRPr="00E81485" w:rsidRDefault="00E81485" w:rsidP="00E81485">
            <w:pPr>
              <w:pStyle w:val="ListParagraph"/>
              <w:ind w:left="738" w:hanging="284"/>
              <w:rPr>
                <w:sz w:val="23"/>
                <w:szCs w:val="23"/>
              </w:rPr>
            </w:pPr>
            <w:r w:rsidRPr="00E81485">
              <w:rPr>
                <w:sz w:val="23"/>
                <w:szCs w:val="23"/>
              </w:rPr>
              <w:t>personal reasons (e.g. household responsibilities)</w:t>
            </w:r>
          </w:p>
          <w:p w14:paraId="7C082789" w14:textId="6619F4A5" w:rsidR="00E81485" w:rsidRPr="00E81485" w:rsidRDefault="00E81485" w:rsidP="00E81485">
            <w:pPr>
              <w:pStyle w:val="ListParagraph"/>
              <w:ind w:left="738" w:hanging="284"/>
              <w:rPr>
                <w:sz w:val="23"/>
                <w:szCs w:val="23"/>
              </w:rPr>
            </w:pPr>
            <w:r w:rsidRPr="00E81485">
              <w:rPr>
                <w:sz w:val="23"/>
                <w:szCs w:val="23"/>
              </w:rPr>
              <w:t>financial reasons</w:t>
            </w:r>
          </w:p>
          <w:p w14:paraId="5FE19E11" w14:textId="6F271749" w:rsidR="00E81485" w:rsidRPr="00E81485" w:rsidRDefault="00E81485" w:rsidP="00E81485">
            <w:pPr>
              <w:pStyle w:val="ListParagraph"/>
              <w:ind w:left="738" w:hanging="284"/>
              <w:rPr>
                <w:sz w:val="23"/>
                <w:szCs w:val="23"/>
              </w:rPr>
            </w:pPr>
            <w:r w:rsidRPr="00E81485">
              <w:rPr>
                <w:sz w:val="23"/>
                <w:szCs w:val="23"/>
              </w:rPr>
              <w:t>internal mobility or displacement</w:t>
            </w:r>
          </w:p>
          <w:p w14:paraId="338A01ED" w14:textId="49B11AC4" w:rsidR="00E81485" w:rsidRPr="00E81485" w:rsidRDefault="00E81485" w:rsidP="00E81485">
            <w:pPr>
              <w:pStyle w:val="ListParagraph"/>
              <w:ind w:left="738" w:hanging="284"/>
              <w:rPr>
                <w:sz w:val="23"/>
                <w:szCs w:val="23"/>
              </w:rPr>
            </w:pPr>
            <w:r w:rsidRPr="00E81485">
              <w:rPr>
                <w:sz w:val="23"/>
                <w:szCs w:val="23"/>
              </w:rPr>
              <w:t>equity issues (gender, disability and ethnicity).</w:t>
            </w:r>
          </w:p>
          <w:p w14:paraId="4077D414" w14:textId="66EFCBA0" w:rsidR="00E81485" w:rsidRPr="00807F0F" w:rsidRDefault="00E81485" w:rsidP="00E81485">
            <w:pPr>
              <w:pStyle w:val="Boxtext"/>
            </w:pPr>
            <w:r w:rsidRPr="00E81485">
              <w:t>Many education systems build in flexibility to increase the chances of getting all children and young people into the system in the first place, and to facilitate re-entry for those who have left.</w:t>
            </w:r>
          </w:p>
        </w:tc>
      </w:tr>
    </w:tbl>
    <w:p w14:paraId="4D3DB38B" w14:textId="77777777" w:rsidR="00E81485" w:rsidRDefault="00E81485" w:rsidP="00CB6F23">
      <w:pPr>
        <w:pStyle w:val="Paraspace"/>
      </w:pPr>
    </w:p>
    <w:tbl>
      <w:tblPr>
        <w:tblStyle w:val="TableGrid"/>
        <w:tblW w:w="9067"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9067"/>
      </w:tblGrid>
      <w:tr w:rsidR="00E81485" w14:paraId="1E3841F8" w14:textId="77777777" w:rsidTr="00E81485">
        <w:trPr>
          <w:cantSplit/>
          <w:trHeight w:val="3524"/>
        </w:trPr>
        <w:tc>
          <w:tcPr>
            <w:tcW w:w="9067" w:type="dxa"/>
            <w:shd w:val="clear" w:color="auto" w:fill="auto"/>
          </w:tcPr>
          <w:p w14:paraId="267585A2" w14:textId="176FAF56" w:rsidR="00E81485" w:rsidRPr="00E81485" w:rsidRDefault="00E81485" w:rsidP="00E81485">
            <w:pPr>
              <w:pStyle w:val="Boxheading"/>
              <w:rPr>
                <w:sz w:val="23"/>
                <w:szCs w:val="23"/>
              </w:rPr>
            </w:pPr>
            <w:r w:rsidRPr="00106E2E">
              <w:drawing>
                <wp:anchor distT="0" distB="0" distL="114300" distR="114300" simplePos="0" relativeHeight="251805696" behindDoc="0" locked="0" layoutInCell="1" allowOverlap="1" wp14:anchorId="25893574" wp14:editId="147573A1">
                  <wp:simplePos x="0" y="0"/>
                  <wp:positionH relativeFrom="column">
                    <wp:posOffset>4191635</wp:posOffset>
                  </wp:positionH>
                  <wp:positionV relativeFrom="paragraph">
                    <wp:posOffset>236220</wp:posOffset>
                  </wp:positionV>
                  <wp:extent cx="1106170" cy="852805"/>
                  <wp:effectExtent l="0" t="0" r="0" b="4445"/>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Purpose of multiple pathways</w:t>
            </w:r>
          </w:p>
          <w:p w14:paraId="13BEEA89" w14:textId="32A633D6" w:rsidR="00E81485" w:rsidRPr="00807F0F" w:rsidRDefault="00E81485" w:rsidP="00E93537">
            <w:pPr>
              <w:pStyle w:val="Boxtext"/>
            </w:pPr>
            <w:r w:rsidRPr="00AE5826">
              <w:t>Multiple pathways through education and training provide a greater opportunity for age</w:t>
            </w:r>
            <w:r w:rsidR="005100D4">
              <w:noBreakHyphen/>
            </w:r>
            <w:r w:rsidRPr="00AE5826">
              <w:t xml:space="preserve">appropriate learning (e.g. teenagers accessing primary level education for the first time), allow people to change </w:t>
            </w:r>
            <w:r>
              <w:t>‘</w:t>
            </w:r>
            <w:r w:rsidRPr="00AE5826">
              <w:t>streams</w:t>
            </w:r>
            <w:r>
              <w:t>’</w:t>
            </w:r>
            <w:r w:rsidRPr="00AE5826">
              <w:t xml:space="preserve"> as their life situations change (e.g. to move from a vocational program to an academic degree, and vice versa), and facilitate multiple re-entry points for training or re-training. Having an integrated education system, where one stage is linked to another and alternative pathways are offered, results in improved educational outcomes, enhanced inclusion, accessibility, education and employment opportunities, and economic and social development</w:t>
            </w:r>
            <w:r>
              <w:t>.</w:t>
            </w:r>
          </w:p>
        </w:tc>
      </w:tr>
    </w:tbl>
    <w:p w14:paraId="1263A778" w14:textId="77777777" w:rsidR="00C4436F" w:rsidRDefault="00C4436F" w:rsidP="00C4436F">
      <w:pPr>
        <w:pStyle w:val="Paraspace"/>
      </w:pPr>
    </w:p>
    <w:tbl>
      <w:tblPr>
        <w:tblStyle w:val="TableGrid"/>
        <w:tblW w:w="9214"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9214"/>
      </w:tblGrid>
      <w:tr w:rsidR="00FC3A17" w:rsidRPr="0076572C" w14:paraId="30EAD95E" w14:textId="77777777" w:rsidTr="00C4436F">
        <w:trPr>
          <w:trHeight w:val="4662"/>
        </w:trPr>
        <w:tc>
          <w:tcPr>
            <w:tcW w:w="9214" w:type="dxa"/>
            <w:shd w:val="clear" w:color="auto" w:fill="D9D9D9" w:themeFill="background1" w:themeFillShade="D9"/>
          </w:tcPr>
          <w:p w14:paraId="73A1DB0B" w14:textId="5488E189" w:rsidR="00FC3A17" w:rsidRPr="00673528" w:rsidRDefault="005100D4" w:rsidP="00EA4AC1">
            <w:pPr>
              <w:pStyle w:val="Boxheading"/>
              <w:rPr>
                <w:rFonts w:eastAsiaTheme="majorEastAsia"/>
              </w:rPr>
            </w:pPr>
            <w:r w:rsidRPr="00673528">
              <w:drawing>
                <wp:anchor distT="0" distB="0" distL="114300" distR="114300" simplePos="0" relativeHeight="251777024" behindDoc="1" locked="0" layoutInCell="1" allowOverlap="1" wp14:anchorId="24B2FF39" wp14:editId="7F123A2E">
                  <wp:simplePos x="0" y="0"/>
                  <wp:positionH relativeFrom="column">
                    <wp:posOffset>4298315</wp:posOffset>
                  </wp:positionH>
                  <wp:positionV relativeFrom="paragraph">
                    <wp:posOffset>208280</wp:posOffset>
                  </wp:positionV>
                  <wp:extent cx="1005609" cy="765465"/>
                  <wp:effectExtent l="0" t="0" r="4445"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5609" cy="765465"/>
                          </a:xfrm>
                          <a:prstGeom prst="rect">
                            <a:avLst/>
                          </a:prstGeom>
                        </pic:spPr>
                      </pic:pic>
                    </a:graphicData>
                  </a:graphic>
                  <wp14:sizeRelH relativeFrom="margin">
                    <wp14:pctWidth>0</wp14:pctWidth>
                  </wp14:sizeRelH>
                  <wp14:sizeRelV relativeFrom="margin">
                    <wp14:pctHeight>0</wp14:pctHeight>
                  </wp14:sizeRelV>
                </wp:anchor>
              </w:drawing>
            </w:r>
            <w:r w:rsidR="00B9532A">
              <w:br w:type="page"/>
            </w:r>
            <w:r w:rsidR="00FC3A17" w:rsidRPr="00673528">
              <w:t>An activity for you</w:t>
            </w:r>
          </w:p>
          <w:p w14:paraId="78EF7412" w14:textId="77777777" w:rsidR="00E81485" w:rsidRPr="00B9532A" w:rsidRDefault="00E81485" w:rsidP="00E81485">
            <w:pPr>
              <w:pStyle w:val="Boxtext"/>
              <w:rPr>
                <w:b/>
                <w:lang w:val="en-US"/>
              </w:rPr>
            </w:pPr>
            <w:r w:rsidRPr="00B9532A">
              <w:rPr>
                <w:b/>
                <w:lang w:val="en-US"/>
              </w:rPr>
              <w:t xml:space="preserve">What does an education and training system look like in a country DFAT works in?  </w:t>
            </w:r>
          </w:p>
          <w:p w14:paraId="1F896616" w14:textId="63EA1791" w:rsidR="00E81485" w:rsidRPr="00B9532A" w:rsidRDefault="00E81485" w:rsidP="005100D4">
            <w:pPr>
              <w:pStyle w:val="Boxtext"/>
              <w:ind w:right="175"/>
            </w:pPr>
            <w:r w:rsidRPr="00B9532A">
              <w:rPr>
                <w:b/>
              </w:rPr>
              <w:t xml:space="preserve">Figure 2 </w:t>
            </w:r>
            <w:r w:rsidR="005100D4">
              <w:t xml:space="preserve">below </w:t>
            </w:r>
            <w:r w:rsidRPr="00B9532A">
              <w:t>shows the Papua New Guinea (PNG) education and training system. It shows clearly the different education and training pathways that students may take.  Using this diagram answer the</w:t>
            </w:r>
            <w:r w:rsidR="00E93537">
              <w:t>se</w:t>
            </w:r>
            <w:r w:rsidRPr="00B9532A">
              <w:t xml:space="preserve"> questions.</w:t>
            </w:r>
          </w:p>
          <w:p w14:paraId="751E0ED0" w14:textId="77777777" w:rsidR="00E81485" w:rsidRPr="00B9532A" w:rsidRDefault="00E81485" w:rsidP="00E81485">
            <w:pPr>
              <w:pStyle w:val="Boxtext"/>
              <w:rPr>
                <w:b/>
              </w:rPr>
            </w:pPr>
            <w:r w:rsidRPr="00B9532A">
              <w:rPr>
                <w:b/>
              </w:rPr>
              <w:t>Questions</w:t>
            </w:r>
          </w:p>
          <w:p w14:paraId="1D2B43F1" w14:textId="77777777" w:rsidR="00E81485" w:rsidRPr="00B9532A" w:rsidRDefault="00E81485" w:rsidP="00E81485">
            <w:pPr>
              <w:pStyle w:val="Boxtext"/>
              <w:spacing w:before="60"/>
            </w:pPr>
            <w:r w:rsidRPr="00B9532A">
              <w:t>1. How many years of schooling are in the basic education cycle in PNG?</w:t>
            </w:r>
          </w:p>
          <w:p w14:paraId="1FDA2A20" w14:textId="77777777" w:rsidR="00E81485" w:rsidRPr="00B9532A" w:rsidRDefault="00E81485" w:rsidP="00E81485">
            <w:pPr>
              <w:pStyle w:val="Boxtext"/>
              <w:spacing w:before="60"/>
            </w:pPr>
            <w:r w:rsidRPr="00B9532A">
              <w:t>2. What are the three possible pathways after basic education?</w:t>
            </w:r>
          </w:p>
          <w:p w14:paraId="0F8EE299" w14:textId="77777777" w:rsidR="00E81485" w:rsidRPr="00B9532A" w:rsidRDefault="00E81485" w:rsidP="00E81485">
            <w:pPr>
              <w:pStyle w:val="Boxtext"/>
              <w:spacing w:before="60"/>
            </w:pPr>
            <w:r w:rsidRPr="00B9532A">
              <w:t>3. What possible pathways are available after secondary school?</w:t>
            </w:r>
          </w:p>
          <w:p w14:paraId="7797BA4E" w14:textId="77777777" w:rsidR="00E81485" w:rsidRDefault="00E81485" w:rsidP="00E81485">
            <w:pPr>
              <w:pStyle w:val="Boxtext"/>
              <w:spacing w:before="60"/>
            </w:pPr>
            <w:r w:rsidRPr="00B9532A">
              <w:t>4. What do the double-ended arrows mean?</w:t>
            </w:r>
          </w:p>
          <w:p w14:paraId="01518F15" w14:textId="07845BA4" w:rsidR="00B9532A" w:rsidRPr="005100D4" w:rsidRDefault="00B9532A" w:rsidP="005100D4">
            <w:pPr>
              <w:pStyle w:val="Boxsource"/>
            </w:pPr>
          </w:p>
        </w:tc>
      </w:tr>
      <w:tr w:rsidR="00C4436F" w:rsidRPr="0076572C" w14:paraId="6F894CA6" w14:textId="77777777" w:rsidTr="00E93537">
        <w:trPr>
          <w:trHeight w:val="12465"/>
        </w:trPr>
        <w:tc>
          <w:tcPr>
            <w:tcW w:w="9214" w:type="dxa"/>
            <w:shd w:val="clear" w:color="auto" w:fill="D9D9D9" w:themeFill="background1" w:themeFillShade="D9"/>
          </w:tcPr>
          <w:p w14:paraId="07459323" w14:textId="65F120E5" w:rsidR="00C4436F" w:rsidRPr="00673528" w:rsidRDefault="00C4436F" w:rsidP="006267AE">
            <w:pPr>
              <w:pStyle w:val="Boxheading"/>
              <w:rPr>
                <w:rFonts w:eastAsiaTheme="majorEastAsia"/>
              </w:rPr>
            </w:pPr>
            <w:r w:rsidRPr="00673528">
              <w:drawing>
                <wp:anchor distT="0" distB="0" distL="114300" distR="114300" simplePos="0" relativeHeight="251809792" behindDoc="1" locked="0" layoutInCell="1" allowOverlap="1" wp14:anchorId="3A3C6249" wp14:editId="399360B0">
                  <wp:simplePos x="0" y="0"/>
                  <wp:positionH relativeFrom="column">
                    <wp:posOffset>4298315</wp:posOffset>
                  </wp:positionH>
                  <wp:positionV relativeFrom="paragraph">
                    <wp:posOffset>208280</wp:posOffset>
                  </wp:positionV>
                  <wp:extent cx="1005609" cy="765465"/>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5609" cy="765465"/>
                          </a:xfrm>
                          <a:prstGeom prst="rect">
                            <a:avLst/>
                          </a:prstGeom>
                        </pic:spPr>
                      </pic:pic>
                    </a:graphicData>
                  </a:graphic>
                  <wp14:sizeRelH relativeFrom="margin">
                    <wp14:pctWidth>0</wp14:pctWidth>
                  </wp14:sizeRelH>
                  <wp14:sizeRelV relativeFrom="margin">
                    <wp14:pctHeight>0</wp14:pctHeight>
                  </wp14:sizeRelV>
                </wp:anchor>
              </w:drawing>
            </w:r>
            <w:r>
              <w:br w:type="page"/>
            </w:r>
            <w:r w:rsidRPr="00673528">
              <w:t>An activity for you</w:t>
            </w:r>
            <w:r>
              <w:t xml:space="preserve"> (cont.)</w:t>
            </w:r>
          </w:p>
          <w:p w14:paraId="1B017A47" w14:textId="77777777" w:rsidR="00C4436F" w:rsidRDefault="00C4436F" w:rsidP="00C4436F">
            <w:pPr>
              <w:pStyle w:val="Boxtext"/>
              <w:spacing w:before="60"/>
            </w:pPr>
          </w:p>
          <w:p w14:paraId="22BCAB72" w14:textId="77777777" w:rsidR="00C4436F" w:rsidRDefault="00C4436F" w:rsidP="00C4436F">
            <w:pPr>
              <w:pStyle w:val="Tablecaption"/>
              <w:widowControl/>
              <w:spacing w:before="120"/>
              <w:ind w:left="318"/>
            </w:pPr>
            <w:r>
              <w:t xml:space="preserve">Figure 2 – Papua New Guinea </w:t>
            </w:r>
            <w:r w:rsidRPr="008B002A">
              <w:t>education and training system</w:t>
            </w:r>
          </w:p>
          <w:p w14:paraId="57CEEA2B" w14:textId="77777777" w:rsidR="00C4436F" w:rsidRDefault="00C4436F" w:rsidP="00C4436F">
            <w:pPr>
              <w:pStyle w:val="Boxtext"/>
              <w:spacing w:before="60"/>
            </w:pPr>
          </w:p>
          <w:p w14:paraId="040CECD8" w14:textId="77777777" w:rsidR="00C4436F" w:rsidRDefault="00C4436F" w:rsidP="00C4436F">
            <w:pPr>
              <w:pStyle w:val="Boxtext"/>
              <w:spacing w:before="60"/>
            </w:pPr>
            <w:r w:rsidRPr="00AE5826">
              <w:rPr>
                <w:noProof/>
                <w:lang w:eastAsia="en-AU"/>
              </w:rPr>
              <w:drawing>
                <wp:inline distT="0" distB="0" distL="0" distR="0" wp14:anchorId="1BECF1D7" wp14:editId="05E06CA3">
                  <wp:extent cx="5062119" cy="3942859"/>
                  <wp:effectExtent l="0" t="0" r="5715" b="635"/>
                  <wp:docPr id="78" name="Picture 78" descr="A diagram of the education and training pathways in the PHG education and training system. They include Basic Education; Flexible, Open and Distance Education; 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the education and training pathways in the PHG education and training system. They include Basic Education; Flexible, Open and Distance Education; Tertia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6915" cy="3954383"/>
                          </a:xfrm>
                          <a:prstGeom prst="rect">
                            <a:avLst/>
                          </a:prstGeom>
                          <a:noFill/>
                          <a:ln>
                            <a:noFill/>
                          </a:ln>
                        </pic:spPr>
                      </pic:pic>
                    </a:graphicData>
                  </a:graphic>
                </wp:inline>
              </w:drawing>
            </w:r>
          </w:p>
          <w:p w14:paraId="7EE6D3A3" w14:textId="77777777" w:rsidR="00C4436F" w:rsidRDefault="00C4436F" w:rsidP="00C4436F">
            <w:pPr>
              <w:pStyle w:val="Boxtext"/>
              <w:spacing w:before="60"/>
            </w:pPr>
          </w:p>
          <w:p w14:paraId="785204C1" w14:textId="5810C59B" w:rsidR="00C4436F" w:rsidRPr="00E93537" w:rsidRDefault="00C4436F" w:rsidP="00E93537">
            <w:pPr>
              <w:pStyle w:val="Boxsource"/>
            </w:pPr>
            <w:r w:rsidRPr="00E93537">
              <w:t xml:space="preserve">Source: Papua New Guinea (PNG) Department of Education 2004, </w:t>
            </w:r>
            <w:hyperlink r:id="rId40" w:history="1">
              <w:r w:rsidRPr="00E93537">
                <w:rPr>
                  <w:rStyle w:val="Hyperlink"/>
                  <w:color w:val="808285"/>
                  <w:u w:val="none"/>
                </w:rPr>
                <w:t>Achieving a better future: a national plan for education 2005-2014</w:t>
              </w:r>
              <w:r w:rsidR="00E93537">
                <w:rPr>
                  <w:rStyle w:val="Hyperlink"/>
                  <w:color w:val="808285"/>
                  <w:u w:val="none"/>
                </w:rPr>
                <w:t>, p. 4</w:t>
              </w:r>
              <w:r w:rsidR="00E93537" w:rsidRPr="00E93537">
                <w:rPr>
                  <w:rStyle w:val="Hyperlink"/>
                  <w:color w:val="808285"/>
                  <w:u w:val="none"/>
                </w:rPr>
                <w:t>.</w:t>
              </w:r>
            </w:hyperlink>
          </w:p>
          <w:p w14:paraId="67B6C8CA" w14:textId="004CD4F3" w:rsidR="00C4436F" w:rsidRPr="00B92207" w:rsidRDefault="00C4436F" w:rsidP="00C4436F">
            <w:pPr>
              <w:pStyle w:val="Boxtext"/>
            </w:pPr>
            <w:r w:rsidRPr="00B9532A">
              <w:rPr>
                <w:b/>
              </w:rPr>
              <w:t>Check your answers.</w:t>
            </w:r>
          </w:p>
          <w:p w14:paraId="6A41E39E" w14:textId="4FBF5D18" w:rsidR="00C4436F" w:rsidRPr="009D0144" w:rsidRDefault="009D0144" w:rsidP="00C4436F">
            <w:pPr>
              <w:pStyle w:val="Boxtext"/>
            </w:pPr>
            <w:r>
              <w:t>1.</w:t>
            </w:r>
            <w:r w:rsidR="00C4436F" w:rsidRPr="009D0144">
              <w:t xml:space="preserve"> Nine years (pre-school, elementary and primary).</w:t>
            </w:r>
          </w:p>
          <w:p w14:paraId="7CC6165C" w14:textId="2B7491A7" w:rsidR="00C4436F" w:rsidRPr="009D0144" w:rsidRDefault="00C4436F" w:rsidP="00C4436F">
            <w:pPr>
              <w:pStyle w:val="Boxtext"/>
            </w:pPr>
            <w:r w:rsidRPr="009D0144">
              <w:t>2</w:t>
            </w:r>
            <w:r w:rsidR="009D0144">
              <w:t>.</w:t>
            </w:r>
            <w:r w:rsidRPr="009D0144">
              <w:t xml:space="preserve"> ‘Flexible, open and distance education’, ‘community and employment’, and ‘secondary education’.</w:t>
            </w:r>
          </w:p>
          <w:p w14:paraId="5654D230" w14:textId="734E0A8D" w:rsidR="00C4436F" w:rsidRPr="009D0144" w:rsidRDefault="009D0144" w:rsidP="00C4436F">
            <w:pPr>
              <w:pStyle w:val="Boxtext"/>
            </w:pPr>
            <w:r>
              <w:t>3.</w:t>
            </w:r>
            <w:r w:rsidR="00C4436F" w:rsidRPr="009D0144">
              <w:t xml:space="preserve"> ‘Flexible, open and distance education’, ‘vocational, technical’ and ‘tertiary education’.</w:t>
            </w:r>
          </w:p>
          <w:p w14:paraId="71C361BC" w14:textId="223C47EB" w:rsidR="00C4436F" w:rsidRPr="005100D4" w:rsidRDefault="009D0144" w:rsidP="00C4436F">
            <w:pPr>
              <w:pStyle w:val="Boxtext"/>
            </w:pPr>
            <w:r>
              <w:t>4.</w:t>
            </w:r>
            <w:r w:rsidR="00C4436F" w:rsidRPr="009D0144">
              <w:t xml:space="preserve"> Students</w:t>
            </w:r>
            <w:r w:rsidR="00C4436F" w:rsidRPr="00C4436F">
              <w:t xml:space="preserve"> might move along these pathways in either direction.</w:t>
            </w:r>
          </w:p>
        </w:tc>
      </w:tr>
    </w:tbl>
    <w:p w14:paraId="2260881D" w14:textId="77777777" w:rsidR="005100D4" w:rsidRDefault="005100D4" w:rsidP="00B9532A">
      <w:pPr>
        <w:pStyle w:val="Paraspace"/>
      </w:pPr>
    </w:p>
    <w:p w14:paraId="1F4A4729" w14:textId="77777777" w:rsidR="00CB6F23" w:rsidRDefault="00CB6F23" w:rsidP="00B9532A">
      <w:pPr>
        <w:pStyle w:val="Paraspace"/>
      </w:pPr>
    </w:p>
    <w:p w14:paraId="51AEA7D7" w14:textId="77777777" w:rsidR="00E93537" w:rsidRDefault="00E93537" w:rsidP="00B9532A">
      <w:pPr>
        <w:pStyle w:val="Paraspace"/>
      </w:pPr>
    </w:p>
    <w:p w14:paraId="2EB905DC" w14:textId="77777777" w:rsidR="005E0712" w:rsidRDefault="005E0712" w:rsidP="00EA4AC1">
      <w:pPr>
        <w:pStyle w:val="Heading2"/>
        <w:keepNext w:val="0"/>
        <w:keepLines w:val="0"/>
      </w:pPr>
      <w:r>
        <w:t>What influences the way education systems are structured?</w:t>
      </w:r>
    </w:p>
    <w:p w14:paraId="0B22956D" w14:textId="77777777" w:rsidR="005E0712" w:rsidRPr="00AE5826" w:rsidRDefault="005E0712" w:rsidP="00EA4AC1">
      <w:pPr>
        <w:pStyle w:val="BodyText"/>
        <w:widowControl/>
      </w:pPr>
      <w:r w:rsidRPr="00AE5826">
        <w:t>Education systems in developing countries have typically evolved through their particular colonial and missionary legacy, with external models largely replacing the traditional indigenous approaches to learning. Over the last century or so, these structures have become formalised and enshrined in legal frameworks like Education Acts. While there is much in common among education systems, there is also considerable variation.</w:t>
      </w:r>
    </w:p>
    <w:p w14:paraId="48CB3B88" w14:textId="77777777" w:rsidR="005E0712" w:rsidRPr="00AE5826" w:rsidRDefault="005E0712" w:rsidP="00EA4AC1">
      <w:pPr>
        <w:pStyle w:val="BodyText"/>
        <w:widowControl/>
      </w:pPr>
      <w:r w:rsidRPr="00AE5826">
        <w:t>Education structures continue to evolve, as government priorities demand reform. Lengthening the compulsory basic education cycle, for example, is a common structural change.</w:t>
      </w:r>
    </w:p>
    <w:p w14:paraId="37B7AE71" w14:textId="77777777" w:rsidR="005E0712" w:rsidRDefault="005E0712" w:rsidP="00EA4AC1">
      <w:pPr>
        <w:pStyle w:val="BodyText"/>
        <w:widowControl/>
      </w:pPr>
      <w:r w:rsidRPr="00AE5826">
        <w:t>In the Pacific, for example, each country is unique in the way its education system is structured and managed.</w:t>
      </w:r>
    </w:p>
    <w:p w14:paraId="4B080E33" w14:textId="77777777" w:rsidR="00B9532A" w:rsidRDefault="00B9532A" w:rsidP="00B9532A">
      <w:pPr>
        <w:pStyle w:val="Paraspace"/>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734AB5" w14:paraId="2B6F1FB7" w14:textId="77777777" w:rsidTr="00B9532A">
        <w:trPr>
          <w:cantSplit/>
          <w:trHeight w:val="5023"/>
        </w:trPr>
        <w:tc>
          <w:tcPr>
            <w:tcW w:w="8931" w:type="dxa"/>
            <w:tcBorders>
              <w:top w:val="nil"/>
              <w:bottom w:val="nil"/>
            </w:tcBorders>
            <w:shd w:val="clear" w:color="auto" w:fill="C8E1E1"/>
          </w:tcPr>
          <w:p w14:paraId="57E94AA0" w14:textId="13E982E6" w:rsidR="00734AB5" w:rsidRPr="00106E2E" w:rsidRDefault="00734AB5" w:rsidP="00EA4AC1">
            <w:pPr>
              <w:pStyle w:val="Boxheading"/>
            </w:pPr>
            <w:r w:rsidRPr="00106E2E">
              <w:drawing>
                <wp:anchor distT="0" distB="0" distL="114300" distR="114300" simplePos="0" relativeHeight="251791360" behindDoc="1" locked="0" layoutInCell="1" allowOverlap="1" wp14:anchorId="36A2F316" wp14:editId="24545801">
                  <wp:simplePos x="0" y="0"/>
                  <wp:positionH relativeFrom="column">
                    <wp:posOffset>4157980</wp:posOffset>
                  </wp:positionH>
                  <wp:positionV relativeFrom="paragraph">
                    <wp:posOffset>248285</wp:posOffset>
                  </wp:positionV>
                  <wp:extent cx="1106170" cy="842010"/>
                  <wp:effectExtent l="0" t="0" r="0" b="0"/>
                  <wp:wrapSquare wrapText="bothSides"/>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06E2E">
              <w:t xml:space="preserve">Case study: </w:t>
            </w:r>
            <w:r w:rsidR="00B9532A">
              <w:t>Education systems in Vanuatu, Fiji, Tonga and Samoa</w:t>
            </w:r>
          </w:p>
          <w:p w14:paraId="57EB1F8A" w14:textId="77777777" w:rsidR="00B9532A" w:rsidRPr="00B9532A" w:rsidRDefault="00B9532A" w:rsidP="00B9532A">
            <w:pPr>
              <w:pStyle w:val="Boxtext"/>
            </w:pPr>
            <w:r w:rsidRPr="00B9532A">
              <w:t xml:space="preserve">In </w:t>
            </w:r>
            <w:r w:rsidRPr="00B9532A">
              <w:rPr>
                <w:b/>
              </w:rPr>
              <w:t>Vanuatu</w:t>
            </w:r>
            <w:r w:rsidRPr="00B9532A">
              <w:t>, a colonial legacy is the existence of parallel systems of English- and French-speaking primary and secondary schools, with distinctly different curriculum approaches.</w:t>
            </w:r>
          </w:p>
          <w:p w14:paraId="7225DC5A" w14:textId="77777777" w:rsidR="00B9532A" w:rsidRPr="00B9532A" w:rsidRDefault="00B9532A" w:rsidP="00B9532A">
            <w:pPr>
              <w:pStyle w:val="Boxtext"/>
            </w:pPr>
            <w:r w:rsidRPr="00B9532A">
              <w:t xml:space="preserve">In </w:t>
            </w:r>
            <w:r w:rsidRPr="00B9532A">
              <w:rPr>
                <w:b/>
              </w:rPr>
              <w:t>Fiji</w:t>
            </w:r>
            <w:r w:rsidRPr="00B9532A">
              <w:t>, nearly all primary schools are owned by the local community, not the government.</w:t>
            </w:r>
          </w:p>
          <w:p w14:paraId="31836620" w14:textId="77777777" w:rsidR="00B9532A" w:rsidRPr="00B9532A" w:rsidRDefault="00B9532A" w:rsidP="00B9532A">
            <w:pPr>
              <w:pStyle w:val="Boxtext"/>
            </w:pPr>
            <w:r w:rsidRPr="00B9532A">
              <w:t xml:space="preserve">In </w:t>
            </w:r>
            <w:r w:rsidRPr="00B9532A">
              <w:rPr>
                <w:b/>
              </w:rPr>
              <w:t>Tonga</w:t>
            </w:r>
            <w:r w:rsidRPr="00B9532A">
              <w:t>, junior secondary education is largely church-run. In addition to the Tongan government, thirteen education authorities operate education programs.</w:t>
            </w:r>
          </w:p>
          <w:p w14:paraId="792F6CD5" w14:textId="32E2BCE7" w:rsidR="00734AB5" w:rsidRPr="00807F0F" w:rsidRDefault="00B9532A" w:rsidP="00B9532A">
            <w:pPr>
              <w:pStyle w:val="Boxtext"/>
            </w:pPr>
            <w:r w:rsidRPr="00B9532A">
              <w:t xml:space="preserve">In </w:t>
            </w:r>
            <w:r w:rsidRPr="00B9532A">
              <w:rPr>
                <w:b/>
              </w:rPr>
              <w:t>Samoa</w:t>
            </w:r>
            <w:r w:rsidRPr="00B9532A">
              <w:t>, historical links with New Zealand have put their stamp on the system. There are 140 government primary schools and 24 government secondary schools. Like in Tonga, churches are particularly active at the secondary level and run 17 of their own schools. Samoa has its own university</w:t>
            </w:r>
            <w:r w:rsidR="0031036E">
              <w:t>.</w:t>
            </w:r>
          </w:p>
        </w:tc>
      </w:tr>
    </w:tbl>
    <w:p w14:paraId="4EEB980F" w14:textId="77777777" w:rsidR="005E0712" w:rsidRDefault="005E0712" w:rsidP="00EA4AC1">
      <w:pPr>
        <w:pStyle w:val="BodyText"/>
        <w:widowControl/>
      </w:pPr>
    </w:p>
    <w:p w14:paraId="3F356405" w14:textId="77777777" w:rsidR="005E0712" w:rsidRPr="00B92207" w:rsidRDefault="005E0712" w:rsidP="00EA4AC1">
      <w:pPr>
        <w:pStyle w:val="Heading1"/>
        <w:widowControl/>
        <w:tabs>
          <w:tab w:val="clear" w:pos="709"/>
          <w:tab w:val="left" w:pos="851"/>
        </w:tabs>
        <w:spacing w:before="240"/>
        <w:ind w:left="851" w:hanging="851"/>
      </w:pPr>
      <w:bookmarkStart w:id="39" w:name="_Toc370729782"/>
      <w:bookmarkStart w:id="40" w:name="_Toc492047150"/>
      <w:bookmarkStart w:id="41" w:name="_Toc496276456"/>
      <w:bookmarkStart w:id="42" w:name="_Toc522804287"/>
      <w:r w:rsidRPr="00B92207">
        <w:t>Gender considerations</w:t>
      </w:r>
      <w:bookmarkEnd w:id="39"/>
      <w:bookmarkEnd w:id="40"/>
      <w:bookmarkEnd w:id="41"/>
      <w:bookmarkEnd w:id="42"/>
    </w:p>
    <w:p w14:paraId="7E4AF538" w14:textId="77777777" w:rsidR="005E0712" w:rsidRDefault="005E0712" w:rsidP="00EA4AC1">
      <w:pPr>
        <w:pStyle w:val="Heading2"/>
        <w:keepNext w:val="0"/>
        <w:keepLines w:val="0"/>
      </w:pPr>
      <w:r>
        <w:t>Gender, youth and skills</w:t>
      </w:r>
    </w:p>
    <w:p w14:paraId="1CAE6AA5" w14:textId="77777777" w:rsidR="005E0712" w:rsidRPr="00AE5826" w:rsidRDefault="005E0712" w:rsidP="00EA4AC1">
      <w:pPr>
        <w:pStyle w:val="BodyText"/>
        <w:widowControl/>
      </w:pPr>
      <w:r w:rsidRPr="00AE5826">
        <w:t>In many countries there is a strong relationship between low education and working poverty. But just completing secondary education does not ensure that young people have the skills needed to find adequately paid work. It depends on where they live and their gender.</w:t>
      </w:r>
    </w:p>
    <w:p w14:paraId="6A3DF4CF" w14:textId="4E57C987" w:rsidR="005E0712" w:rsidRPr="00BB1437" w:rsidRDefault="005E0712" w:rsidP="00EA4AC1">
      <w:pPr>
        <w:pStyle w:val="BodyText"/>
        <w:widowControl/>
      </w:pPr>
      <w:r w:rsidRPr="00AE5826">
        <w:t>For example, less than 30 per cent of both rural and urban women in Nepal who have completed secondary education earn above the poverty line. But 40 per cent of young men who have not even completed secondary education are more likely to earn an adequate wage than better educated young women. The reasons are complex and vary by country.</w:t>
      </w:r>
      <w:r w:rsidR="0031036E">
        <w:t xml:space="preserve"> The important point for policy</w:t>
      </w:r>
      <w:r w:rsidRPr="00AE5826">
        <w:t xml:space="preserve">makers is that gender gaps start early and persist throughout the stages of education. </w:t>
      </w:r>
      <w:r w:rsidRPr="00BB1437">
        <w:t xml:space="preserve">Therefore we need to </w:t>
      </w:r>
      <w:r w:rsidR="0031036E">
        <w:t xml:space="preserve">better </w:t>
      </w:r>
      <w:r w:rsidRPr="00BB1437">
        <w:t>understand the reasons behind these differences.</w:t>
      </w:r>
    </w:p>
    <w:p w14:paraId="65E5A43B" w14:textId="07E91DF5" w:rsidR="005E0712" w:rsidRPr="00BF4974" w:rsidRDefault="005E0712" w:rsidP="00BF4974">
      <w:pPr>
        <w:pStyle w:val="Source"/>
      </w:pPr>
      <w:r w:rsidRPr="00BF4974">
        <w:t xml:space="preserve">Source: </w:t>
      </w:r>
      <w:r w:rsidR="00BF4974" w:rsidRPr="00BF4974">
        <w:t xml:space="preserve">UNESCO </w:t>
      </w:r>
      <w:r w:rsidRPr="00BF4974">
        <w:t>2012</w:t>
      </w:r>
      <w:r w:rsidR="00BF4974" w:rsidRPr="00BF4974">
        <w:t xml:space="preserve">, </w:t>
      </w:r>
      <w:hyperlink r:id="rId41" w:history="1">
        <w:r w:rsidR="00BF4974" w:rsidRPr="00BF4974">
          <w:rPr>
            <w:rStyle w:val="Hyperlink"/>
            <w:color w:val="808285"/>
            <w:u w:val="none"/>
          </w:rPr>
          <w:t>Youth and skills: Putting education to work</w:t>
        </w:r>
      </w:hyperlink>
      <w:r w:rsidR="00BF4974" w:rsidRPr="00BF4974">
        <w:t>,</w:t>
      </w:r>
      <w:r w:rsidRPr="00BF4974">
        <w:t xml:space="preserve"> p.18</w:t>
      </w:r>
      <w:r w:rsidR="00BF4974" w:rsidRPr="00BF4974">
        <w:t>.</w:t>
      </w:r>
    </w:p>
    <w:p w14:paraId="35DA4F04" w14:textId="77777777" w:rsidR="005E0712" w:rsidRPr="00B92207" w:rsidRDefault="005E0712" w:rsidP="00EA4AC1">
      <w:pPr>
        <w:pStyle w:val="Heading2"/>
        <w:keepNext w:val="0"/>
        <w:keepLines w:val="0"/>
      </w:pPr>
      <w:bookmarkStart w:id="43" w:name="_Toc370729646"/>
      <w:bookmarkStart w:id="44" w:name="_Toc370729783"/>
      <w:r w:rsidRPr="00B92207">
        <w:t>Sustainable Development Goals (SDGs) and outcomes</w:t>
      </w:r>
      <w:bookmarkEnd w:id="43"/>
      <w:bookmarkEnd w:id="44"/>
    </w:p>
    <w:p w14:paraId="13160F4B" w14:textId="77777777" w:rsidR="005E0712" w:rsidRPr="00B92207" w:rsidRDefault="005E0712" w:rsidP="00EA4AC1">
      <w:pPr>
        <w:pStyle w:val="BodyText"/>
        <w:widowControl/>
      </w:pPr>
      <w:r w:rsidRPr="00B92207">
        <w:t>Girls, in particular, should be the focus of initiatives to increase participation rates at all levels. Table 2 below highlights the discrepancies in enrolments at different levels of education systems in the world and other differences between males and females</w:t>
      </w:r>
      <w:r>
        <w:t>, against the education SDG targets</w:t>
      </w:r>
      <w:r w:rsidRPr="00B92207">
        <w:t>.</w:t>
      </w:r>
    </w:p>
    <w:p w14:paraId="5055649F" w14:textId="77777777" w:rsidR="005E0712" w:rsidRPr="00C4436F" w:rsidRDefault="005E0712" w:rsidP="00C4436F">
      <w:pPr>
        <w:pStyle w:val="Tablecaption"/>
      </w:pPr>
      <w:r w:rsidRPr="00C4436F">
        <w:t>Table 2 – Discrepancies in enrolment</w:t>
      </w:r>
    </w:p>
    <w:tbl>
      <w:tblPr>
        <w:tblStyle w:val="DiplomaticAcademysasp"/>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65"/>
        <w:gridCol w:w="1560"/>
        <w:gridCol w:w="1417"/>
      </w:tblGrid>
      <w:tr w:rsidR="005E0712" w:rsidRPr="00D411F3" w14:paraId="0C572009" w14:textId="77777777" w:rsidTr="0031036E">
        <w:trPr>
          <w:cnfStyle w:val="100000000000" w:firstRow="1" w:lastRow="0" w:firstColumn="0" w:lastColumn="0" w:oddVBand="0" w:evenVBand="0" w:oddHBand="0" w:evenHBand="0" w:firstRowFirstColumn="0" w:firstRowLastColumn="0" w:lastRowFirstColumn="0" w:lastRowLastColumn="0"/>
          <w:cantSplit/>
        </w:trPr>
        <w:tc>
          <w:tcPr>
            <w:tcW w:w="5665" w:type="dxa"/>
            <w:shd w:val="clear" w:color="auto" w:fill="007C89"/>
          </w:tcPr>
          <w:p w14:paraId="77020053" w14:textId="77777777" w:rsidR="005E0712" w:rsidRPr="003024AA" w:rsidRDefault="005E0712" w:rsidP="00EA4AC1">
            <w:pPr>
              <w:pStyle w:val="Tablecolumnheading"/>
              <w:keepNext w:val="0"/>
              <w:rPr>
                <w:b/>
              </w:rPr>
            </w:pPr>
            <w:r w:rsidRPr="00AE5826">
              <w:rPr>
                <w:b/>
                <w:bCs/>
              </w:rPr>
              <w:t>Global Outcomes (2015 &amp; 2016)</w:t>
            </w:r>
          </w:p>
        </w:tc>
        <w:tc>
          <w:tcPr>
            <w:tcW w:w="1560" w:type="dxa"/>
            <w:shd w:val="clear" w:color="auto" w:fill="007C89"/>
          </w:tcPr>
          <w:p w14:paraId="22D364D1" w14:textId="77777777" w:rsidR="005E0712" w:rsidRPr="00ED0079" w:rsidRDefault="005E0712" w:rsidP="009D0144">
            <w:pPr>
              <w:pStyle w:val="Tablecolumnheading"/>
              <w:keepNext w:val="0"/>
              <w:jc w:val="left"/>
              <w:rPr>
                <w:b/>
              </w:rPr>
            </w:pPr>
            <w:r>
              <w:rPr>
                <w:b/>
              </w:rPr>
              <w:t>Male</w:t>
            </w:r>
          </w:p>
        </w:tc>
        <w:tc>
          <w:tcPr>
            <w:tcW w:w="1417" w:type="dxa"/>
            <w:shd w:val="clear" w:color="auto" w:fill="007C89"/>
          </w:tcPr>
          <w:p w14:paraId="22CF78B9" w14:textId="77777777" w:rsidR="005E0712" w:rsidRPr="00ED0079" w:rsidRDefault="005E0712" w:rsidP="009D0144">
            <w:pPr>
              <w:pStyle w:val="Tablecolumnheading"/>
              <w:keepNext w:val="0"/>
              <w:jc w:val="left"/>
              <w:rPr>
                <w:b/>
              </w:rPr>
            </w:pPr>
            <w:r>
              <w:rPr>
                <w:b/>
              </w:rPr>
              <w:t>Female</w:t>
            </w:r>
          </w:p>
        </w:tc>
      </w:tr>
      <w:tr w:rsidR="005E0712" w:rsidRPr="009D0144" w14:paraId="1B61FD91" w14:textId="77777777" w:rsidTr="0031036E">
        <w:trPr>
          <w:cantSplit/>
        </w:trPr>
        <w:tc>
          <w:tcPr>
            <w:tcW w:w="5665" w:type="dxa"/>
          </w:tcPr>
          <w:p w14:paraId="0574B00C" w14:textId="77777777" w:rsidR="005E0712" w:rsidRPr="009D0144" w:rsidRDefault="005E0712" w:rsidP="0031036E">
            <w:pPr>
              <w:pStyle w:val="Tablebodytext"/>
              <w:spacing w:before="120"/>
              <w:ind w:hanging="289"/>
              <w:rPr>
                <w:b/>
                <w:color w:val="auto"/>
              </w:rPr>
            </w:pPr>
            <w:r w:rsidRPr="009D0144">
              <w:rPr>
                <w:b/>
                <w:color w:val="auto"/>
              </w:rPr>
              <w:t xml:space="preserve">Target 4.2: </w:t>
            </w:r>
          </w:p>
          <w:p w14:paraId="6892675E" w14:textId="77777777" w:rsidR="005E0712" w:rsidRPr="009D0144" w:rsidRDefault="005E0712" w:rsidP="0031036E">
            <w:pPr>
              <w:pStyle w:val="Tablebodytext"/>
              <w:spacing w:before="120"/>
              <w:ind w:hanging="289"/>
              <w:rPr>
                <w:color w:val="auto"/>
              </w:rPr>
            </w:pPr>
            <w:r w:rsidRPr="009D0144">
              <w:rPr>
                <w:color w:val="auto"/>
              </w:rPr>
              <w:t>Pre-primary gross enrolment ratio</w:t>
            </w:r>
          </w:p>
        </w:tc>
        <w:tc>
          <w:tcPr>
            <w:tcW w:w="1560" w:type="dxa"/>
          </w:tcPr>
          <w:p w14:paraId="53946507" w14:textId="77777777" w:rsidR="005E0712" w:rsidRPr="009D0144" w:rsidRDefault="005E0712" w:rsidP="0031036E">
            <w:pPr>
              <w:pStyle w:val="Tablebodytext"/>
              <w:spacing w:before="120"/>
              <w:ind w:hanging="289"/>
              <w:rPr>
                <w:color w:val="auto"/>
              </w:rPr>
            </w:pPr>
          </w:p>
          <w:p w14:paraId="7EF49C40" w14:textId="77777777" w:rsidR="005E0712" w:rsidRPr="009D0144" w:rsidRDefault="005E0712" w:rsidP="0031036E">
            <w:pPr>
              <w:pStyle w:val="Tablebodytext"/>
              <w:spacing w:before="120"/>
              <w:ind w:hanging="289"/>
              <w:rPr>
                <w:color w:val="auto"/>
              </w:rPr>
            </w:pPr>
            <w:r w:rsidRPr="009D0144">
              <w:rPr>
                <w:color w:val="auto"/>
              </w:rPr>
              <w:t>49%</w:t>
            </w:r>
          </w:p>
        </w:tc>
        <w:tc>
          <w:tcPr>
            <w:tcW w:w="1417" w:type="dxa"/>
          </w:tcPr>
          <w:p w14:paraId="091B33DF" w14:textId="77777777" w:rsidR="005E0712" w:rsidRPr="009D0144" w:rsidRDefault="005E0712" w:rsidP="0031036E">
            <w:pPr>
              <w:pStyle w:val="Tablebodytext"/>
              <w:spacing w:before="120"/>
              <w:ind w:hanging="289"/>
              <w:rPr>
                <w:color w:val="auto"/>
              </w:rPr>
            </w:pPr>
          </w:p>
          <w:p w14:paraId="73A1A5C9" w14:textId="77777777" w:rsidR="005E0712" w:rsidRPr="009D0144" w:rsidRDefault="005E0712" w:rsidP="0031036E">
            <w:pPr>
              <w:pStyle w:val="Tablebodytext"/>
              <w:spacing w:before="120"/>
              <w:ind w:hanging="289"/>
              <w:rPr>
                <w:color w:val="auto"/>
              </w:rPr>
            </w:pPr>
            <w:r w:rsidRPr="009D0144">
              <w:rPr>
                <w:color w:val="auto"/>
              </w:rPr>
              <w:t>48%</w:t>
            </w:r>
          </w:p>
        </w:tc>
      </w:tr>
      <w:tr w:rsidR="005E0712" w:rsidRPr="009D0144" w14:paraId="3B80EB02" w14:textId="77777777" w:rsidTr="0031036E">
        <w:trPr>
          <w:cantSplit/>
        </w:trPr>
        <w:tc>
          <w:tcPr>
            <w:tcW w:w="5665" w:type="dxa"/>
          </w:tcPr>
          <w:p w14:paraId="19496CBC" w14:textId="77777777" w:rsidR="005E0712" w:rsidRPr="009D0144" w:rsidRDefault="005E0712" w:rsidP="0031036E">
            <w:pPr>
              <w:pStyle w:val="Tablebodytext"/>
              <w:spacing w:before="120"/>
              <w:ind w:hanging="289"/>
              <w:rPr>
                <w:b/>
                <w:color w:val="auto"/>
              </w:rPr>
            </w:pPr>
            <w:r w:rsidRPr="009D0144">
              <w:rPr>
                <w:b/>
                <w:color w:val="auto"/>
              </w:rPr>
              <w:t xml:space="preserve">Target 4.1: </w:t>
            </w:r>
          </w:p>
          <w:p w14:paraId="30DD1F98" w14:textId="77777777" w:rsidR="005E0712" w:rsidRPr="009D0144" w:rsidRDefault="005E0712" w:rsidP="0031036E">
            <w:pPr>
              <w:pStyle w:val="Tablebodytext"/>
              <w:spacing w:before="120"/>
              <w:ind w:hanging="289"/>
              <w:rPr>
                <w:color w:val="auto"/>
              </w:rPr>
            </w:pPr>
            <w:r w:rsidRPr="009D0144">
              <w:rPr>
                <w:color w:val="auto"/>
              </w:rPr>
              <w:t>Primary net enrolment ratio</w:t>
            </w:r>
          </w:p>
          <w:p w14:paraId="2E11E602" w14:textId="77777777" w:rsidR="005E0712" w:rsidRPr="009D0144" w:rsidRDefault="005E0712" w:rsidP="0031036E">
            <w:pPr>
              <w:pStyle w:val="Tablebodytext"/>
              <w:spacing w:before="120"/>
              <w:ind w:hanging="289"/>
              <w:rPr>
                <w:color w:val="auto"/>
              </w:rPr>
            </w:pPr>
            <w:r w:rsidRPr="009D0144">
              <w:rPr>
                <w:color w:val="auto"/>
              </w:rPr>
              <w:t xml:space="preserve">Out-of-school primary age children </w:t>
            </w:r>
          </w:p>
        </w:tc>
        <w:tc>
          <w:tcPr>
            <w:tcW w:w="1560" w:type="dxa"/>
          </w:tcPr>
          <w:p w14:paraId="7FB1A1C1" w14:textId="77777777" w:rsidR="005E0712" w:rsidRPr="009D0144" w:rsidRDefault="005E0712" w:rsidP="0031036E">
            <w:pPr>
              <w:pStyle w:val="Tablebodytext"/>
              <w:spacing w:before="120"/>
              <w:ind w:hanging="289"/>
              <w:rPr>
                <w:color w:val="auto"/>
              </w:rPr>
            </w:pPr>
          </w:p>
          <w:p w14:paraId="5C9770CF" w14:textId="77777777" w:rsidR="005E0712" w:rsidRPr="009D0144" w:rsidRDefault="005E0712" w:rsidP="0031036E">
            <w:pPr>
              <w:pStyle w:val="Tablebodytext"/>
              <w:spacing w:before="120"/>
              <w:ind w:hanging="289"/>
              <w:rPr>
                <w:color w:val="auto"/>
              </w:rPr>
            </w:pPr>
            <w:r w:rsidRPr="009D0144">
              <w:rPr>
                <w:color w:val="auto"/>
              </w:rPr>
              <w:t>90%</w:t>
            </w:r>
          </w:p>
          <w:p w14:paraId="38CF8D3E" w14:textId="77777777" w:rsidR="005E0712" w:rsidRPr="009D0144" w:rsidRDefault="005E0712" w:rsidP="0031036E">
            <w:pPr>
              <w:pStyle w:val="Tablebodytext"/>
              <w:spacing w:before="120"/>
              <w:ind w:hanging="289"/>
              <w:rPr>
                <w:color w:val="auto"/>
              </w:rPr>
            </w:pPr>
            <w:r w:rsidRPr="009D0144">
              <w:rPr>
                <w:color w:val="auto"/>
              </w:rPr>
              <w:t>29 million</w:t>
            </w:r>
          </w:p>
        </w:tc>
        <w:tc>
          <w:tcPr>
            <w:tcW w:w="1417" w:type="dxa"/>
          </w:tcPr>
          <w:p w14:paraId="0D6A4769" w14:textId="77777777" w:rsidR="005E0712" w:rsidRPr="009D0144" w:rsidRDefault="005E0712" w:rsidP="0031036E">
            <w:pPr>
              <w:pStyle w:val="Tablebodytext"/>
              <w:spacing w:before="120"/>
              <w:ind w:hanging="289"/>
              <w:rPr>
                <w:color w:val="auto"/>
              </w:rPr>
            </w:pPr>
          </w:p>
          <w:p w14:paraId="4142505A" w14:textId="77777777" w:rsidR="005E0712" w:rsidRPr="009D0144" w:rsidRDefault="005E0712" w:rsidP="0031036E">
            <w:pPr>
              <w:pStyle w:val="Tablebodytext"/>
              <w:spacing w:before="120"/>
              <w:ind w:hanging="289"/>
              <w:rPr>
                <w:color w:val="auto"/>
              </w:rPr>
            </w:pPr>
            <w:r w:rsidRPr="009D0144">
              <w:rPr>
                <w:color w:val="auto"/>
              </w:rPr>
              <w:t>89%</w:t>
            </w:r>
          </w:p>
          <w:p w14:paraId="281151EE" w14:textId="77777777" w:rsidR="005E0712" w:rsidRPr="009D0144" w:rsidRDefault="005E0712" w:rsidP="0031036E">
            <w:pPr>
              <w:pStyle w:val="Tablebodytext"/>
              <w:spacing w:before="120"/>
              <w:ind w:hanging="289"/>
              <w:rPr>
                <w:color w:val="auto"/>
              </w:rPr>
            </w:pPr>
            <w:r w:rsidRPr="009D0144">
              <w:rPr>
                <w:color w:val="auto"/>
              </w:rPr>
              <w:t>32.4 million</w:t>
            </w:r>
          </w:p>
        </w:tc>
      </w:tr>
      <w:tr w:rsidR="005E0712" w:rsidRPr="009D0144" w14:paraId="0EDA96B7" w14:textId="77777777" w:rsidTr="0031036E">
        <w:trPr>
          <w:cantSplit/>
        </w:trPr>
        <w:tc>
          <w:tcPr>
            <w:tcW w:w="5665" w:type="dxa"/>
          </w:tcPr>
          <w:p w14:paraId="5BC47382" w14:textId="77777777" w:rsidR="005E0712" w:rsidRPr="009D0144" w:rsidRDefault="005E0712" w:rsidP="0031036E">
            <w:pPr>
              <w:pStyle w:val="Tablebodytext"/>
              <w:spacing w:before="120"/>
              <w:ind w:hanging="289"/>
              <w:rPr>
                <w:b/>
                <w:color w:val="auto"/>
              </w:rPr>
            </w:pPr>
            <w:r w:rsidRPr="009D0144">
              <w:rPr>
                <w:b/>
                <w:color w:val="auto"/>
              </w:rPr>
              <w:t xml:space="preserve">Target 4.1: </w:t>
            </w:r>
          </w:p>
          <w:p w14:paraId="1A901C85" w14:textId="77777777" w:rsidR="005E0712" w:rsidRPr="009D0144" w:rsidRDefault="005E0712" w:rsidP="0031036E">
            <w:pPr>
              <w:pStyle w:val="Tablebodytext"/>
              <w:spacing w:before="120"/>
              <w:ind w:hanging="289"/>
              <w:rPr>
                <w:color w:val="auto"/>
              </w:rPr>
            </w:pPr>
            <w:r w:rsidRPr="009D0144">
              <w:rPr>
                <w:color w:val="auto"/>
              </w:rPr>
              <w:t>Secondary gross enrolment ratio</w:t>
            </w:r>
          </w:p>
          <w:p w14:paraId="25A2C913" w14:textId="77777777" w:rsidR="005E0712" w:rsidRPr="009D0144" w:rsidRDefault="005E0712" w:rsidP="0031036E">
            <w:pPr>
              <w:pStyle w:val="Tablebodytext"/>
              <w:spacing w:before="120"/>
              <w:ind w:hanging="289"/>
              <w:rPr>
                <w:color w:val="auto"/>
              </w:rPr>
            </w:pPr>
            <w:r w:rsidRPr="009D0144">
              <w:rPr>
                <w:color w:val="auto"/>
              </w:rPr>
              <w:t>Out-of-school adolescents of lower secondary school age</w:t>
            </w:r>
          </w:p>
          <w:p w14:paraId="71089E90" w14:textId="77777777" w:rsidR="005E0712" w:rsidRPr="009D0144" w:rsidRDefault="005E0712" w:rsidP="0031036E">
            <w:pPr>
              <w:pStyle w:val="Tablebodytext"/>
              <w:spacing w:before="120"/>
              <w:ind w:hanging="289"/>
              <w:rPr>
                <w:color w:val="auto"/>
              </w:rPr>
            </w:pPr>
            <w:r w:rsidRPr="009D0144">
              <w:rPr>
                <w:color w:val="auto"/>
              </w:rPr>
              <w:t>Out-of-school adolescents of upper secondary school age</w:t>
            </w:r>
          </w:p>
        </w:tc>
        <w:tc>
          <w:tcPr>
            <w:tcW w:w="1560" w:type="dxa"/>
          </w:tcPr>
          <w:p w14:paraId="72B7F125" w14:textId="77777777" w:rsidR="005E0712" w:rsidRPr="009D0144" w:rsidRDefault="005E0712" w:rsidP="0031036E">
            <w:pPr>
              <w:pStyle w:val="Tablebodytext"/>
              <w:spacing w:before="120"/>
              <w:ind w:hanging="289"/>
              <w:rPr>
                <w:color w:val="auto"/>
              </w:rPr>
            </w:pPr>
          </w:p>
          <w:p w14:paraId="15AB1BF2" w14:textId="77777777" w:rsidR="005E0712" w:rsidRPr="009D0144" w:rsidRDefault="005E0712" w:rsidP="0031036E">
            <w:pPr>
              <w:pStyle w:val="Tablebodytext"/>
              <w:spacing w:before="120"/>
              <w:ind w:hanging="289"/>
              <w:rPr>
                <w:color w:val="auto"/>
              </w:rPr>
            </w:pPr>
            <w:r w:rsidRPr="009D0144">
              <w:rPr>
                <w:color w:val="auto"/>
              </w:rPr>
              <w:t>77%</w:t>
            </w:r>
          </w:p>
          <w:p w14:paraId="605BBDFF" w14:textId="77777777" w:rsidR="005E0712" w:rsidRPr="009D0144" w:rsidRDefault="005E0712" w:rsidP="0031036E">
            <w:pPr>
              <w:pStyle w:val="Tablebodytext"/>
              <w:spacing w:before="120"/>
              <w:ind w:hanging="289"/>
              <w:rPr>
                <w:color w:val="auto"/>
              </w:rPr>
            </w:pPr>
            <w:r w:rsidRPr="009D0144">
              <w:rPr>
                <w:color w:val="auto"/>
              </w:rPr>
              <w:t>32.1 million</w:t>
            </w:r>
          </w:p>
          <w:p w14:paraId="3A94CA7C" w14:textId="77777777" w:rsidR="005E0712" w:rsidRPr="009D0144" w:rsidRDefault="005E0712" w:rsidP="0031036E">
            <w:pPr>
              <w:pStyle w:val="Tablebodytext"/>
              <w:spacing w:before="120"/>
              <w:ind w:hanging="289"/>
              <w:rPr>
                <w:color w:val="auto"/>
              </w:rPr>
            </w:pPr>
            <w:r w:rsidRPr="009D0144">
              <w:rPr>
                <w:color w:val="auto"/>
              </w:rPr>
              <w:t>72.3 million</w:t>
            </w:r>
          </w:p>
        </w:tc>
        <w:tc>
          <w:tcPr>
            <w:tcW w:w="1417" w:type="dxa"/>
          </w:tcPr>
          <w:p w14:paraId="7928D1A2" w14:textId="77777777" w:rsidR="005E0712" w:rsidRPr="009D0144" w:rsidRDefault="005E0712" w:rsidP="0031036E">
            <w:pPr>
              <w:pStyle w:val="Tablebodytext"/>
              <w:spacing w:before="120"/>
              <w:ind w:hanging="289"/>
              <w:rPr>
                <w:color w:val="auto"/>
              </w:rPr>
            </w:pPr>
          </w:p>
          <w:p w14:paraId="2DFF24D8" w14:textId="77777777" w:rsidR="005E0712" w:rsidRPr="009D0144" w:rsidRDefault="005E0712" w:rsidP="0031036E">
            <w:pPr>
              <w:pStyle w:val="Tablebodytext"/>
              <w:spacing w:before="120"/>
              <w:ind w:hanging="289"/>
              <w:rPr>
                <w:color w:val="auto"/>
              </w:rPr>
            </w:pPr>
            <w:r w:rsidRPr="009D0144">
              <w:rPr>
                <w:color w:val="auto"/>
              </w:rPr>
              <w:t>76%</w:t>
            </w:r>
          </w:p>
          <w:p w14:paraId="30354903" w14:textId="77777777" w:rsidR="005E0712" w:rsidRPr="009D0144" w:rsidRDefault="005E0712" w:rsidP="0031036E">
            <w:pPr>
              <w:pStyle w:val="Tablebodytext"/>
              <w:spacing w:before="120"/>
              <w:ind w:hanging="289"/>
              <w:rPr>
                <w:color w:val="auto"/>
              </w:rPr>
            </w:pPr>
            <w:r w:rsidRPr="009D0144">
              <w:rPr>
                <w:color w:val="auto"/>
              </w:rPr>
              <w:t>29.8 million</w:t>
            </w:r>
          </w:p>
          <w:p w14:paraId="073ECA11" w14:textId="77777777" w:rsidR="005E0712" w:rsidRPr="009D0144" w:rsidRDefault="005E0712" w:rsidP="0031036E">
            <w:pPr>
              <w:pStyle w:val="Tablebodytext"/>
              <w:spacing w:before="120"/>
              <w:ind w:hanging="289"/>
              <w:rPr>
                <w:color w:val="auto"/>
              </w:rPr>
            </w:pPr>
            <w:r w:rsidRPr="009D0144">
              <w:rPr>
                <w:color w:val="auto"/>
              </w:rPr>
              <w:t>68.7 million</w:t>
            </w:r>
          </w:p>
        </w:tc>
      </w:tr>
      <w:tr w:rsidR="005E0712" w:rsidRPr="009D0144" w14:paraId="47B0075C" w14:textId="77777777" w:rsidTr="0031036E">
        <w:trPr>
          <w:cantSplit/>
        </w:trPr>
        <w:tc>
          <w:tcPr>
            <w:tcW w:w="5665" w:type="dxa"/>
          </w:tcPr>
          <w:p w14:paraId="72D4A838" w14:textId="77777777" w:rsidR="005E0712" w:rsidRPr="009D0144" w:rsidRDefault="005E0712" w:rsidP="0031036E">
            <w:pPr>
              <w:pStyle w:val="Tablebodytext"/>
              <w:spacing w:before="120"/>
              <w:ind w:hanging="289"/>
              <w:rPr>
                <w:b/>
                <w:color w:val="auto"/>
              </w:rPr>
            </w:pPr>
            <w:r w:rsidRPr="009D0144">
              <w:rPr>
                <w:b/>
                <w:color w:val="auto"/>
              </w:rPr>
              <w:t xml:space="preserve">Target 4.6: </w:t>
            </w:r>
          </w:p>
          <w:p w14:paraId="63465FF5" w14:textId="77777777" w:rsidR="005E0712" w:rsidRPr="009D0144" w:rsidRDefault="005E0712" w:rsidP="0031036E">
            <w:pPr>
              <w:pStyle w:val="Tablebodytext"/>
              <w:spacing w:before="120"/>
              <w:ind w:hanging="289"/>
              <w:rPr>
                <w:color w:val="auto"/>
              </w:rPr>
            </w:pPr>
            <w:r w:rsidRPr="009D0144">
              <w:rPr>
                <w:color w:val="auto"/>
              </w:rPr>
              <w:t xml:space="preserve">Adult literacy rate </w:t>
            </w:r>
          </w:p>
          <w:p w14:paraId="1DDC1E56" w14:textId="77777777" w:rsidR="005E0712" w:rsidRPr="009D0144" w:rsidRDefault="005E0712" w:rsidP="0031036E">
            <w:pPr>
              <w:pStyle w:val="Tablebodytext"/>
              <w:spacing w:before="120"/>
              <w:ind w:hanging="289"/>
              <w:rPr>
                <w:color w:val="auto"/>
              </w:rPr>
            </w:pPr>
            <w:r w:rsidRPr="009D0144">
              <w:rPr>
                <w:color w:val="auto"/>
              </w:rPr>
              <w:t xml:space="preserve">Youth literacy rate </w:t>
            </w:r>
          </w:p>
        </w:tc>
        <w:tc>
          <w:tcPr>
            <w:tcW w:w="1560" w:type="dxa"/>
          </w:tcPr>
          <w:p w14:paraId="2084850A" w14:textId="77777777" w:rsidR="005E0712" w:rsidRPr="009D0144" w:rsidRDefault="005E0712" w:rsidP="0031036E">
            <w:pPr>
              <w:pStyle w:val="Tablebodytext"/>
              <w:spacing w:before="120"/>
              <w:ind w:hanging="289"/>
              <w:rPr>
                <w:color w:val="auto"/>
              </w:rPr>
            </w:pPr>
          </w:p>
          <w:p w14:paraId="16F0822A" w14:textId="77777777" w:rsidR="005E0712" w:rsidRPr="009D0144" w:rsidRDefault="005E0712" w:rsidP="0031036E">
            <w:pPr>
              <w:pStyle w:val="Tablebodytext"/>
              <w:spacing w:before="120"/>
              <w:ind w:hanging="289"/>
              <w:rPr>
                <w:color w:val="auto"/>
              </w:rPr>
            </w:pPr>
            <w:r w:rsidRPr="009D0144">
              <w:rPr>
                <w:color w:val="auto"/>
              </w:rPr>
              <w:t>90%</w:t>
            </w:r>
          </w:p>
          <w:p w14:paraId="23BE3B35" w14:textId="77777777" w:rsidR="005E0712" w:rsidRPr="009D0144" w:rsidRDefault="005E0712" w:rsidP="0031036E">
            <w:pPr>
              <w:pStyle w:val="Tablebodytext"/>
              <w:spacing w:before="120"/>
              <w:ind w:hanging="289"/>
              <w:rPr>
                <w:color w:val="auto"/>
              </w:rPr>
            </w:pPr>
            <w:r w:rsidRPr="009D0144">
              <w:rPr>
                <w:color w:val="auto"/>
              </w:rPr>
              <w:t>93%</w:t>
            </w:r>
          </w:p>
        </w:tc>
        <w:tc>
          <w:tcPr>
            <w:tcW w:w="1417" w:type="dxa"/>
          </w:tcPr>
          <w:p w14:paraId="53F231B3" w14:textId="77777777" w:rsidR="005E0712" w:rsidRPr="009D0144" w:rsidRDefault="005E0712" w:rsidP="0031036E">
            <w:pPr>
              <w:pStyle w:val="Tablebodytext"/>
              <w:spacing w:before="120"/>
              <w:ind w:hanging="289"/>
              <w:rPr>
                <w:color w:val="auto"/>
              </w:rPr>
            </w:pPr>
          </w:p>
          <w:p w14:paraId="0D698AE1" w14:textId="77777777" w:rsidR="005E0712" w:rsidRPr="009D0144" w:rsidRDefault="005E0712" w:rsidP="0031036E">
            <w:pPr>
              <w:pStyle w:val="Tablebodytext"/>
              <w:spacing w:before="120"/>
              <w:ind w:hanging="289"/>
              <w:rPr>
                <w:color w:val="auto"/>
              </w:rPr>
            </w:pPr>
            <w:r w:rsidRPr="009D0144">
              <w:rPr>
                <w:color w:val="auto"/>
              </w:rPr>
              <w:t>83%</w:t>
            </w:r>
          </w:p>
          <w:p w14:paraId="25018DF7" w14:textId="77777777" w:rsidR="005E0712" w:rsidRPr="009D0144" w:rsidRDefault="005E0712" w:rsidP="0031036E">
            <w:pPr>
              <w:pStyle w:val="Tablebodytext"/>
              <w:spacing w:before="120"/>
              <w:ind w:hanging="289"/>
              <w:rPr>
                <w:color w:val="auto"/>
              </w:rPr>
            </w:pPr>
            <w:r w:rsidRPr="009D0144">
              <w:rPr>
                <w:color w:val="auto"/>
              </w:rPr>
              <w:t>90%</w:t>
            </w:r>
          </w:p>
        </w:tc>
      </w:tr>
    </w:tbl>
    <w:p w14:paraId="47172AF7" w14:textId="77777777" w:rsidR="005E0712" w:rsidRDefault="005E0712" w:rsidP="00EA4AC1">
      <w:pPr>
        <w:pStyle w:val="Source"/>
        <w:spacing w:before="0" w:after="0"/>
      </w:pPr>
    </w:p>
    <w:p w14:paraId="5ED817B3" w14:textId="00DF49C0" w:rsidR="00BF4974" w:rsidRPr="00C946D8" w:rsidRDefault="005E0712" w:rsidP="00C946D8">
      <w:pPr>
        <w:pStyle w:val="Source"/>
      </w:pPr>
      <w:r w:rsidRPr="00C946D8">
        <w:t xml:space="preserve">Sources: </w:t>
      </w:r>
      <w:r w:rsidR="00BF4974" w:rsidRPr="00C946D8">
        <w:t xml:space="preserve">UNESCO Institute of Statistics (UIS) n.d., </w:t>
      </w:r>
      <w:hyperlink r:id="rId42" w:history="1">
        <w:r w:rsidR="00BF4974" w:rsidRPr="00C946D8">
          <w:t>UIS Stat</w:t>
        </w:r>
      </w:hyperlink>
      <w:r w:rsidR="00BF4974" w:rsidRPr="00C946D8">
        <w:t xml:space="preserve">.; </w:t>
      </w:r>
      <w:r w:rsidRPr="00C946D8">
        <w:t xml:space="preserve">UNESCO Institute for Statistics (UIS) &amp; UNESCO Global Education Monitoring Report 2017, </w:t>
      </w:r>
      <w:hyperlink r:id="rId43" w:history="1">
        <w:r w:rsidRPr="00C946D8">
          <w:rPr>
            <w:rStyle w:val="Hyperlink"/>
            <w:color w:val="808285"/>
            <w:u w:val="none"/>
          </w:rPr>
          <w:t>Reducing global poverty through universal primary and secondary education</w:t>
        </w:r>
      </w:hyperlink>
      <w:r w:rsidR="00BF4974" w:rsidRPr="00C946D8">
        <w:t>.</w:t>
      </w:r>
      <w:r w:rsidRPr="00C946D8">
        <w:t xml:space="preserve"> </w:t>
      </w:r>
    </w:p>
    <w:p w14:paraId="7124083A" w14:textId="77777777" w:rsidR="00BF4974" w:rsidRDefault="00BF4974" w:rsidP="00BF4974">
      <w:pPr>
        <w:pStyle w:val="Paraspace"/>
      </w:pPr>
    </w:p>
    <w:p w14:paraId="0E5C91EF" w14:textId="77777777" w:rsidR="00BF4974" w:rsidRDefault="00BF4974" w:rsidP="00BF4974">
      <w:pPr>
        <w:pStyle w:val="Paraspace"/>
      </w:pPr>
    </w:p>
    <w:p w14:paraId="105730DB" w14:textId="77777777" w:rsidR="00BF4974" w:rsidRDefault="00BF4974" w:rsidP="00BF4974">
      <w:pPr>
        <w:pStyle w:val="Paraspace"/>
      </w:pPr>
    </w:p>
    <w:p w14:paraId="7BF9E96B" w14:textId="77777777" w:rsidR="00BF4974" w:rsidRDefault="00BF4974" w:rsidP="00BF4974">
      <w:pPr>
        <w:pStyle w:val="Paraspace"/>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BF4974" w14:paraId="618A33EC" w14:textId="77777777" w:rsidTr="00BF4974">
        <w:trPr>
          <w:cantSplit/>
          <w:trHeight w:val="10466"/>
        </w:trPr>
        <w:tc>
          <w:tcPr>
            <w:tcW w:w="8926" w:type="dxa"/>
            <w:shd w:val="clear" w:color="auto" w:fill="auto"/>
          </w:tcPr>
          <w:p w14:paraId="235E0009" w14:textId="580CAA24" w:rsidR="00BF4974" w:rsidRPr="00106E2E" w:rsidRDefault="00BF4974" w:rsidP="00AA49D9">
            <w:pPr>
              <w:pStyle w:val="Boxheading"/>
            </w:pPr>
            <w:r w:rsidRPr="00106E2E">
              <w:drawing>
                <wp:anchor distT="0" distB="0" distL="114300" distR="114300" simplePos="0" relativeHeight="251807744" behindDoc="0" locked="0" layoutInCell="1" allowOverlap="1" wp14:anchorId="0DF6C060" wp14:editId="4E3EDBF8">
                  <wp:simplePos x="0" y="0"/>
                  <wp:positionH relativeFrom="column">
                    <wp:posOffset>4191635</wp:posOffset>
                  </wp:positionH>
                  <wp:positionV relativeFrom="paragraph">
                    <wp:posOffset>236220</wp:posOffset>
                  </wp:positionV>
                  <wp:extent cx="1106170" cy="852805"/>
                  <wp:effectExtent l="0" t="0" r="0" b="444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Key messages on gender</w:t>
            </w:r>
          </w:p>
          <w:p w14:paraId="42DC89A5" w14:textId="77777777" w:rsidR="00BF4974" w:rsidRPr="00BF4974" w:rsidRDefault="00BF4974" w:rsidP="00BF4974">
            <w:pPr>
              <w:pStyle w:val="Boxtext"/>
            </w:pPr>
            <w:r w:rsidRPr="00BF4974">
              <w:t xml:space="preserve">Despite two decades of progress in improving education access for all children, girls are still more likely than boys to remain excluded from school. According to UNESCO Institute of Statistics (UIS) data, 15 million girls between six and 10 years of age will never set foot in the classroom compared to about 10 million boys, if current trends continue. In many countries, the gap tends to widen with higher levels of education. However, the good news is that girls who do enrol are more likely to complete primary school, even if they must repeat grades. </w:t>
            </w:r>
          </w:p>
          <w:p w14:paraId="2199459A" w14:textId="77777777" w:rsidR="00BF4974" w:rsidRPr="00BF4974" w:rsidRDefault="00BF4974" w:rsidP="00BF4974">
            <w:pPr>
              <w:pStyle w:val="Boxtext"/>
            </w:pPr>
            <w:r w:rsidRPr="00BF4974">
              <w:t>Educating girls can have a catalytic impact on other areas of social and economic development. For example, each additional year of schooling for girls can lead to an average increase of 10 per cent of earnings. Subsequently, when women earn, they are more likely to invest 90 per cent of their income into their families compared with 30 to 40 per cent for men. Educated girls tend to marry later and have fewer, healthier children. A child whose mother can read is 50 per cent more likely to live past the age of five, 50 per cent more likely to be immunised and twice as likely to enrol in school.</w:t>
            </w:r>
          </w:p>
          <w:p w14:paraId="100FEEE7" w14:textId="77777777" w:rsidR="00BF4974" w:rsidRPr="00BF4974" w:rsidRDefault="00BF4974" w:rsidP="00BF4974">
            <w:pPr>
              <w:pStyle w:val="Boxtext"/>
            </w:pPr>
            <w:r w:rsidRPr="00BF4974">
              <w:t>SDG 4 on quality education and SDG 5 on gender equality commit governments to invest in boys and girls, women and men with the necessary skills and competencies to participate equally in the economy, in their families and in their communities. Examples of proven measures that can overcome barriers to gender equality in education include:</w:t>
            </w:r>
          </w:p>
          <w:p w14:paraId="4E4CD21C" w14:textId="77777777" w:rsidR="00BF4974" w:rsidRPr="00E84266" w:rsidRDefault="00BF4974" w:rsidP="00BF4974">
            <w:pPr>
              <w:pStyle w:val="ListParagraph"/>
              <w:ind w:left="738" w:hanging="284"/>
            </w:pPr>
            <w:r w:rsidRPr="00E84266">
              <w:t>making schools safe and responsive to girls</w:t>
            </w:r>
            <w:r>
              <w:t>’</w:t>
            </w:r>
            <w:r w:rsidRPr="00E84266">
              <w:t xml:space="preserve"> needs</w:t>
            </w:r>
          </w:p>
          <w:p w14:paraId="74254CDE" w14:textId="77777777" w:rsidR="00BF4974" w:rsidRPr="00E84266" w:rsidRDefault="00BF4974" w:rsidP="00BF4974">
            <w:pPr>
              <w:pStyle w:val="ListParagraph"/>
              <w:ind w:left="738" w:hanging="284"/>
            </w:pPr>
            <w:r w:rsidRPr="00E84266">
              <w:t>targeted financing to make school more affordable for girls, such as cash transfers, scholarships and stipends</w:t>
            </w:r>
          </w:p>
          <w:p w14:paraId="5602D28A" w14:textId="77777777" w:rsidR="00BF4974" w:rsidRPr="00E84266" w:rsidRDefault="00BF4974" w:rsidP="00BF4974">
            <w:pPr>
              <w:pStyle w:val="ListParagraph"/>
              <w:ind w:left="738" w:hanging="284"/>
            </w:pPr>
            <w:r w:rsidRPr="00E84266">
              <w:t>hiring more female teachers</w:t>
            </w:r>
          </w:p>
          <w:p w14:paraId="4553D592" w14:textId="77777777" w:rsidR="00BF4974" w:rsidRPr="00E84266" w:rsidRDefault="00BF4974" w:rsidP="00BF4974">
            <w:pPr>
              <w:pStyle w:val="ListParagraph"/>
              <w:ind w:left="738" w:hanging="284"/>
            </w:pPr>
            <w:r w:rsidRPr="00E84266">
              <w:t>developing gender sensitive teaching and learning materials</w:t>
            </w:r>
          </w:p>
          <w:p w14:paraId="3C3508EC" w14:textId="77777777" w:rsidR="00BF4974" w:rsidRPr="00AE5826" w:rsidRDefault="00BF4974" w:rsidP="00BF4974">
            <w:pPr>
              <w:pStyle w:val="ListParagraph"/>
              <w:ind w:left="738" w:hanging="284"/>
            </w:pPr>
            <w:r w:rsidRPr="00AE5826">
              <w:t>advocacy and community efforts to address cultural norms, such as early marriage.</w:t>
            </w:r>
          </w:p>
          <w:p w14:paraId="6CFA8341" w14:textId="3AE32F20" w:rsidR="00BF4974" w:rsidRPr="00807F0F" w:rsidRDefault="00BF4974" w:rsidP="00BF4974">
            <w:pPr>
              <w:pStyle w:val="Boxsource"/>
            </w:pPr>
            <w:r w:rsidRPr="009C5E86">
              <w:t xml:space="preserve">Sources: The Global Partnership for Education 2017, </w:t>
            </w:r>
            <w:hyperlink r:id="rId44" w:history="1">
              <w:r w:rsidRPr="009C5E86">
                <w:rPr>
                  <w:rStyle w:val="Hyperlink"/>
                  <w:color w:val="808285"/>
                  <w:u w:val="none"/>
                </w:rPr>
                <w:t>Girls Education and Gender Equality</w:t>
              </w:r>
            </w:hyperlink>
            <w:r w:rsidRPr="009C5E86">
              <w:t xml:space="preserve">; The International Commission on Financing Global Education Opportunity (Education Commission) 2016, </w:t>
            </w:r>
            <w:hyperlink r:id="rId45" w:history="1">
              <w:r w:rsidRPr="009C5E86">
                <w:rPr>
                  <w:rStyle w:val="Hyperlink"/>
                  <w:color w:val="808285"/>
                  <w:u w:val="none"/>
                </w:rPr>
                <w:t>The learning generation: Investing in education for a changing world</w:t>
              </w:r>
            </w:hyperlink>
            <w:r w:rsidRPr="009C5E86">
              <w:t xml:space="preserve">, p. 99; UNESCO Institute of Statistics (UIS) 2017c, </w:t>
            </w:r>
            <w:hyperlink r:id="rId46" w:history="1">
              <w:r w:rsidRPr="009C5E86">
                <w:rPr>
                  <w:rStyle w:val="Hyperlink"/>
                  <w:color w:val="808285"/>
                  <w:u w:val="none"/>
                </w:rPr>
                <w:t>eAtlas of Gender Equality in Education</w:t>
              </w:r>
            </w:hyperlink>
            <w:r w:rsidRPr="009C5E86">
              <w:t>.</w:t>
            </w:r>
          </w:p>
        </w:tc>
      </w:tr>
    </w:tbl>
    <w:p w14:paraId="60FF5A5A" w14:textId="77777777" w:rsidR="00BF4974" w:rsidRDefault="00BF4974" w:rsidP="00BF4974">
      <w:pPr>
        <w:pStyle w:val="Paraspace"/>
      </w:pPr>
    </w:p>
    <w:p w14:paraId="784F52A1" w14:textId="77777777" w:rsidR="005E0712" w:rsidRDefault="005E0712" w:rsidP="00EA4AC1">
      <w:pPr>
        <w:pStyle w:val="Source"/>
        <w:rPr>
          <w:b/>
        </w:rPr>
      </w:pPr>
      <w:r>
        <w:br w:type="page"/>
      </w:r>
    </w:p>
    <w:p w14:paraId="1621E06E" w14:textId="77777777" w:rsidR="005E0712" w:rsidRPr="009D500A" w:rsidRDefault="005E0712" w:rsidP="00EA4AC1">
      <w:pPr>
        <w:pStyle w:val="Heading1"/>
        <w:widowControl/>
        <w:tabs>
          <w:tab w:val="clear" w:pos="709"/>
          <w:tab w:val="left" w:pos="851"/>
        </w:tabs>
        <w:spacing w:before="240"/>
        <w:ind w:left="851" w:hanging="851"/>
      </w:pPr>
      <w:bookmarkStart w:id="45" w:name="_Toc492047151"/>
      <w:bookmarkStart w:id="46" w:name="_Toc496276457"/>
      <w:bookmarkStart w:id="47" w:name="_Toc522804288"/>
      <w:r w:rsidRPr="00EB3376">
        <w:rPr>
          <w:noProof/>
          <w:lang w:val="en-AU" w:eastAsia="en-AU"/>
        </w:rPr>
        <w:drawing>
          <wp:anchor distT="0" distB="0" distL="114300" distR="114300" simplePos="0" relativeHeight="251738112" behindDoc="0" locked="0" layoutInCell="1" allowOverlap="1" wp14:anchorId="49A3F03A" wp14:editId="3143BEE2">
            <wp:simplePos x="0" y="0"/>
            <wp:positionH relativeFrom="margin">
              <wp:posOffset>5349240</wp:posOffset>
            </wp:positionH>
            <wp:positionV relativeFrom="paragraph">
              <wp:posOffset>508</wp:posOffset>
            </wp:positionV>
            <wp:extent cx="1069340" cy="89662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69340" cy="896620"/>
                    </a:xfrm>
                    <a:prstGeom prst="rect">
                      <a:avLst/>
                    </a:prstGeom>
                  </pic:spPr>
                </pic:pic>
              </a:graphicData>
            </a:graphic>
            <wp14:sizeRelH relativeFrom="margin">
              <wp14:pctWidth>0</wp14:pctWidth>
            </wp14:sizeRelH>
            <wp14:sizeRelV relativeFrom="margin">
              <wp14:pctHeight>0</wp14:pctHeight>
            </wp14:sizeRelV>
          </wp:anchor>
        </w:drawing>
      </w:r>
      <w:r w:rsidRPr="009D500A">
        <w:t>Test your knowledge</w:t>
      </w:r>
      <w:bookmarkEnd w:id="45"/>
      <w:bookmarkEnd w:id="46"/>
      <w:bookmarkEnd w:id="47"/>
      <w:r w:rsidRPr="009D500A">
        <w:t xml:space="preserve"> </w:t>
      </w:r>
    </w:p>
    <w:p w14:paraId="2CAB8BD7" w14:textId="77777777" w:rsidR="005E0712" w:rsidRDefault="005E0712" w:rsidP="00EA4AC1">
      <w:pPr>
        <w:pStyle w:val="Heading2"/>
        <w:keepNext w:val="0"/>
        <w:keepLines w:val="0"/>
      </w:pPr>
      <w:r w:rsidRPr="001E2D25">
        <w:t>Assessment</w:t>
      </w:r>
      <w:r>
        <w:t xml:space="preserve"> questions</w:t>
      </w:r>
    </w:p>
    <w:p w14:paraId="4C209391" w14:textId="77777777" w:rsidR="005E0712" w:rsidRDefault="005E0712" w:rsidP="00EA4AC1">
      <w:pPr>
        <w:pStyle w:val="BodyText"/>
        <w:widowControl/>
      </w:pPr>
      <w:r>
        <w:t>Answer the following questions by ticking ‘True’ or ‘False’. Once you have selected your answers to all the questions, turn the page to ‘The correct answers are...’ to check the accuracy of your answers.</w:t>
      </w:r>
    </w:p>
    <w:p w14:paraId="18977F0F" w14:textId="77777777" w:rsidR="005E0712" w:rsidRPr="001E2D25" w:rsidRDefault="005E0712" w:rsidP="00BF4974">
      <w:pPr>
        <w:pStyle w:val="BodyText"/>
        <w:widowControl/>
        <w:tabs>
          <w:tab w:val="left" w:pos="5954"/>
          <w:tab w:val="left" w:pos="7371"/>
        </w:tabs>
        <w:rPr>
          <w:color w:val="007C89"/>
          <w:sz w:val="28"/>
          <w:szCs w:val="28"/>
        </w:rPr>
      </w:pPr>
      <w:r w:rsidRPr="001E2D25">
        <w:rPr>
          <w:color w:val="007C89"/>
          <w:sz w:val="28"/>
          <w:szCs w:val="28"/>
        </w:rPr>
        <w:t>Question 1</w:t>
      </w:r>
    </w:p>
    <w:p w14:paraId="06F2176D" w14:textId="77777777" w:rsidR="005E0712" w:rsidRPr="00AE5826" w:rsidRDefault="005E0712" w:rsidP="00BF4974">
      <w:pPr>
        <w:pStyle w:val="BodyText"/>
        <w:widowControl/>
        <w:tabs>
          <w:tab w:val="left" w:pos="5954"/>
          <w:tab w:val="left" w:pos="7371"/>
        </w:tabs>
      </w:pPr>
      <w:r w:rsidRPr="00AE5826">
        <w:t xml:space="preserve">Developing countries find it difficult to provide access </w:t>
      </w:r>
      <w:r w:rsidRPr="00C73C4D">
        <w:t>to early childhood</w:t>
      </w:r>
      <w:r>
        <w:t xml:space="preserve"> </w:t>
      </w:r>
      <w:r w:rsidRPr="00C73C4D">
        <w:t xml:space="preserve">development (ECD) programs for </w:t>
      </w:r>
      <w:r>
        <w:t>all children</w:t>
      </w:r>
      <w:r w:rsidRPr="00C73C4D">
        <w:t>, so they prioritise enrolment of the poorest and most marginalised children.</w:t>
      </w:r>
    </w:p>
    <w:p w14:paraId="10797430" w14:textId="47512A2C" w:rsidR="005E0712" w:rsidRDefault="005E0712" w:rsidP="00BF4974">
      <w:pPr>
        <w:pStyle w:val="BodyText"/>
        <w:widowControl/>
        <w:tabs>
          <w:tab w:val="left" w:pos="5954"/>
          <w:tab w:val="left" w:pos="6804"/>
          <w:tab w:val="left" w:pos="7371"/>
          <w:tab w:val="left" w:pos="8505"/>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sidR="00BF4974">
        <w:rPr>
          <w:color w:val="007C89"/>
          <w:spacing w:val="-4"/>
        </w:rPr>
        <w:tab/>
      </w:r>
      <w:r>
        <w:rPr>
          <w:color w:val="007C89"/>
          <w:sz w:val="28"/>
        </w:rPr>
        <w:t>□</w:t>
      </w:r>
      <w:r>
        <w:rPr>
          <w:color w:val="007C89"/>
          <w:spacing w:val="-17"/>
          <w:sz w:val="28"/>
        </w:rPr>
        <w:t xml:space="preserve"> </w:t>
      </w:r>
      <w:r>
        <w:rPr>
          <w:color w:val="007C89"/>
        </w:rPr>
        <w:t>False</w:t>
      </w:r>
    </w:p>
    <w:p w14:paraId="1E6B02C6" w14:textId="77777777" w:rsidR="005E0712" w:rsidRPr="000B3EF1" w:rsidRDefault="005E0712" w:rsidP="00BF4974">
      <w:pPr>
        <w:pStyle w:val="BodyText"/>
        <w:widowControl/>
        <w:tabs>
          <w:tab w:val="left" w:pos="5954"/>
          <w:tab w:val="left" w:pos="7371"/>
          <w:tab w:val="left" w:pos="8505"/>
        </w:tabs>
      </w:pPr>
      <w:r w:rsidRPr="000B3EF1">
        <w:rPr>
          <w:noProof/>
          <w:lang w:val="en-AU" w:eastAsia="en-AU"/>
        </w:rPr>
        <mc:AlternateContent>
          <mc:Choice Requires="wps">
            <w:drawing>
              <wp:anchor distT="0" distB="0" distL="114300" distR="114300" simplePos="0" relativeHeight="251724800" behindDoc="0" locked="0" layoutInCell="1" allowOverlap="1" wp14:anchorId="0EFEA777" wp14:editId="5A6B3F05">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24F06" id="Straight Connector 446" o:spid="_x0000_s1026" style="position:absolute;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0A56154A" w14:textId="77777777" w:rsidR="005E0712" w:rsidRPr="001E2D25" w:rsidRDefault="005E0712" w:rsidP="00BF4974">
      <w:pPr>
        <w:pStyle w:val="BodyText"/>
        <w:widowControl/>
        <w:tabs>
          <w:tab w:val="left" w:pos="5954"/>
          <w:tab w:val="left" w:pos="7371"/>
        </w:tabs>
        <w:rPr>
          <w:color w:val="007C89"/>
          <w:sz w:val="28"/>
          <w:szCs w:val="28"/>
        </w:rPr>
      </w:pPr>
      <w:r w:rsidRPr="001E2D25">
        <w:rPr>
          <w:color w:val="007C89"/>
          <w:sz w:val="28"/>
          <w:szCs w:val="28"/>
        </w:rPr>
        <w:t>Question 2</w:t>
      </w:r>
    </w:p>
    <w:p w14:paraId="237B6391" w14:textId="77777777" w:rsidR="005E0712" w:rsidRPr="002E7073" w:rsidRDefault="005E0712" w:rsidP="00BF4974">
      <w:pPr>
        <w:tabs>
          <w:tab w:val="left" w:pos="3767"/>
          <w:tab w:val="left" w:pos="5954"/>
          <w:tab w:val="left" w:pos="6804"/>
          <w:tab w:val="left" w:pos="7371"/>
          <w:tab w:val="left" w:pos="8505"/>
        </w:tabs>
        <w:rPr>
          <w:rFonts w:ascii="Calibri" w:eastAsia="Calibri" w:hAnsi="Calibri" w:cs="Calibri"/>
          <w:color w:val="231F20"/>
          <w:sz w:val="24"/>
          <w:szCs w:val="24"/>
          <w:lang w:val="en-US"/>
        </w:rPr>
      </w:pPr>
      <w:r w:rsidRPr="002E7073">
        <w:rPr>
          <w:rFonts w:ascii="Calibri" w:eastAsia="Calibri" w:hAnsi="Calibri" w:cs="Calibri"/>
          <w:color w:val="231F20"/>
          <w:sz w:val="24"/>
          <w:szCs w:val="24"/>
          <w:lang w:val="en-US"/>
        </w:rPr>
        <w:t>A primary school Year 3 gross enrolment ratio (GER) can exceed 100 per cent.</w:t>
      </w:r>
    </w:p>
    <w:p w14:paraId="4FA7878B" w14:textId="3624E2FF" w:rsidR="005E0712" w:rsidRDefault="005E0712" w:rsidP="00BF4974">
      <w:pPr>
        <w:pStyle w:val="BodyText"/>
        <w:widowControl/>
        <w:tabs>
          <w:tab w:val="left" w:pos="5954"/>
          <w:tab w:val="left" w:pos="6804"/>
          <w:tab w:val="left" w:pos="7371"/>
          <w:tab w:val="left" w:pos="8505"/>
        </w:tabs>
      </w:pPr>
      <w:r>
        <w:t>Is this statement true</w:t>
      </w:r>
      <w:r>
        <w:rPr>
          <w:spacing w:val="-11"/>
        </w:rPr>
        <w:t xml:space="preserve"> </w:t>
      </w:r>
      <w:r>
        <w:t>or</w:t>
      </w:r>
      <w:r>
        <w:rPr>
          <w:spacing w:val="-4"/>
        </w:rPr>
        <w:t xml:space="preserve"> </w:t>
      </w:r>
      <w:r>
        <w:t>false?</w:t>
      </w:r>
      <w:r w:rsidR="00BF4974">
        <w:tab/>
      </w:r>
      <w:r>
        <w:rPr>
          <w:color w:val="007C89"/>
          <w:sz w:val="28"/>
        </w:rPr>
        <w:t>□</w:t>
      </w:r>
      <w:r>
        <w:rPr>
          <w:color w:val="007C89"/>
          <w:spacing w:val="-10"/>
          <w:sz w:val="28"/>
        </w:rPr>
        <w:t xml:space="preserve"> </w:t>
      </w:r>
      <w:r>
        <w:rPr>
          <w:color w:val="007C89"/>
          <w:spacing w:val="-4"/>
        </w:rPr>
        <w:t>True</w:t>
      </w:r>
      <w:r>
        <w:rPr>
          <w:color w:val="007C89"/>
          <w:spacing w:val="-4"/>
        </w:rPr>
        <w:tab/>
      </w:r>
      <w:r w:rsidR="00BF4974">
        <w:rPr>
          <w:color w:val="007C89"/>
          <w:spacing w:val="-4"/>
        </w:rPr>
        <w:tab/>
      </w:r>
      <w:r>
        <w:rPr>
          <w:color w:val="007C89"/>
          <w:sz w:val="28"/>
        </w:rPr>
        <w:t>□</w:t>
      </w:r>
      <w:r>
        <w:rPr>
          <w:color w:val="007C89"/>
          <w:spacing w:val="-17"/>
          <w:sz w:val="28"/>
        </w:rPr>
        <w:t xml:space="preserve"> </w:t>
      </w:r>
      <w:r>
        <w:rPr>
          <w:color w:val="007C89"/>
        </w:rPr>
        <w:t>False</w:t>
      </w:r>
    </w:p>
    <w:p w14:paraId="6907BF7A" w14:textId="77777777" w:rsidR="005E0712" w:rsidRPr="000B3EF1" w:rsidRDefault="005E0712" w:rsidP="00BF4974">
      <w:pPr>
        <w:pStyle w:val="BodyText"/>
        <w:widowControl/>
        <w:tabs>
          <w:tab w:val="left" w:pos="5954"/>
          <w:tab w:val="left" w:pos="6804"/>
          <w:tab w:val="left" w:pos="7371"/>
          <w:tab w:val="left" w:pos="8505"/>
        </w:tabs>
      </w:pPr>
      <w:r w:rsidRPr="000B3EF1">
        <w:rPr>
          <w:noProof/>
          <w:lang w:val="en-AU" w:eastAsia="en-AU"/>
        </w:rPr>
        <mc:AlternateContent>
          <mc:Choice Requires="wps">
            <w:drawing>
              <wp:anchor distT="0" distB="0" distL="114300" distR="114300" simplePos="0" relativeHeight="251732992" behindDoc="0" locked="0" layoutInCell="1" allowOverlap="1" wp14:anchorId="5F5D84E5" wp14:editId="21C03C7B">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6A926" id="Straight Connector 455" o:spid="_x0000_s1026" style="position:absolute;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9499F4F" w14:textId="77777777" w:rsidR="005E0712" w:rsidRPr="001E2D25" w:rsidRDefault="005E0712" w:rsidP="00BF4974">
      <w:pPr>
        <w:pStyle w:val="BodyText"/>
        <w:widowControl/>
        <w:tabs>
          <w:tab w:val="left" w:pos="5954"/>
          <w:tab w:val="left" w:pos="7371"/>
        </w:tabs>
        <w:rPr>
          <w:color w:val="007C89"/>
          <w:sz w:val="28"/>
          <w:szCs w:val="28"/>
        </w:rPr>
      </w:pPr>
      <w:r w:rsidRPr="001E2D25">
        <w:rPr>
          <w:color w:val="007C89"/>
          <w:sz w:val="28"/>
          <w:szCs w:val="28"/>
        </w:rPr>
        <w:t>Question 3</w:t>
      </w:r>
    </w:p>
    <w:p w14:paraId="48717A6E" w14:textId="77777777" w:rsidR="005E0712" w:rsidRDefault="005E0712" w:rsidP="00BF4974">
      <w:pPr>
        <w:pStyle w:val="BodyText"/>
        <w:widowControl/>
        <w:tabs>
          <w:tab w:val="left" w:pos="5954"/>
          <w:tab w:val="left" w:pos="6804"/>
          <w:tab w:val="left" w:pos="7371"/>
          <w:tab w:val="left" w:pos="8505"/>
        </w:tabs>
      </w:pPr>
      <w:r>
        <w:t>A high primary completion rate (PCR) shows that most children have achieved a good quality education during their primary school years.</w:t>
      </w:r>
    </w:p>
    <w:p w14:paraId="4472BAE8" w14:textId="17E6F17D" w:rsidR="005E0712" w:rsidRDefault="005E0712" w:rsidP="00BF4974">
      <w:pPr>
        <w:pStyle w:val="BodyText"/>
        <w:widowControl/>
        <w:tabs>
          <w:tab w:val="left" w:pos="5954"/>
          <w:tab w:val="left" w:pos="6804"/>
          <w:tab w:val="left" w:pos="7371"/>
          <w:tab w:val="left" w:pos="8505"/>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sidR="00BF4974">
        <w:rPr>
          <w:color w:val="007C89"/>
          <w:spacing w:val="-4"/>
        </w:rPr>
        <w:tab/>
      </w:r>
      <w:r>
        <w:rPr>
          <w:color w:val="007C89"/>
          <w:spacing w:val="-4"/>
        </w:rPr>
        <w:tab/>
      </w:r>
      <w:r>
        <w:rPr>
          <w:color w:val="007C89"/>
          <w:sz w:val="28"/>
        </w:rPr>
        <w:t>□</w:t>
      </w:r>
      <w:r>
        <w:rPr>
          <w:color w:val="007C89"/>
          <w:spacing w:val="-17"/>
          <w:sz w:val="28"/>
        </w:rPr>
        <w:t xml:space="preserve"> </w:t>
      </w:r>
      <w:r>
        <w:rPr>
          <w:color w:val="007C89"/>
        </w:rPr>
        <w:t>False</w:t>
      </w:r>
    </w:p>
    <w:p w14:paraId="0079342C" w14:textId="77777777" w:rsidR="005E0712" w:rsidRPr="000B3EF1" w:rsidRDefault="005E0712" w:rsidP="00BF4974">
      <w:pPr>
        <w:pStyle w:val="BodyText"/>
        <w:widowControl/>
        <w:tabs>
          <w:tab w:val="left" w:pos="5954"/>
          <w:tab w:val="left" w:pos="6804"/>
          <w:tab w:val="left" w:pos="7371"/>
          <w:tab w:val="left" w:pos="8505"/>
        </w:tabs>
      </w:pPr>
      <w:r w:rsidRPr="000B3EF1">
        <w:rPr>
          <w:noProof/>
          <w:lang w:val="en-AU" w:eastAsia="en-AU"/>
        </w:rPr>
        <mc:AlternateContent>
          <mc:Choice Requires="wps">
            <w:drawing>
              <wp:anchor distT="0" distB="0" distL="114300" distR="114300" simplePos="0" relativeHeight="251734016" behindDoc="0" locked="0" layoutInCell="1" allowOverlap="1" wp14:anchorId="66DCF4C0" wp14:editId="45A66130">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0A802" id="Straight Connector 456" o:spid="_x0000_s1026" style="position:absolute;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44D31FF3" w14:textId="77777777" w:rsidR="005E0712" w:rsidRPr="001E2D25" w:rsidRDefault="005E0712" w:rsidP="00BF4974">
      <w:pPr>
        <w:pStyle w:val="BodyText"/>
        <w:widowControl/>
        <w:tabs>
          <w:tab w:val="left" w:pos="5954"/>
          <w:tab w:val="left" w:pos="7371"/>
        </w:tabs>
        <w:rPr>
          <w:color w:val="007C89"/>
          <w:sz w:val="28"/>
          <w:szCs w:val="28"/>
        </w:rPr>
      </w:pPr>
      <w:r w:rsidRPr="001E2D25">
        <w:rPr>
          <w:color w:val="007C89"/>
          <w:sz w:val="28"/>
          <w:szCs w:val="28"/>
        </w:rPr>
        <w:t>Question 4</w:t>
      </w:r>
    </w:p>
    <w:p w14:paraId="727D8E4F" w14:textId="77777777" w:rsidR="005E0712" w:rsidRDefault="005E0712" w:rsidP="00BF4974">
      <w:pPr>
        <w:pStyle w:val="BodyText"/>
        <w:widowControl/>
        <w:tabs>
          <w:tab w:val="left" w:pos="5954"/>
          <w:tab w:val="left" w:pos="6804"/>
          <w:tab w:val="left" w:pos="7371"/>
          <w:tab w:val="left" w:pos="8505"/>
        </w:tabs>
      </w:pPr>
      <w:r>
        <w:t>In many countries the term ‘basic education’ refers to the primary school years and the first two or three years of junior secondary school (an eight or nine-year cycle).</w:t>
      </w:r>
    </w:p>
    <w:p w14:paraId="55C95A9E" w14:textId="46431E1C" w:rsidR="005E0712" w:rsidRDefault="005E0712" w:rsidP="00BF4974">
      <w:pPr>
        <w:pStyle w:val="BodyText"/>
        <w:widowControl/>
        <w:tabs>
          <w:tab w:val="left" w:pos="5954"/>
          <w:tab w:val="left" w:pos="6804"/>
          <w:tab w:val="left" w:pos="7371"/>
          <w:tab w:val="left" w:pos="8505"/>
        </w:tabs>
        <w:rPr>
          <w:color w:val="007C89"/>
        </w:rPr>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sidR="00BF4974">
        <w:rPr>
          <w:color w:val="007C89"/>
          <w:spacing w:val="-4"/>
        </w:rPr>
        <w:tab/>
      </w:r>
      <w:r>
        <w:rPr>
          <w:color w:val="007C89"/>
          <w:spacing w:val="-4"/>
        </w:rPr>
        <w:tab/>
      </w:r>
      <w:r>
        <w:rPr>
          <w:color w:val="007C89"/>
          <w:sz w:val="28"/>
        </w:rPr>
        <w:t>□</w:t>
      </w:r>
      <w:r>
        <w:rPr>
          <w:color w:val="007C89"/>
          <w:spacing w:val="-17"/>
          <w:sz w:val="28"/>
        </w:rPr>
        <w:t xml:space="preserve"> </w:t>
      </w:r>
      <w:r>
        <w:rPr>
          <w:color w:val="007C89"/>
        </w:rPr>
        <w:t>False</w:t>
      </w:r>
    </w:p>
    <w:p w14:paraId="28A64B39" w14:textId="77777777" w:rsidR="005E0712" w:rsidRPr="000B3EF1" w:rsidRDefault="005E0712" w:rsidP="00BF4974">
      <w:pPr>
        <w:pStyle w:val="BodyText"/>
        <w:widowControl/>
        <w:tabs>
          <w:tab w:val="left" w:pos="5954"/>
          <w:tab w:val="left" w:pos="6804"/>
          <w:tab w:val="left" w:pos="7371"/>
          <w:tab w:val="left" w:pos="8505"/>
        </w:tabs>
      </w:pPr>
      <w:r w:rsidRPr="000B3EF1">
        <w:rPr>
          <w:noProof/>
          <w:lang w:val="en-AU" w:eastAsia="en-AU"/>
        </w:rPr>
        <mc:AlternateContent>
          <mc:Choice Requires="wps">
            <w:drawing>
              <wp:anchor distT="0" distB="0" distL="114300" distR="114300" simplePos="0" relativeHeight="251735040" behindDoc="0" locked="0" layoutInCell="1" allowOverlap="1" wp14:anchorId="1AEB3672" wp14:editId="4C947C3E">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67B4F" id="Straight Connector 457" o:spid="_x0000_s1026" style="position:absolute;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0EA08BCC" w14:textId="77777777" w:rsidR="005E0712" w:rsidRPr="001E2D25" w:rsidRDefault="005E0712" w:rsidP="00BF4974">
      <w:pPr>
        <w:pStyle w:val="BodyText"/>
        <w:widowControl/>
        <w:tabs>
          <w:tab w:val="left" w:pos="5954"/>
          <w:tab w:val="left" w:pos="7371"/>
        </w:tabs>
        <w:rPr>
          <w:color w:val="007C89"/>
          <w:sz w:val="28"/>
          <w:szCs w:val="28"/>
        </w:rPr>
      </w:pPr>
      <w:r w:rsidRPr="001E2D25">
        <w:rPr>
          <w:color w:val="007C89"/>
          <w:sz w:val="28"/>
          <w:szCs w:val="28"/>
        </w:rPr>
        <w:t>Question 5</w:t>
      </w:r>
    </w:p>
    <w:p w14:paraId="401FCC87" w14:textId="77777777" w:rsidR="005E0712" w:rsidRPr="00AE5826" w:rsidRDefault="005E0712" w:rsidP="00BF4974">
      <w:pPr>
        <w:pStyle w:val="BodyText"/>
        <w:widowControl/>
        <w:tabs>
          <w:tab w:val="left" w:pos="5954"/>
          <w:tab w:val="left" w:pos="6804"/>
          <w:tab w:val="left" w:pos="7371"/>
          <w:tab w:val="left" w:pos="8505"/>
        </w:tabs>
      </w:pPr>
      <w:r w:rsidRPr="00AE5826">
        <w:t>People successfully completing non-formal education courses normally receive qualifications.</w:t>
      </w:r>
    </w:p>
    <w:p w14:paraId="1EF63275" w14:textId="1639E642" w:rsidR="005E0712" w:rsidRDefault="005E0712" w:rsidP="00BF4974">
      <w:pPr>
        <w:pStyle w:val="BodyText"/>
        <w:widowControl/>
        <w:tabs>
          <w:tab w:val="left" w:pos="5954"/>
          <w:tab w:val="left" w:pos="6804"/>
          <w:tab w:val="left" w:pos="7371"/>
          <w:tab w:val="left" w:pos="8505"/>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sidR="00BF4974">
        <w:rPr>
          <w:color w:val="007C89"/>
          <w:spacing w:val="-4"/>
        </w:rPr>
        <w:tab/>
      </w:r>
      <w:r>
        <w:rPr>
          <w:color w:val="007C89"/>
          <w:spacing w:val="-4"/>
        </w:rPr>
        <w:tab/>
      </w:r>
      <w:r>
        <w:rPr>
          <w:color w:val="007C89"/>
          <w:sz w:val="28"/>
        </w:rPr>
        <w:t>□</w:t>
      </w:r>
      <w:r>
        <w:rPr>
          <w:color w:val="007C89"/>
          <w:spacing w:val="-17"/>
          <w:sz w:val="28"/>
        </w:rPr>
        <w:t xml:space="preserve"> </w:t>
      </w:r>
      <w:r>
        <w:rPr>
          <w:color w:val="007C89"/>
        </w:rPr>
        <w:t>False</w:t>
      </w:r>
    </w:p>
    <w:p w14:paraId="65FA7D0E" w14:textId="77777777" w:rsidR="005E0712" w:rsidRPr="000B3EF1" w:rsidRDefault="005E0712" w:rsidP="00BF4974">
      <w:pPr>
        <w:pStyle w:val="BodyText"/>
        <w:widowControl/>
        <w:tabs>
          <w:tab w:val="left" w:pos="5954"/>
          <w:tab w:val="left" w:pos="6804"/>
          <w:tab w:val="left" w:pos="7371"/>
          <w:tab w:val="left" w:pos="8505"/>
        </w:tabs>
      </w:pPr>
      <w:r w:rsidRPr="000B3EF1">
        <w:rPr>
          <w:noProof/>
          <w:lang w:val="en-AU" w:eastAsia="en-AU"/>
        </w:rPr>
        <mc:AlternateContent>
          <mc:Choice Requires="wps">
            <w:drawing>
              <wp:anchor distT="0" distB="0" distL="114300" distR="114300" simplePos="0" relativeHeight="251736064" behindDoc="0" locked="0" layoutInCell="1" allowOverlap="1" wp14:anchorId="776F45A4" wp14:editId="02CF8CBC">
                <wp:simplePos x="0" y="0"/>
                <wp:positionH relativeFrom="margin">
                  <wp:align>left</wp:align>
                </wp:positionH>
                <wp:positionV relativeFrom="paragraph">
                  <wp:posOffset>82931</wp:posOffset>
                </wp:positionV>
                <wp:extent cx="6181344" cy="0"/>
                <wp:effectExtent l="0" t="0" r="29210" b="19050"/>
                <wp:wrapNone/>
                <wp:docPr id="458" name="Straight Connector 4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F607B" id="Straight Connector 458" o:spid="_x0000_s1026" style="position:absolute;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Id8se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559C7806" w14:textId="77777777" w:rsidR="005E0712" w:rsidRPr="001E2D25" w:rsidRDefault="005E0712" w:rsidP="00BF4974">
      <w:pPr>
        <w:pStyle w:val="BodyText"/>
        <w:widowControl/>
        <w:tabs>
          <w:tab w:val="left" w:pos="5954"/>
          <w:tab w:val="left" w:pos="7371"/>
        </w:tabs>
        <w:rPr>
          <w:color w:val="007C89"/>
          <w:sz w:val="28"/>
          <w:szCs w:val="28"/>
        </w:rPr>
      </w:pPr>
      <w:r w:rsidRPr="001E2D25">
        <w:rPr>
          <w:color w:val="007C89"/>
          <w:sz w:val="28"/>
          <w:szCs w:val="28"/>
        </w:rPr>
        <w:t>Question 6</w:t>
      </w:r>
    </w:p>
    <w:p w14:paraId="6EB55445" w14:textId="77777777" w:rsidR="005E0712" w:rsidRDefault="005E0712" w:rsidP="00BF4974">
      <w:pPr>
        <w:pStyle w:val="BodyText"/>
        <w:widowControl/>
        <w:tabs>
          <w:tab w:val="left" w:pos="5954"/>
          <w:tab w:val="left" w:pos="6804"/>
          <w:tab w:val="left" w:pos="7371"/>
          <w:tab w:val="left" w:pos="8505"/>
        </w:tabs>
      </w:pPr>
      <w:r>
        <w:t>Today’s education systems in developing countries are typically the result of policies developed when they became independent nations.</w:t>
      </w:r>
    </w:p>
    <w:p w14:paraId="3D6ECFF4" w14:textId="0FCBBDB8" w:rsidR="005E0712" w:rsidRDefault="005E0712" w:rsidP="00BF4974">
      <w:pPr>
        <w:pStyle w:val="BodyText"/>
        <w:widowControl/>
        <w:tabs>
          <w:tab w:val="left" w:pos="5954"/>
          <w:tab w:val="left" w:pos="6804"/>
          <w:tab w:val="left" w:pos="7371"/>
          <w:tab w:val="left" w:pos="8505"/>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sidR="00BF4974">
        <w:rPr>
          <w:color w:val="007C89"/>
          <w:spacing w:val="-4"/>
        </w:rPr>
        <w:tab/>
      </w:r>
      <w:r>
        <w:rPr>
          <w:color w:val="007C89"/>
          <w:sz w:val="28"/>
        </w:rPr>
        <w:t>□</w:t>
      </w:r>
      <w:r>
        <w:rPr>
          <w:color w:val="007C89"/>
          <w:spacing w:val="-17"/>
          <w:sz w:val="28"/>
        </w:rPr>
        <w:t xml:space="preserve"> </w:t>
      </w:r>
      <w:r>
        <w:rPr>
          <w:color w:val="007C89"/>
        </w:rPr>
        <w:t>False</w:t>
      </w:r>
    </w:p>
    <w:p w14:paraId="3CB6A926" w14:textId="4683DC43" w:rsidR="00BF4974" w:rsidRDefault="00BF4974" w:rsidP="00BF4974">
      <w:pPr>
        <w:tabs>
          <w:tab w:val="left" w:pos="5954"/>
          <w:tab w:val="left" w:pos="7371"/>
        </w:tabs>
        <w:rPr>
          <w:rFonts w:ascii="Calibri" w:eastAsia="Calibri" w:hAnsi="Calibri" w:cs="Calibri"/>
          <w:color w:val="231F20"/>
          <w:sz w:val="24"/>
          <w:szCs w:val="24"/>
          <w:lang w:val="en-US"/>
        </w:rPr>
      </w:pPr>
    </w:p>
    <w:p w14:paraId="5F2CAB44" w14:textId="76E14F93" w:rsidR="005E0712" w:rsidRDefault="005E0712" w:rsidP="00BF4974">
      <w:pPr>
        <w:pStyle w:val="BodyText"/>
        <w:widowControl/>
        <w:tabs>
          <w:tab w:val="left" w:pos="5954"/>
          <w:tab w:val="left" w:pos="6804"/>
          <w:tab w:val="left" w:pos="7371"/>
          <w:tab w:val="left" w:pos="8505"/>
        </w:tabs>
      </w:pPr>
      <w:r>
        <w:rPr>
          <w:noProof/>
          <w:lang w:val="en-AU" w:eastAsia="en-AU"/>
        </w:rPr>
        <mc:AlternateContent>
          <mc:Choice Requires="wps">
            <w:drawing>
              <wp:anchor distT="0" distB="0" distL="114300" distR="114300" simplePos="0" relativeHeight="251737088" behindDoc="0" locked="0" layoutInCell="1" allowOverlap="1" wp14:anchorId="6F56A7FD" wp14:editId="6A778EBE">
                <wp:simplePos x="0" y="0"/>
                <wp:positionH relativeFrom="margin">
                  <wp:align>left</wp:align>
                </wp:positionH>
                <wp:positionV relativeFrom="paragraph">
                  <wp:posOffset>82931</wp:posOffset>
                </wp:positionV>
                <wp:extent cx="6181344" cy="0"/>
                <wp:effectExtent l="0" t="0" r="29210" b="19050"/>
                <wp:wrapNone/>
                <wp:docPr id="459" name="Straight Connector 4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E3D12" id="Straight Connector 459" o:spid="_x0000_s1026" style="position:absolute;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C7lQ1a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3560CD2A" w14:textId="77777777" w:rsidR="00BF4974" w:rsidRDefault="00BF4974" w:rsidP="00BF4974">
      <w:pPr>
        <w:tabs>
          <w:tab w:val="left" w:pos="5954"/>
          <w:tab w:val="left" w:pos="7371"/>
        </w:tabs>
        <w:rPr>
          <w:rFonts w:asciiTheme="majorHAnsi" w:eastAsiaTheme="majorEastAsia" w:hAnsiTheme="majorHAnsi" w:cstheme="majorBidi"/>
          <w:b/>
          <w:color w:val="007C89"/>
          <w:sz w:val="32"/>
          <w:szCs w:val="36"/>
        </w:rPr>
      </w:pPr>
      <w:r>
        <w:br w:type="page"/>
      </w:r>
    </w:p>
    <w:p w14:paraId="4FB3318F" w14:textId="4BA5DECA" w:rsidR="005E0712" w:rsidRPr="002E7073" w:rsidRDefault="005E0712" w:rsidP="00EA4AC1">
      <w:pPr>
        <w:pStyle w:val="Heading2"/>
        <w:keepNext w:val="0"/>
        <w:keepLines w:val="0"/>
      </w:pPr>
      <w:r>
        <w:rPr>
          <w:noProof/>
          <w:lang w:eastAsia="en-AU"/>
        </w:rPr>
        <w:drawing>
          <wp:anchor distT="0" distB="0" distL="114300" distR="114300" simplePos="0" relativeHeight="251725824" behindDoc="0" locked="0" layoutInCell="1" allowOverlap="1" wp14:anchorId="07AC0D48" wp14:editId="6E86391A">
            <wp:simplePos x="0" y="0"/>
            <wp:positionH relativeFrom="margin">
              <wp:posOffset>4882769</wp:posOffset>
            </wp:positionH>
            <wp:positionV relativeFrom="paragraph">
              <wp:posOffset>254</wp:posOffset>
            </wp:positionV>
            <wp:extent cx="1069340" cy="89662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69340" cy="896620"/>
                    </a:xfrm>
                    <a:prstGeom prst="rect">
                      <a:avLst/>
                    </a:prstGeom>
                  </pic:spPr>
                </pic:pic>
              </a:graphicData>
            </a:graphic>
            <wp14:sizeRelH relativeFrom="margin">
              <wp14:pctWidth>0</wp14:pctWidth>
            </wp14:sizeRelH>
            <wp14:sizeRelV relativeFrom="margin">
              <wp14:pctHeight>0</wp14:pctHeight>
            </wp14:sizeRelV>
          </wp:anchor>
        </w:drawing>
      </w:r>
      <w:r>
        <w:t xml:space="preserve">The correct </w:t>
      </w:r>
      <w:r>
        <w:rPr>
          <w:spacing w:val="2"/>
        </w:rPr>
        <w:t>answers</w:t>
      </w:r>
      <w:r>
        <w:rPr>
          <w:spacing w:val="60"/>
        </w:rPr>
        <w:t xml:space="preserve"> </w:t>
      </w:r>
      <w:r>
        <w:rPr>
          <w:spacing w:val="5"/>
        </w:rPr>
        <w:t>are...</w:t>
      </w:r>
    </w:p>
    <w:p w14:paraId="28811D55" w14:textId="77777777" w:rsidR="005E0712" w:rsidRDefault="005E0712" w:rsidP="00EA4AC1">
      <w:pPr>
        <w:pStyle w:val="BodyText"/>
        <w:widowControl/>
        <w:rPr>
          <w:color w:val="007C89"/>
          <w:sz w:val="28"/>
          <w:szCs w:val="28"/>
        </w:rPr>
      </w:pPr>
    </w:p>
    <w:p w14:paraId="7C4F0C4F" w14:textId="77777777" w:rsidR="005E0712" w:rsidRPr="001E2D25" w:rsidRDefault="005E0712" w:rsidP="00EA4AC1">
      <w:pPr>
        <w:pStyle w:val="BodyText"/>
        <w:widowControl/>
        <w:rPr>
          <w:color w:val="007C89"/>
          <w:sz w:val="28"/>
          <w:szCs w:val="28"/>
        </w:rPr>
      </w:pPr>
      <w:r w:rsidRPr="001E2D25">
        <w:rPr>
          <w:color w:val="007C89"/>
          <w:sz w:val="28"/>
          <w:szCs w:val="28"/>
        </w:rPr>
        <w:t>Question 1</w:t>
      </w:r>
    </w:p>
    <w:p w14:paraId="7F982902" w14:textId="77777777" w:rsidR="005E0712" w:rsidRPr="00AE5826" w:rsidRDefault="005E0712" w:rsidP="00EA4AC1">
      <w:pPr>
        <w:pStyle w:val="BodyText"/>
        <w:widowControl/>
      </w:pPr>
      <w:r w:rsidRPr="00AE5826">
        <w:t xml:space="preserve">Developing countries find it difficult to </w:t>
      </w:r>
      <w:r w:rsidRPr="00C73C4D">
        <w:t>provide access to early childhood development</w:t>
      </w:r>
      <w:r>
        <w:t xml:space="preserve"> (ECD) programs </w:t>
      </w:r>
      <w:r w:rsidRPr="00AE5826">
        <w:t xml:space="preserve">for </w:t>
      </w:r>
      <w:r>
        <w:t>all children</w:t>
      </w:r>
      <w:r w:rsidRPr="00AE5826">
        <w:t>, so they prioritise enrolment of the poorest and most marginalised children</w:t>
      </w:r>
      <w:r>
        <w:t>.</w:t>
      </w:r>
    </w:p>
    <w:p w14:paraId="0B6A2ABD" w14:textId="77777777" w:rsidR="005E0712" w:rsidRDefault="005E0712" w:rsidP="00EA4AC1">
      <w:pPr>
        <w:pStyle w:val="BodyText"/>
        <w:widowControl/>
      </w:pPr>
      <w:r w:rsidRPr="001908B8">
        <w:rPr>
          <w:b/>
        </w:rPr>
        <w:t xml:space="preserve">This statement is </w:t>
      </w:r>
      <w:r>
        <w:rPr>
          <w:b/>
        </w:rPr>
        <w:t>false</w:t>
      </w:r>
      <w:r w:rsidRPr="00D6311D">
        <w:t xml:space="preserve">. </w:t>
      </w:r>
      <w:r w:rsidRPr="002E7073">
        <w:t>The reality is that the most needy children are typically the ones not reached by good quality EC</w:t>
      </w:r>
      <w:r>
        <w:t>D</w:t>
      </w:r>
      <w:r w:rsidRPr="002E7073">
        <w:t>.</w:t>
      </w:r>
    </w:p>
    <w:p w14:paraId="02F655A1" w14:textId="77777777" w:rsidR="005E0712" w:rsidRDefault="005E0712" w:rsidP="00EA4AC1">
      <w:pPr>
        <w:pStyle w:val="BodyText"/>
        <w:widowControl/>
      </w:pPr>
      <w:r>
        <w:rPr>
          <w:noProof/>
          <w:lang w:val="en-AU" w:eastAsia="en-AU"/>
        </w:rPr>
        <mc:AlternateContent>
          <mc:Choice Requires="wps">
            <w:drawing>
              <wp:anchor distT="0" distB="0" distL="114300" distR="114300" simplePos="0" relativeHeight="251726848" behindDoc="0" locked="0" layoutInCell="1" allowOverlap="1" wp14:anchorId="2E499242" wp14:editId="577CB289">
                <wp:simplePos x="0" y="0"/>
                <wp:positionH relativeFrom="margin">
                  <wp:align>left</wp:align>
                </wp:positionH>
                <wp:positionV relativeFrom="paragraph">
                  <wp:posOffset>85852</wp:posOffset>
                </wp:positionV>
                <wp:extent cx="5632704" cy="0"/>
                <wp:effectExtent l="0" t="0" r="25400" b="19050"/>
                <wp:wrapNone/>
                <wp:docPr id="13" name="Straight Connector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06723" id="Straight Connector 13" o:spid="_x0000_s1026" style="position:absolute;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BPh6g6/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14:paraId="3F3FA11C" w14:textId="77777777" w:rsidR="005E0712" w:rsidRPr="001E2D25" w:rsidRDefault="005E0712" w:rsidP="00EA4AC1">
      <w:pPr>
        <w:pStyle w:val="BodyText"/>
        <w:widowControl/>
        <w:rPr>
          <w:color w:val="007C89"/>
          <w:sz w:val="28"/>
          <w:szCs w:val="28"/>
        </w:rPr>
      </w:pPr>
      <w:r w:rsidRPr="001E2D25">
        <w:rPr>
          <w:color w:val="007C89"/>
          <w:sz w:val="28"/>
          <w:szCs w:val="28"/>
        </w:rPr>
        <w:t>Question 2</w:t>
      </w:r>
    </w:p>
    <w:p w14:paraId="07147BAE" w14:textId="5A260726" w:rsidR="005E0712" w:rsidRDefault="005E0712" w:rsidP="00EA4AC1">
      <w:pPr>
        <w:pStyle w:val="BodyText"/>
        <w:widowControl/>
      </w:pPr>
      <w:r>
        <w:t xml:space="preserve">A primary school Year 3 gross enrolment </w:t>
      </w:r>
      <w:r w:rsidR="0031036E">
        <w:t>ratio</w:t>
      </w:r>
      <w:r>
        <w:t xml:space="preserve"> (GER) can exceed 100 per cent.</w:t>
      </w:r>
    </w:p>
    <w:p w14:paraId="37D977C9" w14:textId="6C500691" w:rsidR="005E0712" w:rsidRDefault="005E0712" w:rsidP="00EA4AC1">
      <w:pPr>
        <w:pStyle w:val="BodyText"/>
        <w:widowControl/>
      </w:pPr>
      <w:r w:rsidRPr="001908B8">
        <w:rPr>
          <w:b/>
        </w:rPr>
        <w:t xml:space="preserve">This statement is </w:t>
      </w:r>
      <w:r>
        <w:rPr>
          <w:b/>
        </w:rPr>
        <w:t>true.</w:t>
      </w:r>
      <w:r w:rsidRPr="00D6311D">
        <w:t xml:space="preserve"> </w:t>
      </w:r>
      <w:r w:rsidR="0031036E">
        <w:t>The GER can exceed 100 per cent because of g</w:t>
      </w:r>
      <w:r>
        <w:t>rade repetition and children enrolling at ages younger or older than the typical age at Year 3. The GER is defined as the total enrolment in a specific level of education, regardless of age, expressed as a percentage of the eligible official school-age population.</w:t>
      </w:r>
    </w:p>
    <w:p w14:paraId="2CD52EFD" w14:textId="77777777" w:rsidR="005E0712" w:rsidRDefault="005E0712" w:rsidP="00EA4AC1">
      <w:pPr>
        <w:pStyle w:val="BodyText"/>
        <w:widowControl/>
      </w:pPr>
      <w:r>
        <w:t>To calculate primary school GER divide the number of pupils enrolled in primary education, regardless of age, by the number of children of primary age (e.g. from census data).</w:t>
      </w:r>
    </w:p>
    <w:p w14:paraId="09787901" w14:textId="77777777" w:rsidR="005E0712" w:rsidRDefault="005E0712" w:rsidP="00EA4AC1">
      <w:pPr>
        <w:pStyle w:val="BodyText"/>
        <w:widowControl/>
      </w:pPr>
      <w:r>
        <w:rPr>
          <w:noProof/>
          <w:lang w:val="en-AU" w:eastAsia="en-AU"/>
        </w:rPr>
        <mc:AlternateContent>
          <mc:Choice Requires="wps">
            <w:drawing>
              <wp:anchor distT="0" distB="0" distL="114300" distR="114300" simplePos="0" relativeHeight="251727872" behindDoc="0" locked="0" layoutInCell="1" allowOverlap="1" wp14:anchorId="65DA1353" wp14:editId="7A244405">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A3DC9" id="Straight Connector 448" o:spid="_x0000_s1026" style="position:absolute;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6DC6CDB6" w14:textId="77777777" w:rsidR="005E0712" w:rsidRPr="001E2D25" w:rsidRDefault="005E0712" w:rsidP="00EA4AC1">
      <w:pPr>
        <w:pStyle w:val="BodyText"/>
        <w:widowControl/>
        <w:rPr>
          <w:color w:val="007C89"/>
          <w:sz w:val="28"/>
          <w:szCs w:val="28"/>
        </w:rPr>
      </w:pPr>
      <w:r w:rsidRPr="001E2D25">
        <w:rPr>
          <w:color w:val="007C89"/>
          <w:sz w:val="28"/>
          <w:szCs w:val="28"/>
        </w:rPr>
        <w:t>Question 3</w:t>
      </w:r>
    </w:p>
    <w:p w14:paraId="7ECEC1B7" w14:textId="77777777" w:rsidR="005E0712" w:rsidRDefault="005E0712" w:rsidP="00EA4AC1">
      <w:pPr>
        <w:pStyle w:val="BodyText"/>
        <w:widowControl/>
      </w:pPr>
      <w:r>
        <w:t>A high primary completion rate (PCR) shows that most children have achieved a good quality education during their primary school years</w:t>
      </w:r>
    </w:p>
    <w:p w14:paraId="5CEA7A65" w14:textId="77777777" w:rsidR="005E0712" w:rsidRDefault="005E0712" w:rsidP="00EA4AC1">
      <w:pPr>
        <w:pStyle w:val="BodyText"/>
        <w:widowControl/>
      </w:pPr>
      <w:r w:rsidRPr="002E7073">
        <w:rPr>
          <w:b/>
        </w:rPr>
        <w:t xml:space="preserve">The statement is false. </w:t>
      </w:r>
      <w:r>
        <w:t>Many children complete primary school without learning adequately. We need to look at learning assessment results too.</w:t>
      </w:r>
    </w:p>
    <w:p w14:paraId="2A666AB5" w14:textId="77777777" w:rsidR="005E0712" w:rsidRDefault="005E0712" w:rsidP="00EA4AC1">
      <w:pPr>
        <w:pStyle w:val="BodyText"/>
        <w:widowControl/>
      </w:pPr>
      <w:r>
        <w:rPr>
          <w:noProof/>
          <w:lang w:val="en-AU" w:eastAsia="en-AU"/>
        </w:rPr>
        <mc:AlternateContent>
          <mc:Choice Requires="wps">
            <w:drawing>
              <wp:anchor distT="0" distB="0" distL="114300" distR="114300" simplePos="0" relativeHeight="251728896" behindDoc="0" locked="0" layoutInCell="1" allowOverlap="1" wp14:anchorId="5C527118" wp14:editId="61C99A88">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10720" id="Straight Connector 449" o:spid="_x0000_s1026" style="position:absolute;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36185874" w14:textId="77777777" w:rsidR="005E0712" w:rsidRPr="001E2D25" w:rsidRDefault="005E0712" w:rsidP="00EA4AC1">
      <w:pPr>
        <w:pStyle w:val="BodyText"/>
        <w:widowControl/>
        <w:rPr>
          <w:color w:val="007C89"/>
          <w:sz w:val="28"/>
          <w:szCs w:val="28"/>
        </w:rPr>
      </w:pPr>
      <w:r w:rsidRPr="001E2D25">
        <w:rPr>
          <w:color w:val="007C89"/>
          <w:sz w:val="28"/>
          <w:szCs w:val="28"/>
        </w:rPr>
        <w:t>Question 4</w:t>
      </w:r>
    </w:p>
    <w:p w14:paraId="5F06248B" w14:textId="77777777" w:rsidR="005E0712" w:rsidRDefault="005E0712" w:rsidP="00EA4AC1">
      <w:pPr>
        <w:pStyle w:val="BodyText"/>
        <w:widowControl/>
      </w:pPr>
      <w:r>
        <w:t>In many countries the term ‘basic education’ refers to the primary school years and the first two or three years of junior secondary school (an eight or nine-year cycle).</w:t>
      </w:r>
    </w:p>
    <w:p w14:paraId="09B4D080" w14:textId="77777777" w:rsidR="005E0712" w:rsidRPr="007E36E0" w:rsidRDefault="005E0712" w:rsidP="00EA4AC1">
      <w:pPr>
        <w:pStyle w:val="BodyText"/>
        <w:widowControl/>
        <w:rPr>
          <w:b/>
        </w:rPr>
      </w:pPr>
      <w:r w:rsidRPr="007E36E0">
        <w:rPr>
          <w:b/>
        </w:rPr>
        <w:t>The statement is true.</w:t>
      </w:r>
    </w:p>
    <w:p w14:paraId="78AF7678" w14:textId="77777777" w:rsidR="005E0712" w:rsidRDefault="005E0712" w:rsidP="00EA4AC1">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0E3A3411" wp14:editId="69EC2FCA">
                <wp:simplePos x="0" y="0"/>
                <wp:positionH relativeFrom="margin">
                  <wp:align>left</wp:align>
                </wp:positionH>
                <wp:positionV relativeFrom="paragraph">
                  <wp:posOffset>85852</wp:posOffset>
                </wp:positionV>
                <wp:extent cx="5632704" cy="0"/>
                <wp:effectExtent l="0" t="0" r="25400" b="19050"/>
                <wp:wrapNone/>
                <wp:docPr id="450" name="Straight Connector 4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588D4" id="Straight Connector 450"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M4AA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Kg2DOA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B8FEB3" w14:textId="77777777" w:rsidR="00BF4974" w:rsidRDefault="00BF4974" w:rsidP="00BF4974">
      <w:pPr>
        <w:pStyle w:val="Paraspace"/>
      </w:pPr>
    </w:p>
    <w:p w14:paraId="1D57789F" w14:textId="77777777" w:rsidR="00BF4974" w:rsidRDefault="00BF4974" w:rsidP="00BF4974">
      <w:pPr>
        <w:pStyle w:val="Paraspace"/>
      </w:pPr>
    </w:p>
    <w:p w14:paraId="571009DE" w14:textId="77777777" w:rsidR="00BF4974" w:rsidRDefault="00BF4974" w:rsidP="00BF4974">
      <w:pPr>
        <w:pStyle w:val="Paraspace"/>
      </w:pPr>
    </w:p>
    <w:p w14:paraId="7E60CDBB" w14:textId="77777777" w:rsidR="005E0712" w:rsidRPr="001E2D25" w:rsidRDefault="005E0712" w:rsidP="00EA4AC1">
      <w:pPr>
        <w:pStyle w:val="BodyText"/>
        <w:widowControl/>
        <w:rPr>
          <w:color w:val="007C89"/>
          <w:sz w:val="28"/>
          <w:szCs w:val="28"/>
        </w:rPr>
      </w:pPr>
      <w:r w:rsidRPr="001E2D25">
        <w:rPr>
          <w:color w:val="007C89"/>
          <w:sz w:val="28"/>
          <w:szCs w:val="28"/>
        </w:rPr>
        <w:t>Question 5</w:t>
      </w:r>
    </w:p>
    <w:p w14:paraId="62C16DC0" w14:textId="77777777" w:rsidR="005E0712" w:rsidRPr="00AE5826" w:rsidRDefault="005E0712" w:rsidP="00EA4AC1">
      <w:pPr>
        <w:pStyle w:val="BodyText"/>
        <w:widowControl/>
      </w:pPr>
      <w:r w:rsidRPr="00AE5826">
        <w:t>People successfully completing non-formal education courses normally receive qualifications.</w:t>
      </w:r>
    </w:p>
    <w:p w14:paraId="319C5177" w14:textId="77777777" w:rsidR="005E0712" w:rsidRPr="00AE5826" w:rsidRDefault="005E0712" w:rsidP="00EA4AC1">
      <w:pPr>
        <w:pStyle w:val="BodyText"/>
        <w:widowControl/>
      </w:pPr>
      <w:r w:rsidRPr="002E7073">
        <w:rPr>
          <w:b/>
        </w:rPr>
        <w:t>The statement is false.</w:t>
      </w:r>
      <w:r>
        <w:rPr>
          <w:b/>
        </w:rPr>
        <w:t xml:space="preserve"> </w:t>
      </w:r>
      <w:r w:rsidRPr="00AE5826">
        <w:t>Non-formal education courses are provided outside the formal education system and so qualifications are not normally awarded.</w:t>
      </w:r>
    </w:p>
    <w:p w14:paraId="54EE1F97" w14:textId="77777777" w:rsidR="005E0712" w:rsidRDefault="005E0712" w:rsidP="00EA4AC1">
      <w:pPr>
        <w:pStyle w:val="BodyText"/>
        <w:widowControl/>
      </w:pPr>
      <w:r>
        <w:rPr>
          <w:noProof/>
          <w:lang w:val="en-AU" w:eastAsia="en-AU"/>
        </w:rPr>
        <mc:AlternateContent>
          <mc:Choice Requires="wps">
            <w:drawing>
              <wp:anchor distT="0" distB="0" distL="114300" distR="114300" simplePos="0" relativeHeight="251730944" behindDoc="0" locked="0" layoutInCell="1" allowOverlap="1" wp14:anchorId="24F23A64" wp14:editId="7BB6D847">
                <wp:simplePos x="0" y="0"/>
                <wp:positionH relativeFrom="margin">
                  <wp:align>left</wp:align>
                </wp:positionH>
                <wp:positionV relativeFrom="paragraph">
                  <wp:posOffset>85852</wp:posOffset>
                </wp:positionV>
                <wp:extent cx="5632704" cy="0"/>
                <wp:effectExtent l="0" t="0" r="25400" b="19050"/>
                <wp:wrapNone/>
                <wp:docPr id="451" name="Straight Connector 4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F31E4" id="Straight Connector 451" o:spid="_x0000_s1026" style="position:absolute;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V8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ZI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JnvRXw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4E3ECA22" w14:textId="77777777" w:rsidR="005E0712" w:rsidRPr="001E2D25" w:rsidRDefault="005E0712" w:rsidP="00EA4AC1">
      <w:pPr>
        <w:pStyle w:val="BodyText"/>
        <w:widowControl/>
        <w:rPr>
          <w:color w:val="007C89"/>
          <w:sz w:val="28"/>
          <w:szCs w:val="28"/>
        </w:rPr>
      </w:pPr>
      <w:r w:rsidRPr="001E2D25">
        <w:rPr>
          <w:color w:val="007C89"/>
          <w:sz w:val="28"/>
          <w:szCs w:val="28"/>
        </w:rPr>
        <w:t>Question 6</w:t>
      </w:r>
    </w:p>
    <w:p w14:paraId="59DD51DE" w14:textId="77777777" w:rsidR="005E0712" w:rsidRDefault="005E0712" w:rsidP="00EA4AC1">
      <w:pPr>
        <w:pStyle w:val="BodyText"/>
        <w:widowControl/>
      </w:pPr>
      <w:r>
        <w:t>Today’s education systems in developing countries are typically the result of policies developed when they became independent nations.</w:t>
      </w:r>
    </w:p>
    <w:p w14:paraId="1A9A917C" w14:textId="77777777" w:rsidR="005E0712" w:rsidRDefault="005E0712" w:rsidP="00EA4AC1">
      <w:pPr>
        <w:pStyle w:val="BodyText"/>
        <w:widowControl/>
      </w:pPr>
      <w:r>
        <w:rPr>
          <w:noProof/>
          <w:lang w:val="en-AU" w:eastAsia="en-AU"/>
        </w:rPr>
        <mc:AlternateContent>
          <mc:Choice Requires="wps">
            <w:drawing>
              <wp:anchor distT="0" distB="0" distL="114300" distR="114300" simplePos="0" relativeHeight="251731968" behindDoc="0" locked="0" layoutInCell="1" allowOverlap="1" wp14:anchorId="309426B6" wp14:editId="3E9DE4F7">
                <wp:simplePos x="0" y="0"/>
                <wp:positionH relativeFrom="margin">
                  <wp:posOffset>7951</wp:posOffset>
                </wp:positionH>
                <wp:positionV relativeFrom="paragraph">
                  <wp:posOffset>531357</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C7BFE" id="Straight Connector 452"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41.85pt" to="444.1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" strokecolor="#d8d8d8 [2732]" strokeweight=".5pt">
                <v:stroke joinstyle="miter"/>
                <o:lock v:ext="edit" aspectratio="t" shapetype="f"/>
                <w10:wrap anchorx="margin"/>
              </v:line>
            </w:pict>
          </mc:Fallback>
        </mc:AlternateContent>
      </w:r>
      <w:r w:rsidRPr="002E7073">
        <w:rPr>
          <w:b/>
        </w:rPr>
        <w:t xml:space="preserve">The statement is false. </w:t>
      </w:r>
      <w:r>
        <w:t>On the contrary, colonial and missionary legacies typically remain the basis for the education systems we see in many countries today.</w:t>
      </w:r>
    </w:p>
    <w:p w14:paraId="3FBB1F9D" w14:textId="77777777" w:rsidR="00BF4974" w:rsidRDefault="00BF4974" w:rsidP="00BF4974">
      <w:pPr>
        <w:pStyle w:val="Paraspace"/>
      </w:pPr>
      <w:bookmarkStart w:id="48" w:name="_Toc491272691"/>
    </w:p>
    <w:p w14:paraId="36CC01BD" w14:textId="77777777" w:rsidR="005E0712" w:rsidRDefault="005E0712" w:rsidP="00BF4974">
      <w:pPr>
        <w:pStyle w:val="Paraspace"/>
      </w:pPr>
      <w:r>
        <w:br w:type="page"/>
      </w:r>
    </w:p>
    <w:p w14:paraId="4B6B7245" w14:textId="77777777" w:rsidR="005E0712" w:rsidRPr="00CC344A" w:rsidRDefault="005E0712" w:rsidP="00EA4AC1">
      <w:pPr>
        <w:pStyle w:val="Heading1"/>
        <w:widowControl/>
        <w:numPr>
          <w:ilvl w:val="0"/>
          <w:numId w:val="0"/>
        </w:numPr>
      </w:pPr>
      <w:bookmarkStart w:id="49" w:name="_Toc496276458"/>
      <w:bookmarkStart w:id="50" w:name="_Toc522804289"/>
      <w:r>
        <w:t>References and links</w:t>
      </w:r>
      <w:bookmarkEnd w:id="48"/>
      <w:bookmarkEnd w:id="49"/>
      <w:bookmarkEnd w:id="50"/>
    </w:p>
    <w:p w14:paraId="2EED5B42" w14:textId="62D2B7C2" w:rsidR="009D3D25" w:rsidRPr="00C42C83" w:rsidRDefault="009D3D25" w:rsidP="00EA4AC1">
      <w:pPr>
        <w:pStyle w:val="AcknowledgmentTitle"/>
        <w:spacing w:after="120"/>
        <w:rPr>
          <w:rFonts w:asciiTheme="minorHAnsi" w:hAnsiTheme="minorHAnsi"/>
          <w:color w:val="auto"/>
          <w:sz w:val="24"/>
          <w:szCs w:val="24"/>
        </w:rPr>
      </w:pPr>
      <w:r w:rsidRPr="00C42C83">
        <w:rPr>
          <w:rFonts w:asciiTheme="minorHAnsi" w:hAnsiTheme="minorHAnsi"/>
          <w:color w:val="auto"/>
          <w:sz w:val="24"/>
          <w:szCs w:val="24"/>
        </w:rPr>
        <w:t>All links retrieved November, 2018</w:t>
      </w:r>
    </w:p>
    <w:p w14:paraId="515B744A" w14:textId="1BFFAE11" w:rsidR="00B7355A" w:rsidRPr="00C42C83" w:rsidRDefault="00B7355A" w:rsidP="00EA4AC1">
      <w:pPr>
        <w:pStyle w:val="AcknowledgmentTitle"/>
        <w:spacing w:after="120"/>
        <w:rPr>
          <w:rStyle w:val="Hyperlink"/>
          <w:rFonts w:asciiTheme="minorHAnsi" w:hAnsiTheme="minorHAnsi"/>
          <w:b w:val="0"/>
          <w:color w:val="007C89"/>
          <w:sz w:val="24"/>
          <w:szCs w:val="24"/>
          <w:u w:val="none"/>
        </w:rPr>
      </w:pPr>
      <w:r w:rsidRPr="00C42C83">
        <w:rPr>
          <w:rFonts w:asciiTheme="minorHAnsi" w:hAnsiTheme="minorHAnsi"/>
          <w:b w:val="0"/>
          <w:color w:val="auto"/>
          <w:sz w:val="24"/>
          <w:szCs w:val="24"/>
        </w:rPr>
        <w:t xml:space="preserve">Antoninis, M 2014, ‘Malawi: A shortage of teachers is putting children’s learning at risk’, World education blog, 25 February, </w:t>
      </w:r>
      <w:r w:rsidR="009D3D25">
        <w:rPr>
          <w:rFonts w:asciiTheme="minorHAnsi" w:hAnsiTheme="minorHAnsi"/>
          <w:b w:val="0"/>
          <w:color w:val="auto"/>
          <w:sz w:val="24"/>
          <w:szCs w:val="24"/>
        </w:rPr>
        <w:t>found at</w:t>
      </w:r>
      <w:r w:rsidRPr="00C42C83">
        <w:rPr>
          <w:rFonts w:asciiTheme="minorHAnsi" w:hAnsiTheme="minorHAnsi"/>
          <w:b w:val="0"/>
          <w:color w:val="auto"/>
          <w:sz w:val="24"/>
          <w:szCs w:val="24"/>
        </w:rPr>
        <w:t xml:space="preserve">, </w:t>
      </w:r>
      <w:hyperlink r:id="rId48" w:history="1">
        <w:r w:rsidRPr="00C42C83">
          <w:rPr>
            <w:rStyle w:val="Hyperlink"/>
            <w:rFonts w:asciiTheme="minorHAnsi" w:hAnsiTheme="minorHAnsi"/>
            <w:b w:val="0"/>
            <w:color w:val="007C89"/>
            <w:sz w:val="24"/>
            <w:szCs w:val="24"/>
            <w:u w:val="none"/>
          </w:rPr>
          <w:t>https://gemreportunesco.wordpress.com/2014/02/25/malawi-a-shortage-of-teachers-is-putting-childrens-learning-at-risk/</w:t>
        </w:r>
      </w:hyperlink>
    </w:p>
    <w:p w14:paraId="55FAE1D3" w14:textId="3AC593C6" w:rsidR="00460956" w:rsidRPr="00C42C83" w:rsidRDefault="00460956" w:rsidP="00EA4AC1">
      <w:pPr>
        <w:pStyle w:val="BodyText"/>
        <w:widowControl/>
        <w:spacing w:before="0" w:after="120"/>
      </w:pPr>
      <w:r w:rsidRPr="00C42C83">
        <w:t>Australian Agency for International Development (A</w:t>
      </w:r>
      <w:r w:rsidR="009D0144" w:rsidRPr="00C42C83">
        <w:t>usAID</w:t>
      </w:r>
      <w:r w:rsidRPr="00C42C83">
        <w:t xml:space="preserve">) 2010, </w:t>
      </w:r>
      <w:r w:rsidR="007E3BAF" w:rsidRPr="00C42C83">
        <w:t>‘</w:t>
      </w:r>
      <w:r w:rsidRPr="00C42C83">
        <w:t>Marine Training Centre Kiribati</w:t>
      </w:r>
      <w:r w:rsidR="007E3BAF" w:rsidRPr="00C42C83">
        <w:t>’</w:t>
      </w:r>
      <w:r w:rsidRPr="00C42C83">
        <w:t xml:space="preserve">, YouTube, 21 January, </w:t>
      </w:r>
      <w:r w:rsidR="009D3D25">
        <w:t>found at</w:t>
      </w:r>
      <w:r w:rsidRPr="00C42C83">
        <w:t xml:space="preserve">, </w:t>
      </w:r>
      <w:hyperlink r:id="rId49" w:history="1">
        <w:r w:rsidRPr="00C42C83">
          <w:rPr>
            <w:rStyle w:val="LinkChar"/>
            <w:szCs w:val="24"/>
          </w:rPr>
          <w:t>http://www.youtube.com/watch?v=wpEILBipzms&amp;feature=youtu.be</w:t>
        </w:r>
      </w:hyperlink>
    </w:p>
    <w:p w14:paraId="7F02C844" w14:textId="26D1BF87" w:rsidR="005E0712" w:rsidRPr="00C42C83" w:rsidRDefault="005E0712" w:rsidP="00EA4AC1">
      <w:pPr>
        <w:spacing w:after="120" w:line="240" w:lineRule="auto"/>
        <w:rPr>
          <w:noProof/>
          <w:sz w:val="24"/>
          <w:szCs w:val="24"/>
        </w:rPr>
      </w:pPr>
      <w:r w:rsidRPr="00C42C83">
        <w:rPr>
          <w:noProof/>
          <w:sz w:val="24"/>
          <w:szCs w:val="24"/>
        </w:rPr>
        <w:t xml:space="preserve">The Global Partnership for Education 2017, Girls Education and Gender Equality, </w:t>
      </w:r>
      <w:r w:rsidR="009D3D25">
        <w:rPr>
          <w:noProof/>
          <w:sz w:val="24"/>
          <w:szCs w:val="24"/>
        </w:rPr>
        <w:t>found at</w:t>
      </w:r>
      <w:r w:rsidRPr="00C42C83">
        <w:rPr>
          <w:noProof/>
          <w:sz w:val="24"/>
          <w:szCs w:val="24"/>
        </w:rPr>
        <w:t xml:space="preserve">, </w:t>
      </w:r>
      <w:hyperlink r:id="rId50" w:history="1">
        <w:r w:rsidRPr="00C42C83">
          <w:rPr>
            <w:rStyle w:val="Hyperlink"/>
            <w:noProof/>
            <w:color w:val="007C89"/>
            <w:sz w:val="24"/>
            <w:szCs w:val="24"/>
            <w:u w:val="none"/>
          </w:rPr>
          <w:t>http://www.globalpartnership.org/focus-areas/girls-education</w:t>
        </w:r>
      </w:hyperlink>
    </w:p>
    <w:p w14:paraId="28C9CC52" w14:textId="6EB033EA" w:rsidR="005E0712" w:rsidRPr="00C42C83" w:rsidRDefault="005E0712" w:rsidP="00EA4AC1">
      <w:pPr>
        <w:spacing w:after="120" w:line="240" w:lineRule="auto"/>
        <w:rPr>
          <w:color w:val="007C89"/>
          <w:sz w:val="24"/>
          <w:szCs w:val="24"/>
        </w:rPr>
      </w:pPr>
      <w:r w:rsidRPr="00C42C83">
        <w:rPr>
          <w:sz w:val="24"/>
          <w:szCs w:val="24"/>
        </w:rPr>
        <w:t xml:space="preserve">The International Commission on Financing Global Education Opportunity 2016, The learning generation: Investing in education for a changing world, p. 99, </w:t>
      </w:r>
      <w:r w:rsidR="009D3D25">
        <w:rPr>
          <w:sz w:val="24"/>
          <w:szCs w:val="24"/>
        </w:rPr>
        <w:t>found at</w:t>
      </w:r>
      <w:r w:rsidRPr="00C42C83">
        <w:rPr>
          <w:sz w:val="24"/>
          <w:szCs w:val="24"/>
        </w:rPr>
        <w:t xml:space="preserve">, </w:t>
      </w:r>
      <w:r w:rsidR="007E3BAF" w:rsidRPr="00C42C83">
        <w:rPr>
          <w:rStyle w:val="Hyperlink"/>
          <w:color w:val="007C89"/>
          <w:sz w:val="24"/>
          <w:szCs w:val="24"/>
          <w:u w:val="none"/>
        </w:rPr>
        <w:t>http://report.educationcommission.org/wp-content/uploads/2016/09/Learning_Generation_Full_Report.pdf</w:t>
      </w:r>
    </w:p>
    <w:p w14:paraId="58F19F01" w14:textId="4D89E4AC" w:rsidR="004A751E" w:rsidRPr="00C42C83" w:rsidRDefault="004A751E" w:rsidP="00EA4AC1">
      <w:pPr>
        <w:pStyle w:val="BodyText"/>
        <w:widowControl/>
      </w:pPr>
      <w:r w:rsidRPr="00C42C83">
        <w:t xml:space="preserve">International Cooperation and Development 2018, Technical and Vocational Education and Training (TVET) Reform in Bangladesh: Testimony, Amina Akhter, project beneficiary, </w:t>
      </w:r>
      <w:r w:rsidR="009D3D25">
        <w:t>found at</w:t>
      </w:r>
      <w:r w:rsidRPr="00C42C83">
        <w:t xml:space="preserve">, </w:t>
      </w:r>
      <w:hyperlink r:id="rId51" w:history="1">
        <w:r w:rsidRPr="00C42C83">
          <w:rPr>
            <w:rStyle w:val="LinkChar"/>
            <w:szCs w:val="24"/>
          </w:rPr>
          <w:t>https://ec.europa.eu/europeaid/node/114906_de</w:t>
        </w:r>
      </w:hyperlink>
    </w:p>
    <w:p w14:paraId="54765288" w14:textId="3E167200" w:rsidR="00E93537" w:rsidRPr="00C42C83" w:rsidRDefault="00E93537" w:rsidP="00C946D8">
      <w:pPr>
        <w:pStyle w:val="Boxsource"/>
        <w:ind w:left="0"/>
        <w:rPr>
          <w:rFonts w:ascii="Calibri" w:eastAsia="Calibri" w:hAnsi="Calibri" w:cs="Calibri"/>
          <w:color w:val="231F20"/>
          <w:sz w:val="24"/>
          <w:szCs w:val="24"/>
          <w:lang w:val="en-US"/>
        </w:rPr>
      </w:pPr>
      <w:r w:rsidRPr="00C42C83">
        <w:rPr>
          <w:rStyle w:val="BodyTextChar"/>
        </w:rPr>
        <w:t xml:space="preserve">Papua New Guinea (PNG) Department of Education 2004, </w:t>
      </w:r>
      <w:hyperlink r:id="rId52" w:history="1">
        <w:r w:rsidRPr="00C42C83">
          <w:rPr>
            <w:rStyle w:val="BodyTextChar"/>
          </w:rPr>
          <w:t>Achieving a better future: a national plan for education 2005-2014</w:t>
        </w:r>
      </w:hyperlink>
      <w:r w:rsidR="00C946D8" w:rsidRPr="00C42C83">
        <w:rPr>
          <w:rStyle w:val="BodyTextChar"/>
        </w:rPr>
        <w:t xml:space="preserve">, </w:t>
      </w:r>
      <w:r w:rsidR="009D3D25">
        <w:rPr>
          <w:rStyle w:val="BodyTextChar"/>
        </w:rPr>
        <w:t>found at</w:t>
      </w:r>
      <w:r w:rsidR="00C946D8" w:rsidRPr="00C42C83">
        <w:rPr>
          <w:rStyle w:val="BodyTextChar"/>
        </w:rPr>
        <w:t>,</w:t>
      </w:r>
      <w:r w:rsidR="00C946D8" w:rsidRPr="00C42C83">
        <w:rPr>
          <w:rFonts w:ascii="Calibri" w:eastAsia="Calibri" w:hAnsi="Calibri" w:cs="Calibri"/>
          <w:color w:val="231F20"/>
          <w:sz w:val="24"/>
          <w:szCs w:val="24"/>
          <w:lang w:val="en-US"/>
        </w:rPr>
        <w:t xml:space="preserve"> </w:t>
      </w:r>
      <w:hyperlink r:id="rId53" w:history="1">
        <w:r w:rsidR="007E3BAF" w:rsidRPr="00C42C83">
          <w:rPr>
            <w:rStyle w:val="LinkChar"/>
            <w:szCs w:val="24"/>
          </w:rPr>
          <w:t>http://planipolis.iiep.unesco.org/en/2004/achieving-better-future-national-plan-education-2005-2014-papua-new-guinea-4678</w:t>
        </w:r>
      </w:hyperlink>
    </w:p>
    <w:p w14:paraId="60B023C1" w14:textId="75A9A315" w:rsidR="005E0712" w:rsidRPr="00C42C83" w:rsidRDefault="005E0712" w:rsidP="00C946D8">
      <w:pPr>
        <w:spacing w:before="120" w:after="120" w:line="240" w:lineRule="auto"/>
        <w:rPr>
          <w:rStyle w:val="Hyperlink"/>
          <w:noProof/>
          <w:color w:val="auto"/>
          <w:sz w:val="24"/>
          <w:szCs w:val="24"/>
          <w:u w:val="none"/>
        </w:rPr>
      </w:pPr>
      <w:r w:rsidRPr="00C42C83">
        <w:rPr>
          <w:rStyle w:val="BodyTextChar"/>
        </w:rPr>
        <w:t xml:space="preserve">UNESCO 2012, Youth and skills: Putting education to work, EFA Global Monitoring Report 2012, UNESCO, p.197, </w:t>
      </w:r>
      <w:r w:rsidR="009D3D25">
        <w:rPr>
          <w:rStyle w:val="BodyTextChar"/>
        </w:rPr>
        <w:t>found at</w:t>
      </w:r>
      <w:r w:rsidRPr="00C42C83">
        <w:rPr>
          <w:rStyle w:val="BodyTextChar"/>
        </w:rPr>
        <w:t>,</w:t>
      </w:r>
      <w:r w:rsidRPr="00C42C83">
        <w:rPr>
          <w:rStyle w:val="LinkChar"/>
          <w:szCs w:val="24"/>
        </w:rPr>
        <w:t xml:space="preserve"> </w:t>
      </w:r>
      <w:hyperlink r:id="rId54" w:history="1">
        <w:r w:rsidR="007E3BAF" w:rsidRPr="00C42C83">
          <w:rPr>
            <w:rStyle w:val="LinkChar"/>
            <w:szCs w:val="24"/>
          </w:rPr>
          <w:t>http://en.unesco.org/gem-report/report/2012/youth-and-skills-putting-education-work</w:t>
        </w:r>
      </w:hyperlink>
      <w:r w:rsidRPr="00C42C83">
        <w:rPr>
          <w:rStyle w:val="Hyperlink"/>
          <w:noProof/>
          <w:sz w:val="24"/>
          <w:szCs w:val="24"/>
          <w:u w:val="none"/>
        </w:rPr>
        <w:t xml:space="preserve"> </w:t>
      </w:r>
    </w:p>
    <w:p w14:paraId="5D10DE29" w14:textId="2CC1EFB6" w:rsidR="00056C50" w:rsidRPr="00C42C83" w:rsidRDefault="00056C50" w:rsidP="00EA4AC1">
      <w:pPr>
        <w:spacing w:after="120" w:line="240" w:lineRule="auto"/>
        <w:rPr>
          <w:rStyle w:val="Hyperlink"/>
          <w:noProof/>
          <w:color w:val="auto"/>
          <w:sz w:val="24"/>
          <w:szCs w:val="24"/>
          <w:u w:val="none"/>
        </w:rPr>
      </w:pPr>
      <w:r w:rsidRPr="00C42C83">
        <w:rPr>
          <w:sz w:val="24"/>
          <w:szCs w:val="24"/>
        </w:rPr>
        <w:t>UNESCO Institute for Statistics n.d., UIS Stat.</w:t>
      </w:r>
      <w:r w:rsidR="009D3D25">
        <w:rPr>
          <w:rStyle w:val="BodyTextChar"/>
        </w:rPr>
        <w:t>, found at</w:t>
      </w:r>
      <w:r w:rsidRPr="00C42C83">
        <w:rPr>
          <w:rStyle w:val="BodyTextChar"/>
        </w:rPr>
        <w:t xml:space="preserve">, </w:t>
      </w:r>
      <w:hyperlink r:id="rId55" w:history="1">
        <w:r w:rsidRPr="00C42C83">
          <w:rPr>
            <w:rStyle w:val="LinkChar"/>
            <w:szCs w:val="24"/>
          </w:rPr>
          <w:t>http://data.uis.unesco.org/Index.aspx</w:t>
        </w:r>
      </w:hyperlink>
    </w:p>
    <w:p w14:paraId="60588545" w14:textId="723FE258" w:rsidR="005E0712" w:rsidRPr="00C42C83" w:rsidRDefault="005E0712" w:rsidP="00EA4AC1">
      <w:pPr>
        <w:spacing w:after="120" w:line="240" w:lineRule="auto"/>
        <w:ind w:left="426"/>
        <w:rPr>
          <w:noProof/>
          <w:sz w:val="24"/>
          <w:szCs w:val="24"/>
        </w:rPr>
      </w:pPr>
      <w:r w:rsidRPr="00C42C83">
        <w:rPr>
          <w:noProof/>
          <w:sz w:val="24"/>
          <w:szCs w:val="24"/>
        </w:rPr>
        <w:t xml:space="preserve">2011a, ‘ISCED level 0- early childhood education’, in International Standard Classification of Education: ISCED 2011, UNESCO Institute for Statistics, pp. 26-29, </w:t>
      </w:r>
      <w:r w:rsidR="009D3D25">
        <w:rPr>
          <w:noProof/>
          <w:sz w:val="24"/>
          <w:szCs w:val="24"/>
        </w:rPr>
        <w:t>found at</w:t>
      </w:r>
      <w:r w:rsidRPr="00C42C83">
        <w:rPr>
          <w:noProof/>
          <w:sz w:val="24"/>
          <w:szCs w:val="24"/>
        </w:rPr>
        <w:t xml:space="preserve">, </w:t>
      </w:r>
      <w:hyperlink r:id="rId56" w:history="1">
        <w:r w:rsidRPr="00C42C83">
          <w:rPr>
            <w:rStyle w:val="Hyperlink"/>
            <w:noProof/>
            <w:color w:val="007C89"/>
            <w:sz w:val="24"/>
            <w:szCs w:val="24"/>
            <w:u w:val="none"/>
          </w:rPr>
          <w:t>http://uis.unesco.org/sites/default/files/documents/international-standard-classification-of-education-isced-2011-en.pdf</w:t>
        </w:r>
      </w:hyperlink>
    </w:p>
    <w:p w14:paraId="3EFD7FF5" w14:textId="26D0668C" w:rsidR="005E0712" w:rsidRPr="00C42C83" w:rsidRDefault="005E0712" w:rsidP="00EA4AC1">
      <w:pPr>
        <w:spacing w:after="120" w:line="240" w:lineRule="auto"/>
        <w:ind w:left="426"/>
        <w:rPr>
          <w:noProof/>
          <w:sz w:val="24"/>
          <w:szCs w:val="24"/>
        </w:rPr>
      </w:pPr>
      <w:r w:rsidRPr="00C42C83">
        <w:rPr>
          <w:noProof/>
          <w:sz w:val="24"/>
          <w:szCs w:val="24"/>
        </w:rPr>
        <w:t xml:space="preserve">2011b, ‘ISCED level 1- primary education’, in International Standard Classification of Education: ISCED 2011, UNESCO Institute for Statistics, pp. 30-32, </w:t>
      </w:r>
      <w:r w:rsidR="009D3D25">
        <w:rPr>
          <w:noProof/>
          <w:sz w:val="24"/>
          <w:szCs w:val="24"/>
        </w:rPr>
        <w:t>found at</w:t>
      </w:r>
      <w:r w:rsidRPr="00C42C83">
        <w:rPr>
          <w:noProof/>
          <w:sz w:val="24"/>
          <w:szCs w:val="24"/>
        </w:rPr>
        <w:t xml:space="preserve">, </w:t>
      </w:r>
      <w:hyperlink r:id="rId57" w:history="1">
        <w:r w:rsidRPr="00C42C83">
          <w:rPr>
            <w:rStyle w:val="Hyperlink"/>
            <w:noProof/>
            <w:color w:val="007C89"/>
            <w:sz w:val="24"/>
            <w:szCs w:val="24"/>
            <w:u w:val="none"/>
          </w:rPr>
          <w:t>http://uis.unesco.org/sites/default/files/documents/international-standard-classification-of-education-isced-2011-en.pdf</w:t>
        </w:r>
      </w:hyperlink>
      <w:r w:rsidRPr="00C42C83">
        <w:rPr>
          <w:noProof/>
          <w:sz w:val="24"/>
          <w:szCs w:val="24"/>
        </w:rPr>
        <w:t xml:space="preserve"> </w:t>
      </w:r>
    </w:p>
    <w:p w14:paraId="1E22B651" w14:textId="1E2EDFCA" w:rsidR="005E0712" w:rsidRPr="00C42C83" w:rsidRDefault="005E0712" w:rsidP="00EA4AC1">
      <w:pPr>
        <w:spacing w:after="120" w:line="240" w:lineRule="auto"/>
        <w:ind w:left="426"/>
        <w:rPr>
          <w:noProof/>
          <w:sz w:val="24"/>
          <w:szCs w:val="24"/>
        </w:rPr>
      </w:pPr>
      <w:r w:rsidRPr="00C42C83">
        <w:rPr>
          <w:noProof/>
          <w:sz w:val="24"/>
          <w:szCs w:val="24"/>
        </w:rPr>
        <w:t xml:space="preserve">2011c, ‘ISCED level 2- lower secondary education’, in International Standard Classification of Education: ISCED 2011, UNESCO Institute for Statistics, pp. 33-37, </w:t>
      </w:r>
      <w:r w:rsidR="009D3D25">
        <w:rPr>
          <w:noProof/>
          <w:sz w:val="24"/>
          <w:szCs w:val="24"/>
        </w:rPr>
        <w:t>found at</w:t>
      </w:r>
      <w:r w:rsidRPr="00C42C83">
        <w:rPr>
          <w:noProof/>
          <w:sz w:val="24"/>
          <w:szCs w:val="24"/>
        </w:rPr>
        <w:t xml:space="preserve">, </w:t>
      </w:r>
      <w:hyperlink r:id="rId58" w:history="1">
        <w:r w:rsidRPr="00C42C83">
          <w:rPr>
            <w:rStyle w:val="Hyperlink"/>
            <w:noProof/>
            <w:color w:val="007C89"/>
            <w:sz w:val="24"/>
            <w:szCs w:val="24"/>
            <w:u w:val="none"/>
          </w:rPr>
          <w:t>http://uis.unesco.org/sites/default/files/documents/international-standard-classification-of-education-isced-2011-en.pdf</w:t>
        </w:r>
      </w:hyperlink>
    </w:p>
    <w:p w14:paraId="34B912E0" w14:textId="27029DCA" w:rsidR="005E0712" w:rsidRPr="00C42C83" w:rsidRDefault="005E0712" w:rsidP="00EA4AC1">
      <w:pPr>
        <w:spacing w:after="120" w:line="240" w:lineRule="auto"/>
        <w:ind w:left="426"/>
        <w:rPr>
          <w:noProof/>
          <w:sz w:val="24"/>
          <w:szCs w:val="24"/>
        </w:rPr>
      </w:pPr>
      <w:r w:rsidRPr="00C42C83">
        <w:rPr>
          <w:noProof/>
          <w:sz w:val="24"/>
          <w:szCs w:val="24"/>
        </w:rPr>
        <w:t>2011d, ‘ISCED level 3- upper secondary education’, in International Standard Classification of Education: ISCED 2011, UNESCO Institute for St</w:t>
      </w:r>
      <w:r w:rsidR="007E3BAF" w:rsidRPr="00C42C83">
        <w:rPr>
          <w:noProof/>
          <w:sz w:val="24"/>
          <w:szCs w:val="24"/>
        </w:rPr>
        <w:t xml:space="preserve">atistics, pp. 38-42, </w:t>
      </w:r>
      <w:r w:rsidR="009D3D25">
        <w:rPr>
          <w:noProof/>
          <w:sz w:val="24"/>
          <w:szCs w:val="24"/>
        </w:rPr>
        <w:t>found at</w:t>
      </w:r>
      <w:r w:rsidRPr="00C42C83">
        <w:rPr>
          <w:noProof/>
          <w:sz w:val="24"/>
          <w:szCs w:val="24"/>
        </w:rPr>
        <w:t xml:space="preserve">, </w:t>
      </w:r>
      <w:hyperlink r:id="rId59" w:history="1">
        <w:r w:rsidRPr="00C42C83">
          <w:rPr>
            <w:rStyle w:val="Hyperlink"/>
            <w:noProof/>
            <w:color w:val="007C89"/>
            <w:sz w:val="24"/>
            <w:szCs w:val="24"/>
            <w:u w:val="none"/>
          </w:rPr>
          <w:t>http://uis.unesco.org/sites/default/files/documents/international-standard-classification-of-education-isced-2011-en.pdf</w:t>
        </w:r>
      </w:hyperlink>
    </w:p>
    <w:p w14:paraId="5139D582" w14:textId="6B93C3CA" w:rsidR="005E0712" w:rsidRPr="00C42C83" w:rsidRDefault="005E0712" w:rsidP="00EA4AC1">
      <w:pPr>
        <w:spacing w:after="120" w:line="240" w:lineRule="auto"/>
        <w:ind w:left="425"/>
        <w:rPr>
          <w:noProof/>
          <w:sz w:val="24"/>
          <w:szCs w:val="24"/>
        </w:rPr>
      </w:pPr>
      <w:r w:rsidRPr="00C42C83">
        <w:rPr>
          <w:noProof/>
          <w:sz w:val="24"/>
          <w:szCs w:val="24"/>
        </w:rPr>
        <w:t xml:space="preserve">2016, Laying the foundation to measure Sustainable Development Goal 4, Sustainable Development Data Digest, UNESCO Institute for Statistics, p. 31, </w:t>
      </w:r>
      <w:r w:rsidR="009D3D25">
        <w:rPr>
          <w:noProof/>
          <w:sz w:val="24"/>
          <w:szCs w:val="24"/>
        </w:rPr>
        <w:t>found at</w:t>
      </w:r>
      <w:r w:rsidRPr="00C42C83">
        <w:rPr>
          <w:noProof/>
          <w:sz w:val="24"/>
          <w:szCs w:val="24"/>
        </w:rPr>
        <w:t xml:space="preserve">, </w:t>
      </w:r>
      <w:hyperlink r:id="rId60" w:history="1">
        <w:r w:rsidRPr="00C42C83">
          <w:rPr>
            <w:rStyle w:val="Hyperlink"/>
            <w:noProof/>
            <w:color w:val="007C89"/>
            <w:sz w:val="24"/>
            <w:szCs w:val="24"/>
            <w:u w:val="none"/>
          </w:rPr>
          <w:t>http://uis.unesco.org/sites/default/files/documents/laying-the-foundation-to-measure-sdg4-sustainable-development-data-digest-2016-en.pdf</w:t>
        </w:r>
      </w:hyperlink>
    </w:p>
    <w:p w14:paraId="4A952838" w14:textId="6C6956E3" w:rsidR="00056C50" w:rsidRPr="00C42C83" w:rsidRDefault="00056C50" w:rsidP="00EA4AC1">
      <w:pPr>
        <w:pStyle w:val="BodyText"/>
        <w:widowControl/>
        <w:spacing w:before="0" w:after="120"/>
        <w:ind w:left="426"/>
        <w:rPr>
          <w:rStyle w:val="LinkChar"/>
          <w:szCs w:val="24"/>
        </w:rPr>
      </w:pPr>
      <w:r w:rsidRPr="00C42C83">
        <w:t xml:space="preserve">2017a, ‘Net enrolment rate’, Glossary, UNESCO, </w:t>
      </w:r>
      <w:r w:rsidR="009D3D25">
        <w:t>found at</w:t>
      </w:r>
      <w:r w:rsidRPr="00C42C83">
        <w:t xml:space="preserve">, </w:t>
      </w:r>
      <w:hyperlink r:id="rId61" w:history="1">
        <w:r w:rsidRPr="00C42C83">
          <w:rPr>
            <w:rStyle w:val="LinkChar"/>
            <w:szCs w:val="24"/>
          </w:rPr>
          <w:t>http://uis.unesco.org/en/glossary-term/net-enrolment-rate</w:t>
        </w:r>
      </w:hyperlink>
    </w:p>
    <w:p w14:paraId="5734C894" w14:textId="514D12AD" w:rsidR="00056C50" w:rsidRPr="00C42C83" w:rsidRDefault="00056C50" w:rsidP="00EA4AC1">
      <w:pPr>
        <w:pStyle w:val="BodyText"/>
        <w:widowControl/>
        <w:spacing w:before="0" w:after="120"/>
        <w:ind w:left="426"/>
        <w:rPr>
          <w:rStyle w:val="LinkChar"/>
          <w:szCs w:val="24"/>
        </w:rPr>
      </w:pPr>
      <w:r w:rsidRPr="00C42C83">
        <w:t xml:space="preserve">2017b, ‘Gross enrolment ratio’, Glossary, </w:t>
      </w:r>
      <w:r w:rsidR="009D3D25">
        <w:t>found at</w:t>
      </w:r>
      <w:r w:rsidRPr="00C42C83">
        <w:t xml:space="preserve">, </w:t>
      </w:r>
      <w:hyperlink r:id="rId62" w:history="1">
        <w:r w:rsidRPr="00C42C83">
          <w:rPr>
            <w:rStyle w:val="LinkChar"/>
            <w:szCs w:val="24"/>
          </w:rPr>
          <w:t>http://uis.unesco.org/en/glossary-term/gross-enrolment-ratio</w:t>
        </w:r>
      </w:hyperlink>
    </w:p>
    <w:p w14:paraId="32C0CD38" w14:textId="16C5FAD7" w:rsidR="005E0712" w:rsidRPr="00C42C83" w:rsidRDefault="005E0712" w:rsidP="00EA4AC1">
      <w:pPr>
        <w:spacing w:after="120" w:line="240" w:lineRule="auto"/>
        <w:ind w:left="426"/>
        <w:rPr>
          <w:rStyle w:val="Hyperlink"/>
          <w:noProof/>
          <w:color w:val="007C89"/>
          <w:sz w:val="24"/>
          <w:szCs w:val="24"/>
          <w:u w:val="none"/>
        </w:rPr>
      </w:pPr>
      <w:r w:rsidRPr="00C42C83">
        <w:rPr>
          <w:noProof/>
          <w:sz w:val="24"/>
          <w:szCs w:val="24"/>
        </w:rPr>
        <w:t>2017</w:t>
      </w:r>
      <w:r w:rsidR="009C5E86" w:rsidRPr="00C42C83">
        <w:rPr>
          <w:noProof/>
          <w:sz w:val="24"/>
          <w:szCs w:val="24"/>
        </w:rPr>
        <w:t>c</w:t>
      </w:r>
      <w:r w:rsidRPr="00C42C83">
        <w:rPr>
          <w:noProof/>
          <w:sz w:val="24"/>
          <w:szCs w:val="24"/>
        </w:rPr>
        <w:t xml:space="preserve">, </w:t>
      </w:r>
      <w:r w:rsidRPr="00C42C83">
        <w:rPr>
          <w:sz w:val="24"/>
          <w:szCs w:val="24"/>
        </w:rPr>
        <w:t>eAtlas of Gender Equality in Education</w:t>
      </w:r>
      <w:r w:rsidRPr="00C42C83">
        <w:rPr>
          <w:noProof/>
          <w:sz w:val="24"/>
          <w:szCs w:val="24"/>
        </w:rPr>
        <w:t xml:space="preserve">, </w:t>
      </w:r>
      <w:r w:rsidR="009D3D25">
        <w:rPr>
          <w:noProof/>
          <w:sz w:val="24"/>
          <w:szCs w:val="24"/>
        </w:rPr>
        <w:t>found at</w:t>
      </w:r>
      <w:r w:rsidRPr="00C42C83">
        <w:rPr>
          <w:noProof/>
          <w:sz w:val="24"/>
          <w:szCs w:val="24"/>
        </w:rPr>
        <w:t xml:space="preserve">, </w:t>
      </w:r>
      <w:hyperlink r:id="rId63" w:history="1">
        <w:r w:rsidRPr="00C42C83">
          <w:rPr>
            <w:rStyle w:val="Hyperlink"/>
            <w:noProof/>
            <w:color w:val="007C89"/>
            <w:sz w:val="24"/>
            <w:szCs w:val="24"/>
            <w:u w:val="none"/>
          </w:rPr>
          <w:t>http://uis.unesco.org/en/news/uis-launches-eatlas-gender-inequality-education</w:t>
        </w:r>
      </w:hyperlink>
    </w:p>
    <w:p w14:paraId="298DB3E3" w14:textId="5351033C" w:rsidR="005E0712" w:rsidRPr="00C42C83" w:rsidRDefault="005E0712" w:rsidP="00EA4AC1">
      <w:pPr>
        <w:spacing w:after="120" w:line="240" w:lineRule="auto"/>
        <w:ind w:left="284"/>
        <w:rPr>
          <w:rStyle w:val="Hyperlink"/>
          <w:noProof/>
          <w:color w:val="007C89"/>
          <w:sz w:val="24"/>
          <w:szCs w:val="24"/>
          <w:u w:val="none"/>
        </w:rPr>
      </w:pPr>
      <w:r w:rsidRPr="00C42C83">
        <w:rPr>
          <w:sz w:val="24"/>
          <w:szCs w:val="24"/>
        </w:rPr>
        <w:t xml:space="preserve">UNESCO Institute for Statistics &amp; UNESCO Global Education Monitoring Report 2017, Reducing global poverty through universal primary and secondary education (Policy paper 32, Fact Sheet 44), UNESCO, </w:t>
      </w:r>
      <w:r w:rsidR="009D3D25">
        <w:rPr>
          <w:sz w:val="24"/>
          <w:szCs w:val="24"/>
        </w:rPr>
        <w:t>found at</w:t>
      </w:r>
      <w:r w:rsidRPr="00C42C83">
        <w:rPr>
          <w:sz w:val="24"/>
          <w:szCs w:val="24"/>
        </w:rPr>
        <w:t xml:space="preserve">, </w:t>
      </w:r>
      <w:hyperlink r:id="rId64" w:history="1">
        <w:r w:rsidRPr="00C42C83">
          <w:rPr>
            <w:rStyle w:val="Hyperlink"/>
            <w:noProof/>
            <w:color w:val="007C89"/>
            <w:sz w:val="24"/>
            <w:szCs w:val="24"/>
            <w:u w:val="none"/>
          </w:rPr>
          <w:t>http://uis.unesco.org/sites/default/files/documents/reducing-global-poverty-through-universal-primary-secondary-education.pdf</w:t>
        </w:r>
      </w:hyperlink>
    </w:p>
    <w:p w14:paraId="05529CC4" w14:textId="65F5E771" w:rsidR="00E93537" w:rsidRPr="00C42C83" w:rsidRDefault="00E93537" w:rsidP="00E93537">
      <w:pPr>
        <w:rPr>
          <w:rStyle w:val="LinkChar"/>
          <w:szCs w:val="24"/>
        </w:rPr>
      </w:pPr>
      <w:r w:rsidRPr="00C42C83">
        <w:rPr>
          <w:sz w:val="24"/>
          <w:szCs w:val="24"/>
        </w:rPr>
        <w:t xml:space="preserve">UNESCO-UNEVOC 2012, World TVET Database: Palestine, </w:t>
      </w:r>
      <w:r w:rsidR="009D3D25">
        <w:rPr>
          <w:sz w:val="24"/>
          <w:szCs w:val="24"/>
        </w:rPr>
        <w:t>found at</w:t>
      </w:r>
      <w:r w:rsidR="00A93594" w:rsidRPr="00C42C83">
        <w:rPr>
          <w:sz w:val="24"/>
          <w:szCs w:val="24"/>
        </w:rPr>
        <w:t xml:space="preserve">, </w:t>
      </w:r>
      <w:hyperlink r:id="rId65" w:history="1">
        <w:r w:rsidRPr="00C42C83">
          <w:rPr>
            <w:rStyle w:val="LinkChar"/>
            <w:szCs w:val="24"/>
          </w:rPr>
          <w:t>https://unevoc.unesco.org/wtdb/worldtvetdatabase_pse_en.pdf</w:t>
        </w:r>
      </w:hyperlink>
    </w:p>
    <w:p w14:paraId="3E52D6AF" w14:textId="0E252952" w:rsidR="004A751E" w:rsidRPr="00C42C83" w:rsidRDefault="004A751E" w:rsidP="00E93537">
      <w:pPr>
        <w:spacing w:after="120" w:line="240" w:lineRule="auto"/>
        <w:ind w:left="284" w:firstLine="142"/>
        <w:rPr>
          <w:sz w:val="24"/>
          <w:szCs w:val="24"/>
        </w:rPr>
      </w:pPr>
      <w:r w:rsidRPr="00C42C83">
        <w:rPr>
          <w:sz w:val="24"/>
          <w:szCs w:val="24"/>
        </w:rPr>
        <w:t>2017, What is TVET?</w:t>
      </w:r>
      <w:r w:rsidR="00843D90" w:rsidRPr="00C42C83">
        <w:rPr>
          <w:sz w:val="24"/>
          <w:szCs w:val="24"/>
        </w:rPr>
        <w:t xml:space="preserve">, </w:t>
      </w:r>
      <w:r w:rsidR="009D3D25">
        <w:rPr>
          <w:sz w:val="24"/>
          <w:szCs w:val="24"/>
        </w:rPr>
        <w:t>found at</w:t>
      </w:r>
      <w:r w:rsidR="00843D90" w:rsidRPr="00C42C83">
        <w:rPr>
          <w:sz w:val="24"/>
          <w:szCs w:val="24"/>
        </w:rPr>
        <w:t xml:space="preserve">, </w:t>
      </w:r>
      <w:hyperlink r:id="rId66" w:history="1">
        <w:r w:rsidRPr="00C42C83">
          <w:rPr>
            <w:rStyle w:val="LinkChar"/>
            <w:szCs w:val="24"/>
          </w:rPr>
          <w:t>http://www.unevoc.unesco.org/go.php?q=What+is+TVET</w:t>
        </w:r>
      </w:hyperlink>
    </w:p>
    <w:p w14:paraId="3C3ADD70" w14:textId="1FE43459" w:rsidR="005E0712" w:rsidRPr="00C42C83" w:rsidRDefault="005E0712" w:rsidP="00EA4AC1">
      <w:pPr>
        <w:spacing w:after="120" w:line="240" w:lineRule="auto"/>
        <w:ind w:left="284"/>
        <w:rPr>
          <w:rStyle w:val="Hyperlink"/>
          <w:noProof/>
          <w:color w:val="007C89"/>
          <w:sz w:val="24"/>
          <w:szCs w:val="24"/>
          <w:u w:val="none"/>
        </w:rPr>
      </w:pPr>
      <w:r w:rsidRPr="00C42C83">
        <w:rPr>
          <w:sz w:val="24"/>
          <w:szCs w:val="24"/>
        </w:rPr>
        <w:t xml:space="preserve">United Nations 2017, UNdata: UNESCO Institute for Statistics Data Centre, </w:t>
      </w:r>
      <w:r w:rsidR="009D3D25">
        <w:rPr>
          <w:sz w:val="24"/>
          <w:szCs w:val="24"/>
        </w:rPr>
        <w:t>found at</w:t>
      </w:r>
      <w:r w:rsidRPr="00C42C83">
        <w:rPr>
          <w:sz w:val="24"/>
          <w:szCs w:val="24"/>
        </w:rPr>
        <w:t xml:space="preserve">, </w:t>
      </w:r>
      <w:hyperlink r:id="rId67" w:history="1">
        <w:r w:rsidRPr="00C42C83">
          <w:rPr>
            <w:rStyle w:val="Hyperlink"/>
            <w:noProof/>
            <w:color w:val="007C89"/>
            <w:sz w:val="24"/>
            <w:szCs w:val="24"/>
            <w:u w:val="none"/>
          </w:rPr>
          <w:t>http://data.un.org/</w:t>
        </w:r>
      </w:hyperlink>
    </w:p>
    <w:p w14:paraId="5BB17ECF" w14:textId="13894C47" w:rsidR="00B7355A" w:rsidRPr="00C42C83" w:rsidRDefault="00B7355A" w:rsidP="00EA4AC1">
      <w:pPr>
        <w:ind w:left="284"/>
        <w:rPr>
          <w:sz w:val="24"/>
          <w:szCs w:val="24"/>
        </w:rPr>
      </w:pPr>
      <w:r w:rsidRPr="00C42C83">
        <w:rPr>
          <w:sz w:val="24"/>
          <w:szCs w:val="24"/>
        </w:rPr>
        <w:t xml:space="preserve">We Said Go Travel 2011, Manono Island schoolchildren, You Tube, 26 August, </w:t>
      </w:r>
      <w:r w:rsidR="009D3D25">
        <w:rPr>
          <w:sz w:val="24"/>
          <w:szCs w:val="24"/>
        </w:rPr>
        <w:t>found at</w:t>
      </w:r>
      <w:r w:rsidRPr="00C42C83">
        <w:rPr>
          <w:sz w:val="24"/>
          <w:szCs w:val="24"/>
        </w:rPr>
        <w:t xml:space="preserve">, </w:t>
      </w:r>
      <w:hyperlink r:id="rId68" w:history="1">
        <w:r w:rsidRPr="00C42C83">
          <w:rPr>
            <w:rStyle w:val="LinkChar"/>
            <w:szCs w:val="24"/>
          </w:rPr>
          <w:t>http://www.youtube.com/watch?v=KT7mtlJ8psQ&amp;feature=youtu.be</w:t>
        </w:r>
      </w:hyperlink>
    </w:p>
    <w:p w14:paraId="394DE096" w14:textId="5005BF84" w:rsidR="005E0712" w:rsidRPr="00C42C83" w:rsidRDefault="005E0712" w:rsidP="00EA4AC1">
      <w:pPr>
        <w:spacing w:after="120" w:line="240" w:lineRule="auto"/>
        <w:ind w:left="284"/>
        <w:rPr>
          <w:rStyle w:val="Hyperlink"/>
          <w:noProof/>
          <w:color w:val="007C89"/>
          <w:sz w:val="24"/>
          <w:szCs w:val="24"/>
          <w:u w:val="none"/>
        </w:rPr>
      </w:pPr>
      <w:r w:rsidRPr="00C42C83">
        <w:rPr>
          <w:sz w:val="24"/>
          <w:szCs w:val="24"/>
        </w:rPr>
        <w:t xml:space="preserve">World Bank 2017, DataBank: World development indicators, </w:t>
      </w:r>
      <w:r w:rsidR="009D3D25">
        <w:rPr>
          <w:sz w:val="24"/>
          <w:szCs w:val="24"/>
        </w:rPr>
        <w:t>found at</w:t>
      </w:r>
      <w:r w:rsidRPr="00C42C83">
        <w:rPr>
          <w:sz w:val="24"/>
          <w:szCs w:val="24"/>
        </w:rPr>
        <w:t xml:space="preserve">, </w:t>
      </w:r>
      <w:hyperlink r:id="rId69" w:history="1">
        <w:r w:rsidRPr="00C42C83">
          <w:rPr>
            <w:rStyle w:val="Hyperlink"/>
            <w:noProof/>
            <w:color w:val="007C89"/>
            <w:sz w:val="24"/>
            <w:szCs w:val="24"/>
            <w:u w:val="none"/>
          </w:rPr>
          <w:t>http://databank.worldbank.org/data/reports.aspx?source=world-development-indicators</w:t>
        </w:r>
      </w:hyperlink>
    </w:p>
    <w:p w14:paraId="64E201E6" w14:textId="77777777" w:rsidR="00A960F1" w:rsidRPr="00C42C83" w:rsidRDefault="00A960F1" w:rsidP="00EA4AC1">
      <w:pPr>
        <w:spacing w:after="120" w:line="240" w:lineRule="auto"/>
        <w:ind w:left="284"/>
        <w:rPr>
          <w:rStyle w:val="Hyperlink"/>
          <w:noProof/>
          <w:color w:val="007C89"/>
          <w:sz w:val="24"/>
          <w:szCs w:val="24"/>
          <w:u w:val="none"/>
        </w:rPr>
      </w:pPr>
    </w:p>
    <w:p w14:paraId="5375C0D5" w14:textId="77777777" w:rsidR="005E0712" w:rsidRPr="00C42C83" w:rsidRDefault="005E0712" w:rsidP="00EA4AC1">
      <w:pPr>
        <w:spacing w:after="120" w:line="240" w:lineRule="auto"/>
        <w:rPr>
          <w:rStyle w:val="Hyperlink"/>
          <w:b/>
          <w:noProof/>
          <w:color w:val="007C89"/>
          <w:sz w:val="24"/>
          <w:szCs w:val="24"/>
          <w:u w:val="none"/>
        </w:rPr>
      </w:pPr>
      <w:r w:rsidRPr="00C42C83">
        <w:rPr>
          <w:rStyle w:val="Hyperlink"/>
          <w:b/>
          <w:noProof/>
          <w:color w:val="007C89"/>
          <w:sz w:val="24"/>
          <w:szCs w:val="24"/>
          <w:u w:val="none"/>
        </w:rPr>
        <w:t>Learn more about…</w:t>
      </w:r>
    </w:p>
    <w:p w14:paraId="67738FB5" w14:textId="07910864" w:rsidR="005E0712" w:rsidRPr="00C42C83" w:rsidRDefault="005E0712" w:rsidP="00EA4AC1">
      <w:pPr>
        <w:pStyle w:val="AcknowledgmentTitle"/>
        <w:numPr>
          <w:ilvl w:val="0"/>
          <w:numId w:val="2"/>
        </w:numPr>
        <w:spacing w:after="120"/>
        <w:rPr>
          <w:rFonts w:asciiTheme="minorHAnsi" w:hAnsiTheme="minorHAnsi"/>
          <w:b w:val="0"/>
          <w:sz w:val="24"/>
          <w:szCs w:val="24"/>
        </w:rPr>
      </w:pPr>
      <w:r w:rsidRPr="00C42C83">
        <w:rPr>
          <w:rStyle w:val="Hyperlink"/>
          <w:rFonts w:asciiTheme="minorHAnsi" w:hAnsiTheme="minorHAnsi" w:cs="Arial"/>
          <w:b w:val="0"/>
          <w:i/>
          <w:color w:val="auto"/>
          <w:sz w:val="24"/>
          <w:szCs w:val="24"/>
          <w:u w:val="none"/>
        </w:rPr>
        <w:t xml:space="preserve">You can learn read more about these issues in </w:t>
      </w:r>
      <w:r w:rsidR="00C946D8" w:rsidRPr="00C42C83">
        <w:rPr>
          <w:rStyle w:val="Hyperlink"/>
          <w:rFonts w:asciiTheme="minorHAnsi" w:hAnsiTheme="minorHAnsi" w:cs="Arial"/>
          <w:b w:val="0"/>
          <w:i/>
          <w:color w:val="auto"/>
          <w:sz w:val="24"/>
          <w:szCs w:val="24"/>
          <w:u w:val="none"/>
        </w:rPr>
        <w:t xml:space="preserve">this article by Helen </w:t>
      </w:r>
      <w:r w:rsidRPr="00C42C83">
        <w:rPr>
          <w:rStyle w:val="Hyperlink"/>
          <w:rFonts w:asciiTheme="minorHAnsi" w:hAnsiTheme="minorHAnsi" w:cs="Arial"/>
          <w:b w:val="0"/>
          <w:i/>
          <w:color w:val="auto"/>
          <w:sz w:val="24"/>
          <w:szCs w:val="24"/>
          <w:u w:val="none"/>
        </w:rPr>
        <w:t>Murray,</w:t>
      </w:r>
      <w:r w:rsidRPr="00C42C83">
        <w:rPr>
          <w:rFonts w:asciiTheme="minorHAnsi" w:hAnsiTheme="minorHAnsi"/>
          <w:b w:val="0"/>
          <w:i/>
          <w:color w:val="auto"/>
          <w:sz w:val="24"/>
          <w:szCs w:val="24"/>
        </w:rPr>
        <w:t xml:space="preserve"> 2010, Early childhood care and education as a strategy for poverty reduction: Evidence from young lives (Young Lives Policy Brief 9), </w:t>
      </w:r>
      <w:r w:rsidR="00C946D8" w:rsidRPr="00C42C83">
        <w:rPr>
          <w:rFonts w:asciiTheme="minorHAnsi" w:hAnsiTheme="minorHAnsi"/>
          <w:b w:val="0"/>
          <w:i/>
          <w:color w:val="auto"/>
          <w:sz w:val="24"/>
          <w:szCs w:val="24"/>
        </w:rPr>
        <w:t>found at</w:t>
      </w:r>
      <w:r w:rsidR="009D3D25">
        <w:rPr>
          <w:rFonts w:asciiTheme="minorHAnsi" w:hAnsiTheme="minorHAnsi"/>
          <w:b w:val="0"/>
          <w:i/>
          <w:color w:val="auto"/>
          <w:sz w:val="24"/>
          <w:szCs w:val="24"/>
        </w:rPr>
        <w:t>,</w:t>
      </w:r>
      <w:r w:rsidR="00C946D8" w:rsidRPr="00C42C83">
        <w:rPr>
          <w:rFonts w:asciiTheme="minorHAnsi" w:hAnsiTheme="minorHAnsi"/>
          <w:b w:val="0"/>
          <w:i/>
          <w:color w:val="auto"/>
          <w:sz w:val="24"/>
          <w:szCs w:val="24"/>
        </w:rPr>
        <w:t xml:space="preserve"> </w:t>
      </w:r>
      <w:hyperlink r:id="rId70" w:history="1">
        <w:r w:rsidRPr="00C42C83">
          <w:rPr>
            <w:rStyle w:val="Hyperlink"/>
            <w:rFonts w:asciiTheme="minorHAnsi" w:eastAsiaTheme="minorHAnsi" w:hAnsiTheme="minorHAnsi"/>
            <w:b w:val="0"/>
            <w:color w:val="007C89"/>
            <w:sz w:val="24"/>
            <w:szCs w:val="24"/>
            <w:u w:val="none"/>
          </w:rPr>
          <w:t>http://www.younglives.org.uk/files/policy-papers/early-childhood-care-and-education-as-a-strategy-for-poverty-reduction-evidence-from-young-lives</w:t>
        </w:r>
      </w:hyperlink>
    </w:p>
    <w:p w14:paraId="575CF4E9" w14:textId="61FBAB35" w:rsidR="005E0712" w:rsidRPr="00C42C83" w:rsidRDefault="005E0712" w:rsidP="00EA4AC1">
      <w:pPr>
        <w:pStyle w:val="AcknowledgmentTitle"/>
        <w:numPr>
          <w:ilvl w:val="0"/>
          <w:numId w:val="2"/>
        </w:numPr>
        <w:spacing w:after="120"/>
        <w:ind w:right="-143"/>
        <w:rPr>
          <w:rStyle w:val="Hyperlink"/>
          <w:rFonts w:eastAsiaTheme="minorHAnsi"/>
          <w:color w:val="007C89"/>
          <w:sz w:val="24"/>
          <w:szCs w:val="24"/>
          <w:u w:val="none"/>
        </w:rPr>
      </w:pPr>
      <w:r w:rsidRPr="00C42C83">
        <w:rPr>
          <w:rStyle w:val="Hyperlink"/>
          <w:rFonts w:asciiTheme="minorHAnsi" w:hAnsiTheme="minorHAnsi" w:cs="Arial"/>
          <w:b w:val="0"/>
          <w:i/>
          <w:color w:val="auto"/>
          <w:sz w:val="24"/>
          <w:szCs w:val="24"/>
          <w:u w:val="none"/>
        </w:rPr>
        <w:t>You can learn more at the UNESCO website</w:t>
      </w:r>
      <w:r w:rsidR="00C946D8" w:rsidRPr="00C42C83">
        <w:rPr>
          <w:rStyle w:val="Hyperlink"/>
          <w:rFonts w:asciiTheme="minorHAnsi" w:hAnsiTheme="minorHAnsi" w:cs="Arial"/>
          <w:b w:val="0"/>
          <w:i/>
          <w:color w:val="auto"/>
          <w:sz w:val="24"/>
          <w:szCs w:val="24"/>
          <w:u w:val="none"/>
        </w:rPr>
        <w:t>,</w:t>
      </w:r>
      <w:r w:rsidRPr="00C42C83">
        <w:rPr>
          <w:rStyle w:val="Hyperlink"/>
          <w:rFonts w:asciiTheme="minorHAnsi" w:hAnsiTheme="minorHAnsi" w:cs="Arial"/>
          <w:b w:val="0"/>
          <w:i/>
          <w:color w:val="auto"/>
          <w:sz w:val="24"/>
          <w:szCs w:val="24"/>
          <w:u w:val="none"/>
        </w:rPr>
        <w:t xml:space="preserve"> found at</w:t>
      </w:r>
      <w:r w:rsidR="009D3D25">
        <w:rPr>
          <w:rStyle w:val="Hyperlink"/>
          <w:rFonts w:asciiTheme="minorHAnsi" w:hAnsiTheme="minorHAnsi" w:cs="Arial"/>
          <w:b w:val="0"/>
          <w:i/>
          <w:color w:val="auto"/>
          <w:sz w:val="24"/>
          <w:szCs w:val="24"/>
          <w:u w:val="none"/>
        </w:rPr>
        <w:t>,</w:t>
      </w:r>
      <w:r w:rsidRPr="00C42C83">
        <w:rPr>
          <w:rFonts w:asciiTheme="minorHAnsi" w:hAnsiTheme="minorHAnsi"/>
          <w:b w:val="0"/>
          <w:i/>
          <w:sz w:val="24"/>
          <w:szCs w:val="24"/>
        </w:rPr>
        <w:t xml:space="preserve"> </w:t>
      </w:r>
      <w:hyperlink r:id="rId71" w:history="1">
        <w:r w:rsidRPr="00C42C83">
          <w:rPr>
            <w:rStyle w:val="Hyperlink"/>
            <w:rFonts w:asciiTheme="minorHAnsi" w:eastAsiaTheme="minorHAnsi" w:hAnsiTheme="minorHAnsi"/>
            <w:b w:val="0"/>
            <w:color w:val="007C89"/>
            <w:sz w:val="24"/>
            <w:szCs w:val="24"/>
            <w:u w:val="none"/>
          </w:rPr>
          <w:t>http://www.uis.unesco.org/Education/Pages/international-standard-classification-of-education.aspx</w:t>
        </w:r>
      </w:hyperlink>
    </w:p>
    <w:p w14:paraId="33336114" w14:textId="0EE40A04" w:rsidR="005E0712" w:rsidRPr="00C42C83" w:rsidRDefault="005E0712" w:rsidP="00EA4AC1">
      <w:pPr>
        <w:pStyle w:val="AcknowledgmentTitle"/>
        <w:numPr>
          <w:ilvl w:val="0"/>
          <w:numId w:val="2"/>
        </w:numPr>
        <w:spacing w:after="120"/>
        <w:rPr>
          <w:rStyle w:val="Hyperlink"/>
          <w:rFonts w:asciiTheme="minorHAnsi" w:hAnsiTheme="minorHAnsi" w:cs="Arial"/>
          <w:b w:val="0"/>
          <w:color w:val="auto"/>
          <w:sz w:val="24"/>
          <w:szCs w:val="24"/>
        </w:rPr>
      </w:pPr>
      <w:r w:rsidRPr="00C42C83">
        <w:rPr>
          <w:rStyle w:val="Hyperlink"/>
          <w:rFonts w:asciiTheme="minorHAnsi" w:hAnsiTheme="minorHAnsi" w:cs="Arial"/>
          <w:b w:val="0"/>
          <w:i/>
          <w:color w:val="auto"/>
          <w:sz w:val="24"/>
          <w:szCs w:val="24"/>
          <w:u w:val="none"/>
        </w:rPr>
        <w:t>You might see your country’s figures for school enrolment</w:t>
      </w:r>
      <w:r w:rsidR="008807B2" w:rsidRPr="00C42C83">
        <w:rPr>
          <w:rStyle w:val="Hyperlink"/>
          <w:rFonts w:asciiTheme="minorHAnsi" w:hAnsiTheme="minorHAnsi" w:cs="Arial"/>
          <w:b w:val="0"/>
          <w:i/>
          <w:color w:val="auto"/>
          <w:sz w:val="24"/>
          <w:szCs w:val="24"/>
          <w:u w:val="none"/>
        </w:rPr>
        <w:t xml:space="preserve"> at</w:t>
      </w:r>
      <w:r w:rsidR="00A960F1" w:rsidRPr="00C42C83">
        <w:rPr>
          <w:rStyle w:val="Hyperlink"/>
          <w:rFonts w:asciiTheme="minorHAnsi" w:hAnsiTheme="minorHAnsi" w:cs="Arial"/>
          <w:b w:val="0"/>
          <w:i/>
          <w:color w:val="auto"/>
          <w:sz w:val="24"/>
          <w:szCs w:val="24"/>
          <w:u w:val="none"/>
        </w:rPr>
        <w:t xml:space="preserve"> the </w:t>
      </w:r>
      <w:r w:rsidRPr="00C42C83">
        <w:rPr>
          <w:rFonts w:asciiTheme="minorHAnsi" w:hAnsiTheme="minorHAnsi"/>
          <w:b w:val="0"/>
          <w:i/>
          <w:color w:val="auto"/>
          <w:sz w:val="24"/>
          <w:szCs w:val="24"/>
        </w:rPr>
        <w:t>UNESCO Institute for Statistics 2017, ‘Gross enrolment ratio, secondary, both sexes (%)’, DataBank, electronic d</w:t>
      </w:r>
      <w:r w:rsidR="00C946D8" w:rsidRPr="00C42C83">
        <w:rPr>
          <w:rFonts w:asciiTheme="minorHAnsi" w:hAnsiTheme="minorHAnsi"/>
          <w:b w:val="0"/>
          <w:i/>
          <w:color w:val="auto"/>
          <w:sz w:val="24"/>
          <w:szCs w:val="24"/>
        </w:rPr>
        <w:t>ata set, World Bank, found at</w:t>
      </w:r>
      <w:r w:rsidR="009D3D25">
        <w:rPr>
          <w:rFonts w:asciiTheme="minorHAnsi" w:hAnsiTheme="minorHAnsi"/>
          <w:b w:val="0"/>
          <w:color w:val="auto"/>
          <w:sz w:val="24"/>
          <w:szCs w:val="24"/>
        </w:rPr>
        <w:t>,</w:t>
      </w:r>
      <w:r w:rsidR="00C946D8" w:rsidRPr="00C42C83">
        <w:rPr>
          <w:rFonts w:asciiTheme="minorHAnsi" w:hAnsiTheme="minorHAnsi"/>
          <w:b w:val="0"/>
          <w:color w:val="auto"/>
          <w:sz w:val="24"/>
          <w:szCs w:val="24"/>
        </w:rPr>
        <w:t xml:space="preserve"> </w:t>
      </w:r>
      <w:hyperlink r:id="rId72" w:history="1">
        <w:r w:rsidRPr="00C42C83">
          <w:rPr>
            <w:rStyle w:val="Hyperlink"/>
            <w:rFonts w:asciiTheme="minorHAnsi" w:eastAsiaTheme="minorHAnsi" w:hAnsiTheme="minorHAnsi"/>
            <w:b w:val="0"/>
            <w:color w:val="007C89"/>
            <w:sz w:val="24"/>
            <w:szCs w:val="24"/>
            <w:u w:val="none"/>
          </w:rPr>
          <w:t>http://data.worldbank.org/indicator/SE.SEC.ENRR</w:t>
        </w:r>
      </w:hyperlink>
    </w:p>
    <w:p w14:paraId="47C9A057" w14:textId="5D60F54C" w:rsidR="005E0712" w:rsidRPr="00C42C83" w:rsidRDefault="005E0712" w:rsidP="00EA4AC1">
      <w:pPr>
        <w:pStyle w:val="AcknowledgmentTitle"/>
        <w:numPr>
          <w:ilvl w:val="0"/>
          <w:numId w:val="2"/>
        </w:numPr>
        <w:spacing w:after="120"/>
        <w:ind w:right="-285"/>
        <w:rPr>
          <w:rFonts w:asciiTheme="minorHAnsi" w:hAnsiTheme="minorHAnsi"/>
          <w:b w:val="0"/>
          <w:sz w:val="24"/>
          <w:szCs w:val="24"/>
        </w:rPr>
      </w:pPr>
      <w:r w:rsidRPr="00C42C83">
        <w:rPr>
          <w:rStyle w:val="Hyperlink"/>
          <w:rFonts w:asciiTheme="minorHAnsi" w:hAnsiTheme="minorHAnsi" w:cs="Arial"/>
          <w:b w:val="0"/>
          <w:i/>
          <w:color w:val="auto"/>
          <w:sz w:val="24"/>
          <w:szCs w:val="24"/>
          <w:u w:val="none"/>
        </w:rPr>
        <w:t xml:space="preserve">You can learn more about TVET Reform in Bangladesh </w:t>
      </w:r>
      <w:r w:rsidR="00A960F1" w:rsidRPr="00C42C83">
        <w:rPr>
          <w:rStyle w:val="Hyperlink"/>
          <w:rFonts w:asciiTheme="minorHAnsi" w:hAnsiTheme="minorHAnsi" w:cs="Arial"/>
          <w:b w:val="0"/>
          <w:i/>
          <w:color w:val="auto"/>
          <w:sz w:val="24"/>
          <w:szCs w:val="24"/>
          <w:u w:val="none"/>
        </w:rPr>
        <w:t xml:space="preserve">in this article by Paul Comyn, Australia Contributes o TVET Reform in Bangladesh, </w:t>
      </w:r>
      <w:r w:rsidRPr="00C42C83">
        <w:rPr>
          <w:rFonts w:asciiTheme="minorHAnsi" w:hAnsiTheme="minorHAnsi"/>
          <w:b w:val="0"/>
          <w:i/>
          <w:color w:val="auto"/>
          <w:sz w:val="24"/>
          <w:szCs w:val="24"/>
        </w:rPr>
        <w:t>TAFE NSW</w:t>
      </w:r>
      <w:r w:rsidR="00A960F1" w:rsidRPr="00C42C83">
        <w:rPr>
          <w:rFonts w:asciiTheme="minorHAnsi" w:hAnsiTheme="minorHAnsi"/>
          <w:b w:val="0"/>
          <w:i/>
          <w:color w:val="auto"/>
          <w:sz w:val="24"/>
          <w:szCs w:val="24"/>
        </w:rPr>
        <w:t>, found at</w:t>
      </w:r>
      <w:r w:rsidR="009D3D25">
        <w:rPr>
          <w:rFonts w:asciiTheme="minorHAnsi" w:hAnsiTheme="minorHAnsi"/>
          <w:b w:val="0"/>
          <w:i/>
          <w:color w:val="auto"/>
          <w:sz w:val="24"/>
          <w:szCs w:val="24"/>
        </w:rPr>
        <w:t>,</w:t>
      </w:r>
      <w:r w:rsidR="00A960F1" w:rsidRPr="00C42C83">
        <w:rPr>
          <w:rFonts w:asciiTheme="minorHAnsi" w:hAnsiTheme="minorHAnsi"/>
          <w:b w:val="0"/>
          <w:i/>
          <w:color w:val="auto"/>
          <w:sz w:val="24"/>
          <w:szCs w:val="24"/>
        </w:rPr>
        <w:t xml:space="preserve"> </w:t>
      </w:r>
      <w:r w:rsidR="00B87873" w:rsidRPr="00C42C83">
        <w:rPr>
          <w:rFonts w:asciiTheme="minorHAnsi" w:hAnsiTheme="minorHAnsi"/>
          <w:b w:val="0"/>
          <w:i/>
          <w:color w:val="auto"/>
          <w:sz w:val="24"/>
          <w:szCs w:val="24"/>
        </w:rPr>
        <w:t xml:space="preserve"> </w:t>
      </w:r>
      <w:hyperlink r:id="rId73" w:history="1">
        <w:r w:rsidRPr="00C42C83">
          <w:rPr>
            <w:rStyle w:val="Hyperlink"/>
            <w:rFonts w:asciiTheme="minorHAnsi" w:eastAsiaTheme="minorHAnsi" w:hAnsiTheme="minorHAnsi"/>
            <w:b w:val="0"/>
            <w:color w:val="007C89"/>
            <w:sz w:val="24"/>
            <w:szCs w:val="24"/>
            <w:u w:val="none"/>
          </w:rPr>
          <w:t>http://lrrpublic.cli.det.nsw.edu.au/lrrSecure/Sites/Web/13289/ezine/year_2009/feb/article_tvet_reform_bangladesh.htm</w:t>
        </w:r>
      </w:hyperlink>
    </w:p>
    <w:p w14:paraId="615E7856" w14:textId="6BAF4723" w:rsidR="005E0712" w:rsidRPr="00C42C83" w:rsidRDefault="005E0712" w:rsidP="00EA4AC1">
      <w:pPr>
        <w:pStyle w:val="AcknowledgmentTitle"/>
        <w:numPr>
          <w:ilvl w:val="0"/>
          <w:numId w:val="2"/>
        </w:numPr>
        <w:spacing w:after="120"/>
        <w:ind w:left="357" w:hanging="357"/>
        <w:rPr>
          <w:rStyle w:val="Hyperlink"/>
          <w:rFonts w:asciiTheme="minorHAnsi" w:hAnsiTheme="minorHAnsi"/>
          <w:b w:val="0"/>
          <w:color w:val="007C89"/>
          <w:sz w:val="24"/>
          <w:szCs w:val="24"/>
          <w:u w:val="none"/>
        </w:rPr>
      </w:pPr>
      <w:r w:rsidRPr="00C42C83">
        <w:rPr>
          <w:rStyle w:val="Hyperlink"/>
          <w:rFonts w:asciiTheme="minorHAnsi" w:hAnsiTheme="minorHAnsi"/>
          <w:b w:val="0"/>
          <w:i/>
          <w:color w:val="auto"/>
          <w:sz w:val="24"/>
          <w:szCs w:val="24"/>
          <w:u w:val="none"/>
        </w:rPr>
        <w:t>You can read more about non-formal education on the UNESCO-UNEVOC website</w:t>
      </w:r>
      <w:r w:rsidR="00C946D8" w:rsidRPr="00C42C83">
        <w:rPr>
          <w:rStyle w:val="Hyperlink"/>
          <w:rFonts w:asciiTheme="minorHAnsi" w:hAnsiTheme="minorHAnsi"/>
          <w:b w:val="0"/>
          <w:i/>
          <w:color w:val="auto"/>
          <w:sz w:val="24"/>
          <w:szCs w:val="24"/>
          <w:u w:val="none"/>
        </w:rPr>
        <w:t>,</w:t>
      </w:r>
      <w:r w:rsidRPr="00C42C83">
        <w:rPr>
          <w:rStyle w:val="Hyperlink"/>
          <w:rFonts w:asciiTheme="minorHAnsi" w:hAnsiTheme="minorHAnsi"/>
          <w:b w:val="0"/>
          <w:i/>
          <w:color w:val="auto"/>
          <w:sz w:val="24"/>
          <w:szCs w:val="24"/>
          <w:u w:val="none"/>
        </w:rPr>
        <w:t xml:space="preserve"> found at</w:t>
      </w:r>
      <w:r w:rsidR="009D3D25">
        <w:rPr>
          <w:rStyle w:val="Hyperlink"/>
          <w:rFonts w:asciiTheme="minorHAnsi" w:hAnsiTheme="minorHAnsi"/>
          <w:b w:val="0"/>
          <w:i/>
          <w:color w:val="auto"/>
          <w:sz w:val="24"/>
          <w:szCs w:val="24"/>
          <w:u w:val="none"/>
        </w:rPr>
        <w:t>,</w:t>
      </w:r>
      <w:r w:rsidRPr="00C42C83">
        <w:rPr>
          <w:rStyle w:val="Hyperlink"/>
          <w:rFonts w:asciiTheme="minorHAnsi" w:hAnsiTheme="minorHAnsi"/>
          <w:b w:val="0"/>
          <w:i/>
          <w:color w:val="auto"/>
          <w:sz w:val="24"/>
          <w:szCs w:val="24"/>
          <w:u w:val="none"/>
        </w:rPr>
        <w:t xml:space="preserve"> </w:t>
      </w:r>
      <w:hyperlink r:id="rId74" w:history="1">
        <w:r w:rsidRPr="00C42C83">
          <w:rPr>
            <w:rStyle w:val="Hyperlink"/>
            <w:rFonts w:asciiTheme="minorHAnsi" w:hAnsiTheme="minorHAnsi"/>
            <w:b w:val="0"/>
            <w:color w:val="007C89"/>
            <w:sz w:val="24"/>
            <w:szCs w:val="24"/>
            <w:u w:val="none"/>
          </w:rPr>
          <w:t>http://www.unevoc.unesco.org/go.php</w:t>
        </w:r>
      </w:hyperlink>
    </w:p>
    <w:p w14:paraId="003B7395" w14:textId="3E490473" w:rsidR="005E0712" w:rsidRPr="00C42C83" w:rsidRDefault="005E0712" w:rsidP="00EA4AC1">
      <w:pPr>
        <w:pStyle w:val="AcknowledgmentTitle"/>
        <w:numPr>
          <w:ilvl w:val="0"/>
          <w:numId w:val="2"/>
        </w:numPr>
        <w:spacing w:after="120"/>
        <w:rPr>
          <w:rStyle w:val="Hyperlink"/>
          <w:rFonts w:asciiTheme="minorHAnsi" w:eastAsiaTheme="minorHAnsi" w:hAnsiTheme="minorHAnsi"/>
          <w:b w:val="0"/>
          <w:noProof/>
          <w:color w:val="007C89"/>
          <w:sz w:val="24"/>
          <w:szCs w:val="24"/>
          <w:u w:val="none"/>
          <w:lang w:eastAsia="en-US"/>
        </w:rPr>
      </w:pPr>
      <w:r w:rsidRPr="00C42C83">
        <w:rPr>
          <w:rStyle w:val="Hyperlink"/>
          <w:rFonts w:asciiTheme="minorHAnsi" w:hAnsiTheme="minorHAnsi" w:cs="Arial"/>
          <w:b w:val="0"/>
          <w:i/>
          <w:color w:val="auto"/>
          <w:sz w:val="24"/>
          <w:szCs w:val="24"/>
          <w:u w:val="none"/>
        </w:rPr>
        <w:t>You can read the Education For All Global Monitoring Reports (2002-2015) and the Global Education</w:t>
      </w:r>
      <w:r w:rsidR="00C946D8" w:rsidRPr="00C42C83">
        <w:rPr>
          <w:rStyle w:val="Hyperlink"/>
          <w:rFonts w:asciiTheme="minorHAnsi" w:hAnsiTheme="minorHAnsi" w:cs="Arial"/>
          <w:b w:val="0"/>
          <w:i/>
          <w:color w:val="auto"/>
          <w:sz w:val="24"/>
          <w:szCs w:val="24"/>
          <w:u w:val="none"/>
        </w:rPr>
        <w:t xml:space="preserve"> Monitoring Reports (from 2016), found at</w:t>
      </w:r>
      <w:r w:rsidR="009D3D25">
        <w:rPr>
          <w:rStyle w:val="Hyperlink"/>
          <w:rFonts w:asciiTheme="minorHAnsi" w:hAnsiTheme="minorHAnsi" w:cs="Arial"/>
          <w:b w:val="0"/>
          <w:i/>
          <w:color w:val="auto"/>
          <w:sz w:val="24"/>
          <w:szCs w:val="24"/>
          <w:u w:val="none"/>
        </w:rPr>
        <w:t>,</w:t>
      </w:r>
      <w:r w:rsidRPr="00C42C83">
        <w:rPr>
          <w:rStyle w:val="Hyperlink"/>
          <w:rFonts w:asciiTheme="minorHAnsi" w:hAnsiTheme="minorHAnsi" w:cs="Arial"/>
          <w:b w:val="0"/>
          <w:i/>
          <w:color w:val="auto"/>
          <w:sz w:val="24"/>
          <w:szCs w:val="24"/>
          <w:u w:val="none"/>
        </w:rPr>
        <w:t xml:space="preserve"> </w:t>
      </w:r>
      <w:hyperlink r:id="rId75" w:history="1">
        <w:r w:rsidRPr="00C42C83">
          <w:rPr>
            <w:rStyle w:val="Hyperlink"/>
            <w:rFonts w:asciiTheme="minorHAnsi" w:eastAsiaTheme="minorHAnsi" w:hAnsiTheme="minorHAnsi"/>
            <w:b w:val="0"/>
            <w:noProof/>
            <w:color w:val="007C89"/>
            <w:sz w:val="24"/>
            <w:szCs w:val="24"/>
            <w:u w:val="none"/>
            <w:lang w:eastAsia="en-US"/>
          </w:rPr>
          <w:t>http://en.unesco.org/gem-report/allreports</w:t>
        </w:r>
      </w:hyperlink>
    </w:p>
    <w:p w14:paraId="03CDC3AB" w14:textId="123C77A3" w:rsidR="005E0712" w:rsidRPr="00C42C83" w:rsidRDefault="005E0712" w:rsidP="00EA4AC1">
      <w:pPr>
        <w:pStyle w:val="AcknowledgmentTitle"/>
        <w:numPr>
          <w:ilvl w:val="0"/>
          <w:numId w:val="2"/>
        </w:numPr>
        <w:spacing w:after="120"/>
        <w:rPr>
          <w:rFonts w:asciiTheme="minorHAnsi" w:hAnsiTheme="minorHAnsi" w:cs="Arial"/>
          <w:b w:val="0"/>
          <w:color w:val="auto"/>
          <w:sz w:val="24"/>
          <w:szCs w:val="24"/>
        </w:rPr>
      </w:pPr>
      <w:r w:rsidRPr="00C42C83">
        <w:rPr>
          <w:rStyle w:val="Hyperlink"/>
          <w:rFonts w:asciiTheme="minorHAnsi" w:hAnsiTheme="minorHAnsi" w:cs="Arial"/>
          <w:b w:val="0"/>
          <w:i/>
          <w:color w:val="auto"/>
          <w:sz w:val="24"/>
          <w:szCs w:val="24"/>
          <w:u w:val="none"/>
        </w:rPr>
        <w:t>You can read a very clear overview of ECCE in The Education for All Global Monitoring Report</w:t>
      </w:r>
      <w:r w:rsidR="008807B2" w:rsidRPr="00C42C83">
        <w:rPr>
          <w:rStyle w:val="Hyperlink"/>
          <w:rFonts w:asciiTheme="minorHAnsi" w:hAnsiTheme="minorHAnsi" w:cs="Arial"/>
          <w:b w:val="0"/>
          <w:i/>
          <w:color w:val="auto"/>
          <w:sz w:val="24"/>
          <w:szCs w:val="24"/>
          <w:u w:val="none"/>
        </w:rPr>
        <w:t>,</w:t>
      </w:r>
      <w:r w:rsidRPr="00C42C83">
        <w:rPr>
          <w:rStyle w:val="Hyperlink"/>
          <w:rFonts w:asciiTheme="minorHAnsi" w:hAnsiTheme="minorHAnsi" w:cs="Arial"/>
          <w:b w:val="0"/>
          <w:i/>
          <w:color w:val="auto"/>
          <w:sz w:val="24"/>
          <w:szCs w:val="24"/>
          <w:u w:val="none"/>
        </w:rPr>
        <w:t xml:space="preserve"> </w:t>
      </w:r>
      <w:r w:rsidRPr="00C42C83">
        <w:rPr>
          <w:rFonts w:asciiTheme="minorHAnsi" w:hAnsiTheme="minorHAnsi"/>
          <w:b w:val="0"/>
          <w:i/>
          <w:color w:val="auto"/>
          <w:sz w:val="24"/>
          <w:szCs w:val="24"/>
        </w:rPr>
        <w:t>UNESCO 2012, Expanding equitable early childhood care and education is an urgent need, Education for all global monitoring report (Policy Paper 03)</w:t>
      </w:r>
      <w:r w:rsidR="00B87873" w:rsidRPr="00C42C83">
        <w:rPr>
          <w:rFonts w:asciiTheme="minorHAnsi" w:hAnsiTheme="minorHAnsi"/>
          <w:b w:val="0"/>
          <w:i/>
          <w:color w:val="auto"/>
          <w:sz w:val="24"/>
          <w:szCs w:val="24"/>
        </w:rPr>
        <w:t>,</w:t>
      </w:r>
      <w:r w:rsidRPr="00C42C83">
        <w:rPr>
          <w:rFonts w:asciiTheme="minorHAnsi" w:hAnsiTheme="minorHAnsi"/>
          <w:b w:val="0"/>
          <w:i/>
          <w:color w:val="auto"/>
          <w:sz w:val="24"/>
          <w:szCs w:val="24"/>
        </w:rPr>
        <w:t xml:space="preserve"> </w:t>
      </w:r>
      <w:r w:rsidR="008807B2" w:rsidRPr="00C42C83">
        <w:rPr>
          <w:rFonts w:asciiTheme="minorHAnsi" w:hAnsiTheme="minorHAnsi"/>
          <w:b w:val="0"/>
          <w:i/>
          <w:color w:val="auto"/>
          <w:sz w:val="24"/>
          <w:szCs w:val="24"/>
        </w:rPr>
        <w:t>found at</w:t>
      </w:r>
      <w:r w:rsidR="009D3D25">
        <w:rPr>
          <w:rFonts w:asciiTheme="minorHAnsi" w:hAnsiTheme="minorHAnsi"/>
          <w:b w:val="0"/>
          <w:i/>
          <w:color w:val="auto"/>
          <w:sz w:val="24"/>
          <w:szCs w:val="24"/>
        </w:rPr>
        <w:t>,</w:t>
      </w:r>
      <w:r w:rsidR="008807B2" w:rsidRPr="00C42C83">
        <w:rPr>
          <w:rFonts w:asciiTheme="minorHAnsi" w:hAnsiTheme="minorHAnsi"/>
          <w:b w:val="0"/>
          <w:i/>
          <w:color w:val="auto"/>
          <w:sz w:val="24"/>
          <w:szCs w:val="24"/>
        </w:rPr>
        <w:t xml:space="preserve"> </w:t>
      </w:r>
      <w:hyperlink r:id="rId76" w:history="1">
        <w:r w:rsidRPr="00C42C83">
          <w:rPr>
            <w:rStyle w:val="Hyperlink"/>
            <w:rFonts w:asciiTheme="minorHAnsi" w:eastAsiaTheme="minorHAnsi" w:hAnsiTheme="minorHAnsi"/>
            <w:b w:val="0"/>
            <w:color w:val="007C89"/>
            <w:sz w:val="24"/>
            <w:szCs w:val="24"/>
            <w:u w:val="none"/>
          </w:rPr>
          <w:t>http://unesdoc.unesco.org/images/0021/002160/216038e.pdf</w:t>
        </w:r>
      </w:hyperlink>
      <w:r w:rsidRPr="00C42C83" w:rsidDel="00096895">
        <w:rPr>
          <w:rFonts w:asciiTheme="minorHAnsi" w:hAnsiTheme="minorHAnsi"/>
          <w:b w:val="0"/>
          <w:sz w:val="24"/>
          <w:szCs w:val="24"/>
        </w:rPr>
        <w:t xml:space="preserve"> </w:t>
      </w:r>
    </w:p>
    <w:p w14:paraId="07D834DE" w14:textId="34C6631C" w:rsidR="005E0712" w:rsidRPr="00C42C83" w:rsidRDefault="005E0712" w:rsidP="00EA4AC1">
      <w:pPr>
        <w:pStyle w:val="AcknowledgmentTitle"/>
        <w:numPr>
          <w:ilvl w:val="0"/>
          <w:numId w:val="2"/>
        </w:numPr>
        <w:spacing w:after="120"/>
        <w:rPr>
          <w:rFonts w:asciiTheme="minorHAnsi" w:hAnsiTheme="minorHAnsi" w:cs="Arial"/>
          <w:b w:val="0"/>
          <w:color w:val="auto"/>
          <w:sz w:val="24"/>
          <w:szCs w:val="24"/>
        </w:rPr>
      </w:pPr>
      <w:r w:rsidRPr="00C42C83">
        <w:rPr>
          <w:rStyle w:val="Hyperlink"/>
          <w:rFonts w:asciiTheme="minorHAnsi" w:hAnsiTheme="minorHAnsi" w:cs="Arial"/>
          <w:b w:val="0"/>
          <w:i/>
          <w:color w:val="auto"/>
          <w:sz w:val="24"/>
          <w:szCs w:val="24"/>
          <w:u w:val="none"/>
        </w:rPr>
        <w:t>You can learn more by reading this UNESCO, EFA Global Monitoring Report</w:t>
      </w:r>
      <w:r w:rsidR="008807B2" w:rsidRPr="00C42C83">
        <w:rPr>
          <w:rStyle w:val="Hyperlink"/>
          <w:rFonts w:asciiTheme="minorHAnsi" w:hAnsiTheme="minorHAnsi" w:cs="Arial"/>
          <w:b w:val="0"/>
          <w:i/>
          <w:color w:val="auto"/>
          <w:sz w:val="24"/>
          <w:szCs w:val="24"/>
          <w:u w:val="none"/>
        </w:rPr>
        <w:t>,</w:t>
      </w:r>
      <w:r w:rsidRPr="00C42C83">
        <w:rPr>
          <w:rStyle w:val="Hyperlink"/>
          <w:rFonts w:asciiTheme="minorHAnsi" w:hAnsiTheme="minorHAnsi" w:cs="Arial"/>
          <w:b w:val="0"/>
          <w:i/>
          <w:color w:val="auto"/>
          <w:sz w:val="24"/>
          <w:szCs w:val="24"/>
          <w:u w:val="none"/>
        </w:rPr>
        <w:t xml:space="preserve"> UNESCO</w:t>
      </w:r>
      <w:r w:rsidRPr="00C42C83">
        <w:rPr>
          <w:rFonts w:asciiTheme="minorHAnsi" w:hAnsiTheme="minorHAnsi"/>
          <w:b w:val="0"/>
          <w:i/>
          <w:color w:val="auto"/>
          <w:sz w:val="24"/>
          <w:szCs w:val="24"/>
        </w:rPr>
        <w:t xml:space="preserve"> 2007, Strong foundations, EFA Global Monitoring Report, </w:t>
      </w:r>
      <w:r w:rsidR="008807B2" w:rsidRPr="00C42C83">
        <w:rPr>
          <w:rFonts w:asciiTheme="minorHAnsi" w:hAnsiTheme="minorHAnsi"/>
          <w:b w:val="0"/>
          <w:i/>
          <w:color w:val="auto"/>
          <w:sz w:val="24"/>
          <w:szCs w:val="24"/>
        </w:rPr>
        <w:t>found at</w:t>
      </w:r>
      <w:r w:rsidR="009D3D25">
        <w:rPr>
          <w:rFonts w:asciiTheme="minorHAnsi" w:hAnsiTheme="minorHAnsi"/>
          <w:b w:val="0"/>
          <w:i/>
          <w:color w:val="auto"/>
          <w:sz w:val="24"/>
          <w:szCs w:val="24"/>
        </w:rPr>
        <w:t>,</w:t>
      </w:r>
      <w:r w:rsidR="008807B2" w:rsidRPr="00C42C83">
        <w:rPr>
          <w:rFonts w:asciiTheme="minorHAnsi" w:hAnsiTheme="minorHAnsi"/>
          <w:b w:val="0"/>
          <w:i/>
          <w:color w:val="auto"/>
          <w:sz w:val="24"/>
          <w:szCs w:val="24"/>
        </w:rPr>
        <w:t xml:space="preserve"> </w:t>
      </w:r>
      <w:hyperlink r:id="rId77" w:history="1">
        <w:r w:rsidRPr="00C42C83">
          <w:rPr>
            <w:rStyle w:val="Hyperlink"/>
            <w:rFonts w:asciiTheme="minorHAnsi" w:eastAsiaTheme="minorHAnsi" w:hAnsiTheme="minorHAnsi"/>
            <w:b w:val="0"/>
            <w:color w:val="007C89"/>
            <w:sz w:val="24"/>
            <w:szCs w:val="24"/>
            <w:u w:val="none"/>
          </w:rPr>
          <w:t>http://unesdoc.unesco.org/images/0014/001477/147794e.pdf</w:t>
        </w:r>
      </w:hyperlink>
    </w:p>
    <w:p w14:paraId="0C70DDE9" w14:textId="39D4FA2C" w:rsidR="005E0712" w:rsidRPr="00C42C83" w:rsidRDefault="005E0712" w:rsidP="00EA4AC1">
      <w:pPr>
        <w:pStyle w:val="AcknowledgmentTitle"/>
        <w:numPr>
          <w:ilvl w:val="0"/>
          <w:numId w:val="2"/>
        </w:numPr>
        <w:spacing w:after="120"/>
        <w:rPr>
          <w:rStyle w:val="Hyperlink"/>
          <w:rFonts w:asciiTheme="minorHAnsi" w:hAnsiTheme="minorHAnsi" w:cs="Arial"/>
          <w:b w:val="0"/>
          <w:color w:val="auto"/>
          <w:sz w:val="24"/>
          <w:szCs w:val="24"/>
        </w:rPr>
      </w:pPr>
      <w:r w:rsidRPr="00C42C83">
        <w:rPr>
          <w:rStyle w:val="Hyperlink"/>
          <w:rFonts w:asciiTheme="minorHAnsi" w:hAnsiTheme="minorHAnsi" w:cs="Arial"/>
          <w:b w:val="0"/>
          <w:i/>
          <w:color w:val="auto"/>
          <w:sz w:val="24"/>
          <w:szCs w:val="24"/>
          <w:u w:val="none"/>
        </w:rPr>
        <w:t>You can learn more by reading the UN Convention on the Rights of the Child</w:t>
      </w:r>
      <w:r w:rsidR="008807B2" w:rsidRPr="00C42C83">
        <w:rPr>
          <w:rStyle w:val="Hyperlink"/>
          <w:rFonts w:asciiTheme="minorHAnsi" w:hAnsiTheme="minorHAnsi" w:cs="Arial"/>
          <w:b w:val="0"/>
          <w:i/>
          <w:color w:val="auto"/>
          <w:sz w:val="24"/>
          <w:szCs w:val="24"/>
          <w:u w:val="none"/>
        </w:rPr>
        <w:t xml:space="preserve">, </w:t>
      </w:r>
      <w:r w:rsidRPr="00C42C83">
        <w:rPr>
          <w:rStyle w:val="Hyperlink"/>
          <w:rFonts w:asciiTheme="minorHAnsi" w:hAnsiTheme="minorHAnsi" w:cs="Arial"/>
          <w:b w:val="0"/>
          <w:i/>
          <w:color w:val="auto"/>
          <w:sz w:val="24"/>
          <w:szCs w:val="24"/>
          <w:u w:val="none"/>
        </w:rPr>
        <w:t xml:space="preserve"> found at</w:t>
      </w:r>
      <w:r w:rsidR="009D3D25">
        <w:rPr>
          <w:rStyle w:val="Hyperlink"/>
          <w:rFonts w:asciiTheme="minorHAnsi" w:hAnsiTheme="minorHAnsi" w:cs="Arial"/>
          <w:b w:val="0"/>
          <w:i/>
          <w:color w:val="auto"/>
          <w:sz w:val="24"/>
          <w:szCs w:val="24"/>
          <w:u w:val="none"/>
        </w:rPr>
        <w:t>,</w:t>
      </w:r>
      <w:r w:rsidRPr="00C42C83">
        <w:rPr>
          <w:rStyle w:val="Hyperlink"/>
          <w:rFonts w:asciiTheme="minorHAnsi" w:hAnsiTheme="minorHAnsi" w:cs="Arial"/>
          <w:b w:val="0"/>
          <w:color w:val="auto"/>
          <w:sz w:val="24"/>
          <w:szCs w:val="24"/>
        </w:rPr>
        <w:t xml:space="preserve"> </w:t>
      </w:r>
      <w:hyperlink r:id="rId78" w:history="1">
        <w:r w:rsidRPr="00C42C83">
          <w:rPr>
            <w:rStyle w:val="Hyperlink"/>
            <w:rFonts w:asciiTheme="minorHAnsi" w:eastAsiaTheme="minorHAnsi" w:hAnsiTheme="minorHAnsi"/>
            <w:b w:val="0"/>
            <w:color w:val="007C89"/>
            <w:sz w:val="24"/>
            <w:szCs w:val="24"/>
            <w:u w:val="none"/>
          </w:rPr>
          <w:t>http://www.unicef.org/crc/</w:t>
        </w:r>
      </w:hyperlink>
    </w:p>
    <w:p w14:paraId="60FDFC36" w14:textId="3A8E2B06" w:rsidR="005E0712" w:rsidRPr="00C42C83" w:rsidRDefault="005E0712" w:rsidP="00EA4AC1">
      <w:pPr>
        <w:pStyle w:val="AcknowledgmentTitle"/>
        <w:numPr>
          <w:ilvl w:val="0"/>
          <w:numId w:val="2"/>
        </w:numPr>
        <w:spacing w:after="120"/>
        <w:rPr>
          <w:rStyle w:val="Hyperlink"/>
          <w:rFonts w:asciiTheme="minorHAnsi" w:hAnsiTheme="minorHAnsi" w:cs="Arial"/>
          <w:b w:val="0"/>
          <w:color w:val="auto"/>
          <w:sz w:val="24"/>
          <w:szCs w:val="24"/>
          <w:u w:val="none"/>
        </w:rPr>
      </w:pPr>
      <w:r w:rsidRPr="00C42C83">
        <w:rPr>
          <w:rFonts w:asciiTheme="minorHAnsi" w:hAnsiTheme="minorHAnsi"/>
          <w:b w:val="0"/>
          <w:i/>
          <w:color w:val="auto"/>
          <w:sz w:val="24"/>
          <w:szCs w:val="24"/>
        </w:rPr>
        <w:t>You can learn more by reading the UNICEF Early Childhood resources</w:t>
      </w:r>
      <w:r w:rsidR="008807B2" w:rsidRPr="00C42C83">
        <w:rPr>
          <w:rFonts w:asciiTheme="minorHAnsi" w:hAnsiTheme="minorHAnsi"/>
          <w:b w:val="0"/>
          <w:i/>
          <w:color w:val="auto"/>
          <w:sz w:val="24"/>
          <w:szCs w:val="24"/>
        </w:rPr>
        <w:t>,</w:t>
      </w:r>
      <w:r w:rsidRPr="00C42C83">
        <w:rPr>
          <w:rFonts w:asciiTheme="minorHAnsi" w:hAnsiTheme="minorHAnsi"/>
          <w:b w:val="0"/>
          <w:i/>
          <w:color w:val="auto"/>
          <w:sz w:val="24"/>
          <w:szCs w:val="24"/>
        </w:rPr>
        <w:t xml:space="preserve"> found at</w:t>
      </w:r>
      <w:r w:rsidR="009D3D25">
        <w:rPr>
          <w:rFonts w:asciiTheme="minorHAnsi" w:hAnsiTheme="minorHAnsi"/>
          <w:b w:val="0"/>
          <w:i/>
          <w:color w:val="auto"/>
          <w:sz w:val="24"/>
          <w:szCs w:val="24"/>
        </w:rPr>
        <w:t>,</w:t>
      </w:r>
      <w:r w:rsidRPr="00C42C83">
        <w:rPr>
          <w:rFonts w:asciiTheme="minorHAnsi" w:hAnsiTheme="minorHAnsi"/>
          <w:b w:val="0"/>
          <w:color w:val="auto"/>
          <w:sz w:val="24"/>
          <w:szCs w:val="24"/>
        </w:rPr>
        <w:t xml:space="preserve">  </w:t>
      </w:r>
      <w:hyperlink r:id="rId79" w:history="1">
        <w:r w:rsidRPr="00C42C83">
          <w:rPr>
            <w:rStyle w:val="Hyperlink"/>
            <w:rFonts w:asciiTheme="minorHAnsi" w:eastAsiaTheme="minorHAnsi" w:hAnsiTheme="minorHAnsi"/>
            <w:b w:val="0"/>
            <w:color w:val="007C89"/>
            <w:sz w:val="24"/>
            <w:szCs w:val="24"/>
            <w:u w:val="none"/>
          </w:rPr>
          <w:t>http://www.unicef.org/earlychildhood/index_3870.html</w:t>
        </w:r>
      </w:hyperlink>
    </w:p>
    <w:p w14:paraId="0AC18D88" w14:textId="7B155221" w:rsidR="005E0712" w:rsidRPr="00C42C83" w:rsidRDefault="005E0712" w:rsidP="00EA4AC1">
      <w:pPr>
        <w:pStyle w:val="AcknowledgmentTitle"/>
        <w:numPr>
          <w:ilvl w:val="0"/>
          <w:numId w:val="2"/>
        </w:numPr>
        <w:spacing w:after="120"/>
        <w:rPr>
          <w:rStyle w:val="Hyperlink"/>
          <w:rFonts w:asciiTheme="minorHAnsi" w:hAnsiTheme="minorHAnsi"/>
          <w:b w:val="0"/>
          <w:color w:val="466F6D"/>
          <w:sz w:val="24"/>
          <w:szCs w:val="24"/>
          <w:u w:val="none"/>
        </w:rPr>
      </w:pPr>
      <w:r w:rsidRPr="00C42C83">
        <w:rPr>
          <w:rStyle w:val="Hyperlink"/>
          <w:rFonts w:asciiTheme="minorHAnsi" w:hAnsiTheme="minorHAnsi" w:cs="Arial"/>
          <w:b w:val="0"/>
          <w:i/>
          <w:color w:val="auto"/>
          <w:sz w:val="24"/>
          <w:szCs w:val="24"/>
          <w:u w:val="none"/>
        </w:rPr>
        <w:t>You can learn more by reading the State of the World’s Children reports</w:t>
      </w:r>
      <w:r w:rsidR="008807B2" w:rsidRPr="00C42C83">
        <w:rPr>
          <w:rStyle w:val="Hyperlink"/>
          <w:rFonts w:asciiTheme="minorHAnsi" w:hAnsiTheme="minorHAnsi" w:cs="Arial"/>
          <w:b w:val="0"/>
          <w:i/>
          <w:color w:val="auto"/>
          <w:sz w:val="24"/>
          <w:szCs w:val="24"/>
          <w:u w:val="none"/>
        </w:rPr>
        <w:t>,</w:t>
      </w:r>
      <w:r w:rsidRPr="00C42C83">
        <w:rPr>
          <w:rStyle w:val="Hyperlink"/>
          <w:rFonts w:asciiTheme="minorHAnsi" w:hAnsiTheme="minorHAnsi" w:cs="Arial"/>
          <w:b w:val="0"/>
          <w:i/>
          <w:color w:val="auto"/>
          <w:sz w:val="24"/>
          <w:szCs w:val="24"/>
          <w:u w:val="none"/>
        </w:rPr>
        <w:t xml:space="preserve"> found at</w:t>
      </w:r>
      <w:r w:rsidR="009D3D25">
        <w:rPr>
          <w:rStyle w:val="Hyperlink"/>
          <w:rFonts w:asciiTheme="minorHAnsi" w:hAnsiTheme="minorHAnsi" w:cs="Arial"/>
          <w:b w:val="0"/>
          <w:i/>
          <w:color w:val="auto"/>
          <w:sz w:val="24"/>
          <w:szCs w:val="24"/>
          <w:u w:val="none"/>
        </w:rPr>
        <w:t>,</w:t>
      </w:r>
      <w:r w:rsidRPr="00C42C83">
        <w:rPr>
          <w:rStyle w:val="Hyperlink"/>
          <w:rFonts w:cs="Arial"/>
          <w:b w:val="0"/>
          <w:i/>
          <w:color w:val="auto"/>
          <w:sz w:val="24"/>
          <w:szCs w:val="24"/>
          <w:u w:val="none"/>
        </w:rPr>
        <w:t xml:space="preserve"> </w:t>
      </w:r>
      <w:hyperlink r:id="rId80" w:history="1">
        <w:r w:rsidRPr="00C42C83">
          <w:rPr>
            <w:rStyle w:val="Hyperlink"/>
            <w:rFonts w:asciiTheme="minorHAnsi" w:eastAsiaTheme="minorHAnsi" w:hAnsiTheme="minorHAnsi"/>
            <w:b w:val="0"/>
            <w:color w:val="007C89"/>
            <w:sz w:val="24"/>
            <w:szCs w:val="24"/>
            <w:u w:val="none"/>
          </w:rPr>
          <w:t>https://www.unicef.org/sowc/</w:t>
        </w:r>
      </w:hyperlink>
    </w:p>
    <w:p w14:paraId="2E2361D3" w14:textId="4D925355" w:rsidR="00B87873" w:rsidRPr="0000568F" w:rsidRDefault="00B87873" w:rsidP="00EA4AC1">
      <w:pPr>
        <w:pStyle w:val="BodyText"/>
        <w:widowControl/>
      </w:pPr>
    </w:p>
    <w:sectPr w:rsidR="00B87873" w:rsidRPr="0000568F" w:rsidSect="00CB6F23">
      <w:headerReference w:type="default" r:id="rId81"/>
      <w:footerReference w:type="default" r:id="rId82"/>
      <w:pgSz w:w="11906" w:h="16838" w:code="9"/>
      <w:pgMar w:top="1440" w:right="1416" w:bottom="1440"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6EF5A" w14:textId="77777777" w:rsidR="00B4592D" w:rsidRDefault="00B4592D" w:rsidP="00737935">
      <w:pPr>
        <w:spacing w:after="0" w:line="240" w:lineRule="auto"/>
      </w:pPr>
      <w:r>
        <w:separator/>
      </w:r>
    </w:p>
  </w:endnote>
  <w:endnote w:type="continuationSeparator" w:id="0">
    <w:p w14:paraId="1580860F" w14:textId="77777777" w:rsidR="00B4592D" w:rsidRDefault="00B4592D"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1ACE3" w14:textId="77777777" w:rsidR="00614C33" w:rsidRDefault="00614C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4B370" w14:textId="77777777" w:rsidR="00614C33" w:rsidRDefault="00614C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B4592D" w14:paraId="149A2C7D" w14:textId="77777777" w:rsidTr="00AE5826">
      <w:tc>
        <w:tcPr>
          <w:tcW w:w="11022" w:type="dxa"/>
        </w:tcPr>
        <w:p w14:paraId="6C4E5830" w14:textId="77777777" w:rsidR="00B4592D" w:rsidRDefault="00B4592D" w:rsidP="00AE5826">
          <w:pPr>
            <w:pStyle w:val="Footer"/>
            <w:rPr>
              <w:lang w:val="en-GB"/>
            </w:rPr>
          </w:pPr>
          <w:r>
            <w:rPr>
              <w:lang w:val="en-GB"/>
            </w:rPr>
            <w:t>Print Version</w:t>
          </w:r>
        </w:p>
      </w:tc>
    </w:tr>
  </w:tbl>
  <w:p w14:paraId="79A98568" w14:textId="77777777" w:rsidR="00B4592D" w:rsidRDefault="00B4592D"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607940BC" w:rsidR="00B4592D" w:rsidRPr="00907A6E" w:rsidRDefault="00B4592D"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614C33">
          <w:rPr>
            <w:b/>
            <w:noProof/>
            <w:color w:val="FFFFFF" w:themeColor="background1"/>
          </w:rPr>
          <w:t>28</w:t>
        </w:r>
        <w:r w:rsidRPr="00907A6E">
          <w:rPr>
            <w:b/>
            <w:noProof/>
            <w:color w:val="FFFFFF" w:themeColor="background1"/>
          </w:rPr>
          <w:fldChar w:fldCharType="end"/>
        </w:r>
      </w:p>
    </w:sdtContent>
  </w:sdt>
  <w:p w14:paraId="085B6229" w14:textId="77777777" w:rsidR="00B4592D" w:rsidRPr="00907A6E" w:rsidRDefault="00B4592D"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51CF1" w14:textId="77777777" w:rsidR="00B4592D" w:rsidRDefault="00B4592D" w:rsidP="00737935">
      <w:pPr>
        <w:spacing w:after="0" w:line="240" w:lineRule="auto"/>
      </w:pPr>
      <w:r>
        <w:separator/>
      </w:r>
    </w:p>
  </w:footnote>
  <w:footnote w:type="continuationSeparator" w:id="0">
    <w:p w14:paraId="6410979F" w14:textId="77777777" w:rsidR="00B4592D" w:rsidRDefault="00B4592D"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AF51F" w14:textId="77777777" w:rsidR="00614C33" w:rsidRDefault="00614C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C44C7" w14:textId="77777777" w:rsidR="00614C33" w:rsidRDefault="00614C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FCDDB" w14:textId="77777777" w:rsidR="00614C33" w:rsidRDefault="00614C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6598540D" w:rsidR="00B4592D" w:rsidRPr="00737935" w:rsidRDefault="00B4592D"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5E0712">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EDUCATION SECTOR INTERCONNECTIONS</w:t>
    </w:r>
    <w:r w:rsidRPr="005E0712">
      <w:rPr>
        <w:b/>
        <w:color w:val="FFFFFF" w:themeColor="background1"/>
      </w:rPr>
      <w:t xml:space="preserve"> – FOUNDATION LEVEL</w:t>
    </w:r>
  </w:p>
  <w:p w14:paraId="5E9D91E3" w14:textId="77777777" w:rsidR="00B4592D" w:rsidRPr="00737935" w:rsidRDefault="00B4592D"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 o:bullet="t">
        <v:imagedata r:id="rId1" o:title="list-link"/>
      </v:shape>
    </w:pict>
  </w:numPicBullet>
  <w:numPicBullet w:numPicBulletId="1">
    <w:pict>
      <v:shape id="_x0000_i1027" type="#_x0000_t75" style="width:21.75pt;height:21.75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2"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3" w15:restartNumberingAfterBreak="0">
    <w:nsid w:val="38EA19A5"/>
    <w:multiLevelType w:val="hybridMultilevel"/>
    <w:tmpl w:val="B8506AEC"/>
    <w:lvl w:ilvl="0" w:tplc="6A62C002">
      <w:start w:val="1"/>
      <w:numFmt w:val="bullet"/>
      <w:lvlText w:val=""/>
      <w:lvlJc w:val="left"/>
      <w:pPr>
        <w:ind w:left="1004" w:hanging="360"/>
      </w:pPr>
      <w:rPr>
        <w:rFonts w:ascii="Symbol" w:hAnsi="Symbol" w:hint="default"/>
        <w:color w:val="007C89"/>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E25516"/>
    <w:multiLevelType w:val="hybridMultilevel"/>
    <w:tmpl w:val="CBA87B8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003683"/>
    <w:multiLevelType w:val="hybridMultilevel"/>
    <w:tmpl w:val="142C4CFC"/>
    <w:lvl w:ilvl="0" w:tplc="42BA51D2">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0" w15:restartNumberingAfterBreak="0">
    <w:nsid w:val="6A3675CB"/>
    <w:multiLevelType w:val="hybridMultilevel"/>
    <w:tmpl w:val="9B04711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1544E1"/>
    <w:multiLevelType w:val="hybridMultilevel"/>
    <w:tmpl w:val="07B4C2B6"/>
    <w:lvl w:ilvl="0" w:tplc="33D033DC">
      <w:start w:val="1"/>
      <w:numFmt w:val="decimal"/>
      <w:pStyle w:val="Numberedlist"/>
      <w:lvlText w:val="%1."/>
      <w:lvlJc w:val="left"/>
      <w:pPr>
        <w:ind w:left="720" w:hanging="360"/>
      </w:pPr>
      <w:rPr>
        <w:b/>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0"/>
  </w:num>
  <w:num w:numId="5">
    <w:abstractNumId w:val="7"/>
  </w:num>
  <w:num w:numId="6">
    <w:abstractNumId w:val="1"/>
  </w:num>
  <w:num w:numId="7">
    <w:abstractNumId w:val="9"/>
  </w:num>
  <w:num w:numId="8">
    <w:abstractNumId w:val="6"/>
  </w:num>
  <w:num w:numId="9">
    <w:abstractNumId w:val="12"/>
  </w:num>
  <w:num w:numId="10">
    <w:abstractNumId w:val="3"/>
  </w:num>
  <w:num w:numId="11">
    <w:abstractNumId w:val="5"/>
  </w:num>
  <w:num w:numId="12">
    <w:abstractNumId w:val="10"/>
  </w:num>
  <w:num w:numId="1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0568F"/>
    <w:rsid w:val="0001348E"/>
    <w:rsid w:val="00027D27"/>
    <w:rsid w:val="00043E97"/>
    <w:rsid w:val="00043F8C"/>
    <w:rsid w:val="00056C50"/>
    <w:rsid w:val="000669CF"/>
    <w:rsid w:val="00076977"/>
    <w:rsid w:val="000810B4"/>
    <w:rsid w:val="000966AA"/>
    <w:rsid w:val="000A3490"/>
    <w:rsid w:val="000B3EF1"/>
    <w:rsid w:val="000D03C5"/>
    <w:rsid w:val="000D0B3B"/>
    <w:rsid w:val="000E5A84"/>
    <w:rsid w:val="000F263E"/>
    <w:rsid w:val="000F396C"/>
    <w:rsid w:val="00106E2E"/>
    <w:rsid w:val="00137AB3"/>
    <w:rsid w:val="001425E9"/>
    <w:rsid w:val="00154089"/>
    <w:rsid w:val="001551A3"/>
    <w:rsid w:val="00175568"/>
    <w:rsid w:val="00184B67"/>
    <w:rsid w:val="001A0B05"/>
    <w:rsid w:val="001A789A"/>
    <w:rsid w:val="001B25F0"/>
    <w:rsid w:val="001D6483"/>
    <w:rsid w:val="00203229"/>
    <w:rsid w:val="00244B63"/>
    <w:rsid w:val="00245BC9"/>
    <w:rsid w:val="00247B19"/>
    <w:rsid w:val="002575D2"/>
    <w:rsid w:val="00286849"/>
    <w:rsid w:val="002C4412"/>
    <w:rsid w:val="002C4840"/>
    <w:rsid w:val="002D308B"/>
    <w:rsid w:val="002E5E0F"/>
    <w:rsid w:val="002E7073"/>
    <w:rsid w:val="002F2A3E"/>
    <w:rsid w:val="002F5B16"/>
    <w:rsid w:val="002F62C4"/>
    <w:rsid w:val="00301CE4"/>
    <w:rsid w:val="003045FE"/>
    <w:rsid w:val="0031036E"/>
    <w:rsid w:val="003124DE"/>
    <w:rsid w:val="00321C57"/>
    <w:rsid w:val="00325F33"/>
    <w:rsid w:val="0033265A"/>
    <w:rsid w:val="00354067"/>
    <w:rsid w:val="00356226"/>
    <w:rsid w:val="00363ABA"/>
    <w:rsid w:val="00376D2F"/>
    <w:rsid w:val="0039028D"/>
    <w:rsid w:val="00390818"/>
    <w:rsid w:val="00392C61"/>
    <w:rsid w:val="003A7698"/>
    <w:rsid w:val="003B6098"/>
    <w:rsid w:val="003E12C8"/>
    <w:rsid w:val="003F4D67"/>
    <w:rsid w:val="0043166B"/>
    <w:rsid w:val="00460956"/>
    <w:rsid w:val="00472681"/>
    <w:rsid w:val="004A751E"/>
    <w:rsid w:val="004B557F"/>
    <w:rsid w:val="004C0266"/>
    <w:rsid w:val="004C0365"/>
    <w:rsid w:val="004C0FA6"/>
    <w:rsid w:val="004D2BCE"/>
    <w:rsid w:val="004D3D9A"/>
    <w:rsid w:val="004F1971"/>
    <w:rsid w:val="004F241B"/>
    <w:rsid w:val="004F4D30"/>
    <w:rsid w:val="005100D4"/>
    <w:rsid w:val="0051125A"/>
    <w:rsid w:val="00512E45"/>
    <w:rsid w:val="005144D2"/>
    <w:rsid w:val="005215EF"/>
    <w:rsid w:val="00535D2C"/>
    <w:rsid w:val="005550B3"/>
    <w:rsid w:val="00562854"/>
    <w:rsid w:val="00564DFB"/>
    <w:rsid w:val="005735DF"/>
    <w:rsid w:val="005A26FC"/>
    <w:rsid w:val="005A466E"/>
    <w:rsid w:val="005C5305"/>
    <w:rsid w:val="005D4B1F"/>
    <w:rsid w:val="005E0712"/>
    <w:rsid w:val="00602D4B"/>
    <w:rsid w:val="0060365D"/>
    <w:rsid w:val="006067E0"/>
    <w:rsid w:val="00614C33"/>
    <w:rsid w:val="0061530B"/>
    <w:rsid w:val="006258E3"/>
    <w:rsid w:val="006267AE"/>
    <w:rsid w:val="00635D0F"/>
    <w:rsid w:val="00651DBA"/>
    <w:rsid w:val="00673528"/>
    <w:rsid w:val="00676F80"/>
    <w:rsid w:val="0067736E"/>
    <w:rsid w:val="0067782D"/>
    <w:rsid w:val="006864BD"/>
    <w:rsid w:val="00691659"/>
    <w:rsid w:val="006A0F4F"/>
    <w:rsid w:val="006B04CC"/>
    <w:rsid w:val="006B6AFE"/>
    <w:rsid w:val="006E0C3D"/>
    <w:rsid w:val="006E0CB4"/>
    <w:rsid w:val="006E32FA"/>
    <w:rsid w:val="00700E68"/>
    <w:rsid w:val="007134BB"/>
    <w:rsid w:val="00734AB5"/>
    <w:rsid w:val="00737935"/>
    <w:rsid w:val="00745E3B"/>
    <w:rsid w:val="0076572C"/>
    <w:rsid w:val="007A029D"/>
    <w:rsid w:val="007A377C"/>
    <w:rsid w:val="007A3AAB"/>
    <w:rsid w:val="007A3DDF"/>
    <w:rsid w:val="007A469F"/>
    <w:rsid w:val="007B6779"/>
    <w:rsid w:val="007E3BAF"/>
    <w:rsid w:val="007E5783"/>
    <w:rsid w:val="007F3660"/>
    <w:rsid w:val="008000FE"/>
    <w:rsid w:val="00801336"/>
    <w:rsid w:val="00807F0F"/>
    <w:rsid w:val="00813CAA"/>
    <w:rsid w:val="0081526B"/>
    <w:rsid w:val="00831C3C"/>
    <w:rsid w:val="00843D90"/>
    <w:rsid w:val="008456DF"/>
    <w:rsid w:val="008464F3"/>
    <w:rsid w:val="0084749E"/>
    <w:rsid w:val="00850D41"/>
    <w:rsid w:val="00852FD8"/>
    <w:rsid w:val="0087648D"/>
    <w:rsid w:val="008807B2"/>
    <w:rsid w:val="008A2DAD"/>
    <w:rsid w:val="008B002A"/>
    <w:rsid w:val="008B11EA"/>
    <w:rsid w:val="008B2F30"/>
    <w:rsid w:val="008D417E"/>
    <w:rsid w:val="008E01E2"/>
    <w:rsid w:val="008E511B"/>
    <w:rsid w:val="008E5557"/>
    <w:rsid w:val="008F5ED1"/>
    <w:rsid w:val="00907A6E"/>
    <w:rsid w:val="00911845"/>
    <w:rsid w:val="00923E11"/>
    <w:rsid w:val="00925C47"/>
    <w:rsid w:val="0093417D"/>
    <w:rsid w:val="00950CD1"/>
    <w:rsid w:val="00952895"/>
    <w:rsid w:val="00952F4F"/>
    <w:rsid w:val="009606BA"/>
    <w:rsid w:val="00977EF5"/>
    <w:rsid w:val="0098237D"/>
    <w:rsid w:val="009A1B35"/>
    <w:rsid w:val="009B3FEF"/>
    <w:rsid w:val="009C5E86"/>
    <w:rsid w:val="009D0144"/>
    <w:rsid w:val="009D1A06"/>
    <w:rsid w:val="009D3D25"/>
    <w:rsid w:val="009D500A"/>
    <w:rsid w:val="009D56A3"/>
    <w:rsid w:val="009F4628"/>
    <w:rsid w:val="00A11C08"/>
    <w:rsid w:val="00A20762"/>
    <w:rsid w:val="00A30BDE"/>
    <w:rsid w:val="00A32721"/>
    <w:rsid w:val="00A47E77"/>
    <w:rsid w:val="00A627D2"/>
    <w:rsid w:val="00A65D11"/>
    <w:rsid w:val="00A667BB"/>
    <w:rsid w:val="00A77BA8"/>
    <w:rsid w:val="00A905AF"/>
    <w:rsid w:val="00A93594"/>
    <w:rsid w:val="00A960F1"/>
    <w:rsid w:val="00AA494B"/>
    <w:rsid w:val="00AA49D9"/>
    <w:rsid w:val="00AB5A8A"/>
    <w:rsid w:val="00AD66FB"/>
    <w:rsid w:val="00AE21D9"/>
    <w:rsid w:val="00AE5826"/>
    <w:rsid w:val="00AE78FF"/>
    <w:rsid w:val="00AF0776"/>
    <w:rsid w:val="00B10A00"/>
    <w:rsid w:val="00B10C5E"/>
    <w:rsid w:val="00B258FD"/>
    <w:rsid w:val="00B354FE"/>
    <w:rsid w:val="00B35BE8"/>
    <w:rsid w:val="00B4592D"/>
    <w:rsid w:val="00B504FE"/>
    <w:rsid w:val="00B7355A"/>
    <w:rsid w:val="00B75DAC"/>
    <w:rsid w:val="00B84ECD"/>
    <w:rsid w:val="00B86E79"/>
    <w:rsid w:val="00B87873"/>
    <w:rsid w:val="00B9532A"/>
    <w:rsid w:val="00BA17CD"/>
    <w:rsid w:val="00BA42F0"/>
    <w:rsid w:val="00BB0F1B"/>
    <w:rsid w:val="00BC025B"/>
    <w:rsid w:val="00BF0B70"/>
    <w:rsid w:val="00BF4974"/>
    <w:rsid w:val="00C06D35"/>
    <w:rsid w:val="00C263BD"/>
    <w:rsid w:val="00C30210"/>
    <w:rsid w:val="00C30F4C"/>
    <w:rsid w:val="00C31283"/>
    <w:rsid w:val="00C3629F"/>
    <w:rsid w:val="00C42C83"/>
    <w:rsid w:val="00C4436F"/>
    <w:rsid w:val="00C44DD6"/>
    <w:rsid w:val="00C75AE9"/>
    <w:rsid w:val="00C8091F"/>
    <w:rsid w:val="00C946D8"/>
    <w:rsid w:val="00CB6F23"/>
    <w:rsid w:val="00CE19D2"/>
    <w:rsid w:val="00CE618F"/>
    <w:rsid w:val="00CE626D"/>
    <w:rsid w:val="00CF579D"/>
    <w:rsid w:val="00D02C09"/>
    <w:rsid w:val="00D07A25"/>
    <w:rsid w:val="00D33E80"/>
    <w:rsid w:val="00D43690"/>
    <w:rsid w:val="00D4415D"/>
    <w:rsid w:val="00D46C67"/>
    <w:rsid w:val="00D5218F"/>
    <w:rsid w:val="00D57D6D"/>
    <w:rsid w:val="00D60E94"/>
    <w:rsid w:val="00D777C8"/>
    <w:rsid w:val="00D87886"/>
    <w:rsid w:val="00DB219F"/>
    <w:rsid w:val="00DC69EE"/>
    <w:rsid w:val="00DD6E5B"/>
    <w:rsid w:val="00DE56E5"/>
    <w:rsid w:val="00DE70A6"/>
    <w:rsid w:val="00DF1C93"/>
    <w:rsid w:val="00DF29AD"/>
    <w:rsid w:val="00DF3712"/>
    <w:rsid w:val="00E00B24"/>
    <w:rsid w:val="00E24D2A"/>
    <w:rsid w:val="00E52585"/>
    <w:rsid w:val="00E6298D"/>
    <w:rsid w:val="00E764A9"/>
    <w:rsid w:val="00E81485"/>
    <w:rsid w:val="00E8421B"/>
    <w:rsid w:val="00E93537"/>
    <w:rsid w:val="00E94C06"/>
    <w:rsid w:val="00E95766"/>
    <w:rsid w:val="00EA0D43"/>
    <w:rsid w:val="00EA2591"/>
    <w:rsid w:val="00EA4AC1"/>
    <w:rsid w:val="00EB3DDA"/>
    <w:rsid w:val="00EC7040"/>
    <w:rsid w:val="00EE09F3"/>
    <w:rsid w:val="00EE18D2"/>
    <w:rsid w:val="00EE5620"/>
    <w:rsid w:val="00EF08BA"/>
    <w:rsid w:val="00F03C50"/>
    <w:rsid w:val="00F35CDE"/>
    <w:rsid w:val="00F42446"/>
    <w:rsid w:val="00F4699C"/>
    <w:rsid w:val="00F52494"/>
    <w:rsid w:val="00F54564"/>
    <w:rsid w:val="00F62A14"/>
    <w:rsid w:val="00F85388"/>
    <w:rsid w:val="00F8625E"/>
    <w:rsid w:val="00F95D90"/>
    <w:rsid w:val="00FB6627"/>
    <w:rsid w:val="00FC3A17"/>
    <w:rsid w:val="00FD6F88"/>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left="567" w:right="386" w:hanging="283"/>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qFormat/>
    <w:rsid w:val="00CF579D"/>
    <w:pPr>
      <w:ind w:left="0"/>
    </w:pPr>
  </w:style>
  <w:style w:type="paragraph" w:customStyle="1" w:styleId="Tablecolumnheading">
    <w:name w:val="Table column heading"/>
    <w:basedOn w:val="Tablebodytext"/>
    <w:qForma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paragraph" w:customStyle="1" w:styleId="LastBulletpoint0">
    <w:name w:val="Last Bullet point"/>
    <w:basedOn w:val="ListParagraph"/>
    <w:link w:val="LastBulletpointChar0"/>
    <w:qFormat/>
    <w:rsid w:val="005E0712"/>
    <w:pPr>
      <w:spacing w:before="0" w:after="240"/>
      <w:ind w:left="1004" w:hanging="360"/>
    </w:pPr>
  </w:style>
  <w:style w:type="character" w:customStyle="1" w:styleId="LastBulletpointChar0">
    <w:name w:val="Last Bullet point Char"/>
    <w:basedOn w:val="ListParagraphChar"/>
    <w:link w:val="LastBulletpoint0"/>
    <w:rsid w:val="005E0712"/>
    <w:rPr>
      <w:rFonts w:ascii="Calibri" w:eastAsia="Calibri" w:hAnsi="Calibri" w:cs="Calibri"/>
      <w:color w:val="231F20"/>
      <w:sz w:val="24"/>
      <w:lang w:val="en-US"/>
    </w:rPr>
  </w:style>
  <w:style w:type="paragraph" w:customStyle="1" w:styleId="Heading40">
    <w:name w:val="Heading4"/>
    <w:basedOn w:val="Heading4"/>
    <w:link w:val="Heading4Char0"/>
    <w:qFormat/>
    <w:rsid w:val="005E0712"/>
    <w:pPr>
      <w:spacing w:before="120"/>
    </w:pPr>
    <w:rPr>
      <w:rFonts w:ascii="Calibri" w:eastAsia="Calibri" w:hAnsi="Calibri" w:cs="Calibri"/>
      <w:b/>
      <w:bCs/>
      <w:i w:val="0"/>
      <w:iCs w:val="0"/>
      <w:color w:val="231F20"/>
      <w:sz w:val="24"/>
      <w:szCs w:val="24"/>
      <w:lang w:val="en-US"/>
    </w:rPr>
  </w:style>
  <w:style w:type="paragraph" w:customStyle="1" w:styleId="TableParagraph">
    <w:name w:val="Table Paragraph"/>
    <w:basedOn w:val="Normal"/>
    <w:uiPriority w:val="1"/>
    <w:qFormat/>
    <w:rsid w:val="005E0712"/>
    <w:pPr>
      <w:widowControl w:val="0"/>
      <w:autoSpaceDE w:val="0"/>
      <w:autoSpaceDN w:val="0"/>
      <w:spacing w:after="0" w:line="240" w:lineRule="auto"/>
    </w:pPr>
    <w:rPr>
      <w:rFonts w:ascii="Calibri" w:eastAsia="Calibri" w:hAnsi="Calibri" w:cs="Calibri"/>
      <w:lang w:val="en-US"/>
    </w:rPr>
  </w:style>
  <w:style w:type="character" w:customStyle="1" w:styleId="Heading4Char0">
    <w:name w:val="Heading4 Char"/>
    <w:basedOn w:val="Heading4Char"/>
    <w:link w:val="Heading40"/>
    <w:rsid w:val="005E0712"/>
    <w:rPr>
      <w:rFonts w:ascii="Calibri" w:eastAsia="Calibri" w:hAnsi="Calibri" w:cs="Calibri"/>
      <w:b/>
      <w:bCs/>
      <w:i w:val="0"/>
      <w:iCs w:val="0"/>
      <w:color w:val="231F2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 w:id="873662605">
      <w:bodyDiv w:val="1"/>
      <w:marLeft w:val="0"/>
      <w:marRight w:val="0"/>
      <w:marTop w:val="0"/>
      <w:marBottom w:val="0"/>
      <w:divBdr>
        <w:top w:val="none" w:sz="0" w:space="0" w:color="auto"/>
        <w:left w:val="none" w:sz="0" w:space="0" w:color="auto"/>
        <w:bottom w:val="none" w:sz="0" w:space="0" w:color="auto"/>
        <w:right w:val="none" w:sz="0" w:space="0" w:color="auto"/>
      </w:divBdr>
    </w:div>
    <w:div w:id="1231768036">
      <w:bodyDiv w:val="1"/>
      <w:marLeft w:val="0"/>
      <w:marRight w:val="0"/>
      <w:marTop w:val="0"/>
      <w:marBottom w:val="0"/>
      <w:divBdr>
        <w:top w:val="none" w:sz="0" w:space="0" w:color="auto"/>
        <w:left w:val="none" w:sz="0" w:space="0" w:color="auto"/>
        <w:bottom w:val="none" w:sz="0" w:space="0" w:color="auto"/>
        <w:right w:val="none" w:sz="0" w:space="0" w:color="auto"/>
      </w:divBdr>
    </w:div>
    <w:div w:id="170506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KT7mtlJ8psQ&amp;feature=youtu.be" TargetMode="External"/><Relationship Id="rId21" Type="http://schemas.openxmlformats.org/officeDocument/2006/relationships/hyperlink" Target="http://uis.unesco.org/en/glossary-term/net-enrolment-rate" TargetMode="External"/><Relationship Id="rId42" Type="http://schemas.openxmlformats.org/officeDocument/2006/relationships/hyperlink" Target="http://data.uis.unesco.org/Index.aspx" TargetMode="External"/><Relationship Id="rId47" Type="http://schemas.openxmlformats.org/officeDocument/2006/relationships/image" Target="media/image11.png"/><Relationship Id="rId63" Type="http://schemas.openxmlformats.org/officeDocument/2006/relationships/hyperlink" Target="http://uis.unesco.org/en/news/uis-launches-eatlas-gender-inequality-education" TargetMode="External"/><Relationship Id="rId68" Type="http://schemas.openxmlformats.org/officeDocument/2006/relationships/hyperlink" Target="http://www.youtube.com/watch?v=KT7mtlJ8psQ&amp;feature=youtu.be" TargetMode="External"/><Relationship Id="rId84" Type="http://schemas.openxmlformats.org/officeDocument/2006/relationships/theme" Target="theme/theme1.xml"/><Relationship Id="rId16" Type="http://schemas.openxmlformats.org/officeDocument/2006/relationships/hyperlink" Target="http://uis.unesco.org/sites/default/files/documents/international-standard-classification-of-education-isced-2011-en.pdf" TargetMode="External"/><Relationship Id="rId11" Type="http://schemas.openxmlformats.org/officeDocument/2006/relationships/footer" Target="footer1.xml"/><Relationship Id="rId32" Type="http://schemas.openxmlformats.org/officeDocument/2006/relationships/hyperlink" Target="http://www.unevoc.unesco.org/go.php?q=What+is+TVET" TargetMode="External"/><Relationship Id="rId37" Type="http://schemas.openxmlformats.org/officeDocument/2006/relationships/hyperlink" Target="http://uis.unesco.org/sites/default/files/documents/laying-the-foundation-to-measure-sdg4-sustainable-development-data-digest-2016-en.pdf" TargetMode="External"/><Relationship Id="rId53" Type="http://schemas.openxmlformats.org/officeDocument/2006/relationships/hyperlink" Target="http://planipolis.iiep.unesco.org/en/2004/achieving-better-future-national-plan-education-2005-2014-papua-new-guinea-4678" TargetMode="External"/><Relationship Id="rId58" Type="http://schemas.openxmlformats.org/officeDocument/2006/relationships/hyperlink" Target="http://uis.unesco.org/sites/default/files/documents/international-standard-classification-of-education-isced-2011-en.pdf" TargetMode="External"/><Relationship Id="rId74" Type="http://schemas.openxmlformats.org/officeDocument/2006/relationships/hyperlink" Target="http://www.unevoc.unesco.org/go.php" TargetMode="External"/><Relationship Id="rId79" Type="http://schemas.openxmlformats.org/officeDocument/2006/relationships/hyperlink" Target="http://www.unicef.org/earlychildhood/index_3870.html" TargetMode="External"/><Relationship Id="rId5" Type="http://schemas.openxmlformats.org/officeDocument/2006/relationships/webSettings" Target="webSettings.xml"/><Relationship Id="rId19" Type="http://schemas.openxmlformats.org/officeDocument/2006/relationships/hyperlink" Target="http://uis.unesco.org/en/glossary-term/gross-enrolment-ratio" TargetMode="Externa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hyperlink" Target="https://gemreportunesco.wordpress.com/2014/02/25/malawi-a-shortage-of-teachers-is-putting-childrens-learning-at-risk/" TargetMode="External"/><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hyperlink" Target="http://uis.unesco.org/sites/default/files/documents/reducing-global-poverty-through-universal-primary-secondary-education.pdf" TargetMode="External"/><Relationship Id="rId48" Type="http://schemas.openxmlformats.org/officeDocument/2006/relationships/hyperlink" Target="https://gemreportunesco.wordpress.com/2014/02/25/malawi-a-shortage-of-teachers-is-putting-childrens-learning-at-risk/" TargetMode="External"/><Relationship Id="rId56" Type="http://schemas.openxmlformats.org/officeDocument/2006/relationships/hyperlink" Target="http://uis.unesco.org/sites/default/files/documents/international-standard-classification-of-education-isced-2011-en.pdf" TargetMode="External"/><Relationship Id="rId64" Type="http://schemas.openxmlformats.org/officeDocument/2006/relationships/hyperlink" Target="http://uis.unesco.org/sites/default/files/documents/reducing-global-poverty-through-universal-primary-secondary-education.pdf" TargetMode="External"/><Relationship Id="rId69" Type="http://schemas.openxmlformats.org/officeDocument/2006/relationships/hyperlink" Target="http://databank.worldbank.org/data/reports.aspx?source=world-development-indicators" TargetMode="External"/><Relationship Id="rId77" Type="http://schemas.openxmlformats.org/officeDocument/2006/relationships/hyperlink" Target="http://unesdoc.unesco.org/images/0014/001477/147794e.pdf" TargetMode="External"/><Relationship Id="rId8" Type="http://schemas.openxmlformats.org/officeDocument/2006/relationships/image" Target="media/image3.png"/><Relationship Id="rId51" Type="http://schemas.openxmlformats.org/officeDocument/2006/relationships/hyperlink" Target="https://ec.europa.eu/europeaid/node/114906_de" TargetMode="External"/><Relationship Id="rId72" Type="http://schemas.openxmlformats.org/officeDocument/2006/relationships/hyperlink" Target="http://data.worldbank.org/indicator/SE.SEC.ENRR" TargetMode="External"/><Relationship Id="rId80" Type="http://schemas.openxmlformats.org/officeDocument/2006/relationships/hyperlink" Target="https://www.unicef.org/sowc/" TargetMode="External"/><Relationship Id="rId85"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uis.unesco.org/sites/default/files/documents/international-standard-classification-of-education-isced-2011-en.pdf" TargetMode="External"/><Relationship Id="rId25" Type="http://schemas.openxmlformats.org/officeDocument/2006/relationships/hyperlink" Target="http://data.uis.unesco.org/Index.aspx" TargetMode="External"/><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hyperlink" Target="http://uis.unesco.org/en/news/uis-launches-eatlas-gender-inequality-education" TargetMode="External"/><Relationship Id="rId59" Type="http://schemas.openxmlformats.org/officeDocument/2006/relationships/hyperlink" Target="http://uis.unesco.org/sites/default/files/documents/international-standard-classification-of-education-isced-2011-en.pdf" TargetMode="External"/><Relationship Id="rId67" Type="http://schemas.openxmlformats.org/officeDocument/2006/relationships/hyperlink" Target="http://data.un.org/" TargetMode="External"/><Relationship Id="rId20" Type="http://schemas.openxmlformats.org/officeDocument/2006/relationships/hyperlink" Target="http://data.uis.unesco.org/Index.aspx" TargetMode="External"/><Relationship Id="rId41" Type="http://schemas.openxmlformats.org/officeDocument/2006/relationships/hyperlink" Target="http://en.unesco.org/gem-report/report/2012/youth-and-skills-putting-education-work" TargetMode="External"/><Relationship Id="rId54" Type="http://schemas.openxmlformats.org/officeDocument/2006/relationships/hyperlink" Target="http://en.unesco.org/gem-report/report/2012/youth-and-skills-putting-education-work" TargetMode="External"/><Relationship Id="rId62" Type="http://schemas.openxmlformats.org/officeDocument/2006/relationships/hyperlink" Target="http://uis.unesco.org/en/glossary-term/gross-enrolment-ratio" TargetMode="External"/><Relationship Id="rId70" Type="http://schemas.openxmlformats.org/officeDocument/2006/relationships/hyperlink" Target="http://www.younglives.org.uk/files/policy-papers/early-childhood-care-and-education-as-a-strategy-for-poverty-reduction-evidence-from-young-lives" TargetMode="External"/><Relationship Id="rId75" Type="http://schemas.openxmlformats.org/officeDocument/2006/relationships/hyperlink" Target="http://en.unesco.org/gem-report/allreport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databank.worldbank.org/data/reports.aspx?source=world-development-indicators" TargetMode="External"/><Relationship Id="rId28" Type="http://schemas.openxmlformats.org/officeDocument/2006/relationships/hyperlink" Target="http://uis.unesco.org/sites/default/files/documents/international-standard-classification-of-education-isced-2011-en.pdf" TargetMode="External"/><Relationship Id="rId36" Type="http://schemas.openxmlformats.org/officeDocument/2006/relationships/hyperlink" Target="https://unevoc.unesco.org/wtdb/worldtvetdatabase_pse_en.pdf" TargetMode="External"/><Relationship Id="rId49" Type="http://schemas.openxmlformats.org/officeDocument/2006/relationships/hyperlink" Target="http://www.youtube.com/watch?v=wpEILBipzms&amp;feature=youtu.be" TargetMode="External"/><Relationship Id="rId57" Type="http://schemas.openxmlformats.org/officeDocument/2006/relationships/hyperlink" Target="http://uis.unesco.org/sites/default/files/documents/international-standard-classification-of-education-isced-2011-en.pdf" TargetMode="External"/><Relationship Id="rId10" Type="http://schemas.openxmlformats.org/officeDocument/2006/relationships/header" Target="header2.xml"/><Relationship Id="rId31" Type="http://schemas.openxmlformats.org/officeDocument/2006/relationships/hyperlink" Target="http://data.uis.unesco.org/Index.aspx" TargetMode="External"/><Relationship Id="rId44" Type="http://schemas.openxmlformats.org/officeDocument/2006/relationships/hyperlink" Target="http://www.globalpartnership.org/focus-areas/girls-education" TargetMode="External"/><Relationship Id="rId52" Type="http://schemas.openxmlformats.org/officeDocument/2006/relationships/hyperlink" Target="http://www.unesco.org/education/edurights/media/docs/5b04afa49ebb8fb33a735c25becfc915f4daa94f.pd" TargetMode="External"/><Relationship Id="rId60" Type="http://schemas.openxmlformats.org/officeDocument/2006/relationships/hyperlink" Target="http://uis.unesco.org/sites/default/files/documents/laying-the-foundation-to-measure-sdg4-sustainable-development-data-digest-2016-en.pdf" TargetMode="External"/><Relationship Id="rId65" Type="http://schemas.openxmlformats.org/officeDocument/2006/relationships/hyperlink" Target="https://unevoc.unesco.org/wtdb/worldtvetdatabase_pse_en.pdf" TargetMode="External"/><Relationship Id="rId73" Type="http://schemas.openxmlformats.org/officeDocument/2006/relationships/hyperlink" Target="http://lrrpublic.cli.det.nsw.edu.au/lrrSecure/Sites/Web/13289/ezine/year_2009/feb/article_tvet_reform_bangladesh.htm" TargetMode="External"/><Relationship Id="rId78" Type="http://schemas.openxmlformats.org/officeDocument/2006/relationships/hyperlink" Target="http://www.unicef.org/crc/" TargetMode="External"/><Relationship Id="rId81" Type="http://schemas.openxmlformats.org/officeDocument/2006/relationships/header" Target="header4.xml"/><Relationship Id="rId86"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data.uis.unesco.org/Index.aspx" TargetMode="External"/><Relationship Id="rId39" Type="http://schemas.openxmlformats.org/officeDocument/2006/relationships/image" Target="media/image10.png"/><Relationship Id="rId34" Type="http://schemas.openxmlformats.org/officeDocument/2006/relationships/hyperlink" Target="http://www.youtube.com/watch?v=wpEILBipzms&amp;feature=youtu.be" TargetMode="External"/><Relationship Id="rId50" Type="http://schemas.openxmlformats.org/officeDocument/2006/relationships/hyperlink" Target="http://www.globalpartnership.org/focus-areas/girls-education" TargetMode="External"/><Relationship Id="rId55" Type="http://schemas.openxmlformats.org/officeDocument/2006/relationships/hyperlink" Target="http://data.uis.unesco.org/Index.aspx" TargetMode="External"/><Relationship Id="rId76" Type="http://schemas.openxmlformats.org/officeDocument/2006/relationships/hyperlink" Target="http://unesdoc.unesco.org/images/0021/002160/216038e.pdf%20" TargetMode="External"/><Relationship Id="rId7" Type="http://schemas.openxmlformats.org/officeDocument/2006/relationships/endnotes" Target="endnotes.xml"/><Relationship Id="rId71" Type="http://schemas.openxmlformats.org/officeDocument/2006/relationships/hyperlink" Target="http://www.uis.unesco.org/Education/Pages/international-standard-classification-of-education.aspx" TargetMode="External"/><Relationship Id="rId2" Type="http://schemas.openxmlformats.org/officeDocument/2006/relationships/numbering" Target="numbering.xml"/><Relationship Id="rId29" Type="http://schemas.openxmlformats.org/officeDocument/2006/relationships/hyperlink" Target="http://uis.unesco.org/sites/default/files/documents/international-standard-classification-of-education-isced-2011-en.pdf" TargetMode="External"/><Relationship Id="rId24" Type="http://schemas.openxmlformats.org/officeDocument/2006/relationships/image" Target="media/image5.png"/><Relationship Id="rId40" Type="http://schemas.openxmlformats.org/officeDocument/2006/relationships/hyperlink" Target="http://planipolis.iiep.unesco.org/en/2004/achieving-better-future-national-plan-education-2005-2014-papua-new-guinea-4678" TargetMode="External"/><Relationship Id="rId45" Type="http://schemas.openxmlformats.org/officeDocument/2006/relationships/hyperlink" Target="http://report.educationcommission.org" TargetMode="External"/><Relationship Id="rId66" Type="http://schemas.openxmlformats.org/officeDocument/2006/relationships/hyperlink" Target="http://www.unevoc.unesco.org/go.php?q=What+is+TVET" TargetMode="External"/><Relationship Id="rId87" Type="http://schemas.openxmlformats.org/officeDocument/2006/relationships/customXml" Target="../customXml/item4.xml"/><Relationship Id="rId61" Type="http://schemas.openxmlformats.org/officeDocument/2006/relationships/hyperlink" Target="http://uis.unesco.org/en/glossary-term/net-enrolment-rate" TargetMode="External"/><Relationship Id="rId82" Type="http://schemas.openxmlformats.org/officeDocument/2006/relationships/footer" Target="footer4.xml"/></Relationships>
</file>

<file path=word/_rels/header4.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schappera\Desktop\bar%20grapgh%20for%20L&amp;D%20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AU"/>
              <a:t>Percentage PCR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8080">
                <a:alpha val="87451"/>
              </a:srgbClr>
            </a:solidFill>
            <a:ln>
              <a:noFill/>
            </a:ln>
            <a:effectLst>
              <a:outerShdw blurRad="57150" dist="19050" dir="5400000" algn="ctr" rotWithShape="0">
                <a:srgbClr val="000000">
                  <a:alpha val="63000"/>
                </a:srgbClr>
              </a:outerShdw>
            </a:effectLst>
          </c:spPr>
          <c:invertIfNegative val="0"/>
          <c:cat>
            <c:strRef>
              <c:f>Sheet1!$A$1:$A$6</c:f>
              <c:strCache>
                <c:ptCount val="6"/>
                <c:pt idx="0">
                  <c:v>Cambodia</c:v>
                </c:pt>
                <c:pt idx="1">
                  <c:v>Indonesia</c:v>
                </c:pt>
                <c:pt idx="2">
                  <c:v>Lao PDR</c:v>
                </c:pt>
                <c:pt idx="3">
                  <c:v>Pakistan</c:v>
                </c:pt>
                <c:pt idx="4">
                  <c:v>Samoa</c:v>
                </c:pt>
                <c:pt idx="5">
                  <c:v>Timor-Leste</c:v>
                </c:pt>
              </c:strCache>
            </c:strRef>
          </c:cat>
          <c:val>
            <c:numRef>
              <c:f>Sheet1!$B$1:$B$6</c:f>
              <c:numCache>
                <c:formatCode>General</c:formatCode>
                <c:ptCount val="6"/>
                <c:pt idx="0">
                  <c:v>92.4</c:v>
                </c:pt>
                <c:pt idx="1">
                  <c:v>98.8</c:v>
                </c:pt>
                <c:pt idx="2">
                  <c:v>100.4</c:v>
                </c:pt>
                <c:pt idx="3">
                  <c:v>71.3</c:v>
                </c:pt>
                <c:pt idx="4">
                  <c:v>104.6</c:v>
                </c:pt>
                <c:pt idx="5">
                  <c:v>95.3</c:v>
                </c:pt>
              </c:numCache>
            </c:numRef>
          </c:val>
          <c:extLst>
            <c:ext xmlns:c16="http://schemas.microsoft.com/office/drawing/2014/chart" uri="{C3380CC4-5D6E-409C-BE32-E72D297353CC}">
              <c16:uniqueId val="{00000000-9D7B-43BD-927B-17BC1A89EB63}"/>
            </c:ext>
          </c:extLst>
        </c:ser>
        <c:dLbls>
          <c:showLegendKey val="0"/>
          <c:showVal val="0"/>
          <c:showCatName val="0"/>
          <c:showSerName val="0"/>
          <c:showPercent val="0"/>
          <c:showBubbleSize val="0"/>
        </c:dLbls>
        <c:gapWidth val="100"/>
        <c:overlap val="-24"/>
        <c:axId val="413929024"/>
        <c:axId val="413928632"/>
      </c:barChart>
      <c:catAx>
        <c:axId val="413929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928632"/>
        <c:crosses val="autoZero"/>
        <c:auto val="1"/>
        <c:lblAlgn val="ctr"/>
        <c:lblOffset val="100"/>
        <c:noMultiLvlLbl val="0"/>
      </c:catAx>
      <c:valAx>
        <c:axId val="413928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92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9AC2C82-142D-400F-B0BF-2C1A596D6B9C}"/>
</file>

<file path=customXml/itemProps2.xml><?xml version="1.0" encoding="utf-8"?>
<ds:datastoreItem xmlns:ds="http://schemas.openxmlformats.org/officeDocument/2006/customXml" ds:itemID="{D24A7FED-BE67-470F-874E-F12953F28037}"/>
</file>

<file path=customXml/itemProps3.xml><?xml version="1.0" encoding="utf-8"?>
<ds:datastoreItem xmlns:ds="http://schemas.openxmlformats.org/officeDocument/2006/customXml" ds:itemID="{4856A560-3B6B-4E93-AA51-891278A13CA8}"/>
</file>

<file path=customXml/itemProps4.xml><?xml version="1.0" encoding="utf-8"?>
<ds:datastoreItem xmlns:ds="http://schemas.openxmlformats.org/officeDocument/2006/customXml" ds:itemID="{6896574B-93BC-4C6F-A391-4CFBFAFE5FF4}"/>
</file>

<file path=docProps/app.xml><?xml version="1.0" encoding="utf-8"?>
<Properties xmlns="http://schemas.openxmlformats.org/officeDocument/2006/extended-properties" xmlns:vt="http://schemas.openxmlformats.org/officeDocument/2006/docPropsVTypes">
  <Template>Normal.dotm</Template>
  <TotalTime>0</TotalTime>
  <Pages>28</Pages>
  <Words>7649</Words>
  <Characters>43603</Characters>
  <Application>Microsoft Office Word</Application>
  <DocSecurity>0</DocSecurity>
  <Lines>363</Lines>
  <Paragraphs>102</Paragraphs>
  <ScaleCrop>false</ScaleCrop>
  <Company/>
  <LinksUpToDate>false</LinksUpToDate>
  <CharactersWithSpaces>51150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Sector Interconnections Foundation Level</dc:title>
  <dc:subject/>
  <dc:creator/>
  <cp:keywords/>
  <dc:description/>
  <cp:lastModifiedBy/>
  <cp:revision>1</cp:revision>
  <dcterms:created xsi:type="dcterms:W3CDTF">2019-01-21T23:28:00Z</dcterms:created>
  <dcterms:modified xsi:type="dcterms:W3CDTF">2019-01-21T23:29:00Z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97c16171-ce96-45b1-923b-6df1a332143c</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4700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