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4.xml" ContentType="application/vnd.openxmlformats-officedocument.wordprocessingml.footer+xml"/>
  <Override PartName="/word/footer18.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9F86F" w14:textId="51511DAA" w:rsidR="001B7D1D" w:rsidRPr="007F678F" w:rsidRDefault="00240F1C" w:rsidP="00803E40">
      <w:pPr>
        <w:tabs>
          <w:tab w:val="left" w:pos="1260"/>
        </w:tabs>
        <w:spacing w:after="0"/>
        <w:rPr>
          <w:rFonts w:ascii="Arial Narrow" w:hAnsi="Arial Narrow" w:cs="Arial"/>
          <w:sz w:val="32"/>
          <w:szCs w:val="32"/>
        </w:rPr>
      </w:pPr>
      <w:r>
        <w:rPr>
          <w:noProof/>
          <w:lang w:val="en-AU"/>
        </w:rPr>
        <w:drawing>
          <wp:anchor distT="0" distB="0" distL="114300" distR="114300" simplePos="0" relativeHeight="251658240" behindDoc="1" locked="0" layoutInCell="1" allowOverlap="1" wp14:anchorId="44D84716" wp14:editId="0601F0B0">
            <wp:simplePos x="0" y="0"/>
            <wp:positionH relativeFrom="column">
              <wp:posOffset>4678680</wp:posOffset>
            </wp:positionH>
            <wp:positionV relativeFrom="paragraph">
              <wp:posOffset>-68580</wp:posOffset>
            </wp:positionV>
            <wp:extent cx="1466850" cy="809625"/>
            <wp:effectExtent l="0" t="0" r="0" b="9525"/>
            <wp:wrapThrough wrapText="bothSides">
              <wp:wrapPolygon edited="0">
                <wp:start x="0" y="0"/>
                <wp:lineTo x="0" y="21346"/>
                <wp:lineTo x="21319" y="21346"/>
                <wp:lineTo x="213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EBF" w:rsidRPr="007F678F">
        <w:rPr>
          <w:noProof/>
          <w:sz w:val="44"/>
          <w:szCs w:val="44"/>
          <w:lang w:val="en-AU"/>
        </w:rPr>
        <w:drawing>
          <wp:anchor distT="0" distB="0" distL="114300" distR="114300" simplePos="0" relativeHeight="251614208" behindDoc="1" locked="0" layoutInCell="1" allowOverlap="1" wp14:anchorId="4503E08A" wp14:editId="57D6C028">
            <wp:simplePos x="0" y="0"/>
            <wp:positionH relativeFrom="column">
              <wp:posOffset>-937260</wp:posOffset>
            </wp:positionH>
            <wp:positionV relativeFrom="page">
              <wp:posOffset>-69850</wp:posOffset>
            </wp:positionV>
            <wp:extent cx="7759700" cy="10971530"/>
            <wp:effectExtent l="0" t="0" r="0" b="1270"/>
            <wp:wrapNone/>
            <wp:docPr id="88" name="Picture 3" descr="Description: Cover_Template A4_no_pictures_graphic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over_Template A4_no_pictures_graphics on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9700" cy="10971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D1D" w:rsidRPr="007F678F">
        <w:rPr>
          <w:rFonts w:ascii="Arial Narrow" w:hAnsi="Arial Narrow" w:cs="Arial"/>
          <w:sz w:val="32"/>
          <w:szCs w:val="32"/>
        </w:rPr>
        <w:t xml:space="preserve">Australia’s Education Partnership with Indonesia – </w:t>
      </w:r>
    </w:p>
    <w:p w14:paraId="449C8122" w14:textId="77777777" w:rsidR="001B7D1D" w:rsidRPr="007F678F" w:rsidRDefault="001B7D1D" w:rsidP="001B7D1D">
      <w:pPr>
        <w:tabs>
          <w:tab w:val="left" w:pos="1260"/>
        </w:tabs>
        <w:rPr>
          <w:rFonts w:ascii="Arial Narrow" w:hAnsi="Arial Narrow" w:cs="Arial"/>
          <w:sz w:val="32"/>
          <w:szCs w:val="32"/>
        </w:rPr>
      </w:pPr>
      <w:r w:rsidRPr="007F678F">
        <w:rPr>
          <w:rFonts w:ascii="Arial Narrow" w:hAnsi="Arial Narrow" w:cs="Arial"/>
          <w:sz w:val="32"/>
          <w:szCs w:val="32"/>
        </w:rPr>
        <w:t>Performance Oversight and Monitoring (POM)</w:t>
      </w:r>
    </w:p>
    <w:p w14:paraId="4312C1C7" w14:textId="77777777" w:rsidR="004C5B58" w:rsidRPr="007F678F" w:rsidRDefault="004C5B58" w:rsidP="001B7D1D">
      <w:pPr>
        <w:tabs>
          <w:tab w:val="left" w:pos="1260"/>
        </w:tabs>
        <w:rPr>
          <w:rFonts w:ascii="Arial Narrow" w:hAnsi="Arial Narrow" w:cs="Arial"/>
          <w:sz w:val="32"/>
          <w:szCs w:val="32"/>
        </w:rPr>
      </w:pPr>
    </w:p>
    <w:p w14:paraId="41A0D39F" w14:textId="6586C25A" w:rsidR="004C5B58" w:rsidRPr="007F678F" w:rsidRDefault="00240F1C" w:rsidP="001B7D1D">
      <w:pPr>
        <w:tabs>
          <w:tab w:val="left" w:pos="1260"/>
        </w:tabs>
        <w:rPr>
          <w:rFonts w:ascii="Arial Narrow" w:hAnsi="Arial Narrow" w:cs="Arial"/>
          <w:b/>
          <w:sz w:val="48"/>
          <w:szCs w:val="48"/>
        </w:rPr>
      </w:pPr>
      <w:r w:rsidRPr="007F678F">
        <w:rPr>
          <w:noProof/>
          <w:lang w:val="en-AU"/>
        </w:rPr>
        <mc:AlternateContent>
          <mc:Choice Requires="wps">
            <w:drawing>
              <wp:anchor distT="0" distB="0" distL="114300" distR="114300" simplePos="0" relativeHeight="251616256" behindDoc="0" locked="0" layoutInCell="1" allowOverlap="1" wp14:anchorId="1BEC379B" wp14:editId="0F23F883">
                <wp:simplePos x="0" y="0"/>
                <wp:positionH relativeFrom="column">
                  <wp:posOffset>-64135</wp:posOffset>
                </wp:positionH>
                <wp:positionV relativeFrom="paragraph">
                  <wp:posOffset>737235</wp:posOffset>
                </wp:positionV>
                <wp:extent cx="5991225" cy="1231900"/>
                <wp:effectExtent l="0" t="0" r="0" b="63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231900"/>
                        </a:xfrm>
                        <a:prstGeom prst="rect">
                          <a:avLst/>
                        </a:prstGeom>
                        <a:noFill/>
                        <a:ln w="9525">
                          <a:noFill/>
                          <a:miter lim="800000"/>
                          <a:headEnd/>
                          <a:tailEnd/>
                        </a:ln>
                      </wps:spPr>
                      <wps:txbx>
                        <w:txbxContent>
                          <w:p w14:paraId="562677B8" w14:textId="77777777" w:rsidR="00236ECC" w:rsidRPr="004D7223" w:rsidRDefault="00236ECC" w:rsidP="00EF2598">
                            <w:pPr>
                              <w:jc w:val="right"/>
                              <w:rPr>
                                <w:rFonts w:ascii="Arial Narrow" w:eastAsia="Times New Roman" w:hAnsi="Arial Narrow"/>
                                <w:b/>
                                <w:smallCaps/>
                                <w:color w:val="004071"/>
                                <w:sz w:val="56"/>
                                <w:szCs w:val="80"/>
                              </w:rPr>
                            </w:pPr>
                            <w:r>
                              <w:rPr>
                                <w:rFonts w:ascii="Arial Narrow" w:eastAsia="Times New Roman" w:hAnsi="Arial Narrow"/>
                                <w:b/>
                                <w:smallCaps/>
                                <w:color w:val="004071"/>
                                <w:sz w:val="56"/>
                                <w:szCs w:val="80"/>
                              </w:rPr>
                              <w:t>Annual Partnership Performance Report (APPR) 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5pt;margin-top:58.05pt;width:471.75pt;height:9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" filled="f" stroked="f">
                <v:textbox>
                  <w:txbxContent>
                    <w:p w14:paraId="562677B8" w14:textId="77777777" w:rsidR="00236ECC" w:rsidRPr="004D7223" w:rsidRDefault="00236ECC" w:rsidP="00EF2598">
                      <w:pPr>
                        <w:jc w:val="right"/>
                        <w:rPr>
                          <w:rFonts w:ascii="Arial Narrow" w:eastAsia="Times New Roman" w:hAnsi="Arial Narrow"/>
                          <w:b/>
                          <w:smallCaps/>
                          <w:color w:val="004071"/>
                          <w:sz w:val="56"/>
                          <w:szCs w:val="80"/>
                        </w:rPr>
                      </w:pPr>
                      <w:r>
                        <w:rPr>
                          <w:rFonts w:ascii="Arial Narrow" w:eastAsia="Times New Roman" w:hAnsi="Arial Narrow"/>
                          <w:b/>
                          <w:smallCaps/>
                          <w:color w:val="004071"/>
                          <w:sz w:val="56"/>
                          <w:szCs w:val="80"/>
                        </w:rPr>
                        <w:t>Annual Partnership Performance Report (APPR) 2012</w:t>
                      </w:r>
                    </w:p>
                  </w:txbxContent>
                </v:textbox>
                <w10:wrap type="square"/>
              </v:shape>
            </w:pict>
          </mc:Fallback>
        </mc:AlternateContent>
      </w:r>
    </w:p>
    <w:p w14:paraId="51E35CEB" w14:textId="148C4D86" w:rsidR="001B7D1D" w:rsidRPr="007F678F" w:rsidRDefault="001B7D1D" w:rsidP="001B7D1D"/>
    <w:p w14:paraId="1A707B44" w14:textId="77777777" w:rsidR="001B7D1D" w:rsidRPr="00AF1D30" w:rsidRDefault="00087140" w:rsidP="001B7D1D">
      <w:pPr>
        <w:pStyle w:val="BlueHeadingindent"/>
        <w:tabs>
          <w:tab w:val="clear" w:pos="2340"/>
          <w:tab w:val="left" w:pos="960"/>
        </w:tabs>
        <w:spacing w:after="0"/>
        <w:jc w:val="right"/>
        <w:rPr>
          <w:rFonts w:ascii="Arial Narrow" w:hAnsi="Arial Narrow"/>
          <w:smallCaps w:val="0"/>
          <w:color w:val="auto"/>
          <w:sz w:val="36"/>
          <w:szCs w:val="36"/>
        </w:rPr>
      </w:pPr>
      <w:r w:rsidRPr="00AF1D30">
        <w:rPr>
          <w:rFonts w:ascii="Arial Narrow" w:hAnsi="Arial Narrow"/>
          <w:smallCaps w:val="0"/>
          <w:color w:val="auto"/>
          <w:sz w:val="36"/>
          <w:szCs w:val="36"/>
        </w:rPr>
        <w:t>December</w:t>
      </w:r>
      <w:r w:rsidR="001B7D1D" w:rsidRPr="00AF1D30">
        <w:rPr>
          <w:rFonts w:ascii="Arial Narrow" w:hAnsi="Arial Narrow"/>
          <w:smallCaps w:val="0"/>
          <w:color w:val="auto"/>
          <w:sz w:val="36"/>
          <w:szCs w:val="36"/>
        </w:rPr>
        <w:t xml:space="preserve"> 2012</w:t>
      </w:r>
    </w:p>
    <w:p w14:paraId="683595A6" w14:textId="77777777" w:rsidR="001B7D1D" w:rsidRPr="00AF1D30" w:rsidRDefault="001B7D1D" w:rsidP="001B7D1D"/>
    <w:p w14:paraId="6ABAF91D" w14:textId="77777777" w:rsidR="001B7D1D" w:rsidRPr="00AF1D30" w:rsidRDefault="001B7D1D" w:rsidP="001B7D1D"/>
    <w:p w14:paraId="21F3B863" w14:textId="77777777" w:rsidR="001B7D1D" w:rsidRPr="00AF1D30" w:rsidRDefault="001B7D1D" w:rsidP="001B7D1D"/>
    <w:p w14:paraId="1DF56231" w14:textId="77777777" w:rsidR="001B7D1D" w:rsidRPr="00AF1D30" w:rsidRDefault="001B7D1D" w:rsidP="001B7D1D"/>
    <w:p w14:paraId="69C4BC6D" w14:textId="77777777" w:rsidR="001B7D1D" w:rsidRPr="00AF1D30" w:rsidRDefault="001B7D1D" w:rsidP="001B7D1D"/>
    <w:p w14:paraId="3B7D9E81" w14:textId="77777777" w:rsidR="001B7D1D" w:rsidRPr="00AF1D30" w:rsidRDefault="001B7D1D" w:rsidP="001B7D1D"/>
    <w:p w14:paraId="5D368CD5" w14:textId="10223E97" w:rsidR="001B7D1D" w:rsidRPr="00AF1D30" w:rsidRDefault="001B7D1D" w:rsidP="001B7D1D">
      <w:bookmarkStart w:id="0" w:name="_GoBack"/>
      <w:bookmarkEnd w:id="0"/>
    </w:p>
    <w:p w14:paraId="10C5BCA5" w14:textId="77777777" w:rsidR="003949C4" w:rsidRPr="00AF1D30" w:rsidRDefault="003949C4" w:rsidP="00803E40">
      <w:pPr>
        <w:tabs>
          <w:tab w:val="left" w:pos="0"/>
        </w:tabs>
        <w:spacing w:after="0"/>
        <w:jc w:val="center"/>
        <w:rPr>
          <w:rFonts w:ascii="Arial Narrow" w:hAnsi="Arial Narrow"/>
          <w:smallCaps/>
          <w:sz w:val="36"/>
          <w:szCs w:val="36"/>
        </w:rPr>
        <w:sectPr w:rsidR="003949C4" w:rsidRPr="00AF1D30" w:rsidSect="00C52581">
          <w:headerReference w:type="default" r:id="rId11"/>
          <w:footerReference w:type="default" r:id="rId12"/>
          <w:type w:val="continuous"/>
          <w:pgSz w:w="11907" w:h="16840" w:code="9"/>
          <w:pgMar w:top="1440" w:right="1440" w:bottom="1440" w:left="1440" w:header="720" w:footer="720" w:gutter="0"/>
          <w:cols w:space="720"/>
          <w:docGrid w:linePitch="360"/>
        </w:sectPr>
      </w:pPr>
    </w:p>
    <w:p w14:paraId="0CE2C3B0" w14:textId="77777777" w:rsidR="001B7D1D" w:rsidRPr="00AF1D30" w:rsidRDefault="001B7D1D" w:rsidP="00803E40">
      <w:pPr>
        <w:tabs>
          <w:tab w:val="left" w:pos="0"/>
        </w:tabs>
        <w:spacing w:after="0"/>
        <w:jc w:val="center"/>
        <w:rPr>
          <w:rFonts w:ascii="Arial Narrow" w:hAnsi="Arial Narrow"/>
          <w:smallCaps/>
          <w:sz w:val="36"/>
          <w:szCs w:val="36"/>
        </w:rPr>
      </w:pPr>
      <w:r w:rsidRPr="00AF1D30">
        <w:rPr>
          <w:rFonts w:ascii="Arial Narrow" w:hAnsi="Arial Narrow"/>
          <w:smallCaps/>
          <w:sz w:val="36"/>
          <w:szCs w:val="36"/>
        </w:rPr>
        <w:lastRenderedPageBreak/>
        <w:t>Australia’s Education Partnership with Indonesia –</w:t>
      </w:r>
    </w:p>
    <w:p w14:paraId="7279DDD3" w14:textId="77777777" w:rsidR="001B7D1D" w:rsidRPr="00AF1D30" w:rsidRDefault="001B7D1D" w:rsidP="001B7D1D">
      <w:pPr>
        <w:tabs>
          <w:tab w:val="left" w:pos="960"/>
        </w:tabs>
        <w:jc w:val="center"/>
        <w:rPr>
          <w:rFonts w:ascii="Arial Narrow" w:hAnsi="Arial Narrow"/>
          <w:smallCaps/>
          <w:sz w:val="36"/>
          <w:szCs w:val="36"/>
        </w:rPr>
      </w:pPr>
      <w:r w:rsidRPr="00AF1D30">
        <w:rPr>
          <w:rFonts w:ascii="Arial Narrow" w:hAnsi="Arial Narrow"/>
          <w:smallCaps/>
          <w:sz w:val="36"/>
          <w:szCs w:val="36"/>
        </w:rPr>
        <w:t>Performance Oversight and Monitoring (POM)</w:t>
      </w:r>
    </w:p>
    <w:p w14:paraId="483FCBE8" w14:textId="77777777" w:rsidR="001B7D1D" w:rsidRPr="00AF1D30" w:rsidRDefault="001B7D1D" w:rsidP="001B7D1D">
      <w:pPr>
        <w:pStyle w:val="Style16ptBoldCenteredAfter0pt"/>
        <w:rPr>
          <w:rFonts w:ascii="Arial Narrow" w:hAnsi="Arial Narrow" w:cs="Times New Roman"/>
        </w:rPr>
      </w:pPr>
    </w:p>
    <w:p w14:paraId="527E5E9E" w14:textId="77777777" w:rsidR="001B7D1D" w:rsidRPr="00AF1D30" w:rsidRDefault="001B7D1D" w:rsidP="001B7D1D">
      <w:pPr>
        <w:tabs>
          <w:tab w:val="left" w:pos="960"/>
        </w:tabs>
        <w:jc w:val="center"/>
        <w:rPr>
          <w:rFonts w:ascii="Arial Narrow" w:hAnsi="Arial Narrow"/>
          <w:smallCaps/>
          <w:color w:val="004071"/>
          <w:sz w:val="60"/>
          <w:szCs w:val="60"/>
        </w:rPr>
      </w:pPr>
    </w:p>
    <w:p w14:paraId="5500BD59" w14:textId="77777777" w:rsidR="001B7D1D" w:rsidRPr="00AF1D30" w:rsidRDefault="001B7D1D" w:rsidP="001B7D1D">
      <w:pPr>
        <w:tabs>
          <w:tab w:val="left" w:pos="960"/>
        </w:tabs>
        <w:jc w:val="center"/>
        <w:rPr>
          <w:rFonts w:ascii="Arial Narrow" w:hAnsi="Arial Narrow"/>
          <w:smallCaps/>
          <w:color w:val="004071"/>
          <w:sz w:val="30"/>
          <w:szCs w:val="30"/>
        </w:rPr>
      </w:pPr>
    </w:p>
    <w:p w14:paraId="186CD308" w14:textId="77777777" w:rsidR="004D7223" w:rsidRPr="00AF1D30" w:rsidRDefault="00087140" w:rsidP="004D7223">
      <w:pPr>
        <w:pStyle w:val="Style16ptBoldCenteredAfter0pt"/>
        <w:rPr>
          <w:rFonts w:ascii="Arial Narrow" w:hAnsi="Arial Narrow" w:cs="Times New Roman"/>
          <w:smallCaps/>
          <w:sz w:val="76"/>
          <w:szCs w:val="76"/>
        </w:rPr>
      </w:pPr>
      <w:r w:rsidRPr="00AF1D30">
        <w:rPr>
          <w:rFonts w:ascii="Arial Narrow" w:eastAsia="Times New Roman" w:hAnsi="Arial Narrow" w:cs="Times New Roman"/>
          <w:bCs w:val="0"/>
          <w:smallCaps/>
          <w:color w:val="004071"/>
          <w:sz w:val="76"/>
          <w:szCs w:val="76"/>
          <w:lang w:eastAsia="en-AU"/>
        </w:rPr>
        <w:t xml:space="preserve">Annual Partnership Performance Report (APPR) </w:t>
      </w:r>
      <w:r w:rsidR="000204C5" w:rsidRPr="00AF1D30">
        <w:rPr>
          <w:rFonts w:ascii="Arial Narrow" w:eastAsia="Times New Roman" w:hAnsi="Arial Narrow" w:cs="Times New Roman"/>
          <w:bCs w:val="0"/>
          <w:smallCaps/>
          <w:color w:val="004071"/>
          <w:sz w:val="76"/>
          <w:szCs w:val="76"/>
          <w:lang w:eastAsia="en-AU"/>
        </w:rPr>
        <w:t>2012</w:t>
      </w:r>
    </w:p>
    <w:p w14:paraId="21E88943" w14:textId="77777777" w:rsidR="00D62235" w:rsidRPr="00AF1D30" w:rsidRDefault="00D62235" w:rsidP="001B7D1D">
      <w:pPr>
        <w:pStyle w:val="Style16ptBoldCenteredAfter0pt"/>
        <w:rPr>
          <w:rFonts w:ascii="Arial Narrow" w:hAnsi="Arial Narrow"/>
        </w:rPr>
      </w:pPr>
    </w:p>
    <w:p w14:paraId="70E6A162" w14:textId="77777777" w:rsidR="001B7D1D" w:rsidRPr="00AF1D30" w:rsidRDefault="00087140" w:rsidP="001B7D1D">
      <w:pPr>
        <w:pStyle w:val="Style16ptBoldCenteredAfter0pt"/>
        <w:rPr>
          <w:rFonts w:ascii="Arial Narrow" w:hAnsi="Arial Narrow" w:cs="Times New Roman"/>
        </w:rPr>
      </w:pPr>
      <w:r w:rsidRPr="00AF1D30">
        <w:rPr>
          <w:rFonts w:ascii="Arial Narrow" w:hAnsi="Arial Narrow"/>
        </w:rPr>
        <w:t>December</w:t>
      </w:r>
      <w:r w:rsidR="001B7D1D" w:rsidRPr="00AF1D30">
        <w:rPr>
          <w:rFonts w:ascii="Arial Narrow" w:hAnsi="Arial Narrow"/>
        </w:rPr>
        <w:t xml:space="preserve"> 2012</w:t>
      </w:r>
    </w:p>
    <w:p w14:paraId="5ACA28D5" w14:textId="77777777" w:rsidR="001B7D1D" w:rsidRPr="00AF1D30" w:rsidRDefault="001B7D1D" w:rsidP="001B7D1D">
      <w:pPr>
        <w:pStyle w:val="Style16ptBoldCenteredAfter0pt"/>
        <w:rPr>
          <w:rFonts w:ascii="Arial Narrow" w:hAnsi="Arial Narrow" w:cs="Times New Roman"/>
        </w:rPr>
      </w:pPr>
    </w:p>
    <w:p w14:paraId="188D5384" w14:textId="77777777" w:rsidR="001B7D1D" w:rsidRPr="00AF1D30" w:rsidRDefault="001B7D1D" w:rsidP="001B7D1D">
      <w:pPr>
        <w:pStyle w:val="Style16ptBoldCenteredAfter0pt"/>
        <w:rPr>
          <w:rFonts w:ascii="Arial Narrow" w:hAnsi="Arial Narrow" w:cs="Times New Roman"/>
        </w:rPr>
      </w:pPr>
    </w:p>
    <w:p w14:paraId="00C9A428" w14:textId="77777777" w:rsidR="001B7D1D" w:rsidRPr="00AF1D30" w:rsidRDefault="001B7D1D" w:rsidP="001B7D1D">
      <w:pPr>
        <w:pStyle w:val="Style16ptBoldCenteredAfter0pt"/>
        <w:rPr>
          <w:rFonts w:ascii="Arial Narrow" w:hAnsi="Arial Narrow" w:cs="Times New Roman"/>
        </w:rPr>
      </w:pPr>
    </w:p>
    <w:p w14:paraId="52AB44A8" w14:textId="77777777" w:rsidR="00EF2598" w:rsidRPr="00AF1D30" w:rsidRDefault="00EF2598" w:rsidP="001B7D1D">
      <w:pPr>
        <w:pStyle w:val="Style16ptBoldCenteredAfter0pt"/>
        <w:rPr>
          <w:rFonts w:ascii="Arial Narrow" w:hAnsi="Arial Narrow" w:cs="Times New Roman"/>
        </w:rPr>
      </w:pPr>
    </w:p>
    <w:p w14:paraId="0F75CEBB" w14:textId="77777777" w:rsidR="001B7D1D" w:rsidRPr="00AF1D30" w:rsidRDefault="001B7D1D" w:rsidP="001B7D1D">
      <w:pPr>
        <w:pStyle w:val="Style16ptBoldCenteredAfter0pt"/>
        <w:rPr>
          <w:rFonts w:ascii="Arial Narrow" w:hAnsi="Arial Narrow" w:cs="Times New Roman"/>
        </w:rPr>
      </w:pPr>
    </w:p>
    <w:p w14:paraId="5F47C8EA" w14:textId="77777777" w:rsidR="00F81074" w:rsidRPr="00AF1D30" w:rsidRDefault="00F81074" w:rsidP="001B7D1D">
      <w:pPr>
        <w:pStyle w:val="Style16ptBoldCenteredAfter0pt"/>
        <w:rPr>
          <w:rFonts w:ascii="Arial Narrow" w:hAnsi="Arial Narrow"/>
          <w:b w:val="0"/>
          <w:sz w:val="24"/>
          <w:szCs w:val="24"/>
        </w:rPr>
      </w:pPr>
    </w:p>
    <w:p w14:paraId="5FF3A581" w14:textId="77777777" w:rsidR="00F81074" w:rsidRPr="00AF1D30" w:rsidRDefault="00F81074" w:rsidP="001B7D1D">
      <w:pPr>
        <w:pStyle w:val="Style16ptBoldCenteredAfter0pt"/>
        <w:rPr>
          <w:rFonts w:ascii="Arial Narrow" w:hAnsi="Arial Narrow"/>
          <w:b w:val="0"/>
          <w:sz w:val="24"/>
          <w:szCs w:val="24"/>
        </w:rPr>
      </w:pPr>
    </w:p>
    <w:p w14:paraId="2121204E" w14:textId="77777777" w:rsidR="00F81074" w:rsidRPr="00AF1D30" w:rsidRDefault="00F81074" w:rsidP="001B7D1D">
      <w:pPr>
        <w:pStyle w:val="Style16ptBoldCenteredAfter0pt"/>
        <w:rPr>
          <w:rFonts w:ascii="Arial Narrow" w:hAnsi="Arial Narrow"/>
          <w:b w:val="0"/>
          <w:sz w:val="24"/>
          <w:szCs w:val="24"/>
        </w:rPr>
      </w:pPr>
    </w:p>
    <w:p w14:paraId="0EE10D08" w14:textId="77777777" w:rsidR="00F81074" w:rsidRPr="00AF1D30" w:rsidRDefault="00F81074" w:rsidP="001B7D1D">
      <w:pPr>
        <w:pStyle w:val="Style16ptBoldCenteredAfter0pt"/>
        <w:rPr>
          <w:rFonts w:ascii="Arial Narrow" w:hAnsi="Arial Narrow"/>
          <w:b w:val="0"/>
          <w:sz w:val="24"/>
          <w:szCs w:val="24"/>
        </w:rPr>
      </w:pPr>
    </w:p>
    <w:p w14:paraId="358897E1" w14:textId="77777777" w:rsidR="001B7D1D" w:rsidRPr="00514102" w:rsidRDefault="001B7D1D" w:rsidP="001B7D1D">
      <w:pPr>
        <w:pStyle w:val="Style16ptBoldCenteredAfter0pt"/>
        <w:rPr>
          <w:rFonts w:ascii="Arial Narrow" w:hAnsi="Arial Narrow"/>
          <w:b w:val="0"/>
          <w:sz w:val="22"/>
          <w:szCs w:val="22"/>
        </w:rPr>
      </w:pPr>
      <w:r w:rsidRPr="00514102">
        <w:rPr>
          <w:rFonts w:ascii="Arial Narrow" w:hAnsi="Arial Narrow"/>
          <w:b w:val="0"/>
          <w:sz w:val="22"/>
          <w:szCs w:val="22"/>
        </w:rPr>
        <w:t>Managed on behalf of AusAID by GRM International Pty Ltd</w:t>
      </w:r>
    </w:p>
    <w:p w14:paraId="695968F5" w14:textId="77777777" w:rsidR="003949C4" w:rsidRPr="00514102" w:rsidRDefault="003949C4" w:rsidP="001B7D1D">
      <w:pPr>
        <w:pStyle w:val="Style16ptBoldCenteredAfter0pt"/>
        <w:rPr>
          <w:rFonts w:ascii="Arial Narrow" w:hAnsi="Arial Narrow" w:cs="Times New Roman"/>
          <w:b w:val="0"/>
          <w:sz w:val="22"/>
          <w:szCs w:val="22"/>
        </w:rPr>
        <w:sectPr w:rsidR="003949C4" w:rsidRPr="00514102" w:rsidSect="00C52581">
          <w:footerReference w:type="default" r:id="rId13"/>
          <w:type w:val="oddPage"/>
          <w:pgSz w:w="11907" w:h="16840" w:code="9"/>
          <w:pgMar w:top="1440" w:right="1440" w:bottom="1440" w:left="1440" w:header="720" w:footer="720" w:gutter="0"/>
          <w:cols w:space="720"/>
          <w:docGrid w:linePitch="360"/>
        </w:sectPr>
      </w:pPr>
    </w:p>
    <w:p w14:paraId="261C7791" w14:textId="77777777" w:rsidR="00155169" w:rsidRPr="00AF1D30" w:rsidRDefault="00155169" w:rsidP="003949C4">
      <w:pPr>
        <w:pStyle w:val="HeadingGRM"/>
        <w:spacing w:before="360" w:after="40"/>
        <w:rPr>
          <w:smallCaps/>
          <w:color w:val="1F497D"/>
        </w:rPr>
      </w:pPr>
      <w:bookmarkStart w:id="1" w:name="_Toc328748816"/>
      <w:bookmarkStart w:id="2" w:name="_Toc328749506"/>
      <w:bookmarkStart w:id="3" w:name="_Toc331066847"/>
      <w:bookmarkStart w:id="4" w:name="_Toc345081123"/>
      <w:r w:rsidRPr="00AF1D30">
        <w:rPr>
          <w:smallCaps/>
          <w:color w:val="1F497D"/>
        </w:rPr>
        <w:lastRenderedPageBreak/>
        <w:t>Table of Contents</w:t>
      </w:r>
      <w:bookmarkEnd w:id="1"/>
      <w:bookmarkEnd w:id="2"/>
      <w:bookmarkEnd w:id="3"/>
      <w:bookmarkEnd w:id="4"/>
      <w:r w:rsidRPr="00AF1D30">
        <w:rPr>
          <w:smallCaps/>
          <w:color w:val="1F497D"/>
        </w:rPr>
        <w:t xml:space="preserve"> </w:t>
      </w:r>
    </w:p>
    <w:p w14:paraId="740D69E5" w14:textId="77777777" w:rsidR="00E5633D" w:rsidRDefault="001E2541">
      <w:pPr>
        <w:pStyle w:val="TOC1"/>
        <w:rPr>
          <w:rFonts w:asciiTheme="minorHAnsi" w:eastAsiaTheme="minorEastAsia" w:hAnsiTheme="minorHAnsi" w:cstheme="minorBidi"/>
          <w:b w:val="0"/>
          <w:noProof/>
          <w:sz w:val="22"/>
          <w:szCs w:val="22"/>
          <w:lang w:val="en-AU" w:eastAsia="en-AU"/>
        </w:rPr>
      </w:pPr>
      <w:r w:rsidRPr="00AF1D30">
        <w:fldChar w:fldCharType="begin"/>
      </w:r>
      <w:r w:rsidRPr="00AF1D30">
        <w:instrText xml:space="preserve"> TOC \o "1-2" \h \z \u </w:instrText>
      </w:r>
      <w:r w:rsidRPr="00AF1D30">
        <w:fldChar w:fldCharType="separate"/>
      </w:r>
      <w:hyperlink w:anchor="_Toc345081123" w:history="1">
        <w:r w:rsidR="00E5633D" w:rsidRPr="000071E3">
          <w:rPr>
            <w:rStyle w:val="Hyperlink"/>
            <w:smallCaps/>
            <w:noProof/>
          </w:rPr>
          <w:t>Table of Contents</w:t>
        </w:r>
        <w:r w:rsidR="00E5633D">
          <w:rPr>
            <w:noProof/>
            <w:webHidden/>
          </w:rPr>
          <w:tab/>
        </w:r>
        <w:r w:rsidR="00E5633D">
          <w:rPr>
            <w:noProof/>
            <w:webHidden/>
          </w:rPr>
          <w:fldChar w:fldCharType="begin"/>
        </w:r>
        <w:r w:rsidR="00E5633D">
          <w:rPr>
            <w:noProof/>
            <w:webHidden/>
          </w:rPr>
          <w:instrText xml:space="preserve"> PAGEREF _Toc345081123 \h </w:instrText>
        </w:r>
        <w:r w:rsidR="00E5633D">
          <w:rPr>
            <w:noProof/>
            <w:webHidden/>
          </w:rPr>
        </w:r>
        <w:r w:rsidR="00E5633D">
          <w:rPr>
            <w:noProof/>
            <w:webHidden/>
          </w:rPr>
          <w:fldChar w:fldCharType="separate"/>
        </w:r>
        <w:r w:rsidR="00E5633D">
          <w:rPr>
            <w:noProof/>
            <w:webHidden/>
          </w:rPr>
          <w:t>i</w:t>
        </w:r>
        <w:r w:rsidR="00E5633D">
          <w:rPr>
            <w:noProof/>
            <w:webHidden/>
          </w:rPr>
          <w:fldChar w:fldCharType="end"/>
        </w:r>
      </w:hyperlink>
    </w:p>
    <w:p w14:paraId="41A4622A" w14:textId="77777777" w:rsidR="00E5633D" w:rsidRDefault="002B1A12">
      <w:pPr>
        <w:pStyle w:val="TOC1"/>
        <w:rPr>
          <w:rFonts w:asciiTheme="minorHAnsi" w:eastAsiaTheme="minorEastAsia" w:hAnsiTheme="minorHAnsi" w:cstheme="minorBidi"/>
          <w:b w:val="0"/>
          <w:noProof/>
          <w:sz w:val="22"/>
          <w:szCs w:val="22"/>
          <w:lang w:val="en-AU" w:eastAsia="en-AU"/>
        </w:rPr>
      </w:pPr>
      <w:hyperlink w:anchor="_Toc345081124" w:history="1">
        <w:r w:rsidR="00E5633D" w:rsidRPr="000071E3">
          <w:rPr>
            <w:rStyle w:val="Hyperlink"/>
            <w:smallCaps/>
            <w:noProof/>
          </w:rPr>
          <w:t>Annexes</w:t>
        </w:r>
        <w:r w:rsidR="00E5633D">
          <w:rPr>
            <w:noProof/>
            <w:webHidden/>
          </w:rPr>
          <w:tab/>
        </w:r>
        <w:r w:rsidR="00E5633D">
          <w:rPr>
            <w:noProof/>
            <w:webHidden/>
          </w:rPr>
          <w:fldChar w:fldCharType="begin"/>
        </w:r>
        <w:r w:rsidR="00E5633D">
          <w:rPr>
            <w:noProof/>
            <w:webHidden/>
          </w:rPr>
          <w:instrText xml:space="preserve"> PAGEREF _Toc345081124 \h </w:instrText>
        </w:r>
        <w:r w:rsidR="00E5633D">
          <w:rPr>
            <w:noProof/>
            <w:webHidden/>
          </w:rPr>
        </w:r>
        <w:r w:rsidR="00E5633D">
          <w:rPr>
            <w:noProof/>
            <w:webHidden/>
          </w:rPr>
          <w:fldChar w:fldCharType="separate"/>
        </w:r>
        <w:r w:rsidR="00E5633D">
          <w:rPr>
            <w:noProof/>
            <w:webHidden/>
          </w:rPr>
          <w:t>ii</w:t>
        </w:r>
        <w:r w:rsidR="00E5633D">
          <w:rPr>
            <w:noProof/>
            <w:webHidden/>
          </w:rPr>
          <w:fldChar w:fldCharType="end"/>
        </w:r>
      </w:hyperlink>
    </w:p>
    <w:p w14:paraId="31FC0324" w14:textId="77777777" w:rsidR="00E5633D" w:rsidRDefault="002B1A12">
      <w:pPr>
        <w:pStyle w:val="TOC1"/>
        <w:rPr>
          <w:rFonts w:asciiTheme="minorHAnsi" w:eastAsiaTheme="minorEastAsia" w:hAnsiTheme="minorHAnsi" w:cstheme="minorBidi"/>
          <w:b w:val="0"/>
          <w:noProof/>
          <w:sz w:val="22"/>
          <w:szCs w:val="22"/>
          <w:lang w:val="en-AU" w:eastAsia="en-AU"/>
        </w:rPr>
      </w:pPr>
      <w:hyperlink w:anchor="_Toc345081129" w:history="1">
        <w:r w:rsidR="00E5633D" w:rsidRPr="000071E3">
          <w:rPr>
            <w:rStyle w:val="Hyperlink"/>
            <w:smallCaps/>
            <w:noProof/>
          </w:rPr>
          <w:t>Acronyms</w:t>
        </w:r>
        <w:r w:rsidR="00E5633D">
          <w:rPr>
            <w:noProof/>
            <w:webHidden/>
          </w:rPr>
          <w:tab/>
        </w:r>
        <w:r w:rsidR="00E5633D">
          <w:rPr>
            <w:noProof/>
            <w:webHidden/>
          </w:rPr>
          <w:fldChar w:fldCharType="begin"/>
        </w:r>
        <w:r w:rsidR="00E5633D">
          <w:rPr>
            <w:noProof/>
            <w:webHidden/>
          </w:rPr>
          <w:instrText xml:space="preserve"> PAGEREF _Toc345081129 \h </w:instrText>
        </w:r>
        <w:r w:rsidR="00E5633D">
          <w:rPr>
            <w:noProof/>
            <w:webHidden/>
          </w:rPr>
        </w:r>
        <w:r w:rsidR="00E5633D">
          <w:rPr>
            <w:noProof/>
            <w:webHidden/>
          </w:rPr>
          <w:fldChar w:fldCharType="separate"/>
        </w:r>
        <w:r w:rsidR="00E5633D">
          <w:rPr>
            <w:noProof/>
            <w:webHidden/>
          </w:rPr>
          <w:t>iii</w:t>
        </w:r>
        <w:r w:rsidR="00E5633D">
          <w:rPr>
            <w:noProof/>
            <w:webHidden/>
          </w:rPr>
          <w:fldChar w:fldCharType="end"/>
        </w:r>
      </w:hyperlink>
    </w:p>
    <w:p w14:paraId="2C114150" w14:textId="77777777" w:rsidR="00E5633D" w:rsidRDefault="002B1A12">
      <w:pPr>
        <w:pStyle w:val="TOC1"/>
        <w:rPr>
          <w:rFonts w:asciiTheme="minorHAnsi" w:eastAsiaTheme="minorEastAsia" w:hAnsiTheme="minorHAnsi" w:cstheme="minorBidi"/>
          <w:b w:val="0"/>
          <w:noProof/>
          <w:sz w:val="22"/>
          <w:szCs w:val="22"/>
          <w:lang w:val="en-AU" w:eastAsia="en-AU"/>
        </w:rPr>
      </w:pPr>
      <w:hyperlink w:anchor="_Toc345081130" w:history="1">
        <w:r w:rsidR="00E5633D" w:rsidRPr="000071E3">
          <w:rPr>
            <w:rStyle w:val="Hyperlink"/>
            <w:smallCaps/>
            <w:noProof/>
          </w:rPr>
          <w:t>Executive Summary</w:t>
        </w:r>
        <w:r w:rsidR="00E5633D">
          <w:rPr>
            <w:noProof/>
            <w:webHidden/>
          </w:rPr>
          <w:tab/>
        </w:r>
        <w:r w:rsidR="00E5633D">
          <w:rPr>
            <w:noProof/>
            <w:webHidden/>
          </w:rPr>
          <w:fldChar w:fldCharType="begin"/>
        </w:r>
        <w:r w:rsidR="00E5633D">
          <w:rPr>
            <w:noProof/>
            <w:webHidden/>
          </w:rPr>
          <w:instrText xml:space="preserve"> PAGEREF _Toc345081130 \h </w:instrText>
        </w:r>
        <w:r w:rsidR="00E5633D">
          <w:rPr>
            <w:noProof/>
            <w:webHidden/>
          </w:rPr>
        </w:r>
        <w:r w:rsidR="00E5633D">
          <w:rPr>
            <w:noProof/>
            <w:webHidden/>
          </w:rPr>
          <w:fldChar w:fldCharType="separate"/>
        </w:r>
        <w:r w:rsidR="00E5633D">
          <w:rPr>
            <w:noProof/>
            <w:webHidden/>
          </w:rPr>
          <w:t>v</w:t>
        </w:r>
        <w:r w:rsidR="00E5633D">
          <w:rPr>
            <w:noProof/>
            <w:webHidden/>
          </w:rPr>
          <w:fldChar w:fldCharType="end"/>
        </w:r>
      </w:hyperlink>
    </w:p>
    <w:p w14:paraId="2D036D9C" w14:textId="77777777" w:rsidR="00E5633D" w:rsidRDefault="002B1A12">
      <w:pPr>
        <w:pStyle w:val="TOC1"/>
        <w:rPr>
          <w:rFonts w:asciiTheme="minorHAnsi" w:eastAsiaTheme="minorEastAsia" w:hAnsiTheme="minorHAnsi" w:cstheme="minorBidi"/>
          <w:b w:val="0"/>
          <w:noProof/>
          <w:sz w:val="22"/>
          <w:szCs w:val="22"/>
          <w:lang w:val="en-AU" w:eastAsia="en-AU"/>
        </w:rPr>
      </w:pPr>
      <w:hyperlink w:anchor="_Toc345081131" w:history="1">
        <w:r w:rsidR="00E5633D" w:rsidRPr="000071E3">
          <w:rPr>
            <w:rStyle w:val="Hyperlink"/>
            <w:smallCaps/>
            <w:noProof/>
          </w:rPr>
          <w:t>Introduction</w:t>
        </w:r>
        <w:r w:rsidR="00E5633D">
          <w:rPr>
            <w:noProof/>
            <w:webHidden/>
          </w:rPr>
          <w:tab/>
        </w:r>
        <w:r w:rsidR="00E5633D">
          <w:rPr>
            <w:noProof/>
            <w:webHidden/>
          </w:rPr>
          <w:fldChar w:fldCharType="begin"/>
        </w:r>
        <w:r w:rsidR="00E5633D">
          <w:rPr>
            <w:noProof/>
            <w:webHidden/>
          </w:rPr>
          <w:instrText xml:space="preserve"> PAGEREF _Toc345081131 \h </w:instrText>
        </w:r>
        <w:r w:rsidR="00E5633D">
          <w:rPr>
            <w:noProof/>
            <w:webHidden/>
          </w:rPr>
        </w:r>
        <w:r w:rsidR="00E5633D">
          <w:rPr>
            <w:noProof/>
            <w:webHidden/>
          </w:rPr>
          <w:fldChar w:fldCharType="separate"/>
        </w:r>
        <w:r w:rsidR="00E5633D">
          <w:rPr>
            <w:noProof/>
            <w:webHidden/>
          </w:rPr>
          <w:t>1</w:t>
        </w:r>
        <w:r w:rsidR="00E5633D">
          <w:rPr>
            <w:noProof/>
            <w:webHidden/>
          </w:rPr>
          <w:fldChar w:fldCharType="end"/>
        </w:r>
      </w:hyperlink>
    </w:p>
    <w:p w14:paraId="7790C173" w14:textId="77777777" w:rsidR="00E5633D" w:rsidRDefault="002B1A12">
      <w:pPr>
        <w:pStyle w:val="TOC1"/>
        <w:rPr>
          <w:rFonts w:asciiTheme="minorHAnsi" w:eastAsiaTheme="minorEastAsia" w:hAnsiTheme="minorHAnsi" w:cstheme="minorBidi"/>
          <w:b w:val="0"/>
          <w:noProof/>
          <w:sz w:val="22"/>
          <w:szCs w:val="22"/>
          <w:lang w:val="en-AU" w:eastAsia="en-AU"/>
        </w:rPr>
      </w:pPr>
      <w:hyperlink w:anchor="_Toc345081132" w:history="1">
        <w:r w:rsidR="00E5633D" w:rsidRPr="000071E3">
          <w:rPr>
            <w:rStyle w:val="Hyperlink"/>
            <w:noProof/>
          </w:rPr>
          <w:t>1</w:t>
        </w:r>
        <w:r w:rsidR="00E5633D">
          <w:rPr>
            <w:rFonts w:asciiTheme="minorHAnsi" w:eastAsiaTheme="minorEastAsia" w:hAnsiTheme="minorHAnsi" w:cstheme="minorBidi"/>
            <w:b w:val="0"/>
            <w:noProof/>
            <w:sz w:val="22"/>
            <w:szCs w:val="22"/>
            <w:lang w:val="en-AU" w:eastAsia="en-AU"/>
          </w:rPr>
          <w:tab/>
        </w:r>
        <w:r w:rsidR="00E5633D" w:rsidRPr="000071E3">
          <w:rPr>
            <w:rStyle w:val="Hyperlink"/>
            <w:noProof/>
          </w:rPr>
          <w:t>What is the context?</w:t>
        </w:r>
        <w:r w:rsidR="00E5633D">
          <w:rPr>
            <w:noProof/>
            <w:webHidden/>
          </w:rPr>
          <w:tab/>
        </w:r>
        <w:r w:rsidR="00E5633D">
          <w:rPr>
            <w:noProof/>
            <w:webHidden/>
          </w:rPr>
          <w:fldChar w:fldCharType="begin"/>
        </w:r>
        <w:r w:rsidR="00E5633D">
          <w:rPr>
            <w:noProof/>
            <w:webHidden/>
          </w:rPr>
          <w:instrText xml:space="preserve"> PAGEREF _Toc345081132 \h </w:instrText>
        </w:r>
        <w:r w:rsidR="00E5633D">
          <w:rPr>
            <w:noProof/>
            <w:webHidden/>
          </w:rPr>
        </w:r>
        <w:r w:rsidR="00E5633D">
          <w:rPr>
            <w:noProof/>
            <w:webHidden/>
          </w:rPr>
          <w:fldChar w:fldCharType="separate"/>
        </w:r>
        <w:r w:rsidR="00E5633D">
          <w:rPr>
            <w:noProof/>
            <w:webHidden/>
          </w:rPr>
          <w:t>3</w:t>
        </w:r>
        <w:r w:rsidR="00E5633D">
          <w:rPr>
            <w:noProof/>
            <w:webHidden/>
          </w:rPr>
          <w:fldChar w:fldCharType="end"/>
        </w:r>
      </w:hyperlink>
    </w:p>
    <w:p w14:paraId="075A596F" w14:textId="77777777" w:rsidR="00E5633D" w:rsidRDefault="002B1A12">
      <w:pPr>
        <w:pStyle w:val="TOC2"/>
        <w:rPr>
          <w:rFonts w:asciiTheme="minorHAnsi" w:eastAsiaTheme="minorEastAsia" w:hAnsiTheme="minorHAnsi" w:cstheme="minorBidi"/>
          <w:noProof/>
          <w:szCs w:val="22"/>
          <w:lang w:val="en-AU" w:eastAsia="en-AU"/>
        </w:rPr>
      </w:pPr>
      <w:hyperlink w:anchor="_Toc345081133" w:history="1">
        <w:r w:rsidR="00E5633D" w:rsidRPr="000071E3">
          <w:rPr>
            <w:rStyle w:val="Hyperlink"/>
            <w:noProof/>
          </w:rPr>
          <w:t>1.1</w:t>
        </w:r>
        <w:r w:rsidR="00E5633D">
          <w:rPr>
            <w:rFonts w:asciiTheme="minorHAnsi" w:eastAsiaTheme="minorEastAsia" w:hAnsiTheme="minorHAnsi" w:cstheme="minorBidi"/>
            <w:noProof/>
            <w:szCs w:val="22"/>
            <w:lang w:val="en-AU" w:eastAsia="en-AU"/>
          </w:rPr>
          <w:tab/>
        </w:r>
        <w:r w:rsidR="00E5633D" w:rsidRPr="000071E3">
          <w:rPr>
            <w:rStyle w:val="Hyperlink"/>
            <w:noProof/>
          </w:rPr>
          <w:t>National level</w:t>
        </w:r>
        <w:r w:rsidR="00E5633D">
          <w:rPr>
            <w:noProof/>
            <w:webHidden/>
          </w:rPr>
          <w:tab/>
        </w:r>
        <w:r w:rsidR="00E5633D">
          <w:rPr>
            <w:noProof/>
            <w:webHidden/>
          </w:rPr>
          <w:fldChar w:fldCharType="begin"/>
        </w:r>
        <w:r w:rsidR="00E5633D">
          <w:rPr>
            <w:noProof/>
            <w:webHidden/>
          </w:rPr>
          <w:instrText xml:space="preserve"> PAGEREF _Toc345081133 \h </w:instrText>
        </w:r>
        <w:r w:rsidR="00E5633D">
          <w:rPr>
            <w:noProof/>
            <w:webHidden/>
          </w:rPr>
        </w:r>
        <w:r w:rsidR="00E5633D">
          <w:rPr>
            <w:noProof/>
            <w:webHidden/>
          </w:rPr>
          <w:fldChar w:fldCharType="separate"/>
        </w:r>
        <w:r w:rsidR="00E5633D">
          <w:rPr>
            <w:noProof/>
            <w:webHidden/>
          </w:rPr>
          <w:t>3</w:t>
        </w:r>
        <w:r w:rsidR="00E5633D">
          <w:rPr>
            <w:noProof/>
            <w:webHidden/>
          </w:rPr>
          <w:fldChar w:fldCharType="end"/>
        </w:r>
      </w:hyperlink>
    </w:p>
    <w:p w14:paraId="3025A628" w14:textId="77777777" w:rsidR="00E5633D" w:rsidRDefault="002B1A12">
      <w:pPr>
        <w:pStyle w:val="TOC2"/>
        <w:rPr>
          <w:rFonts w:asciiTheme="minorHAnsi" w:eastAsiaTheme="minorEastAsia" w:hAnsiTheme="minorHAnsi" w:cstheme="minorBidi"/>
          <w:noProof/>
          <w:szCs w:val="22"/>
          <w:lang w:val="en-AU" w:eastAsia="en-AU"/>
        </w:rPr>
      </w:pPr>
      <w:hyperlink w:anchor="_Toc345081134" w:history="1">
        <w:r w:rsidR="00E5633D" w:rsidRPr="000071E3">
          <w:rPr>
            <w:rStyle w:val="Hyperlink"/>
            <w:noProof/>
          </w:rPr>
          <w:t>1.2</w:t>
        </w:r>
        <w:r w:rsidR="00E5633D">
          <w:rPr>
            <w:rFonts w:asciiTheme="minorHAnsi" w:eastAsiaTheme="minorEastAsia" w:hAnsiTheme="minorHAnsi" w:cstheme="minorBidi"/>
            <w:noProof/>
            <w:szCs w:val="22"/>
            <w:lang w:val="en-AU" w:eastAsia="en-AU"/>
          </w:rPr>
          <w:tab/>
        </w:r>
        <w:r w:rsidR="00E5633D" w:rsidRPr="000071E3">
          <w:rPr>
            <w:rStyle w:val="Hyperlink"/>
            <w:noProof/>
          </w:rPr>
          <w:t>Sub-national level</w:t>
        </w:r>
        <w:r w:rsidR="00E5633D">
          <w:rPr>
            <w:noProof/>
            <w:webHidden/>
          </w:rPr>
          <w:tab/>
        </w:r>
        <w:r w:rsidR="00E5633D">
          <w:rPr>
            <w:noProof/>
            <w:webHidden/>
          </w:rPr>
          <w:fldChar w:fldCharType="begin"/>
        </w:r>
        <w:r w:rsidR="00E5633D">
          <w:rPr>
            <w:noProof/>
            <w:webHidden/>
          </w:rPr>
          <w:instrText xml:space="preserve"> PAGEREF _Toc345081134 \h </w:instrText>
        </w:r>
        <w:r w:rsidR="00E5633D">
          <w:rPr>
            <w:noProof/>
            <w:webHidden/>
          </w:rPr>
        </w:r>
        <w:r w:rsidR="00E5633D">
          <w:rPr>
            <w:noProof/>
            <w:webHidden/>
          </w:rPr>
          <w:fldChar w:fldCharType="separate"/>
        </w:r>
        <w:r w:rsidR="00E5633D">
          <w:rPr>
            <w:noProof/>
            <w:webHidden/>
          </w:rPr>
          <w:t>4</w:t>
        </w:r>
        <w:r w:rsidR="00E5633D">
          <w:rPr>
            <w:noProof/>
            <w:webHidden/>
          </w:rPr>
          <w:fldChar w:fldCharType="end"/>
        </w:r>
      </w:hyperlink>
    </w:p>
    <w:p w14:paraId="2F64142A" w14:textId="77777777" w:rsidR="00E5633D" w:rsidRDefault="002B1A12">
      <w:pPr>
        <w:pStyle w:val="TOC2"/>
        <w:rPr>
          <w:rFonts w:asciiTheme="minorHAnsi" w:eastAsiaTheme="minorEastAsia" w:hAnsiTheme="minorHAnsi" w:cstheme="minorBidi"/>
          <w:noProof/>
          <w:szCs w:val="22"/>
          <w:lang w:val="en-AU" w:eastAsia="en-AU"/>
        </w:rPr>
      </w:pPr>
      <w:hyperlink w:anchor="_Toc345081135" w:history="1">
        <w:r w:rsidR="00E5633D" w:rsidRPr="000071E3">
          <w:rPr>
            <w:rStyle w:val="Hyperlink"/>
            <w:noProof/>
          </w:rPr>
          <w:t>1.3</w:t>
        </w:r>
        <w:r w:rsidR="00E5633D">
          <w:rPr>
            <w:rFonts w:asciiTheme="minorHAnsi" w:eastAsiaTheme="minorEastAsia" w:hAnsiTheme="minorHAnsi" w:cstheme="minorBidi"/>
            <w:noProof/>
            <w:szCs w:val="22"/>
            <w:lang w:val="en-AU" w:eastAsia="en-AU"/>
          </w:rPr>
          <w:tab/>
        </w:r>
        <w:r w:rsidR="00E5633D" w:rsidRPr="000071E3">
          <w:rPr>
            <w:rStyle w:val="Hyperlink"/>
            <w:noProof/>
          </w:rPr>
          <w:t>Component level</w:t>
        </w:r>
        <w:r w:rsidR="00E5633D">
          <w:rPr>
            <w:noProof/>
            <w:webHidden/>
          </w:rPr>
          <w:tab/>
        </w:r>
        <w:r w:rsidR="00E5633D">
          <w:rPr>
            <w:noProof/>
            <w:webHidden/>
          </w:rPr>
          <w:fldChar w:fldCharType="begin"/>
        </w:r>
        <w:r w:rsidR="00E5633D">
          <w:rPr>
            <w:noProof/>
            <w:webHidden/>
          </w:rPr>
          <w:instrText xml:space="preserve"> PAGEREF _Toc345081135 \h </w:instrText>
        </w:r>
        <w:r w:rsidR="00E5633D">
          <w:rPr>
            <w:noProof/>
            <w:webHidden/>
          </w:rPr>
        </w:r>
        <w:r w:rsidR="00E5633D">
          <w:rPr>
            <w:noProof/>
            <w:webHidden/>
          </w:rPr>
          <w:fldChar w:fldCharType="separate"/>
        </w:r>
        <w:r w:rsidR="00E5633D">
          <w:rPr>
            <w:noProof/>
            <w:webHidden/>
          </w:rPr>
          <w:t>4</w:t>
        </w:r>
        <w:r w:rsidR="00E5633D">
          <w:rPr>
            <w:noProof/>
            <w:webHidden/>
          </w:rPr>
          <w:fldChar w:fldCharType="end"/>
        </w:r>
      </w:hyperlink>
    </w:p>
    <w:p w14:paraId="2D665B9C" w14:textId="77777777" w:rsidR="00E5633D" w:rsidRDefault="002B1A12">
      <w:pPr>
        <w:pStyle w:val="TOC1"/>
        <w:rPr>
          <w:rFonts w:asciiTheme="minorHAnsi" w:eastAsiaTheme="minorEastAsia" w:hAnsiTheme="minorHAnsi" w:cstheme="minorBidi"/>
          <w:b w:val="0"/>
          <w:noProof/>
          <w:sz w:val="22"/>
          <w:szCs w:val="22"/>
          <w:lang w:val="en-AU" w:eastAsia="en-AU"/>
        </w:rPr>
      </w:pPr>
      <w:hyperlink w:anchor="_Toc345081136" w:history="1">
        <w:r w:rsidR="00E5633D" w:rsidRPr="000071E3">
          <w:rPr>
            <w:rStyle w:val="Hyperlink"/>
            <w:noProof/>
          </w:rPr>
          <w:t>2</w:t>
        </w:r>
        <w:r w:rsidR="00E5633D">
          <w:rPr>
            <w:rFonts w:asciiTheme="minorHAnsi" w:eastAsiaTheme="minorEastAsia" w:hAnsiTheme="minorHAnsi" w:cstheme="minorBidi"/>
            <w:b w:val="0"/>
            <w:noProof/>
            <w:sz w:val="22"/>
            <w:szCs w:val="22"/>
            <w:lang w:val="en-AU" w:eastAsia="en-AU"/>
          </w:rPr>
          <w:tab/>
        </w:r>
        <w:r w:rsidR="00E5633D" w:rsidRPr="000071E3">
          <w:rPr>
            <w:rStyle w:val="Hyperlink"/>
            <w:noProof/>
          </w:rPr>
          <w:t>What has been achieved?</w:t>
        </w:r>
        <w:r w:rsidR="00E5633D">
          <w:rPr>
            <w:noProof/>
            <w:webHidden/>
          </w:rPr>
          <w:tab/>
        </w:r>
        <w:r w:rsidR="00E5633D">
          <w:rPr>
            <w:noProof/>
            <w:webHidden/>
          </w:rPr>
          <w:fldChar w:fldCharType="begin"/>
        </w:r>
        <w:r w:rsidR="00E5633D">
          <w:rPr>
            <w:noProof/>
            <w:webHidden/>
          </w:rPr>
          <w:instrText xml:space="preserve"> PAGEREF _Toc345081136 \h </w:instrText>
        </w:r>
        <w:r w:rsidR="00E5633D">
          <w:rPr>
            <w:noProof/>
            <w:webHidden/>
          </w:rPr>
        </w:r>
        <w:r w:rsidR="00E5633D">
          <w:rPr>
            <w:noProof/>
            <w:webHidden/>
          </w:rPr>
          <w:fldChar w:fldCharType="separate"/>
        </w:r>
        <w:r w:rsidR="00E5633D">
          <w:rPr>
            <w:noProof/>
            <w:webHidden/>
          </w:rPr>
          <w:t>5</w:t>
        </w:r>
        <w:r w:rsidR="00E5633D">
          <w:rPr>
            <w:noProof/>
            <w:webHidden/>
          </w:rPr>
          <w:fldChar w:fldCharType="end"/>
        </w:r>
      </w:hyperlink>
    </w:p>
    <w:p w14:paraId="4AD54D08" w14:textId="77777777" w:rsidR="00E5633D" w:rsidRDefault="002B1A12">
      <w:pPr>
        <w:pStyle w:val="TOC2"/>
        <w:rPr>
          <w:rFonts w:asciiTheme="minorHAnsi" w:eastAsiaTheme="minorEastAsia" w:hAnsiTheme="minorHAnsi" w:cstheme="minorBidi"/>
          <w:noProof/>
          <w:szCs w:val="22"/>
          <w:lang w:val="en-AU" w:eastAsia="en-AU"/>
        </w:rPr>
      </w:pPr>
      <w:hyperlink w:anchor="_Toc345081137" w:history="1">
        <w:r w:rsidR="00E5633D" w:rsidRPr="000071E3">
          <w:rPr>
            <w:rStyle w:val="Hyperlink"/>
            <w:noProof/>
          </w:rPr>
          <w:t>2.1</w:t>
        </w:r>
        <w:r w:rsidR="00E5633D">
          <w:rPr>
            <w:rFonts w:asciiTheme="minorHAnsi" w:eastAsiaTheme="minorEastAsia" w:hAnsiTheme="minorHAnsi" w:cstheme="minorBidi"/>
            <w:noProof/>
            <w:szCs w:val="22"/>
            <w:lang w:val="en-AU" w:eastAsia="en-AU"/>
          </w:rPr>
          <w:tab/>
        </w:r>
        <w:r w:rsidR="00E5633D" w:rsidRPr="000071E3">
          <w:rPr>
            <w:rStyle w:val="Hyperlink"/>
            <w:noProof/>
          </w:rPr>
          <w:t>Key results to date</w:t>
        </w:r>
        <w:r w:rsidR="00E5633D">
          <w:rPr>
            <w:noProof/>
            <w:webHidden/>
          </w:rPr>
          <w:tab/>
        </w:r>
        <w:r w:rsidR="00E5633D">
          <w:rPr>
            <w:noProof/>
            <w:webHidden/>
          </w:rPr>
          <w:fldChar w:fldCharType="begin"/>
        </w:r>
        <w:r w:rsidR="00E5633D">
          <w:rPr>
            <w:noProof/>
            <w:webHidden/>
          </w:rPr>
          <w:instrText xml:space="preserve"> PAGEREF _Toc345081137 \h </w:instrText>
        </w:r>
        <w:r w:rsidR="00E5633D">
          <w:rPr>
            <w:noProof/>
            <w:webHidden/>
          </w:rPr>
        </w:r>
        <w:r w:rsidR="00E5633D">
          <w:rPr>
            <w:noProof/>
            <w:webHidden/>
          </w:rPr>
          <w:fldChar w:fldCharType="separate"/>
        </w:r>
        <w:r w:rsidR="00E5633D">
          <w:rPr>
            <w:noProof/>
            <w:webHidden/>
          </w:rPr>
          <w:t>6</w:t>
        </w:r>
        <w:r w:rsidR="00E5633D">
          <w:rPr>
            <w:noProof/>
            <w:webHidden/>
          </w:rPr>
          <w:fldChar w:fldCharType="end"/>
        </w:r>
      </w:hyperlink>
    </w:p>
    <w:p w14:paraId="73F9122E" w14:textId="77777777" w:rsidR="00E5633D" w:rsidRDefault="002B1A12">
      <w:pPr>
        <w:pStyle w:val="TOC2"/>
        <w:rPr>
          <w:rFonts w:asciiTheme="minorHAnsi" w:eastAsiaTheme="minorEastAsia" w:hAnsiTheme="minorHAnsi" w:cstheme="minorBidi"/>
          <w:noProof/>
          <w:szCs w:val="22"/>
          <w:lang w:val="en-AU" w:eastAsia="en-AU"/>
        </w:rPr>
      </w:pPr>
      <w:hyperlink w:anchor="_Toc345081138" w:history="1">
        <w:r w:rsidR="00E5633D" w:rsidRPr="000071E3">
          <w:rPr>
            <w:rStyle w:val="Hyperlink"/>
            <w:noProof/>
          </w:rPr>
          <w:t>2.2</w:t>
        </w:r>
        <w:r w:rsidR="00E5633D">
          <w:rPr>
            <w:rFonts w:asciiTheme="minorHAnsi" w:eastAsiaTheme="minorEastAsia" w:hAnsiTheme="minorHAnsi" w:cstheme="minorBidi"/>
            <w:noProof/>
            <w:szCs w:val="22"/>
            <w:lang w:val="en-AU" w:eastAsia="en-AU"/>
          </w:rPr>
          <w:tab/>
        </w:r>
        <w:r w:rsidR="00E5633D" w:rsidRPr="000071E3">
          <w:rPr>
            <w:rStyle w:val="Hyperlink"/>
            <w:noProof/>
          </w:rPr>
          <w:t>EOPO 1: Enrolment in Junior Secondary Education in targeted districts increases</w:t>
        </w:r>
        <w:r w:rsidR="00E5633D">
          <w:rPr>
            <w:noProof/>
            <w:webHidden/>
          </w:rPr>
          <w:tab/>
        </w:r>
        <w:r w:rsidR="00E5633D">
          <w:rPr>
            <w:noProof/>
            <w:webHidden/>
          </w:rPr>
          <w:fldChar w:fldCharType="begin"/>
        </w:r>
        <w:r w:rsidR="00E5633D">
          <w:rPr>
            <w:noProof/>
            <w:webHidden/>
          </w:rPr>
          <w:instrText xml:space="preserve"> PAGEREF _Toc345081138 \h </w:instrText>
        </w:r>
        <w:r w:rsidR="00E5633D">
          <w:rPr>
            <w:noProof/>
            <w:webHidden/>
          </w:rPr>
        </w:r>
        <w:r w:rsidR="00E5633D">
          <w:rPr>
            <w:noProof/>
            <w:webHidden/>
          </w:rPr>
          <w:fldChar w:fldCharType="separate"/>
        </w:r>
        <w:r w:rsidR="00E5633D">
          <w:rPr>
            <w:noProof/>
            <w:webHidden/>
          </w:rPr>
          <w:t>7</w:t>
        </w:r>
        <w:r w:rsidR="00E5633D">
          <w:rPr>
            <w:noProof/>
            <w:webHidden/>
          </w:rPr>
          <w:fldChar w:fldCharType="end"/>
        </w:r>
      </w:hyperlink>
    </w:p>
    <w:p w14:paraId="353B6C97" w14:textId="77777777" w:rsidR="00E5633D" w:rsidRDefault="002B1A12">
      <w:pPr>
        <w:pStyle w:val="TOC2"/>
        <w:rPr>
          <w:rFonts w:asciiTheme="minorHAnsi" w:eastAsiaTheme="minorEastAsia" w:hAnsiTheme="minorHAnsi" w:cstheme="minorBidi"/>
          <w:noProof/>
          <w:szCs w:val="22"/>
          <w:lang w:val="en-AU" w:eastAsia="en-AU"/>
        </w:rPr>
      </w:pPr>
      <w:hyperlink w:anchor="_Toc345081139" w:history="1">
        <w:r w:rsidR="00E5633D" w:rsidRPr="000071E3">
          <w:rPr>
            <w:rStyle w:val="Hyperlink"/>
            <w:noProof/>
          </w:rPr>
          <w:t>2.3</w:t>
        </w:r>
        <w:r w:rsidR="00E5633D">
          <w:rPr>
            <w:rFonts w:asciiTheme="minorHAnsi" w:eastAsiaTheme="minorEastAsia" w:hAnsiTheme="minorHAnsi" w:cstheme="minorBidi"/>
            <w:noProof/>
            <w:szCs w:val="22"/>
            <w:lang w:val="en-AU" w:eastAsia="en-AU"/>
          </w:rPr>
          <w:tab/>
        </w:r>
        <w:r w:rsidR="00E5633D" w:rsidRPr="000071E3">
          <w:rPr>
            <w:rStyle w:val="Hyperlink"/>
            <w:noProof/>
          </w:rPr>
          <w:t>EOPO 2: Management of schools and Madrasah improves</w:t>
        </w:r>
        <w:r w:rsidR="00E5633D">
          <w:rPr>
            <w:noProof/>
            <w:webHidden/>
          </w:rPr>
          <w:tab/>
        </w:r>
        <w:r w:rsidR="00E5633D">
          <w:rPr>
            <w:noProof/>
            <w:webHidden/>
          </w:rPr>
          <w:fldChar w:fldCharType="begin"/>
        </w:r>
        <w:r w:rsidR="00E5633D">
          <w:rPr>
            <w:noProof/>
            <w:webHidden/>
          </w:rPr>
          <w:instrText xml:space="preserve"> PAGEREF _Toc345081139 \h </w:instrText>
        </w:r>
        <w:r w:rsidR="00E5633D">
          <w:rPr>
            <w:noProof/>
            <w:webHidden/>
          </w:rPr>
        </w:r>
        <w:r w:rsidR="00E5633D">
          <w:rPr>
            <w:noProof/>
            <w:webHidden/>
          </w:rPr>
          <w:fldChar w:fldCharType="separate"/>
        </w:r>
        <w:r w:rsidR="00E5633D">
          <w:rPr>
            <w:noProof/>
            <w:webHidden/>
          </w:rPr>
          <w:t>8</w:t>
        </w:r>
        <w:r w:rsidR="00E5633D">
          <w:rPr>
            <w:noProof/>
            <w:webHidden/>
          </w:rPr>
          <w:fldChar w:fldCharType="end"/>
        </w:r>
      </w:hyperlink>
    </w:p>
    <w:p w14:paraId="43C1BCB0" w14:textId="77777777" w:rsidR="00E5633D" w:rsidRDefault="002B1A12">
      <w:pPr>
        <w:pStyle w:val="TOC2"/>
        <w:rPr>
          <w:rFonts w:asciiTheme="minorHAnsi" w:eastAsiaTheme="minorEastAsia" w:hAnsiTheme="minorHAnsi" w:cstheme="minorBidi"/>
          <w:noProof/>
          <w:szCs w:val="22"/>
          <w:lang w:val="en-AU" w:eastAsia="en-AU"/>
        </w:rPr>
      </w:pPr>
      <w:hyperlink w:anchor="_Toc345081140" w:history="1">
        <w:r w:rsidR="00E5633D" w:rsidRPr="000071E3">
          <w:rPr>
            <w:rStyle w:val="Hyperlink"/>
            <w:noProof/>
          </w:rPr>
          <w:t>2.4</w:t>
        </w:r>
        <w:r w:rsidR="00E5633D">
          <w:rPr>
            <w:rFonts w:asciiTheme="minorHAnsi" w:eastAsiaTheme="minorEastAsia" w:hAnsiTheme="minorHAnsi" w:cstheme="minorBidi"/>
            <w:noProof/>
            <w:szCs w:val="22"/>
            <w:lang w:val="en-AU" w:eastAsia="en-AU"/>
          </w:rPr>
          <w:tab/>
        </w:r>
        <w:r w:rsidR="00E5633D" w:rsidRPr="000071E3">
          <w:rPr>
            <w:rStyle w:val="Hyperlink"/>
            <w:noProof/>
          </w:rPr>
          <w:t>EOPO 3: Quality of Madrasah improves in line with NES</w:t>
        </w:r>
        <w:r w:rsidR="00E5633D">
          <w:rPr>
            <w:noProof/>
            <w:webHidden/>
          </w:rPr>
          <w:tab/>
        </w:r>
        <w:r w:rsidR="00E5633D">
          <w:rPr>
            <w:noProof/>
            <w:webHidden/>
          </w:rPr>
          <w:fldChar w:fldCharType="begin"/>
        </w:r>
        <w:r w:rsidR="00E5633D">
          <w:rPr>
            <w:noProof/>
            <w:webHidden/>
          </w:rPr>
          <w:instrText xml:space="preserve"> PAGEREF _Toc345081140 \h </w:instrText>
        </w:r>
        <w:r w:rsidR="00E5633D">
          <w:rPr>
            <w:noProof/>
            <w:webHidden/>
          </w:rPr>
        </w:r>
        <w:r w:rsidR="00E5633D">
          <w:rPr>
            <w:noProof/>
            <w:webHidden/>
          </w:rPr>
          <w:fldChar w:fldCharType="separate"/>
        </w:r>
        <w:r w:rsidR="00E5633D">
          <w:rPr>
            <w:noProof/>
            <w:webHidden/>
          </w:rPr>
          <w:t>9</w:t>
        </w:r>
        <w:r w:rsidR="00E5633D">
          <w:rPr>
            <w:noProof/>
            <w:webHidden/>
          </w:rPr>
          <w:fldChar w:fldCharType="end"/>
        </w:r>
      </w:hyperlink>
    </w:p>
    <w:p w14:paraId="7A7091FD" w14:textId="77777777" w:rsidR="00E5633D" w:rsidRDefault="002B1A12">
      <w:pPr>
        <w:pStyle w:val="TOC2"/>
        <w:rPr>
          <w:rFonts w:asciiTheme="minorHAnsi" w:eastAsiaTheme="minorEastAsia" w:hAnsiTheme="minorHAnsi" w:cstheme="minorBidi"/>
          <w:noProof/>
          <w:szCs w:val="22"/>
          <w:lang w:val="en-AU" w:eastAsia="en-AU"/>
        </w:rPr>
      </w:pPr>
      <w:hyperlink w:anchor="_Toc345081141" w:history="1">
        <w:r w:rsidR="00E5633D" w:rsidRPr="000071E3">
          <w:rPr>
            <w:rStyle w:val="Hyperlink"/>
            <w:noProof/>
          </w:rPr>
          <w:t>2.5</w:t>
        </w:r>
        <w:r w:rsidR="00E5633D">
          <w:rPr>
            <w:rFonts w:asciiTheme="minorHAnsi" w:eastAsiaTheme="minorEastAsia" w:hAnsiTheme="minorHAnsi" w:cstheme="minorBidi"/>
            <w:noProof/>
            <w:szCs w:val="22"/>
            <w:lang w:val="en-AU" w:eastAsia="en-AU"/>
          </w:rPr>
          <w:tab/>
        </w:r>
        <w:r w:rsidR="00E5633D" w:rsidRPr="000071E3">
          <w:rPr>
            <w:rStyle w:val="Hyperlink"/>
            <w:noProof/>
          </w:rPr>
          <w:t>EOPO 4: Policy-makers utilise research findings to inform education sector policy, planning and budgeting</w:t>
        </w:r>
        <w:r w:rsidR="00E5633D">
          <w:rPr>
            <w:noProof/>
            <w:webHidden/>
          </w:rPr>
          <w:tab/>
        </w:r>
        <w:r w:rsidR="00E5633D">
          <w:rPr>
            <w:noProof/>
            <w:webHidden/>
          </w:rPr>
          <w:fldChar w:fldCharType="begin"/>
        </w:r>
        <w:r w:rsidR="00E5633D">
          <w:rPr>
            <w:noProof/>
            <w:webHidden/>
          </w:rPr>
          <w:instrText xml:space="preserve"> PAGEREF _Toc345081141 \h </w:instrText>
        </w:r>
        <w:r w:rsidR="00E5633D">
          <w:rPr>
            <w:noProof/>
            <w:webHidden/>
          </w:rPr>
        </w:r>
        <w:r w:rsidR="00E5633D">
          <w:rPr>
            <w:noProof/>
            <w:webHidden/>
          </w:rPr>
          <w:fldChar w:fldCharType="separate"/>
        </w:r>
        <w:r w:rsidR="00E5633D">
          <w:rPr>
            <w:noProof/>
            <w:webHidden/>
          </w:rPr>
          <w:t>9</w:t>
        </w:r>
        <w:r w:rsidR="00E5633D">
          <w:rPr>
            <w:noProof/>
            <w:webHidden/>
          </w:rPr>
          <w:fldChar w:fldCharType="end"/>
        </w:r>
      </w:hyperlink>
    </w:p>
    <w:p w14:paraId="4B9D7FE2" w14:textId="77777777" w:rsidR="00E5633D" w:rsidRDefault="002B1A12">
      <w:pPr>
        <w:pStyle w:val="TOC1"/>
        <w:rPr>
          <w:rFonts w:asciiTheme="minorHAnsi" w:eastAsiaTheme="minorEastAsia" w:hAnsiTheme="minorHAnsi" w:cstheme="minorBidi"/>
          <w:b w:val="0"/>
          <w:noProof/>
          <w:sz w:val="22"/>
          <w:szCs w:val="22"/>
          <w:lang w:val="en-AU" w:eastAsia="en-AU"/>
        </w:rPr>
      </w:pPr>
      <w:hyperlink w:anchor="_Toc345081142" w:history="1">
        <w:r w:rsidR="00E5633D" w:rsidRPr="000071E3">
          <w:rPr>
            <w:rStyle w:val="Hyperlink"/>
            <w:noProof/>
          </w:rPr>
          <w:t>3</w:t>
        </w:r>
        <w:r w:rsidR="00E5633D">
          <w:rPr>
            <w:rFonts w:asciiTheme="minorHAnsi" w:eastAsiaTheme="minorEastAsia" w:hAnsiTheme="minorHAnsi" w:cstheme="minorBidi"/>
            <w:b w:val="0"/>
            <w:noProof/>
            <w:sz w:val="22"/>
            <w:szCs w:val="22"/>
            <w:lang w:val="en-AU" w:eastAsia="en-AU"/>
          </w:rPr>
          <w:tab/>
        </w:r>
        <w:r w:rsidR="00E5633D" w:rsidRPr="000071E3">
          <w:rPr>
            <w:rStyle w:val="Hyperlink"/>
            <w:noProof/>
          </w:rPr>
          <w:t>How have the results been achieved?</w:t>
        </w:r>
        <w:r w:rsidR="00E5633D">
          <w:rPr>
            <w:noProof/>
            <w:webHidden/>
          </w:rPr>
          <w:tab/>
        </w:r>
        <w:r w:rsidR="00E5633D">
          <w:rPr>
            <w:noProof/>
            <w:webHidden/>
          </w:rPr>
          <w:fldChar w:fldCharType="begin"/>
        </w:r>
        <w:r w:rsidR="00E5633D">
          <w:rPr>
            <w:noProof/>
            <w:webHidden/>
          </w:rPr>
          <w:instrText xml:space="preserve"> PAGEREF _Toc345081142 \h </w:instrText>
        </w:r>
        <w:r w:rsidR="00E5633D">
          <w:rPr>
            <w:noProof/>
            <w:webHidden/>
          </w:rPr>
        </w:r>
        <w:r w:rsidR="00E5633D">
          <w:rPr>
            <w:noProof/>
            <w:webHidden/>
          </w:rPr>
          <w:fldChar w:fldCharType="separate"/>
        </w:r>
        <w:r w:rsidR="00E5633D">
          <w:rPr>
            <w:noProof/>
            <w:webHidden/>
          </w:rPr>
          <w:t>11</w:t>
        </w:r>
        <w:r w:rsidR="00E5633D">
          <w:rPr>
            <w:noProof/>
            <w:webHidden/>
          </w:rPr>
          <w:fldChar w:fldCharType="end"/>
        </w:r>
      </w:hyperlink>
    </w:p>
    <w:p w14:paraId="743FED5F" w14:textId="77777777" w:rsidR="00E5633D" w:rsidRDefault="002B1A12">
      <w:pPr>
        <w:pStyle w:val="TOC2"/>
        <w:rPr>
          <w:rFonts w:asciiTheme="minorHAnsi" w:eastAsiaTheme="minorEastAsia" w:hAnsiTheme="minorHAnsi" w:cstheme="minorBidi"/>
          <w:noProof/>
          <w:szCs w:val="22"/>
          <w:lang w:val="en-AU" w:eastAsia="en-AU"/>
        </w:rPr>
      </w:pPr>
      <w:hyperlink w:anchor="_Toc345081143" w:history="1">
        <w:r w:rsidR="00E5633D" w:rsidRPr="000071E3">
          <w:rPr>
            <w:rStyle w:val="Hyperlink"/>
            <w:noProof/>
          </w:rPr>
          <w:t>3.1</w:t>
        </w:r>
        <w:r w:rsidR="00E5633D">
          <w:rPr>
            <w:rFonts w:asciiTheme="minorHAnsi" w:eastAsiaTheme="minorEastAsia" w:hAnsiTheme="minorHAnsi" w:cstheme="minorBidi"/>
            <w:noProof/>
            <w:szCs w:val="22"/>
            <w:lang w:val="en-AU" w:eastAsia="en-AU"/>
          </w:rPr>
          <w:tab/>
        </w:r>
        <w:r w:rsidR="00E5633D" w:rsidRPr="000071E3">
          <w:rPr>
            <w:rStyle w:val="Hyperlink"/>
            <w:noProof/>
          </w:rPr>
          <w:t>Delivery mechanisms</w:t>
        </w:r>
        <w:r w:rsidR="00E5633D">
          <w:rPr>
            <w:noProof/>
            <w:webHidden/>
          </w:rPr>
          <w:tab/>
        </w:r>
        <w:r w:rsidR="00E5633D">
          <w:rPr>
            <w:noProof/>
            <w:webHidden/>
          </w:rPr>
          <w:fldChar w:fldCharType="begin"/>
        </w:r>
        <w:r w:rsidR="00E5633D">
          <w:rPr>
            <w:noProof/>
            <w:webHidden/>
          </w:rPr>
          <w:instrText xml:space="preserve"> PAGEREF _Toc345081143 \h </w:instrText>
        </w:r>
        <w:r w:rsidR="00E5633D">
          <w:rPr>
            <w:noProof/>
            <w:webHidden/>
          </w:rPr>
        </w:r>
        <w:r w:rsidR="00E5633D">
          <w:rPr>
            <w:noProof/>
            <w:webHidden/>
          </w:rPr>
          <w:fldChar w:fldCharType="separate"/>
        </w:r>
        <w:r w:rsidR="00E5633D">
          <w:rPr>
            <w:noProof/>
            <w:webHidden/>
          </w:rPr>
          <w:t>11</w:t>
        </w:r>
        <w:r w:rsidR="00E5633D">
          <w:rPr>
            <w:noProof/>
            <w:webHidden/>
          </w:rPr>
          <w:fldChar w:fldCharType="end"/>
        </w:r>
      </w:hyperlink>
    </w:p>
    <w:p w14:paraId="53824168" w14:textId="77777777" w:rsidR="00E5633D" w:rsidRDefault="002B1A12">
      <w:pPr>
        <w:pStyle w:val="TOC2"/>
        <w:rPr>
          <w:rFonts w:asciiTheme="minorHAnsi" w:eastAsiaTheme="minorEastAsia" w:hAnsiTheme="minorHAnsi" w:cstheme="minorBidi"/>
          <w:noProof/>
          <w:szCs w:val="22"/>
          <w:lang w:val="en-AU" w:eastAsia="en-AU"/>
        </w:rPr>
      </w:pPr>
      <w:hyperlink w:anchor="_Toc345081144" w:history="1">
        <w:r w:rsidR="00E5633D" w:rsidRPr="000071E3">
          <w:rPr>
            <w:rStyle w:val="Hyperlink"/>
            <w:noProof/>
          </w:rPr>
          <w:t>3.2</w:t>
        </w:r>
        <w:r w:rsidR="00E5633D">
          <w:rPr>
            <w:rFonts w:asciiTheme="minorHAnsi" w:eastAsiaTheme="minorEastAsia" w:hAnsiTheme="minorHAnsi" w:cstheme="minorBidi"/>
            <w:noProof/>
            <w:szCs w:val="22"/>
            <w:lang w:val="en-AU" w:eastAsia="en-AU"/>
          </w:rPr>
          <w:tab/>
        </w:r>
        <w:r w:rsidR="00E5633D" w:rsidRPr="000071E3">
          <w:rPr>
            <w:rStyle w:val="Hyperlink"/>
            <w:noProof/>
          </w:rPr>
          <w:t>Partnership</w:t>
        </w:r>
        <w:r w:rsidR="00E5633D">
          <w:rPr>
            <w:noProof/>
            <w:webHidden/>
          </w:rPr>
          <w:tab/>
        </w:r>
        <w:r w:rsidR="00E5633D">
          <w:rPr>
            <w:noProof/>
            <w:webHidden/>
          </w:rPr>
          <w:fldChar w:fldCharType="begin"/>
        </w:r>
        <w:r w:rsidR="00E5633D">
          <w:rPr>
            <w:noProof/>
            <w:webHidden/>
          </w:rPr>
          <w:instrText xml:space="preserve"> PAGEREF _Toc345081144 \h </w:instrText>
        </w:r>
        <w:r w:rsidR="00E5633D">
          <w:rPr>
            <w:noProof/>
            <w:webHidden/>
          </w:rPr>
        </w:r>
        <w:r w:rsidR="00E5633D">
          <w:rPr>
            <w:noProof/>
            <w:webHidden/>
          </w:rPr>
          <w:fldChar w:fldCharType="separate"/>
        </w:r>
        <w:r w:rsidR="00E5633D">
          <w:rPr>
            <w:noProof/>
            <w:webHidden/>
          </w:rPr>
          <w:t>12</w:t>
        </w:r>
        <w:r w:rsidR="00E5633D">
          <w:rPr>
            <w:noProof/>
            <w:webHidden/>
          </w:rPr>
          <w:fldChar w:fldCharType="end"/>
        </w:r>
      </w:hyperlink>
    </w:p>
    <w:p w14:paraId="47142233" w14:textId="77777777" w:rsidR="00E5633D" w:rsidRDefault="002B1A12">
      <w:pPr>
        <w:pStyle w:val="TOC2"/>
        <w:rPr>
          <w:rFonts w:asciiTheme="minorHAnsi" w:eastAsiaTheme="minorEastAsia" w:hAnsiTheme="minorHAnsi" w:cstheme="minorBidi"/>
          <w:noProof/>
          <w:szCs w:val="22"/>
          <w:lang w:val="en-AU" w:eastAsia="en-AU"/>
        </w:rPr>
      </w:pPr>
      <w:hyperlink w:anchor="_Toc345081145" w:history="1">
        <w:r w:rsidR="00E5633D" w:rsidRPr="000071E3">
          <w:rPr>
            <w:rStyle w:val="Hyperlink"/>
            <w:noProof/>
          </w:rPr>
          <w:t>3.3</w:t>
        </w:r>
        <w:r w:rsidR="00E5633D">
          <w:rPr>
            <w:rFonts w:asciiTheme="minorHAnsi" w:eastAsiaTheme="minorEastAsia" w:hAnsiTheme="minorHAnsi" w:cstheme="minorBidi"/>
            <w:noProof/>
            <w:szCs w:val="22"/>
            <w:lang w:val="en-AU" w:eastAsia="en-AU"/>
          </w:rPr>
          <w:tab/>
        </w:r>
        <w:r w:rsidR="00E5633D" w:rsidRPr="000071E3">
          <w:rPr>
            <w:rStyle w:val="Hyperlink"/>
            <w:noProof/>
          </w:rPr>
          <w:t>Sustainability</w:t>
        </w:r>
        <w:r w:rsidR="00E5633D">
          <w:rPr>
            <w:noProof/>
            <w:webHidden/>
          </w:rPr>
          <w:tab/>
        </w:r>
        <w:r w:rsidR="00E5633D">
          <w:rPr>
            <w:noProof/>
            <w:webHidden/>
          </w:rPr>
          <w:fldChar w:fldCharType="begin"/>
        </w:r>
        <w:r w:rsidR="00E5633D">
          <w:rPr>
            <w:noProof/>
            <w:webHidden/>
          </w:rPr>
          <w:instrText xml:space="preserve"> PAGEREF _Toc345081145 \h </w:instrText>
        </w:r>
        <w:r w:rsidR="00E5633D">
          <w:rPr>
            <w:noProof/>
            <w:webHidden/>
          </w:rPr>
        </w:r>
        <w:r w:rsidR="00E5633D">
          <w:rPr>
            <w:noProof/>
            <w:webHidden/>
          </w:rPr>
          <w:fldChar w:fldCharType="separate"/>
        </w:r>
        <w:r w:rsidR="00E5633D">
          <w:rPr>
            <w:noProof/>
            <w:webHidden/>
          </w:rPr>
          <w:t>13</w:t>
        </w:r>
        <w:r w:rsidR="00E5633D">
          <w:rPr>
            <w:noProof/>
            <w:webHidden/>
          </w:rPr>
          <w:fldChar w:fldCharType="end"/>
        </w:r>
      </w:hyperlink>
    </w:p>
    <w:p w14:paraId="6A70DC2F" w14:textId="77777777" w:rsidR="00E5633D" w:rsidRDefault="002B1A12">
      <w:pPr>
        <w:pStyle w:val="TOC1"/>
        <w:rPr>
          <w:rFonts w:asciiTheme="minorHAnsi" w:eastAsiaTheme="minorEastAsia" w:hAnsiTheme="minorHAnsi" w:cstheme="minorBidi"/>
          <w:b w:val="0"/>
          <w:noProof/>
          <w:sz w:val="22"/>
          <w:szCs w:val="22"/>
          <w:lang w:val="en-AU" w:eastAsia="en-AU"/>
        </w:rPr>
      </w:pPr>
      <w:hyperlink w:anchor="_Toc345081146" w:history="1">
        <w:r w:rsidR="00E5633D" w:rsidRPr="000071E3">
          <w:rPr>
            <w:rStyle w:val="Hyperlink"/>
            <w:noProof/>
          </w:rPr>
          <w:t>4</w:t>
        </w:r>
        <w:r w:rsidR="00E5633D">
          <w:rPr>
            <w:rFonts w:asciiTheme="minorHAnsi" w:eastAsiaTheme="minorEastAsia" w:hAnsiTheme="minorHAnsi" w:cstheme="minorBidi"/>
            <w:b w:val="0"/>
            <w:noProof/>
            <w:sz w:val="22"/>
            <w:szCs w:val="22"/>
            <w:lang w:val="en-AU" w:eastAsia="en-AU"/>
          </w:rPr>
          <w:tab/>
        </w:r>
        <w:r w:rsidR="00E5633D" w:rsidRPr="000071E3">
          <w:rPr>
            <w:rStyle w:val="Hyperlink"/>
            <w:noProof/>
          </w:rPr>
          <w:t>Who has benefited?</w:t>
        </w:r>
        <w:r w:rsidR="00E5633D">
          <w:rPr>
            <w:noProof/>
            <w:webHidden/>
          </w:rPr>
          <w:tab/>
        </w:r>
        <w:r w:rsidR="00E5633D">
          <w:rPr>
            <w:noProof/>
            <w:webHidden/>
          </w:rPr>
          <w:fldChar w:fldCharType="begin"/>
        </w:r>
        <w:r w:rsidR="00E5633D">
          <w:rPr>
            <w:noProof/>
            <w:webHidden/>
          </w:rPr>
          <w:instrText xml:space="preserve"> PAGEREF _Toc345081146 \h </w:instrText>
        </w:r>
        <w:r w:rsidR="00E5633D">
          <w:rPr>
            <w:noProof/>
            <w:webHidden/>
          </w:rPr>
        </w:r>
        <w:r w:rsidR="00E5633D">
          <w:rPr>
            <w:noProof/>
            <w:webHidden/>
          </w:rPr>
          <w:fldChar w:fldCharType="separate"/>
        </w:r>
        <w:r w:rsidR="00E5633D">
          <w:rPr>
            <w:noProof/>
            <w:webHidden/>
          </w:rPr>
          <w:t>14</w:t>
        </w:r>
        <w:r w:rsidR="00E5633D">
          <w:rPr>
            <w:noProof/>
            <w:webHidden/>
          </w:rPr>
          <w:fldChar w:fldCharType="end"/>
        </w:r>
      </w:hyperlink>
    </w:p>
    <w:p w14:paraId="06BBF93A" w14:textId="77777777" w:rsidR="00E5633D" w:rsidRDefault="002B1A12">
      <w:pPr>
        <w:pStyle w:val="TOC2"/>
        <w:rPr>
          <w:rFonts w:asciiTheme="minorHAnsi" w:eastAsiaTheme="minorEastAsia" w:hAnsiTheme="minorHAnsi" w:cstheme="minorBidi"/>
          <w:noProof/>
          <w:szCs w:val="22"/>
          <w:lang w:val="en-AU" w:eastAsia="en-AU"/>
        </w:rPr>
      </w:pPr>
      <w:hyperlink w:anchor="_Toc345081147" w:history="1">
        <w:r w:rsidR="00E5633D" w:rsidRPr="000071E3">
          <w:rPr>
            <w:rStyle w:val="Hyperlink"/>
            <w:noProof/>
          </w:rPr>
          <w:t>4.1</w:t>
        </w:r>
        <w:r w:rsidR="00E5633D">
          <w:rPr>
            <w:rFonts w:asciiTheme="minorHAnsi" w:eastAsiaTheme="minorEastAsia" w:hAnsiTheme="minorHAnsi" w:cstheme="minorBidi"/>
            <w:noProof/>
            <w:szCs w:val="22"/>
            <w:lang w:val="en-AU" w:eastAsia="en-AU"/>
          </w:rPr>
          <w:tab/>
        </w:r>
        <w:r w:rsidR="00E5633D" w:rsidRPr="000071E3">
          <w:rPr>
            <w:rStyle w:val="Hyperlink"/>
            <w:noProof/>
          </w:rPr>
          <w:t>Beneficiaries</w:t>
        </w:r>
        <w:r w:rsidR="00E5633D">
          <w:rPr>
            <w:noProof/>
            <w:webHidden/>
          </w:rPr>
          <w:tab/>
        </w:r>
        <w:r w:rsidR="00E5633D">
          <w:rPr>
            <w:noProof/>
            <w:webHidden/>
          </w:rPr>
          <w:fldChar w:fldCharType="begin"/>
        </w:r>
        <w:r w:rsidR="00E5633D">
          <w:rPr>
            <w:noProof/>
            <w:webHidden/>
          </w:rPr>
          <w:instrText xml:space="preserve"> PAGEREF _Toc345081147 \h </w:instrText>
        </w:r>
        <w:r w:rsidR="00E5633D">
          <w:rPr>
            <w:noProof/>
            <w:webHidden/>
          </w:rPr>
        </w:r>
        <w:r w:rsidR="00E5633D">
          <w:rPr>
            <w:noProof/>
            <w:webHidden/>
          </w:rPr>
          <w:fldChar w:fldCharType="separate"/>
        </w:r>
        <w:r w:rsidR="00E5633D">
          <w:rPr>
            <w:noProof/>
            <w:webHidden/>
          </w:rPr>
          <w:t>14</w:t>
        </w:r>
        <w:r w:rsidR="00E5633D">
          <w:rPr>
            <w:noProof/>
            <w:webHidden/>
          </w:rPr>
          <w:fldChar w:fldCharType="end"/>
        </w:r>
      </w:hyperlink>
    </w:p>
    <w:p w14:paraId="7454ED19" w14:textId="77777777" w:rsidR="00E5633D" w:rsidRDefault="002B1A12">
      <w:pPr>
        <w:pStyle w:val="TOC2"/>
        <w:rPr>
          <w:rFonts w:asciiTheme="minorHAnsi" w:eastAsiaTheme="minorEastAsia" w:hAnsiTheme="minorHAnsi" w:cstheme="minorBidi"/>
          <w:noProof/>
          <w:szCs w:val="22"/>
          <w:lang w:val="en-AU" w:eastAsia="en-AU"/>
        </w:rPr>
      </w:pPr>
      <w:hyperlink w:anchor="_Toc345081148" w:history="1">
        <w:r w:rsidR="00E5633D" w:rsidRPr="000071E3">
          <w:rPr>
            <w:rStyle w:val="Hyperlink"/>
            <w:noProof/>
          </w:rPr>
          <w:t>4.2</w:t>
        </w:r>
        <w:r w:rsidR="00E5633D">
          <w:rPr>
            <w:rFonts w:asciiTheme="minorHAnsi" w:eastAsiaTheme="minorEastAsia" w:hAnsiTheme="minorHAnsi" w:cstheme="minorBidi"/>
            <w:noProof/>
            <w:szCs w:val="22"/>
            <w:lang w:val="en-AU" w:eastAsia="en-AU"/>
          </w:rPr>
          <w:tab/>
        </w:r>
        <w:r w:rsidR="00E5633D" w:rsidRPr="000071E3">
          <w:rPr>
            <w:rStyle w:val="Hyperlink"/>
            <w:noProof/>
          </w:rPr>
          <w:t>Vulnerable groups</w:t>
        </w:r>
        <w:r w:rsidR="00E5633D">
          <w:rPr>
            <w:noProof/>
            <w:webHidden/>
          </w:rPr>
          <w:tab/>
        </w:r>
        <w:r w:rsidR="00E5633D">
          <w:rPr>
            <w:noProof/>
            <w:webHidden/>
          </w:rPr>
          <w:fldChar w:fldCharType="begin"/>
        </w:r>
        <w:r w:rsidR="00E5633D">
          <w:rPr>
            <w:noProof/>
            <w:webHidden/>
          </w:rPr>
          <w:instrText xml:space="preserve"> PAGEREF _Toc345081148 \h </w:instrText>
        </w:r>
        <w:r w:rsidR="00E5633D">
          <w:rPr>
            <w:noProof/>
            <w:webHidden/>
          </w:rPr>
        </w:r>
        <w:r w:rsidR="00E5633D">
          <w:rPr>
            <w:noProof/>
            <w:webHidden/>
          </w:rPr>
          <w:fldChar w:fldCharType="separate"/>
        </w:r>
        <w:r w:rsidR="00E5633D">
          <w:rPr>
            <w:noProof/>
            <w:webHidden/>
          </w:rPr>
          <w:t>15</w:t>
        </w:r>
        <w:r w:rsidR="00E5633D">
          <w:rPr>
            <w:noProof/>
            <w:webHidden/>
          </w:rPr>
          <w:fldChar w:fldCharType="end"/>
        </w:r>
      </w:hyperlink>
    </w:p>
    <w:p w14:paraId="7918DFC6" w14:textId="77777777" w:rsidR="00E5633D" w:rsidRDefault="002B1A12">
      <w:pPr>
        <w:pStyle w:val="TOC1"/>
        <w:rPr>
          <w:rFonts w:asciiTheme="minorHAnsi" w:eastAsiaTheme="minorEastAsia" w:hAnsiTheme="minorHAnsi" w:cstheme="minorBidi"/>
          <w:b w:val="0"/>
          <w:noProof/>
          <w:sz w:val="22"/>
          <w:szCs w:val="22"/>
          <w:lang w:val="en-AU" w:eastAsia="en-AU"/>
        </w:rPr>
      </w:pPr>
      <w:hyperlink w:anchor="_Toc345081149" w:history="1">
        <w:r w:rsidR="00E5633D" w:rsidRPr="000071E3">
          <w:rPr>
            <w:rStyle w:val="Hyperlink"/>
            <w:noProof/>
          </w:rPr>
          <w:t>5</w:t>
        </w:r>
        <w:r w:rsidR="00E5633D">
          <w:rPr>
            <w:rFonts w:asciiTheme="minorHAnsi" w:eastAsiaTheme="minorEastAsia" w:hAnsiTheme="minorHAnsi" w:cstheme="minorBidi"/>
            <w:b w:val="0"/>
            <w:noProof/>
            <w:sz w:val="22"/>
            <w:szCs w:val="22"/>
            <w:lang w:val="en-AU" w:eastAsia="en-AU"/>
          </w:rPr>
          <w:tab/>
        </w:r>
        <w:r w:rsidR="00E5633D" w:rsidRPr="000071E3">
          <w:rPr>
            <w:rStyle w:val="Hyperlink"/>
            <w:noProof/>
          </w:rPr>
          <w:t>What are the implications?</w:t>
        </w:r>
        <w:r w:rsidR="00E5633D">
          <w:rPr>
            <w:noProof/>
            <w:webHidden/>
          </w:rPr>
          <w:tab/>
        </w:r>
        <w:r w:rsidR="00E5633D">
          <w:rPr>
            <w:noProof/>
            <w:webHidden/>
          </w:rPr>
          <w:fldChar w:fldCharType="begin"/>
        </w:r>
        <w:r w:rsidR="00E5633D">
          <w:rPr>
            <w:noProof/>
            <w:webHidden/>
          </w:rPr>
          <w:instrText xml:space="preserve"> PAGEREF _Toc345081149 \h </w:instrText>
        </w:r>
        <w:r w:rsidR="00E5633D">
          <w:rPr>
            <w:noProof/>
            <w:webHidden/>
          </w:rPr>
        </w:r>
        <w:r w:rsidR="00E5633D">
          <w:rPr>
            <w:noProof/>
            <w:webHidden/>
          </w:rPr>
          <w:fldChar w:fldCharType="separate"/>
        </w:r>
        <w:r w:rsidR="00E5633D">
          <w:rPr>
            <w:noProof/>
            <w:webHidden/>
          </w:rPr>
          <w:t>15</w:t>
        </w:r>
        <w:r w:rsidR="00E5633D">
          <w:rPr>
            <w:noProof/>
            <w:webHidden/>
          </w:rPr>
          <w:fldChar w:fldCharType="end"/>
        </w:r>
      </w:hyperlink>
    </w:p>
    <w:p w14:paraId="4ECBF1EA" w14:textId="05CC489B" w:rsidR="00AC4E19" w:rsidRDefault="001E2541" w:rsidP="00AC4E19">
      <w:pPr>
        <w:pStyle w:val="HeadingGRM"/>
        <w:spacing w:after="240"/>
        <w:rPr>
          <w:sz w:val="28"/>
          <w:szCs w:val="28"/>
        </w:rPr>
      </w:pPr>
      <w:r w:rsidRPr="00AF1D30">
        <w:fldChar w:fldCharType="end"/>
      </w:r>
    </w:p>
    <w:p w14:paraId="40A4BCE8" w14:textId="77777777" w:rsidR="00AC4E19" w:rsidRPr="00AC4E19" w:rsidRDefault="00AC4E19" w:rsidP="00AC4E19"/>
    <w:p w14:paraId="5CFE0CF0" w14:textId="77777777" w:rsidR="00AC4E19" w:rsidRDefault="00AC4E19" w:rsidP="00AC4E19"/>
    <w:p w14:paraId="2C4C5281" w14:textId="77777777" w:rsidR="00AC4E19" w:rsidRPr="008F1BB7" w:rsidRDefault="00AC4E19" w:rsidP="00AC4E19">
      <w:pPr>
        <w:pStyle w:val="HeadingGRM"/>
        <w:spacing w:after="240"/>
        <w:rPr>
          <w:smallCaps/>
          <w:sz w:val="28"/>
          <w:szCs w:val="28"/>
        </w:rPr>
      </w:pPr>
      <w:bookmarkStart w:id="5" w:name="_Toc345080916"/>
      <w:bookmarkStart w:id="6" w:name="_Toc345081124"/>
      <w:r w:rsidRPr="008F1BB7">
        <w:rPr>
          <w:smallCaps/>
          <w:sz w:val="28"/>
          <w:szCs w:val="28"/>
        </w:rPr>
        <w:lastRenderedPageBreak/>
        <w:t>Annexes</w:t>
      </w:r>
      <w:bookmarkEnd w:id="5"/>
      <w:bookmarkEnd w:id="6"/>
    </w:p>
    <w:p w14:paraId="0705F496" w14:textId="4351B527" w:rsidR="00AC4E19" w:rsidRPr="00D221DE" w:rsidRDefault="00AC4E19" w:rsidP="00AC4E19">
      <w:pPr>
        <w:pStyle w:val="HeadingGRM"/>
        <w:tabs>
          <w:tab w:val="left" w:pos="1276"/>
        </w:tabs>
        <w:spacing w:before="0" w:after="160"/>
        <w:rPr>
          <w:b w:val="0"/>
          <w:sz w:val="24"/>
        </w:rPr>
      </w:pPr>
      <w:bookmarkStart w:id="7" w:name="_Toc345080917"/>
      <w:bookmarkStart w:id="8" w:name="_Toc345081125"/>
      <w:r w:rsidRPr="00D221DE">
        <w:rPr>
          <w:b w:val="0"/>
          <w:sz w:val="24"/>
        </w:rPr>
        <w:t>Annex I</w:t>
      </w:r>
      <w:r w:rsidRPr="00D221DE">
        <w:rPr>
          <w:b w:val="0"/>
          <w:sz w:val="24"/>
        </w:rPr>
        <w:tab/>
        <w:t>APPR Preparation Process</w:t>
      </w:r>
      <w:bookmarkEnd w:id="7"/>
      <w:bookmarkEnd w:id="8"/>
    </w:p>
    <w:p w14:paraId="0A84CA2E" w14:textId="639BDB90" w:rsidR="00AC4E19" w:rsidRPr="00D221DE" w:rsidRDefault="00AC4E19" w:rsidP="00AC4E19">
      <w:pPr>
        <w:pStyle w:val="HeadingGRM"/>
        <w:tabs>
          <w:tab w:val="left" w:pos="1276"/>
        </w:tabs>
        <w:spacing w:before="0" w:after="160"/>
        <w:rPr>
          <w:b w:val="0"/>
          <w:sz w:val="24"/>
        </w:rPr>
      </w:pPr>
      <w:bookmarkStart w:id="9" w:name="_Toc345080918"/>
      <w:bookmarkStart w:id="10" w:name="_Toc345081126"/>
      <w:r w:rsidRPr="00D221DE">
        <w:rPr>
          <w:b w:val="0"/>
          <w:sz w:val="24"/>
        </w:rPr>
        <w:t>Annex II</w:t>
      </w:r>
      <w:r w:rsidRPr="00D221DE">
        <w:rPr>
          <w:b w:val="0"/>
          <w:sz w:val="24"/>
        </w:rPr>
        <w:tab/>
        <w:t>EP Documents Scrutinized</w:t>
      </w:r>
      <w:bookmarkEnd w:id="9"/>
      <w:bookmarkEnd w:id="10"/>
    </w:p>
    <w:p w14:paraId="2736805C" w14:textId="6E9BF5F3" w:rsidR="00AC4E19" w:rsidRPr="00D221DE" w:rsidRDefault="00AC4E19" w:rsidP="00AC4E19">
      <w:pPr>
        <w:pStyle w:val="HeadingGRM"/>
        <w:tabs>
          <w:tab w:val="left" w:pos="1276"/>
        </w:tabs>
        <w:spacing w:before="0" w:after="160"/>
        <w:rPr>
          <w:b w:val="0"/>
          <w:sz w:val="24"/>
        </w:rPr>
      </w:pPr>
      <w:bookmarkStart w:id="11" w:name="_Toc345080919"/>
      <w:bookmarkStart w:id="12" w:name="_Toc345081127"/>
      <w:r w:rsidRPr="00D221DE">
        <w:rPr>
          <w:b w:val="0"/>
          <w:sz w:val="24"/>
        </w:rPr>
        <w:t>Annex III</w:t>
      </w:r>
      <w:r w:rsidRPr="00D221DE">
        <w:rPr>
          <w:b w:val="0"/>
          <w:sz w:val="24"/>
        </w:rPr>
        <w:tab/>
        <w:t>EP Analytical Framework</w:t>
      </w:r>
      <w:bookmarkEnd w:id="11"/>
      <w:bookmarkEnd w:id="12"/>
    </w:p>
    <w:p w14:paraId="632C0F1A" w14:textId="17A1F0C3" w:rsidR="00AC4E19" w:rsidRPr="00D221DE" w:rsidRDefault="00AC4E19" w:rsidP="00AC4E19">
      <w:pPr>
        <w:tabs>
          <w:tab w:val="left" w:pos="1276"/>
        </w:tabs>
        <w:rPr>
          <w:sz w:val="24"/>
        </w:rPr>
      </w:pPr>
      <w:r w:rsidRPr="00D221DE">
        <w:rPr>
          <w:sz w:val="24"/>
        </w:rPr>
        <w:t>Annex IV</w:t>
      </w:r>
      <w:r w:rsidRPr="00D221DE">
        <w:rPr>
          <w:sz w:val="24"/>
        </w:rPr>
        <w:tab/>
        <w:t>List of Key Informants</w:t>
      </w:r>
    </w:p>
    <w:p w14:paraId="52CEF98D" w14:textId="61F2BB97" w:rsidR="00AC4E19" w:rsidRPr="00D221DE" w:rsidRDefault="00AC4E19" w:rsidP="00AC4E19">
      <w:pPr>
        <w:pStyle w:val="HeadingGRM"/>
        <w:tabs>
          <w:tab w:val="left" w:pos="1276"/>
        </w:tabs>
        <w:spacing w:before="0" w:after="160"/>
        <w:rPr>
          <w:b w:val="0"/>
          <w:sz w:val="24"/>
        </w:rPr>
      </w:pPr>
      <w:bookmarkStart w:id="13" w:name="_Toc345080920"/>
      <w:bookmarkStart w:id="14" w:name="_Toc345081128"/>
      <w:r w:rsidRPr="00D221DE">
        <w:rPr>
          <w:b w:val="0"/>
          <w:sz w:val="24"/>
        </w:rPr>
        <w:t>Annex V</w:t>
      </w:r>
      <w:r w:rsidRPr="00D221DE">
        <w:rPr>
          <w:b w:val="0"/>
          <w:sz w:val="24"/>
        </w:rPr>
        <w:tab/>
        <w:t>EP Theory of Change</w:t>
      </w:r>
      <w:bookmarkEnd w:id="13"/>
      <w:bookmarkEnd w:id="14"/>
    </w:p>
    <w:p w14:paraId="0BDC48F4" w14:textId="77777777" w:rsidR="00AC4E19" w:rsidRPr="00D221DE" w:rsidRDefault="00AC4E19" w:rsidP="00AC4E19">
      <w:pPr>
        <w:tabs>
          <w:tab w:val="left" w:pos="1276"/>
        </w:tabs>
        <w:spacing w:after="40"/>
        <w:rPr>
          <w:sz w:val="24"/>
        </w:rPr>
      </w:pPr>
      <w:r w:rsidRPr="00D221DE">
        <w:rPr>
          <w:sz w:val="24"/>
        </w:rPr>
        <w:t>Annex VI</w:t>
      </w:r>
      <w:r w:rsidRPr="00D221DE">
        <w:rPr>
          <w:sz w:val="24"/>
        </w:rPr>
        <w:tab/>
        <w:t xml:space="preserve">ECBP M&amp;E Standards </w:t>
      </w:r>
    </w:p>
    <w:p w14:paraId="69894954" w14:textId="4A5AE218" w:rsidR="00AC4E19" w:rsidRPr="00D221DE" w:rsidRDefault="00AC4E19" w:rsidP="00AC4E19">
      <w:pPr>
        <w:tabs>
          <w:tab w:val="left" w:pos="1276"/>
        </w:tabs>
        <w:rPr>
          <w:sz w:val="24"/>
        </w:rPr>
      </w:pPr>
      <w:r w:rsidRPr="00D221DE">
        <w:rPr>
          <w:sz w:val="24"/>
        </w:rPr>
        <w:tab/>
        <w:t>Standard 3: Initiative Progress Reporting</w:t>
      </w:r>
    </w:p>
    <w:p w14:paraId="33C14CAD" w14:textId="461C1A08" w:rsidR="00155169" w:rsidRPr="00AF1D30" w:rsidRDefault="0089163F" w:rsidP="00AC4E19">
      <w:pPr>
        <w:pStyle w:val="HeadingGRM"/>
        <w:tabs>
          <w:tab w:val="left" w:pos="1276"/>
        </w:tabs>
        <w:spacing w:before="0" w:after="160"/>
        <w:rPr>
          <w:smallCaps/>
          <w:color w:val="1F497D"/>
        </w:rPr>
      </w:pPr>
      <w:r w:rsidRPr="00AF1D30">
        <w:rPr>
          <w:sz w:val="28"/>
          <w:szCs w:val="28"/>
        </w:rPr>
        <w:br w:type="page"/>
      </w:r>
      <w:bookmarkStart w:id="15" w:name="_Toc322674027"/>
      <w:bookmarkStart w:id="16" w:name="_Toc328748820"/>
      <w:bookmarkStart w:id="17" w:name="_Toc328749510"/>
      <w:bookmarkStart w:id="18" w:name="_Toc331066851"/>
      <w:bookmarkStart w:id="19" w:name="_Toc345081129"/>
      <w:r w:rsidR="00155169" w:rsidRPr="00AF1D30">
        <w:rPr>
          <w:smallCaps/>
          <w:color w:val="1F497D"/>
        </w:rPr>
        <w:lastRenderedPageBreak/>
        <w:t>Acronyms</w:t>
      </w:r>
      <w:bookmarkEnd w:id="15"/>
      <w:bookmarkEnd w:id="16"/>
      <w:bookmarkEnd w:id="17"/>
      <w:bookmarkEnd w:id="18"/>
      <w:bookmarkEnd w:id="19"/>
    </w:p>
    <w:tbl>
      <w:tblPr>
        <w:tblW w:w="4667" w:type="pct"/>
        <w:tblLook w:val="04A0" w:firstRow="1" w:lastRow="0" w:firstColumn="1" w:lastColumn="0" w:noHBand="0" w:noVBand="1"/>
      </w:tblPr>
      <w:tblGrid>
        <w:gridCol w:w="1329"/>
        <w:gridCol w:w="7298"/>
      </w:tblGrid>
      <w:tr w:rsidR="00E37CED" w:rsidRPr="00F53378" w14:paraId="2B33A8C4" w14:textId="77777777" w:rsidTr="00F11245">
        <w:tc>
          <w:tcPr>
            <w:tcW w:w="770" w:type="pct"/>
            <w:vAlign w:val="center"/>
            <w:hideMark/>
          </w:tcPr>
          <w:p w14:paraId="19A76443" w14:textId="77777777" w:rsidR="00E37CED" w:rsidRPr="00F53378" w:rsidRDefault="00E37CED" w:rsidP="00F11245">
            <w:pPr>
              <w:spacing w:after="0"/>
              <w:jc w:val="left"/>
              <w:rPr>
                <w:rFonts w:eastAsia="Times New Roman"/>
              </w:rPr>
            </w:pPr>
            <w:r w:rsidRPr="00F53378">
              <w:t>ACDP</w:t>
            </w:r>
          </w:p>
        </w:tc>
        <w:tc>
          <w:tcPr>
            <w:tcW w:w="4230" w:type="pct"/>
            <w:vAlign w:val="center"/>
            <w:hideMark/>
          </w:tcPr>
          <w:p w14:paraId="45BE28E5" w14:textId="77777777" w:rsidR="00E37CED" w:rsidRPr="00F53378" w:rsidRDefault="00E37CED" w:rsidP="00F11245">
            <w:pPr>
              <w:spacing w:after="0"/>
              <w:jc w:val="left"/>
              <w:rPr>
                <w:rFonts w:eastAsia="Times New Roman"/>
              </w:rPr>
            </w:pPr>
            <w:r w:rsidRPr="00F53378">
              <w:t>Analytical and Capacity Development Partnership</w:t>
            </w:r>
          </w:p>
        </w:tc>
      </w:tr>
      <w:tr w:rsidR="00E37CED" w:rsidRPr="00F53378" w14:paraId="3DCF0EFA" w14:textId="77777777" w:rsidTr="00F11245">
        <w:tc>
          <w:tcPr>
            <w:tcW w:w="770" w:type="pct"/>
            <w:vAlign w:val="center"/>
            <w:hideMark/>
          </w:tcPr>
          <w:p w14:paraId="77DE3D4B" w14:textId="77777777" w:rsidR="00E37CED" w:rsidRPr="00F53378" w:rsidRDefault="008E3A4C" w:rsidP="00F11245">
            <w:pPr>
              <w:spacing w:after="0"/>
              <w:contextualSpacing/>
              <w:jc w:val="left"/>
              <w:rPr>
                <w:rFonts w:eastAsia="Times New Roman"/>
              </w:rPr>
            </w:pPr>
            <w:r w:rsidRPr="00F53378">
              <w:t>(</w:t>
            </w:r>
            <w:r w:rsidR="00E37CED" w:rsidRPr="00F53378">
              <w:t>AI</w:t>
            </w:r>
            <w:r w:rsidRPr="00F53378">
              <w:t>)</w:t>
            </w:r>
            <w:r w:rsidR="00E37CED" w:rsidRPr="00F53378">
              <w:t>BEP</w:t>
            </w:r>
          </w:p>
        </w:tc>
        <w:tc>
          <w:tcPr>
            <w:tcW w:w="4230" w:type="pct"/>
            <w:vAlign w:val="center"/>
            <w:hideMark/>
          </w:tcPr>
          <w:p w14:paraId="23E25B23" w14:textId="34BF03EF" w:rsidR="00F61BAC" w:rsidRPr="00F53378" w:rsidRDefault="008E3A4C" w:rsidP="00F11245">
            <w:pPr>
              <w:spacing w:after="0"/>
              <w:contextualSpacing/>
              <w:jc w:val="left"/>
              <w:rPr>
                <w:lang w:val="id-ID"/>
              </w:rPr>
            </w:pPr>
            <w:r w:rsidRPr="00F53378">
              <w:t>(</w:t>
            </w:r>
            <w:r w:rsidR="00E37CED" w:rsidRPr="00F53378">
              <w:t>Australia-Indonesia</w:t>
            </w:r>
            <w:r w:rsidRPr="00F53378">
              <w:t>)</w:t>
            </w:r>
            <w:r w:rsidR="00E37CED" w:rsidRPr="00F53378">
              <w:t xml:space="preserve"> Basic Education Program</w:t>
            </w:r>
          </w:p>
        </w:tc>
      </w:tr>
      <w:tr w:rsidR="00EA442C" w:rsidRPr="00F53378" w14:paraId="2D597389" w14:textId="77777777" w:rsidTr="00F11245">
        <w:tc>
          <w:tcPr>
            <w:tcW w:w="770" w:type="pct"/>
            <w:vAlign w:val="center"/>
            <w:hideMark/>
          </w:tcPr>
          <w:p w14:paraId="22ACF333" w14:textId="77777777" w:rsidR="00EA442C" w:rsidRPr="00F53378" w:rsidRDefault="00EA442C" w:rsidP="00F11245">
            <w:pPr>
              <w:spacing w:after="0"/>
              <w:contextualSpacing/>
              <w:jc w:val="left"/>
              <w:rPr>
                <w:rFonts w:eastAsia="Times New Roman"/>
              </w:rPr>
            </w:pPr>
            <w:r w:rsidRPr="00F53378">
              <w:t>APPR</w:t>
            </w:r>
          </w:p>
        </w:tc>
        <w:tc>
          <w:tcPr>
            <w:tcW w:w="4230" w:type="pct"/>
            <w:vAlign w:val="center"/>
            <w:hideMark/>
          </w:tcPr>
          <w:p w14:paraId="5FFAA359" w14:textId="77777777" w:rsidR="00EA442C" w:rsidRPr="00F53378" w:rsidRDefault="00EA442C" w:rsidP="00F11245">
            <w:pPr>
              <w:spacing w:after="0"/>
              <w:contextualSpacing/>
              <w:jc w:val="left"/>
              <w:rPr>
                <w:rFonts w:eastAsia="Times New Roman"/>
              </w:rPr>
            </w:pPr>
            <w:r w:rsidRPr="00F53378">
              <w:t>Annual Partnership Performance Report</w:t>
            </w:r>
          </w:p>
        </w:tc>
      </w:tr>
      <w:tr w:rsidR="00EA442C" w:rsidRPr="00F53378" w14:paraId="1C281B08" w14:textId="77777777" w:rsidTr="00F11245">
        <w:tc>
          <w:tcPr>
            <w:tcW w:w="770" w:type="pct"/>
            <w:vAlign w:val="center"/>
            <w:hideMark/>
          </w:tcPr>
          <w:p w14:paraId="6CE2C110" w14:textId="77777777" w:rsidR="00EA442C" w:rsidRPr="00F53378" w:rsidRDefault="00EA442C" w:rsidP="00F11245">
            <w:pPr>
              <w:spacing w:after="0"/>
              <w:contextualSpacing/>
              <w:jc w:val="left"/>
              <w:rPr>
                <w:rFonts w:eastAsia="Times New Roman"/>
              </w:rPr>
            </w:pPr>
            <w:r w:rsidRPr="00F53378">
              <w:t>AusAID</w:t>
            </w:r>
          </w:p>
        </w:tc>
        <w:tc>
          <w:tcPr>
            <w:tcW w:w="4230" w:type="pct"/>
            <w:vAlign w:val="center"/>
            <w:hideMark/>
          </w:tcPr>
          <w:p w14:paraId="521574A1" w14:textId="77777777" w:rsidR="00EA442C" w:rsidRPr="00F53378" w:rsidRDefault="00EA442C" w:rsidP="00F11245">
            <w:pPr>
              <w:spacing w:after="0"/>
              <w:contextualSpacing/>
              <w:jc w:val="left"/>
              <w:rPr>
                <w:rFonts w:eastAsia="Times New Roman"/>
              </w:rPr>
            </w:pPr>
            <w:r w:rsidRPr="00F53378">
              <w:t>Australian Agency for International Development</w:t>
            </w:r>
          </w:p>
        </w:tc>
      </w:tr>
      <w:tr w:rsidR="00EA442C" w:rsidRPr="00F53378" w14:paraId="325B4414" w14:textId="77777777" w:rsidTr="00F11245">
        <w:tc>
          <w:tcPr>
            <w:tcW w:w="770" w:type="pct"/>
            <w:vAlign w:val="center"/>
          </w:tcPr>
          <w:p w14:paraId="491FA958" w14:textId="77777777" w:rsidR="00EA442C" w:rsidRPr="00F53378" w:rsidRDefault="00EA442C" w:rsidP="00F11245">
            <w:pPr>
              <w:spacing w:after="0"/>
              <w:contextualSpacing/>
              <w:jc w:val="left"/>
              <w:rPr>
                <w:lang w:val="id-ID"/>
              </w:rPr>
            </w:pPr>
            <w:r w:rsidRPr="00F53378">
              <w:rPr>
                <w:lang w:val="id-ID"/>
              </w:rPr>
              <w:t>BAN S/M</w:t>
            </w:r>
          </w:p>
        </w:tc>
        <w:tc>
          <w:tcPr>
            <w:tcW w:w="4230" w:type="pct"/>
            <w:vAlign w:val="center"/>
          </w:tcPr>
          <w:p w14:paraId="5EB073E7" w14:textId="77777777" w:rsidR="00EA442C" w:rsidRPr="00F53378" w:rsidRDefault="00EA442C" w:rsidP="00597821">
            <w:pPr>
              <w:spacing w:after="0" w:line="240" w:lineRule="auto"/>
              <w:contextualSpacing/>
              <w:jc w:val="left"/>
              <w:rPr>
                <w:lang w:val="id-ID"/>
              </w:rPr>
            </w:pPr>
            <w:r w:rsidRPr="00F11245">
              <w:rPr>
                <w:i/>
                <w:lang w:val="id-ID"/>
              </w:rPr>
              <w:t>Badan Akreditasi Nasional Sekolah/Madrasah</w:t>
            </w:r>
            <w:r w:rsidRPr="00F53378">
              <w:rPr>
                <w:lang w:val="id-ID"/>
              </w:rPr>
              <w:t xml:space="preserve"> - Board of National Accreditation School/Madrasah</w:t>
            </w:r>
          </w:p>
        </w:tc>
      </w:tr>
      <w:tr w:rsidR="00EA442C" w:rsidRPr="00F53378" w14:paraId="61550CC5" w14:textId="77777777" w:rsidTr="00F11245">
        <w:tc>
          <w:tcPr>
            <w:tcW w:w="770" w:type="pct"/>
            <w:vAlign w:val="center"/>
          </w:tcPr>
          <w:p w14:paraId="73737E05" w14:textId="77777777" w:rsidR="00EA442C" w:rsidRPr="00F53378" w:rsidRDefault="00EA442C" w:rsidP="00F11245">
            <w:pPr>
              <w:spacing w:after="0"/>
              <w:contextualSpacing/>
              <w:jc w:val="left"/>
              <w:rPr>
                <w:lang w:val="en-AU"/>
              </w:rPr>
            </w:pPr>
            <w:r>
              <w:rPr>
                <w:lang w:val="en-AU"/>
              </w:rPr>
              <w:t>BAPPENAS</w:t>
            </w:r>
          </w:p>
        </w:tc>
        <w:tc>
          <w:tcPr>
            <w:tcW w:w="4230" w:type="pct"/>
            <w:vAlign w:val="center"/>
          </w:tcPr>
          <w:p w14:paraId="30B66BDF" w14:textId="6751964E" w:rsidR="00EA442C" w:rsidRPr="00597821" w:rsidRDefault="00E90F63" w:rsidP="00597821">
            <w:pPr>
              <w:spacing w:after="0" w:line="240" w:lineRule="auto"/>
              <w:contextualSpacing/>
              <w:jc w:val="left"/>
              <w:rPr>
                <w:i/>
                <w:lang w:val="id-ID"/>
              </w:rPr>
            </w:pPr>
            <w:r w:rsidRPr="00E90F63">
              <w:rPr>
                <w:i/>
                <w:lang w:val="id-ID"/>
              </w:rPr>
              <w:t>Badan Perencanaan Pembangunan Nasional</w:t>
            </w:r>
            <w:r w:rsidRPr="00597821">
              <w:rPr>
                <w:i/>
                <w:lang w:val="id-ID"/>
              </w:rPr>
              <w:t xml:space="preserve"> - National Development Planning Agency</w:t>
            </w:r>
          </w:p>
        </w:tc>
      </w:tr>
      <w:tr w:rsidR="00EA442C" w:rsidRPr="00AF1D30" w14:paraId="7D58DAB8" w14:textId="77777777" w:rsidTr="00F11245">
        <w:tc>
          <w:tcPr>
            <w:tcW w:w="770" w:type="pct"/>
            <w:vAlign w:val="center"/>
            <w:hideMark/>
          </w:tcPr>
          <w:p w14:paraId="4A47F6A3" w14:textId="77777777" w:rsidR="00EA442C" w:rsidRPr="00F53378" w:rsidRDefault="00EA442C" w:rsidP="00F11245">
            <w:pPr>
              <w:spacing w:after="0"/>
              <w:contextualSpacing/>
              <w:jc w:val="left"/>
              <w:rPr>
                <w:rFonts w:eastAsia="Times New Roman"/>
              </w:rPr>
            </w:pPr>
            <w:r w:rsidRPr="00F53378">
              <w:t>BOS</w:t>
            </w:r>
          </w:p>
        </w:tc>
        <w:tc>
          <w:tcPr>
            <w:tcW w:w="4230" w:type="pct"/>
            <w:vAlign w:val="center"/>
            <w:hideMark/>
          </w:tcPr>
          <w:p w14:paraId="45CDA5A7" w14:textId="77777777" w:rsidR="00EA442C" w:rsidRPr="00AF1D30" w:rsidRDefault="00EA442C" w:rsidP="00F11245">
            <w:pPr>
              <w:spacing w:after="0"/>
              <w:contextualSpacing/>
              <w:jc w:val="left"/>
              <w:rPr>
                <w:rFonts w:eastAsia="Times New Roman"/>
              </w:rPr>
            </w:pPr>
            <w:r w:rsidRPr="00F53378">
              <w:rPr>
                <w:i/>
              </w:rPr>
              <w:t xml:space="preserve">Bantuan Operasional Sekolah – </w:t>
            </w:r>
            <w:r w:rsidRPr="00F53378">
              <w:t>School Operational Funds</w:t>
            </w:r>
          </w:p>
        </w:tc>
      </w:tr>
      <w:tr w:rsidR="00EA442C" w:rsidRPr="00AF1D30" w14:paraId="086A4BF4" w14:textId="77777777" w:rsidTr="002E7501">
        <w:tc>
          <w:tcPr>
            <w:tcW w:w="770" w:type="pct"/>
            <w:vAlign w:val="center"/>
          </w:tcPr>
          <w:p w14:paraId="54CBC9FE" w14:textId="77777777" w:rsidR="00EA442C" w:rsidRPr="00AF1D30" w:rsidRDefault="00EA442C" w:rsidP="002E7501">
            <w:pPr>
              <w:spacing w:after="0"/>
              <w:contextualSpacing/>
              <w:jc w:val="left"/>
            </w:pPr>
            <w:r w:rsidRPr="00AF1D30">
              <w:t>C1 (2,3,4)</w:t>
            </w:r>
          </w:p>
        </w:tc>
        <w:tc>
          <w:tcPr>
            <w:tcW w:w="4230" w:type="pct"/>
            <w:vAlign w:val="center"/>
          </w:tcPr>
          <w:p w14:paraId="2910E693" w14:textId="77777777" w:rsidR="00EA442C" w:rsidRPr="00AF1D30" w:rsidRDefault="00EA442C" w:rsidP="002E7501">
            <w:pPr>
              <w:spacing w:after="0"/>
              <w:contextualSpacing/>
              <w:jc w:val="left"/>
            </w:pPr>
            <w:r w:rsidRPr="00AF1D30">
              <w:t>Component 1 (2,3,4)</w:t>
            </w:r>
          </w:p>
        </w:tc>
      </w:tr>
      <w:tr w:rsidR="00EA442C" w:rsidRPr="00F53378" w14:paraId="71FA9D6F" w14:textId="77777777" w:rsidTr="002E7501">
        <w:tc>
          <w:tcPr>
            <w:tcW w:w="770" w:type="pct"/>
            <w:vAlign w:val="center"/>
          </w:tcPr>
          <w:p w14:paraId="180C8A87" w14:textId="77777777" w:rsidR="00EA442C" w:rsidRPr="00F53378" w:rsidRDefault="00EA442C" w:rsidP="002E7501">
            <w:pPr>
              <w:spacing w:after="0"/>
              <w:contextualSpacing/>
              <w:jc w:val="left"/>
              <w:rPr>
                <w:lang w:val="id-ID"/>
              </w:rPr>
            </w:pPr>
            <w:r w:rsidRPr="00F53378">
              <w:rPr>
                <w:lang w:val="id-ID"/>
              </w:rPr>
              <w:t>CPD</w:t>
            </w:r>
          </w:p>
        </w:tc>
        <w:tc>
          <w:tcPr>
            <w:tcW w:w="4230" w:type="pct"/>
            <w:vAlign w:val="center"/>
          </w:tcPr>
          <w:p w14:paraId="342B08BA" w14:textId="77777777" w:rsidR="00EA442C" w:rsidRPr="00F53378" w:rsidRDefault="00EA442C" w:rsidP="002E7501">
            <w:pPr>
              <w:spacing w:after="0"/>
              <w:contextualSpacing/>
              <w:jc w:val="left"/>
              <w:rPr>
                <w:lang w:val="id-ID"/>
              </w:rPr>
            </w:pPr>
            <w:r w:rsidRPr="00F53378">
              <w:rPr>
                <w:lang w:val="id-ID"/>
              </w:rPr>
              <w:t>Continuous Professional Development</w:t>
            </w:r>
          </w:p>
        </w:tc>
      </w:tr>
      <w:tr w:rsidR="00EA442C" w:rsidRPr="00F53378" w14:paraId="270B7E01" w14:textId="77777777" w:rsidTr="002E7501">
        <w:tc>
          <w:tcPr>
            <w:tcW w:w="770" w:type="pct"/>
            <w:vAlign w:val="center"/>
          </w:tcPr>
          <w:p w14:paraId="4D0DCEF2" w14:textId="77777777" w:rsidR="00EA442C" w:rsidRPr="00F53378" w:rsidRDefault="00EA442C" w:rsidP="002E7501">
            <w:pPr>
              <w:spacing w:after="0"/>
              <w:contextualSpacing/>
              <w:jc w:val="left"/>
              <w:rPr>
                <w:lang w:val="en-AU"/>
              </w:rPr>
            </w:pPr>
            <w:r>
              <w:rPr>
                <w:lang w:val="en-AU"/>
              </w:rPr>
              <w:t>ECBP</w:t>
            </w:r>
          </w:p>
        </w:tc>
        <w:tc>
          <w:tcPr>
            <w:tcW w:w="4230" w:type="pct"/>
            <w:vAlign w:val="center"/>
          </w:tcPr>
          <w:p w14:paraId="25C8E525" w14:textId="14A96B3C" w:rsidR="00EA442C" w:rsidRPr="00EA442C" w:rsidRDefault="00EA442C" w:rsidP="002E7501">
            <w:pPr>
              <w:spacing w:after="0"/>
              <w:contextualSpacing/>
              <w:jc w:val="left"/>
              <w:rPr>
                <w:lang w:val="en-AU"/>
              </w:rPr>
            </w:pPr>
            <w:r>
              <w:rPr>
                <w:lang w:val="en-AU"/>
              </w:rPr>
              <w:t>Evaluation Capacity Building Program</w:t>
            </w:r>
          </w:p>
        </w:tc>
      </w:tr>
      <w:tr w:rsidR="00EA442C" w:rsidRPr="00AF1D30" w14:paraId="084E33F3" w14:textId="77777777" w:rsidTr="002E7501">
        <w:tc>
          <w:tcPr>
            <w:tcW w:w="770" w:type="pct"/>
            <w:vAlign w:val="center"/>
            <w:hideMark/>
          </w:tcPr>
          <w:p w14:paraId="43577DC7" w14:textId="77777777" w:rsidR="00EA442C" w:rsidRPr="00AF1D30" w:rsidRDefault="00EA442C" w:rsidP="002E7501">
            <w:pPr>
              <w:spacing w:after="0"/>
              <w:contextualSpacing/>
              <w:jc w:val="left"/>
              <w:rPr>
                <w:rFonts w:eastAsia="Times New Roman"/>
              </w:rPr>
            </w:pPr>
            <w:r w:rsidRPr="00AF1D30">
              <w:t>EP</w:t>
            </w:r>
          </w:p>
        </w:tc>
        <w:tc>
          <w:tcPr>
            <w:tcW w:w="4230" w:type="pct"/>
            <w:vAlign w:val="center"/>
            <w:hideMark/>
          </w:tcPr>
          <w:p w14:paraId="0E810FF7" w14:textId="77777777" w:rsidR="00EA442C" w:rsidRPr="00AF1D30" w:rsidRDefault="00EA442C" w:rsidP="002E7501">
            <w:pPr>
              <w:spacing w:after="0"/>
              <w:contextualSpacing/>
              <w:jc w:val="left"/>
              <w:rPr>
                <w:rFonts w:eastAsia="Times New Roman"/>
              </w:rPr>
            </w:pPr>
            <w:r w:rsidRPr="00AF1D30">
              <w:t>Education Partnership</w:t>
            </w:r>
          </w:p>
        </w:tc>
      </w:tr>
      <w:tr w:rsidR="00EA442C" w:rsidRPr="00AF1D30" w14:paraId="68BA42C8" w14:textId="77777777" w:rsidTr="002E7501">
        <w:tc>
          <w:tcPr>
            <w:tcW w:w="770" w:type="pct"/>
            <w:vAlign w:val="center"/>
            <w:hideMark/>
          </w:tcPr>
          <w:p w14:paraId="381AA643" w14:textId="77777777" w:rsidR="00EA442C" w:rsidRPr="00AF1D30" w:rsidRDefault="00EA442C" w:rsidP="002E7501">
            <w:pPr>
              <w:spacing w:after="0"/>
              <w:contextualSpacing/>
              <w:jc w:val="left"/>
              <w:rPr>
                <w:rFonts w:eastAsia="Times New Roman"/>
              </w:rPr>
            </w:pPr>
            <w:r w:rsidRPr="00AF1D30">
              <w:t>EP-PMS</w:t>
            </w:r>
          </w:p>
        </w:tc>
        <w:tc>
          <w:tcPr>
            <w:tcW w:w="4230" w:type="pct"/>
            <w:vAlign w:val="center"/>
            <w:hideMark/>
          </w:tcPr>
          <w:p w14:paraId="71691E3F" w14:textId="77777777" w:rsidR="00EA442C" w:rsidRPr="00AF1D30" w:rsidRDefault="00EA442C" w:rsidP="002E7501">
            <w:pPr>
              <w:spacing w:after="0"/>
              <w:contextualSpacing/>
              <w:jc w:val="left"/>
              <w:rPr>
                <w:rFonts w:eastAsia="Times New Roman"/>
              </w:rPr>
            </w:pPr>
            <w:r w:rsidRPr="00AF1D30">
              <w:t>Education Partnership – Performance Management System</w:t>
            </w:r>
          </w:p>
        </w:tc>
      </w:tr>
      <w:tr w:rsidR="00EA442C" w:rsidRPr="00AF1D30" w14:paraId="0D99F0F9" w14:textId="77777777" w:rsidTr="002E7501">
        <w:tc>
          <w:tcPr>
            <w:tcW w:w="770" w:type="pct"/>
            <w:vAlign w:val="center"/>
            <w:hideMark/>
          </w:tcPr>
          <w:p w14:paraId="109E2246" w14:textId="77777777" w:rsidR="00EA442C" w:rsidRPr="00AF1D30" w:rsidRDefault="00EA442C" w:rsidP="002E7501">
            <w:pPr>
              <w:spacing w:after="0"/>
              <w:contextualSpacing/>
              <w:jc w:val="left"/>
              <w:rPr>
                <w:rFonts w:eastAsia="Times New Roman"/>
              </w:rPr>
            </w:pPr>
            <w:r w:rsidRPr="00AF1D30">
              <w:t>EOPO</w:t>
            </w:r>
          </w:p>
        </w:tc>
        <w:tc>
          <w:tcPr>
            <w:tcW w:w="4230" w:type="pct"/>
            <w:vAlign w:val="center"/>
            <w:hideMark/>
          </w:tcPr>
          <w:p w14:paraId="1D958EF4" w14:textId="77777777" w:rsidR="00EA442C" w:rsidRPr="00AF1D30" w:rsidRDefault="00EA442C" w:rsidP="002E7501">
            <w:pPr>
              <w:spacing w:after="0"/>
              <w:contextualSpacing/>
              <w:jc w:val="left"/>
              <w:rPr>
                <w:rFonts w:eastAsia="Times New Roman"/>
              </w:rPr>
            </w:pPr>
            <w:r w:rsidRPr="00AF1D30">
              <w:t>End of Partnership Outcomes</w:t>
            </w:r>
          </w:p>
        </w:tc>
      </w:tr>
      <w:tr w:rsidR="00EA442C" w:rsidRPr="00F53378" w14:paraId="072B3203" w14:textId="77777777" w:rsidTr="002E7501">
        <w:tc>
          <w:tcPr>
            <w:tcW w:w="770" w:type="pct"/>
            <w:vAlign w:val="center"/>
          </w:tcPr>
          <w:p w14:paraId="1CCDF216" w14:textId="77777777" w:rsidR="00EA442C" w:rsidRPr="00F53378" w:rsidRDefault="00EA442C" w:rsidP="002E7501">
            <w:pPr>
              <w:spacing w:after="0"/>
              <w:contextualSpacing/>
              <w:jc w:val="left"/>
              <w:rPr>
                <w:lang w:val="en-AU"/>
              </w:rPr>
            </w:pPr>
            <w:r>
              <w:rPr>
                <w:lang w:val="en-AU"/>
              </w:rPr>
              <w:t>GDP</w:t>
            </w:r>
          </w:p>
        </w:tc>
        <w:tc>
          <w:tcPr>
            <w:tcW w:w="4230" w:type="pct"/>
            <w:vAlign w:val="center"/>
          </w:tcPr>
          <w:p w14:paraId="23CCE99F" w14:textId="42838841" w:rsidR="00EA442C" w:rsidRPr="00EA442C" w:rsidRDefault="00EA442C" w:rsidP="002E7501">
            <w:pPr>
              <w:spacing w:after="0"/>
              <w:contextualSpacing/>
              <w:jc w:val="left"/>
              <w:rPr>
                <w:lang w:val="en-AU"/>
              </w:rPr>
            </w:pPr>
            <w:r>
              <w:rPr>
                <w:lang w:val="en-AU"/>
              </w:rPr>
              <w:t>Gross Domestic Product</w:t>
            </w:r>
          </w:p>
        </w:tc>
      </w:tr>
      <w:tr w:rsidR="00EA442C" w:rsidRPr="00F53378" w14:paraId="071FD944" w14:textId="77777777" w:rsidTr="002E7501">
        <w:tc>
          <w:tcPr>
            <w:tcW w:w="770" w:type="pct"/>
            <w:vAlign w:val="center"/>
          </w:tcPr>
          <w:p w14:paraId="4F73F9F1" w14:textId="7DB57B40" w:rsidR="00EA442C" w:rsidRPr="00EA442C" w:rsidRDefault="00EA442C" w:rsidP="002E7501">
            <w:pPr>
              <w:spacing w:after="0"/>
              <w:contextualSpacing/>
              <w:jc w:val="left"/>
              <w:rPr>
                <w:lang w:val="en-AU"/>
              </w:rPr>
            </w:pPr>
            <w:r w:rsidRPr="00F53378">
              <w:rPr>
                <w:lang w:val="id-ID"/>
              </w:rPr>
              <w:t>GER</w:t>
            </w:r>
          </w:p>
        </w:tc>
        <w:tc>
          <w:tcPr>
            <w:tcW w:w="4230" w:type="pct"/>
            <w:vAlign w:val="center"/>
          </w:tcPr>
          <w:p w14:paraId="2F48638D" w14:textId="36464FAB" w:rsidR="00EA442C" w:rsidRPr="00F53378" w:rsidRDefault="00EA442C" w:rsidP="002E7501">
            <w:pPr>
              <w:spacing w:after="0"/>
              <w:contextualSpacing/>
              <w:jc w:val="left"/>
              <w:rPr>
                <w:lang w:val="id-ID"/>
              </w:rPr>
            </w:pPr>
            <w:r w:rsidRPr="00F53378">
              <w:rPr>
                <w:lang w:val="id-ID"/>
              </w:rPr>
              <w:t>Gross Enrolment Rate</w:t>
            </w:r>
          </w:p>
        </w:tc>
      </w:tr>
      <w:tr w:rsidR="00EA442C" w:rsidRPr="00F53378" w14:paraId="7F20DA33" w14:textId="77777777" w:rsidTr="002E7501">
        <w:tc>
          <w:tcPr>
            <w:tcW w:w="770" w:type="pct"/>
            <w:vAlign w:val="center"/>
          </w:tcPr>
          <w:p w14:paraId="784633ED" w14:textId="256C223F" w:rsidR="00EA442C" w:rsidRPr="00EA442C" w:rsidRDefault="00EA442C" w:rsidP="002E7501">
            <w:pPr>
              <w:spacing w:after="0"/>
              <w:contextualSpacing/>
              <w:jc w:val="left"/>
              <w:rPr>
                <w:lang w:val="en-AU"/>
              </w:rPr>
            </w:pPr>
            <w:r w:rsidRPr="00F53378">
              <w:rPr>
                <w:lang w:val="id-ID"/>
              </w:rPr>
              <w:t>GoA</w:t>
            </w:r>
          </w:p>
        </w:tc>
        <w:tc>
          <w:tcPr>
            <w:tcW w:w="4230" w:type="pct"/>
            <w:vAlign w:val="center"/>
          </w:tcPr>
          <w:p w14:paraId="38430B9A" w14:textId="406A9896" w:rsidR="00EA442C" w:rsidRPr="00F53378" w:rsidRDefault="00EA442C" w:rsidP="002E7501">
            <w:pPr>
              <w:spacing w:after="0"/>
              <w:contextualSpacing/>
              <w:jc w:val="left"/>
              <w:rPr>
                <w:lang w:val="id-ID"/>
              </w:rPr>
            </w:pPr>
            <w:r w:rsidRPr="00F53378">
              <w:rPr>
                <w:lang w:val="id-ID"/>
              </w:rPr>
              <w:t>Government of Australia</w:t>
            </w:r>
          </w:p>
        </w:tc>
      </w:tr>
      <w:tr w:rsidR="00EA442C" w:rsidRPr="00F53378" w14:paraId="6858C9BE" w14:textId="77777777" w:rsidTr="00F53378">
        <w:tc>
          <w:tcPr>
            <w:tcW w:w="770" w:type="pct"/>
            <w:vAlign w:val="center"/>
          </w:tcPr>
          <w:p w14:paraId="04E11060" w14:textId="656432A0" w:rsidR="00EA442C" w:rsidRPr="00EA442C" w:rsidRDefault="00EA442C" w:rsidP="00F53378">
            <w:pPr>
              <w:spacing w:after="0"/>
              <w:contextualSpacing/>
              <w:jc w:val="left"/>
              <w:rPr>
                <w:lang w:val="en-AU"/>
              </w:rPr>
            </w:pPr>
            <w:r w:rsidRPr="00F53378">
              <w:rPr>
                <w:lang w:val="id-ID"/>
              </w:rPr>
              <w:t>GoI</w:t>
            </w:r>
          </w:p>
        </w:tc>
        <w:tc>
          <w:tcPr>
            <w:tcW w:w="4230" w:type="pct"/>
            <w:vAlign w:val="center"/>
          </w:tcPr>
          <w:p w14:paraId="493DF124" w14:textId="4FF70262" w:rsidR="00EA442C" w:rsidRPr="00F53378" w:rsidRDefault="00EA442C" w:rsidP="00F53378">
            <w:pPr>
              <w:spacing w:after="0"/>
              <w:contextualSpacing/>
              <w:jc w:val="left"/>
              <w:rPr>
                <w:lang w:val="id-ID"/>
              </w:rPr>
            </w:pPr>
            <w:r w:rsidRPr="00F53378">
              <w:rPr>
                <w:lang w:val="id-ID"/>
              </w:rPr>
              <w:t>Government of Indonesia</w:t>
            </w:r>
          </w:p>
        </w:tc>
      </w:tr>
      <w:tr w:rsidR="00EA442C" w:rsidRPr="00F53378" w14:paraId="4B734116" w14:textId="77777777" w:rsidTr="002E7501">
        <w:tc>
          <w:tcPr>
            <w:tcW w:w="770" w:type="pct"/>
            <w:vAlign w:val="center"/>
          </w:tcPr>
          <w:p w14:paraId="6A8489D3" w14:textId="77777777" w:rsidR="00EA442C" w:rsidRPr="00F53378" w:rsidRDefault="00EA442C" w:rsidP="002E7501">
            <w:pPr>
              <w:spacing w:after="0"/>
              <w:contextualSpacing/>
              <w:jc w:val="left"/>
              <w:rPr>
                <w:lang w:val="id-ID"/>
              </w:rPr>
            </w:pPr>
            <w:r w:rsidRPr="00F53378">
              <w:rPr>
                <w:lang w:val="id-ID"/>
              </w:rPr>
              <w:t>HRM</w:t>
            </w:r>
            <w:r>
              <w:rPr>
                <w:lang w:val="en-AU"/>
              </w:rPr>
              <w:t>/</w:t>
            </w:r>
            <w:r w:rsidRPr="00F53378">
              <w:rPr>
                <w:lang w:val="id-ID"/>
              </w:rPr>
              <w:t>D</w:t>
            </w:r>
          </w:p>
        </w:tc>
        <w:tc>
          <w:tcPr>
            <w:tcW w:w="4230" w:type="pct"/>
            <w:vAlign w:val="center"/>
          </w:tcPr>
          <w:p w14:paraId="79A85FE1" w14:textId="77777777" w:rsidR="00EA442C" w:rsidRPr="00F53378" w:rsidRDefault="00EA442C" w:rsidP="002E7501">
            <w:pPr>
              <w:spacing w:after="0"/>
              <w:contextualSpacing/>
              <w:jc w:val="left"/>
              <w:rPr>
                <w:lang w:val="id-ID"/>
              </w:rPr>
            </w:pPr>
            <w:r w:rsidRPr="00F53378">
              <w:rPr>
                <w:lang w:val="id-ID"/>
              </w:rPr>
              <w:t>Human Resource Management / Development</w:t>
            </w:r>
          </w:p>
        </w:tc>
      </w:tr>
      <w:tr w:rsidR="00657F84" w:rsidRPr="00F53378" w14:paraId="7259F11D" w14:textId="77777777" w:rsidTr="002E7501">
        <w:tc>
          <w:tcPr>
            <w:tcW w:w="770" w:type="pct"/>
            <w:vAlign w:val="center"/>
          </w:tcPr>
          <w:p w14:paraId="58D025CD" w14:textId="7F83D04E" w:rsidR="00657F84" w:rsidRDefault="00657F84" w:rsidP="002E7501">
            <w:pPr>
              <w:spacing w:after="0"/>
              <w:contextualSpacing/>
              <w:jc w:val="left"/>
              <w:rPr>
                <w:lang w:val="en-AU"/>
              </w:rPr>
            </w:pPr>
            <w:r>
              <w:rPr>
                <w:lang w:val="en-AU"/>
              </w:rPr>
              <w:t>IPDET</w:t>
            </w:r>
          </w:p>
        </w:tc>
        <w:tc>
          <w:tcPr>
            <w:tcW w:w="4230" w:type="pct"/>
            <w:vAlign w:val="center"/>
          </w:tcPr>
          <w:p w14:paraId="4446FCB8" w14:textId="75A45B79" w:rsidR="00657F84" w:rsidRDefault="00D15516" w:rsidP="002E7501">
            <w:pPr>
              <w:spacing w:after="0"/>
              <w:contextualSpacing/>
              <w:jc w:val="left"/>
              <w:rPr>
                <w:lang w:val="en-AU"/>
              </w:rPr>
            </w:pPr>
            <w:r>
              <w:rPr>
                <w:lang w:val="en-AU"/>
              </w:rPr>
              <w:t>International Program for Development Evaluation Training</w:t>
            </w:r>
          </w:p>
        </w:tc>
      </w:tr>
      <w:tr w:rsidR="00EA442C" w:rsidRPr="00F53378" w14:paraId="5D6863A7" w14:textId="77777777" w:rsidTr="002E7501">
        <w:tc>
          <w:tcPr>
            <w:tcW w:w="770" w:type="pct"/>
            <w:vAlign w:val="center"/>
          </w:tcPr>
          <w:p w14:paraId="0087029A" w14:textId="77777777" w:rsidR="00EA442C" w:rsidRPr="00F53378" w:rsidRDefault="00EA442C" w:rsidP="002E7501">
            <w:pPr>
              <w:spacing w:after="0"/>
              <w:contextualSpacing/>
              <w:jc w:val="left"/>
              <w:rPr>
                <w:lang w:val="en-AU"/>
              </w:rPr>
            </w:pPr>
            <w:r>
              <w:rPr>
                <w:lang w:val="en-AU"/>
              </w:rPr>
              <w:t>JRF</w:t>
            </w:r>
          </w:p>
        </w:tc>
        <w:tc>
          <w:tcPr>
            <w:tcW w:w="4230" w:type="pct"/>
            <w:vAlign w:val="center"/>
          </w:tcPr>
          <w:p w14:paraId="567B90A1" w14:textId="4B0F0CF0" w:rsidR="00EA442C" w:rsidRPr="00EA442C" w:rsidRDefault="00EA442C" w:rsidP="002E7501">
            <w:pPr>
              <w:spacing w:after="0"/>
              <w:contextualSpacing/>
              <w:jc w:val="left"/>
              <w:rPr>
                <w:lang w:val="en-AU"/>
              </w:rPr>
            </w:pPr>
            <w:r>
              <w:rPr>
                <w:lang w:val="en-AU"/>
              </w:rPr>
              <w:t>Joint Results Framework</w:t>
            </w:r>
          </w:p>
        </w:tc>
      </w:tr>
      <w:tr w:rsidR="00EA442C" w:rsidRPr="00F53378" w14:paraId="60668DD5" w14:textId="77777777" w:rsidTr="002E7501">
        <w:tc>
          <w:tcPr>
            <w:tcW w:w="770" w:type="pct"/>
            <w:vAlign w:val="center"/>
          </w:tcPr>
          <w:p w14:paraId="70F0B947" w14:textId="77777777" w:rsidR="00EA442C" w:rsidRPr="00F53378" w:rsidRDefault="00EA442C" w:rsidP="002E7501">
            <w:pPr>
              <w:spacing w:after="0"/>
              <w:contextualSpacing/>
              <w:jc w:val="left"/>
              <w:rPr>
                <w:lang w:val="id-ID"/>
              </w:rPr>
            </w:pPr>
            <w:r w:rsidRPr="00F53378">
              <w:rPr>
                <w:lang w:val="id-ID"/>
              </w:rPr>
              <w:t>JSE</w:t>
            </w:r>
          </w:p>
        </w:tc>
        <w:tc>
          <w:tcPr>
            <w:tcW w:w="4230" w:type="pct"/>
            <w:vAlign w:val="center"/>
          </w:tcPr>
          <w:p w14:paraId="5E00D134" w14:textId="77777777" w:rsidR="00EA442C" w:rsidRPr="00F53378" w:rsidRDefault="00EA442C" w:rsidP="002E7501">
            <w:pPr>
              <w:spacing w:after="0"/>
              <w:contextualSpacing/>
              <w:jc w:val="left"/>
              <w:rPr>
                <w:lang w:val="id-ID"/>
              </w:rPr>
            </w:pPr>
            <w:r w:rsidRPr="00F53378">
              <w:rPr>
                <w:lang w:val="id-ID"/>
              </w:rPr>
              <w:t>Junior Secondary Education</w:t>
            </w:r>
          </w:p>
        </w:tc>
      </w:tr>
      <w:tr w:rsidR="00EA442C" w:rsidRPr="00F53378" w14:paraId="28FC75C7" w14:textId="77777777" w:rsidTr="002E7501">
        <w:tc>
          <w:tcPr>
            <w:tcW w:w="770" w:type="pct"/>
            <w:vAlign w:val="center"/>
          </w:tcPr>
          <w:p w14:paraId="0BEC5D1A" w14:textId="77777777" w:rsidR="00EA442C" w:rsidRPr="00EA442C" w:rsidRDefault="00EA442C" w:rsidP="002E7501">
            <w:pPr>
              <w:spacing w:after="0"/>
              <w:contextualSpacing/>
              <w:jc w:val="left"/>
              <w:rPr>
                <w:lang w:val="en-AU"/>
              </w:rPr>
            </w:pPr>
            <w:r>
              <w:rPr>
                <w:lang w:val="en-AU"/>
              </w:rPr>
              <w:t>KSI</w:t>
            </w:r>
          </w:p>
        </w:tc>
        <w:tc>
          <w:tcPr>
            <w:tcW w:w="4230" w:type="pct"/>
            <w:vAlign w:val="center"/>
          </w:tcPr>
          <w:p w14:paraId="05BC6F0A" w14:textId="1B703F89" w:rsidR="00EA442C" w:rsidRPr="00EA442C" w:rsidRDefault="00EA442C" w:rsidP="002E7501">
            <w:pPr>
              <w:spacing w:after="0"/>
              <w:contextualSpacing/>
              <w:jc w:val="left"/>
              <w:rPr>
                <w:lang w:val="en-AU"/>
              </w:rPr>
            </w:pPr>
            <w:r>
              <w:rPr>
                <w:lang w:val="en-AU"/>
              </w:rPr>
              <w:t>Knowledge Sector Initiative</w:t>
            </w:r>
          </w:p>
        </w:tc>
      </w:tr>
      <w:tr w:rsidR="00EA442C" w:rsidRPr="00F53378" w14:paraId="35BAA985" w14:textId="77777777" w:rsidTr="002E7501">
        <w:tc>
          <w:tcPr>
            <w:tcW w:w="770" w:type="pct"/>
            <w:vAlign w:val="center"/>
          </w:tcPr>
          <w:p w14:paraId="42894B3A" w14:textId="77777777" w:rsidR="00EA442C" w:rsidRPr="00E90F63" w:rsidRDefault="00EA442C" w:rsidP="002E7501">
            <w:pPr>
              <w:spacing w:after="0"/>
              <w:contextualSpacing/>
              <w:jc w:val="left"/>
            </w:pPr>
            <w:r w:rsidRPr="00E90F63">
              <w:t>LPPKS</w:t>
            </w:r>
          </w:p>
        </w:tc>
        <w:tc>
          <w:tcPr>
            <w:tcW w:w="4230" w:type="pct"/>
            <w:vAlign w:val="center"/>
          </w:tcPr>
          <w:p w14:paraId="2817D7B3" w14:textId="19DA2669" w:rsidR="00EA442C" w:rsidRPr="00597821" w:rsidRDefault="00835AD1" w:rsidP="00597821">
            <w:pPr>
              <w:spacing w:after="0" w:line="240" w:lineRule="auto"/>
              <w:contextualSpacing/>
              <w:jc w:val="left"/>
              <w:rPr>
                <w:i/>
                <w:lang w:val="id-ID"/>
              </w:rPr>
            </w:pPr>
            <w:r w:rsidRPr="00597821">
              <w:rPr>
                <w:i/>
                <w:lang w:val="id-ID"/>
              </w:rPr>
              <w:t>Lembaga Pengembangan and Pemberdayaan Kepala Sekolah</w:t>
            </w:r>
            <w:r w:rsidR="00E90F63" w:rsidRPr="00597821">
              <w:rPr>
                <w:i/>
                <w:lang w:val="id-ID"/>
              </w:rPr>
              <w:t xml:space="preserve"> - Board of School Principal Development and Empowerment</w:t>
            </w:r>
          </w:p>
        </w:tc>
      </w:tr>
      <w:tr w:rsidR="00EA442C" w:rsidRPr="00F53378" w14:paraId="1133A239" w14:textId="77777777" w:rsidTr="002E7501">
        <w:tc>
          <w:tcPr>
            <w:tcW w:w="770" w:type="pct"/>
            <w:vAlign w:val="center"/>
          </w:tcPr>
          <w:p w14:paraId="0A70AB7C" w14:textId="77777777" w:rsidR="00EA442C" w:rsidRPr="00EA442C" w:rsidRDefault="00EA442C" w:rsidP="002E7501">
            <w:pPr>
              <w:spacing w:after="0"/>
              <w:contextualSpacing/>
              <w:jc w:val="left"/>
              <w:rPr>
                <w:lang w:val="en-AU"/>
              </w:rPr>
            </w:pPr>
            <w:r>
              <w:rPr>
                <w:lang w:val="en-AU"/>
              </w:rPr>
              <w:t>MDC</w:t>
            </w:r>
          </w:p>
        </w:tc>
        <w:tc>
          <w:tcPr>
            <w:tcW w:w="4230" w:type="pct"/>
            <w:vAlign w:val="center"/>
          </w:tcPr>
          <w:p w14:paraId="1F6F704B" w14:textId="4C30CA70" w:rsidR="00EA442C" w:rsidRPr="00657F84" w:rsidRDefault="00657F84" w:rsidP="002E7501">
            <w:pPr>
              <w:spacing w:after="0"/>
              <w:contextualSpacing/>
              <w:jc w:val="left"/>
              <w:rPr>
                <w:lang w:val="en-AU"/>
              </w:rPr>
            </w:pPr>
            <w:r>
              <w:rPr>
                <w:lang w:val="en-AU"/>
              </w:rPr>
              <w:t>Madrasah Development Centre</w:t>
            </w:r>
          </w:p>
        </w:tc>
      </w:tr>
      <w:tr w:rsidR="00EA442C" w:rsidRPr="00AF1D30" w14:paraId="2B21D6C4" w14:textId="77777777" w:rsidTr="002E7501">
        <w:tc>
          <w:tcPr>
            <w:tcW w:w="770" w:type="pct"/>
            <w:vAlign w:val="center"/>
            <w:hideMark/>
          </w:tcPr>
          <w:p w14:paraId="24950EA2" w14:textId="77777777" w:rsidR="00EA442C" w:rsidRPr="00AF1D30" w:rsidRDefault="00EA442C" w:rsidP="002E7501">
            <w:pPr>
              <w:spacing w:after="0"/>
              <w:contextualSpacing/>
              <w:jc w:val="left"/>
              <w:rPr>
                <w:rFonts w:eastAsia="Times New Roman"/>
              </w:rPr>
            </w:pPr>
            <w:r w:rsidRPr="00AF1D30">
              <w:t>MoEC</w:t>
            </w:r>
          </w:p>
        </w:tc>
        <w:tc>
          <w:tcPr>
            <w:tcW w:w="4230" w:type="pct"/>
            <w:vAlign w:val="center"/>
            <w:hideMark/>
          </w:tcPr>
          <w:p w14:paraId="055F1128" w14:textId="77777777" w:rsidR="00EA442C" w:rsidRPr="00AF1D30" w:rsidRDefault="00EA442C" w:rsidP="002E7501">
            <w:pPr>
              <w:spacing w:after="0"/>
              <w:contextualSpacing/>
              <w:jc w:val="left"/>
              <w:rPr>
                <w:rFonts w:eastAsia="Times New Roman"/>
              </w:rPr>
            </w:pPr>
            <w:r w:rsidRPr="00AF1D30">
              <w:t>Ministry of Education and Culture</w:t>
            </w:r>
          </w:p>
        </w:tc>
      </w:tr>
      <w:tr w:rsidR="00657F84" w:rsidRPr="00AF1D30" w14:paraId="07E744AB" w14:textId="77777777" w:rsidTr="002E7501">
        <w:tc>
          <w:tcPr>
            <w:tcW w:w="770" w:type="pct"/>
            <w:vAlign w:val="center"/>
          </w:tcPr>
          <w:p w14:paraId="54A00E49" w14:textId="4E420533" w:rsidR="00657F84" w:rsidRPr="00AF1D30" w:rsidRDefault="00657F84" w:rsidP="002E7501">
            <w:pPr>
              <w:spacing w:after="0"/>
              <w:contextualSpacing/>
              <w:jc w:val="left"/>
            </w:pPr>
            <w:r>
              <w:t>MoHA</w:t>
            </w:r>
          </w:p>
        </w:tc>
        <w:tc>
          <w:tcPr>
            <w:tcW w:w="4230" w:type="pct"/>
            <w:vAlign w:val="center"/>
          </w:tcPr>
          <w:p w14:paraId="1B50DAD1" w14:textId="2476E76F" w:rsidR="00657F84" w:rsidRPr="00AF1D30" w:rsidRDefault="00657F84" w:rsidP="002E7501">
            <w:pPr>
              <w:spacing w:after="0"/>
              <w:contextualSpacing/>
              <w:jc w:val="left"/>
            </w:pPr>
            <w:r>
              <w:t>Ministry of Home Affairs</w:t>
            </w:r>
          </w:p>
        </w:tc>
      </w:tr>
      <w:tr w:rsidR="00657F84" w:rsidRPr="00AF1D30" w14:paraId="7E906605" w14:textId="77777777" w:rsidTr="002E7501">
        <w:tc>
          <w:tcPr>
            <w:tcW w:w="770" w:type="pct"/>
            <w:vAlign w:val="center"/>
          </w:tcPr>
          <w:p w14:paraId="1C38983B" w14:textId="55CE4E64" w:rsidR="00657F84" w:rsidRPr="00AF1D30" w:rsidRDefault="00657F84" w:rsidP="002E7501">
            <w:pPr>
              <w:spacing w:after="0"/>
              <w:contextualSpacing/>
              <w:jc w:val="left"/>
            </w:pPr>
            <w:r>
              <w:t>MoPW</w:t>
            </w:r>
          </w:p>
        </w:tc>
        <w:tc>
          <w:tcPr>
            <w:tcW w:w="4230" w:type="pct"/>
            <w:vAlign w:val="center"/>
          </w:tcPr>
          <w:p w14:paraId="4234CC5A" w14:textId="15C00356" w:rsidR="00657F84" w:rsidRPr="00AF1D30" w:rsidRDefault="00657F84" w:rsidP="00657F84">
            <w:pPr>
              <w:spacing w:after="0"/>
              <w:contextualSpacing/>
              <w:jc w:val="left"/>
            </w:pPr>
            <w:r>
              <w:t>Ministry of Public Works</w:t>
            </w:r>
          </w:p>
        </w:tc>
      </w:tr>
      <w:tr w:rsidR="00EA442C" w:rsidRPr="00AF1D30" w14:paraId="1FEBB056" w14:textId="77777777" w:rsidTr="002E7501">
        <w:tc>
          <w:tcPr>
            <w:tcW w:w="770" w:type="pct"/>
            <w:vAlign w:val="center"/>
            <w:hideMark/>
          </w:tcPr>
          <w:p w14:paraId="4C38EFA0" w14:textId="77777777" w:rsidR="00EA442C" w:rsidRPr="00AF1D30" w:rsidRDefault="00EA442C" w:rsidP="002E7501">
            <w:pPr>
              <w:spacing w:after="0"/>
              <w:contextualSpacing/>
              <w:jc w:val="left"/>
              <w:rPr>
                <w:rFonts w:eastAsia="Times New Roman"/>
              </w:rPr>
            </w:pPr>
            <w:r w:rsidRPr="00AF1D30">
              <w:t>Mo</w:t>
            </w:r>
            <w:r>
              <w:t>RA</w:t>
            </w:r>
          </w:p>
        </w:tc>
        <w:tc>
          <w:tcPr>
            <w:tcW w:w="4230" w:type="pct"/>
            <w:vAlign w:val="center"/>
            <w:hideMark/>
          </w:tcPr>
          <w:p w14:paraId="3F4D9F79" w14:textId="77777777" w:rsidR="00EA442C" w:rsidRPr="00AF1D30" w:rsidRDefault="00EA442C" w:rsidP="002E7501">
            <w:pPr>
              <w:spacing w:after="0"/>
              <w:contextualSpacing/>
              <w:jc w:val="left"/>
              <w:rPr>
                <w:rFonts w:eastAsia="Times New Roman"/>
              </w:rPr>
            </w:pPr>
            <w:r w:rsidRPr="00AF1D30">
              <w:t xml:space="preserve">Ministry of </w:t>
            </w:r>
            <w:r>
              <w:t>Religious Affairs</w:t>
            </w:r>
            <w:r w:rsidRPr="00AF1D30">
              <w:t xml:space="preserve"> </w:t>
            </w:r>
          </w:p>
        </w:tc>
      </w:tr>
      <w:tr w:rsidR="00EA442C" w:rsidRPr="00F53378" w14:paraId="3EC7BCB0" w14:textId="77777777" w:rsidTr="002E7501">
        <w:tc>
          <w:tcPr>
            <w:tcW w:w="770" w:type="pct"/>
            <w:vAlign w:val="center"/>
          </w:tcPr>
          <w:p w14:paraId="57CF644D" w14:textId="77777777" w:rsidR="00EA442C" w:rsidRPr="00EA442C" w:rsidRDefault="00EA442C" w:rsidP="002E7501">
            <w:pPr>
              <w:spacing w:after="0"/>
              <w:contextualSpacing/>
              <w:jc w:val="left"/>
              <w:rPr>
                <w:lang w:val="en-AU"/>
              </w:rPr>
            </w:pPr>
            <w:r>
              <w:rPr>
                <w:lang w:val="en-AU"/>
              </w:rPr>
              <w:t>MoA</w:t>
            </w:r>
          </w:p>
        </w:tc>
        <w:tc>
          <w:tcPr>
            <w:tcW w:w="4230" w:type="pct"/>
            <w:vAlign w:val="center"/>
          </w:tcPr>
          <w:p w14:paraId="4A47C7C5" w14:textId="3C423746" w:rsidR="00EA442C" w:rsidRPr="00EA442C" w:rsidRDefault="00EA442C" w:rsidP="002E7501">
            <w:pPr>
              <w:spacing w:after="0"/>
              <w:contextualSpacing/>
              <w:jc w:val="left"/>
              <w:rPr>
                <w:lang w:val="en-AU"/>
              </w:rPr>
            </w:pPr>
            <w:r>
              <w:rPr>
                <w:lang w:val="en-AU"/>
              </w:rPr>
              <w:t xml:space="preserve">Memorandum of Agreement </w:t>
            </w:r>
          </w:p>
        </w:tc>
      </w:tr>
      <w:tr w:rsidR="00EA442C" w:rsidRPr="00F53378" w14:paraId="45F0DD75" w14:textId="77777777" w:rsidTr="00F53378">
        <w:tc>
          <w:tcPr>
            <w:tcW w:w="770" w:type="pct"/>
            <w:vAlign w:val="center"/>
          </w:tcPr>
          <w:p w14:paraId="4585F0DA" w14:textId="24F30D03" w:rsidR="00EA442C" w:rsidRPr="00EA442C" w:rsidRDefault="00EA442C" w:rsidP="00F53378">
            <w:pPr>
              <w:spacing w:after="0"/>
              <w:contextualSpacing/>
              <w:jc w:val="left"/>
              <w:rPr>
                <w:lang w:val="en-AU"/>
              </w:rPr>
            </w:pPr>
            <w:r>
              <w:rPr>
                <w:lang w:val="en-AU"/>
              </w:rPr>
              <w:t>NER</w:t>
            </w:r>
          </w:p>
        </w:tc>
        <w:tc>
          <w:tcPr>
            <w:tcW w:w="4230" w:type="pct"/>
            <w:vAlign w:val="center"/>
          </w:tcPr>
          <w:p w14:paraId="3E75BD6D" w14:textId="06D30069" w:rsidR="00EA442C" w:rsidRPr="00657F84" w:rsidRDefault="00657F84" w:rsidP="00F53378">
            <w:pPr>
              <w:spacing w:after="0"/>
              <w:contextualSpacing/>
              <w:jc w:val="left"/>
              <w:rPr>
                <w:lang w:val="en-AU"/>
              </w:rPr>
            </w:pPr>
            <w:r>
              <w:rPr>
                <w:lang w:val="en-AU"/>
              </w:rPr>
              <w:t>Net Enrolment Rate</w:t>
            </w:r>
          </w:p>
        </w:tc>
      </w:tr>
      <w:tr w:rsidR="00EA442C" w:rsidRPr="00AF1D30" w14:paraId="34EFA80A" w14:textId="77777777" w:rsidTr="002E7501">
        <w:tc>
          <w:tcPr>
            <w:tcW w:w="770" w:type="pct"/>
            <w:vAlign w:val="center"/>
          </w:tcPr>
          <w:p w14:paraId="486B14B3" w14:textId="77777777" w:rsidR="00EA442C" w:rsidRPr="00AF1D30" w:rsidRDefault="00EA442C" w:rsidP="002E7501">
            <w:pPr>
              <w:spacing w:after="0"/>
              <w:contextualSpacing/>
              <w:jc w:val="left"/>
            </w:pPr>
            <w:r w:rsidRPr="00AF1D30">
              <w:t>NES</w:t>
            </w:r>
          </w:p>
        </w:tc>
        <w:tc>
          <w:tcPr>
            <w:tcW w:w="4230" w:type="pct"/>
            <w:vAlign w:val="center"/>
          </w:tcPr>
          <w:p w14:paraId="4F0604B6" w14:textId="77777777" w:rsidR="00EA442C" w:rsidRPr="00AF1D30" w:rsidRDefault="00EA442C" w:rsidP="002E7501">
            <w:pPr>
              <w:spacing w:after="0"/>
              <w:contextualSpacing/>
              <w:jc w:val="left"/>
            </w:pPr>
            <w:r w:rsidRPr="00AF1D30">
              <w:t>National Education Standards</w:t>
            </w:r>
          </w:p>
        </w:tc>
      </w:tr>
      <w:tr w:rsidR="00D60CEE" w:rsidRPr="00AF1D30" w14:paraId="0C9F0432" w14:textId="77777777" w:rsidTr="002E7501">
        <w:tc>
          <w:tcPr>
            <w:tcW w:w="770" w:type="pct"/>
            <w:vAlign w:val="center"/>
          </w:tcPr>
          <w:p w14:paraId="164E0833" w14:textId="4B70A8F0" w:rsidR="00D60CEE" w:rsidRPr="00AF1D30" w:rsidRDefault="00D60CEE" w:rsidP="002E7501">
            <w:pPr>
              <w:spacing w:after="0"/>
              <w:contextualSpacing/>
              <w:jc w:val="left"/>
            </w:pPr>
            <w:r>
              <w:t>PENDIS</w:t>
            </w:r>
          </w:p>
        </w:tc>
        <w:tc>
          <w:tcPr>
            <w:tcW w:w="4230" w:type="pct"/>
            <w:vAlign w:val="center"/>
          </w:tcPr>
          <w:p w14:paraId="4A9D38F6" w14:textId="7ED09B56" w:rsidR="00D60CEE" w:rsidRPr="00C635C4" w:rsidRDefault="00C635C4" w:rsidP="002E7501">
            <w:pPr>
              <w:spacing w:after="0"/>
              <w:contextualSpacing/>
              <w:jc w:val="left"/>
              <w:rPr>
                <w:i/>
              </w:rPr>
            </w:pPr>
            <w:r>
              <w:rPr>
                <w:i/>
              </w:rPr>
              <w:t xml:space="preserve">Direktorat Jenderal Pendidikan Islam </w:t>
            </w:r>
            <w:r w:rsidRPr="00C635C4">
              <w:t>– Directorate General of Islamic Education</w:t>
            </w:r>
          </w:p>
        </w:tc>
      </w:tr>
      <w:tr w:rsidR="00EA442C" w:rsidRPr="00F53378" w14:paraId="2A700CB7" w14:textId="77777777" w:rsidTr="002E7501">
        <w:tc>
          <w:tcPr>
            <w:tcW w:w="770" w:type="pct"/>
            <w:vAlign w:val="center"/>
          </w:tcPr>
          <w:p w14:paraId="53E930C7" w14:textId="77777777" w:rsidR="00EA442C" w:rsidRPr="00EA442C" w:rsidRDefault="00EA442C" w:rsidP="002E7501">
            <w:pPr>
              <w:spacing w:after="0"/>
              <w:contextualSpacing/>
              <w:jc w:val="left"/>
              <w:rPr>
                <w:lang w:val="en-AU"/>
              </w:rPr>
            </w:pPr>
            <w:r>
              <w:rPr>
                <w:lang w:val="en-AU"/>
              </w:rPr>
              <w:t>PENMA</w:t>
            </w:r>
          </w:p>
        </w:tc>
        <w:tc>
          <w:tcPr>
            <w:tcW w:w="4230" w:type="pct"/>
            <w:vAlign w:val="center"/>
          </w:tcPr>
          <w:p w14:paraId="34012187" w14:textId="0907B529" w:rsidR="00EA442C" w:rsidRPr="00E90F63" w:rsidRDefault="00C635C4" w:rsidP="002E7501">
            <w:pPr>
              <w:spacing w:after="0"/>
              <w:contextualSpacing/>
              <w:jc w:val="left"/>
            </w:pPr>
            <w:r>
              <w:rPr>
                <w:i/>
              </w:rPr>
              <w:t>Direktorat Jenderal</w:t>
            </w:r>
            <w:r w:rsidR="00E90F63" w:rsidRPr="00E90F63">
              <w:rPr>
                <w:i/>
              </w:rPr>
              <w:t xml:space="preserve"> Pendidikan Madrasah</w:t>
            </w:r>
            <w:r w:rsidR="00E90F63" w:rsidRPr="00E90F63">
              <w:t xml:space="preserve"> </w:t>
            </w:r>
            <w:r>
              <w:t>–</w:t>
            </w:r>
            <w:r w:rsidR="00E90F63" w:rsidRPr="00E90F63">
              <w:t xml:space="preserve"> </w:t>
            </w:r>
            <w:r w:rsidR="00E90F63" w:rsidRPr="00F86A28">
              <w:t xml:space="preserve">Directorate </w:t>
            </w:r>
            <w:r>
              <w:t xml:space="preserve">General </w:t>
            </w:r>
            <w:r w:rsidR="00E90F63" w:rsidRPr="00F86A28">
              <w:t>of Madrasah Education</w:t>
            </w:r>
          </w:p>
        </w:tc>
      </w:tr>
      <w:tr w:rsidR="00EA442C" w:rsidRPr="00F53378" w14:paraId="74C9B91C" w14:textId="77777777" w:rsidTr="002E7501">
        <w:tc>
          <w:tcPr>
            <w:tcW w:w="770" w:type="pct"/>
            <w:vAlign w:val="center"/>
          </w:tcPr>
          <w:p w14:paraId="6012A793" w14:textId="77777777" w:rsidR="00EA442C" w:rsidRPr="00F53378" w:rsidRDefault="00EA442C" w:rsidP="002E7501">
            <w:pPr>
              <w:spacing w:after="0"/>
              <w:contextualSpacing/>
              <w:jc w:val="left"/>
              <w:rPr>
                <w:lang w:val="id-ID"/>
              </w:rPr>
            </w:pPr>
            <w:r w:rsidRPr="00F53378">
              <w:rPr>
                <w:lang w:val="id-ID"/>
              </w:rPr>
              <w:t>PEO</w:t>
            </w:r>
          </w:p>
        </w:tc>
        <w:tc>
          <w:tcPr>
            <w:tcW w:w="4230" w:type="pct"/>
            <w:vAlign w:val="center"/>
          </w:tcPr>
          <w:p w14:paraId="46B3A4E5" w14:textId="1612F636" w:rsidR="00EA442C" w:rsidRPr="00597821" w:rsidRDefault="00EA442C" w:rsidP="002E7501">
            <w:pPr>
              <w:spacing w:after="0"/>
              <w:contextualSpacing/>
              <w:jc w:val="left"/>
              <w:rPr>
                <w:lang w:val="en-AU"/>
              </w:rPr>
            </w:pPr>
            <w:r w:rsidRPr="00F53378">
              <w:rPr>
                <w:lang w:val="id-ID"/>
              </w:rPr>
              <w:t>Provincial Education Office</w:t>
            </w:r>
            <w:r w:rsidR="00597821">
              <w:rPr>
                <w:lang w:val="en-AU"/>
              </w:rPr>
              <w:t>r</w:t>
            </w:r>
          </w:p>
        </w:tc>
      </w:tr>
      <w:tr w:rsidR="00EA442C" w:rsidRPr="00AF1D30" w14:paraId="4F9716E2" w14:textId="77777777" w:rsidTr="002E7501">
        <w:tc>
          <w:tcPr>
            <w:tcW w:w="770" w:type="pct"/>
            <w:vAlign w:val="center"/>
            <w:hideMark/>
          </w:tcPr>
          <w:p w14:paraId="366E2288" w14:textId="77777777" w:rsidR="00EA442C" w:rsidRPr="00AF1D30" w:rsidRDefault="00EA442C" w:rsidP="002E7501">
            <w:pPr>
              <w:spacing w:after="0"/>
              <w:contextualSpacing/>
              <w:jc w:val="left"/>
              <w:rPr>
                <w:rFonts w:eastAsia="Times New Roman"/>
              </w:rPr>
            </w:pPr>
            <w:r w:rsidRPr="00AF1D30">
              <w:t>POM</w:t>
            </w:r>
          </w:p>
        </w:tc>
        <w:tc>
          <w:tcPr>
            <w:tcW w:w="4230" w:type="pct"/>
            <w:vAlign w:val="center"/>
            <w:hideMark/>
          </w:tcPr>
          <w:p w14:paraId="3A2F9C97" w14:textId="77777777" w:rsidR="00EA442C" w:rsidRPr="00AF1D30" w:rsidRDefault="00EA442C" w:rsidP="002E7501">
            <w:pPr>
              <w:spacing w:after="0"/>
              <w:contextualSpacing/>
              <w:jc w:val="left"/>
              <w:rPr>
                <w:rFonts w:eastAsia="Times New Roman"/>
              </w:rPr>
            </w:pPr>
            <w:r w:rsidRPr="00AF1D30">
              <w:t>Performance Oversight and Monitoring</w:t>
            </w:r>
          </w:p>
        </w:tc>
      </w:tr>
      <w:tr w:rsidR="00EA442C" w:rsidRPr="00F53378" w14:paraId="2A0A8706" w14:textId="77777777" w:rsidTr="002E7501">
        <w:tc>
          <w:tcPr>
            <w:tcW w:w="770" w:type="pct"/>
            <w:vAlign w:val="center"/>
          </w:tcPr>
          <w:p w14:paraId="03452B29" w14:textId="77777777" w:rsidR="00EA442C" w:rsidRDefault="00EA442C" w:rsidP="002E7501">
            <w:pPr>
              <w:spacing w:after="0"/>
              <w:contextualSpacing/>
              <w:jc w:val="left"/>
              <w:rPr>
                <w:lang w:val="en-AU"/>
              </w:rPr>
            </w:pPr>
            <w:r>
              <w:rPr>
                <w:lang w:val="en-AU"/>
              </w:rPr>
              <w:t>PPP</w:t>
            </w:r>
          </w:p>
          <w:p w14:paraId="3522ABFA" w14:textId="77777777" w:rsidR="00D221DE" w:rsidRDefault="00D221DE" w:rsidP="002E7501">
            <w:pPr>
              <w:spacing w:after="0"/>
              <w:contextualSpacing/>
              <w:jc w:val="left"/>
              <w:rPr>
                <w:lang w:val="en-AU"/>
              </w:rPr>
            </w:pPr>
          </w:p>
          <w:p w14:paraId="27A485B3" w14:textId="77777777" w:rsidR="00C635C4" w:rsidRPr="00EA442C" w:rsidRDefault="00C635C4" w:rsidP="002E7501">
            <w:pPr>
              <w:spacing w:after="0"/>
              <w:contextualSpacing/>
              <w:jc w:val="left"/>
              <w:rPr>
                <w:lang w:val="en-AU"/>
              </w:rPr>
            </w:pPr>
          </w:p>
        </w:tc>
        <w:tc>
          <w:tcPr>
            <w:tcW w:w="4230" w:type="pct"/>
            <w:vAlign w:val="center"/>
          </w:tcPr>
          <w:p w14:paraId="2AE73767" w14:textId="77777777" w:rsidR="00C635C4" w:rsidRDefault="00E90F63" w:rsidP="002E7501">
            <w:pPr>
              <w:spacing w:after="0"/>
              <w:contextualSpacing/>
              <w:jc w:val="left"/>
            </w:pPr>
            <w:r w:rsidRPr="00F86A28">
              <w:t>Principals Preparation Program</w:t>
            </w:r>
          </w:p>
          <w:p w14:paraId="6D8F7FB1" w14:textId="77777777" w:rsidR="00D221DE" w:rsidRDefault="00D221DE" w:rsidP="002E7501">
            <w:pPr>
              <w:spacing w:after="0"/>
              <w:contextualSpacing/>
              <w:jc w:val="left"/>
            </w:pPr>
          </w:p>
          <w:p w14:paraId="6DA9E6DC" w14:textId="0F4A27D8" w:rsidR="00C635C4" w:rsidRPr="00C635C4" w:rsidRDefault="00C635C4" w:rsidP="002E7501">
            <w:pPr>
              <w:spacing w:after="0"/>
              <w:contextualSpacing/>
              <w:jc w:val="left"/>
            </w:pPr>
          </w:p>
        </w:tc>
      </w:tr>
      <w:tr w:rsidR="00E90F63" w:rsidRPr="00AF1D30" w14:paraId="0F9B4426" w14:textId="77777777" w:rsidTr="002E7501">
        <w:tc>
          <w:tcPr>
            <w:tcW w:w="770" w:type="pct"/>
            <w:vAlign w:val="center"/>
          </w:tcPr>
          <w:p w14:paraId="40B7411C" w14:textId="07F56E27" w:rsidR="00E90F63" w:rsidRPr="00AF1D30" w:rsidRDefault="00E90F63" w:rsidP="00D221DE">
            <w:pPr>
              <w:spacing w:after="0"/>
              <w:contextualSpacing/>
              <w:jc w:val="left"/>
            </w:pPr>
            <w:r>
              <w:lastRenderedPageBreak/>
              <w:t>Pusbang</w:t>
            </w:r>
            <w:r w:rsidR="00006EFF">
              <w:t>-</w:t>
            </w:r>
            <w:r>
              <w:t xml:space="preserve"> </w:t>
            </w:r>
            <w:r w:rsidR="00D221DE">
              <w:t>T</w:t>
            </w:r>
            <w:r>
              <w:t>endik</w:t>
            </w:r>
          </w:p>
        </w:tc>
        <w:tc>
          <w:tcPr>
            <w:tcW w:w="4230" w:type="pct"/>
            <w:vAlign w:val="center"/>
          </w:tcPr>
          <w:p w14:paraId="514999BA" w14:textId="3E93EF44" w:rsidR="00E90F63" w:rsidRPr="00597821" w:rsidRDefault="00E90F63" w:rsidP="00597821">
            <w:pPr>
              <w:spacing w:after="0" w:line="240" w:lineRule="auto"/>
              <w:contextualSpacing/>
              <w:jc w:val="left"/>
              <w:rPr>
                <w:i/>
                <w:lang w:val="id-ID"/>
              </w:rPr>
            </w:pPr>
            <w:r w:rsidRPr="00597821">
              <w:rPr>
                <w:i/>
                <w:lang w:val="id-ID"/>
              </w:rPr>
              <w:t>Pusat Pengembangan Tenaga Kependidikan - Centre of Education Personnel Improvement</w:t>
            </w:r>
          </w:p>
        </w:tc>
      </w:tr>
      <w:tr w:rsidR="00EA442C" w:rsidRPr="00AF1D30" w14:paraId="60A846C8" w14:textId="77777777" w:rsidTr="002E7501">
        <w:tc>
          <w:tcPr>
            <w:tcW w:w="770" w:type="pct"/>
            <w:vAlign w:val="center"/>
            <w:hideMark/>
          </w:tcPr>
          <w:p w14:paraId="047532A6" w14:textId="77777777" w:rsidR="00EA442C" w:rsidRPr="00AF1D30" w:rsidRDefault="00EA442C" w:rsidP="002E7501">
            <w:pPr>
              <w:spacing w:after="0"/>
              <w:contextualSpacing/>
              <w:jc w:val="left"/>
              <w:rPr>
                <w:rFonts w:eastAsia="Times New Roman"/>
              </w:rPr>
            </w:pPr>
            <w:r w:rsidRPr="00AF1D30">
              <w:t>QAI</w:t>
            </w:r>
          </w:p>
        </w:tc>
        <w:tc>
          <w:tcPr>
            <w:tcW w:w="4230" w:type="pct"/>
            <w:vAlign w:val="center"/>
            <w:hideMark/>
          </w:tcPr>
          <w:p w14:paraId="1F24C50D" w14:textId="77777777" w:rsidR="00EA442C" w:rsidRPr="00AF1D30" w:rsidRDefault="00EA442C" w:rsidP="002E7501">
            <w:pPr>
              <w:spacing w:after="0"/>
              <w:contextualSpacing/>
              <w:jc w:val="left"/>
              <w:rPr>
                <w:rFonts w:eastAsia="Times New Roman"/>
              </w:rPr>
            </w:pPr>
            <w:r w:rsidRPr="00AF1D30">
              <w:t>Quality At Implementation</w:t>
            </w:r>
          </w:p>
        </w:tc>
      </w:tr>
      <w:tr w:rsidR="00EA442C" w:rsidRPr="00F53378" w14:paraId="02D652F1" w14:textId="77777777" w:rsidTr="002E7501">
        <w:tc>
          <w:tcPr>
            <w:tcW w:w="770" w:type="pct"/>
            <w:vAlign w:val="center"/>
          </w:tcPr>
          <w:p w14:paraId="7A0E5EF8" w14:textId="77777777" w:rsidR="00EA442C" w:rsidRPr="00EA442C" w:rsidRDefault="00EA442C" w:rsidP="002E7501">
            <w:pPr>
              <w:spacing w:after="0"/>
              <w:contextualSpacing/>
              <w:jc w:val="left"/>
              <w:rPr>
                <w:lang w:val="en-AU"/>
              </w:rPr>
            </w:pPr>
            <w:r>
              <w:rPr>
                <w:lang w:val="en-AU"/>
              </w:rPr>
              <w:t>RENSTRA</w:t>
            </w:r>
          </w:p>
        </w:tc>
        <w:tc>
          <w:tcPr>
            <w:tcW w:w="4230" w:type="pct"/>
            <w:vAlign w:val="center"/>
          </w:tcPr>
          <w:p w14:paraId="145E5B04" w14:textId="11C3231F" w:rsidR="00EA442C" w:rsidRPr="00E90F63" w:rsidRDefault="00E90F63" w:rsidP="002E7501">
            <w:pPr>
              <w:spacing w:after="0"/>
              <w:contextualSpacing/>
              <w:jc w:val="left"/>
              <w:rPr>
                <w:i/>
                <w:lang w:val="id-ID"/>
              </w:rPr>
            </w:pPr>
            <w:r w:rsidRPr="00E90F63">
              <w:rPr>
                <w:i/>
                <w:noProof/>
              </w:rPr>
              <w:t>Rencana Strategis</w:t>
            </w:r>
            <w:r>
              <w:rPr>
                <w:i/>
                <w:noProof/>
              </w:rPr>
              <w:t xml:space="preserve"> – </w:t>
            </w:r>
            <w:r w:rsidRPr="00E90F63">
              <w:rPr>
                <w:noProof/>
              </w:rPr>
              <w:t>Strategic Planning</w:t>
            </w:r>
          </w:p>
        </w:tc>
      </w:tr>
      <w:tr w:rsidR="00EA442C" w:rsidRPr="00F53378" w14:paraId="014D00DD" w14:textId="77777777" w:rsidTr="002E7501">
        <w:tc>
          <w:tcPr>
            <w:tcW w:w="770" w:type="pct"/>
            <w:vAlign w:val="center"/>
          </w:tcPr>
          <w:p w14:paraId="0BF2FFE5" w14:textId="77777777" w:rsidR="00EA442C" w:rsidRPr="00F53378" w:rsidRDefault="00EA442C" w:rsidP="002E7501">
            <w:pPr>
              <w:spacing w:after="0"/>
              <w:contextualSpacing/>
              <w:jc w:val="left"/>
              <w:rPr>
                <w:lang w:val="en-AU"/>
              </w:rPr>
            </w:pPr>
            <w:r>
              <w:rPr>
                <w:lang w:val="en-AU"/>
              </w:rPr>
              <w:t>Rp</w:t>
            </w:r>
          </w:p>
        </w:tc>
        <w:tc>
          <w:tcPr>
            <w:tcW w:w="4230" w:type="pct"/>
            <w:vAlign w:val="center"/>
          </w:tcPr>
          <w:p w14:paraId="044FB7DB" w14:textId="7BE70E76" w:rsidR="00EA442C" w:rsidRPr="00EA442C" w:rsidRDefault="00EA442C" w:rsidP="002E7501">
            <w:pPr>
              <w:spacing w:after="0"/>
              <w:contextualSpacing/>
              <w:jc w:val="left"/>
              <w:rPr>
                <w:lang w:val="en-AU"/>
              </w:rPr>
            </w:pPr>
            <w:r>
              <w:rPr>
                <w:lang w:val="en-AU"/>
              </w:rPr>
              <w:t>Rupiah</w:t>
            </w:r>
          </w:p>
        </w:tc>
      </w:tr>
      <w:tr w:rsidR="00EA442C" w:rsidRPr="00F53378" w14:paraId="0F4AE543" w14:textId="77777777" w:rsidTr="002E7501">
        <w:tc>
          <w:tcPr>
            <w:tcW w:w="770" w:type="pct"/>
            <w:vAlign w:val="center"/>
          </w:tcPr>
          <w:p w14:paraId="4E40C9F4" w14:textId="77777777" w:rsidR="00EA442C" w:rsidRPr="00F53378" w:rsidRDefault="00EA442C" w:rsidP="002E7501">
            <w:pPr>
              <w:spacing w:after="0"/>
              <w:contextualSpacing/>
              <w:jc w:val="left"/>
              <w:rPr>
                <w:lang w:val="id-ID"/>
              </w:rPr>
            </w:pPr>
            <w:r w:rsidRPr="00F53378">
              <w:rPr>
                <w:lang w:val="id-ID"/>
              </w:rPr>
              <w:t>SATAP</w:t>
            </w:r>
          </w:p>
        </w:tc>
        <w:tc>
          <w:tcPr>
            <w:tcW w:w="4230" w:type="pct"/>
            <w:vAlign w:val="center"/>
          </w:tcPr>
          <w:p w14:paraId="269077A6" w14:textId="77777777" w:rsidR="00EA442C" w:rsidRPr="00F53378" w:rsidRDefault="00EA442C" w:rsidP="002E7501">
            <w:pPr>
              <w:spacing w:after="0"/>
              <w:contextualSpacing/>
              <w:jc w:val="left"/>
              <w:rPr>
                <w:lang w:val="id-ID"/>
              </w:rPr>
            </w:pPr>
            <w:r w:rsidRPr="00597821">
              <w:rPr>
                <w:i/>
                <w:lang w:val="id-ID"/>
              </w:rPr>
              <w:t>Sekolah Satu Atap</w:t>
            </w:r>
            <w:r w:rsidRPr="00F53378">
              <w:rPr>
                <w:lang w:val="id-ID"/>
              </w:rPr>
              <w:t xml:space="preserve"> – One-Roof School</w:t>
            </w:r>
          </w:p>
        </w:tc>
      </w:tr>
      <w:tr w:rsidR="00EA442C" w:rsidRPr="00AF1D30" w14:paraId="39770810" w14:textId="77777777" w:rsidTr="002E7501">
        <w:tc>
          <w:tcPr>
            <w:tcW w:w="770" w:type="pct"/>
            <w:vAlign w:val="center"/>
            <w:hideMark/>
          </w:tcPr>
          <w:p w14:paraId="2D04021B" w14:textId="77777777" w:rsidR="00EA442C" w:rsidRPr="00AF1D30" w:rsidRDefault="00EA442C" w:rsidP="002E7501">
            <w:pPr>
              <w:spacing w:after="0"/>
              <w:contextualSpacing/>
              <w:jc w:val="left"/>
              <w:rPr>
                <w:rFonts w:eastAsia="Times New Roman"/>
              </w:rPr>
            </w:pPr>
            <w:r w:rsidRPr="00AF1D30">
              <w:t>SCC</w:t>
            </w:r>
          </w:p>
        </w:tc>
        <w:tc>
          <w:tcPr>
            <w:tcW w:w="4230" w:type="pct"/>
            <w:vAlign w:val="center"/>
            <w:hideMark/>
          </w:tcPr>
          <w:p w14:paraId="0DD1820E" w14:textId="77777777" w:rsidR="00EA442C" w:rsidRPr="00AF1D30" w:rsidRDefault="00EA442C" w:rsidP="002E7501">
            <w:pPr>
              <w:spacing w:after="0"/>
              <w:contextualSpacing/>
              <w:jc w:val="left"/>
              <w:rPr>
                <w:rFonts w:eastAsia="Times New Roman"/>
              </w:rPr>
            </w:pPr>
            <w:r w:rsidRPr="00AF1D30">
              <w:t>School Construction Committee</w:t>
            </w:r>
          </w:p>
        </w:tc>
      </w:tr>
      <w:tr w:rsidR="00EA442C" w:rsidRPr="00AF1D30" w14:paraId="5BCBE087" w14:textId="77777777" w:rsidTr="002E7501">
        <w:tc>
          <w:tcPr>
            <w:tcW w:w="770" w:type="pct"/>
            <w:vAlign w:val="center"/>
            <w:hideMark/>
          </w:tcPr>
          <w:p w14:paraId="5D23EB87" w14:textId="77777777" w:rsidR="00EA442C" w:rsidRPr="00AF1D30" w:rsidRDefault="00EA442C" w:rsidP="002E7501">
            <w:pPr>
              <w:spacing w:after="0"/>
              <w:contextualSpacing/>
              <w:jc w:val="left"/>
              <w:rPr>
                <w:rFonts w:eastAsia="Times New Roman"/>
              </w:rPr>
            </w:pPr>
            <w:r w:rsidRPr="00AF1D30">
              <w:t>SNIP</w:t>
            </w:r>
          </w:p>
        </w:tc>
        <w:tc>
          <w:tcPr>
            <w:tcW w:w="4230" w:type="pct"/>
            <w:vAlign w:val="center"/>
            <w:hideMark/>
          </w:tcPr>
          <w:p w14:paraId="460F80C5" w14:textId="77777777" w:rsidR="00EA442C" w:rsidRPr="00AF1D30" w:rsidRDefault="00EA442C" w:rsidP="002E7501">
            <w:pPr>
              <w:spacing w:after="0"/>
              <w:contextualSpacing/>
              <w:jc w:val="left"/>
              <w:rPr>
                <w:rFonts w:eastAsia="Times New Roman"/>
              </w:rPr>
            </w:pPr>
            <w:r w:rsidRPr="00AF1D30">
              <w:t>Sub-national Implementation Partner</w:t>
            </w:r>
          </w:p>
        </w:tc>
      </w:tr>
      <w:tr w:rsidR="00EA442C" w:rsidRPr="00AF1D30" w14:paraId="7704D1E4" w14:textId="77777777" w:rsidTr="002E7501">
        <w:tc>
          <w:tcPr>
            <w:tcW w:w="770" w:type="pct"/>
            <w:vAlign w:val="center"/>
            <w:hideMark/>
          </w:tcPr>
          <w:p w14:paraId="569036C4" w14:textId="77777777" w:rsidR="00EA442C" w:rsidRPr="00AF1D30" w:rsidRDefault="00EA442C" w:rsidP="002E7501">
            <w:pPr>
              <w:spacing w:after="0"/>
              <w:contextualSpacing/>
              <w:jc w:val="left"/>
              <w:rPr>
                <w:rFonts w:eastAsia="Times New Roman"/>
              </w:rPr>
            </w:pPr>
            <w:r w:rsidRPr="00AF1D30">
              <w:t>SSQ</w:t>
            </w:r>
          </w:p>
        </w:tc>
        <w:tc>
          <w:tcPr>
            <w:tcW w:w="4230" w:type="pct"/>
            <w:vAlign w:val="center"/>
            <w:hideMark/>
          </w:tcPr>
          <w:p w14:paraId="7591D77D" w14:textId="77777777" w:rsidR="00EA442C" w:rsidRPr="00AF1D30" w:rsidRDefault="00EA442C" w:rsidP="002E7501">
            <w:pPr>
              <w:spacing w:after="0"/>
              <w:contextualSpacing/>
              <w:jc w:val="left"/>
              <w:rPr>
                <w:rFonts w:eastAsia="Times New Roman"/>
              </w:rPr>
            </w:pPr>
            <w:r w:rsidRPr="00AF1D30">
              <w:t>School Systems and Quality</w:t>
            </w:r>
          </w:p>
        </w:tc>
      </w:tr>
      <w:tr w:rsidR="00EA442C" w:rsidRPr="00F53378" w14:paraId="33A110BA" w14:textId="77777777" w:rsidTr="002E7501">
        <w:tc>
          <w:tcPr>
            <w:tcW w:w="770" w:type="pct"/>
            <w:vAlign w:val="center"/>
          </w:tcPr>
          <w:p w14:paraId="01DB87A2" w14:textId="77777777" w:rsidR="00EA442C" w:rsidRPr="00F53378" w:rsidRDefault="00EA442C" w:rsidP="002E7501">
            <w:pPr>
              <w:spacing w:after="0"/>
              <w:contextualSpacing/>
              <w:jc w:val="left"/>
              <w:rPr>
                <w:lang w:val="id-ID"/>
              </w:rPr>
            </w:pPr>
            <w:r>
              <w:rPr>
                <w:lang w:val="id-ID"/>
              </w:rPr>
              <w:t>§</w:t>
            </w:r>
          </w:p>
        </w:tc>
        <w:tc>
          <w:tcPr>
            <w:tcW w:w="4230" w:type="pct"/>
            <w:vAlign w:val="center"/>
          </w:tcPr>
          <w:p w14:paraId="5DEEF7B0" w14:textId="4FB98E32" w:rsidR="00EA442C" w:rsidRPr="00EA442C" w:rsidRDefault="00DB5A52" w:rsidP="002E7501">
            <w:pPr>
              <w:spacing w:after="0"/>
              <w:contextualSpacing/>
              <w:jc w:val="left"/>
              <w:rPr>
                <w:lang w:val="en-AU"/>
              </w:rPr>
            </w:pPr>
            <w:r>
              <w:rPr>
                <w:lang w:val="en-AU"/>
              </w:rPr>
              <w:t>(Sub-)</w:t>
            </w:r>
            <w:r w:rsidR="00EA442C">
              <w:rPr>
                <w:lang w:val="en-AU"/>
              </w:rPr>
              <w:t>Section</w:t>
            </w:r>
          </w:p>
        </w:tc>
      </w:tr>
      <w:tr w:rsidR="00EA442C" w:rsidRPr="00F53378" w14:paraId="48B02EA8" w14:textId="77777777" w:rsidTr="00F53378">
        <w:tc>
          <w:tcPr>
            <w:tcW w:w="770" w:type="pct"/>
            <w:vAlign w:val="center"/>
          </w:tcPr>
          <w:p w14:paraId="7C28889E" w14:textId="24B58CEE" w:rsidR="00EA442C" w:rsidRPr="00F53378" w:rsidRDefault="00EA442C" w:rsidP="00F53378">
            <w:pPr>
              <w:spacing w:after="0"/>
              <w:contextualSpacing/>
              <w:jc w:val="left"/>
              <w:rPr>
                <w:lang w:val="en-AU"/>
              </w:rPr>
            </w:pPr>
            <w:r>
              <w:rPr>
                <w:lang w:val="en-AU"/>
              </w:rPr>
              <w:t>UBE</w:t>
            </w:r>
          </w:p>
        </w:tc>
        <w:tc>
          <w:tcPr>
            <w:tcW w:w="4230" w:type="pct"/>
            <w:vAlign w:val="center"/>
          </w:tcPr>
          <w:p w14:paraId="3A0E1108" w14:textId="3834538E" w:rsidR="00EA442C" w:rsidRPr="00EA442C" w:rsidRDefault="00EA442C" w:rsidP="00EA442C">
            <w:pPr>
              <w:spacing w:after="0"/>
              <w:contextualSpacing/>
              <w:jc w:val="left"/>
              <w:rPr>
                <w:lang w:val="en-AU"/>
              </w:rPr>
            </w:pPr>
            <w:r>
              <w:rPr>
                <w:lang w:val="en-AU"/>
              </w:rPr>
              <w:t>Universal Basic Education</w:t>
            </w:r>
          </w:p>
        </w:tc>
      </w:tr>
      <w:tr w:rsidR="00EA442C" w:rsidRPr="00F53378" w14:paraId="2C69AA2E" w14:textId="77777777" w:rsidTr="002E7501">
        <w:tc>
          <w:tcPr>
            <w:tcW w:w="770" w:type="pct"/>
            <w:vAlign w:val="center"/>
          </w:tcPr>
          <w:p w14:paraId="75CE9949" w14:textId="77777777" w:rsidR="00EA442C" w:rsidRPr="00F53378" w:rsidRDefault="00EA442C" w:rsidP="002E7501">
            <w:pPr>
              <w:spacing w:after="0"/>
              <w:contextualSpacing/>
              <w:jc w:val="left"/>
              <w:rPr>
                <w:lang w:val="id-ID"/>
              </w:rPr>
            </w:pPr>
            <w:r w:rsidRPr="00F53378">
              <w:rPr>
                <w:lang w:val="id-ID"/>
              </w:rPr>
              <w:t>USB</w:t>
            </w:r>
          </w:p>
        </w:tc>
        <w:tc>
          <w:tcPr>
            <w:tcW w:w="4230" w:type="pct"/>
            <w:vAlign w:val="center"/>
          </w:tcPr>
          <w:p w14:paraId="11DB7D7C" w14:textId="77777777" w:rsidR="00EA442C" w:rsidRPr="00F53378" w:rsidRDefault="00EA442C" w:rsidP="002E7501">
            <w:pPr>
              <w:spacing w:after="0"/>
              <w:contextualSpacing/>
              <w:jc w:val="left"/>
              <w:rPr>
                <w:lang w:val="id-ID"/>
              </w:rPr>
            </w:pPr>
            <w:r w:rsidRPr="00597821">
              <w:rPr>
                <w:i/>
                <w:lang w:val="id-ID"/>
              </w:rPr>
              <w:t>Unit Sekolah Baru</w:t>
            </w:r>
            <w:r w:rsidRPr="00F53378">
              <w:rPr>
                <w:lang w:val="id-ID"/>
              </w:rPr>
              <w:t xml:space="preserve"> – New School Unit</w:t>
            </w:r>
          </w:p>
        </w:tc>
      </w:tr>
      <w:tr w:rsidR="00EA442C" w:rsidRPr="00F53378" w14:paraId="130A3653" w14:textId="77777777" w:rsidTr="00F53378">
        <w:tc>
          <w:tcPr>
            <w:tcW w:w="770" w:type="pct"/>
            <w:vAlign w:val="center"/>
          </w:tcPr>
          <w:p w14:paraId="29FAB933" w14:textId="63EC4B51" w:rsidR="00EA442C" w:rsidRPr="00F53378" w:rsidRDefault="00EA442C" w:rsidP="00F53378">
            <w:pPr>
              <w:spacing w:after="0"/>
              <w:contextualSpacing/>
              <w:jc w:val="left"/>
              <w:rPr>
                <w:lang w:val="en-AU"/>
              </w:rPr>
            </w:pPr>
            <w:r>
              <w:rPr>
                <w:lang w:val="en-AU"/>
              </w:rPr>
              <w:t>WiPS</w:t>
            </w:r>
          </w:p>
        </w:tc>
        <w:tc>
          <w:tcPr>
            <w:tcW w:w="4230" w:type="pct"/>
            <w:vAlign w:val="center"/>
          </w:tcPr>
          <w:p w14:paraId="129FAF06" w14:textId="64ADD591" w:rsidR="00EA442C" w:rsidRPr="00EA442C" w:rsidRDefault="00EA442C" w:rsidP="00EA442C">
            <w:pPr>
              <w:spacing w:after="0"/>
              <w:contextualSpacing/>
              <w:jc w:val="left"/>
              <w:rPr>
                <w:lang w:val="en-AU"/>
              </w:rPr>
            </w:pPr>
            <w:r>
              <w:rPr>
                <w:lang w:val="en-AU"/>
              </w:rPr>
              <w:t>Working in Partner Systems</w:t>
            </w:r>
          </w:p>
        </w:tc>
      </w:tr>
    </w:tbl>
    <w:p w14:paraId="30ED4613" w14:textId="77777777" w:rsidR="00E90F63" w:rsidRPr="00AF1D30" w:rsidRDefault="007F678F" w:rsidP="00155169">
      <w:r w:rsidRPr="00AF1D30">
        <w:tab/>
      </w:r>
    </w:p>
    <w:p w14:paraId="58BE1682" w14:textId="03F56D2C" w:rsidR="00597821" w:rsidRDefault="007F678F" w:rsidP="00155169">
      <w:r w:rsidRPr="00AF1D30">
        <w:tab/>
      </w:r>
    </w:p>
    <w:p w14:paraId="7969DD44" w14:textId="77777777" w:rsidR="00597821" w:rsidRDefault="00597821">
      <w:pPr>
        <w:spacing w:after="0" w:line="240" w:lineRule="auto"/>
        <w:jc w:val="left"/>
      </w:pPr>
      <w:r>
        <w:br w:type="page"/>
      </w:r>
    </w:p>
    <w:p w14:paraId="17A1FE74" w14:textId="75269942" w:rsidR="00E37CED" w:rsidRDefault="00597821" w:rsidP="00006EFF">
      <w:pPr>
        <w:pStyle w:val="HeadingGRM"/>
        <w:spacing w:before="360"/>
        <w:rPr>
          <w:smallCaps/>
          <w:color w:val="1F497D"/>
        </w:rPr>
      </w:pPr>
      <w:bookmarkStart w:id="20" w:name="_Toc345081130"/>
      <w:r w:rsidRPr="00597821">
        <w:rPr>
          <w:smallCaps/>
          <w:color w:val="1F497D"/>
        </w:rPr>
        <w:lastRenderedPageBreak/>
        <w:t>Executive Summary</w:t>
      </w:r>
      <w:bookmarkEnd w:id="20"/>
    </w:p>
    <w:p w14:paraId="4FABCDC0" w14:textId="77777777" w:rsidR="00D60CEE" w:rsidRDefault="00B5659B" w:rsidP="00D60CEE">
      <w:r w:rsidRPr="00AF1D30">
        <w:t>The A$500m investment in the Education Partnership (EP) is Australia’s flagship development initiative in Indonesia.</w:t>
      </w:r>
      <w:r w:rsidRPr="00B5659B">
        <w:t xml:space="preserve"> </w:t>
      </w:r>
      <w:r w:rsidRPr="00AF1D30">
        <w:t>The Annual Partnership Performance Report (APPR) presents a</w:t>
      </w:r>
      <w:r>
        <w:rPr>
          <w:lang w:val="id-ID"/>
        </w:rPr>
        <w:t>n</w:t>
      </w:r>
      <w:r w:rsidRPr="00AF1D30">
        <w:t xml:space="preserve"> </w:t>
      </w:r>
      <w:r>
        <w:rPr>
          <w:lang w:val="id-ID"/>
        </w:rPr>
        <w:t xml:space="preserve">annual </w:t>
      </w:r>
      <w:r w:rsidRPr="00AF1D30">
        <w:t xml:space="preserve">overview of EP progress at all levels of the EP logic </w:t>
      </w:r>
      <w:r>
        <w:t>and with respect to cross</w:t>
      </w:r>
      <w:r>
        <w:rPr>
          <w:lang w:val="id-ID"/>
        </w:rPr>
        <w:t>-</w:t>
      </w:r>
      <w:r w:rsidRPr="00AF1D30">
        <w:t>cutting</w:t>
      </w:r>
      <w:r w:rsidRPr="00CB27C2">
        <w:t xml:space="preserve"> </w:t>
      </w:r>
      <w:r w:rsidRPr="00AF1D30">
        <w:t>and overarching developmental themes.</w:t>
      </w:r>
      <w:r w:rsidRPr="00B5659B">
        <w:t xml:space="preserve"> </w:t>
      </w:r>
      <w:r w:rsidRPr="00AF1D30">
        <w:t>The APPR is divided into five sections</w:t>
      </w:r>
      <w:r>
        <w:t xml:space="preserve"> covering the </w:t>
      </w:r>
      <w:r w:rsidRPr="00AF1D30">
        <w:t>context within which the E</w:t>
      </w:r>
      <w:r>
        <w:t>P</w:t>
      </w:r>
      <w:r w:rsidRPr="00AF1D30">
        <w:t xml:space="preserve"> is operating</w:t>
      </w:r>
      <w:r>
        <w:t xml:space="preserve">; the achievements </w:t>
      </w:r>
      <w:r w:rsidRPr="00AF1D30">
        <w:t>by the EP to date</w:t>
      </w:r>
      <w:r>
        <w:t xml:space="preserve">; </w:t>
      </w:r>
      <w:r w:rsidRPr="00AF1D30">
        <w:t>how the achievements have been secured</w:t>
      </w:r>
      <w:r>
        <w:t>; w</w:t>
      </w:r>
      <w:r w:rsidRPr="00AF1D30">
        <w:t>ho has benefited from the EP</w:t>
      </w:r>
      <w:r>
        <w:t xml:space="preserve">; and what </w:t>
      </w:r>
      <w:r w:rsidRPr="00AF1D30">
        <w:t xml:space="preserve">implications </w:t>
      </w:r>
      <w:r>
        <w:t>can be drawn for future action.</w:t>
      </w:r>
    </w:p>
    <w:p w14:paraId="357C7905" w14:textId="77777777" w:rsidR="00881C82" w:rsidRDefault="00C05A8D" w:rsidP="00D60CEE">
      <w:pPr>
        <w:rPr>
          <w:b/>
        </w:rPr>
      </w:pPr>
      <w:r w:rsidRPr="00C05A8D">
        <w:rPr>
          <w:b/>
        </w:rPr>
        <w:t>Context</w:t>
      </w:r>
    </w:p>
    <w:p w14:paraId="53F28E84" w14:textId="033B7D93" w:rsidR="00AA690A" w:rsidRPr="00AF1D30" w:rsidRDefault="00C05A8D" w:rsidP="00D60CEE">
      <w:pPr>
        <w:rPr>
          <w:rFonts w:cs="Calibri"/>
        </w:rPr>
      </w:pPr>
      <w:r w:rsidRPr="00C05A8D">
        <w:t xml:space="preserve">At national level, </w:t>
      </w:r>
      <w:r w:rsidR="00AA690A" w:rsidRPr="00AF1D30">
        <w:t>the new GoI commitment to 12 years of universal basic education</w:t>
      </w:r>
      <w:r w:rsidR="00AA690A">
        <w:t xml:space="preserve"> is likely to impact </w:t>
      </w:r>
      <w:r w:rsidR="00AA690A" w:rsidRPr="00AF1D30">
        <w:t>sectoral priorities and financing in years to come</w:t>
      </w:r>
      <w:r w:rsidR="00AA690A">
        <w:t xml:space="preserve"> and may therefore affect</w:t>
      </w:r>
      <w:r w:rsidR="00AA690A" w:rsidRPr="00AF1D30">
        <w:t xml:space="preserve"> </w:t>
      </w:r>
      <w:r w:rsidRPr="00AF1D30">
        <w:t>EP objectives</w:t>
      </w:r>
      <w:r w:rsidR="00AA690A">
        <w:t xml:space="preserve">. </w:t>
      </w:r>
      <w:r w:rsidRPr="00AF1D30">
        <w:rPr>
          <w:rFonts w:cs="Calibri"/>
        </w:rPr>
        <w:t xml:space="preserve">In terms of public finance, GoI is </w:t>
      </w:r>
      <w:r w:rsidR="00AA690A">
        <w:rPr>
          <w:rFonts w:cs="Calibri"/>
        </w:rPr>
        <w:t xml:space="preserve">currently </w:t>
      </w:r>
      <w:r w:rsidRPr="00AF1D30">
        <w:rPr>
          <w:rFonts w:cs="Calibri"/>
        </w:rPr>
        <w:t xml:space="preserve">sustaining its commitment to </w:t>
      </w:r>
      <w:r w:rsidRPr="00AF1D30">
        <w:t>spend 20% of the national budget on education</w:t>
      </w:r>
      <w:r>
        <w:t>, although</w:t>
      </w:r>
      <w:r w:rsidR="00A37CED">
        <w:t xml:space="preserve"> t</w:t>
      </w:r>
      <w:r>
        <w:t xml:space="preserve">here has </w:t>
      </w:r>
      <w:r w:rsidRPr="00AF1D30">
        <w:t xml:space="preserve">been a decline in education expenditure as a proportion of GDP since 2009. </w:t>
      </w:r>
      <w:r w:rsidR="00AA690A">
        <w:t xml:space="preserve">At sub-national level, </w:t>
      </w:r>
      <w:r w:rsidR="00AA690A" w:rsidRPr="00AF1D30">
        <w:t>districts have increased responsibilit</w:t>
      </w:r>
      <w:r w:rsidR="00AA690A">
        <w:t>y</w:t>
      </w:r>
      <w:r w:rsidR="00AA690A" w:rsidRPr="00AF1D30">
        <w:t xml:space="preserve"> for </w:t>
      </w:r>
      <w:r w:rsidR="00AA690A">
        <w:rPr>
          <w:lang w:val="id-ID"/>
        </w:rPr>
        <w:t xml:space="preserve">the provision of </w:t>
      </w:r>
      <w:r w:rsidR="00AA690A" w:rsidRPr="00AF1D30">
        <w:t xml:space="preserve">education </w:t>
      </w:r>
      <w:r w:rsidR="00AA690A">
        <w:rPr>
          <w:lang w:val="id-ID"/>
        </w:rPr>
        <w:t>services</w:t>
      </w:r>
      <w:r w:rsidR="00D60CEE">
        <w:rPr>
          <w:lang w:val="en-AU"/>
        </w:rPr>
        <w:t xml:space="preserve">. Although districts exhibit </w:t>
      </w:r>
      <w:r w:rsidR="00AA690A">
        <w:rPr>
          <w:lang w:val="id-ID"/>
        </w:rPr>
        <w:t xml:space="preserve">uneven </w:t>
      </w:r>
      <w:r w:rsidR="00D60CEE">
        <w:rPr>
          <w:lang w:val="en-AU"/>
        </w:rPr>
        <w:t xml:space="preserve">management </w:t>
      </w:r>
      <w:r w:rsidR="00AA690A">
        <w:rPr>
          <w:lang w:val="id-ID"/>
        </w:rPr>
        <w:t>capacity</w:t>
      </w:r>
      <w:r w:rsidR="00D60CEE">
        <w:rPr>
          <w:lang w:val="en-AU"/>
        </w:rPr>
        <w:t xml:space="preserve"> </w:t>
      </w:r>
      <w:r w:rsidR="00AA690A" w:rsidRPr="00AF1D30">
        <w:rPr>
          <w:rFonts w:cs="Calibri"/>
        </w:rPr>
        <w:t xml:space="preserve">there is evidence of a widespread move to close the </w:t>
      </w:r>
      <w:r w:rsidR="00D60CEE">
        <w:rPr>
          <w:rFonts w:cs="Calibri"/>
        </w:rPr>
        <w:t xml:space="preserve">funding equity </w:t>
      </w:r>
      <w:r w:rsidR="00AA690A" w:rsidRPr="00AF1D30">
        <w:rPr>
          <w:rFonts w:cs="Calibri"/>
        </w:rPr>
        <w:t>gap</w:t>
      </w:r>
      <w:r w:rsidR="00D60CEE">
        <w:rPr>
          <w:rFonts w:cs="Calibri"/>
        </w:rPr>
        <w:t xml:space="preserve">. </w:t>
      </w:r>
    </w:p>
    <w:p w14:paraId="724AEDA7" w14:textId="77777777" w:rsidR="00881C82" w:rsidRDefault="00D60CEE" w:rsidP="0001287F">
      <w:pPr>
        <w:rPr>
          <w:b/>
        </w:rPr>
      </w:pPr>
      <w:r w:rsidRPr="00D60CEE">
        <w:rPr>
          <w:b/>
        </w:rPr>
        <w:t>Achievements</w:t>
      </w:r>
    </w:p>
    <w:p w14:paraId="41DF4FF6" w14:textId="3F8C0605" w:rsidR="0001287F" w:rsidRDefault="00D60CEE" w:rsidP="0001287F">
      <w:r>
        <w:t>Significant r</w:t>
      </w:r>
      <w:r w:rsidRPr="00AF1D30">
        <w:t xml:space="preserve">esults have been achieved </w:t>
      </w:r>
      <w:r w:rsidRPr="00D60CEE">
        <w:t>since EP inception</w:t>
      </w:r>
      <w:r>
        <w:t xml:space="preserve">. However, the extent to which these results represent significant progress towards the achievement of End-of-Partnership Outcomes is difficult to judge given the lack of milestones or targets against which to measure. </w:t>
      </w:r>
    </w:p>
    <w:p w14:paraId="65521546" w14:textId="77777777" w:rsidR="0001287F" w:rsidRDefault="00D60CEE" w:rsidP="0001287F">
      <w:r>
        <w:t>For EOPO 1</w:t>
      </w:r>
      <w:r w:rsidR="00D2206E">
        <w:t>, school construction is well underway but has been delayed. On</w:t>
      </w:r>
      <w:r w:rsidR="0001287F">
        <w:t>-</w:t>
      </w:r>
      <w:r w:rsidR="00D2206E">
        <w:t xml:space="preserve">going issues surround the appropriateness of </w:t>
      </w:r>
      <w:r w:rsidR="00D2206E" w:rsidRPr="00AF1D30">
        <w:t>new school</w:t>
      </w:r>
      <w:r w:rsidR="00D2206E">
        <w:t xml:space="preserve"> construction as the </w:t>
      </w:r>
      <w:r w:rsidR="00D2206E" w:rsidRPr="00AF1D30">
        <w:t xml:space="preserve">best response </w:t>
      </w:r>
      <w:r w:rsidR="00D2206E" w:rsidRPr="00AF1D30">
        <w:rPr>
          <w:rFonts w:cs="Calibri"/>
        </w:rPr>
        <w:t>to infrastructure provision for improving access to education</w:t>
      </w:r>
      <w:r w:rsidR="0001287F">
        <w:rPr>
          <w:rFonts w:cs="Calibri"/>
        </w:rPr>
        <w:t>; t</w:t>
      </w:r>
      <w:r w:rsidR="00D2206E" w:rsidRPr="00AF1D30">
        <w:t>he site selection process</w:t>
      </w:r>
      <w:r w:rsidR="0001287F">
        <w:t xml:space="preserve"> and the quantity and quality of proposals; and how best to balance the role of field monitors.</w:t>
      </w:r>
    </w:p>
    <w:p w14:paraId="49F386DD" w14:textId="74A32AE7" w:rsidR="0001287F" w:rsidRDefault="0001287F" w:rsidP="0001287F">
      <w:r>
        <w:t>For EOPO 2, t</w:t>
      </w:r>
      <w:r>
        <w:rPr>
          <w:lang w:val="id-ID"/>
        </w:rPr>
        <w:t xml:space="preserve">he establishment of a </w:t>
      </w:r>
      <w:r>
        <w:t xml:space="preserve">comprehensive continuous professional development </w:t>
      </w:r>
      <w:r w:rsidRPr="00AF1D30">
        <w:t xml:space="preserve">system </w:t>
      </w:r>
      <w:r>
        <w:rPr>
          <w:lang w:val="id-ID"/>
        </w:rPr>
        <w:t xml:space="preserve">is based on a new approach </w:t>
      </w:r>
      <w:r>
        <w:rPr>
          <w:lang w:val="en-AU"/>
        </w:rPr>
        <w:t>of competency-based p</w:t>
      </w:r>
      <w:r w:rsidRPr="00AF1D30">
        <w:t xml:space="preserve">rofessional development </w:t>
      </w:r>
      <w:r>
        <w:rPr>
          <w:lang w:val="id-ID"/>
        </w:rPr>
        <w:t>in MoEC.</w:t>
      </w:r>
      <w:r>
        <w:rPr>
          <w:lang w:val="en-AU"/>
        </w:rPr>
        <w:t xml:space="preserve"> A strong foundation has been laid prior to national roll out of the scheme. National commitment to the system is very encouraging but is balanced by the </w:t>
      </w:r>
      <w:r w:rsidRPr="00AF1D30">
        <w:t xml:space="preserve">risks associated with the transfer of management responsibility of the training system from SSQ to </w:t>
      </w:r>
      <w:r>
        <w:rPr>
          <w:lang w:val="id-ID"/>
        </w:rPr>
        <w:t xml:space="preserve">MoEC </w:t>
      </w:r>
      <w:r w:rsidRPr="00AF1D30">
        <w:t>Pusbang Tendik in 2013</w:t>
      </w:r>
      <w:r>
        <w:t xml:space="preserve">. </w:t>
      </w:r>
    </w:p>
    <w:p w14:paraId="3E952B12" w14:textId="73BDB234" w:rsidR="002E7501" w:rsidRDefault="0001287F" w:rsidP="002E7501">
      <w:r>
        <w:t xml:space="preserve">For EOPO 3, </w:t>
      </w:r>
      <w:r w:rsidR="002E7501">
        <w:t>the drive for quality improvement</w:t>
      </w:r>
      <w:r w:rsidR="002E7501" w:rsidRPr="00AF1D30">
        <w:t xml:space="preserve"> is well aligned with MoRA</w:t>
      </w:r>
      <w:r w:rsidR="002E7501">
        <w:t>’s policy commitment</w:t>
      </w:r>
      <w:r w:rsidR="002E7501" w:rsidRPr="00AF1D30">
        <w:t xml:space="preserve"> to support Madrasah </w:t>
      </w:r>
      <w:r w:rsidR="002E7501">
        <w:t>in becoming</w:t>
      </w:r>
      <w:r w:rsidR="002E7501" w:rsidRPr="00AF1D30">
        <w:t xml:space="preserve"> viable alternative education providers for Indonesian children. </w:t>
      </w:r>
      <w:r w:rsidR="002E7501">
        <w:t>Encouraging evidence of institutional buy-in for the support system is balanced with the need for an effective sustainability strategy to cement gains.</w:t>
      </w:r>
    </w:p>
    <w:p w14:paraId="4F6A6090" w14:textId="4201BA37" w:rsidR="002E7501" w:rsidRPr="00AF1D30" w:rsidRDefault="002E7501" w:rsidP="003E45A7">
      <w:pPr>
        <w:spacing w:before="120" w:after="120"/>
      </w:pPr>
      <w:r>
        <w:t xml:space="preserve">For EOPO 4, </w:t>
      </w:r>
      <w:r w:rsidR="003E45A7">
        <w:t xml:space="preserve">variable progress has been achieved in </w:t>
      </w:r>
      <w:r w:rsidRPr="00AF1D30">
        <w:t>influencing policies and</w:t>
      </w:r>
      <w:r w:rsidR="003E45A7">
        <w:t xml:space="preserve">, more clearly, in </w:t>
      </w:r>
      <w:r w:rsidRPr="00AF1D30">
        <w:t xml:space="preserve">influencing decisions that interpret, operationalise and implement policies and strategies. </w:t>
      </w:r>
      <w:r w:rsidR="003E45A7">
        <w:t>Whilst it may be too early to see evidence that t</w:t>
      </w:r>
      <w:r w:rsidRPr="00AF1D30">
        <w:t xml:space="preserve">he </w:t>
      </w:r>
      <w:r w:rsidR="003E45A7">
        <w:t xml:space="preserve">ACDP research </w:t>
      </w:r>
      <w:r w:rsidRPr="00AF1D30">
        <w:t xml:space="preserve">model </w:t>
      </w:r>
      <w:r w:rsidR="003E45A7">
        <w:t xml:space="preserve">is influencing education policy, there exist concerns over the flexibility and turnaround time of the approach. On the other hand, </w:t>
      </w:r>
      <w:r w:rsidR="003E45A7">
        <w:lastRenderedPageBreak/>
        <w:t>more rapid gains are being made by o</w:t>
      </w:r>
      <w:r w:rsidRPr="00AF1D30">
        <w:t xml:space="preserve">ther </w:t>
      </w:r>
      <w:r>
        <w:t>c</w:t>
      </w:r>
      <w:r w:rsidRPr="00AF1D30">
        <w:t xml:space="preserve">omponents </w:t>
      </w:r>
      <w:r w:rsidR="003E45A7">
        <w:t xml:space="preserve">that have </w:t>
      </w:r>
      <w:r w:rsidRPr="00AF1D30">
        <w:t xml:space="preserve">been effective in influencing decisions at implementation level. </w:t>
      </w:r>
    </w:p>
    <w:p w14:paraId="4DC92E99" w14:textId="77777777" w:rsidR="00881C82" w:rsidRPr="00881C82" w:rsidRDefault="003E45A7" w:rsidP="00BB4B62">
      <w:pPr>
        <w:rPr>
          <w:b/>
        </w:rPr>
      </w:pPr>
      <w:r w:rsidRPr="00881C82">
        <w:rPr>
          <w:b/>
        </w:rPr>
        <w:t>Approach</w:t>
      </w:r>
    </w:p>
    <w:p w14:paraId="0AB492F8" w14:textId="3A0D9240" w:rsidR="003E45A7" w:rsidRPr="00AF1D30" w:rsidRDefault="003E45A7" w:rsidP="00BB4B62">
      <w:r w:rsidRPr="00AF1D30">
        <w:t xml:space="preserve">The EP is characterised by a blend of aid modalities bound by a common thread: a commitment to strengthen </w:t>
      </w:r>
      <w:r>
        <w:rPr>
          <w:lang w:val="id-ID"/>
        </w:rPr>
        <w:t xml:space="preserve">nationwide </w:t>
      </w:r>
      <w:r w:rsidRPr="00AF1D30">
        <w:t>systems</w:t>
      </w:r>
      <w:r>
        <w:rPr>
          <w:lang w:val="id-ID"/>
        </w:rPr>
        <w:t xml:space="preserve"> of education service provision</w:t>
      </w:r>
      <w:r w:rsidRPr="00AF1D30">
        <w:t xml:space="preserve">. </w:t>
      </w:r>
      <w:r w:rsidR="00BB4B62">
        <w:t xml:space="preserve">Whilst the </w:t>
      </w:r>
      <w:r w:rsidRPr="00AF1D30">
        <w:t>blend of modalities is a sound and appropriate response that appears to offer good opportunity to build capacity through s</w:t>
      </w:r>
      <w:r>
        <w:t>ystems development</w:t>
      </w:r>
      <w:r w:rsidR="00BB4B62">
        <w:t xml:space="preserve">, </w:t>
      </w:r>
      <w:r w:rsidRPr="00AF1D30">
        <w:t xml:space="preserve">the different modalities employed can only accentuate the risk that the different components operate in silos and that the partnership operates as four non-contiguous initiatives. The EP also targets and utilises different implementation mechanisms at field level. These mechanisms represent the </w:t>
      </w:r>
      <w:r>
        <w:rPr>
          <w:lang w:val="id-ID"/>
        </w:rPr>
        <w:t xml:space="preserve">nationwide </w:t>
      </w:r>
      <w:r w:rsidRPr="00AF1D30">
        <w:t>systems that are targeted by the EP</w:t>
      </w:r>
      <w:r>
        <w:rPr>
          <w:lang w:val="id-ID"/>
        </w:rPr>
        <w:t xml:space="preserve">, </w:t>
      </w:r>
      <w:r w:rsidRPr="00AF1D30">
        <w:t xml:space="preserve">selected </w:t>
      </w:r>
      <w:r w:rsidR="00BB4B62">
        <w:t xml:space="preserve">justifiably </w:t>
      </w:r>
      <w:r>
        <w:rPr>
          <w:lang w:val="id-ID"/>
        </w:rPr>
        <w:t xml:space="preserve">on the assumption that they </w:t>
      </w:r>
      <w:r w:rsidRPr="00AF1D30">
        <w:t>offer the highest chance of success in achieving</w:t>
      </w:r>
      <w:r>
        <w:rPr>
          <w:lang w:val="id-ID"/>
        </w:rPr>
        <w:t xml:space="preserve"> and sustaining </w:t>
      </w:r>
      <w:r w:rsidRPr="00AF1D30">
        <w:t xml:space="preserve">outputs and </w:t>
      </w:r>
      <w:r>
        <w:t>component-level outcome</w:t>
      </w:r>
      <w:r>
        <w:rPr>
          <w:lang w:val="id-ID"/>
        </w:rPr>
        <w:t>s</w:t>
      </w:r>
      <w:r w:rsidRPr="00AF1D30">
        <w:t xml:space="preserve">. </w:t>
      </w:r>
    </w:p>
    <w:p w14:paraId="7976B114" w14:textId="42F66D81" w:rsidR="00881C82" w:rsidRDefault="00BB4B62" w:rsidP="00BB4B62">
      <w:r>
        <w:t xml:space="preserve">The Education “Partnership” </w:t>
      </w:r>
      <w:r w:rsidR="003E45A7" w:rsidRPr="00AF1D30">
        <w:t>reflects a philosophy</w:t>
      </w:r>
      <w:r>
        <w:t xml:space="preserve"> rather than an approach as such. </w:t>
      </w:r>
      <w:r w:rsidR="003E45A7" w:rsidRPr="00AF1D30">
        <w:t xml:space="preserve">The EP is a multi-faceted program that has GoI and AusAID at its head but with multiple partnerships and relationships at lower, operational levels. </w:t>
      </w:r>
      <w:r>
        <w:t xml:space="preserve">The breadth of the program and the multitude of stakeholders </w:t>
      </w:r>
      <w:r w:rsidR="00EA61FC">
        <w:t>make</w:t>
      </w:r>
      <w:r>
        <w:t xml:space="preserve"> proactive management difficult, a situation exacerbated by the underutilisation of governance mechanisms.  </w:t>
      </w:r>
    </w:p>
    <w:p w14:paraId="68F4979B" w14:textId="770FF1F2" w:rsidR="00881C82" w:rsidRPr="00881C82" w:rsidRDefault="00881C82" w:rsidP="00BB4B62">
      <w:pPr>
        <w:rPr>
          <w:b/>
        </w:rPr>
      </w:pPr>
      <w:r w:rsidRPr="00881C82">
        <w:rPr>
          <w:b/>
        </w:rPr>
        <w:t>Beneficiaries</w:t>
      </w:r>
    </w:p>
    <w:p w14:paraId="60A8E59B" w14:textId="02D3C71B" w:rsidR="003E45A7" w:rsidRPr="00AF1D30" w:rsidRDefault="00BB4B62" w:rsidP="00BB4B62">
      <w:r>
        <w:t>T</w:t>
      </w:r>
      <w:r w:rsidR="003E45A7" w:rsidRPr="00AF1D30">
        <w:t xml:space="preserve">here is clear ambition within the EP to facilitate the systemic change that would see the benefits of the EP </w:t>
      </w:r>
      <w:r w:rsidR="00881C82">
        <w:t xml:space="preserve">sustained </w:t>
      </w:r>
      <w:r w:rsidR="003E45A7" w:rsidRPr="00AF1D30">
        <w:t xml:space="preserve">well beyond the lifetime of the partnership. </w:t>
      </w:r>
      <w:r w:rsidR="00881C82">
        <w:t>However, t</w:t>
      </w:r>
      <w:r w:rsidR="003E45A7" w:rsidRPr="00AF1D30">
        <w:t>h</w:t>
      </w:r>
      <w:r>
        <w:t xml:space="preserve">is ambition needs to be translated into an effective sustainability strategy.  </w:t>
      </w:r>
      <w:r w:rsidR="00881C82">
        <w:t xml:space="preserve">In addition, more clarity with respect to the identification of intended beneficiaries allied to a clear social inclusion strategy would translate the </w:t>
      </w:r>
      <w:r w:rsidR="00881C82" w:rsidRPr="00AF1D30">
        <w:t>assume</w:t>
      </w:r>
      <w:r w:rsidR="00881C82">
        <w:t>d</w:t>
      </w:r>
      <w:r w:rsidR="00881C82" w:rsidRPr="00AF1D30">
        <w:t xml:space="preserve"> correlations between EP intent and social inclusio</w:t>
      </w:r>
      <w:r w:rsidR="00881C82">
        <w:t>n objectives into decisive action.</w:t>
      </w:r>
    </w:p>
    <w:p w14:paraId="32B1D33C" w14:textId="027D29D6" w:rsidR="0001287F" w:rsidRDefault="00881C82" w:rsidP="0001287F">
      <w:pPr>
        <w:rPr>
          <w:b/>
        </w:rPr>
      </w:pPr>
      <w:r>
        <w:rPr>
          <w:b/>
        </w:rPr>
        <w:t>Implications</w:t>
      </w:r>
    </w:p>
    <w:p w14:paraId="3D13FB36" w14:textId="6F236FBD" w:rsidR="009A5F8C" w:rsidRDefault="009A5F8C" w:rsidP="009A5F8C">
      <w:pPr>
        <w:spacing w:before="120" w:after="120"/>
        <w:contextualSpacing/>
      </w:pPr>
      <w:r>
        <w:t xml:space="preserve">Findings are summarised and linked to an associated </w:t>
      </w:r>
      <w:r w:rsidRPr="00AF1D30">
        <w:t>recommendation</w:t>
      </w:r>
      <w:r>
        <w:t>. Prime</w:t>
      </w:r>
      <w:r w:rsidRPr="00AF1D30">
        <w:t xml:space="preserve"> responsibility for implementation </w:t>
      </w:r>
      <w:r>
        <w:t xml:space="preserve">of </w:t>
      </w:r>
      <w:r w:rsidR="00794DF9">
        <w:t>each</w:t>
      </w:r>
      <w:r>
        <w:t xml:space="preserve"> recommendation is identified an</w:t>
      </w:r>
      <w:r w:rsidR="00794DF9">
        <w:t>d three levels of urgency</w:t>
      </w:r>
      <w:r>
        <w:t xml:space="preserve"> are attached</w:t>
      </w:r>
      <w:r w:rsidR="00794DF9">
        <w:t xml:space="preserve"> to the recommendations. Under the highest level of urgency are the following</w:t>
      </w:r>
      <w:r w:rsidR="00A87325">
        <w:t xml:space="preserve"> recommendations</w:t>
      </w:r>
      <w:r w:rsidR="00794DF9">
        <w:t xml:space="preserve">: </w:t>
      </w:r>
    </w:p>
    <w:p w14:paraId="4CF5885D" w14:textId="4638A7A8" w:rsidR="00881C82" w:rsidRPr="00A87325" w:rsidRDefault="00794DF9" w:rsidP="00A87325">
      <w:pPr>
        <w:pStyle w:val="ListParagraph"/>
        <w:numPr>
          <w:ilvl w:val="0"/>
          <w:numId w:val="46"/>
        </w:numPr>
        <w:rPr>
          <w:szCs w:val="22"/>
          <w:lang w:val="en-AU"/>
        </w:rPr>
      </w:pPr>
      <w:r w:rsidRPr="00A87325">
        <w:rPr>
          <w:szCs w:val="22"/>
          <w:lang w:val="en-AU"/>
        </w:rPr>
        <w:t>Agree on a classification of beneficiaries and identify realistic impact expectations</w:t>
      </w:r>
    </w:p>
    <w:p w14:paraId="7FAD63B0" w14:textId="76610850" w:rsidR="00A87325" w:rsidRDefault="00794DF9" w:rsidP="00A87325">
      <w:pPr>
        <w:pStyle w:val="ListParagraph"/>
        <w:numPr>
          <w:ilvl w:val="0"/>
          <w:numId w:val="46"/>
        </w:numPr>
        <w:rPr>
          <w:szCs w:val="22"/>
          <w:lang w:val="en-AU"/>
        </w:rPr>
      </w:pPr>
      <w:r w:rsidRPr="00A87325">
        <w:rPr>
          <w:szCs w:val="22"/>
          <w:lang w:val="en-AU"/>
        </w:rPr>
        <w:t>Strengthen the management of the EP with increased AusAID senior management resource</w:t>
      </w:r>
      <w:r w:rsidR="00EA61FC">
        <w:rPr>
          <w:szCs w:val="22"/>
          <w:lang w:val="en-AU"/>
        </w:rPr>
        <w:t>s</w:t>
      </w:r>
      <w:r w:rsidRPr="00A87325">
        <w:rPr>
          <w:szCs w:val="22"/>
          <w:lang w:val="en-AU"/>
        </w:rPr>
        <w:t xml:space="preserve"> that ha</w:t>
      </w:r>
      <w:r w:rsidR="00EA61FC">
        <w:rPr>
          <w:szCs w:val="22"/>
          <w:lang w:val="en-AU"/>
        </w:rPr>
        <w:t>ve</w:t>
      </w:r>
      <w:r w:rsidRPr="00A87325">
        <w:rPr>
          <w:szCs w:val="22"/>
          <w:lang w:val="en-AU"/>
        </w:rPr>
        <w:t xml:space="preserve"> overall EP overview and responsibility</w:t>
      </w:r>
    </w:p>
    <w:p w14:paraId="75FEEA56" w14:textId="33CACABB" w:rsidR="00794DF9" w:rsidRPr="00A87325" w:rsidRDefault="00794DF9" w:rsidP="00A87325">
      <w:pPr>
        <w:pStyle w:val="ListParagraph"/>
        <w:numPr>
          <w:ilvl w:val="0"/>
          <w:numId w:val="46"/>
        </w:numPr>
        <w:rPr>
          <w:szCs w:val="22"/>
          <w:lang w:val="en-AU"/>
        </w:rPr>
      </w:pPr>
      <w:r w:rsidRPr="00A87325">
        <w:rPr>
          <w:szCs w:val="22"/>
          <w:lang w:val="en-AU"/>
        </w:rPr>
        <w:t>Cons</w:t>
      </w:r>
      <w:r w:rsidR="00EA61FC">
        <w:rPr>
          <w:szCs w:val="22"/>
          <w:lang w:val="en-AU"/>
        </w:rPr>
        <w:t>olidate the EP theory of change</w:t>
      </w:r>
      <w:r w:rsidRPr="00A87325">
        <w:rPr>
          <w:szCs w:val="22"/>
          <w:lang w:val="en-AU"/>
        </w:rPr>
        <w:t xml:space="preserve"> to include clear assumptions about each step of the EP logic and clear and measurable results expectations for each step of the EP logic through the identific</w:t>
      </w:r>
      <w:r w:rsidR="00EA61FC">
        <w:rPr>
          <w:szCs w:val="22"/>
          <w:lang w:val="en-AU"/>
        </w:rPr>
        <w:t>ation of performance milestones</w:t>
      </w:r>
    </w:p>
    <w:p w14:paraId="655E6BC7" w14:textId="74155CA9" w:rsidR="00794DF9" w:rsidRPr="00A87325" w:rsidRDefault="00794DF9" w:rsidP="00A87325">
      <w:pPr>
        <w:pStyle w:val="ListParagraph"/>
        <w:numPr>
          <w:ilvl w:val="0"/>
          <w:numId w:val="46"/>
        </w:numPr>
        <w:rPr>
          <w:szCs w:val="22"/>
          <w:lang w:val="en-AU"/>
        </w:rPr>
      </w:pPr>
      <w:r w:rsidRPr="00A87325">
        <w:rPr>
          <w:szCs w:val="22"/>
          <w:lang w:val="en-AU"/>
        </w:rPr>
        <w:t>Review district and site selection processes, to include measure of transition</w:t>
      </w:r>
    </w:p>
    <w:p w14:paraId="448C304C" w14:textId="2BFF9270" w:rsidR="00794DF9" w:rsidRPr="00A87325" w:rsidRDefault="00794DF9" w:rsidP="00A87325">
      <w:pPr>
        <w:pStyle w:val="ListParagraph"/>
        <w:numPr>
          <w:ilvl w:val="0"/>
          <w:numId w:val="46"/>
        </w:numPr>
        <w:rPr>
          <w:szCs w:val="22"/>
          <w:lang w:val="en-AU"/>
        </w:rPr>
      </w:pPr>
      <w:r w:rsidRPr="00A87325">
        <w:rPr>
          <w:szCs w:val="22"/>
          <w:lang w:val="en-AU"/>
        </w:rPr>
        <w:t>Establish robust monitoring process for C2 grant agreement implementation, with</w:t>
      </w:r>
      <w:r w:rsidR="008303A8" w:rsidRPr="00A87325">
        <w:rPr>
          <w:szCs w:val="22"/>
          <w:lang w:val="en-AU"/>
        </w:rPr>
        <w:t xml:space="preserve"> c</w:t>
      </w:r>
      <w:r w:rsidRPr="00A87325">
        <w:rPr>
          <w:szCs w:val="22"/>
          <w:lang w:val="en-AU"/>
        </w:rPr>
        <w:t>lear result milestones and targets</w:t>
      </w:r>
      <w:r w:rsidR="008303A8" w:rsidRPr="00A87325">
        <w:rPr>
          <w:szCs w:val="22"/>
          <w:lang w:val="en-AU"/>
        </w:rPr>
        <w:t xml:space="preserve"> and a c</w:t>
      </w:r>
      <w:r w:rsidRPr="00A87325">
        <w:rPr>
          <w:szCs w:val="22"/>
          <w:lang w:val="en-AU"/>
        </w:rPr>
        <w:t>lear support function for SSQ</w:t>
      </w:r>
    </w:p>
    <w:p w14:paraId="40B04780" w14:textId="6EF642CE" w:rsidR="008303A8" w:rsidRPr="00A87325" w:rsidRDefault="008303A8" w:rsidP="00A87325">
      <w:pPr>
        <w:pStyle w:val="ListParagraph"/>
        <w:numPr>
          <w:ilvl w:val="0"/>
          <w:numId w:val="46"/>
        </w:numPr>
        <w:rPr>
          <w:szCs w:val="22"/>
          <w:lang w:val="en-AU"/>
        </w:rPr>
      </w:pPr>
      <w:r w:rsidRPr="00A87325">
        <w:rPr>
          <w:szCs w:val="22"/>
          <w:lang w:val="en-AU"/>
        </w:rPr>
        <w:t>Monitor the opportunities and constraints for MoRA uptake of the SNIP/MDC model</w:t>
      </w:r>
    </w:p>
    <w:p w14:paraId="52835CB7" w14:textId="1488BF96" w:rsidR="008303A8" w:rsidRPr="00A87325" w:rsidRDefault="008303A8" w:rsidP="00A87325">
      <w:pPr>
        <w:pStyle w:val="ListParagraph"/>
        <w:numPr>
          <w:ilvl w:val="0"/>
          <w:numId w:val="46"/>
        </w:numPr>
        <w:rPr>
          <w:szCs w:val="22"/>
          <w:lang w:val="en-AU"/>
        </w:rPr>
      </w:pPr>
      <w:r w:rsidRPr="00A87325">
        <w:rPr>
          <w:szCs w:val="22"/>
          <w:lang w:val="en-AU"/>
        </w:rPr>
        <w:t>Consider additional response mechanisms for ACDP, including cross-fertilisation between the ACDP and the new AusAID funded KSI</w:t>
      </w:r>
    </w:p>
    <w:p w14:paraId="1C21C9F5" w14:textId="77777777" w:rsidR="008303A8" w:rsidRDefault="008303A8" w:rsidP="00A87325">
      <w:pPr>
        <w:spacing w:before="120" w:after="120" w:line="240" w:lineRule="auto"/>
        <w:jc w:val="left"/>
        <w:rPr>
          <w:szCs w:val="22"/>
          <w:lang w:val="en-AU"/>
        </w:rPr>
      </w:pPr>
    </w:p>
    <w:p w14:paraId="7334FC35" w14:textId="6C3C1008" w:rsidR="008303A8" w:rsidRDefault="008303A8" w:rsidP="008303A8">
      <w:pPr>
        <w:spacing w:before="120" w:after="120"/>
        <w:contextualSpacing/>
      </w:pPr>
      <w:r>
        <w:t>Under the medium level of urgency are the following</w:t>
      </w:r>
      <w:r w:rsidR="00A87325">
        <w:t xml:space="preserve"> recommendations</w:t>
      </w:r>
      <w:r>
        <w:t xml:space="preserve">: </w:t>
      </w:r>
    </w:p>
    <w:p w14:paraId="574D855C" w14:textId="1C0AB900" w:rsidR="008303A8" w:rsidRDefault="008303A8" w:rsidP="00A87325">
      <w:pPr>
        <w:pStyle w:val="ListParagraph"/>
        <w:numPr>
          <w:ilvl w:val="0"/>
          <w:numId w:val="46"/>
        </w:numPr>
        <w:rPr>
          <w:szCs w:val="22"/>
          <w:lang w:val="en-AU"/>
        </w:rPr>
      </w:pPr>
      <w:r w:rsidRPr="00A87325">
        <w:rPr>
          <w:szCs w:val="22"/>
          <w:lang w:val="en-AU"/>
        </w:rPr>
        <w:t>AusAID and GoI negotiate the removal of non-additionality principle for EP funds</w:t>
      </w:r>
    </w:p>
    <w:p w14:paraId="6F59F2E8" w14:textId="472649E6" w:rsidR="008303A8" w:rsidRDefault="008303A8" w:rsidP="00A87325">
      <w:pPr>
        <w:pStyle w:val="ListParagraph"/>
        <w:numPr>
          <w:ilvl w:val="0"/>
          <w:numId w:val="46"/>
        </w:numPr>
        <w:rPr>
          <w:szCs w:val="22"/>
          <w:lang w:val="en-AU"/>
        </w:rPr>
      </w:pPr>
      <w:r w:rsidRPr="00A87325">
        <w:rPr>
          <w:szCs w:val="22"/>
          <w:lang w:val="en-AU"/>
        </w:rPr>
        <w:t>C</w:t>
      </w:r>
      <w:r w:rsidRPr="005E2933">
        <w:rPr>
          <w:szCs w:val="22"/>
          <w:lang w:val="en-AU"/>
        </w:rPr>
        <w:t xml:space="preserve">ommission </w:t>
      </w:r>
      <w:r>
        <w:rPr>
          <w:szCs w:val="22"/>
          <w:lang w:val="en-AU"/>
        </w:rPr>
        <w:t xml:space="preserve">a </w:t>
      </w:r>
      <w:r w:rsidRPr="005E2933">
        <w:rPr>
          <w:szCs w:val="22"/>
          <w:lang w:val="en-AU"/>
        </w:rPr>
        <w:t xml:space="preserve">review </w:t>
      </w:r>
      <w:r w:rsidRPr="00A87325">
        <w:rPr>
          <w:szCs w:val="22"/>
          <w:lang w:val="en-AU"/>
        </w:rPr>
        <w:t>of</w:t>
      </w:r>
      <w:r w:rsidRPr="005E2933">
        <w:rPr>
          <w:szCs w:val="22"/>
          <w:lang w:val="en-AU"/>
        </w:rPr>
        <w:t xml:space="preserve"> factors influencing district funding of</w:t>
      </w:r>
      <w:r>
        <w:rPr>
          <w:szCs w:val="22"/>
          <w:lang w:val="en-AU"/>
        </w:rPr>
        <w:t xml:space="preserve"> education, including steps to mitigate risks of financial substitution effects at district level.</w:t>
      </w:r>
    </w:p>
    <w:p w14:paraId="0C7D8A10" w14:textId="23298911" w:rsidR="008303A8" w:rsidRDefault="008303A8" w:rsidP="00A87325">
      <w:pPr>
        <w:pStyle w:val="ListParagraph"/>
        <w:numPr>
          <w:ilvl w:val="0"/>
          <w:numId w:val="46"/>
        </w:numPr>
        <w:rPr>
          <w:szCs w:val="22"/>
          <w:lang w:val="en-AU"/>
        </w:rPr>
      </w:pPr>
      <w:r w:rsidRPr="005E2933">
        <w:rPr>
          <w:szCs w:val="22"/>
          <w:lang w:val="en-AU"/>
        </w:rPr>
        <w:t xml:space="preserve">Finalise, socialise and implement an EP social inclusion strategy, including </w:t>
      </w:r>
      <w:r w:rsidRPr="00A87325">
        <w:rPr>
          <w:szCs w:val="22"/>
          <w:lang w:val="en-AU"/>
        </w:rPr>
        <w:t>a mechanism t</w:t>
      </w:r>
      <w:r w:rsidRPr="005E2933">
        <w:rPr>
          <w:szCs w:val="22"/>
          <w:lang w:val="en-AU"/>
        </w:rPr>
        <w:t>o assess its implementation</w:t>
      </w:r>
    </w:p>
    <w:p w14:paraId="173228F3" w14:textId="23167460" w:rsidR="008303A8" w:rsidRDefault="008303A8" w:rsidP="00A87325">
      <w:pPr>
        <w:pStyle w:val="ListParagraph"/>
        <w:numPr>
          <w:ilvl w:val="0"/>
          <w:numId w:val="46"/>
        </w:numPr>
        <w:rPr>
          <w:szCs w:val="22"/>
          <w:lang w:val="en-AU"/>
        </w:rPr>
      </w:pPr>
      <w:r w:rsidRPr="005E2933">
        <w:rPr>
          <w:szCs w:val="22"/>
          <w:lang w:val="en-AU"/>
        </w:rPr>
        <w:t>Review the EP governance mechanisms to avoid reproducing paral</w:t>
      </w:r>
      <w:r w:rsidRPr="00A87325">
        <w:rPr>
          <w:szCs w:val="22"/>
          <w:lang w:val="en-AU"/>
        </w:rPr>
        <w:t>l</w:t>
      </w:r>
      <w:r w:rsidRPr="005E2933">
        <w:rPr>
          <w:szCs w:val="22"/>
          <w:lang w:val="en-AU"/>
        </w:rPr>
        <w:t xml:space="preserve">el management structure and </w:t>
      </w:r>
      <w:r w:rsidRPr="00A87325">
        <w:rPr>
          <w:szCs w:val="22"/>
          <w:lang w:val="en-AU"/>
        </w:rPr>
        <w:t xml:space="preserve">to </w:t>
      </w:r>
      <w:r w:rsidRPr="005E2933">
        <w:rPr>
          <w:szCs w:val="22"/>
          <w:lang w:val="en-AU"/>
        </w:rPr>
        <w:t>proactively manage the EP performance</w:t>
      </w:r>
    </w:p>
    <w:p w14:paraId="6A99FE9D" w14:textId="4A466271" w:rsidR="008303A8" w:rsidRPr="00A87325" w:rsidRDefault="008303A8" w:rsidP="00A87325">
      <w:pPr>
        <w:pStyle w:val="ListParagraph"/>
        <w:numPr>
          <w:ilvl w:val="0"/>
          <w:numId w:val="46"/>
        </w:numPr>
        <w:rPr>
          <w:szCs w:val="22"/>
          <w:lang w:val="en-AU"/>
        </w:rPr>
      </w:pPr>
      <w:r w:rsidRPr="00A87325">
        <w:rPr>
          <w:szCs w:val="22"/>
          <w:lang w:val="en-AU"/>
        </w:rPr>
        <w:t>Consolidate the EP theory of change, to include a comprehensive risk register at EP level</w:t>
      </w:r>
    </w:p>
    <w:p w14:paraId="7A59A740" w14:textId="30C9C4C6" w:rsidR="008303A8" w:rsidRDefault="008303A8" w:rsidP="00A87325">
      <w:pPr>
        <w:pStyle w:val="ListParagraph"/>
        <w:numPr>
          <w:ilvl w:val="0"/>
          <w:numId w:val="46"/>
        </w:numPr>
        <w:rPr>
          <w:szCs w:val="22"/>
          <w:lang w:val="en-AU"/>
        </w:rPr>
      </w:pPr>
      <w:r w:rsidRPr="00A87325">
        <w:rPr>
          <w:szCs w:val="22"/>
          <w:lang w:val="en-AU"/>
        </w:rPr>
        <w:t>Diversify C1 approach to access improvement while keeping the focus on infrastructure provision, e.g. supporting school rehabilitation and/or extension programs.</w:t>
      </w:r>
    </w:p>
    <w:p w14:paraId="37C957CE" w14:textId="423A3A0D" w:rsidR="008303A8" w:rsidRDefault="008303A8" w:rsidP="00A87325">
      <w:pPr>
        <w:pStyle w:val="ListParagraph"/>
        <w:numPr>
          <w:ilvl w:val="0"/>
          <w:numId w:val="46"/>
        </w:numPr>
        <w:rPr>
          <w:szCs w:val="22"/>
          <w:lang w:val="en-AU"/>
        </w:rPr>
      </w:pPr>
      <w:r w:rsidRPr="005E2933">
        <w:rPr>
          <w:szCs w:val="22"/>
          <w:lang w:val="en-AU"/>
        </w:rPr>
        <w:t>Review construction targets in recognition of current timeframes and capacities</w:t>
      </w:r>
    </w:p>
    <w:p w14:paraId="4761AFFD" w14:textId="09A95C73" w:rsidR="008303A8" w:rsidRDefault="008303A8" w:rsidP="00A87325">
      <w:pPr>
        <w:pStyle w:val="ListParagraph"/>
        <w:numPr>
          <w:ilvl w:val="0"/>
          <w:numId w:val="46"/>
        </w:numPr>
        <w:rPr>
          <w:szCs w:val="22"/>
          <w:lang w:val="en-AU"/>
        </w:rPr>
      </w:pPr>
      <w:r w:rsidRPr="00A87325">
        <w:rPr>
          <w:szCs w:val="22"/>
          <w:lang w:val="en-AU"/>
        </w:rPr>
        <w:t>Commission a study to understand factors of capacity and identify actions to develop district capacity to fulfill their MoA obligations</w:t>
      </w:r>
    </w:p>
    <w:p w14:paraId="553B517E" w14:textId="5FB221A4" w:rsidR="008303A8" w:rsidRDefault="008303A8" w:rsidP="00A87325">
      <w:pPr>
        <w:pStyle w:val="ListParagraph"/>
        <w:numPr>
          <w:ilvl w:val="0"/>
          <w:numId w:val="46"/>
        </w:numPr>
        <w:rPr>
          <w:szCs w:val="22"/>
          <w:lang w:val="en-AU"/>
        </w:rPr>
      </w:pPr>
      <w:r w:rsidRPr="005E2933">
        <w:rPr>
          <w:szCs w:val="22"/>
          <w:lang w:val="en-AU"/>
        </w:rPr>
        <w:t>Identify intermediate steps in C2 logic to articulate expected shifts in knowledge, attitudes and practices in post-training phase, with appropriate mechanism</w:t>
      </w:r>
      <w:r>
        <w:rPr>
          <w:szCs w:val="22"/>
          <w:lang w:val="en-AU"/>
        </w:rPr>
        <w:t>s</w:t>
      </w:r>
      <w:r w:rsidRPr="005E2933">
        <w:rPr>
          <w:szCs w:val="22"/>
          <w:lang w:val="en-AU"/>
        </w:rPr>
        <w:t xml:space="preserve"> to review progress against expectations</w:t>
      </w:r>
    </w:p>
    <w:p w14:paraId="5CE4236F" w14:textId="48F324B5" w:rsidR="008303A8" w:rsidRPr="00A87325" w:rsidRDefault="008303A8" w:rsidP="00A87325">
      <w:pPr>
        <w:pStyle w:val="ListParagraph"/>
        <w:numPr>
          <w:ilvl w:val="0"/>
          <w:numId w:val="46"/>
        </w:numPr>
        <w:rPr>
          <w:szCs w:val="22"/>
          <w:lang w:val="en-AU"/>
        </w:rPr>
      </w:pPr>
      <w:r w:rsidRPr="00A87325">
        <w:rPr>
          <w:szCs w:val="22"/>
          <w:lang w:val="en-AU"/>
        </w:rPr>
        <w:t xml:space="preserve">Review </w:t>
      </w:r>
      <w:r w:rsidRPr="005E2933">
        <w:rPr>
          <w:szCs w:val="22"/>
          <w:lang w:val="en-AU"/>
        </w:rPr>
        <w:t xml:space="preserve">ACDP model </w:t>
      </w:r>
      <w:r w:rsidRPr="00A87325">
        <w:rPr>
          <w:szCs w:val="22"/>
          <w:lang w:val="en-AU"/>
        </w:rPr>
        <w:t xml:space="preserve">to include considerations of </w:t>
      </w:r>
      <w:r>
        <w:rPr>
          <w:szCs w:val="22"/>
          <w:lang w:val="en-AU"/>
        </w:rPr>
        <w:t>r</w:t>
      </w:r>
      <w:r w:rsidRPr="00A87325">
        <w:rPr>
          <w:szCs w:val="22"/>
          <w:lang w:val="en-AU"/>
        </w:rPr>
        <w:t>ole of incentives and organisational culture in shaping the evidence/policy interface, use of ‘knowledge brokers’  and an appropriate socialisation strategy</w:t>
      </w:r>
    </w:p>
    <w:p w14:paraId="0D557368" w14:textId="44AED2D2" w:rsidR="008303A8" w:rsidRPr="008303A8" w:rsidRDefault="008303A8" w:rsidP="00A87325">
      <w:pPr>
        <w:pStyle w:val="ListParagraph"/>
        <w:numPr>
          <w:ilvl w:val="0"/>
          <w:numId w:val="46"/>
        </w:numPr>
        <w:rPr>
          <w:szCs w:val="22"/>
          <w:lang w:val="en-AU"/>
        </w:rPr>
      </w:pPr>
      <w:r w:rsidRPr="00A87325">
        <w:rPr>
          <w:szCs w:val="22"/>
          <w:lang w:val="en-AU"/>
        </w:rPr>
        <w:t>Streng</w:t>
      </w:r>
      <w:r>
        <w:rPr>
          <w:szCs w:val="22"/>
          <w:lang w:val="en-AU"/>
        </w:rPr>
        <w:t>th</w:t>
      </w:r>
      <w:r w:rsidRPr="00A87325">
        <w:rPr>
          <w:szCs w:val="22"/>
          <w:lang w:val="en-AU"/>
        </w:rPr>
        <w:t>en the C4 logic to include assumption</w:t>
      </w:r>
      <w:r>
        <w:rPr>
          <w:szCs w:val="22"/>
          <w:lang w:val="en-AU"/>
        </w:rPr>
        <w:t>s</w:t>
      </w:r>
      <w:r w:rsidRPr="00A87325">
        <w:rPr>
          <w:szCs w:val="22"/>
          <w:lang w:val="en-AU"/>
        </w:rPr>
        <w:t xml:space="preserve"> behind and </w:t>
      </w:r>
      <w:r w:rsidRPr="005E2933">
        <w:rPr>
          <w:szCs w:val="22"/>
          <w:lang w:val="en-AU"/>
        </w:rPr>
        <w:t xml:space="preserve">expected shifts in knowledge, attitudes and practices </w:t>
      </w:r>
      <w:r w:rsidRPr="00A87325">
        <w:rPr>
          <w:szCs w:val="22"/>
          <w:lang w:val="en-AU"/>
        </w:rPr>
        <w:t>of relevant policy-makers</w:t>
      </w:r>
    </w:p>
    <w:p w14:paraId="43C9FD78" w14:textId="77777777" w:rsidR="00A87325" w:rsidRDefault="00A87325" w:rsidP="008303A8">
      <w:pPr>
        <w:spacing w:before="120" w:after="120"/>
        <w:contextualSpacing/>
      </w:pPr>
    </w:p>
    <w:p w14:paraId="4A0B9217" w14:textId="093B5EB3" w:rsidR="008303A8" w:rsidRDefault="008303A8" w:rsidP="008303A8">
      <w:pPr>
        <w:spacing w:before="120" w:after="120"/>
        <w:contextualSpacing/>
      </w:pPr>
      <w:r>
        <w:t>Under the lowest level of urgency are the following</w:t>
      </w:r>
      <w:r w:rsidR="00A87325">
        <w:t xml:space="preserve"> recommendations</w:t>
      </w:r>
      <w:r>
        <w:t xml:space="preserve">: </w:t>
      </w:r>
    </w:p>
    <w:p w14:paraId="2B9F06C0" w14:textId="0EC69C0A" w:rsidR="008303A8" w:rsidRPr="00A87325" w:rsidRDefault="008303A8" w:rsidP="00A87325">
      <w:pPr>
        <w:pStyle w:val="ListParagraph"/>
        <w:numPr>
          <w:ilvl w:val="0"/>
          <w:numId w:val="46"/>
        </w:numPr>
        <w:rPr>
          <w:szCs w:val="22"/>
          <w:lang w:val="en-AU"/>
        </w:rPr>
      </w:pPr>
      <w:r w:rsidRPr="00A87325">
        <w:rPr>
          <w:szCs w:val="22"/>
          <w:lang w:val="en-AU"/>
        </w:rPr>
        <w:t>Consider relevance of EP objectives in relation to future RENSTRA</w:t>
      </w:r>
    </w:p>
    <w:p w14:paraId="5C722C32" w14:textId="143C986F" w:rsidR="008303A8" w:rsidRPr="00A87325" w:rsidRDefault="008303A8" w:rsidP="00A87325">
      <w:pPr>
        <w:pStyle w:val="ListParagraph"/>
        <w:numPr>
          <w:ilvl w:val="0"/>
          <w:numId w:val="46"/>
        </w:numPr>
        <w:rPr>
          <w:szCs w:val="22"/>
          <w:lang w:val="en-AU"/>
        </w:rPr>
      </w:pPr>
      <w:r w:rsidRPr="00A87325">
        <w:rPr>
          <w:szCs w:val="22"/>
          <w:lang w:val="en-AU"/>
        </w:rPr>
        <w:t>Consider relevance of EP objectives in relation to new JRF targets</w:t>
      </w:r>
    </w:p>
    <w:p w14:paraId="7A2716A2" w14:textId="0CCE46EA" w:rsidR="00794DF9" w:rsidRDefault="008303A8" w:rsidP="00A87325">
      <w:pPr>
        <w:pStyle w:val="ListParagraph"/>
        <w:numPr>
          <w:ilvl w:val="0"/>
          <w:numId w:val="46"/>
        </w:numPr>
        <w:rPr>
          <w:szCs w:val="22"/>
          <w:lang w:val="en-AU"/>
        </w:rPr>
      </w:pPr>
      <w:r w:rsidRPr="00A87325">
        <w:rPr>
          <w:szCs w:val="22"/>
          <w:lang w:val="en-AU"/>
        </w:rPr>
        <w:t>Monitor the budgets of critical EP support areas through</w:t>
      </w:r>
      <w:r>
        <w:rPr>
          <w:szCs w:val="22"/>
          <w:lang w:val="en-AU"/>
        </w:rPr>
        <w:t xml:space="preserve"> the </w:t>
      </w:r>
      <w:r w:rsidRPr="00A87325">
        <w:rPr>
          <w:szCs w:val="22"/>
          <w:lang w:val="en-AU"/>
        </w:rPr>
        <w:t>Annual Sector Financial Report</w:t>
      </w:r>
    </w:p>
    <w:p w14:paraId="60833CE6" w14:textId="7EA155A8" w:rsidR="008303A8" w:rsidRDefault="008303A8" w:rsidP="00A87325">
      <w:pPr>
        <w:pStyle w:val="ListParagraph"/>
        <w:numPr>
          <w:ilvl w:val="0"/>
          <w:numId w:val="46"/>
        </w:numPr>
        <w:rPr>
          <w:szCs w:val="22"/>
          <w:lang w:val="en-AU"/>
        </w:rPr>
      </w:pPr>
      <w:r w:rsidRPr="00A87325">
        <w:rPr>
          <w:szCs w:val="22"/>
          <w:lang w:val="en-AU"/>
        </w:rPr>
        <w:t>Strengthen the EP theory of change to include a comprehensive mapping of existing donor initiatives in the education and the relative position of EP</w:t>
      </w:r>
    </w:p>
    <w:p w14:paraId="0888B5C4" w14:textId="7FB1CAC2" w:rsidR="008303A8" w:rsidRDefault="008303A8" w:rsidP="00A87325">
      <w:pPr>
        <w:pStyle w:val="ListParagraph"/>
        <w:numPr>
          <w:ilvl w:val="0"/>
          <w:numId w:val="46"/>
        </w:numPr>
        <w:rPr>
          <w:szCs w:val="22"/>
          <w:lang w:val="en-AU"/>
        </w:rPr>
      </w:pPr>
      <w:r w:rsidRPr="00A87325">
        <w:rPr>
          <w:szCs w:val="22"/>
          <w:lang w:val="en-AU"/>
        </w:rPr>
        <w:t>Consider inclusion of SSE schools in C1</w:t>
      </w:r>
    </w:p>
    <w:p w14:paraId="62EF6EE1" w14:textId="167DAB2C" w:rsidR="008303A8" w:rsidRDefault="008303A8" w:rsidP="00A87325">
      <w:pPr>
        <w:pStyle w:val="ListParagraph"/>
        <w:numPr>
          <w:ilvl w:val="0"/>
          <w:numId w:val="46"/>
        </w:numPr>
        <w:rPr>
          <w:szCs w:val="22"/>
          <w:lang w:val="en-AU"/>
        </w:rPr>
      </w:pPr>
      <w:r w:rsidRPr="00A87325">
        <w:rPr>
          <w:szCs w:val="22"/>
          <w:lang w:val="en-AU"/>
        </w:rPr>
        <w:t xml:space="preserve">Commission a study to understand factors of non-submission from districts </w:t>
      </w:r>
      <w:r w:rsidRPr="005E2933">
        <w:rPr>
          <w:szCs w:val="22"/>
          <w:lang w:val="en-AU"/>
        </w:rPr>
        <w:t xml:space="preserve">and </w:t>
      </w:r>
      <w:r w:rsidRPr="00A87325">
        <w:rPr>
          <w:szCs w:val="22"/>
          <w:lang w:val="en-AU"/>
        </w:rPr>
        <w:t xml:space="preserve">identify </w:t>
      </w:r>
      <w:r w:rsidRPr="005E2933">
        <w:rPr>
          <w:szCs w:val="22"/>
          <w:lang w:val="en-AU"/>
        </w:rPr>
        <w:t>remedial actions</w:t>
      </w:r>
    </w:p>
    <w:p w14:paraId="674C26CC" w14:textId="6F794D94" w:rsidR="008303A8" w:rsidRPr="008303A8" w:rsidRDefault="008303A8" w:rsidP="00A87325">
      <w:pPr>
        <w:pStyle w:val="ListParagraph"/>
        <w:numPr>
          <w:ilvl w:val="0"/>
          <w:numId w:val="46"/>
        </w:numPr>
        <w:rPr>
          <w:szCs w:val="22"/>
          <w:lang w:val="en-AU"/>
        </w:rPr>
      </w:pPr>
      <w:r w:rsidRPr="005E2933">
        <w:rPr>
          <w:szCs w:val="22"/>
          <w:lang w:val="en-AU"/>
        </w:rPr>
        <w:t>Review and clarify role of field monitors with respect to an increasing involvement in oversight of construction process</w:t>
      </w:r>
    </w:p>
    <w:p w14:paraId="1D132104" w14:textId="77777777" w:rsidR="00A87325" w:rsidRDefault="00A87325" w:rsidP="00A87325">
      <w:pPr>
        <w:pStyle w:val="ListParagraph"/>
        <w:numPr>
          <w:ilvl w:val="0"/>
          <w:numId w:val="46"/>
        </w:numPr>
        <w:rPr>
          <w:szCs w:val="22"/>
          <w:lang w:val="en-AU"/>
        </w:rPr>
      </w:pPr>
      <w:r>
        <w:rPr>
          <w:szCs w:val="22"/>
          <w:lang w:val="en-AU"/>
        </w:rPr>
        <w:t>Adjust t</w:t>
      </w:r>
      <w:r w:rsidRPr="005E2933">
        <w:rPr>
          <w:szCs w:val="22"/>
          <w:lang w:val="en-AU"/>
        </w:rPr>
        <w:t>he pedagogical content of</w:t>
      </w:r>
      <w:r w:rsidRPr="00A87325">
        <w:rPr>
          <w:szCs w:val="22"/>
          <w:lang w:val="en-AU"/>
        </w:rPr>
        <w:t xml:space="preserve"> CPD</w:t>
      </w:r>
      <w:r w:rsidRPr="005E2933">
        <w:rPr>
          <w:szCs w:val="22"/>
          <w:lang w:val="en-AU"/>
        </w:rPr>
        <w:t xml:space="preserve"> training material </w:t>
      </w:r>
      <w:r>
        <w:rPr>
          <w:szCs w:val="22"/>
          <w:lang w:val="en-AU"/>
        </w:rPr>
        <w:t xml:space="preserve">for </w:t>
      </w:r>
      <w:r w:rsidRPr="00A87325">
        <w:rPr>
          <w:szCs w:val="22"/>
          <w:lang w:val="en-AU"/>
        </w:rPr>
        <w:t xml:space="preserve">on-line delivery </w:t>
      </w:r>
      <w:r w:rsidRPr="005E2933">
        <w:rPr>
          <w:szCs w:val="22"/>
          <w:lang w:val="en-AU"/>
        </w:rPr>
        <w:t>and develop e-learning skills of beneficiaries</w:t>
      </w:r>
    </w:p>
    <w:p w14:paraId="5EF99E7F" w14:textId="2504ADE2" w:rsidR="00A87325" w:rsidRPr="00A87325" w:rsidRDefault="00A87325" w:rsidP="00A87325">
      <w:pPr>
        <w:pStyle w:val="ListParagraph"/>
        <w:numPr>
          <w:ilvl w:val="0"/>
          <w:numId w:val="46"/>
        </w:numPr>
        <w:rPr>
          <w:szCs w:val="22"/>
          <w:lang w:val="en-AU"/>
        </w:rPr>
      </w:pPr>
      <w:r w:rsidRPr="00A87325">
        <w:rPr>
          <w:szCs w:val="22"/>
          <w:lang w:val="en-AU"/>
        </w:rPr>
        <w:t>Develop a sustainability strategy for C3</w:t>
      </w:r>
    </w:p>
    <w:p w14:paraId="421E71DB" w14:textId="16D696F0" w:rsidR="00A87325" w:rsidRPr="00A87325" w:rsidRDefault="00A87325" w:rsidP="00A87325">
      <w:pPr>
        <w:pStyle w:val="ListParagraph"/>
        <w:numPr>
          <w:ilvl w:val="0"/>
          <w:numId w:val="46"/>
        </w:numPr>
        <w:rPr>
          <w:szCs w:val="22"/>
          <w:lang w:val="en-AU"/>
        </w:rPr>
      </w:pPr>
      <w:r w:rsidRPr="00A87325">
        <w:rPr>
          <w:szCs w:val="22"/>
          <w:lang w:val="en-AU"/>
        </w:rPr>
        <w:t>Encourage policy makers involved in the EP to use ACDP and feed EP lessons and findings into ACDP work</w:t>
      </w:r>
    </w:p>
    <w:p w14:paraId="2502B82D" w14:textId="77777777" w:rsidR="00A87325" w:rsidRDefault="00A87325" w:rsidP="00A87325">
      <w:pPr>
        <w:spacing w:before="120" w:after="120"/>
        <w:contextualSpacing/>
        <w:jc w:val="left"/>
        <w:rPr>
          <w:szCs w:val="22"/>
          <w:lang w:val="en-AU"/>
        </w:rPr>
      </w:pPr>
    </w:p>
    <w:p w14:paraId="131DC33B" w14:textId="77777777" w:rsidR="00B5659B" w:rsidRPr="00597821" w:rsidRDefault="00B5659B" w:rsidP="00597821">
      <w:pPr>
        <w:sectPr w:rsidR="00B5659B" w:rsidRPr="00597821" w:rsidSect="00C635C4">
          <w:headerReference w:type="default" r:id="rId14"/>
          <w:footerReference w:type="default" r:id="rId15"/>
          <w:pgSz w:w="11907" w:h="16840" w:code="9"/>
          <w:pgMar w:top="1440" w:right="1440" w:bottom="1440" w:left="1440" w:header="540" w:footer="665" w:gutter="0"/>
          <w:pgNumType w:fmt="lowerRoman" w:start="1"/>
          <w:cols w:space="720"/>
          <w:docGrid w:linePitch="326"/>
        </w:sectPr>
      </w:pPr>
    </w:p>
    <w:p w14:paraId="3CAB6702" w14:textId="77777777" w:rsidR="00653767" w:rsidRPr="00AF1D30" w:rsidRDefault="00653767" w:rsidP="00006EFF">
      <w:pPr>
        <w:pStyle w:val="HeadingGRM"/>
        <w:spacing w:before="360"/>
        <w:rPr>
          <w:smallCaps/>
          <w:color w:val="1F497D"/>
        </w:rPr>
      </w:pPr>
      <w:bookmarkStart w:id="21" w:name="_Toc331066853"/>
      <w:bookmarkStart w:id="22" w:name="_Toc345081131"/>
      <w:r w:rsidRPr="00AF1D30">
        <w:rPr>
          <w:smallCaps/>
          <w:color w:val="1F497D"/>
        </w:rPr>
        <w:lastRenderedPageBreak/>
        <w:t>Introduction</w:t>
      </w:r>
      <w:bookmarkEnd w:id="21"/>
      <w:bookmarkEnd w:id="22"/>
    </w:p>
    <w:p w14:paraId="169B7A6A" w14:textId="62DB6C40" w:rsidR="00A75481" w:rsidRPr="00AF1D30" w:rsidRDefault="00B50E67" w:rsidP="00A75481">
      <w:pPr>
        <w:rPr>
          <w:color w:val="365F91" w:themeColor="accent1" w:themeShade="BF"/>
          <w:sz w:val="32"/>
          <w:szCs w:val="32"/>
        </w:rPr>
      </w:pPr>
      <w:r w:rsidRPr="00AF1D30">
        <w:rPr>
          <w:color w:val="365F91" w:themeColor="accent1" w:themeShade="BF"/>
          <w:sz w:val="32"/>
          <w:szCs w:val="32"/>
        </w:rPr>
        <w:t xml:space="preserve">The Education Partnership </w:t>
      </w:r>
    </w:p>
    <w:p w14:paraId="61602D5F" w14:textId="1FB99959" w:rsidR="006B59B1" w:rsidRPr="00AF1D30" w:rsidRDefault="00544E5D" w:rsidP="00544E5D">
      <w:r w:rsidRPr="00AF1D30">
        <w:t>The A$500m investment in the Education Partnership (EP) is Australia’s flagship development initiative in Indonesia. With the vision of improving education service delivery in Indonesia, it is expected that</w:t>
      </w:r>
      <w:r w:rsidR="002D469E">
        <w:t>,</w:t>
      </w:r>
      <w:r w:rsidRPr="00AF1D30">
        <w:t xml:space="preserve"> by 2016</w:t>
      </w:r>
      <w:r w:rsidR="002D469E">
        <w:t>,</w:t>
      </w:r>
      <w:r w:rsidRPr="00AF1D30">
        <w:t xml:space="preserve"> the Partnership will have increased enrolment in Junior Secondary Education in targeted districts; improved management of schools and Madrasah; improved quality of Madrasah in line with National Education Standards (NES); and enabled increased utilization of research findings by policy-makers to inform education sector policy, planning and budgeting.</w:t>
      </w:r>
      <w:r w:rsidR="00F06313" w:rsidRPr="00AF1D30">
        <w:t xml:space="preserve"> </w:t>
      </w:r>
    </w:p>
    <w:p w14:paraId="45A31482" w14:textId="61F00EB1" w:rsidR="00544E5D" w:rsidRPr="00AF1D30" w:rsidRDefault="00544E5D" w:rsidP="00544E5D">
      <w:r w:rsidRPr="00AF1D30">
        <w:t xml:space="preserve">It is important that EP implementation is carefully scrutinised and managed, that significant ‘developmental return’ is generated and measured, and that EP results and lessons are captured and shared. The </w:t>
      </w:r>
      <w:r w:rsidR="002D469E">
        <w:t xml:space="preserve">EP </w:t>
      </w:r>
      <w:r w:rsidRPr="00AF1D30">
        <w:t xml:space="preserve">Performance Oversight and Monitoring </w:t>
      </w:r>
      <w:r w:rsidR="006B59B1" w:rsidRPr="00AF1D30">
        <w:t xml:space="preserve">(POM) </w:t>
      </w:r>
      <w:r w:rsidR="00754B93" w:rsidRPr="00AF1D30">
        <w:t xml:space="preserve">team </w:t>
      </w:r>
      <w:r w:rsidRPr="00AF1D30">
        <w:t>is charged with generating timely evidence and actionable recommendations so that AusAID (and its partners) can safeguard Australia’s investment in the EP; improve EP management and implementation; strengthen education po</w:t>
      </w:r>
      <w:r w:rsidR="002D469E">
        <w:t>licy dialogue with the GoI; and</w:t>
      </w:r>
      <w:r w:rsidRPr="00AF1D30">
        <w:t xml:space="preserve"> guide future Australian investment in the Indonesian education sector.</w:t>
      </w:r>
    </w:p>
    <w:p w14:paraId="1C568CC8" w14:textId="3E570090" w:rsidR="00B101DA" w:rsidRPr="00AF1D30" w:rsidRDefault="00087140" w:rsidP="00544E5D">
      <w:pPr>
        <w:rPr>
          <w:color w:val="365F91" w:themeColor="accent1" w:themeShade="BF"/>
          <w:sz w:val="32"/>
          <w:szCs w:val="32"/>
        </w:rPr>
      </w:pPr>
      <w:r w:rsidRPr="00AF1D30">
        <w:rPr>
          <w:color w:val="365F91" w:themeColor="accent1" w:themeShade="BF"/>
          <w:sz w:val="32"/>
          <w:szCs w:val="32"/>
        </w:rPr>
        <w:t xml:space="preserve">The </w:t>
      </w:r>
      <w:r w:rsidR="00544E5D" w:rsidRPr="00AF1D30">
        <w:rPr>
          <w:color w:val="365F91" w:themeColor="accent1" w:themeShade="BF"/>
          <w:sz w:val="32"/>
          <w:szCs w:val="32"/>
        </w:rPr>
        <w:t>Annual Partn</w:t>
      </w:r>
      <w:r w:rsidR="00B50E67" w:rsidRPr="00AF1D30">
        <w:rPr>
          <w:color w:val="365F91" w:themeColor="accent1" w:themeShade="BF"/>
          <w:sz w:val="32"/>
          <w:szCs w:val="32"/>
        </w:rPr>
        <w:t>ership Performance Re</w:t>
      </w:r>
      <w:r w:rsidR="001408C3" w:rsidRPr="00AF1D30">
        <w:rPr>
          <w:color w:val="365F91" w:themeColor="accent1" w:themeShade="BF"/>
          <w:sz w:val="32"/>
          <w:szCs w:val="32"/>
        </w:rPr>
        <w:t>port</w:t>
      </w:r>
    </w:p>
    <w:p w14:paraId="6F773445" w14:textId="2E0DF96A" w:rsidR="00B50E67" w:rsidRPr="00AF1D30" w:rsidRDefault="00544E5D" w:rsidP="00544E5D">
      <w:r w:rsidRPr="00AF1D30">
        <w:t>The</w:t>
      </w:r>
      <w:r w:rsidR="00B50E67" w:rsidRPr="00AF1D30">
        <w:t xml:space="preserve"> Annual Partnership Performance Re</w:t>
      </w:r>
      <w:r w:rsidR="001408C3" w:rsidRPr="00AF1D30">
        <w:t>port</w:t>
      </w:r>
      <w:r w:rsidR="00B50E67" w:rsidRPr="00AF1D30">
        <w:t xml:space="preserve"> (</w:t>
      </w:r>
      <w:r w:rsidRPr="00AF1D30">
        <w:t>APPR</w:t>
      </w:r>
      <w:r w:rsidR="00B50E67" w:rsidRPr="00AF1D30">
        <w:t>)</w:t>
      </w:r>
      <w:r w:rsidRPr="00AF1D30">
        <w:t xml:space="preserve"> </w:t>
      </w:r>
      <w:r w:rsidR="001408C3" w:rsidRPr="00AF1D30">
        <w:t>present</w:t>
      </w:r>
      <w:r w:rsidRPr="00AF1D30">
        <w:t>s a</w:t>
      </w:r>
      <w:r w:rsidR="00CB27C2">
        <w:rPr>
          <w:lang w:val="id-ID"/>
        </w:rPr>
        <w:t>n</w:t>
      </w:r>
      <w:r w:rsidRPr="00AF1D30">
        <w:t xml:space="preserve"> </w:t>
      </w:r>
      <w:r w:rsidR="008C53D2">
        <w:rPr>
          <w:lang w:val="id-ID"/>
        </w:rPr>
        <w:t xml:space="preserve">annual </w:t>
      </w:r>
      <w:r w:rsidRPr="00AF1D30">
        <w:t xml:space="preserve">overview of EP progress at all levels of the EP logic </w:t>
      </w:r>
      <w:r w:rsidR="00CB27C2">
        <w:t>and with respect to cross</w:t>
      </w:r>
      <w:r w:rsidR="00CB27C2">
        <w:rPr>
          <w:lang w:val="id-ID"/>
        </w:rPr>
        <w:t>-</w:t>
      </w:r>
      <w:r w:rsidRPr="00AF1D30">
        <w:t>cutting</w:t>
      </w:r>
      <w:r w:rsidR="00CB27C2" w:rsidRPr="00CB27C2">
        <w:t xml:space="preserve"> </w:t>
      </w:r>
      <w:r w:rsidR="00CB27C2" w:rsidRPr="00AF1D30">
        <w:t>and</w:t>
      </w:r>
      <w:r w:rsidRPr="00AF1D30">
        <w:t xml:space="preserve"> overarching developmental themes. It seeks to provide evidence to improve EP performance, </w:t>
      </w:r>
      <w:r w:rsidR="00CB27C2" w:rsidRPr="00AF1D30">
        <w:t>inform policy dialogue between AusAID and GoI</w:t>
      </w:r>
      <w:r w:rsidR="00CB27C2">
        <w:rPr>
          <w:lang w:val="id-ID"/>
        </w:rPr>
        <w:t>,</w:t>
      </w:r>
      <w:r w:rsidR="00CB27C2" w:rsidRPr="00AF1D30">
        <w:t xml:space="preserve"> </w:t>
      </w:r>
      <w:r w:rsidRPr="00AF1D30">
        <w:t>and guide strategic direction given emerging education sector priorities</w:t>
      </w:r>
      <w:r w:rsidR="00183CD8">
        <w:t xml:space="preserve">. In summary, </w:t>
      </w:r>
      <w:r w:rsidRPr="00AF1D30">
        <w:t xml:space="preserve">it is expected that the APPR will be used by various program stakeholders to ‘prove’ (accountability) and ‘improve’ (management) program performance. </w:t>
      </w:r>
    </w:p>
    <w:p w14:paraId="68677227" w14:textId="23A5B784" w:rsidR="00544E5D" w:rsidRPr="00AF1D30" w:rsidRDefault="00544E5D" w:rsidP="00544E5D">
      <w:r w:rsidRPr="00AF1D30">
        <w:t xml:space="preserve">This inaugural </w:t>
      </w:r>
      <w:r w:rsidR="006B59B1" w:rsidRPr="00AF1D30">
        <w:t>APPR</w:t>
      </w:r>
      <w:r w:rsidRPr="00AF1D30">
        <w:t xml:space="preserve"> focuses on progress from EP commencement in August 2011 to December 2012.</w:t>
      </w:r>
      <w:r w:rsidR="00597821">
        <w:t xml:space="preserve"> </w:t>
      </w:r>
      <w:r w:rsidRPr="00AF1D30">
        <w:t xml:space="preserve">Subsequent APPRs will report and analyse both progress within the calendar year, and progress from program commencement to date. The </w:t>
      </w:r>
      <w:r w:rsidR="00B50E67" w:rsidRPr="00AF1D30">
        <w:t xml:space="preserve">2012 </w:t>
      </w:r>
      <w:r w:rsidRPr="00AF1D30">
        <w:t xml:space="preserve">APPR stems from a dedicated analysis exercise conducted by POM </w:t>
      </w:r>
      <w:r w:rsidR="006B59B1" w:rsidRPr="00AF1D30">
        <w:t>in</w:t>
      </w:r>
      <w:r w:rsidRPr="00AF1D30">
        <w:t xml:space="preserve"> November </w:t>
      </w:r>
      <w:r w:rsidR="006B59B1" w:rsidRPr="00AF1D30">
        <w:t>and</w:t>
      </w:r>
      <w:r w:rsidRPr="00AF1D30">
        <w:t xml:space="preserve"> December 2012</w:t>
      </w:r>
      <w:r w:rsidR="00754B93" w:rsidRPr="00AF1D30">
        <w:t xml:space="preserve">. </w:t>
      </w:r>
      <w:r w:rsidR="0027560F" w:rsidRPr="00AF1D30">
        <w:t xml:space="preserve">Annex </w:t>
      </w:r>
      <w:r w:rsidR="00BC71D6" w:rsidRPr="00AF1D30">
        <w:t>I</w:t>
      </w:r>
      <w:r w:rsidR="0027560F" w:rsidRPr="00AF1D30">
        <w:t xml:space="preserve"> details the APPR preparation process</w:t>
      </w:r>
      <w:r w:rsidRPr="00AF1D30">
        <w:t xml:space="preserve">. </w:t>
      </w:r>
      <w:r w:rsidR="00B50E67" w:rsidRPr="00AF1D30">
        <w:t>It comprised three key stages: a review of documentary evidence</w:t>
      </w:r>
      <w:r w:rsidR="001911B8" w:rsidRPr="00AF1D30">
        <w:rPr>
          <w:rStyle w:val="FootnoteReference"/>
        </w:rPr>
        <w:footnoteReference w:id="1"/>
      </w:r>
      <w:r w:rsidR="001911B8" w:rsidRPr="00AF1D30">
        <w:t xml:space="preserve"> </w:t>
      </w:r>
      <w:r w:rsidR="00B50E67" w:rsidRPr="00AF1D30">
        <w:t xml:space="preserve">produced within the EP (e.g. monitoring reports, </w:t>
      </w:r>
      <w:r w:rsidR="001408C3" w:rsidRPr="00AF1D30">
        <w:t>research</w:t>
      </w:r>
      <w:r w:rsidR="00B50E67" w:rsidRPr="00AF1D30">
        <w:t xml:space="preserve"> reports, technical reports)</w:t>
      </w:r>
      <w:r w:rsidR="006B59B1" w:rsidRPr="00AF1D30">
        <w:t xml:space="preserve"> </w:t>
      </w:r>
      <w:r w:rsidR="001408C3" w:rsidRPr="00AF1D30">
        <w:t xml:space="preserve">and scanned </w:t>
      </w:r>
      <w:r w:rsidR="00B50E67" w:rsidRPr="00AF1D30">
        <w:t>through the lens of the EP-PMS analytical framework</w:t>
      </w:r>
      <w:r w:rsidR="00754B93" w:rsidRPr="00AF1D30">
        <w:rPr>
          <w:rStyle w:val="FootnoteReference"/>
        </w:rPr>
        <w:footnoteReference w:id="2"/>
      </w:r>
      <w:r w:rsidR="00B50E67" w:rsidRPr="00AF1D30">
        <w:t>; a series of key informant interviews</w:t>
      </w:r>
      <w:r w:rsidR="001911B8" w:rsidRPr="00AF1D30">
        <w:rPr>
          <w:rStyle w:val="FootnoteReference"/>
        </w:rPr>
        <w:footnoteReference w:id="3"/>
      </w:r>
      <w:r w:rsidR="00B50E67" w:rsidRPr="00AF1D30">
        <w:t xml:space="preserve"> to drill-down and explore issues pertinent to the</w:t>
      </w:r>
      <w:r w:rsidR="00CB27C2">
        <w:rPr>
          <w:lang w:val="id-ID"/>
        </w:rPr>
        <w:t xml:space="preserve"> EP performance since its inception</w:t>
      </w:r>
      <w:r w:rsidR="00B50E67" w:rsidRPr="00AF1D30">
        <w:t xml:space="preserve">; </w:t>
      </w:r>
      <w:r w:rsidR="00183CD8">
        <w:t>and</w:t>
      </w:r>
      <w:r w:rsidR="006B59B1" w:rsidRPr="00AF1D30">
        <w:t xml:space="preserve"> </w:t>
      </w:r>
      <w:r w:rsidR="00B50E67" w:rsidRPr="00AF1D30">
        <w:t>a consultative workshop</w:t>
      </w:r>
      <w:r w:rsidRPr="00AF1D30">
        <w:t xml:space="preserve"> </w:t>
      </w:r>
      <w:r w:rsidR="00B50E67" w:rsidRPr="00AF1D30">
        <w:t xml:space="preserve">with </w:t>
      </w:r>
      <w:r w:rsidRPr="00AF1D30">
        <w:t>EP</w:t>
      </w:r>
      <w:r w:rsidR="00B50E67" w:rsidRPr="00AF1D30">
        <w:t xml:space="preserve"> </w:t>
      </w:r>
      <w:r w:rsidRPr="00AF1D30">
        <w:t>stakeholders on 07 December 2012</w:t>
      </w:r>
      <w:r w:rsidR="00B50E67" w:rsidRPr="00AF1D30">
        <w:t xml:space="preserve"> </w:t>
      </w:r>
      <w:r w:rsidR="006B59B1" w:rsidRPr="00AF1D30">
        <w:t>in</w:t>
      </w:r>
      <w:r w:rsidR="00B50E67" w:rsidRPr="00AF1D30">
        <w:t xml:space="preserve"> which POM sought to receive feedback on emerging findings and implications</w:t>
      </w:r>
      <w:r w:rsidRPr="00AF1D30">
        <w:rPr>
          <w:rStyle w:val="FootnoteReference"/>
        </w:rPr>
        <w:footnoteReference w:id="4"/>
      </w:r>
      <w:r w:rsidRPr="00AF1D30">
        <w:t>.</w:t>
      </w:r>
      <w:r w:rsidR="00597821">
        <w:t xml:space="preserve"> </w:t>
      </w:r>
    </w:p>
    <w:p w14:paraId="1EC3DD6E" w14:textId="46C41737" w:rsidR="00544E5D" w:rsidRPr="00AF1D30" w:rsidRDefault="00B50E67" w:rsidP="00F31E80">
      <w:r w:rsidRPr="00AF1D30">
        <w:lastRenderedPageBreak/>
        <w:t xml:space="preserve">The </w:t>
      </w:r>
      <w:r w:rsidR="001911B8" w:rsidRPr="00AF1D30">
        <w:t>EP</w:t>
      </w:r>
      <w:r w:rsidRPr="00AF1D30">
        <w:t xml:space="preserve"> is in its formative stages</w:t>
      </w:r>
      <w:r w:rsidR="006B59B1" w:rsidRPr="00AF1D30">
        <w:t>. T</w:t>
      </w:r>
      <w:r w:rsidRPr="00AF1D30">
        <w:t xml:space="preserve">he evidence base upon which to make informed, insightful comment is </w:t>
      </w:r>
      <w:r w:rsidR="006B59B1" w:rsidRPr="00AF1D30">
        <w:t>therefore</w:t>
      </w:r>
      <w:r w:rsidRPr="00AF1D30">
        <w:t xml:space="preserve"> limited. Nevertheless, </w:t>
      </w:r>
      <w:r w:rsidR="00F06313" w:rsidRPr="00AF1D30">
        <w:t>the need for external assessment remains and th</w:t>
      </w:r>
      <w:r w:rsidR="00183CD8">
        <w:t>is year’s</w:t>
      </w:r>
      <w:r w:rsidR="00F06313" w:rsidRPr="00AF1D30">
        <w:t xml:space="preserve"> APPR is as much about setting the tone and direction for subsequent reviews as it is about providing evidence-based comment about </w:t>
      </w:r>
      <w:r w:rsidR="006B59B1" w:rsidRPr="00AF1D30">
        <w:t xml:space="preserve">current </w:t>
      </w:r>
      <w:r w:rsidR="00F06313" w:rsidRPr="00AF1D30">
        <w:t xml:space="preserve">status and direction. </w:t>
      </w:r>
      <w:r w:rsidR="006B59B1" w:rsidRPr="00AF1D30">
        <w:t>The APPR reflects POM’s commitment to facilitate the d</w:t>
      </w:r>
      <w:r w:rsidR="00F06313" w:rsidRPr="00AF1D30">
        <w:t xml:space="preserve">evelopment of a culture of critical reflection </w:t>
      </w:r>
      <w:r w:rsidR="006B59B1" w:rsidRPr="00AF1D30">
        <w:t>concerning</w:t>
      </w:r>
      <w:r w:rsidR="00F06313" w:rsidRPr="00AF1D30">
        <w:t xml:space="preserve"> </w:t>
      </w:r>
      <w:r w:rsidR="001408C3" w:rsidRPr="00AF1D30">
        <w:t>the EP</w:t>
      </w:r>
      <w:r w:rsidR="006B59B1" w:rsidRPr="00AF1D30">
        <w:t xml:space="preserve"> </w:t>
      </w:r>
      <w:r w:rsidR="008C53D2">
        <w:rPr>
          <w:lang w:val="id-ID"/>
        </w:rPr>
        <w:t>achievement and direction</w:t>
      </w:r>
      <w:r w:rsidR="006B59B1" w:rsidRPr="00AF1D30">
        <w:t xml:space="preserve">; timely reflection of which is </w:t>
      </w:r>
      <w:r w:rsidR="00F06313" w:rsidRPr="00AF1D30">
        <w:t>critical to improved management and accountability.</w:t>
      </w:r>
      <w:r w:rsidR="00597821">
        <w:t xml:space="preserve"> </w:t>
      </w:r>
    </w:p>
    <w:p w14:paraId="05080358" w14:textId="520D7EF6" w:rsidR="00B50E67" w:rsidRPr="00AF1D30" w:rsidRDefault="000A0EF4" w:rsidP="00B50E67">
      <w:pPr>
        <w:rPr>
          <w:color w:val="365F91" w:themeColor="accent1" w:themeShade="BF"/>
          <w:sz w:val="32"/>
          <w:szCs w:val="32"/>
        </w:rPr>
      </w:pPr>
      <w:r w:rsidRPr="00AF1D30">
        <w:rPr>
          <w:color w:val="365F91" w:themeColor="accent1" w:themeShade="BF"/>
          <w:sz w:val="32"/>
          <w:szCs w:val="32"/>
        </w:rPr>
        <w:t>APPR Structure</w:t>
      </w:r>
      <w:r w:rsidR="00B50E67" w:rsidRPr="00AF1D30">
        <w:rPr>
          <w:color w:val="365F91" w:themeColor="accent1" w:themeShade="BF"/>
          <w:sz w:val="32"/>
          <w:szCs w:val="32"/>
        </w:rPr>
        <w:t xml:space="preserve"> </w:t>
      </w:r>
    </w:p>
    <w:p w14:paraId="40C13960" w14:textId="26F3652B" w:rsidR="000A0EF4" w:rsidRPr="00AF1D30" w:rsidRDefault="005D6E1D" w:rsidP="00B50E67">
      <w:r w:rsidRPr="00AF1D30">
        <w:t xml:space="preserve">The layout of the </w:t>
      </w:r>
      <w:r w:rsidR="000A0EF4" w:rsidRPr="00AF1D30">
        <w:t>APPR</w:t>
      </w:r>
      <w:r w:rsidRPr="00AF1D30">
        <w:t xml:space="preserve"> seeks to present information in a succinct and logical manner. Guidance on the contents of the report has been taken from </w:t>
      </w:r>
      <w:r w:rsidR="00632128">
        <w:t xml:space="preserve">the </w:t>
      </w:r>
      <w:r w:rsidRPr="00AF1D30">
        <w:t>Monitoring and Evaluation Standards developed by the AusAID Jakarta Evaluation Capacity Building Program</w:t>
      </w:r>
      <w:r w:rsidR="004849FA" w:rsidRPr="00AF1D30">
        <w:t xml:space="preserve"> (ECBP)</w:t>
      </w:r>
      <w:r w:rsidR="0084232A" w:rsidRPr="00AF1D30">
        <w:t>. More specifically, this report includes</w:t>
      </w:r>
      <w:r w:rsidR="00183CD8">
        <w:t>,</w:t>
      </w:r>
      <w:r w:rsidR="0084232A" w:rsidRPr="00AF1D30">
        <w:t xml:space="preserve"> </w:t>
      </w:r>
      <w:r w:rsidR="004849FA" w:rsidRPr="00AF1D30">
        <w:t>as Annex VI</w:t>
      </w:r>
      <w:r w:rsidR="00183CD8">
        <w:t>,</w:t>
      </w:r>
      <w:r w:rsidR="004849FA" w:rsidRPr="00AF1D30">
        <w:t xml:space="preserve"> an assessment of its compliance with </w:t>
      </w:r>
      <w:r w:rsidR="0084232A" w:rsidRPr="00AF1D30">
        <w:t xml:space="preserve">the proposed features listed in </w:t>
      </w:r>
      <w:r w:rsidR="008C53D2">
        <w:rPr>
          <w:lang w:val="id-ID"/>
        </w:rPr>
        <w:t>‘</w:t>
      </w:r>
      <w:r w:rsidR="0084232A" w:rsidRPr="00AF1D30">
        <w:t>Standard 3: Initiative Progress Reporting</w:t>
      </w:r>
      <w:r w:rsidR="008C53D2">
        <w:rPr>
          <w:lang w:val="id-ID"/>
        </w:rPr>
        <w:t>’</w:t>
      </w:r>
      <w:r w:rsidR="0084232A" w:rsidRPr="00AF1D30">
        <w:t>.</w:t>
      </w:r>
      <w:r w:rsidR="00597821">
        <w:t xml:space="preserve"> </w:t>
      </w:r>
    </w:p>
    <w:p w14:paraId="17F9A40E" w14:textId="77777777" w:rsidR="0029230E" w:rsidRPr="00AF1D30" w:rsidRDefault="00B50E67" w:rsidP="00B50E67">
      <w:r w:rsidRPr="00AF1D30">
        <w:t xml:space="preserve">The </w:t>
      </w:r>
      <w:r w:rsidR="000A0EF4" w:rsidRPr="00AF1D30">
        <w:t>APPR</w:t>
      </w:r>
      <w:r w:rsidRPr="00AF1D30">
        <w:t xml:space="preserve"> is divided into </w:t>
      </w:r>
      <w:r w:rsidR="000A0EF4" w:rsidRPr="00AF1D30">
        <w:t>five</w:t>
      </w:r>
      <w:r w:rsidRPr="00AF1D30">
        <w:t xml:space="preserve"> sections</w:t>
      </w:r>
      <w:r w:rsidR="0029230E" w:rsidRPr="00AF1D30">
        <w:t>:</w:t>
      </w:r>
    </w:p>
    <w:p w14:paraId="23715AAA" w14:textId="734DBF7D" w:rsidR="0029230E" w:rsidRPr="00AF1D30" w:rsidRDefault="0029230E" w:rsidP="00CD243B">
      <w:pPr>
        <w:pStyle w:val="ListParagraph"/>
        <w:numPr>
          <w:ilvl w:val="0"/>
          <w:numId w:val="19"/>
        </w:numPr>
        <w:spacing w:before="120" w:after="120"/>
        <w:ind w:left="714" w:hanging="357"/>
      </w:pPr>
      <w:r w:rsidRPr="00AF1D30">
        <w:t>Section 1</w:t>
      </w:r>
      <w:r w:rsidR="000A0EF4" w:rsidRPr="00AF1D30">
        <w:t xml:space="preserve"> presents the context within which the Education Partnership is operating and analyses the evolving nature of that context. The section seeks to determine the continuing relevance of the EP. </w:t>
      </w:r>
    </w:p>
    <w:p w14:paraId="6CA2C208" w14:textId="77777777" w:rsidR="00F75387" w:rsidRPr="00AF1D30" w:rsidRDefault="00F75387" w:rsidP="00F75387">
      <w:pPr>
        <w:pStyle w:val="ListParagraph"/>
        <w:spacing w:before="120" w:after="120"/>
        <w:ind w:left="714"/>
      </w:pPr>
    </w:p>
    <w:p w14:paraId="08B81420" w14:textId="22BA5317" w:rsidR="0029230E" w:rsidRPr="00AF1D30" w:rsidRDefault="000A0EF4" w:rsidP="00CD243B">
      <w:pPr>
        <w:pStyle w:val="ListParagraph"/>
        <w:numPr>
          <w:ilvl w:val="0"/>
          <w:numId w:val="19"/>
        </w:numPr>
        <w:spacing w:before="120" w:after="120"/>
        <w:ind w:left="714" w:hanging="357"/>
      </w:pPr>
      <w:r w:rsidRPr="00AF1D30">
        <w:t xml:space="preserve">Section 2 </w:t>
      </w:r>
      <w:r w:rsidR="0029230E" w:rsidRPr="00AF1D30">
        <w:t xml:space="preserve">considers what has been achieved by the EP to date </w:t>
      </w:r>
      <w:r w:rsidR="005D46D3" w:rsidRPr="00AF1D30">
        <w:t xml:space="preserve">in terms of key outputs. The section </w:t>
      </w:r>
      <w:r w:rsidR="0029230E" w:rsidRPr="00AF1D30">
        <w:t>seeks to determine the adequacy of progress in relation to the End-of-Partnership Outcomes (EOPOs).</w:t>
      </w:r>
    </w:p>
    <w:p w14:paraId="3DEC9BA0" w14:textId="77777777" w:rsidR="00F75387" w:rsidRPr="00AF1D30" w:rsidRDefault="00F75387" w:rsidP="00F75387">
      <w:pPr>
        <w:pStyle w:val="ListParagraph"/>
        <w:spacing w:before="120" w:after="120"/>
      </w:pPr>
    </w:p>
    <w:p w14:paraId="08413C7F" w14:textId="54BC729D" w:rsidR="00A0008B" w:rsidRPr="00AF1D30" w:rsidRDefault="005D46D3" w:rsidP="00CD243B">
      <w:pPr>
        <w:pStyle w:val="ListParagraph"/>
        <w:numPr>
          <w:ilvl w:val="0"/>
          <w:numId w:val="19"/>
        </w:numPr>
        <w:spacing w:before="120" w:after="120"/>
        <w:ind w:left="714" w:hanging="357"/>
      </w:pPr>
      <w:r w:rsidRPr="00AF1D30">
        <w:t xml:space="preserve">Section 3 explores how the achievements to date have been </w:t>
      </w:r>
      <w:r w:rsidR="00B50E67" w:rsidRPr="00AF1D30">
        <w:t>secured</w:t>
      </w:r>
      <w:r w:rsidR="00A0008B" w:rsidRPr="00AF1D30">
        <w:t>.</w:t>
      </w:r>
      <w:r w:rsidR="006B59B1" w:rsidRPr="00AF1D30">
        <w:t xml:space="preserve"> The </w:t>
      </w:r>
      <w:r w:rsidR="00B50E67" w:rsidRPr="00AF1D30">
        <w:t>sec</w:t>
      </w:r>
      <w:r w:rsidRPr="00AF1D30">
        <w:t>tion seeks to determine the effectiveness and efficiency of delivery mechanisms and the partnership approach</w:t>
      </w:r>
      <w:r w:rsidR="00A0008B" w:rsidRPr="00AF1D30">
        <w:t xml:space="preserve"> as well as the </w:t>
      </w:r>
      <w:r w:rsidRPr="00AF1D30">
        <w:t xml:space="preserve">sustainability of the </w:t>
      </w:r>
      <w:r w:rsidR="00CB27C2">
        <w:rPr>
          <w:lang w:val="id-ID"/>
        </w:rPr>
        <w:t>EP</w:t>
      </w:r>
      <w:r w:rsidR="00A0008B" w:rsidRPr="00AF1D30">
        <w:t>.</w:t>
      </w:r>
    </w:p>
    <w:p w14:paraId="7F9D8616" w14:textId="77777777" w:rsidR="00F75387" w:rsidRPr="00AF1D30" w:rsidRDefault="00F75387" w:rsidP="00F75387">
      <w:pPr>
        <w:pStyle w:val="ListParagraph"/>
        <w:spacing w:before="120" w:after="120"/>
        <w:ind w:left="714"/>
      </w:pPr>
    </w:p>
    <w:p w14:paraId="4E4CBBF8" w14:textId="2CFB4040" w:rsidR="005D46D3" w:rsidRPr="00AF1D30" w:rsidRDefault="00A0008B" w:rsidP="00CD243B">
      <w:pPr>
        <w:pStyle w:val="ListParagraph"/>
        <w:numPr>
          <w:ilvl w:val="0"/>
          <w:numId w:val="19"/>
        </w:numPr>
        <w:spacing w:before="120" w:after="120"/>
        <w:ind w:left="714" w:hanging="357"/>
      </w:pPr>
      <w:r w:rsidRPr="00AF1D30">
        <w:t>Section 4 considers who has benefited from the EP and seeks to determine intended or likely beneficiaries as well as actual beneficiaries.</w:t>
      </w:r>
    </w:p>
    <w:p w14:paraId="592DEA02" w14:textId="77777777" w:rsidR="00F75387" w:rsidRPr="00AF1D30" w:rsidRDefault="00F75387" w:rsidP="00F75387">
      <w:pPr>
        <w:pStyle w:val="ListParagraph"/>
        <w:spacing w:before="120" w:after="120"/>
        <w:ind w:left="714"/>
      </w:pPr>
    </w:p>
    <w:p w14:paraId="380486C3" w14:textId="30B0B18B" w:rsidR="00F75387" w:rsidRPr="00AF1D30" w:rsidRDefault="00A0008B" w:rsidP="00CD243B">
      <w:pPr>
        <w:pStyle w:val="ListParagraph"/>
        <w:numPr>
          <w:ilvl w:val="0"/>
          <w:numId w:val="19"/>
        </w:numPr>
        <w:spacing w:before="120" w:after="120"/>
        <w:ind w:left="714" w:hanging="357"/>
      </w:pPr>
      <w:r w:rsidRPr="00AF1D30">
        <w:t xml:space="preserve">Section </w:t>
      </w:r>
      <w:r w:rsidR="00F75387" w:rsidRPr="00AF1D30">
        <w:t xml:space="preserve">5 presents key implications from the previous sections’ analysis in the form of </w:t>
      </w:r>
      <w:r w:rsidR="00183CD8">
        <w:t xml:space="preserve">conclusions and </w:t>
      </w:r>
      <w:r w:rsidR="00F75387" w:rsidRPr="00AF1D30">
        <w:t>targeted, prioritised recommendations.</w:t>
      </w:r>
    </w:p>
    <w:p w14:paraId="5B128300" w14:textId="77777777" w:rsidR="00C413AA" w:rsidRPr="00AF1D30" w:rsidRDefault="00C413AA" w:rsidP="00C413AA">
      <w:r w:rsidRPr="00AF1D30">
        <w:br w:type="page"/>
      </w:r>
    </w:p>
    <w:p w14:paraId="071064FE" w14:textId="3D5DE732" w:rsidR="00F75387" w:rsidRPr="00AF1D30" w:rsidRDefault="00F81074" w:rsidP="006B03C7">
      <w:pPr>
        <w:pStyle w:val="HeadingGRM"/>
        <w:numPr>
          <w:ilvl w:val="0"/>
          <w:numId w:val="3"/>
        </w:numPr>
        <w:tabs>
          <w:tab w:val="left" w:pos="630"/>
        </w:tabs>
        <w:ind w:left="630" w:hanging="630"/>
        <w:rPr>
          <w:color w:val="1F497D"/>
        </w:rPr>
      </w:pPr>
      <w:bookmarkStart w:id="23" w:name="_Toc345081132"/>
      <w:r w:rsidRPr="00AF1D30">
        <w:rPr>
          <w:color w:val="1F497D"/>
        </w:rPr>
        <w:lastRenderedPageBreak/>
        <w:t>What is the c</w:t>
      </w:r>
      <w:r w:rsidR="00F75387" w:rsidRPr="00AF1D30">
        <w:rPr>
          <w:color w:val="1F497D"/>
        </w:rPr>
        <w:t>ontext</w:t>
      </w:r>
      <w:r w:rsidRPr="00AF1D30">
        <w:rPr>
          <w:color w:val="1F497D"/>
        </w:rPr>
        <w:t>?</w:t>
      </w:r>
      <w:bookmarkEnd w:id="23"/>
    </w:p>
    <w:p w14:paraId="751AEBE8" w14:textId="402F0CB2" w:rsidR="00E34298" w:rsidRPr="00AF1D30" w:rsidRDefault="009C6C45" w:rsidP="001715C9">
      <w:r w:rsidRPr="00AF1D30">
        <w:t xml:space="preserve">This section </w:t>
      </w:r>
      <w:r w:rsidR="00632128">
        <w:t xml:space="preserve">describes the evolving </w:t>
      </w:r>
      <w:r w:rsidRPr="00AF1D30">
        <w:t>context</w:t>
      </w:r>
      <w:r w:rsidR="00240F1C" w:rsidRPr="00AF1D30">
        <w:t xml:space="preserve"> </w:t>
      </w:r>
      <w:r w:rsidR="00632128">
        <w:t>with</w:t>
      </w:r>
      <w:r w:rsidR="00240F1C" w:rsidRPr="00AF1D30">
        <w:t>in which the EP operates</w:t>
      </w:r>
      <w:r w:rsidRPr="00AF1D30">
        <w:t>, i.e. the education sector in Indonesia. As the Partnership moves into 2013</w:t>
      </w:r>
      <w:r w:rsidR="008C53D2">
        <w:rPr>
          <w:lang w:val="id-ID"/>
        </w:rPr>
        <w:t>,</w:t>
      </w:r>
      <w:r w:rsidRPr="00AF1D30">
        <w:t xml:space="preserve"> </w:t>
      </w:r>
      <w:r w:rsidR="00632128">
        <w:t xml:space="preserve">an assessment of continued program relevance is timely </w:t>
      </w:r>
      <w:r w:rsidR="00F61BAC">
        <w:rPr>
          <w:lang w:val="id-ID"/>
        </w:rPr>
        <w:t>to</w:t>
      </w:r>
      <w:r w:rsidR="00F61BAC">
        <w:t xml:space="preserve"> </w:t>
      </w:r>
      <w:r w:rsidR="00632128">
        <w:t>allow adjustment where required</w:t>
      </w:r>
      <w:r w:rsidRPr="00AF1D30">
        <w:t>. Th</w:t>
      </w:r>
      <w:r w:rsidR="00F27CEE" w:rsidRPr="00AF1D30">
        <w:t xml:space="preserve">is section </w:t>
      </w:r>
      <w:r w:rsidR="002557B2" w:rsidRPr="00AF1D30">
        <w:t xml:space="preserve">is </w:t>
      </w:r>
      <w:r w:rsidR="00240F1C" w:rsidRPr="00AF1D30">
        <w:t xml:space="preserve">divided into </w:t>
      </w:r>
      <w:r w:rsidR="002557B2" w:rsidRPr="00AF1D30">
        <w:t>three parts</w:t>
      </w:r>
      <w:r w:rsidR="00CB27C2">
        <w:rPr>
          <w:lang w:val="id-ID"/>
        </w:rPr>
        <w:t>,</w:t>
      </w:r>
      <w:r w:rsidR="00B64230" w:rsidRPr="00AF1D30">
        <w:t xml:space="preserve"> </w:t>
      </w:r>
      <w:r w:rsidR="00CB27C2">
        <w:rPr>
          <w:lang w:val="id-ID"/>
        </w:rPr>
        <w:t xml:space="preserve">presenting </w:t>
      </w:r>
      <w:r w:rsidR="00CB27C2" w:rsidRPr="00AF1D30">
        <w:t xml:space="preserve">contextual issues </w:t>
      </w:r>
      <w:r w:rsidR="001715C9" w:rsidRPr="00AF1D30">
        <w:t xml:space="preserve">i) </w:t>
      </w:r>
      <w:r w:rsidR="002557B2" w:rsidRPr="00AF1D30">
        <w:t xml:space="preserve">at national level, </w:t>
      </w:r>
      <w:r w:rsidR="001715C9" w:rsidRPr="00AF1D30">
        <w:t xml:space="preserve">ii) </w:t>
      </w:r>
      <w:r w:rsidR="002557B2" w:rsidRPr="00AF1D30">
        <w:t>at sub-nat</w:t>
      </w:r>
      <w:r w:rsidR="001715C9" w:rsidRPr="00AF1D30">
        <w:t xml:space="preserve">ional level and iii) </w:t>
      </w:r>
      <w:r w:rsidR="00F61BAC">
        <w:rPr>
          <w:lang w:val="id-ID"/>
        </w:rPr>
        <w:t xml:space="preserve">specifically </w:t>
      </w:r>
      <w:r w:rsidR="001715C9" w:rsidRPr="00AF1D30">
        <w:t>rel</w:t>
      </w:r>
      <w:r w:rsidR="002557B2" w:rsidRPr="00AF1D30">
        <w:t>evant to the EP components.</w:t>
      </w:r>
    </w:p>
    <w:p w14:paraId="1C05BAC7" w14:textId="77777777" w:rsidR="00E34298" w:rsidRPr="00AF1D30" w:rsidRDefault="00E34298" w:rsidP="002C1C0C">
      <w:pPr>
        <w:pStyle w:val="StyleSub-HeadingGRMText2Before12pt"/>
        <w:numPr>
          <w:ilvl w:val="1"/>
          <w:numId w:val="3"/>
        </w:numPr>
        <w:tabs>
          <w:tab w:val="clear" w:pos="900"/>
          <w:tab w:val="left" w:pos="630"/>
        </w:tabs>
        <w:ind w:left="630" w:hanging="630"/>
      </w:pPr>
      <w:bookmarkStart w:id="24" w:name="_Toc345081133"/>
      <w:r w:rsidRPr="00AF1D30">
        <w:t>National level</w:t>
      </w:r>
      <w:bookmarkEnd w:id="24"/>
    </w:p>
    <w:p w14:paraId="41203CF9" w14:textId="6E3CF210" w:rsidR="001715C9" w:rsidRPr="00AF1D30" w:rsidRDefault="00300404" w:rsidP="001715C9">
      <w:r w:rsidRPr="00AF1D30">
        <w:t>A</w:t>
      </w:r>
      <w:r w:rsidR="001715C9" w:rsidRPr="00AF1D30">
        <w:t xml:space="preserve">s outlined in the EP Theory of Change, the EP objectives are directly linked to those of the Renstra 2010-2014 and </w:t>
      </w:r>
      <w:r w:rsidR="0003589F" w:rsidRPr="00AF1D30">
        <w:t xml:space="preserve">those </w:t>
      </w:r>
      <w:r w:rsidR="001715C9" w:rsidRPr="00AF1D30">
        <w:t xml:space="preserve">stated in the Joint Results </w:t>
      </w:r>
      <w:r w:rsidR="0003589F" w:rsidRPr="00AF1D30">
        <w:t>F</w:t>
      </w:r>
      <w:r w:rsidR="001715C9" w:rsidRPr="00AF1D30">
        <w:t xml:space="preserve">ramework (JRF). While both the Renstra and </w:t>
      </w:r>
      <w:r w:rsidR="0003589F" w:rsidRPr="00AF1D30">
        <w:t xml:space="preserve">the </w:t>
      </w:r>
      <w:r w:rsidR="001715C9" w:rsidRPr="00AF1D30">
        <w:t xml:space="preserve">JRF are still valid and act as </w:t>
      </w:r>
      <w:r w:rsidR="0003589F" w:rsidRPr="00AF1D30">
        <w:t xml:space="preserve">strong </w:t>
      </w:r>
      <w:r w:rsidR="001715C9" w:rsidRPr="00AF1D30">
        <w:t>refer</w:t>
      </w:r>
      <w:r w:rsidR="0003589F" w:rsidRPr="00AF1D30">
        <w:t xml:space="preserve">ence points </w:t>
      </w:r>
      <w:r w:rsidR="001715C9" w:rsidRPr="00AF1D30">
        <w:t xml:space="preserve">for the EP, the JRF targets </w:t>
      </w:r>
      <w:r w:rsidR="0003589F" w:rsidRPr="00AF1D30">
        <w:t xml:space="preserve">themselves </w:t>
      </w:r>
      <w:r w:rsidR="001715C9" w:rsidRPr="00AF1D30">
        <w:t xml:space="preserve">are currently being </w:t>
      </w:r>
      <w:r w:rsidR="0003589F" w:rsidRPr="00AF1D30">
        <w:t>re-evaluated and it is l</w:t>
      </w:r>
      <w:r w:rsidR="001715C9" w:rsidRPr="00AF1D30">
        <w:t xml:space="preserve">ikely </w:t>
      </w:r>
      <w:r w:rsidR="0003589F" w:rsidRPr="00AF1D30">
        <w:t xml:space="preserve">that some of the targets will </w:t>
      </w:r>
      <w:r w:rsidR="001715C9" w:rsidRPr="00AF1D30">
        <w:t xml:space="preserve">change in the near future. This should not </w:t>
      </w:r>
      <w:r w:rsidR="0003589F" w:rsidRPr="00AF1D30">
        <w:t xml:space="preserve">fundamentally </w:t>
      </w:r>
      <w:r w:rsidR="001715C9" w:rsidRPr="00AF1D30">
        <w:t>impact</w:t>
      </w:r>
      <w:r w:rsidR="00F61BAC">
        <w:rPr>
          <w:lang w:val="id-ID"/>
        </w:rPr>
        <w:t xml:space="preserve"> </w:t>
      </w:r>
      <w:r w:rsidR="001715C9" w:rsidRPr="00AF1D30">
        <w:t xml:space="preserve">the EP objectives and </w:t>
      </w:r>
      <w:r w:rsidR="0003589F" w:rsidRPr="00AF1D30">
        <w:t>the EP</w:t>
      </w:r>
      <w:r w:rsidR="001715C9" w:rsidRPr="00AF1D30">
        <w:t xml:space="preserve"> logic, </w:t>
      </w:r>
      <w:r w:rsidR="0003589F" w:rsidRPr="00AF1D30">
        <w:t xml:space="preserve">but </w:t>
      </w:r>
      <w:r w:rsidR="001715C9" w:rsidRPr="00AF1D30">
        <w:t>minor adjustment</w:t>
      </w:r>
      <w:r w:rsidRPr="00AF1D30">
        <w:t>s</w:t>
      </w:r>
      <w:r w:rsidR="00183CD8" w:rsidRPr="00183CD8">
        <w:t xml:space="preserve"> </w:t>
      </w:r>
      <w:r w:rsidR="00183CD8" w:rsidRPr="00AF1D30">
        <w:t>may</w:t>
      </w:r>
      <w:r w:rsidR="00183CD8">
        <w:t xml:space="preserve"> be </w:t>
      </w:r>
      <w:r w:rsidR="00183CD8">
        <w:rPr>
          <w:lang w:val="id-ID"/>
        </w:rPr>
        <w:t>require</w:t>
      </w:r>
      <w:r w:rsidR="00183CD8">
        <w:rPr>
          <w:lang w:val="en-AU"/>
        </w:rPr>
        <w:t>d</w:t>
      </w:r>
      <w:r w:rsidR="001715C9" w:rsidRPr="00AF1D30">
        <w:t>. Once approved, the next Renstra</w:t>
      </w:r>
      <w:r w:rsidR="0003589F" w:rsidRPr="00AF1D30">
        <w:t>, covering the period</w:t>
      </w:r>
      <w:r w:rsidR="001715C9" w:rsidRPr="00AF1D30">
        <w:t xml:space="preserve"> 2015-19</w:t>
      </w:r>
      <w:r w:rsidR="0003589F" w:rsidRPr="00AF1D30">
        <w:t xml:space="preserve">, </w:t>
      </w:r>
      <w:r w:rsidR="001715C9" w:rsidRPr="00AF1D30">
        <w:t>is likely to place emphasis on developing infrastructure and improving the teaching environment for 12 years</w:t>
      </w:r>
      <w:r w:rsidR="00CB27C2">
        <w:rPr>
          <w:lang w:val="id-ID"/>
        </w:rPr>
        <w:t xml:space="preserve"> of basic education</w:t>
      </w:r>
      <w:r w:rsidR="001715C9" w:rsidRPr="00AF1D30">
        <w:t xml:space="preserve">, with increased government support. </w:t>
      </w:r>
    </w:p>
    <w:p w14:paraId="13FE1829" w14:textId="029CE1CB" w:rsidR="00600950" w:rsidRPr="00AF1D30" w:rsidRDefault="00600950" w:rsidP="00600950">
      <w:pPr>
        <w:rPr>
          <w:rFonts w:cs="Calibri"/>
        </w:rPr>
      </w:pPr>
      <w:r w:rsidRPr="00AF1D30">
        <w:rPr>
          <w:rFonts w:cs="Calibri"/>
        </w:rPr>
        <w:t xml:space="preserve">In terms of </w:t>
      </w:r>
      <w:r w:rsidR="00300404" w:rsidRPr="00AF1D30">
        <w:rPr>
          <w:rFonts w:cs="Calibri"/>
        </w:rPr>
        <w:t xml:space="preserve">public </w:t>
      </w:r>
      <w:r w:rsidRPr="00AF1D30">
        <w:rPr>
          <w:rFonts w:cs="Calibri"/>
        </w:rPr>
        <w:t xml:space="preserve">finance, GoI is sustaining its commitment to the sector. </w:t>
      </w:r>
      <w:r w:rsidR="002C1C0C" w:rsidRPr="00AF1D30">
        <w:rPr>
          <w:rFonts w:cs="Calibri"/>
        </w:rPr>
        <w:t xml:space="preserve">Notable </w:t>
      </w:r>
      <w:r w:rsidRPr="00AF1D30">
        <w:rPr>
          <w:rFonts w:cs="Calibri"/>
        </w:rPr>
        <w:t>findings in that respect are:</w:t>
      </w:r>
      <w:r w:rsidR="002C1C0C" w:rsidRPr="00AF1D30">
        <w:rPr>
          <w:rFonts w:cs="Calibri"/>
        </w:rPr>
        <w:t xml:space="preserve"> </w:t>
      </w:r>
    </w:p>
    <w:p w14:paraId="50D60EB5" w14:textId="39A4BBA3" w:rsidR="00600950" w:rsidRPr="00AF1D30" w:rsidRDefault="0003589F" w:rsidP="00FC502B">
      <w:pPr>
        <w:numPr>
          <w:ilvl w:val="0"/>
          <w:numId w:val="38"/>
        </w:numPr>
        <w:tabs>
          <w:tab w:val="clear" w:pos="720"/>
          <w:tab w:val="num" w:pos="426"/>
        </w:tabs>
        <w:spacing w:after="0"/>
        <w:ind w:left="426" w:hanging="284"/>
      </w:pPr>
      <w:r w:rsidRPr="00AF1D30">
        <w:t xml:space="preserve">In 2011, </w:t>
      </w:r>
      <w:r w:rsidR="00600950" w:rsidRPr="00AF1D30">
        <w:t>GoI</w:t>
      </w:r>
      <w:r w:rsidR="00513170">
        <w:t>’s</w:t>
      </w:r>
      <w:r w:rsidR="00600950" w:rsidRPr="00AF1D30">
        <w:t xml:space="preserve"> </w:t>
      </w:r>
      <w:r w:rsidR="006C5C51" w:rsidRPr="00AF1D30">
        <w:t xml:space="preserve">commitment to </w:t>
      </w:r>
      <w:r w:rsidRPr="00AF1D30">
        <w:t xml:space="preserve">spend </w:t>
      </w:r>
      <w:r w:rsidR="006C5C51" w:rsidRPr="00AF1D30">
        <w:t xml:space="preserve">20% </w:t>
      </w:r>
      <w:r w:rsidRPr="00AF1D30">
        <w:t xml:space="preserve">of the national budget on </w:t>
      </w:r>
      <w:r w:rsidR="006C5C51" w:rsidRPr="00AF1D30">
        <w:t xml:space="preserve">education </w:t>
      </w:r>
      <w:r w:rsidRPr="00AF1D30">
        <w:t xml:space="preserve">was </w:t>
      </w:r>
      <w:r w:rsidR="00600950" w:rsidRPr="00AF1D30">
        <w:t xml:space="preserve">met </w:t>
      </w:r>
      <w:r w:rsidR="006C5C51" w:rsidRPr="00AF1D30">
        <w:t>for the third year in a row</w:t>
      </w:r>
      <w:r w:rsidRPr="00AF1D30">
        <w:t>.</w:t>
      </w:r>
      <w:r w:rsidR="006C5C51" w:rsidRPr="00AF1D30">
        <w:t xml:space="preserve"> </w:t>
      </w:r>
      <w:r w:rsidR="00600950" w:rsidRPr="00AF1D30">
        <w:t>Whil</w:t>
      </w:r>
      <w:r w:rsidRPr="00AF1D30">
        <w:t>st</w:t>
      </w:r>
      <w:r w:rsidR="00600950" w:rsidRPr="00AF1D30">
        <w:t xml:space="preserve"> this is laudable</w:t>
      </w:r>
      <w:r w:rsidRPr="00AF1D30">
        <w:t xml:space="preserve"> in itself</w:t>
      </w:r>
      <w:r w:rsidR="00600950" w:rsidRPr="00AF1D30">
        <w:t xml:space="preserve">, it did not </w:t>
      </w:r>
      <w:r w:rsidRPr="00AF1D30">
        <w:t xml:space="preserve">result in a significant </w:t>
      </w:r>
      <w:r w:rsidR="00600950" w:rsidRPr="00AF1D30">
        <w:t>year</w:t>
      </w:r>
      <w:r w:rsidR="00513170">
        <w:t>-</w:t>
      </w:r>
      <w:r w:rsidR="00600950" w:rsidRPr="00AF1D30">
        <w:t>on</w:t>
      </w:r>
      <w:r w:rsidR="00513170">
        <w:t>-</w:t>
      </w:r>
      <w:r w:rsidR="00600950" w:rsidRPr="00AF1D30">
        <w:t>year increase in real funds available for education</w:t>
      </w:r>
      <w:r w:rsidR="00183CD8">
        <w:t>. R</w:t>
      </w:r>
      <w:r w:rsidR="00600950" w:rsidRPr="00AF1D30">
        <w:t xml:space="preserve">eal increases in national funding for education have </w:t>
      </w:r>
      <w:r w:rsidR="00183CD8">
        <w:t>p</w:t>
      </w:r>
      <w:r w:rsidR="00600950" w:rsidRPr="00AF1D30">
        <w:t xml:space="preserve">lateaued </w:t>
      </w:r>
      <w:r w:rsidR="00F61BAC">
        <w:rPr>
          <w:lang w:val="id-ID"/>
        </w:rPr>
        <w:t>s</w:t>
      </w:r>
      <w:r w:rsidR="00183CD8">
        <w:t>ince 2009</w:t>
      </w:r>
      <w:r w:rsidR="00F61BAC" w:rsidRPr="00AF1D30">
        <w:t xml:space="preserve"> </w:t>
      </w:r>
      <w:r w:rsidR="00600950" w:rsidRPr="00AF1D30">
        <w:t xml:space="preserve">with growth in education expenditure only marginally outpacing inflation. </w:t>
      </w:r>
    </w:p>
    <w:p w14:paraId="1546726E" w14:textId="01E3C393" w:rsidR="00600950" w:rsidRPr="00AF1D30" w:rsidRDefault="008B554A" w:rsidP="00FC502B">
      <w:pPr>
        <w:numPr>
          <w:ilvl w:val="0"/>
          <w:numId w:val="38"/>
        </w:numPr>
        <w:tabs>
          <w:tab w:val="clear" w:pos="720"/>
          <w:tab w:val="num" w:pos="426"/>
        </w:tabs>
        <w:spacing w:after="0"/>
        <w:ind w:left="426" w:hanging="284"/>
      </w:pPr>
      <w:r>
        <w:t xml:space="preserve">There has </w:t>
      </w:r>
      <w:r w:rsidR="00600950" w:rsidRPr="00AF1D30">
        <w:t xml:space="preserve">been a decline in education expenditure as a proportion of GDP since 2009. </w:t>
      </w:r>
      <w:r w:rsidR="0003589F" w:rsidRPr="00AF1D30">
        <w:t>Expenditure on e</w:t>
      </w:r>
      <w:r w:rsidR="00600950" w:rsidRPr="00AF1D30">
        <w:t xml:space="preserve">ducation as a percentage of GDP rose from 2.5% in 2001 to 3.7% by 2009, but </w:t>
      </w:r>
      <w:r w:rsidR="0003589F" w:rsidRPr="00AF1D30">
        <w:t xml:space="preserve">subsequently </w:t>
      </w:r>
      <w:r w:rsidR="00600950" w:rsidRPr="00AF1D30">
        <w:t>declined to 3.3% in 2011. While education expenditure has been growing slightly faster than national public expenditure, it has been outpaced by a much faster growth of the economy as whole (as measured by GDP). This suggests that</w:t>
      </w:r>
      <w:r w:rsidR="00BE644C">
        <w:t>,</w:t>
      </w:r>
      <w:r w:rsidR="00600950" w:rsidRPr="00AF1D30">
        <w:t xml:space="preserve"> in future years</w:t>
      </w:r>
      <w:r w:rsidR="00BE644C">
        <w:t>,</w:t>
      </w:r>
      <w:r w:rsidR="00600950" w:rsidRPr="00AF1D30">
        <w:t xml:space="preserve"> the growth in national public education expenditure will continue to track the growth in the national public budget.</w:t>
      </w:r>
    </w:p>
    <w:p w14:paraId="6A071450" w14:textId="3CA68843" w:rsidR="00600950" w:rsidRPr="00AF1D30" w:rsidRDefault="006C5C51" w:rsidP="00FC502B">
      <w:pPr>
        <w:numPr>
          <w:ilvl w:val="0"/>
          <w:numId w:val="38"/>
        </w:numPr>
        <w:tabs>
          <w:tab w:val="clear" w:pos="720"/>
          <w:tab w:val="num" w:pos="426"/>
        </w:tabs>
        <w:spacing w:after="0"/>
        <w:ind w:left="426" w:hanging="284"/>
      </w:pPr>
      <w:r w:rsidRPr="00AF1D30">
        <w:t>Average expenditure per student across the country grew very strongly in 2011</w:t>
      </w:r>
      <w:r w:rsidR="00600950" w:rsidRPr="00AF1D30">
        <w:t xml:space="preserve"> (Rp. 2.8 million in 2011 </w:t>
      </w:r>
      <w:r w:rsidR="00CB27C2">
        <w:rPr>
          <w:lang w:val="id-ID"/>
        </w:rPr>
        <w:t xml:space="preserve">compared to </w:t>
      </w:r>
      <w:r w:rsidR="00600950" w:rsidRPr="00AF1D30">
        <w:t>Rp. 2 million in 2010)</w:t>
      </w:r>
      <w:r w:rsidRPr="00AF1D30">
        <w:t xml:space="preserve">. This is a big </w:t>
      </w:r>
      <w:r w:rsidR="00BC3811" w:rsidRPr="00AF1D30">
        <w:t>increase</w:t>
      </w:r>
      <w:r w:rsidRPr="00AF1D30">
        <w:t xml:space="preserve"> from the stalled expenditure growth that was experienced in 2010. </w:t>
      </w:r>
      <w:r w:rsidR="00300404" w:rsidRPr="00AF1D30">
        <w:t>The a</w:t>
      </w:r>
      <w:r w:rsidRPr="00AF1D30">
        <w:t>verage per student expenditure is now considerably higher in rural districts and reached Rp. 2.</w:t>
      </w:r>
      <w:r w:rsidR="00BE644C">
        <w:t>9</w:t>
      </w:r>
      <w:r w:rsidRPr="00AF1D30">
        <w:t xml:space="preserve"> million per student in 2011. This compares with Rp. 2.4 million per student in urban areas.</w:t>
      </w:r>
    </w:p>
    <w:p w14:paraId="1E3DB68B" w14:textId="77777777" w:rsidR="00A775F5" w:rsidRPr="00AF1D30" w:rsidRDefault="00A775F5" w:rsidP="00A775F5">
      <w:pPr>
        <w:spacing w:after="0"/>
        <w:ind w:left="720"/>
      </w:pPr>
    </w:p>
    <w:p w14:paraId="36BB6FD8" w14:textId="419B26B9" w:rsidR="00A775F5" w:rsidRPr="00A40760" w:rsidRDefault="00A775F5" w:rsidP="00A775F5">
      <w:pPr>
        <w:rPr>
          <w:lang w:val="id-ID"/>
        </w:rPr>
      </w:pPr>
      <w:r w:rsidRPr="00AF1D30">
        <w:t>A major change in the Indonesian education policy landscape is the new G</w:t>
      </w:r>
      <w:r w:rsidR="00BC3811" w:rsidRPr="00AF1D30">
        <w:t>o</w:t>
      </w:r>
      <w:r w:rsidRPr="00AF1D30">
        <w:t>I commitment to 12 years of universal basic education</w:t>
      </w:r>
      <w:r w:rsidR="005E259F">
        <w:t xml:space="preserve"> (UBE) - </w:t>
      </w:r>
      <w:r w:rsidRPr="00AF1D30">
        <w:t xml:space="preserve">up </w:t>
      </w:r>
      <w:r w:rsidR="00BC3811" w:rsidRPr="00AF1D30">
        <w:t xml:space="preserve">from the current figure of </w:t>
      </w:r>
      <w:r w:rsidRPr="00AF1D30">
        <w:t xml:space="preserve">9 years. This </w:t>
      </w:r>
      <w:r w:rsidR="00BC3811" w:rsidRPr="00AF1D30">
        <w:t xml:space="preserve">will inevitably </w:t>
      </w:r>
      <w:r w:rsidRPr="00AF1D30">
        <w:t xml:space="preserve">have </w:t>
      </w:r>
      <w:r w:rsidR="00BC3811" w:rsidRPr="00AF1D30">
        <w:t xml:space="preserve">a </w:t>
      </w:r>
      <w:r w:rsidRPr="00AF1D30">
        <w:t>major impact on sectoral priorities and financ</w:t>
      </w:r>
      <w:r w:rsidR="00BC3811" w:rsidRPr="00AF1D30">
        <w:t>ing</w:t>
      </w:r>
      <w:r w:rsidRPr="00AF1D30">
        <w:t xml:space="preserve"> </w:t>
      </w:r>
      <w:r w:rsidR="00BC3811" w:rsidRPr="00AF1D30">
        <w:t xml:space="preserve">in </w:t>
      </w:r>
      <w:r w:rsidRPr="00AF1D30">
        <w:t xml:space="preserve">years to come, and </w:t>
      </w:r>
      <w:r w:rsidR="00BC3811" w:rsidRPr="00AF1D30">
        <w:t xml:space="preserve">may </w:t>
      </w:r>
      <w:r w:rsidRPr="00AF1D30">
        <w:t xml:space="preserve">possibly impact on EP priorities. It is unclear at this stage how the implementation of this new policy will be funded, </w:t>
      </w:r>
      <w:r w:rsidR="00CB27C2">
        <w:rPr>
          <w:lang w:val="id-ID"/>
        </w:rPr>
        <w:lastRenderedPageBreak/>
        <w:t xml:space="preserve">and </w:t>
      </w:r>
      <w:r w:rsidRPr="00AF1D30">
        <w:t xml:space="preserve">if the </w:t>
      </w:r>
      <w:r w:rsidR="00F61BAC">
        <w:rPr>
          <w:lang w:val="id-ID"/>
        </w:rPr>
        <w:t>target</w:t>
      </w:r>
      <w:r w:rsidRPr="00AF1D30">
        <w:t xml:space="preserve"> 20% of </w:t>
      </w:r>
      <w:r w:rsidRPr="00EC7A02">
        <w:t xml:space="preserve">national public expenditure </w:t>
      </w:r>
      <w:r w:rsidR="00CB27C2" w:rsidRPr="00EC7A02">
        <w:rPr>
          <w:lang w:val="id-ID"/>
        </w:rPr>
        <w:t xml:space="preserve">will </w:t>
      </w:r>
      <w:r w:rsidR="00CB27C2" w:rsidRPr="00EC7A02">
        <w:t>remain</w:t>
      </w:r>
      <w:r w:rsidRPr="00EC7A02">
        <w:t xml:space="preserve"> valid. Some analys</w:t>
      </w:r>
      <w:r w:rsidR="00BC3811" w:rsidRPr="00EC7A02">
        <w:t>es</w:t>
      </w:r>
      <w:r w:rsidRPr="00EC7A02">
        <w:t xml:space="preserve"> </w:t>
      </w:r>
      <w:r w:rsidR="00CB27C2" w:rsidRPr="00EC7A02">
        <w:rPr>
          <w:lang w:val="id-ID"/>
        </w:rPr>
        <w:t xml:space="preserve">on financing options </w:t>
      </w:r>
      <w:r w:rsidRPr="00EC7A02">
        <w:t xml:space="preserve">are currently being </w:t>
      </w:r>
      <w:r w:rsidR="00BC3811" w:rsidRPr="00EC7A02">
        <w:t>carried out</w:t>
      </w:r>
      <w:r w:rsidRPr="00EC7A02">
        <w:t xml:space="preserve">, notably through ACDP, and </w:t>
      </w:r>
      <w:r w:rsidR="002C1C0C" w:rsidRPr="00EC7A02">
        <w:t>there</w:t>
      </w:r>
      <w:r w:rsidR="00CB27C2" w:rsidRPr="00EC7A02">
        <w:rPr>
          <w:lang w:val="id-ID"/>
        </w:rPr>
        <w:t xml:space="preserve"> is emerging evidence and </w:t>
      </w:r>
      <w:r w:rsidR="002C1C0C" w:rsidRPr="00EC7A02">
        <w:t xml:space="preserve">a realistic concern that </w:t>
      </w:r>
      <w:r w:rsidRPr="00EC7A02">
        <w:t>budgets will be tightened</w:t>
      </w:r>
      <w:r w:rsidR="00CB27C2" w:rsidRPr="00EC7A02">
        <w:rPr>
          <w:lang w:val="id-ID"/>
        </w:rPr>
        <w:t xml:space="preserve">, impacting </w:t>
      </w:r>
      <w:r w:rsidRPr="00EC7A02">
        <w:t xml:space="preserve">areas of the sector that the EP supports (e.g. JSE infrastructure). </w:t>
      </w:r>
      <w:r w:rsidR="005A32AE">
        <w:rPr>
          <w:lang w:val="id-ID"/>
        </w:rPr>
        <w:t>I</w:t>
      </w:r>
      <w:r w:rsidR="005A32AE" w:rsidRPr="00EC7A02">
        <w:t xml:space="preserve">f unchanged, </w:t>
      </w:r>
      <w:r w:rsidR="005A32AE">
        <w:rPr>
          <w:lang w:val="id-ID"/>
        </w:rPr>
        <w:t>t</w:t>
      </w:r>
      <w:r w:rsidRPr="00EC7A02">
        <w:t xml:space="preserve">he principle of non-additionality of donor funds in the education sector </w:t>
      </w:r>
      <w:r w:rsidR="00CB27C2" w:rsidRPr="00EC7A02">
        <w:rPr>
          <w:lang w:val="id-ID"/>
        </w:rPr>
        <w:t xml:space="preserve">which </w:t>
      </w:r>
      <w:r w:rsidR="00EC7A02" w:rsidRPr="00EC7A02">
        <w:rPr>
          <w:lang w:val="id-ID"/>
        </w:rPr>
        <w:t xml:space="preserve">currently </w:t>
      </w:r>
      <w:r w:rsidR="005A32AE">
        <w:rPr>
          <w:lang w:val="id-ID"/>
        </w:rPr>
        <w:t xml:space="preserve">applies to the EP </w:t>
      </w:r>
      <w:r w:rsidRPr="00EC7A02">
        <w:t xml:space="preserve">will have an </w:t>
      </w:r>
      <w:r w:rsidR="00EC7A02" w:rsidRPr="00EC7A02">
        <w:rPr>
          <w:lang w:val="id-ID"/>
        </w:rPr>
        <w:t xml:space="preserve">increased </w:t>
      </w:r>
      <w:r w:rsidR="00EC7A02" w:rsidRPr="00EC7A02">
        <w:t xml:space="preserve">impact on the </w:t>
      </w:r>
      <w:r w:rsidR="00EC7A02" w:rsidRPr="00EC7A02">
        <w:rPr>
          <w:lang w:val="id-ID"/>
        </w:rPr>
        <w:t>significance of the</w:t>
      </w:r>
      <w:r w:rsidR="00EC7A02" w:rsidRPr="00EC7A02">
        <w:t xml:space="preserve"> </w:t>
      </w:r>
      <w:r w:rsidRPr="00EC7A02">
        <w:t>EP.</w:t>
      </w:r>
      <w:r w:rsidRPr="00AF1D30">
        <w:t xml:space="preserve"> </w:t>
      </w:r>
    </w:p>
    <w:p w14:paraId="7F920201" w14:textId="77777777" w:rsidR="00E34298" w:rsidRPr="00AF1D30" w:rsidRDefault="00E34298" w:rsidP="002C1C0C">
      <w:pPr>
        <w:pStyle w:val="StyleSub-HeadingGRMText2Before12pt"/>
        <w:numPr>
          <w:ilvl w:val="1"/>
          <w:numId w:val="3"/>
        </w:numPr>
        <w:tabs>
          <w:tab w:val="clear" w:pos="900"/>
          <w:tab w:val="left" w:pos="630"/>
        </w:tabs>
        <w:ind w:left="630" w:hanging="630"/>
      </w:pPr>
      <w:bookmarkStart w:id="25" w:name="_Toc345081134"/>
      <w:r w:rsidRPr="00AF1D30">
        <w:t>Sub-national level</w:t>
      </w:r>
      <w:bookmarkEnd w:id="25"/>
    </w:p>
    <w:p w14:paraId="67845C62" w14:textId="3F5ED8C7" w:rsidR="00FC502B" w:rsidRPr="00AF1D30" w:rsidRDefault="00A775F5" w:rsidP="00FC502B">
      <w:pPr>
        <w:spacing w:after="0"/>
      </w:pPr>
      <w:r w:rsidRPr="00AF1D30">
        <w:t>Under the current GoI decentralisation policy, d</w:t>
      </w:r>
      <w:r w:rsidR="00E34298" w:rsidRPr="00AF1D30">
        <w:t>istricts have increased responsibilit</w:t>
      </w:r>
      <w:r w:rsidR="00BE644C">
        <w:t>y</w:t>
      </w:r>
      <w:r w:rsidR="00E34298" w:rsidRPr="00AF1D30">
        <w:t xml:space="preserve"> for </w:t>
      </w:r>
      <w:r w:rsidR="005A32AE">
        <w:rPr>
          <w:lang w:val="id-ID"/>
        </w:rPr>
        <w:t xml:space="preserve">the provision of </w:t>
      </w:r>
      <w:r w:rsidR="00E34298" w:rsidRPr="00AF1D30">
        <w:t xml:space="preserve">education </w:t>
      </w:r>
      <w:r w:rsidR="005A32AE">
        <w:rPr>
          <w:lang w:val="id-ID"/>
        </w:rPr>
        <w:t>services but still uneven capacity to manage them</w:t>
      </w:r>
      <w:r w:rsidRPr="00AF1D30">
        <w:t xml:space="preserve">. </w:t>
      </w:r>
      <w:r w:rsidR="005A32AE">
        <w:rPr>
          <w:lang w:val="id-ID"/>
        </w:rPr>
        <w:t>M</w:t>
      </w:r>
      <w:r w:rsidR="005A32AE" w:rsidRPr="00AF1D30">
        <w:t xml:space="preserve">onitoring </w:t>
      </w:r>
      <w:r w:rsidR="005E259F">
        <w:t xml:space="preserve">of </w:t>
      </w:r>
      <w:r w:rsidR="005A32AE" w:rsidRPr="00AF1D30">
        <w:t xml:space="preserve">district expenditure </w:t>
      </w:r>
      <w:r w:rsidR="005E259F">
        <w:rPr>
          <w:lang w:val="id-ID"/>
        </w:rPr>
        <w:t xml:space="preserve">therefore </w:t>
      </w:r>
      <w:r w:rsidR="005A32AE" w:rsidRPr="00AF1D30">
        <w:t>become</w:t>
      </w:r>
      <w:r w:rsidR="005E259F">
        <w:t>s</w:t>
      </w:r>
      <w:r w:rsidR="005A32AE" w:rsidRPr="00AF1D30">
        <w:t xml:space="preserve"> </w:t>
      </w:r>
      <w:r w:rsidR="00EC7A02">
        <w:rPr>
          <w:lang w:val="id-ID"/>
        </w:rPr>
        <w:t>increasingly</w:t>
      </w:r>
      <w:r w:rsidR="00D8736C" w:rsidRPr="00AF1D30">
        <w:t xml:space="preserve"> important: MoEC and MoRA </w:t>
      </w:r>
      <w:r w:rsidR="005A32AE">
        <w:rPr>
          <w:lang w:val="id-ID"/>
        </w:rPr>
        <w:t xml:space="preserve">need </w:t>
      </w:r>
      <w:r w:rsidR="00D8736C" w:rsidRPr="00AF1D30">
        <w:t>to ensure that national funding norms and procedures are being implemented appropriately.</w:t>
      </w:r>
    </w:p>
    <w:p w14:paraId="2D807F65" w14:textId="77777777" w:rsidR="00FC502B" w:rsidRPr="00AF1D30" w:rsidRDefault="00FC502B" w:rsidP="00FC502B">
      <w:pPr>
        <w:spacing w:after="0"/>
      </w:pPr>
    </w:p>
    <w:p w14:paraId="7DBB5D82" w14:textId="1DBBEA9B" w:rsidR="00D8736C" w:rsidRPr="00AF1D30" w:rsidRDefault="00D8736C" w:rsidP="00FC502B">
      <w:pPr>
        <w:rPr>
          <w:rFonts w:cs="Calibri"/>
        </w:rPr>
      </w:pPr>
      <w:r w:rsidRPr="00AF1D30">
        <w:rPr>
          <w:rFonts w:cs="Calibri"/>
        </w:rPr>
        <w:t xml:space="preserve">In terms of district finance, the picture is encouraging as there is evidence of a widespread move to close the equity gap, at least at the macro-economic level. </w:t>
      </w:r>
      <w:r w:rsidR="002E7B60">
        <w:rPr>
          <w:rFonts w:cs="Calibri"/>
        </w:rPr>
        <w:t xml:space="preserve">Notable </w:t>
      </w:r>
      <w:r w:rsidRPr="00AF1D30">
        <w:rPr>
          <w:rFonts w:cs="Calibri"/>
        </w:rPr>
        <w:t>findings in that respect are:</w:t>
      </w:r>
    </w:p>
    <w:p w14:paraId="0A1333EC" w14:textId="78F824B4" w:rsidR="00FC502B" w:rsidRPr="00AF1D30" w:rsidRDefault="00FC502B" w:rsidP="00FC502B">
      <w:pPr>
        <w:numPr>
          <w:ilvl w:val="0"/>
          <w:numId w:val="38"/>
        </w:numPr>
        <w:tabs>
          <w:tab w:val="clear" w:pos="720"/>
          <w:tab w:val="num" w:pos="426"/>
        </w:tabs>
        <w:spacing w:after="0"/>
        <w:ind w:left="426" w:hanging="284"/>
      </w:pPr>
      <w:r w:rsidRPr="00AF1D30">
        <w:t xml:space="preserve">Indonesia is moving towards a </w:t>
      </w:r>
      <w:r w:rsidR="00F61BAC">
        <w:rPr>
          <w:lang w:val="id-ID"/>
        </w:rPr>
        <w:t>more equitable</w:t>
      </w:r>
      <w:r w:rsidRPr="00AF1D30">
        <w:t xml:space="preserve"> distribution of funding to districts for schooling: there are more public resources allocated per student for the poorest districts, and conversely less for the wealthiest districts. By 2011, districts from the two poorest quintiles had grown their allocations at a faster rate than others and were receiving more per student than other districts in other poverty quintiles</w:t>
      </w:r>
      <w:r w:rsidR="002E7B60">
        <w:t>.</w:t>
      </w:r>
    </w:p>
    <w:p w14:paraId="0BE104A9" w14:textId="0A6B29D7" w:rsidR="00FC502B" w:rsidRPr="00AF1D30" w:rsidRDefault="00FC502B" w:rsidP="00FC502B">
      <w:pPr>
        <w:numPr>
          <w:ilvl w:val="0"/>
          <w:numId w:val="38"/>
        </w:numPr>
        <w:tabs>
          <w:tab w:val="clear" w:pos="720"/>
          <w:tab w:val="num" w:pos="426"/>
        </w:tabs>
        <w:spacing w:after="0"/>
        <w:ind w:left="426" w:hanging="284"/>
      </w:pPr>
      <w:r w:rsidRPr="00AF1D30">
        <w:t>Average district education expenditure increased from 31% of total district budget</w:t>
      </w:r>
      <w:r w:rsidR="00657F84">
        <w:t xml:space="preserve"> </w:t>
      </w:r>
      <w:r w:rsidRPr="00AF1D30">
        <w:t xml:space="preserve">in 2010 to 37% in 2011. In particular, </w:t>
      </w:r>
      <w:r w:rsidR="002E7B60">
        <w:t xml:space="preserve">the </w:t>
      </w:r>
      <w:r w:rsidRPr="00AF1D30">
        <w:t>poorest districts (bottom quintile) recorded 40% average annual increase in their 2011 education budget (from 2010). This is a very positive result for the poorest districts as they have managed the highest average percentage increase in education of all the poverty quintiles. The continued strong growth of education budgets within the poorest districts is far in excess of the annual inflation rate.</w:t>
      </w:r>
    </w:p>
    <w:p w14:paraId="555CCAA0" w14:textId="62A4F58A" w:rsidR="00FC502B" w:rsidRPr="00AF1D30" w:rsidRDefault="00FC502B" w:rsidP="00FC502B">
      <w:pPr>
        <w:numPr>
          <w:ilvl w:val="0"/>
          <w:numId w:val="38"/>
        </w:numPr>
        <w:tabs>
          <w:tab w:val="clear" w:pos="720"/>
          <w:tab w:val="num" w:pos="426"/>
        </w:tabs>
        <w:spacing w:after="0"/>
        <w:ind w:left="426" w:hanging="284"/>
      </w:pPr>
      <w:r w:rsidRPr="00AF1D30">
        <w:t xml:space="preserve">Only </w:t>
      </w:r>
      <w:r w:rsidR="005F0088">
        <w:t>six</w:t>
      </w:r>
      <w:r w:rsidRPr="00AF1D30">
        <w:t xml:space="preserve"> </w:t>
      </w:r>
      <w:r w:rsidR="002E7B60">
        <w:t xml:space="preserve">of the </w:t>
      </w:r>
      <w:r w:rsidRPr="00AF1D30">
        <w:t xml:space="preserve">poorest quintile districts (all in Papua) experienced a decline in the dedicated 2011 district budget funds for education compared with the previous year. This compares with 2010 when 37 </w:t>
      </w:r>
      <w:r w:rsidR="002E7B60">
        <w:t xml:space="preserve">of the </w:t>
      </w:r>
      <w:r w:rsidRPr="00AF1D30">
        <w:t>poorest quintile districts recorded a contraction in their education allocations compared to the previous budget year.</w:t>
      </w:r>
    </w:p>
    <w:p w14:paraId="3DC98DB4" w14:textId="30FE6255" w:rsidR="006C5C51" w:rsidRPr="00AF1D30" w:rsidRDefault="006C5C51" w:rsidP="00FC502B">
      <w:pPr>
        <w:numPr>
          <w:ilvl w:val="0"/>
          <w:numId w:val="38"/>
        </w:numPr>
        <w:tabs>
          <w:tab w:val="clear" w:pos="720"/>
          <w:tab w:val="num" w:pos="426"/>
        </w:tabs>
        <w:spacing w:after="0"/>
        <w:ind w:left="426" w:hanging="284"/>
      </w:pPr>
      <w:r w:rsidRPr="00AF1D30">
        <w:t xml:space="preserve">Highest </w:t>
      </w:r>
      <w:r w:rsidR="00D8736C" w:rsidRPr="00AF1D30">
        <w:t>district education budget allocation</w:t>
      </w:r>
      <w:r w:rsidR="002E7B60">
        <w:t>s</w:t>
      </w:r>
      <w:r w:rsidRPr="00AF1D30">
        <w:t xml:space="preserve"> </w:t>
      </w:r>
      <w:r w:rsidR="00D8736C" w:rsidRPr="00AF1D30">
        <w:t xml:space="preserve">per student </w:t>
      </w:r>
      <w:r w:rsidRPr="00AF1D30">
        <w:t>are found in the poore</w:t>
      </w:r>
      <w:r w:rsidR="00D8736C" w:rsidRPr="00AF1D30">
        <w:t xml:space="preserve">st districts: </w:t>
      </w:r>
      <w:r w:rsidR="002E7B60">
        <w:t xml:space="preserve">the </w:t>
      </w:r>
      <w:r w:rsidR="00D8736C" w:rsidRPr="00AF1D30">
        <w:t>p</w:t>
      </w:r>
      <w:r w:rsidRPr="00AF1D30">
        <w:t>oorest districts (quintile 5) have an average budget allocation of Rp. 3.3 million per student</w:t>
      </w:r>
      <w:r w:rsidR="00D8736C" w:rsidRPr="00AF1D30">
        <w:t xml:space="preserve">, in comparison </w:t>
      </w:r>
      <w:r w:rsidRPr="00AF1D30">
        <w:t xml:space="preserve">with a district allocation of Rp. 2.5 to 2.9 million for the other poverty quintiles. The allocation per student is greatly affected by the sparsity of </w:t>
      </w:r>
      <w:r w:rsidR="005E259F">
        <w:t xml:space="preserve">the </w:t>
      </w:r>
      <w:r w:rsidRPr="00AF1D30">
        <w:t>population. More sparsely populated districts (such as those in the eastern region and many of those in the poorest quintile districts) have higher average salary costs. This is because of both lower student/teacher ratios and higher salary related costs associated with remote area allowances.</w:t>
      </w:r>
    </w:p>
    <w:p w14:paraId="0E2EE81E" w14:textId="77777777" w:rsidR="00E34298" w:rsidRPr="00AF1D30" w:rsidRDefault="00E34298" w:rsidP="002C1C0C">
      <w:pPr>
        <w:pStyle w:val="StyleSub-HeadingGRMText2Before12pt"/>
        <w:numPr>
          <w:ilvl w:val="1"/>
          <w:numId w:val="3"/>
        </w:numPr>
        <w:tabs>
          <w:tab w:val="clear" w:pos="900"/>
          <w:tab w:val="left" w:pos="630"/>
        </w:tabs>
        <w:ind w:left="630" w:hanging="630"/>
      </w:pPr>
      <w:bookmarkStart w:id="26" w:name="_Toc345081135"/>
      <w:r w:rsidRPr="00AF1D30">
        <w:t>Component level</w:t>
      </w:r>
      <w:bookmarkEnd w:id="26"/>
    </w:p>
    <w:p w14:paraId="65A84DB7" w14:textId="39B03F15" w:rsidR="00486393" w:rsidRPr="008B554A" w:rsidRDefault="00381C86" w:rsidP="00486393">
      <w:pPr>
        <w:rPr>
          <w:lang w:val="id-ID"/>
        </w:rPr>
      </w:pPr>
      <w:r>
        <w:rPr>
          <w:lang w:val="id-ID"/>
        </w:rPr>
        <w:t xml:space="preserve">As </w:t>
      </w:r>
      <w:r w:rsidR="005E259F">
        <w:rPr>
          <w:lang w:val="en-AU"/>
        </w:rPr>
        <w:t xml:space="preserve">with </w:t>
      </w:r>
      <w:r>
        <w:rPr>
          <w:lang w:val="id-ID"/>
        </w:rPr>
        <w:t>most policy areas with high public visibility and funding, t</w:t>
      </w:r>
      <w:r w:rsidR="00486393" w:rsidRPr="00AF1D30">
        <w:t>he Indonesian education sector is dynamic</w:t>
      </w:r>
      <w:r w:rsidR="007340FE" w:rsidRPr="00AF1D30">
        <w:t>:</w:t>
      </w:r>
      <w:r w:rsidR="005A32AE">
        <w:rPr>
          <w:lang w:val="id-ID"/>
        </w:rPr>
        <w:t xml:space="preserve"> </w:t>
      </w:r>
      <w:r w:rsidR="007340FE" w:rsidRPr="00AF1D30">
        <w:t>there are</w:t>
      </w:r>
      <w:r w:rsidR="00486393" w:rsidRPr="00AF1D30">
        <w:t xml:space="preserve"> on</w:t>
      </w:r>
      <w:r w:rsidR="00597821">
        <w:t>-</w:t>
      </w:r>
      <w:r w:rsidR="00486393" w:rsidRPr="00AF1D30">
        <w:t xml:space="preserve">going </w:t>
      </w:r>
      <w:r>
        <w:rPr>
          <w:lang w:val="id-ID"/>
        </w:rPr>
        <w:t xml:space="preserve">policy </w:t>
      </w:r>
      <w:r w:rsidR="00486393" w:rsidRPr="00AF1D30">
        <w:t xml:space="preserve">debates, </w:t>
      </w:r>
      <w:r>
        <w:rPr>
          <w:lang w:val="id-ID"/>
        </w:rPr>
        <w:t xml:space="preserve">and regular </w:t>
      </w:r>
      <w:r w:rsidR="00486393" w:rsidRPr="00AF1D30">
        <w:t>reshuffl</w:t>
      </w:r>
      <w:r w:rsidR="002E7B60">
        <w:t>ing</w:t>
      </w:r>
      <w:r w:rsidR="00486393" w:rsidRPr="00AF1D30">
        <w:t xml:space="preserve"> of responsib</w:t>
      </w:r>
      <w:r w:rsidR="002E7B60">
        <w:t>i</w:t>
      </w:r>
      <w:r w:rsidR="00486393" w:rsidRPr="00AF1D30">
        <w:t>lities</w:t>
      </w:r>
      <w:r>
        <w:rPr>
          <w:lang w:val="id-ID"/>
        </w:rPr>
        <w:t>,</w:t>
      </w:r>
      <w:r w:rsidR="005A32AE">
        <w:rPr>
          <w:lang w:val="id-ID"/>
        </w:rPr>
        <w:t xml:space="preserve"> positions, </w:t>
      </w:r>
      <w:r>
        <w:rPr>
          <w:lang w:val="id-ID"/>
        </w:rPr>
        <w:lastRenderedPageBreak/>
        <w:t>funding and implementation priorities</w:t>
      </w:r>
      <w:r w:rsidR="00486393" w:rsidRPr="00AF1D30">
        <w:t xml:space="preserve">. </w:t>
      </w:r>
      <w:r w:rsidR="00CF0ED5" w:rsidRPr="00AF1D30">
        <w:t>In addition, support provided by AusAID and the donor community is also ev</w:t>
      </w:r>
      <w:r w:rsidR="007340FE" w:rsidRPr="00AF1D30">
        <w:t xml:space="preserve">olving </w:t>
      </w:r>
      <w:r w:rsidR="007340FE" w:rsidRPr="008B554A">
        <w:t xml:space="preserve">with new </w:t>
      </w:r>
      <w:r w:rsidR="005A32AE" w:rsidRPr="008B554A">
        <w:rPr>
          <w:lang w:val="id-ID"/>
        </w:rPr>
        <w:t>agenda</w:t>
      </w:r>
      <w:r w:rsidR="007340FE" w:rsidRPr="008B554A">
        <w:t>s and programs</w:t>
      </w:r>
      <w:r w:rsidR="00CF0ED5" w:rsidRPr="008B554A">
        <w:t xml:space="preserve">. </w:t>
      </w:r>
      <w:r w:rsidR="00486393" w:rsidRPr="008B554A">
        <w:t>This creates opportunitie</w:t>
      </w:r>
      <w:r w:rsidR="00CF0ED5" w:rsidRPr="008B554A">
        <w:t xml:space="preserve">s and </w:t>
      </w:r>
      <w:r w:rsidR="00486393" w:rsidRPr="008B554A">
        <w:t xml:space="preserve">threats for the work </w:t>
      </w:r>
      <w:r w:rsidR="00CF0ED5" w:rsidRPr="008B554A">
        <w:t xml:space="preserve">funded by </w:t>
      </w:r>
      <w:r w:rsidR="00486393" w:rsidRPr="008B554A">
        <w:t>the</w:t>
      </w:r>
      <w:r w:rsidR="00CF0ED5" w:rsidRPr="008B554A">
        <w:t xml:space="preserve"> </w:t>
      </w:r>
      <w:r w:rsidR="002E7B60" w:rsidRPr="008B554A">
        <w:t>EP</w:t>
      </w:r>
      <w:r w:rsidR="00486393" w:rsidRPr="008B554A">
        <w:t>. T</w:t>
      </w:r>
      <w:r w:rsidR="00A40760" w:rsidRPr="008B554A">
        <w:rPr>
          <w:lang w:val="id-ID"/>
        </w:rPr>
        <w:t xml:space="preserve">he following bullet points </w:t>
      </w:r>
      <w:r w:rsidR="005A32AE" w:rsidRPr="008B554A">
        <w:rPr>
          <w:lang w:val="id-ID"/>
        </w:rPr>
        <w:t>summarise</w:t>
      </w:r>
      <w:r w:rsidR="008B554A" w:rsidRPr="008B554A">
        <w:rPr>
          <w:lang w:val="id-ID"/>
        </w:rPr>
        <w:t xml:space="preserve"> some of the more obvious </w:t>
      </w:r>
      <w:r w:rsidR="005A32AE" w:rsidRPr="008B554A">
        <w:rPr>
          <w:lang w:val="id-ID"/>
        </w:rPr>
        <w:t>recent</w:t>
      </w:r>
      <w:r w:rsidR="00CF0ED5" w:rsidRPr="008B554A">
        <w:t xml:space="preserve"> contextual </w:t>
      </w:r>
      <w:r w:rsidR="00A40760" w:rsidRPr="008B554A">
        <w:rPr>
          <w:lang w:val="id-ID"/>
        </w:rPr>
        <w:t>changes</w:t>
      </w:r>
      <w:r w:rsidR="00A40760" w:rsidRPr="008B554A">
        <w:t xml:space="preserve"> </w:t>
      </w:r>
      <w:r w:rsidR="00A40760" w:rsidRPr="008B554A">
        <w:rPr>
          <w:lang w:val="id-ID"/>
        </w:rPr>
        <w:t xml:space="preserve">that </w:t>
      </w:r>
      <w:r w:rsidR="005A32AE" w:rsidRPr="008B554A">
        <w:rPr>
          <w:lang w:val="id-ID"/>
        </w:rPr>
        <w:t>are</w:t>
      </w:r>
      <w:r w:rsidR="00A40760" w:rsidRPr="008B554A">
        <w:rPr>
          <w:lang w:val="id-ID"/>
        </w:rPr>
        <w:t xml:space="preserve"> relevant</w:t>
      </w:r>
      <w:r w:rsidR="00A40760">
        <w:rPr>
          <w:lang w:val="id-ID"/>
        </w:rPr>
        <w:t xml:space="preserve"> to </w:t>
      </w:r>
      <w:r w:rsidR="00CF0ED5" w:rsidRPr="00AF1D30">
        <w:t>the EP components.</w:t>
      </w:r>
      <w:r w:rsidR="008B554A">
        <w:rPr>
          <w:lang w:val="id-ID"/>
        </w:rPr>
        <w:t xml:space="preserve"> </w:t>
      </w:r>
    </w:p>
    <w:p w14:paraId="72641C45" w14:textId="03B6C2CA" w:rsidR="00A40760" w:rsidRPr="00A40760" w:rsidRDefault="00A40760" w:rsidP="00486393">
      <w:pPr>
        <w:rPr>
          <w:b/>
          <w:lang w:val="id-ID"/>
        </w:rPr>
      </w:pPr>
      <w:r w:rsidRPr="00A40760">
        <w:rPr>
          <w:b/>
          <w:lang w:val="id-ID"/>
        </w:rPr>
        <w:t>Component 1</w:t>
      </w:r>
    </w:p>
    <w:p w14:paraId="059D6EF8" w14:textId="1B9E75EA" w:rsidR="00A40760" w:rsidRPr="00A40760" w:rsidRDefault="005A32AE" w:rsidP="00C93AF9">
      <w:pPr>
        <w:pStyle w:val="ListParagraph"/>
        <w:numPr>
          <w:ilvl w:val="0"/>
          <w:numId w:val="42"/>
        </w:numPr>
        <w:rPr>
          <w:lang w:val="id-ID"/>
        </w:rPr>
      </w:pPr>
      <w:r w:rsidRPr="00AF1D30">
        <w:t xml:space="preserve">MoEC </w:t>
      </w:r>
      <w:r>
        <w:rPr>
          <w:lang w:val="id-ID"/>
        </w:rPr>
        <w:t xml:space="preserve">JSE infrastructure priorities currently </w:t>
      </w:r>
      <w:r w:rsidRPr="00AF1D30">
        <w:t>focus</w:t>
      </w:r>
      <w:r w:rsidR="00A40760" w:rsidRPr="00AF1D30">
        <w:t xml:space="preserve"> on school rehabili</w:t>
      </w:r>
      <w:r>
        <w:t>tation instead of construction</w:t>
      </w:r>
      <w:r>
        <w:rPr>
          <w:lang w:val="id-ID"/>
        </w:rPr>
        <w:t xml:space="preserve">: </w:t>
      </w:r>
      <w:r w:rsidR="00A40760" w:rsidRPr="00AF1D30">
        <w:t xml:space="preserve">under </w:t>
      </w:r>
      <w:r>
        <w:rPr>
          <w:lang w:val="id-ID"/>
        </w:rPr>
        <w:t>AI</w:t>
      </w:r>
      <w:r w:rsidR="00A40760" w:rsidRPr="00AF1D30">
        <w:t>BEP</w:t>
      </w:r>
      <w:r w:rsidR="005E259F">
        <w:t>,</w:t>
      </w:r>
      <w:r w:rsidR="00A40760" w:rsidRPr="00AF1D30">
        <w:t xml:space="preserve"> AusAID funded 30% of new schools constructed by GoI</w:t>
      </w:r>
      <w:r>
        <w:rPr>
          <w:lang w:val="id-ID"/>
        </w:rPr>
        <w:t xml:space="preserve">, </w:t>
      </w:r>
      <w:r w:rsidR="005E259F">
        <w:rPr>
          <w:lang w:val="en-AU"/>
        </w:rPr>
        <w:t>whereas t</w:t>
      </w:r>
      <w:r>
        <w:rPr>
          <w:lang w:val="id-ID"/>
        </w:rPr>
        <w:t xml:space="preserve">he EP now </w:t>
      </w:r>
      <w:r w:rsidR="008B554A">
        <w:rPr>
          <w:lang w:val="id-ID"/>
        </w:rPr>
        <w:t>funds</w:t>
      </w:r>
      <w:r>
        <w:rPr>
          <w:lang w:val="id-ID"/>
        </w:rPr>
        <w:t xml:space="preserve"> </w:t>
      </w:r>
      <w:r w:rsidR="00A40760" w:rsidRPr="00AF1D30">
        <w:t xml:space="preserve">80% </w:t>
      </w:r>
      <w:r>
        <w:rPr>
          <w:lang w:val="id-ID"/>
        </w:rPr>
        <w:t>of the school construction program.</w:t>
      </w:r>
    </w:p>
    <w:p w14:paraId="0F279B6C" w14:textId="06F64214" w:rsidR="00A40760" w:rsidRPr="00A40760" w:rsidRDefault="00A40760" w:rsidP="00486393">
      <w:pPr>
        <w:rPr>
          <w:b/>
          <w:lang w:val="id-ID"/>
        </w:rPr>
      </w:pPr>
      <w:r w:rsidRPr="00A40760">
        <w:rPr>
          <w:b/>
          <w:lang w:val="id-ID"/>
        </w:rPr>
        <w:t>Component 2</w:t>
      </w:r>
    </w:p>
    <w:p w14:paraId="70CCB10B" w14:textId="198F2374" w:rsidR="00A40760" w:rsidRPr="00A40760" w:rsidRDefault="00A40760" w:rsidP="00C93AF9">
      <w:pPr>
        <w:pStyle w:val="ListParagraph"/>
        <w:numPr>
          <w:ilvl w:val="0"/>
          <w:numId w:val="42"/>
        </w:numPr>
        <w:rPr>
          <w:lang w:val="id-ID"/>
        </w:rPr>
      </w:pPr>
      <w:r w:rsidRPr="00C93AF9">
        <w:rPr>
          <w:lang w:val="id-ID"/>
        </w:rPr>
        <w:t>AusAID has concluded a WiPS assessment on GoI procurement and financial systems</w:t>
      </w:r>
      <w:r w:rsidR="005A32AE">
        <w:rPr>
          <w:lang w:val="id-ID"/>
        </w:rPr>
        <w:t xml:space="preserve"> which clears the way for </w:t>
      </w:r>
      <w:r w:rsidR="005A32AE" w:rsidRPr="00C93AF9">
        <w:rPr>
          <w:lang w:val="id-ID"/>
        </w:rPr>
        <w:t xml:space="preserve">C2 </w:t>
      </w:r>
      <w:r w:rsidR="005A32AE">
        <w:rPr>
          <w:lang w:val="id-ID"/>
        </w:rPr>
        <w:t>to</w:t>
      </w:r>
      <w:r w:rsidR="005A32AE" w:rsidRPr="00C93AF9">
        <w:rPr>
          <w:lang w:val="id-ID"/>
        </w:rPr>
        <w:t xml:space="preserve"> </w:t>
      </w:r>
      <w:r w:rsidR="005E259F">
        <w:rPr>
          <w:lang w:val="en-AU"/>
        </w:rPr>
        <w:t xml:space="preserve">be </w:t>
      </w:r>
      <w:r w:rsidR="005A32AE" w:rsidRPr="00C93AF9">
        <w:rPr>
          <w:lang w:val="id-ID"/>
        </w:rPr>
        <w:t>implemented through GoI systems</w:t>
      </w:r>
      <w:r w:rsidR="005A32AE">
        <w:rPr>
          <w:lang w:val="id-ID"/>
        </w:rPr>
        <w:t xml:space="preserve">, enabling </w:t>
      </w:r>
      <w:r w:rsidR="005A32AE" w:rsidRPr="00C93AF9">
        <w:rPr>
          <w:lang w:val="id-ID"/>
        </w:rPr>
        <w:t>a transition of management responsibilit</w:t>
      </w:r>
      <w:r w:rsidR="005E259F">
        <w:rPr>
          <w:lang w:val="en-AU"/>
        </w:rPr>
        <w:t>y</w:t>
      </w:r>
      <w:r w:rsidR="005A32AE" w:rsidRPr="00C93AF9">
        <w:rPr>
          <w:lang w:val="id-ID"/>
        </w:rPr>
        <w:t xml:space="preserve"> for the </w:t>
      </w:r>
      <w:r w:rsidR="005E259F">
        <w:rPr>
          <w:lang w:val="en-AU"/>
        </w:rPr>
        <w:t>continuous professional development (CPD)</w:t>
      </w:r>
      <w:r w:rsidR="005A32AE" w:rsidRPr="00C93AF9">
        <w:rPr>
          <w:lang w:val="id-ID"/>
        </w:rPr>
        <w:t xml:space="preserve"> system</w:t>
      </w:r>
      <w:r w:rsidR="005A32AE">
        <w:rPr>
          <w:lang w:val="id-ID"/>
        </w:rPr>
        <w:t xml:space="preserve"> from SSQ contractor to MoEC</w:t>
      </w:r>
      <w:r w:rsidRPr="00C93AF9">
        <w:rPr>
          <w:lang w:val="id-ID"/>
        </w:rPr>
        <w:t xml:space="preserve">. </w:t>
      </w:r>
    </w:p>
    <w:p w14:paraId="4BBD30BE" w14:textId="7829690F" w:rsidR="00A40760" w:rsidRPr="00A40760" w:rsidRDefault="00A40760" w:rsidP="00C93AF9">
      <w:pPr>
        <w:pStyle w:val="ListParagraph"/>
        <w:numPr>
          <w:ilvl w:val="0"/>
          <w:numId w:val="42"/>
        </w:numPr>
        <w:rPr>
          <w:lang w:val="id-ID"/>
        </w:rPr>
      </w:pPr>
      <w:r w:rsidRPr="00C93AF9">
        <w:rPr>
          <w:lang w:val="id-ID"/>
        </w:rPr>
        <w:t xml:space="preserve">It is likely that </w:t>
      </w:r>
      <w:r w:rsidRPr="00A40760">
        <w:rPr>
          <w:lang w:val="id-ID"/>
        </w:rPr>
        <w:t xml:space="preserve">the </w:t>
      </w:r>
      <w:r w:rsidRPr="00C93AF9">
        <w:rPr>
          <w:lang w:val="id-ID"/>
        </w:rPr>
        <w:t>Bantuan Operasional Sekolah (BOS</w:t>
      </w:r>
      <w:r w:rsidRPr="00A40760">
        <w:rPr>
          <w:lang w:val="id-ID"/>
        </w:rPr>
        <w:t>) funds</w:t>
      </w:r>
      <w:r w:rsidRPr="00C93AF9">
        <w:rPr>
          <w:lang w:val="id-ID"/>
        </w:rPr>
        <w:t xml:space="preserve"> will be applied to all 12 years of UBE, with a possible spike of allocation in 2013 or 2014 (likely to equal more than 15% of total district expenditure for sch</w:t>
      </w:r>
      <w:r w:rsidR="005E259F">
        <w:rPr>
          <w:lang w:val="en-AU"/>
        </w:rPr>
        <w:t>o</w:t>
      </w:r>
      <w:r w:rsidRPr="00C93AF9">
        <w:rPr>
          <w:lang w:val="id-ID"/>
        </w:rPr>
        <w:t>oling).</w:t>
      </w:r>
    </w:p>
    <w:p w14:paraId="7D823348" w14:textId="7151D739" w:rsidR="00A40760" w:rsidRPr="00A40760" w:rsidRDefault="005A32AE" w:rsidP="00C93AF9">
      <w:pPr>
        <w:pStyle w:val="ListParagraph"/>
        <w:numPr>
          <w:ilvl w:val="0"/>
          <w:numId w:val="42"/>
        </w:numPr>
        <w:rPr>
          <w:lang w:val="id-ID"/>
        </w:rPr>
      </w:pPr>
      <w:r>
        <w:rPr>
          <w:lang w:val="id-ID"/>
        </w:rPr>
        <w:t>The c</w:t>
      </w:r>
      <w:r w:rsidR="00A40760" w:rsidRPr="00C93AF9">
        <w:rPr>
          <w:lang w:val="id-ID"/>
        </w:rPr>
        <w:t xml:space="preserve">ompetency-based </w:t>
      </w:r>
      <w:r>
        <w:rPr>
          <w:lang w:val="id-ID"/>
        </w:rPr>
        <w:t xml:space="preserve">model for the </w:t>
      </w:r>
      <w:r w:rsidR="00A40760" w:rsidRPr="00C93AF9">
        <w:rPr>
          <w:lang w:val="id-ID"/>
        </w:rPr>
        <w:t xml:space="preserve">professional development </w:t>
      </w:r>
      <w:r>
        <w:rPr>
          <w:lang w:val="id-ID"/>
        </w:rPr>
        <w:t>system of</w:t>
      </w:r>
      <w:r w:rsidR="00A40760" w:rsidRPr="00C93AF9">
        <w:rPr>
          <w:lang w:val="id-ID"/>
        </w:rPr>
        <w:t xml:space="preserve"> educators and officials has been embraced wholeheartedly by MoEC and MoRA</w:t>
      </w:r>
      <w:r>
        <w:rPr>
          <w:lang w:val="id-ID"/>
        </w:rPr>
        <w:t xml:space="preserve">, and </w:t>
      </w:r>
      <w:r w:rsidR="00A40760" w:rsidRPr="00C93AF9">
        <w:rPr>
          <w:lang w:val="id-ID"/>
        </w:rPr>
        <w:t>accompanied by a major push to develop on-line delivery of the CPD system.</w:t>
      </w:r>
    </w:p>
    <w:p w14:paraId="3248EFD9" w14:textId="5D1E28DE" w:rsidR="00A40760" w:rsidRPr="00A40760" w:rsidRDefault="00A40760" w:rsidP="00486393">
      <w:pPr>
        <w:rPr>
          <w:b/>
          <w:lang w:val="id-ID"/>
        </w:rPr>
      </w:pPr>
      <w:r w:rsidRPr="00A40760">
        <w:rPr>
          <w:b/>
          <w:lang w:val="id-ID"/>
        </w:rPr>
        <w:t>Component 3</w:t>
      </w:r>
    </w:p>
    <w:p w14:paraId="24DA132B" w14:textId="285450DE" w:rsidR="00A40760" w:rsidRPr="00C93AF9" w:rsidRDefault="00A40760" w:rsidP="00C93AF9">
      <w:pPr>
        <w:pStyle w:val="ListParagraph"/>
        <w:numPr>
          <w:ilvl w:val="0"/>
          <w:numId w:val="42"/>
        </w:numPr>
      </w:pPr>
      <w:r w:rsidRPr="00AF1D30">
        <w:t xml:space="preserve">A new national strategic plan for MoRA </w:t>
      </w:r>
      <w:r w:rsidR="005A32AE">
        <w:rPr>
          <w:lang w:val="id-ID"/>
        </w:rPr>
        <w:t xml:space="preserve">has been </w:t>
      </w:r>
      <w:r w:rsidR="005A32AE" w:rsidRPr="004D6A37">
        <w:t xml:space="preserve">signed </w:t>
      </w:r>
      <w:r w:rsidR="005A32AE" w:rsidRPr="005A32AE">
        <w:rPr>
          <w:lang w:val="id-ID"/>
        </w:rPr>
        <w:t>into</w:t>
      </w:r>
      <w:r w:rsidR="005A32AE" w:rsidRPr="004D6A37">
        <w:t xml:space="preserve"> Regulation by the Director General of PENDIS and the Director of PENMA</w:t>
      </w:r>
      <w:r w:rsidR="005A32AE" w:rsidRPr="00AF1D30">
        <w:t xml:space="preserve"> </w:t>
      </w:r>
      <w:r w:rsidR="005A32AE">
        <w:rPr>
          <w:lang w:val="id-ID"/>
        </w:rPr>
        <w:t xml:space="preserve">and </w:t>
      </w:r>
      <w:r w:rsidRPr="00AF1D30">
        <w:t xml:space="preserve">cleared for implementation </w:t>
      </w:r>
      <w:r>
        <w:t xml:space="preserve">from </w:t>
      </w:r>
      <w:r w:rsidRPr="00AF1D30">
        <w:t>Jan</w:t>
      </w:r>
      <w:r w:rsidR="005A32AE">
        <w:rPr>
          <w:lang w:val="id-ID"/>
        </w:rPr>
        <w:t>uary</w:t>
      </w:r>
      <w:r w:rsidRPr="00AF1D30">
        <w:t xml:space="preserve"> 2012.</w:t>
      </w:r>
      <w:r w:rsidR="005A32AE" w:rsidRPr="005A32AE">
        <w:t xml:space="preserve"> </w:t>
      </w:r>
      <w:r w:rsidR="005A32AE">
        <w:rPr>
          <w:lang w:val="id-ID"/>
        </w:rPr>
        <w:t>This</w:t>
      </w:r>
      <w:r w:rsidR="005A32AE" w:rsidRPr="004D6A37">
        <w:t xml:space="preserve"> is the first of its kind for MoRA</w:t>
      </w:r>
      <w:r w:rsidR="005A32AE">
        <w:rPr>
          <w:lang w:val="id-ID"/>
        </w:rPr>
        <w:t xml:space="preserve"> and it includes</w:t>
      </w:r>
      <w:r w:rsidR="005A32AE" w:rsidRPr="004D6A37">
        <w:t xml:space="preserve"> </w:t>
      </w:r>
      <w:r w:rsidR="00C93AF9">
        <w:rPr>
          <w:lang w:val="id-ID"/>
        </w:rPr>
        <w:t xml:space="preserve">regulations about </w:t>
      </w:r>
      <w:r w:rsidR="005A32AE" w:rsidRPr="004D6A37">
        <w:t>national accreditation policy with appropriate supporting documents and training</w:t>
      </w:r>
      <w:r w:rsidR="00C93AF9">
        <w:rPr>
          <w:lang w:val="id-ID"/>
        </w:rPr>
        <w:t xml:space="preserve"> as part of the package</w:t>
      </w:r>
      <w:r w:rsidR="005A32AE" w:rsidRPr="004D6A37">
        <w:t xml:space="preserve">. </w:t>
      </w:r>
    </w:p>
    <w:p w14:paraId="6912BB17" w14:textId="384A4DF4" w:rsidR="00A40760" w:rsidRPr="00A40760" w:rsidRDefault="00A40760" w:rsidP="00486393">
      <w:pPr>
        <w:rPr>
          <w:b/>
          <w:lang w:val="id-ID"/>
        </w:rPr>
      </w:pPr>
      <w:r w:rsidRPr="00A40760">
        <w:rPr>
          <w:b/>
          <w:lang w:val="id-ID"/>
        </w:rPr>
        <w:t>Component 4</w:t>
      </w:r>
    </w:p>
    <w:p w14:paraId="43CA2387" w14:textId="4721E461" w:rsidR="00C93AF9" w:rsidRDefault="00A40760" w:rsidP="00A40760">
      <w:pPr>
        <w:pStyle w:val="ListParagraph"/>
        <w:numPr>
          <w:ilvl w:val="0"/>
          <w:numId w:val="42"/>
        </w:numPr>
        <w:rPr>
          <w:lang w:val="id-ID"/>
        </w:rPr>
      </w:pPr>
      <w:r w:rsidRPr="00A40760">
        <w:rPr>
          <w:lang w:val="id-ID"/>
        </w:rPr>
        <w:t>The r</w:t>
      </w:r>
      <w:r w:rsidRPr="00AF1D30">
        <w:t xml:space="preserve">equirement to base policy on </w:t>
      </w:r>
      <w:r w:rsidR="005E259F">
        <w:rPr>
          <w:lang w:val="id-ID"/>
        </w:rPr>
        <w:t>sound</w:t>
      </w:r>
      <w:r w:rsidR="005E259F">
        <w:rPr>
          <w:lang w:val="en-AU"/>
        </w:rPr>
        <w:t xml:space="preserve"> </w:t>
      </w:r>
      <w:r w:rsidR="00C93AF9">
        <w:rPr>
          <w:lang w:val="id-ID"/>
        </w:rPr>
        <w:t xml:space="preserve">research findings and </w:t>
      </w:r>
      <w:r w:rsidRPr="00AF1D30">
        <w:t>evidence remains unchanged</w:t>
      </w:r>
      <w:r w:rsidR="00C93AF9">
        <w:rPr>
          <w:lang w:val="id-ID"/>
        </w:rPr>
        <w:t>.</w:t>
      </w:r>
    </w:p>
    <w:p w14:paraId="0EA05785" w14:textId="515A5A03" w:rsidR="00A40760" w:rsidRPr="00A40760" w:rsidRDefault="00A40760" w:rsidP="00A40760">
      <w:pPr>
        <w:pStyle w:val="ListParagraph"/>
        <w:numPr>
          <w:ilvl w:val="0"/>
          <w:numId w:val="42"/>
        </w:numPr>
        <w:rPr>
          <w:lang w:val="id-ID"/>
        </w:rPr>
      </w:pPr>
      <w:r w:rsidRPr="00AF1D30">
        <w:t>AusAID is launching a new program in the knowledge sector (</w:t>
      </w:r>
      <w:r w:rsidR="008B554A">
        <w:rPr>
          <w:lang w:val="id-ID"/>
        </w:rPr>
        <w:t xml:space="preserve">the </w:t>
      </w:r>
      <w:r w:rsidRPr="00AF1D30">
        <w:t>K</w:t>
      </w:r>
      <w:r w:rsidR="008B554A">
        <w:rPr>
          <w:lang w:val="id-ID"/>
        </w:rPr>
        <w:t xml:space="preserve">nowledge </w:t>
      </w:r>
      <w:r w:rsidRPr="00AF1D30">
        <w:t>S</w:t>
      </w:r>
      <w:r w:rsidR="008B554A">
        <w:rPr>
          <w:lang w:val="id-ID"/>
        </w:rPr>
        <w:t>ector Initiative) that</w:t>
      </w:r>
      <w:r w:rsidR="00C93AF9">
        <w:rPr>
          <w:lang w:val="id-ID"/>
        </w:rPr>
        <w:t xml:space="preserve"> focus</w:t>
      </w:r>
      <w:r w:rsidR="008B554A">
        <w:rPr>
          <w:lang w:val="id-ID"/>
        </w:rPr>
        <w:t>es</w:t>
      </w:r>
      <w:r w:rsidR="00C93AF9">
        <w:rPr>
          <w:lang w:val="id-ID"/>
        </w:rPr>
        <w:t xml:space="preserve"> </w:t>
      </w:r>
      <w:r w:rsidR="00C93AF9" w:rsidRPr="00C93AF9">
        <w:rPr>
          <w:i/>
          <w:lang w:val="id-ID"/>
        </w:rPr>
        <w:t>inter alia</w:t>
      </w:r>
      <w:r w:rsidR="00C93AF9">
        <w:rPr>
          <w:lang w:val="id-ID"/>
        </w:rPr>
        <w:t xml:space="preserve"> on the education sector.</w:t>
      </w:r>
    </w:p>
    <w:p w14:paraId="60F94287" w14:textId="702D382F" w:rsidR="006B03C7" w:rsidRPr="00AF1D30" w:rsidRDefault="00544E5D" w:rsidP="006B03C7">
      <w:pPr>
        <w:pStyle w:val="HeadingGRM"/>
        <w:numPr>
          <w:ilvl w:val="0"/>
          <w:numId w:val="3"/>
        </w:numPr>
        <w:tabs>
          <w:tab w:val="left" w:pos="630"/>
        </w:tabs>
        <w:ind w:left="630" w:hanging="630"/>
        <w:rPr>
          <w:color w:val="1F497D"/>
        </w:rPr>
      </w:pPr>
      <w:bookmarkStart w:id="27" w:name="_Toc345081136"/>
      <w:r w:rsidRPr="00AF1D30">
        <w:rPr>
          <w:color w:val="1F497D"/>
        </w:rPr>
        <w:t xml:space="preserve">What has </w:t>
      </w:r>
      <w:r w:rsidR="00F81074" w:rsidRPr="00AF1D30">
        <w:rPr>
          <w:color w:val="1F497D"/>
        </w:rPr>
        <w:t xml:space="preserve">been </w:t>
      </w:r>
      <w:r w:rsidRPr="00AF1D30">
        <w:rPr>
          <w:color w:val="1F497D"/>
        </w:rPr>
        <w:t>achieved?</w:t>
      </w:r>
      <w:bookmarkEnd w:id="27"/>
    </w:p>
    <w:p w14:paraId="4731230F" w14:textId="37AE3EAC" w:rsidR="000B7041" w:rsidRPr="00AF1D30" w:rsidRDefault="00323E6A" w:rsidP="00343EEE">
      <w:r>
        <w:rPr>
          <w:lang w:val="id-ID"/>
        </w:rPr>
        <w:t>While t</w:t>
      </w:r>
      <w:r w:rsidRPr="00AF1D30">
        <w:t>he EP theory of change describes an expected pathway for changes to occur</w:t>
      </w:r>
      <w:r>
        <w:rPr>
          <w:lang w:val="id-ID"/>
        </w:rPr>
        <w:t xml:space="preserve">, it does not </w:t>
      </w:r>
      <w:r w:rsidR="008B554A">
        <w:rPr>
          <w:lang w:val="id-ID"/>
        </w:rPr>
        <w:t xml:space="preserve">identify </w:t>
      </w:r>
      <w:r w:rsidRPr="00AF1D30">
        <w:t xml:space="preserve">milestones or targets along the way and therefore </w:t>
      </w:r>
      <w:r>
        <w:rPr>
          <w:lang w:val="id-ID"/>
        </w:rPr>
        <w:t xml:space="preserve">does not </w:t>
      </w:r>
      <w:r w:rsidRPr="00AF1D30">
        <w:t xml:space="preserve">provide a detailed framework for enabling judgement on </w:t>
      </w:r>
      <w:r w:rsidR="00D60CEE">
        <w:t>p</w:t>
      </w:r>
      <w:r w:rsidRPr="00AF1D30">
        <w:t>rogress to date</w:t>
      </w:r>
      <w:r>
        <w:rPr>
          <w:lang w:val="id-ID"/>
        </w:rPr>
        <w:t xml:space="preserve">. </w:t>
      </w:r>
      <w:r w:rsidR="000B7041" w:rsidRPr="00AF1D30">
        <w:t>Nonetheless s</w:t>
      </w:r>
      <w:r w:rsidR="00393CA6">
        <w:t>ignificant r</w:t>
      </w:r>
      <w:r w:rsidR="000B7041" w:rsidRPr="00AF1D30">
        <w:t xml:space="preserve">esults have been achieved </w:t>
      </w:r>
      <w:r>
        <w:rPr>
          <w:lang w:val="id-ID"/>
        </w:rPr>
        <w:t xml:space="preserve">since EP inception </w:t>
      </w:r>
      <w:r w:rsidR="000B7041" w:rsidRPr="00AF1D30">
        <w:t xml:space="preserve">and </w:t>
      </w:r>
      <w:r>
        <w:rPr>
          <w:lang w:val="id-ID"/>
        </w:rPr>
        <w:t xml:space="preserve">they </w:t>
      </w:r>
      <w:r w:rsidR="000B7041" w:rsidRPr="00AF1D30">
        <w:t>can therefore be commented upon.</w:t>
      </w:r>
      <w:r w:rsidR="00597821">
        <w:t xml:space="preserve"> </w:t>
      </w:r>
      <w:r w:rsidR="000B7041" w:rsidRPr="00AF1D30">
        <w:t>Th</w:t>
      </w:r>
      <w:r w:rsidR="00393CA6">
        <w:t>is</w:t>
      </w:r>
      <w:r w:rsidR="000B7041" w:rsidRPr="00AF1D30">
        <w:t xml:space="preserve"> section </w:t>
      </w:r>
      <w:r w:rsidR="00393CA6">
        <w:t>p</w:t>
      </w:r>
      <w:r w:rsidR="006221A8" w:rsidRPr="00AF1D30">
        <w:t xml:space="preserve">resents some </w:t>
      </w:r>
      <w:r w:rsidR="008B554A">
        <w:rPr>
          <w:lang w:val="id-ID"/>
        </w:rPr>
        <w:t xml:space="preserve">of these </w:t>
      </w:r>
      <w:r w:rsidR="006221A8" w:rsidRPr="00AF1D30">
        <w:lastRenderedPageBreak/>
        <w:t xml:space="preserve">results - mostly at output level - and comments on achievements against each EOPO are </w:t>
      </w:r>
      <w:r w:rsidR="00393CA6">
        <w:t xml:space="preserve">also </w:t>
      </w:r>
      <w:r w:rsidR="006221A8" w:rsidRPr="00AF1D30">
        <w:t>provided</w:t>
      </w:r>
      <w:r w:rsidR="00393CA6">
        <w:t>.</w:t>
      </w:r>
      <w:r w:rsidR="006221A8" w:rsidRPr="00AF1D30">
        <w:t xml:space="preserve"> </w:t>
      </w:r>
    </w:p>
    <w:p w14:paraId="3911C467" w14:textId="77777777" w:rsidR="002F132F" w:rsidRPr="00AF1D30" w:rsidRDefault="002F132F" w:rsidP="002F132F">
      <w:pPr>
        <w:pStyle w:val="StyleSub-HeadingGRMText2Before12pt"/>
        <w:numPr>
          <w:ilvl w:val="1"/>
          <w:numId w:val="3"/>
        </w:numPr>
        <w:tabs>
          <w:tab w:val="clear" w:pos="900"/>
          <w:tab w:val="left" w:pos="630"/>
        </w:tabs>
        <w:ind w:left="630" w:hanging="630"/>
      </w:pPr>
      <w:bookmarkStart w:id="28" w:name="_Toc345081137"/>
      <w:r w:rsidRPr="00AF1D30">
        <w:t>Key results to date</w:t>
      </w:r>
      <w:bookmarkEnd w:id="28"/>
    </w:p>
    <w:p w14:paraId="18F1DC9D" w14:textId="46F74E0C" w:rsidR="00142CD0" w:rsidRDefault="00142CD0" w:rsidP="00142CD0">
      <w:r w:rsidRPr="00AF1D30">
        <w:t xml:space="preserve">The </w:t>
      </w:r>
      <w:r w:rsidR="004E05A7" w:rsidRPr="00AF1D30">
        <w:t xml:space="preserve">numbers in </w:t>
      </w:r>
      <w:r w:rsidR="004B57BE">
        <w:fldChar w:fldCharType="begin"/>
      </w:r>
      <w:r w:rsidR="004B57BE">
        <w:instrText xml:space="preserve"> REF _Ref344990910 \h </w:instrText>
      </w:r>
      <w:r w:rsidR="004B57BE">
        <w:fldChar w:fldCharType="separate"/>
      </w:r>
      <w:r w:rsidR="005E2933">
        <w:t xml:space="preserve">Table </w:t>
      </w:r>
      <w:r w:rsidR="005E2933">
        <w:rPr>
          <w:noProof/>
        </w:rPr>
        <w:t>1</w:t>
      </w:r>
      <w:r w:rsidR="004B57BE">
        <w:fldChar w:fldCharType="end"/>
      </w:r>
      <w:r w:rsidR="004B57BE">
        <w:t xml:space="preserve"> </w:t>
      </w:r>
      <w:r w:rsidRPr="00AF1D30">
        <w:t>below pr</w:t>
      </w:r>
      <w:r w:rsidR="004E05A7" w:rsidRPr="00AF1D30">
        <w:t>ovide a broad overview of</w:t>
      </w:r>
      <w:r w:rsidR="006B27AB" w:rsidRPr="00AF1D30">
        <w:t xml:space="preserve"> </w:t>
      </w:r>
      <w:r w:rsidR="004E05A7" w:rsidRPr="00AF1D30">
        <w:t>selected</w:t>
      </w:r>
      <w:r w:rsidR="006B27AB" w:rsidRPr="00AF1D30">
        <w:t xml:space="preserve"> achievements of the EP components since </w:t>
      </w:r>
      <w:r w:rsidR="00597A88">
        <w:t>its</w:t>
      </w:r>
      <w:r w:rsidR="006B27AB" w:rsidRPr="00AF1D30">
        <w:t xml:space="preserve"> inception.</w:t>
      </w:r>
    </w:p>
    <w:p w14:paraId="4B61162A" w14:textId="40FE8F75" w:rsidR="004B57BE" w:rsidRPr="00AF1D30" w:rsidRDefault="004B57BE" w:rsidP="004B57BE">
      <w:pPr>
        <w:pStyle w:val="Caption"/>
      </w:pPr>
      <w:bookmarkStart w:id="29" w:name="_Ref344990910"/>
      <w:r>
        <w:t xml:space="preserve">Table </w:t>
      </w:r>
      <w:r>
        <w:fldChar w:fldCharType="begin"/>
      </w:r>
      <w:r>
        <w:instrText xml:space="preserve"> SEQ Table \* ARABIC </w:instrText>
      </w:r>
      <w:r>
        <w:fldChar w:fldCharType="separate"/>
      </w:r>
      <w:r w:rsidR="005E2933">
        <w:rPr>
          <w:noProof/>
        </w:rPr>
        <w:t>1</w:t>
      </w:r>
      <w:r>
        <w:fldChar w:fldCharType="end"/>
      </w:r>
      <w:bookmarkEnd w:id="29"/>
      <w:r>
        <w:t>: Key EP achievements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561"/>
        <w:gridCol w:w="7754"/>
      </w:tblGrid>
      <w:tr w:rsidR="006221A8" w:rsidRPr="00AF1D30" w14:paraId="451D5A87" w14:textId="77777777" w:rsidTr="00DC15C2">
        <w:trPr>
          <w:trHeight w:val="397"/>
        </w:trPr>
        <w:tc>
          <w:tcPr>
            <w:tcW w:w="838" w:type="pct"/>
            <w:shd w:val="clear" w:color="auto" w:fill="365F91" w:themeFill="accent1" w:themeFillShade="BF"/>
            <w:tcMar>
              <w:top w:w="72" w:type="dxa"/>
              <w:left w:w="144" w:type="dxa"/>
              <w:bottom w:w="72" w:type="dxa"/>
              <w:right w:w="144" w:type="dxa"/>
            </w:tcMar>
            <w:vAlign w:val="center"/>
            <w:hideMark/>
          </w:tcPr>
          <w:p w14:paraId="1E65EE0B" w14:textId="39FF79D6" w:rsidR="006221A8" w:rsidRPr="00AF1D30" w:rsidRDefault="006221A8" w:rsidP="00142CD0">
            <w:pPr>
              <w:spacing w:after="0" w:line="240" w:lineRule="auto"/>
              <w:jc w:val="center"/>
              <w:rPr>
                <w:rFonts w:ascii="Arial" w:eastAsia="Times New Roman" w:hAnsi="Arial" w:cs="Arial"/>
                <w:b/>
                <w:szCs w:val="36"/>
                <w:lang w:eastAsia="id-ID"/>
              </w:rPr>
            </w:pPr>
            <w:r w:rsidRPr="00AF1D30">
              <w:rPr>
                <w:rFonts w:eastAsia="Times New Roman" w:cs="Arial"/>
                <w:b/>
                <w:bCs/>
                <w:color w:val="FFFFFF"/>
                <w:kern w:val="24"/>
                <w:szCs w:val="32"/>
                <w:lang w:eastAsia="id-ID"/>
              </w:rPr>
              <w:t>Key numbers</w:t>
            </w:r>
          </w:p>
        </w:tc>
        <w:tc>
          <w:tcPr>
            <w:tcW w:w="4162" w:type="pct"/>
            <w:shd w:val="clear" w:color="auto" w:fill="365F91" w:themeFill="accent1" w:themeFillShade="BF"/>
            <w:tcMar>
              <w:top w:w="72" w:type="dxa"/>
              <w:left w:w="144" w:type="dxa"/>
              <w:bottom w:w="72" w:type="dxa"/>
              <w:right w:w="144" w:type="dxa"/>
            </w:tcMar>
            <w:vAlign w:val="center"/>
            <w:hideMark/>
          </w:tcPr>
          <w:p w14:paraId="4769E906" w14:textId="1793093F" w:rsidR="006221A8" w:rsidRPr="00AF1D30" w:rsidRDefault="006B27AB" w:rsidP="00142CD0">
            <w:pPr>
              <w:spacing w:after="0" w:line="240" w:lineRule="auto"/>
              <w:jc w:val="center"/>
              <w:rPr>
                <w:rFonts w:ascii="Arial" w:eastAsia="Times New Roman" w:hAnsi="Arial" w:cs="Arial"/>
                <w:b/>
                <w:szCs w:val="36"/>
                <w:lang w:eastAsia="id-ID"/>
              </w:rPr>
            </w:pPr>
            <w:r w:rsidRPr="00AF1D30">
              <w:rPr>
                <w:rFonts w:eastAsia="Times New Roman" w:cs="Arial"/>
                <w:b/>
                <w:bCs/>
                <w:color w:val="FFFFFF"/>
                <w:kern w:val="24"/>
                <w:szCs w:val="32"/>
                <w:lang w:eastAsia="id-ID"/>
              </w:rPr>
              <w:t xml:space="preserve">EP </w:t>
            </w:r>
            <w:r w:rsidR="006221A8" w:rsidRPr="00AF1D30">
              <w:rPr>
                <w:rFonts w:eastAsia="Times New Roman" w:cs="Arial"/>
                <w:b/>
                <w:bCs/>
                <w:color w:val="FFFFFF"/>
                <w:kern w:val="24"/>
                <w:szCs w:val="32"/>
                <w:lang w:eastAsia="id-ID"/>
              </w:rPr>
              <w:t>Achievements</w:t>
            </w:r>
          </w:p>
        </w:tc>
      </w:tr>
      <w:tr w:rsidR="006221A8" w:rsidRPr="00AF1D30" w14:paraId="580F404F" w14:textId="77777777" w:rsidTr="00F11245">
        <w:trPr>
          <w:trHeight w:val="397"/>
        </w:trPr>
        <w:tc>
          <w:tcPr>
            <w:tcW w:w="838" w:type="pct"/>
            <w:shd w:val="clear" w:color="auto" w:fill="D9D9D9" w:themeFill="background1" w:themeFillShade="D9"/>
            <w:tcMar>
              <w:top w:w="72" w:type="dxa"/>
              <w:left w:w="144" w:type="dxa"/>
              <w:bottom w:w="72" w:type="dxa"/>
              <w:right w:w="144" w:type="dxa"/>
            </w:tcMar>
            <w:vAlign w:val="center"/>
            <w:hideMark/>
          </w:tcPr>
          <w:p w14:paraId="1226D499" w14:textId="77777777" w:rsidR="006221A8" w:rsidRPr="00AF1D30" w:rsidRDefault="006221A8" w:rsidP="006221A8">
            <w:pPr>
              <w:spacing w:after="0" w:line="240" w:lineRule="auto"/>
              <w:jc w:val="center"/>
              <w:rPr>
                <w:rFonts w:ascii="Arial" w:eastAsia="Times New Roman" w:hAnsi="Arial" w:cs="Arial"/>
                <w:szCs w:val="36"/>
                <w:lang w:eastAsia="id-ID"/>
              </w:rPr>
            </w:pPr>
            <w:r w:rsidRPr="00AF1D30">
              <w:rPr>
                <w:rFonts w:eastAsia="MS Mincho"/>
                <w:color w:val="000000"/>
                <w:kern w:val="24"/>
                <w:szCs w:val="32"/>
                <w:lang w:eastAsia="id-ID"/>
              </w:rPr>
              <w:t xml:space="preserve">451 </w:t>
            </w:r>
          </w:p>
        </w:tc>
        <w:tc>
          <w:tcPr>
            <w:tcW w:w="4162" w:type="pct"/>
            <w:shd w:val="clear" w:color="auto" w:fill="D9D9D9" w:themeFill="background1" w:themeFillShade="D9"/>
            <w:tcMar>
              <w:top w:w="72" w:type="dxa"/>
              <w:left w:w="144" w:type="dxa"/>
              <w:bottom w:w="72" w:type="dxa"/>
              <w:right w:w="144" w:type="dxa"/>
            </w:tcMar>
            <w:vAlign w:val="center"/>
            <w:hideMark/>
          </w:tcPr>
          <w:p w14:paraId="76B6A61B" w14:textId="77777777" w:rsidR="006221A8" w:rsidRPr="00AF1D30" w:rsidRDefault="006221A8" w:rsidP="006221A8">
            <w:pPr>
              <w:spacing w:after="0" w:line="240" w:lineRule="auto"/>
              <w:jc w:val="left"/>
              <w:rPr>
                <w:rFonts w:ascii="Arial" w:eastAsia="Times New Roman" w:hAnsi="Arial" w:cs="Arial"/>
                <w:szCs w:val="36"/>
                <w:lang w:eastAsia="id-ID"/>
              </w:rPr>
            </w:pPr>
            <w:r w:rsidRPr="00AF1D30">
              <w:rPr>
                <w:rFonts w:eastAsia="MS Mincho"/>
                <w:color w:val="000000"/>
                <w:kern w:val="24"/>
                <w:szCs w:val="32"/>
                <w:lang w:eastAsia="id-ID"/>
              </w:rPr>
              <w:t>Number of school constructions started under C1 (115 USB and 336 SATAP) in 142 districts across 28 provinces</w:t>
            </w:r>
          </w:p>
        </w:tc>
      </w:tr>
      <w:tr w:rsidR="006221A8" w:rsidRPr="00AF1D30" w14:paraId="7605E01B" w14:textId="77777777" w:rsidTr="00F11245">
        <w:trPr>
          <w:trHeight w:val="397"/>
        </w:trPr>
        <w:tc>
          <w:tcPr>
            <w:tcW w:w="838" w:type="pct"/>
            <w:shd w:val="clear" w:color="auto" w:fill="F2F2F2" w:themeFill="background1" w:themeFillShade="F2"/>
            <w:tcMar>
              <w:top w:w="72" w:type="dxa"/>
              <w:left w:w="144" w:type="dxa"/>
              <w:bottom w:w="72" w:type="dxa"/>
              <w:right w:w="144" w:type="dxa"/>
            </w:tcMar>
            <w:vAlign w:val="center"/>
            <w:hideMark/>
          </w:tcPr>
          <w:p w14:paraId="5C23031E" w14:textId="77777777" w:rsidR="006221A8" w:rsidRPr="00AF1D30" w:rsidRDefault="006221A8" w:rsidP="006221A8">
            <w:pPr>
              <w:spacing w:after="0" w:line="240" w:lineRule="auto"/>
              <w:jc w:val="center"/>
              <w:rPr>
                <w:rFonts w:ascii="Arial" w:eastAsia="Times New Roman" w:hAnsi="Arial" w:cs="Arial"/>
                <w:szCs w:val="36"/>
                <w:lang w:eastAsia="id-ID"/>
              </w:rPr>
            </w:pPr>
            <w:r w:rsidRPr="00AF1D30">
              <w:rPr>
                <w:rFonts w:eastAsia="MS Mincho"/>
                <w:color w:val="000000"/>
                <w:kern w:val="24"/>
                <w:szCs w:val="32"/>
                <w:lang w:eastAsia="id-ID"/>
              </w:rPr>
              <w:t xml:space="preserve"> 1,240 </w:t>
            </w:r>
          </w:p>
        </w:tc>
        <w:tc>
          <w:tcPr>
            <w:tcW w:w="4162" w:type="pct"/>
            <w:shd w:val="clear" w:color="auto" w:fill="F2F2F2" w:themeFill="background1" w:themeFillShade="F2"/>
            <w:tcMar>
              <w:top w:w="72" w:type="dxa"/>
              <w:left w:w="144" w:type="dxa"/>
              <w:bottom w:w="72" w:type="dxa"/>
              <w:right w:w="144" w:type="dxa"/>
            </w:tcMar>
            <w:vAlign w:val="center"/>
            <w:hideMark/>
          </w:tcPr>
          <w:p w14:paraId="463B8FBB" w14:textId="77777777" w:rsidR="006221A8" w:rsidRPr="00AF1D30" w:rsidRDefault="006221A8" w:rsidP="006221A8">
            <w:pPr>
              <w:spacing w:after="0" w:line="240" w:lineRule="auto"/>
              <w:jc w:val="left"/>
              <w:rPr>
                <w:rFonts w:ascii="Arial" w:eastAsia="Times New Roman" w:hAnsi="Arial" w:cs="Arial"/>
                <w:szCs w:val="36"/>
                <w:lang w:eastAsia="id-ID"/>
              </w:rPr>
            </w:pPr>
            <w:r w:rsidRPr="00AF1D30">
              <w:rPr>
                <w:rFonts w:eastAsia="MS Mincho"/>
                <w:color w:val="000000"/>
                <w:kern w:val="24"/>
                <w:szCs w:val="32"/>
                <w:lang w:eastAsia="id-ID"/>
              </w:rPr>
              <w:t>Number of principals trained through piloted CPD level 1 training in 31 districts across 5 provinces (= 0.5% of the total principal population)</w:t>
            </w:r>
          </w:p>
        </w:tc>
      </w:tr>
      <w:tr w:rsidR="006221A8" w:rsidRPr="00AF1D30" w14:paraId="7D36CD8E" w14:textId="77777777" w:rsidTr="00F11245">
        <w:trPr>
          <w:trHeight w:val="397"/>
        </w:trPr>
        <w:tc>
          <w:tcPr>
            <w:tcW w:w="838" w:type="pct"/>
            <w:shd w:val="clear" w:color="auto" w:fill="D9D9D9" w:themeFill="background1" w:themeFillShade="D9"/>
            <w:tcMar>
              <w:top w:w="72" w:type="dxa"/>
              <w:left w:w="144" w:type="dxa"/>
              <w:bottom w:w="72" w:type="dxa"/>
              <w:right w:w="144" w:type="dxa"/>
            </w:tcMar>
            <w:vAlign w:val="center"/>
            <w:hideMark/>
          </w:tcPr>
          <w:p w14:paraId="5A737095" w14:textId="77777777" w:rsidR="006221A8" w:rsidRPr="00AF1D30" w:rsidRDefault="006221A8" w:rsidP="006221A8">
            <w:pPr>
              <w:spacing w:after="0" w:line="240" w:lineRule="auto"/>
              <w:jc w:val="center"/>
              <w:rPr>
                <w:rFonts w:ascii="Arial" w:eastAsia="Times New Roman" w:hAnsi="Arial" w:cs="Arial"/>
                <w:szCs w:val="36"/>
                <w:lang w:eastAsia="id-ID"/>
              </w:rPr>
            </w:pPr>
            <w:r w:rsidRPr="00AF1D30">
              <w:rPr>
                <w:rFonts w:eastAsia="MS Mincho"/>
                <w:color w:val="000000"/>
                <w:kern w:val="24"/>
                <w:szCs w:val="32"/>
                <w:lang w:eastAsia="id-ID"/>
              </w:rPr>
              <w:t>248</w:t>
            </w:r>
          </w:p>
        </w:tc>
        <w:tc>
          <w:tcPr>
            <w:tcW w:w="4162" w:type="pct"/>
            <w:shd w:val="clear" w:color="auto" w:fill="D9D9D9" w:themeFill="background1" w:themeFillShade="D9"/>
            <w:tcMar>
              <w:top w:w="72" w:type="dxa"/>
              <w:left w:w="144" w:type="dxa"/>
              <w:bottom w:w="72" w:type="dxa"/>
              <w:right w:w="144" w:type="dxa"/>
            </w:tcMar>
            <w:vAlign w:val="center"/>
            <w:hideMark/>
          </w:tcPr>
          <w:p w14:paraId="19B2D8E0" w14:textId="77777777" w:rsidR="006221A8" w:rsidRPr="00AF1D30" w:rsidRDefault="006221A8" w:rsidP="006221A8">
            <w:pPr>
              <w:spacing w:after="0" w:line="240" w:lineRule="auto"/>
              <w:jc w:val="left"/>
              <w:rPr>
                <w:rFonts w:ascii="Arial" w:eastAsia="Times New Roman" w:hAnsi="Arial" w:cs="Arial"/>
                <w:szCs w:val="36"/>
                <w:lang w:eastAsia="id-ID"/>
              </w:rPr>
            </w:pPr>
            <w:r w:rsidRPr="00AF1D30">
              <w:rPr>
                <w:rFonts w:eastAsia="MS Mincho"/>
                <w:color w:val="000000"/>
                <w:kern w:val="24"/>
                <w:szCs w:val="32"/>
                <w:lang w:eastAsia="id-ID"/>
              </w:rPr>
              <w:t xml:space="preserve">Number of supervisors trained through piloted CPD level 1 training in 31 districts across 5 provinces </w:t>
            </w:r>
          </w:p>
        </w:tc>
      </w:tr>
      <w:tr w:rsidR="006221A8" w:rsidRPr="00AF1D30" w14:paraId="4AF3F8F2" w14:textId="77777777" w:rsidTr="00F11245">
        <w:trPr>
          <w:trHeight w:val="397"/>
        </w:trPr>
        <w:tc>
          <w:tcPr>
            <w:tcW w:w="838" w:type="pct"/>
            <w:shd w:val="clear" w:color="auto" w:fill="F2F2F2" w:themeFill="background1" w:themeFillShade="F2"/>
            <w:tcMar>
              <w:top w:w="72" w:type="dxa"/>
              <w:left w:w="144" w:type="dxa"/>
              <w:bottom w:w="72" w:type="dxa"/>
              <w:right w:w="144" w:type="dxa"/>
            </w:tcMar>
            <w:vAlign w:val="center"/>
            <w:hideMark/>
          </w:tcPr>
          <w:p w14:paraId="3A78CC07" w14:textId="77777777" w:rsidR="006221A8" w:rsidRPr="00AF1D30" w:rsidRDefault="006221A8" w:rsidP="006221A8">
            <w:pPr>
              <w:spacing w:after="0" w:line="240" w:lineRule="auto"/>
              <w:jc w:val="center"/>
              <w:rPr>
                <w:rFonts w:ascii="Arial" w:eastAsia="Times New Roman" w:hAnsi="Arial" w:cs="Arial"/>
                <w:szCs w:val="36"/>
                <w:lang w:eastAsia="id-ID"/>
              </w:rPr>
            </w:pPr>
            <w:r w:rsidRPr="00AF1D30">
              <w:rPr>
                <w:rFonts w:eastAsia="MS Mincho"/>
                <w:color w:val="000000"/>
                <w:kern w:val="24"/>
                <w:szCs w:val="32"/>
                <w:lang w:eastAsia="id-ID"/>
              </w:rPr>
              <w:t>1,728</w:t>
            </w:r>
          </w:p>
        </w:tc>
        <w:tc>
          <w:tcPr>
            <w:tcW w:w="4162" w:type="pct"/>
            <w:shd w:val="clear" w:color="auto" w:fill="F2F2F2" w:themeFill="background1" w:themeFillShade="F2"/>
            <w:tcMar>
              <w:top w:w="72" w:type="dxa"/>
              <w:left w:w="144" w:type="dxa"/>
              <w:bottom w:w="72" w:type="dxa"/>
              <w:right w:w="144" w:type="dxa"/>
            </w:tcMar>
            <w:vAlign w:val="center"/>
            <w:hideMark/>
          </w:tcPr>
          <w:p w14:paraId="473803BB" w14:textId="77777777" w:rsidR="006221A8" w:rsidRPr="00AF1D30" w:rsidRDefault="006221A8" w:rsidP="006221A8">
            <w:pPr>
              <w:spacing w:after="0" w:line="240" w:lineRule="auto"/>
              <w:jc w:val="left"/>
              <w:rPr>
                <w:rFonts w:ascii="Arial" w:eastAsia="Times New Roman" w:hAnsi="Arial" w:cs="Arial"/>
                <w:szCs w:val="36"/>
                <w:lang w:eastAsia="id-ID"/>
              </w:rPr>
            </w:pPr>
            <w:r w:rsidRPr="00AF1D30">
              <w:rPr>
                <w:rFonts w:eastAsia="MS Mincho"/>
                <w:color w:val="000000"/>
                <w:kern w:val="24"/>
                <w:szCs w:val="32"/>
                <w:lang w:eastAsia="id-ID"/>
              </w:rPr>
              <w:t>Number of aspiring principals trained through piloted PPP in 91 districts</w:t>
            </w:r>
          </w:p>
        </w:tc>
      </w:tr>
      <w:tr w:rsidR="006221A8" w:rsidRPr="00AF1D30" w14:paraId="7292D358" w14:textId="77777777" w:rsidTr="00F11245">
        <w:trPr>
          <w:trHeight w:val="397"/>
        </w:trPr>
        <w:tc>
          <w:tcPr>
            <w:tcW w:w="838" w:type="pct"/>
            <w:shd w:val="clear" w:color="auto" w:fill="D9D9D9" w:themeFill="background1" w:themeFillShade="D9"/>
            <w:tcMar>
              <w:top w:w="72" w:type="dxa"/>
              <w:left w:w="144" w:type="dxa"/>
              <w:bottom w:w="72" w:type="dxa"/>
              <w:right w:w="144" w:type="dxa"/>
            </w:tcMar>
            <w:vAlign w:val="center"/>
            <w:hideMark/>
          </w:tcPr>
          <w:p w14:paraId="0CA237DB" w14:textId="77777777" w:rsidR="006221A8" w:rsidRPr="00AF1D30" w:rsidRDefault="006221A8" w:rsidP="006221A8">
            <w:pPr>
              <w:spacing w:after="0" w:line="240" w:lineRule="auto"/>
              <w:jc w:val="center"/>
              <w:rPr>
                <w:rFonts w:ascii="Arial" w:eastAsia="Times New Roman" w:hAnsi="Arial" w:cs="Arial"/>
                <w:szCs w:val="36"/>
                <w:lang w:eastAsia="id-ID"/>
              </w:rPr>
            </w:pPr>
            <w:r w:rsidRPr="00AF1D30">
              <w:rPr>
                <w:rFonts w:eastAsia="MS Mincho"/>
                <w:color w:val="000000"/>
                <w:kern w:val="24"/>
                <w:szCs w:val="32"/>
                <w:lang w:eastAsia="id-ID"/>
              </w:rPr>
              <w:t xml:space="preserve">1,340 </w:t>
            </w:r>
          </w:p>
        </w:tc>
        <w:tc>
          <w:tcPr>
            <w:tcW w:w="4162" w:type="pct"/>
            <w:shd w:val="clear" w:color="auto" w:fill="D9D9D9" w:themeFill="background1" w:themeFillShade="D9"/>
            <w:tcMar>
              <w:top w:w="72" w:type="dxa"/>
              <w:left w:w="144" w:type="dxa"/>
              <w:bottom w:w="72" w:type="dxa"/>
              <w:right w:w="144" w:type="dxa"/>
            </w:tcMar>
            <w:vAlign w:val="center"/>
            <w:hideMark/>
          </w:tcPr>
          <w:p w14:paraId="46457B2A" w14:textId="224C7104" w:rsidR="006221A8" w:rsidRPr="00AF1D30" w:rsidRDefault="006221A8" w:rsidP="006221A8">
            <w:pPr>
              <w:spacing w:after="0" w:line="240" w:lineRule="auto"/>
              <w:jc w:val="left"/>
              <w:rPr>
                <w:rFonts w:ascii="Arial" w:eastAsia="Times New Roman" w:hAnsi="Arial" w:cs="Arial"/>
                <w:szCs w:val="36"/>
                <w:lang w:eastAsia="id-ID"/>
              </w:rPr>
            </w:pPr>
            <w:r w:rsidRPr="00AF1D30">
              <w:rPr>
                <w:rFonts w:eastAsia="MS Mincho"/>
                <w:color w:val="000000"/>
                <w:kern w:val="24"/>
                <w:szCs w:val="32"/>
                <w:lang w:eastAsia="id-ID"/>
              </w:rPr>
              <w:t>Number of DEO</w:t>
            </w:r>
            <w:r w:rsidR="00393CA6">
              <w:rPr>
                <w:rFonts w:eastAsia="MS Mincho"/>
                <w:color w:val="000000"/>
                <w:kern w:val="24"/>
                <w:szCs w:val="32"/>
                <w:lang w:eastAsia="id-ID"/>
              </w:rPr>
              <w:t>s</w:t>
            </w:r>
            <w:r w:rsidRPr="00AF1D30">
              <w:rPr>
                <w:rFonts w:eastAsia="MS Mincho"/>
                <w:color w:val="000000"/>
                <w:kern w:val="24"/>
                <w:szCs w:val="32"/>
                <w:lang w:eastAsia="id-ID"/>
              </w:rPr>
              <w:t xml:space="preserve"> trained in HRM/D module covering 30 provinces and 268 districts </w:t>
            </w:r>
          </w:p>
        </w:tc>
      </w:tr>
      <w:tr w:rsidR="006221A8" w:rsidRPr="00AF1D30" w14:paraId="245EC610" w14:textId="77777777" w:rsidTr="00F11245">
        <w:trPr>
          <w:trHeight w:val="397"/>
        </w:trPr>
        <w:tc>
          <w:tcPr>
            <w:tcW w:w="838" w:type="pct"/>
            <w:shd w:val="clear" w:color="auto" w:fill="F2F2F2" w:themeFill="background1" w:themeFillShade="F2"/>
            <w:tcMar>
              <w:top w:w="72" w:type="dxa"/>
              <w:left w:w="144" w:type="dxa"/>
              <w:bottom w:w="72" w:type="dxa"/>
              <w:right w:w="144" w:type="dxa"/>
            </w:tcMar>
            <w:vAlign w:val="center"/>
            <w:hideMark/>
          </w:tcPr>
          <w:p w14:paraId="05C2D60D" w14:textId="77777777" w:rsidR="006221A8" w:rsidRPr="00AF1D30" w:rsidRDefault="006221A8" w:rsidP="006221A8">
            <w:pPr>
              <w:spacing w:after="0" w:line="240" w:lineRule="auto"/>
              <w:jc w:val="center"/>
              <w:rPr>
                <w:rFonts w:ascii="Arial" w:eastAsia="Times New Roman" w:hAnsi="Arial" w:cs="Arial"/>
                <w:szCs w:val="36"/>
                <w:lang w:eastAsia="id-ID"/>
              </w:rPr>
            </w:pPr>
            <w:r w:rsidRPr="00AF1D30">
              <w:rPr>
                <w:rFonts w:eastAsia="MS Mincho"/>
                <w:color w:val="000000"/>
                <w:kern w:val="24"/>
                <w:szCs w:val="32"/>
                <w:lang w:eastAsia="id-ID"/>
              </w:rPr>
              <w:t>450</w:t>
            </w:r>
          </w:p>
        </w:tc>
        <w:tc>
          <w:tcPr>
            <w:tcW w:w="4162" w:type="pct"/>
            <w:shd w:val="clear" w:color="auto" w:fill="F2F2F2" w:themeFill="background1" w:themeFillShade="F2"/>
            <w:tcMar>
              <w:top w:w="72" w:type="dxa"/>
              <w:left w:w="144" w:type="dxa"/>
              <w:bottom w:w="72" w:type="dxa"/>
              <w:right w:w="144" w:type="dxa"/>
            </w:tcMar>
            <w:vAlign w:val="center"/>
            <w:hideMark/>
          </w:tcPr>
          <w:p w14:paraId="1E9A6699" w14:textId="69985DD3" w:rsidR="006221A8" w:rsidRPr="00AF1D30" w:rsidRDefault="006221A8" w:rsidP="006221A8">
            <w:pPr>
              <w:spacing w:after="0" w:line="240" w:lineRule="auto"/>
              <w:jc w:val="left"/>
              <w:rPr>
                <w:rFonts w:ascii="Arial" w:eastAsia="Times New Roman" w:hAnsi="Arial" w:cs="Arial"/>
                <w:szCs w:val="36"/>
                <w:lang w:eastAsia="id-ID"/>
              </w:rPr>
            </w:pPr>
            <w:r w:rsidRPr="00AF1D30">
              <w:rPr>
                <w:rFonts w:eastAsia="MS Mincho"/>
                <w:color w:val="000000"/>
                <w:kern w:val="24"/>
                <w:szCs w:val="32"/>
                <w:lang w:eastAsia="id-ID"/>
              </w:rPr>
              <w:t>Number of PEO</w:t>
            </w:r>
            <w:r w:rsidR="00393CA6">
              <w:rPr>
                <w:rFonts w:eastAsia="MS Mincho"/>
                <w:color w:val="000000"/>
                <w:kern w:val="24"/>
                <w:szCs w:val="32"/>
                <w:lang w:eastAsia="id-ID"/>
              </w:rPr>
              <w:t>s</w:t>
            </w:r>
            <w:r w:rsidRPr="00AF1D30">
              <w:rPr>
                <w:rFonts w:eastAsia="MS Mincho"/>
                <w:color w:val="000000"/>
                <w:kern w:val="24"/>
                <w:szCs w:val="32"/>
                <w:lang w:eastAsia="id-ID"/>
              </w:rPr>
              <w:t xml:space="preserve"> trained in HRM/D module covering 30 provinces and 268 districts </w:t>
            </w:r>
          </w:p>
        </w:tc>
      </w:tr>
      <w:tr w:rsidR="006221A8" w:rsidRPr="00AF1D30" w14:paraId="76AB8D24" w14:textId="77777777" w:rsidTr="00F11245">
        <w:trPr>
          <w:trHeight w:val="397"/>
        </w:trPr>
        <w:tc>
          <w:tcPr>
            <w:tcW w:w="838" w:type="pct"/>
            <w:shd w:val="clear" w:color="auto" w:fill="D9D9D9" w:themeFill="background1" w:themeFillShade="D9"/>
            <w:tcMar>
              <w:top w:w="72" w:type="dxa"/>
              <w:left w:w="144" w:type="dxa"/>
              <w:bottom w:w="72" w:type="dxa"/>
              <w:right w:w="144" w:type="dxa"/>
            </w:tcMar>
            <w:vAlign w:val="center"/>
            <w:hideMark/>
          </w:tcPr>
          <w:p w14:paraId="62E11C6B" w14:textId="77777777" w:rsidR="006221A8" w:rsidRPr="00AF1D30" w:rsidRDefault="006221A8" w:rsidP="006221A8">
            <w:pPr>
              <w:spacing w:after="0" w:line="240" w:lineRule="auto"/>
              <w:jc w:val="center"/>
              <w:rPr>
                <w:rFonts w:ascii="Arial" w:eastAsia="Times New Roman" w:hAnsi="Arial" w:cs="Arial"/>
                <w:szCs w:val="36"/>
                <w:lang w:eastAsia="id-ID"/>
              </w:rPr>
            </w:pPr>
            <w:r w:rsidRPr="00AF1D30">
              <w:rPr>
                <w:rFonts w:eastAsia="Times New Roman" w:cs="Arial"/>
                <w:color w:val="000000"/>
                <w:kern w:val="24"/>
                <w:szCs w:val="32"/>
                <w:lang w:eastAsia="id-ID"/>
              </w:rPr>
              <w:t>644,055</w:t>
            </w:r>
          </w:p>
        </w:tc>
        <w:tc>
          <w:tcPr>
            <w:tcW w:w="4162" w:type="pct"/>
            <w:shd w:val="clear" w:color="auto" w:fill="D9D9D9" w:themeFill="background1" w:themeFillShade="D9"/>
            <w:tcMar>
              <w:top w:w="72" w:type="dxa"/>
              <w:left w:w="144" w:type="dxa"/>
              <w:bottom w:w="72" w:type="dxa"/>
              <w:right w:w="144" w:type="dxa"/>
            </w:tcMar>
            <w:vAlign w:val="center"/>
            <w:hideMark/>
          </w:tcPr>
          <w:p w14:paraId="710C0F15" w14:textId="77777777" w:rsidR="006221A8" w:rsidRPr="00AF1D30" w:rsidRDefault="006221A8" w:rsidP="006221A8">
            <w:pPr>
              <w:spacing w:after="0" w:line="240" w:lineRule="auto"/>
              <w:jc w:val="left"/>
              <w:rPr>
                <w:rFonts w:ascii="Arial" w:eastAsia="Times New Roman" w:hAnsi="Arial" w:cs="Arial"/>
                <w:szCs w:val="36"/>
                <w:lang w:eastAsia="id-ID"/>
              </w:rPr>
            </w:pPr>
            <w:r w:rsidRPr="00AF1D30">
              <w:rPr>
                <w:rFonts w:eastAsia="MS Mincho"/>
                <w:color w:val="000000"/>
                <w:kern w:val="24"/>
                <w:szCs w:val="32"/>
                <w:lang w:eastAsia="id-ID"/>
              </w:rPr>
              <w:t>Number of participants reported for the BOS management training (41% are female)</w:t>
            </w:r>
          </w:p>
        </w:tc>
      </w:tr>
      <w:tr w:rsidR="006221A8" w:rsidRPr="00AF1D30" w14:paraId="164509E5" w14:textId="77777777" w:rsidTr="00F11245">
        <w:trPr>
          <w:trHeight w:val="397"/>
        </w:trPr>
        <w:tc>
          <w:tcPr>
            <w:tcW w:w="838" w:type="pct"/>
            <w:shd w:val="clear" w:color="auto" w:fill="F2F2F2" w:themeFill="background1" w:themeFillShade="F2"/>
            <w:tcMar>
              <w:top w:w="72" w:type="dxa"/>
              <w:left w:w="144" w:type="dxa"/>
              <w:bottom w:w="72" w:type="dxa"/>
              <w:right w:w="144" w:type="dxa"/>
            </w:tcMar>
            <w:vAlign w:val="center"/>
            <w:hideMark/>
          </w:tcPr>
          <w:p w14:paraId="2E52894D" w14:textId="77777777" w:rsidR="006221A8" w:rsidRPr="00AF1D30" w:rsidRDefault="006221A8" w:rsidP="006221A8">
            <w:pPr>
              <w:spacing w:after="0" w:line="240" w:lineRule="auto"/>
              <w:jc w:val="center"/>
              <w:rPr>
                <w:rFonts w:ascii="Arial" w:eastAsia="Times New Roman" w:hAnsi="Arial" w:cs="Arial"/>
                <w:szCs w:val="36"/>
                <w:lang w:eastAsia="id-ID"/>
              </w:rPr>
            </w:pPr>
            <w:r w:rsidRPr="00AF1D30">
              <w:rPr>
                <w:rFonts w:eastAsia="MS Mincho"/>
                <w:color w:val="000000"/>
                <w:kern w:val="24"/>
                <w:szCs w:val="32"/>
                <w:lang w:eastAsia="id-ID"/>
              </w:rPr>
              <w:t xml:space="preserve">565 </w:t>
            </w:r>
          </w:p>
        </w:tc>
        <w:tc>
          <w:tcPr>
            <w:tcW w:w="4162" w:type="pct"/>
            <w:shd w:val="clear" w:color="auto" w:fill="F2F2F2" w:themeFill="background1" w:themeFillShade="F2"/>
            <w:tcMar>
              <w:top w:w="72" w:type="dxa"/>
              <w:left w:w="144" w:type="dxa"/>
              <w:bottom w:w="72" w:type="dxa"/>
              <w:right w:w="144" w:type="dxa"/>
            </w:tcMar>
            <w:vAlign w:val="center"/>
            <w:hideMark/>
          </w:tcPr>
          <w:p w14:paraId="2F6A261E" w14:textId="77777777" w:rsidR="006221A8" w:rsidRPr="00AF1D30" w:rsidRDefault="006221A8" w:rsidP="006221A8">
            <w:pPr>
              <w:spacing w:after="0" w:line="240" w:lineRule="auto"/>
              <w:jc w:val="left"/>
              <w:rPr>
                <w:rFonts w:ascii="Arial" w:eastAsia="Times New Roman" w:hAnsi="Arial" w:cs="Arial"/>
                <w:szCs w:val="36"/>
                <w:lang w:eastAsia="id-ID"/>
              </w:rPr>
            </w:pPr>
            <w:r w:rsidRPr="00AF1D30">
              <w:rPr>
                <w:rFonts w:eastAsia="MS Mincho"/>
                <w:color w:val="000000"/>
                <w:kern w:val="24"/>
                <w:szCs w:val="32"/>
                <w:lang w:eastAsia="id-ID"/>
              </w:rPr>
              <w:t xml:space="preserve">Number of Madrasah which have received a block grant under C3 (in 21 districts across 7 provinces) </w:t>
            </w:r>
          </w:p>
        </w:tc>
      </w:tr>
      <w:tr w:rsidR="006221A8" w:rsidRPr="00AF1D30" w14:paraId="1FCD073B" w14:textId="77777777" w:rsidTr="00F11245">
        <w:trPr>
          <w:trHeight w:val="397"/>
        </w:trPr>
        <w:tc>
          <w:tcPr>
            <w:tcW w:w="838" w:type="pct"/>
            <w:shd w:val="clear" w:color="auto" w:fill="D9D9D9" w:themeFill="background1" w:themeFillShade="D9"/>
            <w:tcMar>
              <w:top w:w="72" w:type="dxa"/>
              <w:left w:w="144" w:type="dxa"/>
              <w:bottom w:w="72" w:type="dxa"/>
              <w:right w:w="144" w:type="dxa"/>
            </w:tcMar>
            <w:vAlign w:val="center"/>
            <w:hideMark/>
          </w:tcPr>
          <w:p w14:paraId="7199441F" w14:textId="77777777" w:rsidR="006221A8" w:rsidRPr="00AF1D30" w:rsidRDefault="006221A8" w:rsidP="006221A8">
            <w:pPr>
              <w:spacing w:after="0" w:line="240" w:lineRule="auto"/>
              <w:jc w:val="center"/>
              <w:rPr>
                <w:rFonts w:ascii="Arial" w:eastAsia="Times New Roman" w:hAnsi="Arial" w:cs="Arial"/>
                <w:szCs w:val="36"/>
                <w:lang w:eastAsia="id-ID"/>
              </w:rPr>
            </w:pPr>
            <w:r w:rsidRPr="00AF1D30">
              <w:rPr>
                <w:rFonts w:eastAsia="Times New Roman" w:cs="Arial"/>
                <w:color w:val="000000"/>
                <w:kern w:val="24"/>
                <w:szCs w:val="32"/>
                <w:lang w:eastAsia="id-ID"/>
              </w:rPr>
              <w:t>7</w:t>
            </w:r>
          </w:p>
        </w:tc>
        <w:tc>
          <w:tcPr>
            <w:tcW w:w="4162" w:type="pct"/>
            <w:shd w:val="clear" w:color="auto" w:fill="D9D9D9" w:themeFill="background1" w:themeFillShade="D9"/>
            <w:tcMar>
              <w:top w:w="72" w:type="dxa"/>
              <w:left w:w="144" w:type="dxa"/>
              <w:bottom w:w="72" w:type="dxa"/>
              <w:right w:w="144" w:type="dxa"/>
            </w:tcMar>
            <w:vAlign w:val="center"/>
            <w:hideMark/>
          </w:tcPr>
          <w:p w14:paraId="1FD7405E" w14:textId="15544A69" w:rsidR="006221A8" w:rsidRPr="00AF1D30" w:rsidRDefault="006221A8" w:rsidP="006221A8">
            <w:pPr>
              <w:spacing w:after="0" w:line="240" w:lineRule="auto"/>
              <w:jc w:val="left"/>
              <w:rPr>
                <w:rFonts w:ascii="Arial" w:eastAsia="Times New Roman" w:hAnsi="Arial" w:cs="Arial"/>
                <w:szCs w:val="36"/>
                <w:lang w:eastAsia="id-ID"/>
              </w:rPr>
            </w:pPr>
            <w:r w:rsidRPr="00AF1D30">
              <w:rPr>
                <w:rFonts w:eastAsia="MS Mincho"/>
                <w:color w:val="000000"/>
                <w:kern w:val="24"/>
                <w:szCs w:val="32"/>
                <w:lang w:eastAsia="id-ID"/>
              </w:rPr>
              <w:t>Number of SNIP</w:t>
            </w:r>
            <w:r w:rsidR="00393CA6">
              <w:rPr>
                <w:rFonts w:eastAsia="MS Mincho"/>
                <w:color w:val="000000"/>
                <w:kern w:val="24"/>
                <w:szCs w:val="32"/>
                <w:lang w:eastAsia="id-ID"/>
              </w:rPr>
              <w:t>s</w:t>
            </w:r>
            <w:r w:rsidRPr="00AF1D30">
              <w:rPr>
                <w:rFonts w:eastAsia="MS Mincho"/>
                <w:color w:val="000000"/>
                <w:kern w:val="24"/>
                <w:szCs w:val="32"/>
                <w:lang w:eastAsia="id-ID"/>
              </w:rPr>
              <w:t xml:space="preserve"> operating with C3 support (1 per targeted province) </w:t>
            </w:r>
          </w:p>
        </w:tc>
      </w:tr>
      <w:tr w:rsidR="006221A8" w:rsidRPr="00AF1D30" w14:paraId="2A09653D" w14:textId="77777777" w:rsidTr="00F11245">
        <w:trPr>
          <w:trHeight w:val="397"/>
        </w:trPr>
        <w:tc>
          <w:tcPr>
            <w:tcW w:w="838" w:type="pct"/>
            <w:shd w:val="clear" w:color="auto" w:fill="F2F2F2" w:themeFill="background1" w:themeFillShade="F2"/>
            <w:tcMar>
              <w:top w:w="72" w:type="dxa"/>
              <w:left w:w="144" w:type="dxa"/>
              <w:bottom w:w="72" w:type="dxa"/>
              <w:right w:w="144" w:type="dxa"/>
            </w:tcMar>
            <w:vAlign w:val="center"/>
            <w:hideMark/>
          </w:tcPr>
          <w:p w14:paraId="179B14F0" w14:textId="77777777" w:rsidR="006221A8" w:rsidRPr="00AF1D30" w:rsidRDefault="006221A8" w:rsidP="006221A8">
            <w:pPr>
              <w:spacing w:after="0" w:line="240" w:lineRule="auto"/>
              <w:jc w:val="center"/>
              <w:rPr>
                <w:rFonts w:ascii="Arial" w:eastAsia="Times New Roman" w:hAnsi="Arial" w:cs="Arial"/>
                <w:szCs w:val="36"/>
                <w:lang w:eastAsia="id-ID"/>
              </w:rPr>
            </w:pPr>
            <w:r w:rsidRPr="00AF1D30">
              <w:rPr>
                <w:rFonts w:eastAsia="MS Mincho"/>
                <w:color w:val="000000"/>
                <w:kern w:val="24"/>
                <w:szCs w:val="32"/>
                <w:lang w:eastAsia="id-ID"/>
              </w:rPr>
              <w:t>3</w:t>
            </w:r>
          </w:p>
        </w:tc>
        <w:tc>
          <w:tcPr>
            <w:tcW w:w="4162" w:type="pct"/>
            <w:shd w:val="clear" w:color="auto" w:fill="F2F2F2" w:themeFill="background1" w:themeFillShade="F2"/>
            <w:tcMar>
              <w:top w:w="72" w:type="dxa"/>
              <w:left w:w="144" w:type="dxa"/>
              <w:bottom w:w="72" w:type="dxa"/>
              <w:right w:w="144" w:type="dxa"/>
            </w:tcMar>
            <w:vAlign w:val="center"/>
            <w:hideMark/>
          </w:tcPr>
          <w:p w14:paraId="337EFF00" w14:textId="77777777" w:rsidR="006221A8" w:rsidRPr="00AF1D30" w:rsidRDefault="006221A8" w:rsidP="006221A8">
            <w:pPr>
              <w:spacing w:after="0" w:line="240" w:lineRule="auto"/>
              <w:jc w:val="left"/>
              <w:rPr>
                <w:rFonts w:ascii="Arial" w:eastAsia="Times New Roman" w:hAnsi="Arial" w:cs="Arial"/>
                <w:szCs w:val="36"/>
                <w:lang w:eastAsia="id-ID"/>
              </w:rPr>
            </w:pPr>
            <w:r w:rsidRPr="00AF1D30">
              <w:rPr>
                <w:rFonts w:eastAsia="MS Mincho"/>
                <w:color w:val="000000"/>
                <w:kern w:val="24"/>
                <w:szCs w:val="32"/>
                <w:lang w:eastAsia="id-ID"/>
              </w:rPr>
              <w:t>Number of ACDP studies finalised (10 are ongoing, 4 under procurement and 5 under development)</w:t>
            </w:r>
          </w:p>
        </w:tc>
      </w:tr>
    </w:tbl>
    <w:p w14:paraId="312465EA" w14:textId="77777777" w:rsidR="006B27AB" w:rsidRPr="00AF1D30" w:rsidRDefault="006B27AB" w:rsidP="00E81C56"/>
    <w:p w14:paraId="202FE549" w14:textId="77777777" w:rsidR="00C5587A" w:rsidRDefault="00323E6A" w:rsidP="00E81C56">
      <w:r>
        <w:rPr>
          <w:lang w:val="id-ID"/>
        </w:rPr>
        <w:t>W</w:t>
      </w:r>
      <w:r w:rsidRPr="00AF1D30">
        <w:t>hile they reflect tangible progress</w:t>
      </w:r>
      <w:r>
        <w:rPr>
          <w:lang w:val="id-ID"/>
        </w:rPr>
        <w:t>,</w:t>
      </w:r>
      <w:r w:rsidRPr="00AF1D30">
        <w:t xml:space="preserve"> </w:t>
      </w:r>
      <w:r>
        <w:rPr>
          <w:lang w:val="id-ID"/>
        </w:rPr>
        <w:t>t</w:t>
      </w:r>
      <w:r w:rsidR="00142CD0" w:rsidRPr="00AF1D30">
        <w:t xml:space="preserve">hese numbers </w:t>
      </w:r>
      <w:r>
        <w:rPr>
          <w:lang w:val="id-ID"/>
        </w:rPr>
        <w:t>a</w:t>
      </w:r>
      <w:r>
        <w:t xml:space="preserve">re not </w:t>
      </w:r>
      <w:r w:rsidR="00393CA6">
        <w:t xml:space="preserve">entirely </w:t>
      </w:r>
      <w:r>
        <w:t>represent</w:t>
      </w:r>
      <w:r>
        <w:rPr>
          <w:lang w:val="id-ID"/>
        </w:rPr>
        <w:t>at</w:t>
      </w:r>
      <w:r>
        <w:t xml:space="preserve">ive of </w:t>
      </w:r>
      <w:r w:rsidR="00393CA6">
        <w:t>EP progress to t</w:t>
      </w:r>
      <w:r>
        <w:t>o date</w:t>
      </w:r>
      <w:r>
        <w:rPr>
          <w:lang w:val="id-ID"/>
        </w:rPr>
        <w:t xml:space="preserve">: </w:t>
      </w:r>
      <w:r w:rsidR="00142CD0" w:rsidRPr="00AF1D30">
        <w:t xml:space="preserve">they </w:t>
      </w:r>
      <w:r>
        <w:rPr>
          <w:lang w:val="id-ID"/>
        </w:rPr>
        <w:t xml:space="preserve">do not represent </w:t>
      </w:r>
      <w:r w:rsidR="00142CD0" w:rsidRPr="00AF1D30">
        <w:t>the quality of the achievements</w:t>
      </w:r>
      <w:r w:rsidR="00C5587A">
        <w:t xml:space="preserve">, </w:t>
      </w:r>
      <w:r w:rsidR="00142CD0" w:rsidRPr="00AF1D30">
        <w:t xml:space="preserve">not least of which </w:t>
      </w:r>
      <w:r w:rsidR="00C5587A">
        <w:t xml:space="preserve">is </w:t>
      </w:r>
      <w:r w:rsidR="00142CD0" w:rsidRPr="00AF1D30">
        <w:t>the (sometimes onerous) process to establish these achievements</w:t>
      </w:r>
      <w:r w:rsidR="00C5587A">
        <w:t>. N</w:t>
      </w:r>
      <w:r w:rsidR="00142CD0" w:rsidRPr="008B554A">
        <w:t>or do they translate accurately the complex dynamic of an investment such as the EP, where results are often the products of emergent, unpredicted and non-linear forces</w:t>
      </w:r>
      <w:r w:rsidR="004E05A7" w:rsidRPr="008B554A">
        <w:t xml:space="preserve"> (</w:t>
      </w:r>
      <w:r w:rsidR="00142CD0" w:rsidRPr="008B554A">
        <w:t>i.e. expected changes are not directly proportiona</w:t>
      </w:r>
      <w:r w:rsidR="00C5587A">
        <w:t xml:space="preserve">l to the </w:t>
      </w:r>
      <w:r w:rsidR="00142CD0" w:rsidRPr="008B554A">
        <w:t xml:space="preserve">time, magnitude and nature </w:t>
      </w:r>
      <w:r w:rsidR="00C5587A">
        <w:t>of the inputs)</w:t>
      </w:r>
      <w:r w:rsidR="00142CD0" w:rsidRPr="008B554A">
        <w:t>.</w:t>
      </w:r>
      <w:r w:rsidR="00142CD0" w:rsidRPr="00AF1D30">
        <w:t xml:space="preserve"> </w:t>
      </w:r>
    </w:p>
    <w:p w14:paraId="1A90C2E9" w14:textId="30C5333F" w:rsidR="006221A8" w:rsidRPr="00AF1D30" w:rsidRDefault="00142CD0" w:rsidP="00E81C56">
      <w:r w:rsidRPr="00AF1D30">
        <w:t>While it is too early to provide an inform</w:t>
      </w:r>
      <w:r w:rsidR="006B27AB" w:rsidRPr="00AF1D30">
        <w:t>ed assessment of</w:t>
      </w:r>
      <w:r w:rsidRPr="00AF1D30">
        <w:t xml:space="preserve"> the changes and results produced, the comments in sections 2.2 to 2.5 below attempt to provide a more qualitative perspective on the achievements to date.</w:t>
      </w:r>
      <w:r w:rsidR="00505381">
        <w:t xml:space="preserve"> The comments are aggregated by End-of–Partnership Outcome </w:t>
      </w:r>
      <w:r w:rsidR="00505381" w:rsidRPr="008B554A">
        <w:t xml:space="preserve">and therefore seek to </w:t>
      </w:r>
      <w:r w:rsidR="009F0F25">
        <w:rPr>
          <w:lang w:val="id-ID"/>
        </w:rPr>
        <w:t>inform</w:t>
      </w:r>
      <w:r w:rsidR="00505381" w:rsidRPr="008B554A">
        <w:t xml:space="preserve"> how far we have come down the path of achieving a respective EOPO.</w:t>
      </w:r>
    </w:p>
    <w:p w14:paraId="35B2415E" w14:textId="207BDD53" w:rsidR="006B03C7" w:rsidRPr="00AF1D30" w:rsidRDefault="00457624" w:rsidP="00343EEE">
      <w:pPr>
        <w:pStyle w:val="StyleSub-HeadingGRMText2Before12pt"/>
        <w:numPr>
          <w:ilvl w:val="1"/>
          <w:numId w:val="3"/>
        </w:numPr>
        <w:tabs>
          <w:tab w:val="clear" w:pos="900"/>
          <w:tab w:val="left" w:pos="630"/>
        </w:tabs>
        <w:ind w:left="630" w:hanging="630"/>
      </w:pPr>
      <w:bookmarkStart w:id="30" w:name="_Toc345081138"/>
      <w:r w:rsidRPr="00AF1D30">
        <w:lastRenderedPageBreak/>
        <w:t xml:space="preserve">EOPO 1: </w:t>
      </w:r>
      <w:r w:rsidR="00E33BCD" w:rsidRPr="00AF1D30">
        <w:t>Enrolment in Junior Secondary Education in targeted districts increases</w:t>
      </w:r>
      <w:bookmarkEnd w:id="30"/>
      <w:r w:rsidR="00E33BCD" w:rsidRPr="00AF1D30">
        <w:t xml:space="preserve"> </w:t>
      </w:r>
    </w:p>
    <w:p w14:paraId="54B9A346" w14:textId="356B48DC" w:rsidR="00371740" w:rsidRPr="00AF1D30" w:rsidRDefault="00FB747B" w:rsidP="00371740">
      <w:r w:rsidRPr="00AF1D30">
        <w:t>The EP seeks to construct up to 2000 new schools</w:t>
      </w:r>
      <w:r w:rsidR="006B59B1" w:rsidRPr="00AF1D30">
        <w:t xml:space="preserve"> by mid-2016</w:t>
      </w:r>
      <w:r w:rsidRPr="00AF1D30">
        <w:t xml:space="preserve">. </w:t>
      </w:r>
      <w:r w:rsidR="00D01497" w:rsidRPr="00AF1D30">
        <w:t>The first cycle of s</w:t>
      </w:r>
      <w:r w:rsidR="006B59B1" w:rsidRPr="00AF1D30">
        <w:t>chool construction commenced in October 2012</w:t>
      </w:r>
      <w:r w:rsidR="00D01497" w:rsidRPr="00AF1D30">
        <w:t>, with some delays against the initial plan</w:t>
      </w:r>
      <w:r w:rsidR="00474909">
        <w:t>. C</w:t>
      </w:r>
      <w:r w:rsidR="00D01497" w:rsidRPr="00AF1D30">
        <w:t xml:space="preserve">ompletion of construction is expected </w:t>
      </w:r>
      <w:r w:rsidR="00505381">
        <w:t xml:space="preserve">between </w:t>
      </w:r>
      <w:r w:rsidR="00D01497" w:rsidRPr="00AF1D30">
        <w:t xml:space="preserve">March </w:t>
      </w:r>
      <w:r w:rsidR="00505381">
        <w:t xml:space="preserve">and </w:t>
      </w:r>
      <w:r w:rsidR="00D01497" w:rsidRPr="00AF1D30">
        <w:t>May 2013</w:t>
      </w:r>
      <w:r w:rsidR="006B59B1" w:rsidRPr="00AF1D30">
        <w:t xml:space="preserve">. </w:t>
      </w:r>
      <w:r w:rsidR="00D01497" w:rsidRPr="00AF1D30">
        <w:t>T</w:t>
      </w:r>
      <w:r w:rsidRPr="00AF1D30">
        <w:t xml:space="preserve">he delays </w:t>
      </w:r>
      <w:r w:rsidR="00505381">
        <w:t>in</w:t>
      </w:r>
      <w:r w:rsidRPr="00AF1D30">
        <w:t xml:space="preserve"> the first construction cycle </w:t>
      </w:r>
      <w:r w:rsidR="00937ECB" w:rsidRPr="00AF1D30">
        <w:t>open</w:t>
      </w:r>
      <w:r w:rsidR="00D01497" w:rsidRPr="00AF1D30">
        <w:t xml:space="preserve"> the door to </w:t>
      </w:r>
      <w:r w:rsidRPr="00AF1D30">
        <w:t>possib</w:t>
      </w:r>
      <w:r w:rsidR="00D01497" w:rsidRPr="00AF1D30">
        <w:t>le</w:t>
      </w:r>
      <w:r w:rsidRPr="00AF1D30">
        <w:t xml:space="preserve"> delays in subsequent years </w:t>
      </w:r>
      <w:r w:rsidR="00967B18" w:rsidRPr="00AF1D30">
        <w:t>that would re</w:t>
      </w:r>
      <w:r w:rsidRPr="00AF1D30">
        <w:t>present a threat to the attainment of the end-of-p</w:t>
      </w:r>
      <w:r w:rsidR="00C5587A">
        <w:t>artnership</w:t>
      </w:r>
      <w:r w:rsidRPr="00AF1D30">
        <w:t xml:space="preserve"> target. </w:t>
      </w:r>
      <w:r w:rsidR="00371740" w:rsidRPr="00AF1D30">
        <w:t xml:space="preserve">Additional comments concerning </w:t>
      </w:r>
      <w:r w:rsidR="009F0F25">
        <w:rPr>
          <w:lang w:val="id-ID"/>
        </w:rPr>
        <w:t>C1</w:t>
      </w:r>
      <w:r w:rsidR="00371740" w:rsidRPr="00AF1D30">
        <w:t xml:space="preserve"> achievements </w:t>
      </w:r>
      <w:r w:rsidR="00323E6A">
        <w:rPr>
          <w:lang w:val="id-ID"/>
        </w:rPr>
        <w:t>are as follows</w:t>
      </w:r>
      <w:r w:rsidR="00371740" w:rsidRPr="00AF1D30">
        <w:t>:</w:t>
      </w:r>
    </w:p>
    <w:p w14:paraId="6A5036A9" w14:textId="6D317F39" w:rsidR="00937ECB" w:rsidRPr="00AF1D30" w:rsidRDefault="00371740" w:rsidP="001C5128">
      <w:pPr>
        <w:pStyle w:val="ListParagraph"/>
        <w:numPr>
          <w:ilvl w:val="0"/>
          <w:numId w:val="26"/>
        </w:numPr>
        <w:tabs>
          <w:tab w:val="num" w:pos="360"/>
        </w:tabs>
        <w:spacing w:before="120" w:after="0"/>
        <w:contextualSpacing w:val="0"/>
      </w:pPr>
      <w:r w:rsidRPr="00AF1D30">
        <w:t>T</w:t>
      </w:r>
      <w:r w:rsidR="00937ECB" w:rsidRPr="00AF1D30">
        <w:t xml:space="preserve">he construction of new schools is </w:t>
      </w:r>
      <w:r w:rsidRPr="00AF1D30">
        <w:t xml:space="preserve">not </w:t>
      </w:r>
      <w:r w:rsidR="00937ECB" w:rsidRPr="00AF1D30">
        <w:t xml:space="preserve">necessarily the </w:t>
      </w:r>
      <w:r w:rsidRPr="00AF1D30">
        <w:t xml:space="preserve">best </w:t>
      </w:r>
      <w:r w:rsidR="00937ECB" w:rsidRPr="00AF1D30">
        <w:t xml:space="preserve">response </w:t>
      </w:r>
      <w:r w:rsidR="00CF0ED5" w:rsidRPr="00AF1D30">
        <w:rPr>
          <w:rFonts w:cs="Calibri"/>
        </w:rPr>
        <w:t xml:space="preserve">to infrastructure provision for improving access to education. </w:t>
      </w:r>
      <w:r w:rsidR="00CF0ED5" w:rsidRPr="00AF1D30">
        <w:t xml:space="preserve">Additional </w:t>
      </w:r>
      <w:r w:rsidR="00CF0ED5" w:rsidRPr="00AF1D30">
        <w:rPr>
          <w:rFonts w:cs="Calibri"/>
        </w:rPr>
        <w:t>approach</w:t>
      </w:r>
      <w:r w:rsidR="00505381">
        <w:rPr>
          <w:rFonts w:cs="Calibri"/>
        </w:rPr>
        <w:t>es</w:t>
      </w:r>
      <w:r w:rsidR="00CF0ED5" w:rsidRPr="00AF1D30">
        <w:rPr>
          <w:rFonts w:cs="Calibri"/>
        </w:rPr>
        <w:t xml:space="preserve"> should be explored: b</w:t>
      </w:r>
      <w:r w:rsidR="00CF0ED5" w:rsidRPr="00AF1D30">
        <w:t>uilding a</w:t>
      </w:r>
      <w:r w:rsidR="00937ECB" w:rsidRPr="00AF1D30">
        <w:t>dditional or renovatin</w:t>
      </w:r>
      <w:r w:rsidR="00CF0ED5" w:rsidRPr="00AF1D30">
        <w:t>g</w:t>
      </w:r>
      <w:r w:rsidR="00937ECB" w:rsidRPr="00AF1D30">
        <w:t xml:space="preserve"> </w:t>
      </w:r>
      <w:r w:rsidR="00CF0ED5" w:rsidRPr="00AF1D30">
        <w:t>current classrooms in</w:t>
      </w:r>
      <w:r w:rsidR="00937ECB" w:rsidRPr="00AF1D30">
        <w:t xml:space="preserve"> existing facilities </w:t>
      </w:r>
      <w:r w:rsidR="00CF0ED5" w:rsidRPr="00AF1D30">
        <w:t>might</w:t>
      </w:r>
      <w:r w:rsidR="00937ECB" w:rsidRPr="00AF1D30">
        <w:t xml:space="preserve"> </w:t>
      </w:r>
      <w:r w:rsidR="00CF0ED5" w:rsidRPr="00AF1D30">
        <w:t xml:space="preserve">also offer </w:t>
      </w:r>
      <w:r w:rsidR="00937ECB" w:rsidRPr="00AF1D30">
        <w:t>effective alternative</w:t>
      </w:r>
      <w:r w:rsidR="00CF0ED5" w:rsidRPr="00AF1D30">
        <w:t>s</w:t>
      </w:r>
      <w:r w:rsidR="00937ECB" w:rsidRPr="00AF1D30">
        <w:t xml:space="preserve"> to achieve the same objective.</w:t>
      </w:r>
      <w:r w:rsidR="00CF0ED5" w:rsidRPr="00AF1D30">
        <w:rPr>
          <w:rFonts w:cs="Calibri"/>
        </w:rPr>
        <w:t xml:space="preserve"> </w:t>
      </w:r>
      <w:r w:rsidR="00937ECB" w:rsidRPr="00AF1D30">
        <w:t xml:space="preserve">Moreover, there is a shared feeling that new schools constructed might improve access for children currently enrolled in the system (i.e. </w:t>
      </w:r>
      <w:r w:rsidR="00505381">
        <w:t>children</w:t>
      </w:r>
      <w:r w:rsidR="00937ECB" w:rsidRPr="00AF1D30">
        <w:t xml:space="preserve"> might move to a school closer to home, or to a better equipped school) </w:t>
      </w:r>
      <w:r w:rsidRPr="00AF1D30">
        <w:t>without necessarily</w:t>
      </w:r>
      <w:r w:rsidR="00937ECB" w:rsidRPr="00AF1D30">
        <w:t xml:space="preserve"> increas</w:t>
      </w:r>
      <w:r w:rsidRPr="00AF1D30">
        <w:t>ing</w:t>
      </w:r>
      <w:r w:rsidR="00937ECB" w:rsidRPr="00AF1D30">
        <w:t xml:space="preserve"> overall access (new </w:t>
      </w:r>
      <w:r w:rsidRPr="00AF1D30">
        <w:t>addit</w:t>
      </w:r>
      <w:r w:rsidR="004E05A7" w:rsidRPr="00AF1D30">
        <w:t>i</w:t>
      </w:r>
      <w:r w:rsidRPr="00AF1D30">
        <w:t xml:space="preserve">onal </w:t>
      </w:r>
      <w:r w:rsidR="00937ECB" w:rsidRPr="00AF1D30">
        <w:t xml:space="preserve">students benefiting from </w:t>
      </w:r>
      <w:r w:rsidR="00505381">
        <w:t>JSE</w:t>
      </w:r>
      <w:r w:rsidR="00937ECB" w:rsidRPr="00AF1D30">
        <w:t>). Whereas this situation might be acceptable and even desirable in te</w:t>
      </w:r>
      <w:r w:rsidR="004E05A7" w:rsidRPr="00AF1D30">
        <w:t>rms of improved participation in</w:t>
      </w:r>
      <w:r w:rsidR="00937ECB" w:rsidRPr="00AF1D30">
        <w:t xml:space="preserve"> schooling, it has to be explicitly and clearly stated in the related EP objectives.</w:t>
      </w:r>
      <w:r w:rsidR="00CF0ED5" w:rsidRPr="00AF1D30">
        <w:t xml:space="preserve"> </w:t>
      </w:r>
    </w:p>
    <w:p w14:paraId="041CCE25" w14:textId="740CEC31" w:rsidR="00371740" w:rsidRPr="00AF1D30" w:rsidRDefault="00371740" w:rsidP="001C5128">
      <w:pPr>
        <w:pStyle w:val="ListParagraph"/>
        <w:numPr>
          <w:ilvl w:val="0"/>
          <w:numId w:val="26"/>
        </w:numPr>
        <w:tabs>
          <w:tab w:val="num" w:pos="360"/>
        </w:tabs>
        <w:spacing w:before="120" w:after="0"/>
        <w:contextualSpacing w:val="0"/>
      </w:pPr>
      <w:r w:rsidRPr="00AF1D30">
        <w:t>The site</w:t>
      </w:r>
      <w:r w:rsidR="00B10DDB" w:rsidRPr="00AF1D30">
        <w:t xml:space="preserve"> selection process</w:t>
      </w:r>
      <w:r w:rsidRPr="00AF1D30">
        <w:t xml:space="preserve"> is seen as a crucial step for the effectiveness of </w:t>
      </w:r>
      <w:r w:rsidR="00C5587A">
        <w:t>C1</w:t>
      </w:r>
      <w:r w:rsidRPr="00AF1D30">
        <w:t xml:space="preserve">. </w:t>
      </w:r>
      <w:r w:rsidR="00505381">
        <w:t xml:space="preserve">Even though </w:t>
      </w:r>
      <w:r w:rsidRPr="00AF1D30">
        <w:t xml:space="preserve">no apparent change has been </w:t>
      </w:r>
      <w:r w:rsidR="00505381">
        <w:t xml:space="preserve">effected </w:t>
      </w:r>
      <w:r w:rsidRPr="00AF1D30">
        <w:t xml:space="preserve">between the selection process of cycle 1 (2012) and cycle 2 (2013), some concerns have been </w:t>
      </w:r>
      <w:r w:rsidR="001C5128" w:rsidRPr="00AF1D30">
        <w:t>raised</w:t>
      </w:r>
      <w:r w:rsidRPr="00AF1D30">
        <w:t xml:space="preserve">: </w:t>
      </w:r>
    </w:p>
    <w:p w14:paraId="7A0C13CC" w14:textId="6D5A8AC6" w:rsidR="00371740" w:rsidRPr="00AF1D30" w:rsidRDefault="001C5128" w:rsidP="004E05A7">
      <w:pPr>
        <w:pStyle w:val="ListParagraph"/>
        <w:numPr>
          <w:ilvl w:val="1"/>
          <w:numId w:val="28"/>
        </w:numPr>
        <w:spacing w:before="120" w:after="0"/>
        <w:ind w:left="993" w:hanging="426"/>
        <w:contextualSpacing w:val="0"/>
      </w:pPr>
      <w:r w:rsidRPr="00AF1D30">
        <w:t>A</w:t>
      </w:r>
      <w:r w:rsidR="00371740" w:rsidRPr="00AF1D30">
        <w:t xml:space="preserve"> smaller number of eligible prop</w:t>
      </w:r>
      <w:r w:rsidR="00C5587A">
        <w:t>osals than anticipated have</w:t>
      </w:r>
      <w:r w:rsidR="00371740" w:rsidRPr="00AF1D30">
        <w:t xml:space="preserve"> been submitted for this first cycle, impeding the rigorous app</w:t>
      </w:r>
      <w:r w:rsidR="004E05A7" w:rsidRPr="00AF1D30">
        <w:t xml:space="preserve">lication of the selected </w:t>
      </w:r>
      <w:r w:rsidR="00371740" w:rsidRPr="00AF1D30">
        <w:t>criteria</w:t>
      </w:r>
      <w:r w:rsidR="004E05A7" w:rsidRPr="00AF1D30">
        <w:t>.</w:t>
      </w:r>
      <w:r w:rsidR="00371740" w:rsidRPr="00AF1D30">
        <w:t xml:space="preserve"> This probably reflects different factors such as limited perceived need from districts, variable local capacity to prepare proposals, limi</w:t>
      </w:r>
      <w:r w:rsidR="004E05A7" w:rsidRPr="00AF1D30">
        <w:t>tations to land access, and/or</w:t>
      </w:r>
      <w:r w:rsidR="00371740" w:rsidRPr="00AF1D30">
        <w:t xml:space="preserve"> perceived low district ability to fulfil post-construction commitments (operation and maintenance of schools). Clear understanding of these factors, their v</w:t>
      </w:r>
      <w:r w:rsidR="00F608B3" w:rsidRPr="00AF1D30">
        <w:t>aria</w:t>
      </w:r>
      <w:r w:rsidR="004E05A7" w:rsidRPr="00AF1D30">
        <w:t>tion and implications for distr</w:t>
      </w:r>
      <w:r w:rsidR="00F608B3" w:rsidRPr="00AF1D30">
        <w:t>i</w:t>
      </w:r>
      <w:r w:rsidR="004E05A7" w:rsidRPr="00AF1D30">
        <w:t>c</w:t>
      </w:r>
      <w:r w:rsidR="00F608B3" w:rsidRPr="00AF1D30">
        <w:t xml:space="preserve">t </w:t>
      </w:r>
      <w:r w:rsidR="004E05A7" w:rsidRPr="00AF1D30">
        <w:t xml:space="preserve">proposals </w:t>
      </w:r>
      <w:r w:rsidR="00F608B3" w:rsidRPr="00AF1D30">
        <w:t>should</w:t>
      </w:r>
      <w:r w:rsidR="00371740" w:rsidRPr="00AF1D30">
        <w:t xml:space="preserve"> be fostered and remedial actions encouraged. </w:t>
      </w:r>
    </w:p>
    <w:p w14:paraId="436F5B5C" w14:textId="1D4C934F" w:rsidR="00371740" w:rsidRPr="00AF1D30" w:rsidRDefault="00F608B3" w:rsidP="001C5128">
      <w:pPr>
        <w:pStyle w:val="ListParagraph"/>
        <w:numPr>
          <w:ilvl w:val="1"/>
          <w:numId w:val="28"/>
        </w:numPr>
        <w:spacing w:before="120" w:after="0"/>
        <w:ind w:left="993" w:hanging="426"/>
        <w:contextualSpacing w:val="0"/>
      </w:pPr>
      <w:r w:rsidRPr="00AF1D30">
        <w:t>The select</w:t>
      </w:r>
      <w:r w:rsidR="001C5128" w:rsidRPr="00AF1D30">
        <w:t>i</w:t>
      </w:r>
      <w:r w:rsidRPr="00AF1D30">
        <w:t xml:space="preserve">on process </w:t>
      </w:r>
      <w:r w:rsidR="00371740" w:rsidRPr="00AF1D30">
        <w:t>follows a two steps approach: district</w:t>
      </w:r>
      <w:r w:rsidRPr="00AF1D30">
        <w:t>s</w:t>
      </w:r>
      <w:r w:rsidR="00371740" w:rsidRPr="00AF1D30">
        <w:t xml:space="preserve"> are </w:t>
      </w:r>
      <w:r w:rsidRPr="00AF1D30">
        <w:t xml:space="preserve">firstly </w:t>
      </w:r>
      <w:r w:rsidR="00371740" w:rsidRPr="00AF1D30">
        <w:t xml:space="preserve">selected based on their GER, </w:t>
      </w:r>
      <w:r w:rsidRPr="00AF1D30">
        <w:t xml:space="preserve">and </w:t>
      </w:r>
      <w:r w:rsidR="004E05A7" w:rsidRPr="00AF1D30">
        <w:t xml:space="preserve">then </w:t>
      </w:r>
      <w:r w:rsidR="00371740" w:rsidRPr="00AF1D30">
        <w:t xml:space="preserve">school sites are selected </w:t>
      </w:r>
      <w:r w:rsidRPr="00AF1D30">
        <w:t xml:space="preserve">in those districts </w:t>
      </w:r>
      <w:r w:rsidR="00371740" w:rsidRPr="00AF1D30">
        <w:t>based on a series of technical and geographic</w:t>
      </w:r>
      <w:r w:rsidR="00F70ED0">
        <w:t>al</w:t>
      </w:r>
      <w:r w:rsidR="00371740" w:rsidRPr="00AF1D30">
        <w:t xml:space="preserve"> criteria such as distance to existing JSE school, </w:t>
      </w:r>
      <w:r w:rsidRPr="00AF1D30">
        <w:t xml:space="preserve">site </w:t>
      </w:r>
      <w:r w:rsidR="00371740" w:rsidRPr="00AF1D30">
        <w:t xml:space="preserve">topography, and proximity of potential feeder schools. Whereas the two steps approach </w:t>
      </w:r>
      <w:r w:rsidRPr="00AF1D30">
        <w:t xml:space="preserve">has not been questioned, there is a shared feeling that the criteria </w:t>
      </w:r>
      <w:r w:rsidR="004E05A7" w:rsidRPr="00AF1D30">
        <w:t xml:space="preserve">used </w:t>
      </w:r>
      <w:r w:rsidRPr="00AF1D30">
        <w:t>should be sharpened. For instance, the GER is not perceived as the most relevant criterion (NER or transit</w:t>
      </w:r>
      <w:r w:rsidR="004E05A7" w:rsidRPr="00AF1D30">
        <w:t>ion rate would be better) to sel</w:t>
      </w:r>
      <w:r w:rsidRPr="00AF1D30">
        <w:t>ect vulnerable communities. Moreover, the accuracy and reliability of the underpinning data is dubious (discrepancies are common between data at district and central levels), and the t</w:t>
      </w:r>
      <w:r w:rsidR="00F70ED0">
        <w:t>h</w:t>
      </w:r>
      <w:r w:rsidRPr="00AF1D30">
        <w:t xml:space="preserve">reshold of 90% </w:t>
      </w:r>
      <w:r w:rsidR="004E05A7" w:rsidRPr="00AF1D30">
        <w:t xml:space="preserve">GER </w:t>
      </w:r>
      <w:r w:rsidRPr="00AF1D30">
        <w:t>at district level is not applied consistently. This calls for a revision of the GER criteria and its application to the selection of district (step 1). As a positive note, the suggestion of using a multi-year planning approach for district proposal</w:t>
      </w:r>
      <w:r w:rsidR="00F70ED0">
        <w:t>s</w:t>
      </w:r>
      <w:r w:rsidRPr="00AF1D30">
        <w:t xml:space="preserve"> is widely welcome</w:t>
      </w:r>
      <w:r w:rsidR="00F70ED0">
        <w:t>d</w:t>
      </w:r>
      <w:r w:rsidRPr="00AF1D30">
        <w:t xml:space="preserve">. </w:t>
      </w:r>
    </w:p>
    <w:p w14:paraId="63ED7E60" w14:textId="6140B52F" w:rsidR="00977372" w:rsidRPr="00AF1D30" w:rsidRDefault="001C5128" w:rsidP="001C5128">
      <w:pPr>
        <w:pStyle w:val="ListParagraph"/>
        <w:numPr>
          <w:ilvl w:val="0"/>
          <w:numId w:val="26"/>
        </w:numPr>
        <w:spacing w:before="120" w:after="0"/>
        <w:contextualSpacing w:val="0"/>
      </w:pPr>
      <w:r w:rsidRPr="00AF1D30">
        <w:t>The SS</w:t>
      </w:r>
      <w:r w:rsidR="00B10DDB" w:rsidRPr="00AF1D30">
        <w:t xml:space="preserve">Q </w:t>
      </w:r>
      <w:r w:rsidRPr="00AF1D30">
        <w:t xml:space="preserve">contractor provides a mix of technical and </w:t>
      </w:r>
      <w:r w:rsidR="00B10DDB" w:rsidRPr="00AF1D30">
        <w:t>monitoring support</w:t>
      </w:r>
      <w:r w:rsidRPr="00AF1D30">
        <w:t xml:space="preserve"> to the construction process which is perceived </w:t>
      </w:r>
      <w:r w:rsidR="00855168">
        <w:rPr>
          <w:lang w:val="id-ID"/>
        </w:rPr>
        <w:t xml:space="preserve">by MoEC </w:t>
      </w:r>
      <w:r w:rsidRPr="00AF1D30">
        <w:t>as effective and useful: it provides a healthy pressure of scrutiny and results in effective feedback to MoEC that can then take appropriate acti</w:t>
      </w:r>
      <w:r w:rsidR="00F70ED0">
        <w:t xml:space="preserve">ons to </w:t>
      </w:r>
      <w:r w:rsidR="00F70ED0">
        <w:lastRenderedPageBreak/>
        <w:t>improve situations. Whilst,</w:t>
      </w:r>
      <w:r w:rsidRPr="00AF1D30">
        <w:t xml:space="preserve"> in some cases</w:t>
      </w:r>
      <w:r w:rsidR="00F70ED0">
        <w:t>,</w:t>
      </w:r>
      <w:r w:rsidRPr="00AF1D30">
        <w:t xml:space="preserve"> delays </w:t>
      </w:r>
      <w:r w:rsidR="00F70ED0">
        <w:t xml:space="preserve">in </w:t>
      </w:r>
      <w:r w:rsidRPr="00AF1D30">
        <w:t xml:space="preserve">action have been reported, it is generally felt that MoEC takes SSQ feedback into account and provides answers where necessary. There is an appetite for discussing </w:t>
      </w:r>
      <w:r w:rsidR="00B10DDB" w:rsidRPr="00AF1D30">
        <w:t>possible further involvement</w:t>
      </w:r>
      <w:r w:rsidRPr="00AF1D30">
        <w:t xml:space="preserve"> of field monitors</w:t>
      </w:r>
      <w:r w:rsidR="00B10DDB" w:rsidRPr="00AF1D30">
        <w:t xml:space="preserve"> in </w:t>
      </w:r>
      <w:r w:rsidRPr="00AF1D30">
        <w:t xml:space="preserve">the </w:t>
      </w:r>
      <w:r w:rsidR="00B10DDB" w:rsidRPr="00AF1D30">
        <w:t>construction process</w:t>
      </w:r>
      <w:r w:rsidRPr="00AF1D30">
        <w:t>.</w:t>
      </w:r>
    </w:p>
    <w:p w14:paraId="3D4ED56A" w14:textId="03FDE7DD" w:rsidR="003E46F9" w:rsidRPr="00AF1D30" w:rsidRDefault="00597821" w:rsidP="00343EEE">
      <w:pPr>
        <w:pStyle w:val="StyleSub-HeadingGRMText2Before12pt"/>
        <w:numPr>
          <w:ilvl w:val="1"/>
          <w:numId w:val="3"/>
        </w:numPr>
        <w:tabs>
          <w:tab w:val="clear" w:pos="900"/>
          <w:tab w:val="left" w:pos="630"/>
        </w:tabs>
        <w:ind w:left="630" w:hanging="630"/>
        <w:rPr>
          <w:color w:val="8DB3E2"/>
        </w:rPr>
      </w:pPr>
      <w:r>
        <w:t xml:space="preserve"> </w:t>
      </w:r>
      <w:bookmarkStart w:id="31" w:name="_Toc345081139"/>
      <w:r w:rsidR="00457624" w:rsidRPr="00AF1D30">
        <w:t xml:space="preserve">EOPO 2: </w:t>
      </w:r>
      <w:r w:rsidR="003E46F9" w:rsidRPr="00AF1D30">
        <w:t>Management of schools and Madrasah improves</w:t>
      </w:r>
      <w:bookmarkEnd w:id="31"/>
      <w:r>
        <w:rPr>
          <w:color w:val="8DB3E2"/>
        </w:rPr>
        <w:t xml:space="preserve"> </w:t>
      </w:r>
    </w:p>
    <w:p w14:paraId="5F9AC337" w14:textId="4F5088A0" w:rsidR="00BA5771" w:rsidRPr="00AF1D30" w:rsidRDefault="00063CE2" w:rsidP="00984BB5">
      <w:r>
        <w:rPr>
          <w:lang w:val="id-ID"/>
        </w:rPr>
        <w:t>The establish</w:t>
      </w:r>
      <w:r w:rsidR="00855168">
        <w:rPr>
          <w:lang w:val="id-ID"/>
        </w:rPr>
        <w:t xml:space="preserve">ment of a </w:t>
      </w:r>
      <w:r w:rsidR="00855168" w:rsidRPr="00AF1D30">
        <w:t xml:space="preserve">comprehensive CPD system </w:t>
      </w:r>
      <w:r w:rsidR="00855168">
        <w:rPr>
          <w:lang w:val="id-ID"/>
        </w:rPr>
        <w:t xml:space="preserve">under C2 is based on a new approach </w:t>
      </w:r>
      <w:r w:rsidR="007050F3">
        <w:rPr>
          <w:lang w:val="en-AU"/>
        </w:rPr>
        <w:t>of competency-based p</w:t>
      </w:r>
      <w:r w:rsidR="00855168" w:rsidRPr="00AF1D30">
        <w:t xml:space="preserve">rofessional development </w:t>
      </w:r>
      <w:r w:rsidR="00855168">
        <w:rPr>
          <w:lang w:val="id-ID"/>
        </w:rPr>
        <w:t>in MoEC.</w:t>
      </w:r>
      <w:r w:rsidR="00A41C28" w:rsidRPr="00AF1D30">
        <w:t xml:space="preserve"> </w:t>
      </w:r>
      <w:r w:rsidR="004E05A7" w:rsidRPr="00AF1D30">
        <w:t>Th</w:t>
      </w:r>
      <w:r w:rsidR="00BA5771" w:rsidRPr="00AF1D30">
        <w:t>i</w:t>
      </w:r>
      <w:r w:rsidR="004E05A7" w:rsidRPr="00AF1D30">
        <w:t>s</w:t>
      </w:r>
      <w:r w:rsidR="00BA5771" w:rsidRPr="00AF1D30">
        <w:t xml:space="preserve"> </w:t>
      </w:r>
      <w:r w:rsidR="00855168">
        <w:rPr>
          <w:lang w:val="id-ID"/>
        </w:rPr>
        <w:t xml:space="preserve">is a meaningful </w:t>
      </w:r>
      <w:r w:rsidR="004E05A7" w:rsidRPr="00AF1D30">
        <w:t xml:space="preserve">shift </w:t>
      </w:r>
      <w:r w:rsidR="00855168">
        <w:rPr>
          <w:lang w:val="id-ID"/>
        </w:rPr>
        <w:t xml:space="preserve">of approach </w:t>
      </w:r>
      <w:r w:rsidR="00BA5771" w:rsidRPr="00AF1D30">
        <w:t xml:space="preserve">as it </w:t>
      </w:r>
      <w:r w:rsidR="007050F3">
        <w:t xml:space="preserve">poses </w:t>
      </w:r>
      <w:r w:rsidR="00BA5771" w:rsidRPr="00AF1D30">
        <w:t>multiple challenges</w:t>
      </w:r>
      <w:r>
        <w:rPr>
          <w:lang w:val="id-ID"/>
        </w:rPr>
        <w:t xml:space="preserve"> for implementation</w:t>
      </w:r>
      <w:r w:rsidR="00BA5771" w:rsidRPr="00AF1D30">
        <w:t xml:space="preserve"> </w:t>
      </w:r>
      <w:r w:rsidR="007050F3">
        <w:t xml:space="preserve">but also high expectation of </w:t>
      </w:r>
      <w:r w:rsidR="00BA5771" w:rsidRPr="00AF1D30">
        <w:t>po</w:t>
      </w:r>
      <w:r w:rsidR="007050F3">
        <w:t>sitive</w:t>
      </w:r>
      <w:r w:rsidR="00BA5771" w:rsidRPr="00AF1D30">
        <w:t xml:space="preserve"> results in terms </w:t>
      </w:r>
      <w:r w:rsidR="004E05A7" w:rsidRPr="00AF1D30">
        <w:t xml:space="preserve">of </w:t>
      </w:r>
      <w:r w:rsidR="00BA5771" w:rsidRPr="00AF1D30">
        <w:t xml:space="preserve">improved schools and Madrasah management. Whereas some of the numbers shown in section 2.1 might appear low </w:t>
      </w:r>
      <w:r w:rsidR="00BA5771" w:rsidRPr="00AF1D30">
        <w:rPr>
          <w:rFonts w:asciiTheme="minorHAnsi" w:eastAsiaTheme="minorHAnsi" w:hAnsiTheme="minorHAnsi" w:cstheme="minorHAnsi"/>
          <w:szCs w:val="22"/>
          <w:lang w:eastAsia="en-US"/>
        </w:rPr>
        <w:t>compared to the respective 2012 JRF target, they reflect the piloting nature of the activities and the complexity of the system to be established before it can be rolled out nationwide</w:t>
      </w:r>
      <w:r w:rsidR="00855168">
        <w:rPr>
          <w:rFonts w:asciiTheme="minorHAnsi" w:eastAsiaTheme="minorHAnsi" w:hAnsiTheme="minorHAnsi" w:cstheme="minorHAnsi"/>
          <w:szCs w:val="22"/>
          <w:lang w:val="id-ID" w:eastAsia="en-US"/>
        </w:rPr>
        <w:t>. I</w:t>
      </w:r>
      <w:r w:rsidR="00BA5771" w:rsidRPr="00AF1D30">
        <w:rPr>
          <w:rFonts w:asciiTheme="minorHAnsi" w:eastAsiaTheme="minorHAnsi" w:hAnsiTheme="minorHAnsi" w:cstheme="minorHAnsi"/>
          <w:szCs w:val="22"/>
          <w:lang w:eastAsia="en-US"/>
        </w:rPr>
        <w:t>n particular</w:t>
      </w:r>
      <w:r w:rsidR="007050F3">
        <w:rPr>
          <w:rFonts w:asciiTheme="minorHAnsi" w:eastAsiaTheme="minorHAnsi" w:hAnsiTheme="minorHAnsi" w:cstheme="minorHAnsi"/>
          <w:szCs w:val="22"/>
          <w:lang w:eastAsia="en-US"/>
        </w:rPr>
        <w:t>,</w:t>
      </w:r>
      <w:r w:rsidR="00BA5771" w:rsidRPr="00AF1D30">
        <w:rPr>
          <w:rFonts w:asciiTheme="minorHAnsi" w:eastAsiaTheme="minorHAnsi" w:hAnsiTheme="minorHAnsi" w:cstheme="minorHAnsi"/>
          <w:szCs w:val="22"/>
          <w:lang w:eastAsia="en-US"/>
        </w:rPr>
        <w:t xml:space="preserve"> the necessity to integrate the different parts and trialling the design of each training program</w:t>
      </w:r>
      <w:r w:rsidR="00855168">
        <w:rPr>
          <w:rFonts w:asciiTheme="minorHAnsi" w:eastAsiaTheme="minorHAnsi" w:hAnsiTheme="minorHAnsi" w:cstheme="minorHAnsi"/>
          <w:szCs w:val="22"/>
          <w:lang w:val="id-ID" w:eastAsia="en-US"/>
        </w:rPr>
        <w:t xml:space="preserve"> is time and resource consuming</w:t>
      </w:r>
      <w:r w:rsidR="00BA5771" w:rsidRPr="00AF1D30">
        <w:rPr>
          <w:rFonts w:asciiTheme="minorHAnsi" w:eastAsiaTheme="minorHAnsi" w:hAnsiTheme="minorHAnsi" w:cstheme="minorHAnsi"/>
          <w:szCs w:val="22"/>
          <w:lang w:eastAsia="en-US"/>
        </w:rPr>
        <w:t>. Conversely</w:t>
      </w:r>
      <w:r>
        <w:rPr>
          <w:rFonts w:asciiTheme="minorHAnsi" w:eastAsiaTheme="minorHAnsi" w:hAnsiTheme="minorHAnsi" w:cstheme="minorHAnsi"/>
          <w:szCs w:val="22"/>
          <w:lang w:val="id-ID" w:eastAsia="en-US"/>
        </w:rPr>
        <w:t>,</w:t>
      </w:r>
      <w:r w:rsidR="00BA5771" w:rsidRPr="00AF1D30">
        <w:rPr>
          <w:rFonts w:asciiTheme="minorHAnsi" w:eastAsiaTheme="minorHAnsi" w:hAnsiTheme="minorHAnsi" w:cstheme="minorHAnsi"/>
          <w:szCs w:val="22"/>
          <w:lang w:eastAsia="en-US"/>
        </w:rPr>
        <w:t xml:space="preserve"> the impressive number of </w:t>
      </w:r>
      <w:r w:rsidR="00BA5771" w:rsidRPr="00AF1D30">
        <w:rPr>
          <w:rFonts w:eastAsia="MS Mincho"/>
          <w:color w:val="000000"/>
          <w:kern w:val="24"/>
          <w:szCs w:val="32"/>
          <w:lang w:eastAsia="id-ID"/>
        </w:rPr>
        <w:t xml:space="preserve">participants reported </w:t>
      </w:r>
      <w:r w:rsidR="004E05A7" w:rsidRPr="00AF1D30">
        <w:rPr>
          <w:rFonts w:eastAsia="MS Mincho"/>
          <w:color w:val="000000"/>
          <w:kern w:val="24"/>
          <w:szCs w:val="32"/>
          <w:lang w:eastAsia="id-ID"/>
        </w:rPr>
        <w:t>for</w:t>
      </w:r>
      <w:r w:rsidR="00BA5771" w:rsidRPr="00AF1D30">
        <w:rPr>
          <w:rFonts w:eastAsia="MS Mincho"/>
          <w:color w:val="000000"/>
          <w:kern w:val="24"/>
          <w:szCs w:val="32"/>
          <w:lang w:eastAsia="id-ID"/>
        </w:rPr>
        <w:t xml:space="preserve"> the BOS management training </w:t>
      </w:r>
      <w:r w:rsidR="004E05A7" w:rsidRPr="00AF1D30">
        <w:rPr>
          <w:rFonts w:eastAsia="MS Mincho"/>
          <w:color w:val="000000"/>
          <w:kern w:val="24"/>
          <w:szCs w:val="32"/>
          <w:lang w:eastAsia="id-ID"/>
        </w:rPr>
        <w:t>is based on</w:t>
      </w:r>
      <w:r>
        <w:rPr>
          <w:rFonts w:eastAsia="MS Mincho"/>
          <w:color w:val="000000"/>
          <w:kern w:val="24"/>
          <w:szCs w:val="32"/>
          <w:lang w:eastAsia="id-ID"/>
        </w:rPr>
        <w:t xml:space="preserve"> a short</w:t>
      </w:r>
      <w:r>
        <w:rPr>
          <w:rFonts w:eastAsia="MS Mincho"/>
          <w:color w:val="000000"/>
          <w:kern w:val="24"/>
          <w:szCs w:val="32"/>
          <w:lang w:val="id-ID" w:eastAsia="id-ID"/>
        </w:rPr>
        <w:t>-</w:t>
      </w:r>
      <w:r w:rsidR="00BA5771" w:rsidRPr="00AF1D30">
        <w:rPr>
          <w:rFonts w:eastAsia="MS Mincho"/>
          <w:color w:val="000000"/>
          <w:kern w:val="24"/>
          <w:szCs w:val="32"/>
          <w:lang w:eastAsia="id-ID"/>
        </w:rPr>
        <w:t xml:space="preserve">training process (3 participants per school for 3 days) and </w:t>
      </w:r>
      <w:r w:rsidR="004E05A7" w:rsidRPr="00AF1D30">
        <w:rPr>
          <w:rFonts w:eastAsia="MS Mincho"/>
          <w:color w:val="000000"/>
          <w:kern w:val="24"/>
          <w:szCs w:val="32"/>
          <w:lang w:eastAsia="id-ID"/>
        </w:rPr>
        <w:t xml:space="preserve">reflects </w:t>
      </w:r>
      <w:r w:rsidR="00BA5771" w:rsidRPr="00AF1D30">
        <w:rPr>
          <w:rFonts w:eastAsia="MS Mincho"/>
          <w:color w:val="000000"/>
          <w:kern w:val="24"/>
          <w:szCs w:val="32"/>
          <w:lang w:eastAsia="id-ID"/>
        </w:rPr>
        <w:t>a one-off result that is unlikely to be reproduced</w:t>
      </w:r>
      <w:r w:rsidR="00C93DDA" w:rsidRPr="00AF1D30">
        <w:rPr>
          <w:rFonts w:eastAsia="MS Mincho"/>
          <w:color w:val="000000"/>
          <w:kern w:val="24"/>
          <w:szCs w:val="32"/>
          <w:lang w:eastAsia="id-ID"/>
        </w:rPr>
        <w:t xml:space="preserve"> with EP funds</w:t>
      </w:r>
      <w:r w:rsidR="00BA5771" w:rsidRPr="00AF1D30">
        <w:rPr>
          <w:rFonts w:eastAsia="MS Mincho"/>
          <w:color w:val="000000"/>
          <w:kern w:val="24"/>
          <w:szCs w:val="32"/>
          <w:lang w:eastAsia="id-ID"/>
        </w:rPr>
        <w:t>.</w:t>
      </w:r>
      <w:r w:rsidR="00C93DDA" w:rsidRPr="00AF1D30">
        <w:rPr>
          <w:rFonts w:eastAsia="MS Mincho"/>
          <w:color w:val="000000"/>
          <w:kern w:val="24"/>
          <w:szCs w:val="32"/>
          <w:lang w:eastAsia="id-ID"/>
        </w:rPr>
        <w:t xml:space="preserve"> </w:t>
      </w:r>
      <w:r w:rsidR="00C93DDA" w:rsidRPr="00AF1D30">
        <w:rPr>
          <w:rFonts w:asciiTheme="minorHAnsi" w:eastAsiaTheme="minorHAnsi" w:hAnsiTheme="minorHAnsi" w:cstheme="minorHAnsi"/>
          <w:szCs w:val="22"/>
          <w:lang w:eastAsia="en-US"/>
        </w:rPr>
        <w:t xml:space="preserve">This points </w:t>
      </w:r>
      <w:r w:rsidR="007050F3">
        <w:rPr>
          <w:rFonts w:asciiTheme="minorHAnsi" w:eastAsiaTheme="minorHAnsi" w:hAnsiTheme="minorHAnsi" w:cstheme="minorHAnsi"/>
          <w:szCs w:val="22"/>
          <w:lang w:eastAsia="en-US"/>
        </w:rPr>
        <w:t xml:space="preserve">to </w:t>
      </w:r>
      <w:r w:rsidR="00C93DDA" w:rsidRPr="00AF1D30">
        <w:rPr>
          <w:rFonts w:asciiTheme="minorHAnsi" w:eastAsiaTheme="minorHAnsi" w:hAnsiTheme="minorHAnsi" w:cstheme="minorHAnsi"/>
          <w:szCs w:val="22"/>
          <w:lang w:eastAsia="en-US"/>
        </w:rPr>
        <w:t>the limitations of</w:t>
      </w:r>
      <w:r w:rsidR="00BA5771" w:rsidRPr="00AF1D30">
        <w:rPr>
          <w:rFonts w:asciiTheme="minorHAnsi" w:eastAsiaTheme="minorHAnsi" w:hAnsiTheme="minorHAnsi" w:cstheme="minorHAnsi"/>
          <w:szCs w:val="22"/>
          <w:lang w:eastAsia="en-US"/>
        </w:rPr>
        <w:t xml:space="preserve"> </w:t>
      </w:r>
      <w:r w:rsidR="00BA5771" w:rsidRPr="00AF1D30">
        <w:rPr>
          <w:rFonts w:asciiTheme="minorHAnsi" w:eastAsiaTheme="minorHAnsi" w:hAnsiTheme="minorHAnsi" w:cstheme="minorBidi"/>
          <w:szCs w:val="22"/>
          <w:lang w:eastAsia="en-US"/>
        </w:rPr>
        <w:t xml:space="preserve">the JRF </w:t>
      </w:r>
      <w:r w:rsidR="00C93DDA" w:rsidRPr="00AF1D30">
        <w:rPr>
          <w:rFonts w:asciiTheme="minorHAnsi" w:eastAsiaTheme="minorHAnsi" w:hAnsiTheme="minorHAnsi" w:cstheme="minorBidi"/>
          <w:szCs w:val="22"/>
          <w:lang w:eastAsia="en-US"/>
        </w:rPr>
        <w:t>targets</w:t>
      </w:r>
      <w:r w:rsidR="00F70ED0">
        <w:rPr>
          <w:rFonts w:asciiTheme="minorHAnsi" w:eastAsiaTheme="minorHAnsi" w:hAnsiTheme="minorHAnsi" w:cstheme="minorBidi"/>
          <w:szCs w:val="22"/>
          <w:lang w:eastAsia="en-US"/>
        </w:rPr>
        <w:t xml:space="preserve">, the </w:t>
      </w:r>
      <w:r w:rsidR="00C93DDA" w:rsidRPr="00AF1D30">
        <w:rPr>
          <w:rFonts w:asciiTheme="minorHAnsi" w:eastAsiaTheme="minorHAnsi" w:hAnsiTheme="minorHAnsi" w:cstheme="minorBidi"/>
          <w:szCs w:val="22"/>
          <w:lang w:eastAsia="en-US"/>
        </w:rPr>
        <w:t xml:space="preserve">quantitative nature </w:t>
      </w:r>
      <w:r w:rsidR="00F70ED0">
        <w:rPr>
          <w:rFonts w:asciiTheme="minorHAnsi" w:eastAsiaTheme="minorHAnsi" w:hAnsiTheme="minorHAnsi" w:cstheme="minorBidi"/>
          <w:szCs w:val="22"/>
          <w:lang w:eastAsia="en-US"/>
        </w:rPr>
        <w:t xml:space="preserve">of which </w:t>
      </w:r>
      <w:r w:rsidR="00C93DDA" w:rsidRPr="00AF1D30">
        <w:rPr>
          <w:rFonts w:asciiTheme="minorHAnsi" w:eastAsiaTheme="minorHAnsi" w:hAnsiTheme="minorHAnsi" w:cstheme="minorBidi"/>
          <w:szCs w:val="22"/>
          <w:lang w:eastAsia="en-US"/>
        </w:rPr>
        <w:t>d</w:t>
      </w:r>
      <w:r w:rsidR="00BA5771" w:rsidRPr="00AF1D30">
        <w:rPr>
          <w:rFonts w:asciiTheme="minorHAnsi" w:eastAsiaTheme="minorHAnsi" w:hAnsiTheme="minorHAnsi" w:cstheme="minorBidi"/>
          <w:szCs w:val="22"/>
          <w:lang w:eastAsia="en-US"/>
        </w:rPr>
        <w:t xml:space="preserve">o not capture the full extent and nature of the significant capacity building focus provided through SSQ. </w:t>
      </w:r>
      <w:r w:rsidR="005A7E98" w:rsidRPr="00AF1D30">
        <w:rPr>
          <w:rFonts w:asciiTheme="minorHAnsi" w:eastAsiaTheme="minorHAnsi" w:hAnsiTheme="minorHAnsi" w:cstheme="minorBidi"/>
          <w:szCs w:val="22"/>
          <w:lang w:eastAsia="en-US"/>
        </w:rPr>
        <w:t>Additional comments about C2 work are</w:t>
      </w:r>
      <w:r w:rsidR="007050F3">
        <w:rPr>
          <w:rFonts w:asciiTheme="minorHAnsi" w:eastAsiaTheme="minorHAnsi" w:hAnsiTheme="minorHAnsi" w:cstheme="minorBidi"/>
          <w:szCs w:val="22"/>
          <w:lang w:eastAsia="en-US"/>
        </w:rPr>
        <w:t xml:space="preserve"> as follows</w:t>
      </w:r>
      <w:r w:rsidR="005A7E98" w:rsidRPr="00AF1D30">
        <w:rPr>
          <w:rFonts w:asciiTheme="minorHAnsi" w:eastAsiaTheme="minorHAnsi" w:hAnsiTheme="minorHAnsi" w:cstheme="minorBidi"/>
          <w:szCs w:val="22"/>
          <w:lang w:eastAsia="en-US"/>
        </w:rPr>
        <w:t>:</w:t>
      </w:r>
    </w:p>
    <w:p w14:paraId="716A7B68" w14:textId="5D25A41B" w:rsidR="00984BB5" w:rsidRPr="00AF1D30" w:rsidRDefault="007050F3" w:rsidP="005A7E98">
      <w:pPr>
        <w:pStyle w:val="ListParagraph"/>
        <w:numPr>
          <w:ilvl w:val="0"/>
          <w:numId w:val="26"/>
        </w:numPr>
        <w:tabs>
          <w:tab w:val="num" w:pos="360"/>
        </w:tabs>
        <w:spacing w:before="120" w:after="0"/>
        <w:contextualSpacing w:val="0"/>
      </w:pPr>
      <w:r>
        <w:t>B</w:t>
      </w:r>
      <w:r w:rsidR="00984BB5" w:rsidRPr="00AF1D30">
        <w:t>uy-in</w:t>
      </w:r>
      <w:r w:rsidR="004E05A7" w:rsidRPr="00AF1D30">
        <w:t xml:space="preserve"> </w:t>
      </w:r>
      <w:r w:rsidR="00063CE2">
        <w:rPr>
          <w:lang w:val="id-ID"/>
        </w:rPr>
        <w:t xml:space="preserve">by relevant stakeholders </w:t>
      </w:r>
      <w:r w:rsidR="004E05A7" w:rsidRPr="00AF1D30">
        <w:t>of</w:t>
      </w:r>
      <w:r w:rsidR="00C93DDA" w:rsidRPr="00AF1D30">
        <w:t xml:space="preserve"> some elements of the work under C2</w:t>
      </w:r>
      <w:r w:rsidR="005A7E98" w:rsidRPr="00AF1D30">
        <w:t xml:space="preserve"> i</w:t>
      </w:r>
      <w:r w:rsidR="00C93DDA" w:rsidRPr="00AF1D30">
        <w:t>s becoming apparent</w:t>
      </w:r>
      <w:r>
        <w:t>. F</w:t>
      </w:r>
      <w:r w:rsidR="00C93DDA" w:rsidRPr="00AF1D30">
        <w:t>or instance</w:t>
      </w:r>
      <w:r>
        <w:t>,</w:t>
      </w:r>
      <w:r w:rsidR="00C93DDA" w:rsidRPr="00AF1D30">
        <w:t xml:space="preserve"> 9 district</w:t>
      </w:r>
      <w:r w:rsidR="005A7E98" w:rsidRPr="00AF1D30">
        <w:t>s</w:t>
      </w:r>
      <w:r w:rsidR="00C93DDA" w:rsidRPr="00AF1D30">
        <w:t xml:space="preserve"> (out of 170 included in the piloting phase) </w:t>
      </w:r>
      <w:r w:rsidR="00063CE2">
        <w:t>are funding</w:t>
      </w:r>
      <w:r w:rsidR="00063CE2">
        <w:rPr>
          <w:lang w:val="id-ID"/>
        </w:rPr>
        <w:t xml:space="preserve"> the implementation of</w:t>
      </w:r>
      <w:r w:rsidR="00481074">
        <w:t xml:space="preserve"> </w:t>
      </w:r>
      <w:r w:rsidR="00984BB5" w:rsidRPr="00AF1D30">
        <w:t xml:space="preserve">PPP </w:t>
      </w:r>
      <w:r w:rsidR="00C93DDA" w:rsidRPr="00AF1D30">
        <w:t>training program</w:t>
      </w:r>
      <w:r>
        <w:t>s</w:t>
      </w:r>
      <w:r w:rsidR="00C93DDA" w:rsidRPr="00AF1D30">
        <w:t xml:space="preserve"> </w:t>
      </w:r>
      <w:r w:rsidR="00984BB5" w:rsidRPr="00AF1D30">
        <w:t xml:space="preserve">themselves. Similarly, an independent assessment of </w:t>
      </w:r>
      <w:r w:rsidR="00C93DDA" w:rsidRPr="00AF1D30">
        <w:t xml:space="preserve">the EP-funded </w:t>
      </w:r>
      <w:r w:rsidR="00984BB5" w:rsidRPr="00AF1D30">
        <w:t>BOS training</w:t>
      </w:r>
      <w:r w:rsidR="00C93DDA" w:rsidRPr="00AF1D30">
        <w:t xml:space="preserve"> has indicated that it directly contributed to increased knowledge of BOS and </w:t>
      </w:r>
      <w:r w:rsidR="00984BB5" w:rsidRPr="00AF1D30">
        <w:t>school management</w:t>
      </w:r>
      <w:r w:rsidR="00C93DDA" w:rsidRPr="00AF1D30">
        <w:t xml:space="preserve"> practices</w:t>
      </w:r>
      <w:r w:rsidR="00984BB5" w:rsidRPr="00AF1D30">
        <w:t xml:space="preserve">, with the leadership capacity of school principals </w:t>
      </w:r>
      <w:r w:rsidR="00A37673" w:rsidRPr="00AF1D30">
        <w:t>seemingly</w:t>
      </w:r>
      <w:r w:rsidR="00984BB5" w:rsidRPr="00AF1D30">
        <w:t xml:space="preserve"> central to determining success. </w:t>
      </w:r>
      <w:r w:rsidR="00C93DDA" w:rsidRPr="00AF1D30">
        <w:t>As a pro</w:t>
      </w:r>
      <w:r w:rsidR="00481074">
        <w:t>of</w:t>
      </w:r>
      <w:r w:rsidR="00C93DDA" w:rsidRPr="00AF1D30">
        <w:t xml:space="preserve"> of its widespread reach, 16</w:t>
      </w:r>
      <w:r w:rsidR="0016034C" w:rsidRPr="00AF1D30">
        <w:t xml:space="preserve"> of th</w:t>
      </w:r>
      <w:r w:rsidR="00984BB5" w:rsidRPr="00AF1D30">
        <w:t xml:space="preserve">e </w:t>
      </w:r>
      <w:r w:rsidR="0016034C" w:rsidRPr="00AF1D30">
        <w:t xml:space="preserve">23 </w:t>
      </w:r>
      <w:r w:rsidR="00984BB5" w:rsidRPr="00AF1D30">
        <w:t>districts</w:t>
      </w:r>
      <w:r w:rsidR="0016034C" w:rsidRPr="00AF1D30">
        <w:t xml:space="preserve"> that did not benefit from the initial BOS training are currently participating in the training program, with </w:t>
      </w:r>
      <w:r w:rsidR="00C93DDA" w:rsidRPr="00AF1D30">
        <w:t>MoEC</w:t>
      </w:r>
      <w:r w:rsidR="00984BB5" w:rsidRPr="00AF1D30">
        <w:t xml:space="preserve"> actively seeking to ensure that the remaining districts in Papua also</w:t>
      </w:r>
      <w:r w:rsidR="0016034C" w:rsidRPr="00AF1D30">
        <w:t xml:space="preserve"> benefit</w:t>
      </w:r>
      <w:r w:rsidR="00C93DDA" w:rsidRPr="00AF1D30">
        <w:t>.</w:t>
      </w:r>
    </w:p>
    <w:p w14:paraId="07DD878E" w14:textId="59BE61FA" w:rsidR="005A7E98" w:rsidRPr="00AF1D30" w:rsidRDefault="005A7E98" w:rsidP="005A7E98">
      <w:pPr>
        <w:pStyle w:val="ListParagraph"/>
        <w:numPr>
          <w:ilvl w:val="0"/>
          <w:numId w:val="26"/>
        </w:numPr>
        <w:tabs>
          <w:tab w:val="num" w:pos="360"/>
        </w:tabs>
        <w:spacing w:before="120" w:after="0"/>
        <w:contextualSpacing w:val="0"/>
      </w:pPr>
      <w:r w:rsidRPr="00AF1D30">
        <w:t>These achie</w:t>
      </w:r>
      <w:r w:rsidR="00063CE2">
        <w:t>vements have to be</w:t>
      </w:r>
      <w:r w:rsidRPr="00AF1D30">
        <w:t xml:space="preserve"> capitalised upon with </w:t>
      </w:r>
      <w:r w:rsidR="007050F3">
        <w:t xml:space="preserve">due consideration of speed </w:t>
      </w:r>
      <w:r w:rsidRPr="00AF1D30">
        <w:t xml:space="preserve">and resources. </w:t>
      </w:r>
      <w:r w:rsidR="00C93DDA" w:rsidRPr="00AF1D30">
        <w:t>MoEC commitment to the CPD system, illustrated by the Minister’s public</w:t>
      </w:r>
      <w:r w:rsidR="00A41C28" w:rsidRPr="00AF1D30">
        <w:t xml:space="preserve"> declaration</w:t>
      </w:r>
      <w:r w:rsidRPr="00AF1D30">
        <w:t xml:space="preserve"> on the accessibility of a CPD system </w:t>
      </w:r>
      <w:r w:rsidR="00C93DDA" w:rsidRPr="00AF1D30">
        <w:t xml:space="preserve">to all principals by the end of 2013, </w:t>
      </w:r>
      <w:r w:rsidRPr="00AF1D30">
        <w:t>present</w:t>
      </w:r>
      <w:r w:rsidR="004E05A7" w:rsidRPr="00AF1D30">
        <w:t>s</w:t>
      </w:r>
      <w:r w:rsidRPr="00AF1D30">
        <w:t xml:space="preserve"> challenges for consistency and </w:t>
      </w:r>
      <w:r w:rsidR="00A41C28" w:rsidRPr="00AF1D30">
        <w:t>quality</w:t>
      </w:r>
      <w:r w:rsidRPr="00AF1D30">
        <w:t xml:space="preserve"> of the achi</w:t>
      </w:r>
      <w:r w:rsidR="004E05A7" w:rsidRPr="00AF1D30">
        <w:t>e</w:t>
      </w:r>
      <w:r w:rsidRPr="00AF1D30">
        <w:t xml:space="preserve">vements. There are already indications that some training participants (e.g. DEO/PEO </w:t>
      </w:r>
      <w:r w:rsidR="00063CE2">
        <w:rPr>
          <w:lang w:val="id-ID"/>
        </w:rPr>
        <w:t xml:space="preserve">officials </w:t>
      </w:r>
      <w:r w:rsidRPr="00AF1D30">
        <w:t>who participated in HRM</w:t>
      </w:r>
      <w:r w:rsidR="007050F3">
        <w:t>/</w:t>
      </w:r>
      <w:r w:rsidRPr="00AF1D30">
        <w:t xml:space="preserve">D training) reported a poor understanding of how to apply their new knowledge, suggesting a threat to the attainment of </w:t>
      </w:r>
      <w:r w:rsidR="007050F3">
        <w:t xml:space="preserve">the higher level </w:t>
      </w:r>
      <w:r w:rsidR="004E05A7" w:rsidRPr="00AF1D30">
        <w:t>EOPO 2.</w:t>
      </w:r>
      <w:r w:rsidRPr="00AF1D30">
        <w:t xml:space="preserve"> This</w:t>
      </w:r>
      <w:r w:rsidR="00A41C28" w:rsidRPr="00AF1D30">
        <w:t xml:space="preserve"> is compounded by the risks associated with the</w:t>
      </w:r>
      <w:r w:rsidR="00A37673" w:rsidRPr="00AF1D30">
        <w:t xml:space="preserve"> transfer of</w:t>
      </w:r>
      <w:r w:rsidR="00A41C28" w:rsidRPr="00AF1D30">
        <w:t xml:space="preserve"> </w:t>
      </w:r>
      <w:r w:rsidR="004E05A7" w:rsidRPr="00AF1D30">
        <w:t xml:space="preserve">management </w:t>
      </w:r>
      <w:r w:rsidR="00A41C28" w:rsidRPr="00AF1D30">
        <w:t xml:space="preserve">responsibility of the training system from SSQ to </w:t>
      </w:r>
      <w:r w:rsidR="00063CE2">
        <w:rPr>
          <w:lang w:val="id-ID"/>
        </w:rPr>
        <w:t xml:space="preserve">MoEC </w:t>
      </w:r>
      <w:r w:rsidR="00C93DDA" w:rsidRPr="00AF1D30">
        <w:t xml:space="preserve">Pusbang Tendik </w:t>
      </w:r>
      <w:r w:rsidR="00A41C28" w:rsidRPr="00AF1D30">
        <w:t xml:space="preserve">in </w:t>
      </w:r>
      <w:r w:rsidR="00C93DDA" w:rsidRPr="00AF1D30">
        <w:t>April 2</w:t>
      </w:r>
      <w:r w:rsidR="00A41C28" w:rsidRPr="00AF1D30">
        <w:t>013</w:t>
      </w:r>
      <w:r w:rsidR="007050F3">
        <w:t>,</w:t>
      </w:r>
      <w:r w:rsidR="00A41C28" w:rsidRPr="00AF1D30">
        <w:t xml:space="preserve"> risks which also represent long-term institutional opportunities for the education sector in Indonesia</w:t>
      </w:r>
      <w:r w:rsidR="00A37673" w:rsidRPr="00AF1D30">
        <w:t xml:space="preserve"> should the necessary system strengthening occur and be resourced appropriately in subsequent years</w:t>
      </w:r>
      <w:r w:rsidR="00A41C28" w:rsidRPr="00AF1D30">
        <w:t xml:space="preserve">. </w:t>
      </w:r>
    </w:p>
    <w:p w14:paraId="03DF74CA" w14:textId="77C18CE8" w:rsidR="00A41C28" w:rsidRPr="00AF1D30" w:rsidRDefault="0016034C" w:rsidP="005A7E98">
      <w:pPr>
        <w:pStyle w:val="ListParagraph"/>
        <w:numPr>
          <w:ilvl w:val="0"/>
          <w:numId w:val="26"/>
        </w:numPr>
        <w:tabs>
          <w:tab w:val="num" w:pos="360"/>
        </w:tabs>
        <w:spacing w:before="120" w:after="0"/>
        <w:contextualSpacing w:val="0"/>
      </w:pPr>
      <w:r w:rsidRPr="00AF1D30">
        <w:t>From an external oversight and monitoring pers</w:t>
      </w:r>
      <w:r w:rsidR="004E05A7" w:rsidRPr="00AF1D30">
        <w:t>pective,</w:t>
      </w:r>
      <w:r w:rsidR="005A7E98" w:rsidRPr="00AF1D30">
        <w:t xml:space="preserve"> the</w:t>
      </w:r>
      <w:r w:rsidR="004E05A7" w:rsidRPr="00AF1D30">
        <w:t>re is a</w:t>
      </w:r>
      <w:r w:rsidR="005A7E98" w:rsidRPr="00AF1D30">
        <w:t xml:space="preserve"> need for </w:t>
      </w:r>
      <w:r w:rsidRPr="00AF1D30">
        <w:t>EP stakeholders to articulate expected shifts in knowledge, attitudes and practices</w:t>
      </w:r>
      <w:r w:rsidR="00A37673" w:rsidRPr="00AF1D30">
        <w:t xml:space="preserve"> in </w:t>
      </w:r>
      <w:r w:rsidR="007050F3">
        <w:t xml:space="preserve">the </w:t>
      </w:r>
      <w:r w:rsidR="00A37673" w:rsidRPr="00AF1D30">
        <w:t>post-training phase</w:t>
      </w:r>
      <w:r w:rsidRPr="00AF1D30">
        <w:t xml:space="preserve">, </w:t>
      </w:r>
      <w:r w:rsidRPr="00AF1D30">
        <w:lastRenderedPageBreak/>
        <w:t xml:space="preserve">both to track the relevance and effectiveness of EP support but also to better map, understand and leverage wider systemic change within </w:t>
      </w:r>
      <w:r w:rsidR="005A7E98" w:rsidRPr="00AF1D30">
        <w:t>the respective</w:t>
      </w:r>
      <w:r w:rsidRPr="00AF1D30">
        <w:t xml:space="preserve"> institutions. </w:t>
      </w:r>
    </w:p>
    <w:p w14:paraId="07023482" w14:textId="0896C37C" w:rsidR="003E46F9" w:rsidRPr="00AF1D30" w:rsidRDefault="00457624" w:rsidP="00343EEE">
      <w:pPr>
        <w:pStyle w:val="StyleSub-HeadingGRMText2Before12pt"/>
        <w:numPr>
          <w:ilvl w:val="1"/>
          <w:numId w:val="3"/>
        </w:numPr>
        <w:tabs>
          <w:tab w:val="clear" w:pos="900"/>
          <w:tab w:val="left" w:pos="630"/>
        </w:tabs>
        <w:ind w:left="630" w:hanging="630"/>
      </w:pPr>
      <w:bookmarkStart w:id="32" w:name="_Toc345081140"/>
      <w:r w:rsidRPr="00AF1D30">
        <w:t xml:space="preserve">EOPO 3: </w:t>
      </w:r>
      <w:r w:rsidR="003E46F9" w:rsidRPr="00AF1D30">
        <w:t>Quality of Madrasah improves in line with NES</w:t>
      </w:r>
      <w:bookmarkEnd w:id="32"/>
    </w:p>
    <w:p w14:paraId="69D37782" w14:textId="7E6759F5" w:rsidR="00F57BBB" w:rsidRPr="00AF1D30" w:rsidRDefault="00984BB5" w:rsidP="0016034C">
      <w:r w:rsidRPr="00AF1D30">
        <w:t>EOPO 3</w:t>
      </w:r>
      <w:r w:rsidR="00051C34" w:rsidRPr="00AF1D30">
        <w:t xml:space="preserve"> is </w:t>
      </w:r>
      <w:r w:rsidR="004E05A7" w:rsidRPr="00AF1D30">
        <w:t xml:space="preserve">well </w:t>
      </w:r>
      <w:r w:rsidR="00051C34" w:rsidRPr="00AF1D30">
        <w:t xml:space="preserve">aligned with </w:t>
      </w:r>
      <w:r w:rsidR="003E46F9" w:rsidRPr="00AF1D30">
        <w:t>MoRA</w:t>
      </w:r>
      <w:r w:rsidR="00240571">
        <w:t>’s policy commitment</w:t>
      </w:r>
      <w:r w:rsidR="003E46F9" w:rsidRPr="00AF1D30">
        <w:t xml:space="preserve"> </w:t>
      </w:r>
      <w:r w:rsidR="00F57BBB" w:rsidRPr="00AF1D30">
        <w:t xml:space="preserve">to </w:t>
      </w:r>
      <w:r w:rsidR="00F04662" w:rsidRPr="00AF1D30">
        <w:t>support</w:t>
      </w:r>
      <w:r w:rsidR="005A7E98" w:rsidRPr="00AF1D30">
        <w:t xml:space="preserve"> </w:t>
      </w:r>
      <w:r w:rsidR="003E46F9" w:rsidRPr="00AF1D30">
        <w:t xml:space="preserve">Madrasah </w:t>
      </w:r>
      <w:r w:rsidR="001938C1">
        <w:t xml:space="preserve">in </w:t>
      </w:r>
      <w:r w:rsidR="00240571">
        <w:t>becom</w:t>
      </w:r>
      <w:r w:rsidR="001938C1">
        <w:t>ing</w:t>
      </w:r>
      <w:r w:rsidR="00240571" w:rsidRPr="00AF1D30">
        <w:t xml:space="preserve"> </w:t>
      </w:r>
      <w:r w:rsidR="003E46F9" w:rsidRPr="00AF1D30">
        <w:t>viable alternative education provider</w:t>
      </w:r>
      <w:r w:rsidR="00F04662" w:rsidRPr="00AF1D30">
        <w:t>s</w:t>
      </w:r>
      <w:r w:rsidR="00F57BBB" w:rsidRPr="00AF1D30">
        <w:t xml:space="preserve"> for Indonesian children</w:t>
      </w:r>
      <w:r w:rsidR="00F04662" w:rsidRPr="00AF1D30">
        <w:t xml:space="preserve">. </w:t>
      </w:r>
      <w:r w:rsidR="001938C1">
        <w:t>Similar</w:t>
      </w:r>
      <w:r w:rsidR="00F57BBB" w:rsidRPr="00AF1D30">
        <w:t xml:space="preserve"> to C2, the</w:t>
      </w:r>
      <w:r w:rsidR="00063CE2">
        <w:rPr>
          <w:lang w:val="id-ID"/>
        </w:rPr>
        <w:t xml:space="preserve"> </w:t>
      </w:r>
      <w:r w:rsidR="00F57BBB" w:rsidRPr="00AF1D30">
        <w:t>underl</w:t>
      </w:r>
      <w:r w:rsidR="001938C1">
        <w:t>yi</w:t>
      </w:r>
      <w:r w:rsidR="00F57BBB" w:rsidRPr="00AF1D30">
        <w:t xml:space="preserve">ng principle of C3 work is </w:t>
      </w:r>
      <w:r w:rsidR="00051C34" w:rsidRPr="00AF1D30">
        <w:t>a</w:t>
      </w:r>
      <w:r w:rsidR="003E46F9" w:rsidRPr="00AF1D30">
        <w:t xml:space="preserve"> shift </w:t>
      </w:r>
      <w:r w:rsidR="004E05A7" w:rsidRPr="00AF1D30">
        <w:t>in</w:t>
      </w:r>
      <w:r w:rsidR="003E46F9" w:rsidRPr="00AF1D30">
        <w:t xml:space="preserve"> </w:t>
      </w:r>
      <w:r w:rsidR="00F57BBB" w:rsidRPr="00AF1D30">
        <w:t xml:space="preserve">MoRA </w:t>
      </w:r>
      <w:r w:rsidR="003E46F9" w:rsidRPr="00AF1D30">
        <w:t>approach</w:t>
      </w:r>
      <w:r w:rsidR="001938C1">
        <w:t xml:space="preserve">. In the case of C3, the shift is </w:t>
      </w:r>
      <w:r w:rsidR="003E46F9" w:rsidRPr="00AF1D30">
        <w:t xml:space="preserve">from </w:t>
      </w:r>
      <w:r w:rsidR="00F57BBB" w:rsidRPr="00AF1D30">
        <w:t xml:space="preserve">promoting </w:t>
      </w:r>
      <w:r w:rsidR="003E46F9" w:rsidRPr="00AF1D30">
        <w:t xml:space="preserve">accreditation </w:t>
      </w:r>
      <w:r w:rsidR="00F57BBB" w:rsidRPr="00AF1D30">
        <w:t xml:space="preserve">based on quantitative targets to </w:t>
      </w:r>
      <w:r w:rsidR="00063CE2">
        <w:rPr>
          <w:lang w:val="id-ID"/>
        </w:rPr>
        <w:t xml:space="preserve">one that </w:t>
      </w:r>
      <w:r w:rsidR="004E05A7" w:rsidRPr="00AF1D30">
        <w:t>support</w:t>
      </w:r>
      <w:r w:rsidR="00063CE2">
        <w:rPr>
          <w:lang w:val="id-ID"/>
        </w:rPr>
        <w:t xml:space="preserve">s </w:t>
      </w:r>
      <w:r w:rsidR="0075632D">
        <w:t xml:space="preserve">improvements in </w:t>
      </w:r>
      <w:r w:rsidR="004E05A7" w:rsidRPr="00AF1D30">
        <w:t xml:space="preserve">Madrasah </w:t>
      </w:r>
      <w:r w:rsidR="00063CE2">
        <w:rPr>
          <w:lang w:val="id-ID"/>
        </w:rPr>
        <w:t xml:space="preserve">ability to provide education </w:t>
      </w:r>
      <w:r w:rsidR="00F57BBB" w:rsidRPr="00AF1D30">
        <w:t>service</w:t>
      </w:r>
      <w:r w:rsidR="00063CE2">
        <w:rPr>
          <w:lang w:val="id-ID"/>
        </w:rPr>
        <w:t>s which will then lead to their accreditation by BAN-S/M</w:t>
      </w:r>
      <w:r w:rsidR="00F57BBB" w:rsidRPr="00AF1D30">
        <w:t xml:space="preserve">. This shift is fundamental as it moves </w:t>
      </w:r>
      <w:r w:rsidR="004E05A7" w:rsidRPr="00AF1D30">
        <w:t xml:space="preserve">the centre of attention </w:t>
      </w:r>
      <w:r w:rsidR="00F57BBB" w:rsidRPr="00AF1D30">
        <w:t xml:space="preserve">from accreditation to quality improvement. </w:t>
      </w:r>
    </w:p>
    <w:p w14:paraId="3F9F3966" w14:textId="21C9616E" w:rsidR="00C40998" w:rsidRPr="00AF1D30" w:rsidRDefault="00F57BBB" w:rsidP="0016034C">
      <w:r w:rsidRPr="00AF1D30">
        <w:t xml:space="preserve">The </w:t>
      </w:r>
      <w:r w:rsidR="009F0F25" w:rsidRPr="00AF1D30">
        <w:t>C</w:t>
      </w:r>
      <w:r w:rsidR="009F0F25">
        <w:rPr>
          <w:lang w:val="id-ID"/>
        </w:rPr>
        <w:t xml:space="preserve">3 </w:t>
      </w:r>
      <w:r w:rsidRPr="009F0F25">
        <w:t xml:space="preserve">work </w:t>
      </w:r>
      <w:r w:rsidR="009F0F25" w:rsidRPr="009F0F25">
        <w:rPr>
          <w:lang w:val="id-ID"/>
        </w:rPr>
        <w:t>t</w:t>
      </w:r>
      <w:r w:rsidRPr="009F0F25">
        <w:t xml:space="preserve">o date </w:t>
      </w:r>
      <w:r w:rsidR="009F0F25" w:rsidRPr="009F0F25">
        <w:rPr>
          <w:lang w:val="id-ID"/>
        </w:rPr>
        <w:t>has been characterised by</w:t>
      </w:r>
      <w:r w:rsidR="003D63B4" w:rsidRPr="009F0F25">
        <w:t xml:space="preserve"> a high</w:t>
      </w:r>
      <w:r w:rsidR="003E46F9" w:rsidRPr="009F0F25">
        <w:t xml:space="preserve"> pace of </w:t>
      </w:r>
      <w:r w:rsidR="00063CE2" w:rsidRPr="009F0F25">
        <w:rPr>
          <w:lang w:val="id-ID"/>
        </w:rPr>
        <w:t xml:space="preserve">activity </w:t>
      </w:r>
      <w:r w:rsidR="003E46F9" w:rsidRPr="009F0F25">
        <w:t>implement</w:t>
      </w:r>
      <w:r w:rsidR="003D63B4" w:rsidRPr="009F0F25">
        <w:t>ation</w:t>
      </w:r>
      <w:r w:rsidR="009F0F25">
        <w:rPr>
          <w:lang w:val="id-ID"/>
        </w:rPr>
        <w:t xml:space="preserve"> and</w:t>
      </w:r>
      <w:r w:rsidR="009F0F25" w:rsidRPr="009F0F25">
        <w:rPr>
          <w:lang w:val="id-ID"/>
        </w:rPr>
        <w:t xml:space="preserve"> </w:t>
      </w:r>
      <w:r w:rsidR="006D321C" w:rsidRPr="009F0F25">
        <w:rPr>
          <w:lang w:val="id-ID"/>
        </w:rPr>
        <w:t xml:space="preserve">emerging </w:t>
      </w:r>
      <w:r w:rsidR="003D63B4" w:rsidRPr="009F0F25">
        <w:t xml:space="preserve">evidence of MoRA </w:t>
      </w:r>
      <w:r w:rsidR="009F0F25">
        <w:rPr>
          <w:lang w:val="id-ID"/>
        </w:rPr>
        <w:t>interest in its</w:t>
      </w:r>
      <w:r w:rsidR="009F0F25">
        <w:t xml:space="preserve"> model of support</w:t>
      </w:r>
      <w:r w:rsidR="009F0F25">
        <w:rPr>
          <w:lang w:val="id-ID"/>
        </w:rPr>
        <w:t xml:space="preserve"> (</w:t>
      </w:r>
      <w:r w:rsidR="003D63B4" w:rsidRPr="009F0F25">
        <w:t xml:space="preserve">e.g. MoRA renascent interest for the MDC model, </w:t>
      </w:r>
      <w:r w:rsidR="003E46F9" w:rsidRPr="009F0F25">
        <w:t>MoU between BAN</w:t>
      </w:r>
      <w:r w:rsidR="0075632D">
        <w:t>-</w:t>
      </w:r>
      <w:r w:rsidR="003E46F9" w:rsidRPr="009F0F25">
        <w:t>S/M and MoRA</w:t>
      </w:r>
      <w:r w:rsidR="003D63B4" w:rsidRPr="009F0F25">
        <w:t>, and</w:t>
      </w:r>
      <w:r w:rsidR="003E46F9" w:rsidRPr="009F0F25">
        <w:t xml:space="preserve"> </w:t>
      </w:r>
      <w:r w:rsidR="003D63B4" w:rsidRPr="009F0F25">
        <w:t>structural funding made available for Madrasah accreditation</w:t>
      </w:r>
      <w:r w:rsidR="009F0F25">
        <w:rPr>
          <w:lang w:val="id-ID"/>
        </w:rPr>
        <w:t>)</w:t>
      </w:r>
      <w:r w:rsidR="00051C34" w:rsidRPr="009F0F25">
        <w:t xml:space="preserve">. </w:t>
      </w:r>
      <w:r w:rsidR="003D63B4" w:rsidRPr="009F0F25">
        <w:t>Though</w:t>
      </w:r>
      <w:r w:rsidR="003D63B4" w:rsidRPr="00AF1D30">
        <w:t xml:space="preserve"> MoRA capacity at s</w:t>
      </w:r>
      <w:r w:rsidR="00C40998" w:rsidRPr="00AF1D30">
        <w:t>ub-national level is uneven, the</w:t>
      </w:r>
      <w:r w:rsidR="003D63B4" w:rsidRPr="00AF1D30">
        <w:t xml:space="preserve"> buy-in is also echoed a</w:t>
      </w:r>
      <w:r w:rsidR="00F04662" w:rsidRPr="00AF1D30">
        <w:t xml:space="preserve">t </w:t>
      </w:r>
      <w:r w:rsidR="003D63B4" w:rsidRPr="00AF1D30">
        <w:t xml:space="preserve">provincial and district </w:t>
      </w:r>
      <w:r w:rsidR="00F04662" w:rsidRPr="00AF1D30">
        <w:t>level</w:t>
      </w:r>
      <w:r w:rsidR="003D63B4" w:rsidRPr="00AF1D30">
        <w:t>s</w:t>
      </w:r>
      <w:r w:rsidR="00F04662" w:rsidRPr="00AF1D30">
        <w:t xml:space="preserve"> </w:t>
      </w:r>
      <w:r w:rsidR="003D63B4" w:rsidRPr="00AF1D30">
        <w:t>where</w:t>
      </w:r>
      <w:r w:rsidR="006D321C">
        <w:rPr>
          <w:lang w:val="id-ID"/>
        </w:rPr>
        <w:t>,</w:t>
      </w:r>
      <w:r w:rsidR="003D63B4" w:rsidRPr="00AF1D30">
        <w:t xml:space="preserve"> for instance</w:t>
      </w:r>
      <w:r w:rsidR="00481074">
        <w:t>,</w:t>
      </w:r>
      <w:r w:rsidR="003D63B4" w:rsidRPr="00AF1D30">
        <w:t xml:space="preserve"> some provincial administration</w:t>
      </w:r>
      <w:r w:rsidR="00C40998" w:rsidRPr="00AF1D30">
        <w:t>s</w:t>
      </w:r>
      <w:r w:rsidR="003D63B4" w:rsidRPr="00AF1D30">
        <w:t xml:space="preserve"> have provided grants to Madrasah and </w:t>
      </w:r>
      <w:r w:rsidR="00C40998" w:rsidRPr="00AF1D30">
        <w:t xml:space="preserve">have </w:t>
      </w:r>
      <w:r w:rsidR="003D63B4" w:rsidRPr="00AF1D30">
        <w:t>start</w:t>
      </w:r>
      <w:r w:rsidR="00C40998" w:rsidRPr="00AF1D30">
        <w:t>ed</w:t>
      </w:r>
      <w:r w:rsidR="003D63B4" w:rsidRPr="00AF1D30">
        <w:t xml:space="preserve"> revitalising MDC independ</w:t>
      </w:r>
      <w:r w:rsidR="004E05A7" w:rsidRPr="00AF1D30">
        <w:t>en</w:t>
      </w:r>
      <w:r w:rsidR="003D63B4" w:rsidRPr="00AF1D30">
        <w:t>t</w:t>
      </w:r>
      <w:r w:rsidR="00481074">
        <w:t xml:space="preserve"> of </w:t>
      </w:r>
      <w:r w:rsidR="003D63B4" w:rsidRPr="00AF1D30">
        <w:t xml:space="preserve">SSQ support. </w:t>
      </w:r>
      <w:r w:rsidR="00C40998" w:rsidRPr="00AF1D30">
        <w:t>While these are encouraging signs, it is too early to assess the impact of Madrasah grants and SNIP support on the level of Madrasah quality against the NES and accreditation standards.</w:t>
      </w:r>
    </w:p>
    <w:p w14:paraId="268C5BFD" w14:textId="0EF95A3E" w:rsidR="00F57BBB" w:rsidRPr="00AF1D30" w:rsidRDefault="00C40998" w:rsidP="0016034C">
      <w:r w:rsidRPr="00AF1D30">
        <w:t xml:space="preserve">Given their similar high-level objectives </w:t>
      </w:r>
      <w:r w:rsidR="000D77DD" w:rsidRPr="00AF1D30">
        <w:t xml:space="preserve">- </w:t>
      </w:r>
      <w:r w:rsidR="0075632D">
        <w:t>but</w:t>
      </w:r>
      <w:r w:rsidRPr="00AF1D30">
        <w:t xml:space="preserve"> different focus</w:t>
      </w:r>
      <w:r w:rsidR="000D77DD" w:rsidRPr="00AF1D30">
        <w:t xml:space="preserve"> - </w:t>
      </w:r>
      <w:r w:rsidRPr="00AF1D30">
        <w:t>SSQ implementation team</w:t>
      </w:r>
      <w:r w:rsidR="004E05A7" w:rsidRPr="00AF1D30">
        <w:t xml:space="preserve">s of </w:t>
      </w:r>
      <w:r w:rsidR="0075632D">
        <w:t>C2 and C3</w:t>
      </w:r>
      <w:r w:rsidR="004E05A7" w:rsidRPr="00AF1D30">
        <w:t xml:space="preserve"> are now, </w:t>
      </w:r>
      <w:r w:rsidRPr="00AF1D30">
        <w:t>after a</w:t>
      </w:r>
      <w:r w:rsidR="00481074">
        <w:t>n</w:t>
      </w:r>
      <w:r w:rsidRPr="00AF1D30">
        <w:t xml:space="preserve"> initial period o</w:t>
      </w:r>
      <w:r w:rsidR="004E05A7" w:rsidRPr="00AF1D30">
        <w:t xml:space="preserve">f inception and establishment, </w:t>
      </w:r>
      <w:r w:rsidR="00F04662" w:rsidRPr="00AF1D30">
        <w:t xml:space="preserve">actively </w:t>
      </w:r>
      <w:r w:rsidR="0016034C" w:rsidRPr="00AF1D30">
        <w:t>f</w:t>
      </w:r>
      <w:r w:rsidR="00F04662" w:rsidRPr="00AF1D30">
        <w:t>orging links (e.g. sharing training</w:t>
      </w:r>
      <w:r w:rsidRPr="00AF1D30">
        <w:t xml:space="preserve"> material</w:t>
      </w:r>
      <w:r w:rsidR="00F04662" w:rsidRPr="00AF1D30">
        <w:t>) so as to optimise interest, momentum and peer support</w:t>
      </w:r>
      <w:r w:rsidR="0016034C" w:rsidRPr="00AF1D30">
        <w:t>.</w:t>
      </w:r>
    </w:p>
    <w:p w14:paraId="056D1EE3" w14:textId="1F5E2545" w:rsidR="00457624" w:rsidRPr="00AF1D30" w:rsidRDefault="00457624" w:rsidP="00343EEE">
      <w:pPr>
        <w:pStyle w:val="StyleSub-HeadingGRMText2Before12pt"/>
        <w:numPr>
          <w:ilvl w:val="1"/>
          <w:numId w:val="3"/>
        </w:numPr>
        <w:tabs>
          <w:tab w:val="clear" w:pos="900"/>
          <w:tab w:val="left" w:pos="630"/>
        </w:tabs>
        <w:ind w:left="630" w:hanging="630"/>
        <w:rPr>
          <w:color w:val="8DB3E2"/>
        </w:rPr>
      </w:pPr>
      <w:bookmarkStart w:id="33" w:name="_Toc345081141"/>
      <w:r w:rsidRPr="00AF1D30">
        <w:t>EOPO 4: Policy-makers utilise research findings to i</w:t>
      </w:r>
      <w:r w:rsidR="00051C34" w:rsidRPr="00AF1D30">
        <w:t>n</w:t>
      </w:r>
      <w:r w:rsidRPr="00AF1D30">
        <w:t>form education sector policy, planning and budgeting</w:t>
      </w:r>
      <w:bookmarkEnd w:id="33"/>
    </w:p>
    <w:p w14:paraId="296F6F6A" w14:textId="38861882" w:rsidR="00F92082" w:rsidRDefault="005D17F0" w:rsidP="00B465A5">
      <w:pPr>
        <w:spacing w:before="120" w:after="120"/>
        <w:rPr>
          <w:lang w:val="id-ID"/>
        </w:rPr>
      </w:pPr>
      <w:r w:rsidRPr="00AF1D30">
        <w:t>While EOPO 4 remains relevant in the Indonesian education sector context, t</w:t>
      </w:r>
      <w:r w:rsidR="004E05A7" w:rsidRPr="00AF1D30">
        <w:t xml:space="preserve">here is a </w:t>
      </w:r>
      <w:r w:rsidRPr="00AF1D30">
        <w:t>clear emerging understanding of the difference between demand</w:t>
      </w:r>
      <w:r w:rsidR="00B10DDB" w:rsidRPr="00AF1D30">
        <w:t>ing evidence and using evidence</w:t>
      </w:r>
      <w:r w:rsidR="00B465A5" w:rsidRPr="00AF1D30">
        <w:t xml:space="preserve">. The </w:t>
      </w:r>
      <w:r w:rsidRPr="00AF1D30">
        <w:t xml:space="preserve">difference </w:t>
      </w:r>
      <w:r w:rsidR="00B465A5" w:rsidRPr="00AF1D30">
        <w:t xml:space="preserve">is </w:t>
      </w:r>
      <w:r w:rsidRPr="00AF1D30">
        <w:t xml:space="preserve">created by a multitude of factors </w:t>
      </w:r>
      <w:r w:rsidR="00F92082">
        <w:rPr>
          <w:lang w:val="id-ID"/>
        </w:rPr>
        <w:t>pertaining to</w:t>
      </w:r>
      <w:r w:rsidRPr="00AF1D30">
        <w:t xml:space="preserve"> the complex political economy of </w:t>
      </w:r>
      <w:r w:rsidR="007F2E8C" w:rsidRPr="00AF1D30">
        <w:t>policy</w:t>
      </w:r>
      <w:r w:rsidRPr="00AF1D30">
        <w:t>-making</w:t>
      </w:r>
      <w:r w:rsidR="00F92082">
        <w:rPr>
          <w:lang w:val="id-ID"/>
        </w:rPr>
        <w:t>, factors that are diffic</w:t>
      </w:r>
      <w:r w:rsidR="00F92082" w:rsidRPr="00AF1D30">
        <w:t xml:space="preserve">ult to </w:t>
      </w:r>
      <w:r w:rsidR="00F92082">
        <w:rPr>
          <w:lang w:val="id-ID"/>
        </w:rPr>
        <w:t>identify</w:t>
      </w:r>
      <w:r w:rsidR="00F92082" w:rsidRPr="00AF1D30">
        <w:t xml:space="preserve"> and control</w:t>
      </w:r>
      <w:r w:rsidR="00F92082">
        <w:rPr>
          <w:lang w:val="id-ID"/>
        </w:rPr>
        <w:t>. That difference t</w:t>
      </w:r>
      <w:r w:rsidR="0075632D">
        <w:rPr>
          <w:lang w:val="en-AU"/>
        </w:rPr>
        <w:t>h</w:t>
      </w:r>
      <w:r w:rsidR="00F92082">
        <w:rPr>
          <w:lang w:val="id-ID"/>
        </w:rPr>
        <w:t>reatens</w:t>
      </w:r>
      <w:r w:rsidRPr="00AF1D30">
        <w:t xml:space="preserve"> the usefulness of </w:t>
      </w:r>
      <w:r w:rsidR="00B465A5" w:rsidRPr="00AF1D30">
        <w:t xml:space="preserve">the </w:t>
      </w:r>
      <w:r w:rsidR="0075632D">
        <w:t xml:space="preserve">ACDP </w:t>
      </w:r>
      <w:r w:rsidRPr="00AF1D30">
        <w:t xml:space="preserve">research products if not disseminated and </w:t>
      </w:r>
      <w:r w:rsidR="00F92082">
        <w:rPr>
          <w:lang w:val="id-ID"/>
        </w:rPr>
        <w:t>socialised</w:t>
      </w:r>
      <w:r w:rsidRPr="00AF1D30">
        <w:t xml:space="preserve"> appropriately</w:t>
      </w:r>
      <w:r w:rsidR="00F92082" w:rsidRPr="00F92082">
        <w:t xml:space="preserve"> </w:t>
      </w:r>
      <w:r w:rsidR="00F92082">
        <w:t>to achieve uptake</w:t>
      </w:r>
      <w:r w:rsidRPr="00AF1D30">
        <w:t xml:space="preserve">. </w:t>
      </w:r>
    </w:p>
    <w:p w14:paraId="0D74DBC5" w14:textId="3311FDF7" w:rsidR="00E704A4" w:rsidRPr="00AF1D30" w:rsidRDefault="005D17F0" w:rsidP="00B465A5">
      <w:pPr>
        <w:spacing w:before="120" w:after="120"/>
      </w:pPr>
      <w:r w:rsidRPr="00AF1D30">
        <w:t xml:space="preserve">Similarly, there </w:t>
      </w:r>
      <w:r w:rsidR="00E704A4" w:rsidRPr="00AF1D30">
        <w:t xml:space="preserve">is a growing appreciation </w:t>
      </w:r>
      <w:r w:rsidR="000C5846">
        <w:t>of</w:t>
      </w:r>
      <w:r w:rsidR="000C5846" w:rsidRPr="00AF1D30">
        <w:t xml:space="preserve"> </w:t>
      </w:r>
      <w:r w:rsidR="00E704A4" w:rsidRPr="00AF1D30">
        <w:t>t</w:t>
      </w:r>
      <w:r w:rsidRPr="00AF1D30">
        <w:t>h</w:t>
      </w:r>
      <w:r w:rsidR="00E704A4" w:rsidRPr="00AF1D30">
        <w:t>e</w:t>
      </w:r>
      <w:r w:rsidRPr="00AF1D30">
        <w:t xml:space="preserve"> difference between influencing policies </w:t>
      </w:r>
      <w:r w:rsidR="00B10DDB" w:rsidRPr="00AF1D30">
        <w:t>and influencing decision</w:t>
      </w:r>
      <w:r w:rsidRPr="00AF1D30">
        <w:t>s t</w:t>
      </w:r>
      <w:r w:rsidR="007F2E8C" w:rsidRPr="00AF1D30">
        <w:t>hat</w:t>
      </w:r>
      <w:r w:rsidRPr="00AF1D30">
        <w:t xml:space="preserve"> interpret, operationalise and implement policies and </w:t>
      </w:r>
      <w:r w:rsidR="00E704A4" w:rsidRPr="00AF1D30">
        <w:t xml:space="preserve">strategies. The EP is </w:t>
      </w:r>
      <w:r w:rsidR="007F2E8C" w:rsidRPr="00AF1D30">
        <w:t>–</w:t>
      </w:r>
      <w:r w:rsidR="000C480E" w:rsidRPr="00AF1D30">
        <w:t xml:space="preserve"> </w:t>
      </w:r>
      <w:r w:rsidR="007F2E8C" w:rsidRPr="00AF1D30">
        <w:t>intent</w:t>
      </w:r>
      <w:r w:rsidR="000C480E" w:rsidRPr="00AF1D30">
        <w:t>ionally</w:t>
      </w:r>
      <w:r w:rsidR="007F2E8C" w:rsidRPr="00AF1D30">
        <w:t xml:space="preserve"> or not - </w:t>
      </w:r>
      <w:r w:rsidR="00E704A4" w:rsidRPr="00AF1D30">
        <w:t>seemingly active on both front</w:t>
      </w:r>
      <w:r w:rsidR="007F2E8C" w:rsidRPr="00AF1D30">
        <w:t>s</w:t>
      </w:r>
      <w:r w:rsidR="00E704A4" w:rsidRPr="00AF1D30">
        <w:t xml:space="preserve">, with </w:t>
      </w:r>
      <w:r w:rsidR="000C480E" w:rsidRPr="00AF1D30">
        <w:t xml:space="preserve">variable </w:t>
      </w:r>
      <w:r w:rsidR="00E704A4" w:rsidRPr="00AF1D30">
        <w:t>s</w:t>
      </w:r>
      <w:r w:rsidR="000C480E" w:rsidRPr="00AF1D30">
        <w:t>uccess so far</w:t>
      </w:r>
      <w:r w:rsidR="00E704A4" w:rsidRPr="00AF1D30">
        <w:t>:</w:t>
      </w:r>
    </w:p>
    <w:p w14:paraId="3C75EAA7" w14:textId="491EE8F8" w:rsidR="00F44742" w:rsidRPr="00AF1D30" w:rsidRDefault="009C6C45" w:rsidP="00B465A5">
      <w:pPr>
        <w:pStyle w:val="ListParagraph"/>
        <w:numPr>
          <w:ilvl w:val="1"/>
          <w:numId w:val="31"/>
        </w:numPr>
        <w:spacing w:before="120" w:after="120"/>
        <w:ind w:left="432" w:hanging="290"/>
      </w:pPr>
      <w:r w:rsidRPr="00AF1D30">
        <w:t xml:space="preserve">Through its support to ACDP, </w:t>
      </w:r>
      <w:r w:rsidR="00B10DDB" w:rsidRPr="00AF1D30">
        <w:t>C</w:t>
      </w:r>
      <w:r w:rsidR="00481074">
        <w:t>4</w:t>
      </w:r>
      <w:r w:rsidR="00ED1DF7" w:rsidRPr="00AF1D30">
        <w:t xml:space="preserve"> </w:t>
      </w:r>
      <w:r w:rsidR="00B10DDB" w:rsidRPr="00AF1D30">
        <w:t>directly target</w:t>
      </w:r>
      <w:r w:rsidR="00E704A4" w:rsidRPr="00AF1D30">
        <w:t>s the</w:t>
      </w:r>
      <w:r w:rsidR="00B10DDB" w:rsidRPr="00AF1D30">
        <w:t xml:space="preserve"> improve</w:t>
      </w:r>
      <w:r w:rsidR="00E704A4" w:rsidRPr="00AF1D30">
        <w:t xml:space="preserve">ment of </w:t>
      </w:r>
      <w:r w:rsidR="00B10DDB" w:rsidRPr="00AF1D30">
        <w:t>policies</w:t>
      </w:r>
      <w:r w:rsidR="00E704A4" w:rsidRPr="00AF1D30">
        <w:t xml:space="preserve"> through the provision of </w:t>
      </w:r>
      <w:r w:rsidR="00457624" w:rsidRPr="00AF1D30">
        <w:t xml:space="preserve">knowledge products </w:t>
      </w:r>
      <w:r w:rsidRPr="00AF1D30">
        <w:t>to</w:t>
      </w:r>
      <w:r w:rsidR="00457624" w:rsidRPr="00AF1D30">
        <w:t xml:space="preserve"> MoRA, MoEC</w:t>
      </w:r>
      <w:r w:rsidR="00C40998" w:rsidRPr="00AF1D30">
        <w:t xml:space="preserve">, BAPPENAS and MoHA </w:t>
      </w:r>
      <w:r w:rsidRPr="00AF1D30">
        <w:t>decision-makers</w:t>
      </w:r>
      <w:r w:rsidR="00F92082">
        <w:rPr>
          <w:lang w:val="id-ID"/>
        </w:rPr>
        <w:t>. These products are delivered</w:t>
      </w:r>
      <w:r w:rsidRPr="00AF1D30">
        <w:t xml:space="preserve"> </w:t>
      </w:r>
      <w:r w:rsidR="00051C34" w:rsidRPr="00AF1D30">
        <w:t>in response</w:t>
      </w:r>
      <w:r w:rsidR="00941ACB" w:rsidRPr="00AF1D30">
        <w:t xml:space="preserve"> to expressed demand and </w:t>
      </w:r>
      <w:r w:rsidR="00457624" w:rsidRPr="00AF1D30">
        <w:t>with the expectation that the findings and recommendations will be utilised.</w:t>
      </w:r>
      <w:r w:rsidR="00941ACB" w:rsidRPr="00AF1D30">
        <w:t xml:space="preserve"> </w:t>
      </w:r>
      <w:r w:rsidR="007F2E8C" w:rsidRPr="00AF1D30">
        <w:t xml:space="preserve">There is so far </w:t>
      </w:r>
      <w:r w:rsidR="0075632D">
        <w:t>little</w:t>
      </w:r>
      <w:r w:rsidR="007F2E8C" w:rsidRPr="00AF1D30">
        <w:t xml:space="preserve"> evidence that the model works, mostly </w:t>
      </w:r>
      <w:r w:rsidRPr="00AF1D30">
        <w:t xml:space="preserve">due to the limited number of </w:t>
      </w:r>
      <w:r w:rsidR="007F2E8C" w:rsidRPr="00AF1D30">
        <w:t>studi</w:t>
      </w:r>
      <w:r w:rsidRPr="00AF1D30">
        <w:t>e</w:t>
      </w:r>
      <w:r w:rsidR="007F2E8C" w:rsidRPr="00AF1D30">
        <w:t>s completed</w:t>
      </w:r>
      <w:r w:rsidR="00F92082">
        <w:rPr>
          <w:lang w:val="id-ID"/>
        </w:rPr>
        <w:t xml:space="preserve"> (3 studies as of end of 2012)</w:t>
      </w:r>
      <w:r w:rsidR="00F92082">
        <w:t>.</w:t>
      </w:r>
      <w:r w:rsidR="00F92082">
        <w:rPr>
          <w:lang w:val="id-ID"/>
        </w:rPr>
        <w:t xml:space="preserve"> In parallel, c</w:t>
      </w:r>
      <w:r w:rsidR="007F2E8C" w:rsidRPr="00AF1D30">
        <w:t xml:space="preserve">oncerns </w:t>
      </w:r>
      <w:r w:rsidR="00F92082" w:rsidRPr="00AF1D30">
        <w:t xml:space="preserve">have been raised </w:t>
      </w:r>
      <w:r w:rsidR="007F2E8C" w:rsidRPr="00AF1D30">
        <w:t xml:space="preserve">about the ACDP </w:t>
      </w:r>
      <w:r w:rsidR="007E175F">
        <w:t xml:space="preserve">ability </w:t>
      </w:r>
      <w:r w:rsidR="007F2E8C" w:rsidRPr="00AF1D30">
        <w:t xml:space="preserve">to address systemic constraints in policy, planning and budgeting processes: </w:t>
      </w:r>
    </w:p>
    <w:p w14:paraId="7A6448AF" w14:textId="7F894651" w:rsidR="00F44742" w:rsidRPr="00AF1D30" w:rsidRDefault="00F44742" w:rsidP="00B465A5">
      <w:pPr>
        <w:pStyle w:val="ListParagraph"/>
        <w:numPr>
          <w:ilvl w:val="2"/>
          <w:numId w:val="37"/>
        </w:numPr>
        <w:spacing w:before="120" w:after="120"/>
        <w:ind w:left="864" w:hanging="290"/>
      </w:pPr>
      <w:r w:rsidRPr="00AF1D30">
        <w:lastRenderedPageBreak/>
        <w:t xml:space="preserve">The ACDP </w:t>
      </w:r>
      <w:r w:rsidR="007F2E8C" w:rsidRPr="00AF1D30">
        <w:t xml:space="preserve">procurement processes and delivery timeframes </w:t>
      </w:r>
      <w:r w:rsidR="0075632D">
        <w:t xml:space="preserve">would appear to </w:t>
      </w:r>
      <w:r w:rsidR="007F2E8C" w:rsidRPr="00AF1D30">
        <w:t xml:space="preserve">limit </w:t>
      </w:r>
      <w:r w:rsidR="0075632D">
        <w:t xml:space="preserve">the </w:t>
      </w:r>
      <w:r w:rsidR="007F2E8C" w:rsidRPr="00AF1D30">
        <w:t>opportunity to offer a quick turnaround in respon</w:t>
      </w:r>
      <w:r w:rsidR="00481074">
        <w:t>se to particular policy windows.</w:t>
      </w:r>
      <w:r w:rsidR="007F2E8C" w:rsidRPr="00AF1D30">
        <w:t xml:space="preserve"> </w:t>
      </w:r>
    </w:p>
    <w:p w14:paraId="403F1DCD" w14:textId="29B4F760" w:rsidR="00B465A5" w:rsidRPr="00AF1D30" w:rsidRDefault="00B465A5" w:rsidP="00B465A5">
      <w:pPr>
        <w:pStyle w:val="ListParagraph"/>
        <w:numPr>
          <w:ilvl w:val="2"/>
          <w:numId w:val="37"/>
        </w:numPr>
        <w:spacing w:before="120" w:after="120"/>
        <w:ind w:left="864" w:hanging="290"/>
      </w:pPr>
      <w:r w:rsidRPr="00AF1D30">
        <w:t xml:space="preserve">The ACDP model predominantly focuses on the delivery of research studies, though not exclusively (e.g. IPDET training for MoEC officials). There is limited </w:t>
      </w:r>
      <w:r w:rsidR="00F92082">
        <w:rPr>
          <w:lang w:val="id-ID"/>
        </w:rPr>
        <w:t>use</w:t>
      </w:r>
      <w:r w:rsidRPr="00AF1D30">
        <w:t xml:space="preserve"> of other knowledge products and activities</w:t>
      </w:r>
      <w:r w:rsidR="0075632D">
        <w:t xml:space="preserve"> and </w:t>
      </w:r>
      <w:r w:rsidR="00481074">
        <w:t xml:space="preserve">an </w:t>
      </w:r>
      <w:r w:rsidRPr="00AF1D30">
        <w:t xml:space="preserve">increased number of response options would benefit </w:t>
      </w:r>
      <w:r w:rsidR="0075632D">
        <w:t xml:space="preserve">the </w:t>
      </w:r>
      <w:r w:rsidRPr="00AF1D30">
        <w:t xml:space="preserve">diverse range of needs. </w:t>
      </w:r>
    </w:p>
    <w:p w14:paraId="5E9CC39C" w14:textId="6A7CB802" w:rsidR="00F44742" w:rsidRPr="00AF1D30" w:rsidRDefault="00F44742" w:rsidP="00B465A5">
      <w:pPr>
        <w:pStyle w:val="ListParagraph"/>
        <w:numPr>
          <w:ilvl w:val="2"/>
          <w:numId w:val="37"/>
        </w:numPr>
        <w:spacing w:before="120" w:after="120"/>
        <w:ind w:left="864" w:hanging="290"/>
      </w:pPr>
      <w:r w:rsidRPr="00AF1D30">
        <w:t>Whilst it is not intended that the ACDP operates in</w:t>
      </w:r>
      <w:r w:rsidR="009C6C45" w:rsidRPr="00AF1D30">
        <w:t xml:space="preserve"> full </w:t>
      </w:r>
      <w:r w:rsidRPr="00AF1D30">
        <w:t>integration with the other EP components, there is limited evidence of practice-based lessons and findings from EP permeating ACDP products</w:t>
      </w:r>
      <w:r w:rsidR="009C6C45" w:rsidRPr="00AF1D30">
        <w:t>,</w:t>
      </w:r>
      <w:r w:rsidRPr="00AF1D30">
        <w:t xml:space="preserve"> and conversely of policy makers involved in the EP demanding knowledge products from ACDP</w:t>
      </w:r>
      <w:r w:rsidR="00481074">
        <w:t>.</w:t>
      </w:r>
    </w:p>
    <w:p w14:paraId="4FA441D9" w14:textId="33CF7D80" w:rsidR="007F2E8C" w:rsidRPr="00AF1D30" w:rsidRDefault="007F2E8C" w:rsidP="00B465A5">
      <w:pPr>
        <w:pStyle w:val="ListParagraph"/>
        <w:numPr>
          <w:ilvl w:val="2"/>
          <w:numId w:val="37"/>
        </w:numPr>
        <w:spacing w:before="120" w:after="120"/>
        <w:ind w:left="864" w:hanging="290"/>
      </w:pPr>
      <w:r w:rsidRPr="00AF1D30">
        <w:t xml:space="preserve">From an external oversight and monitoring perspective, more needs to be done to identify, monitor and report against expected intermediate changes within the </w:t>
      </w:r>
      <w:r w:rsidR="00F44742" w:rsidRPr="00AF1D30">
        <w:t>C4 logic</w:t>
      </w:r>
      <w:r w:rsidRPr="00AF1D30">
        <w:t xml:space="preserve">, e.g. the expected shifts in knowledge, attitudes and practices program stakeholders might expect to see at various stages and the critical assumptions underpinning the logic. </w:t>
      </w:r>
    </w:p>
    <w:p w14:paraId="4F369F2C" w14:textId="41BED195" w:rsidR="000C480E" w:rsidRPr="00AF1D30" w:rsidRDefault="000C480E" w:rsidP="00B465A5">
      <w:pPr>
        <w:pStyle w:val="ListParagraph"/>
        <w:numPr>
          <w:ilvl w:val="1"/>
          <w:numId w:val="31"/>
        </w:numPr>
        <w:spacing w:before="120" w:after="120"/>
        <w:ind w:left="432" w:hanging="290"/>
      </w:pPr>
      <w:r w:rsidRPr="00AF1D30">
        <w:t xml:space="preserve">Through the ground work of the other </w:t>
      </w:r>
      <w:r w:rsidR="0075632D">
        <w:t>three</w:t>
      </w:r>
      <w:r w:rsidRPr="00AF1D30">
        <w:t xml:space="preserve"> </w:t>
      </w:r>
      <w:r w:rsidR="00481074">
        <w:t>c</w:t>
      </w:r>
      <w:r w:rsidRPr="00AF1D30">
        <w:t>omponents (C1, C2 and C3), the EP has been effective in influencing decisions at implementation level. This is partially due to the technical expertise of the component implementation teams, the</w:t>
      </w:r>
      <w:r w:rsidR="00F92082">
        <w:rPr>
          <w:lang w:val="id-ID"/>
        </w:rPr>
        <w:t xml:space="preserve">ir </w:t>
      </w:r>
      <w:r w:rsidRPr="00AF1D30">
        <w:t xml:space="preserve">relationships with their counterparts and their ability to identify and respond </w:t>
      </w:r>
      <w:r w:rsidR="0075632D">
        <w:t>rapidly t</w:t>
      </w:r>
      <w:r w:rsidRPr="00AF1D30">
        <w:t>o opportunities. Examples of counterparts</w:t>
      </w:r>
      <w:r w:rsidR="00481074">
        <w:t>’</w:t>
      </w:r>
      <w:r w:rsidRPr="00AF1D30">
        <w:t xml:space="preserve"> decisions influenced by the EP are multiple</w:t>
      </w:r>
      <w:r w:rsidR="009C6C45" w:rsidRPr="00AF1D30">
        <w:t xml:space="preserve"> (see</w:t>
      </w:r>
      <w:r w:rsidR="00597A88">
        <w:t xml:space="preserve"> </w:t>
      </w:r>
      <w:r w:rsidR="00597A88">
        <w:fldChar w:fldCharType="begin"/>
      </w:r>
      <w:r w:rsidR="00597A88">
        <w:instrText xml:space="preserve"> REF _Ref344991007 \h </w:instrText>
      </w:r>
      <w:r w:rsidR="00597A88">
        <w:fldChar w:fldCharType="separate"/>
      </w:r>
      <w:r w:rsidR="005E2933">
        <w:t xml:space="preserve">Table </w:t>
      </w:r>
      <w:r w:rsidR="005E2933">
        <w:rPr>
          <w:noProof/>
        </w:rPr>
        <w:t>2</w:t>
      </w:r>
      <w:r w:rsidR="00597A88">
        <w:fldChar w:fldCharType="end"/>
      </w:r>
      <w:r w:rsidR="009C6C45" w:rsidRPr="00AF1D30">
        <w:t xml:space="preserve"> below)</w:t>
      </w:r>
      <w:r w:rsidRPr="00AF1D30">
        <w:t xml:space="preserve">, </w:t>
      </w:r>
      <w:r w:rsidR="009C6C45" w:rsidRPr="00AF1D30">
        <w:t xml:space="preserve">with </w:t>
      </w:r>
      <w:r w:rsidRPr="00AF1D30">
        <w:t xml:space="preserve">EP teams playing </w:t>
      </w:r>
      <w:r w:rsidR="00C726CE">
        <w:t xml:space="preserve">either </w:t>
      </w:r>
      <w:r w:rsidRPr="00AF1D30">
        <w:t xml:space="preserve">an instrumental role, </w:t>
      </w:r>
      <w:r w:rsidR="00C726CE">
        <w:t xml:space="preserve">or </w:t>
      </w:r>
      <w:r w:rsidRPr="00AF1D30">
        <w:t>only a suggestive role highlighting the opportu</w:t>
      </w:r>
      <w:r w:rsidR="00B465A5" w:rsidRPr="00AF1D30">
        <w:t>nistic nature of the</w:t>
      </w:r>
      <w:r w:rsidR="00F92082">
        <w:rPr>
          <w:lang w:val="id-ID"/>
        </w:rPr>
        <w:t>ir role</w:t>
      </w:r>
      <w:r w:rsidRPr="00AF1D30">
        <w:t xml:space="preserve">. </w:t>
      </w:r>
    </w:p>
    <w:p w14:paraId="72A04597" w14:textId="38A30087" w:rsidR="000D77DD" w:rsidRDefault="00597821" w:rsidP="000C480E">
      <w:pPr>
        <w:pStyle w:val="ListParagraph"/>
        <w:spacing w:before="120" w:after="120"/>
        <w:ind w:left="792"/>
      </w:pPr>
      <w:r>
        <w:t xml:space="preserve"> </w:t>
      </w:r>
    </w:p>
    <w:p w14:paraId="1879EDF7" w14:textId="0ACBD8CE" w:rsidR="00597A88" w:rsidRPr="00AF1D30" w:rsidRDefault="00597A88" w:rsidP="00597A88">
      <w:pPr>
        <w:pStyle w:val="Caption"/>
      </w:pPr>
      <w:bookmarkStart w:id="34" w:name="_Ref344991007"/>
      <w:r>
        <w:t xml:space="preserve">Table </w:t>
      </w:r>
      <w:r>
        <w:fldChar w:fldCharType="begin"/>
      </w:r>
      <w:r>
        <w:instrText xml:space="preserve"> SEQ Table \* ARABIC </w:instrText>
      </w:r>
      <w:r>
        <w:fldChar w:fldCharType="separate"/>
      </w:r>
      <w:r w:rsidR="005E2933">
        <w:rPr>
          <w:noProof/>
        </w:rPr>
        <w:t>2</w:t>
      </w:r>
      <w:r>
        <w:fldChar w:fldCharType="end"/>
      </w:r>
      <w:bookmarkEnd w:id="34"/>
      <w:r>
        <w:t>: Counterpart decisions influenced by the EP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040"/>
        <w:gridCol w:w="8275"/>
      </w:tblGrid>
      <w:tr w:rsidR="000D77DD" w:rsidRPr="00AF1D30" w14:paraId="2088A2FB" w14:textId="77777777" w:rsidTr="00F11245">
        <w:trPr>
          <w:trHeight w:val="477"/>
          <w:jc w:val="center"/>
        </w:trPr>
        <w:tc>
          <w:tcPr>
            <w:tcW w:w="558" w:type="pct"/>
            <w:shd w:val="clear" w:color="auto" w:fill="365F91" w:themeFill="accent1" w:themeFillShade="BF"/>
            <w:tcMar>
              <w:top w:w="72" w:type="dxa"/>
              <w:left w:w="144" w:type="dxa"/>
              <w:bottom w:w="72" w:type="dxa"/>
              <w:right w:w="144" w:type="dxa"/>
            </w:tcMar>
            <w:vAlign w:val="center"/>
            <w:hideMark/>
          </w:tcPr>
          <w:p w14:paraId="6DCCAC06" w14:textId="1BEC31DE" w:rsidR="00977372" w:rsidRPr="00AF1D30" w:rsidRDefault="000D77DD" w:rsidP="00BF0FCD">
            <w:pPr>
              <w:keepNext/>
              <w:spacing w:after="0" w:line="240" w:lineRule="auto"/>
              <w:jc w:val="center"/>
              <w:rPr>
                <w:color w:val="FFFFFF" w:themeColor="background1"/>
              </w:rPr>
            </w:pPr>
            <w:r w:rsidRPr="00AF1D30">
              <w:rPr>
                <w:b/>
                <w:bCs/>
                <w:color w:val="FFFFFF" w:themeColor="background1"/>
              </w:rPr>
              <w:t>C</w:t>
            </w:r>
          </w:p>
        </w:tc>
        <w:tc>
          <w:tcPr>
            <w:tcW w:w="4442" w:type="pct"/>
            <w:shd w:val="clear" w:color="auto" w:fill="365F91" w:themeFill="accent1" w:themeFillShade="BF"/>
            <w:tcMar>
              <w:top w:w="72" w:type="dxa"/>
              <w:left w:w="144" w:type="dxa"/>
              <w:bottom w:w="72" w:type="dxa"/>
              <w:right w:w="144" w:type="dxa"/>
            </w:tcMar>
            <w:vAlign w:val="center"/>
            <w:hideMark/>
          </w:tcPr>
          <w:p w14:paraId="5FF04B61" w14:textId="4D3F7DFB" w:rsidR="00977372" w:rsidRPr="00AF1D30" w:rsidRDefault="000D77DD" w:rsidP="00BF0FCD">
            <w:pPr>
              <w:keepNext/>
              <w:spacing w:after="0" w:line="240" w:lineRule="auto"/>
              <w:jc w:val="center"/>
              <w:rPr>
                <w:color w:val="FFFFFF" w:themeColor="background1"/>
              </w:rPr>
            </w:pPr>
            <w:r w:rsidRPr="00AF1D30">
              <w:rPr>
                <w:b/>
                <w:bCs/>
                <w:color w:val="FFFFFF" w:themeColor="background1"/>
              </w:rPr>
              <w:t>Examples of</w:t>
            </w:r>
            <w:r w:rsidR="00B465A5" w:rsidRPr="00AF1D30">
              <w:rPr>
                <w:b/>
                <w:bCs/>
                <w:color w:val="FFFFFF" w:themeColor="background1"/>
              </w:rPr>
              <w:t xml:space="preserve"> decisions</w:t>
            </w:r>
            <w:r w:rsidRPr="00AF1D30">
              <w:rPr>
                <w:b/>
                <w:bCs/>
                <w:color w:val="FFFFFF" w:themeColor="background1"/>
              </w:rPr>
              <w:t xml:space="preserve"> influence</w:t>
            </w:r>
            <w:r w:rsidR="00B465A5" w:rsidRPr="00AF1D30">
              <w:rPr>
                <w:b/>
                <w:bCs/>
                <w:color w:val="FFFFFF" w:themeColor="background1"/>
              </w:rPr>
              <w:t>d by EP teams</w:t>
            </w:r>
          </w:p>
        </w:tc>
      </w:tr>
      <w:tr w:rsidR="000D77DD" w:rsidRPr="00AF1D30" w14:paraId="7543D465" w14:textId="77777777" w:rsidTr="00F11245">
        <w:trPr>
          <w:trHeight w:val="584"/>
          <w:jc w:val="center"/>
        </w:trPr>
        <w:tc>
          <w:tcPr>
            <w:tcW w:w="558" w:type="pct"/>
            <w:shd w:val="clear" w:color="auto" w:fill="D9D9D9" w:themeFill="background1" w:themeFillShade="D9"/>
            <w:tcMar>
              <w:top w:w="72" w:type="dxa"/>
              <w:left w:w="144" w:type="dxa"/>
              <w:bottom w:w="72" w:type="dxa"/>
              <w:right w:w="144" w:type="dxa"/>
            </w:tcMar>
            <w:vAlign w:val="center"/>
            <w:hideMark/>
          </w:tcPr>
          <w:p w14:paraId="34E12963" w14:textId="77777777" w:rsidR="00977372" w:rsidRPr="00AF1D30" w:rsidRDefault="000D77DD" w:rsidP="00BF0FCD">
            <w:pPr>
              <w:keepNext/>
              <w:spacing w:after="0" w:line="240" w:lineRule="auto"/>
              <w:jc w:val="center"/>
            </w:pPr>
            <w:r w:rsidRPr="00AF1D30">
              <w:t>1</w:t>
            </w:r>
          </w:p>
        </w:tc>
        <w:tc>
          <w:tcPr>
            <w:tcW w:w="4442" w:type="pct"/>
            <w:shd w:val="clear" w:color="auto" w:fill="D9D9D9" w:themeFill="background1" w:themeFillShade="D9"/>
            <w:tcMar>
              <w:top w:w="72" w:type="dxa"/>
              <w:left w:w="144" w:type="dxa"/>
              <w:bottom w:w="72" w:type="dxa"/>
              <w:right w:w="144" w:type="dxa"/>
            </w:tcMar>
            <w:hideMark/>
          </w:tcPr>
          <w:p w14:paraId="6587C86C" w14:textId="77777777" w:rsidR="00977372" w:rsidRPr="00AF1D30" w:rsidRDefault="00B10DDB" w:rsidP="00BF0FCD">
            <w:pPr>
              <w:pStyle w:val="ListParagraph"/>
              <w:keepNext/>
              <w:numPr>
                <w:ilvl w:val="0"/>
                <w:numId w:val="36"/>
              </w:numPr>
              <w:spacing w:before="120" w:after="120" w:line="240" w:lineRule="auto"/>
              <w:ind w:left="357" w:hanging="357"/>
            </w:pPr>
            <w:r w:rsidRPr="00AF1D30">
              <w:t>Revising unit cost of construction process by MoPW</w:t>
            </w:r>
          </w:p>
          <w:p w14:paraId="4641F935" w14:textId="77777777" w:rsidR="00236ECC" w:rsidRDefault="00B10DDB" w:rsidP="00236ECC">
            <w:pPr>
              <w:pStyle w:val="ListParagraph"/>
              <w:keepNext/>
              <w:numPr>
                <w:ilvl w:val="0"/>
                <w:numId w:val="36"/>
              </w:numPr>
              <w:spacing w:before="120" w:after="120" w:line="240" w:lineRule="auto"/>
              <w:ind w:left="357" w:hanging="357"/>
            </w:pPr>
            <w:r w:rsidRPr="00AF1D30">
              <w:t>Decision on GER threshold: need to see evidence for change of threshold</w:t>
            </w:r>
            <w:r w:rsidR="00236ECC" w:rsidRPr="00AF1D30">
              <w:t xml:space="preserve"> </w:t>
            </w:r>
          </w:p>
          <w:p w14:paraId="2520C575" w14:textId="05242BBF" w:rsidR="00977372" w:rsidRPr="00AF1D30" w:rsidRDefault="00236ECC" w:rsidP="00236ECC">
            <w:pPr>
              <w:pStyle w:val="ListParagraph"/>
              <w:keepNext/>
              <w:numPr>
                <w:ilvl w:val="0"/>
                <w:numId w:val="36"/>
              </w:numPr>
              <w:spacing w:before="120" w:after="120" w:line="240" w:lineRule="auto"/>
              <w:ind w:left="357" w:hanging="357"/>
            </w:pPr>
            <w:r w:rsidRPr="00AF1D30">
              <w:t>Removal of threshold of 90% expenditure for disbursement of tranche 2</w:t>
            </w:r>
          </w:p>
        </w:tc>
      </w:tr>
      <w:tr w:rsidR="000D77DD" w:rsidRPr="00AF1D30" w14:paraId="481B3D51" w14:textId="77777777" w:rsidTr="00F11245">
        <w:trPr>
          <w:trHeight w:val="584"/>
          <w:jc w:val="center"/>
        </w:trPr>
        <w:tc>
          <w:tcPr>
            <w:tcW w:w="558" w:type="pct"/>
            <w:shd w:val="clear" w:color="auto" w:fill="F2F2F2" w:themeFill="background1" w:themeFillShade="F2"/>
            <w:tcMar>
              <w:top w:w="72" w:type="dxa"/>
              <w:left w:w="144" w:type="dxa"/>
              <w:bottom w:w="72" w:type="dxa"/>
              <w:right w:w="144" w:type="dxa"/>
            </w:tcMar>
            <w:vAlign w:val="center"/>
            <w:hideMark/>
          </w:tcPr>
          <w:p w14:paraId="46381E0D" w14:textId="77777777" w:rsidR="00977372" w:rsidRPr="00AF1D30" w:rsidRDefault="000D77DD" w:rsidP="00BF0FCD">
            <w:pPr>
              <w:keepNext/>
              <w:spacing w:after="0" w:line="240" w:lineRule="auto"/>
              <w:jc w:val="center"/>
            </w:pPr>
            <w:r w:rsidRPr="00AF1D30">
              <w:t>2</w:t>
            </w:r>
          </w:p>
        </w:tc>
        <w:tc>
          <w:tcPr>
            <w:tcW w:w="4442" w:type="pct"/>
            <w:shd w:val="clear" w:color="auto" w:fill="F2F2F2" w:themeFill="background1" w:themeFillShade="F2"/>
            <w:tcMar>
              <w:top w:w="72" w:type="dxa"/>
              <w:left w:w="144" w:type="dxa"/>
              <w:bottom w:w="72" w:type="dxa"/>
              <w:right w:w="144" w:type="dxa"/>
            </w:tcMar>
            <w:hideMark/>
          </w:tcPr>
          <w:p w14:paraId="71E5C032" w14:textId="77777777" w:rsidR="00977372" w:rsidRPr="00AF1D30" w:rsidRDefault="00B10DDB" w:rsidP="00BF0FCD">
            <w:pPr>
              <w:pStyle w:val="ListParagraph"/>
              <w:keepNext/>
              <w:numPr>
                <w:ilvl w:val="0"/>
                <w:numId w:val="36"/>
              </w:numPr>
              <w:spacing w:before="120" w:after="120" w:line="240" w:lineRule="auto"/>
              <w:ind w:left="357" w:hanging="357"/>
            </w:pPr>
            <w:r w:rsidRPr="00AF1D30">
              <w:t>Paradigm shift to competency-based training system</w:t>
            </w:r>
          </w:p>
          <w:p w14:paraId="160B3873" w14:textId="77777777" w:rsidR="00977372" w:rsidRPr="00AF1D30" w:rsidRDefault="00B10DDB" w:rsidP="00BF0FCD">
            <w:pPr>
              <w:pStyle w:val="ListParagraph"/>
              <w:keepNext/>
              <w:numPr>
                <w:ilvl w:val="0"/>
                <w:numId w:val="36"/>
              </w:numPr>
              <w:spacing w:before="120" w:after="120" w:line="240" w:lineRule="auto"/>
              <w:ind w:left="357" w:hanging="357"/>
            </w:pPr>
            <w:r w:rsidRPr="00AF1D30">
              <w:t xml:space="preserve">Pedagogical approach to CPD online content learning </w:t>
            </w:r>
          </w:p>
          <w:p w14:paraId="47815809" w14:textId="46C9E0EF" w:rsidR="00977372" w:rsidRPr="00AF1D30" w:rsidRDefault="00B10DDB" w:rsidP="00657F84">
            <w:pPr>
              <w:pStyle w:val="ListParagraph"/>
              <w:keepNext/>
              <w:numPr>
                <w:ilvl w:val="0"/>
                <w:numId w:val="36"/>
              </w:numPr>
              <w:spacing w:before="120" w:after="120" w:line="240" w:lineRule="auto"/>
              <w:ind w:left="357" w:hanging="357"/>
            </w:pPr>
            <w:r w:rsidRPr="00AF1D30">
              <w:t>Need to strengthen role of supervisor training</w:t>
            </w:r>
          </w:p>
        </w:tc>
      </w:tr>
      <w:tr w:rsidR="000D77DD" w:rsidRPr="00AF1D30" w14:paraId="3444F031" w14:textId="77777777" w:rsidTr="00F11245">
        <w:trPr>
          <w:trHeight w:val="584"/>
          <w:jc w:val="center"/>
        </w:trPr>
        <w:tc>
          <w:tcPr>
            <w:tcW w:w="558" w:type="pct"/>
            <w:shd w:val="clear" w:color="auto" w:fill="D9D9D9" w:themeFill="background1" w:themeFillShade="D9"/>
            <w:tcMar>
              <w:top w:w="72" w:type="dxa"/>
              <w:left w:w="144" w:type="dxa"/>
              <w:bottom w:w="72" w:type="dxa"/>
              <w:right w:w="144" w:type="dxa"/>
            </w:tcMar>
            <w:vAlign w:val="center"/>
            <w:hideMark/>
          </w:tcPr>
          <w:p w14:paraId="580C236B" w14:textId="77777777" w:rsidR="00977372" w:rsidRPr="00AF1D30" w:rsidRDefault="000D77DD" w:rsidP="00BF0FCD">
            <w:pPr>
              <w:keepNext/>
              <w:spacing w:after="0" w:line="240" w:lineRule="auto"/>
              <w:jc w:val="center"/>
            </w:pPr>
            <w:r w:rsidRPr="00AF1D30">
              <w:t>3</w:t>
            </w:r>
          </w:p>
        </w:tc>
        <w:tc>
          <w:tcPr>
            <w:tcW w:w="4442" w:type="pct"/>
            <w:shd w:val="clear" w:color="auto" w:fill="D9D9D9" w:themeFill="background1" w:themeFillShade="D9"/>
            <w:tcMar>
              <w:top w:w="72" w:type="dxa"/>
              <w:left w:w="144" w:type="dxa"/>
              <w:bottom w:w="72" w:type="dxa"/>
              <w:right w:w="144" w:type="dxa"/>
            </w:tcMar>
            <w:hideMark/>
          </w:tcPr>
          <w:p w14:paraId="64B7954A" w14:textId="77777777" w:rsidR="00977372" w:rsidRPr="00AF1D30" w:rsidRDefault="00B10DDB" w:rsidP="00BF0FCD">
            <w:pPr>
              <w:pStyle w:val="ListParagraph"/>
              <w:keepNext/>
              <w:numPr>
                <w:ilvl w:val="0"/>
                <w:numId w:val="36"/>
              </w:numPr>
              <w:spacing w:before="120" w:after="120" w:line="240" w:lineRule="auto"/>
              <w:ind w:left="357" w:hanging="357"/>
            </w:pPr>
            <w:r w:rsidRPr="00AF1D30">
              <w:t xml:space="preserve">Paradigm shift to quality </w:t>
            </w:r>
          </w:p>
          <w:p w14:paraId="71E7146B" w14:textId="77777777" w:rsidR="00977372" w:rsidRPr="00AF1D30" w:rsidRDefault="00B10DDB" w:rsidP="00BF0FCD">
            <w:pPr>
              <w:pStyle w:val="ListParagraph"/>
              <w:keepNext/>
              <w:numPr>
                <w:ilvl w:val="0"/>
                <w:numId w:val="36"/>
              </w:numPr>
              <w:spacing w:before="120" w:after="120" w:line="240" w:lineRule="auto"/>
              <w:ind w:left="357" w:hanging="357"/>
            </w:pPr>
            <w:r w:rsidRPr="00AF1D30">
              <w:t>MoRA interest for MDC support model</w:t>
            </w:r>
          </w:p>
          <w:p w14:paraId="49073339" w14:textId="77777777" w:rsidR="00977372" w:rsidRPr="00AF1D30" w:rsidRDefault="00B10DDB" w:rsidP="00BF0FCD">
            <w:pPr>
              <w:pStyle w:val="ListParagraph"/>
              <w:keepNext/>
              <w:numPr>
                <w:ilvl w:val="0"/>
                <w:numId w:val="36"/>
              </w:numPr>
              <w:spacing w:before="120" w:after="120" w:line="240" w:lineRule="auto"/>
              <w:ind w:left="357" w:hanging="357"/>
            </w:pPr>
            <w:r w:rsidRPr="00AF1D30">
              <w:t>MoRA competency-based supervisor regulations</w:t>
            </w:r>
          </w:p>
        </w:tc>
      </w:tr>
    </w:tbl>
    <w:p w14:paraId="5AC9DBD9" w14:textId="77777777" w:rsidR="000D77DD" w:rsidRPr="00AF1D30" w:rsidRDefault="000D77DD" w:rsidP="000D77DD">
      <w:pPr>
        <w:spacing w:before="120" w:after="120" w:line="240" w:lineRule="auto"/>
      </w:pPr>
    </w:p>
    <w:p w14:paraId="6D593EC4" w14:textId="77777777" w:rsidR="00236ECC" w:rsidRDefault="00236ECC">
      <w:pPr>
        <w:spacing w:after="0" w:line="240" w:lineRule="auto"/>
        <w:jc w:val="left"/>
        <w:rPr>
          <w:rFonts w:cs="Arial"/>
          <w:b/>
          <w:bCs/>
          <w:color w:val="1F497D"/>
          <w:kern w:val="32"/>
          <w:sz w:val="36"/>
        </w:rPr>
      </w:pPr>
      <w:bookmarkStart w:id="35" w:name="_Toc345081142"/>
      <w:r>
        <w:rPr>
          <w:color w:val="1F497D"/>
        </w:rPr>
        <w:br w:type="page"/>
      </w:r>
    </w:p>
    <w:p w14:paraId="44AEC2B5" w14:textId="57AEF0D0" w:rsidR="00E95140" w:rsidRPr="00AF1D30" w:rsidRDefault="00544E5D" w:rsidP="00E95140">
      <w:pPr>
        <w:pStyle w:val="HeadingGRM"/>
        <w:numPr>
          <w:ilvl w:val="0"/>
          <w:numId w:val="3"/>
        </w:numPr>
        <w:tabs>
          <w:tab w:val="left" w:pos="630"/>
        </w:tabs>
        <w:ind w:left="630" w:hanging="630"/>
        <w:rPr>
          <w:color w:val="1F497D"/>
        </w:rPr>
      </w:pPr>
      <w:r w:rsidRPr="00AF1D30">
        <w:rPr>
          <w:color w:val="1F497D"/>
        </w:rPr>
        <w:lastRenderedPageBreak/>
        <w:t>How have the results been achieved?</w:t>
      </w:r>
      <w:bookmarkEnd w:id="35"/>
      <w:r w:rsidRPr="00AF1D30">
        <w:rPr>
          <w:color w:val="1F497D"/>
        </w:rPr>
        <w:t xml:space="preserve"> </w:t>
      </w:r>
    </w:p>
    <w:p w14:paraId="0C4DCB28" w14:textId="2FBE959B" w:rsidR="00925AA4" w:rsidRPr="00AF1D30" w:rsidRDefault="00925AA4" w:rsidP="00925AA4">
      <w:r w:rsidRPr="00AF1D30">
        <w:t>This section considers the way in which the results presented in the previ</w:t>
      </w:r>
      <w:r>
        <w:t>ous section have been achieved</w:t>
      </w:r>
      <w:r w:rsidR="00AA4115">
        <w:rPr>
          <w:lang w:val="en-AU"/>
        </w:rPr>
        <w:t>. I</w:t>
      </w:r>
      <w:r w:rsidR="00E57814">
        <w:rPr>
          <w:lang w:val="id-ID"/>
        </w:rPr>
        <w:t>t</w:t>
      </w:r>
      <w:r>
        <w:t xml:space="preserve"> provides commentary on the delivery mechanisms</w:t>
      </w:r>
      <w:r w:rsidR="00E57814">
        <w:t xml:space="preserve"> utilised across the components</w:t>
      </w:r>
      <w:r w:rsidR="00E57814">
        <w:rPr>
          <w:lang w:val="id-ID"/>
        </w:rPr>
        <w:t>,</w:t>
      </w:r>
      <w:r>
        <w:t xml:space="preserve"> conside</w:t>
      </w:r>
      <w:r w:rsidR="00E57814">
        <w:t>rs the concept of “partnership”</w:t>
      </w:r>
      <w:r w:rsidR="00E57814">
        <w:rPr>
          <w:lang w:val="id-ID"/>
        </w:rPr>
        <w:t>,</w:t>
      </w:r>
      <w:r>
        <w:t xml:space="preserve"> and makes some broad assessments of sustainability.</w:t>
      </w:r>
    </w:p>
    <w:p w14:paraId="7F70607C" w14:textId="39322EC3" w:rsidR="00E95140" w:rsidRPr="00AF1D30" w:rsidRDefault="00A833E1" w:rsidP="00E95140">
      <w:r w:rsidRPr="00AF1D30">
        <w:t xml:space="preserve">Whilst the goal of the </w:t>
      </w:r>
      <w:r w:rsidR="00E57814">
        <w:rPr>
          <w:lang w:val="id-ID"/>
        </w:rPr>
        <w:t xml:space="preserve">EP </w:t>
      </w:r>
      <w:r w:rsidRPr="00AF1D30">
        <w:t xml:space="preserve">design may have been for the four components to complement each other, it is not </w:t>
      </w:r>
      <w:r w:rsidR="00AA4115">
        <w:t xml:space="preserve">readily </w:t>
      </w:r>
      <w:r w:rsidRPr="00AF1D30">
        <w:t>apparent that they combine synergistically to contribute to the higher level goals in the Theory of Change. The four components c</w:t>
      </w:r>
      <w:r w:rsidR="00AA4115">
        <w:t>ould</w:t>
      </w:r>
      <w:r w:rsidRPr="00AF1D30">
        <w:t xml:space="preserve"> be considered as separate initiatives that combine along with other initiatives outside the partnership to achieve the goals </w:t>
      </w:r>
      <w:r w:rsidR="00925AA4">
        <w:t xml:space="preserve">of the EP </w:t>
      </w:r>
      <w:r w:rsidRPr="00AF1D30">
        <w:t xml:space="preserve">and contribute to the stated vision. </w:t>
      </w:r>
    </w:p>
    <w:p w14:paraId="371B1A0C" w14:textId="49C8FF96" w:rsidR="009C45C0" w:rsidRPr="00AF1D30" w:rsidRDefault="009C45C0" w:rsidP="009C45C0">
      <w:pPr>
        <w:pStyle w:val="StyleSub-HeadingGRMText2Before12pt"/>
        <w:numPr>
          <w:ilvl w:val="1"/>
          <w:numId w:val="3"/>
        </w:numPr>
        <w:tabs>
          <w:tab w:val="clear" w:pos="900"/>
          <w:tab w:val="left" w:pos="630"/>
        </w:tabs>
        <w:ind w:left="630" w:hanging="630"/>
      </w:pPr>
      <w:bookmarkStart w:id="36" w:name="_Toc345081143"/>
      <w:r w:rsidRPr="00AF1D30">
        <w:t>Delivery mechanisms</w:t>
      </w:r>
      <w:bookmarkEnd w:id="36"/>
    </w:p>
    <w:p w14:paraId="0C37E02C" w14:textId="2A1840BC" w:rsidR="00AD643F" w:rsidRPr="00AF1D30" w:rsidRDefault="00AD643F" w:rsidP="00D72901">
      <w:pPr>
        <w:pStyle w:val="Heading3"/>
      </w:pPr>
      <w:r w:rsidRPr="00AF1D30">
        <w:t>Modality</w:t>
      </w:r>
    </w:p>
    <w:p w14:paraId="00E9A315" w14:textId="7B7FB13F" w:rsidR="00AD643F" w:rsidRPr="00AF1D30" w:rsidRDefault="00AD643F" w:rsidP="00AD643F">
      <w:r w:rsidRPr="00AF1D30">
        <w:t>Aid modalities are the ways in which aid is provided by donors to partner governments</w:t>
      </w:r>
      <w:r w:rsidR="00AA4115">
        <w:t>. T</w:t>
      </w:r>
      <w:r w:rsidR="00E57814">
        <w:rPr>
          <w:lang w:val="id-ID"/>
        </w:rPr>
        <w:t xml:space="preserve">hey </w:t>
      </w:r>
      <w:r w:rsidRPr="00AF1D30">
        <w:t>range from projects through sector</w:t>
      </w:r>
      <w:r w:rsidR="00E57814">
        <w:rPr>
          <w:lang w:val="id-ID"/>
        </w:rPr>
        <w:t>-wide</w:t>
      </w:r>
      <w:r w:rsidRPr="00AF1D30">
        <w:t xml:space="preserve"> approa</w:t>
      </w:r>
      <w:r w:rsidR="00E57814">
        <w:t>ches and general budget support</w:t>
      </w:r>
      <w:r w:rsidRPr="00AF1D30">
        <w:t>, encompassing a variety of arrangements for conditionality and accountability.</w:t>
      </w:r>
    </w:p>
    <w:p w14:paraId="5BCD067C" w14:textId="2C9385E1" w:rsidR="00AD643F" w:rsidRPr="00AF1D30" w:rsidRDefault="00AD643F" w:rsidP="00AD643F">
      <w:r w:rsidRPr="00AF1D30">
        <w:t xml:space="preserve">The EP is characterised by a blend of </w:t>
      </w:r>
      <w:r w:rsidR="00984067" w:rsidRPr="00AF1D30">
        <w:t xml:space="preserve">aid </w:t>
      </w:r>
      <w:r w:rsidRPr="00AF1D30">
        <w:t xml:space="preserve">modalities bound by a common thread: a commitment to strengthen </w:t>
      </w:r>
      <w:r w:rsidR="00E57814">
        <w:rPr>
          <w:lang w:val="id-ID"/>
        </w:rPr>
        <w:t xml:space="preserve">nationwide </w:t>
      </w:r>
      <w:r w:rsidRPr="00AF1D30">
        <w:t>systems</w:t>
      </w:r>
      <w:r w:rsidR="00E57814">
        <w:rPr>
          <w:lang w:val="id-ID"/>
        </w:rPr>
        <w:t xml:space="preserve"> of education service provision</w:t>
      </w:r>
      <w:r w:rsidRPr="00AF1D30">
        <w:t xml:space="preserve">. The mix of modalities – including </w:t>
      </w:r>
      <w:r w:rsidR="00E57814">
        <w:rPr>
          <w:lang w:val="id-ID"/>
        </w:rPr>
        <w:t>earmark</w:t>
      </w:r>
      <w:r w:rsidR="00984067" w:rsidRPr="00AF1D30">
        <w:t xml:space="preserve">ed budget support (C1, C2), </w:t>
      </w:r>
      <w:r w:rsidRPr="00AF1D30">
        <w:t>project support (C3), and multi</w:t>
      </w:r>
      <w:r w:rsidR="00F90CC0" w:rsidRPr="00AF1D30">
        <w:t>-</w:t>
      </w:r>
      <w:r w:rsidRPr="00AF1D30">
        <w:t xml:space="preserve">donor support (C4) – reflects, </w:t>
      </w:r>
      <w:r w:rsidRPr="00AF1D30">
        <w:rPr>
          <w:i/>
        </w:rPr>
        <w:t>inter alia</w:t>
      </w:r>
      <w:r w:rsidRPr="00AF1D30">
        <w:t xml:space="preserve">, partner capacities and the degree of </w:t>
      </w:r>
      <w:r w:rsidR="00E57814">
        <w:t xml:space="preserve">maturity of </w:t>
      </w:r>
      <w:r w:rsidR="00E57814">
        <w:rPr>
          <w:lang w:val="id-ID"/>
        </w:rPr>
        <w:t>inter-governmental</w:t>
      </w:r>
      <w:r w:rsidRPr="00AF1D30">
        <w:t xml:space="preserve"> relationships</w:t>
      </w:r>
      <w:r w:rsidR="009C20F8" w:rsidRPr="00AF1D30">
        <w:t xml:space="preserve">, whilst also allowing healthy accountability pressures. </w:t>
      </w:r>
      <w:r w:rsidRPr="00AF1D30">
        <w:t>In principle, the blend of modalities is a sound and appropriate response that appears to of</w:t>
      </w:r>
      <w:r w:rsidR="009C45C0" w:rsidRPr="00AF1D30">
        <w:t>fer good opportunity to build capacity</w:t>
      </w:r>
      <w:r w:rsidRPr="00AF1D30">
        <w:t xml:space="preserve"> through </w:t>
      </w:r>
      <w:r w:rsidR="00984067" w:rsidRPr="00AF1D30">
        <w:t>s</w:t>
      </w:r>
      <w:r w:rsidR="00AA4115">
        <w:t>ystems development,</w:t>
      </w:r>
      <w:r w:rsidRPr="00AF1D30">
        <w:t xml:space="preserve"> a mix that also enables AusAID to alter its tactics – its modalities – whilst retaining its broad strategy concerning improved educational outcomes.</w:t>
      </w:r>
      <w:r w:rsidR="00597821">
        <w:t xml:space="preserve"> </w:t>
      </w:r>
    </w:p>
    <w:p w14:paraId="3E487C9E" w14:textId="6DADCBB2" w:rsidR="00454C4C" w:rsidRPr="00AF1D30" w:rsidRDefault="00AD643F" w:rsidP="00AD643F">
      <w:r w:rsidRPr="00AF1D30">
        <w:t xml:space="preserve">By operating through GoI systems, the EP exploits the key comparative advantages of scale and efficiency, whilst the </w:t>
      </w:r>
      <w:r w:rsidR="00EA61FC" w:rsidRPr="00AF1D30">
        <w:t>on-going</w:t>
      </w:r>
      <w:r w:rsidRPr="00AF1D30">
        <w:t xml:space="preserve"> monitoring and capacity building </w:t>
      </w:r>
      <w:r w:rsidR="00D3663C">
        <w:rPr>
          <w:lang w:val="id-ID"/>
        </w:rPr>
        <w:t xml:space="preserve">activities </w:t>
      </w:r>
      <w:r w:rsidRPr="00AF1D30">
        <w:t xml:space="preserve">by AusAID contractors offers an appropriate response to risk and the need for accountability. </w:t>
      </w:r>
    </w:p>
    <w:p w14:paraId="0AB950E1" w14:textId="2791ABE7" w:rsidR="00AD643F" w:rsidRPr="00AF1D30" w:rsidRDefault="00AD643F" w:rsidP="00AD643F">
      <w:r w:rsidRPr="00AF1D30">
        <w:t xml:space="preserve">However, the different modalities </w:t>
      </w:r>
      <w:r w:rsidR="00454C4C" w:rsidRPr="00AF1D30">
        <w:t xml:space="preserve">employed on different components </w:t>
      </w:r>
      <w:r w:rsidRPr="00AF1D30">
        <w:t xml:space="preserve">(coupled with the different delivery mechanisms described below) </w:t>
      </w:r>
      <w:r w:rsidR="00454C4C" w:rsidRPr="00AF1D30">
        <w:t xml:space="preserve">can only </w:t>
      </w:r>
      <w:r w:rsidRPr="00AF1D30">
        <w:t>accentuate the risk that the different components operate in silos</w:t>
      </w:r>
      <w:r w:rsidR="00454C4C" w:rsidRPr="00AF1D30">
        <w:t xml:space="preserve"> and that the partnership operates as four non-contiguous initiatives. This in itself is not a problem so long as other (non EP) supporting initiatives that would combine with the four components to achieve higher level outcomes and goals are identified and their implementation monitored.</w:t>
      </w:r>
    </w:p>
    <w:p w14:paraId="4FFC9C71" w14:textId="77777777" w:rsidR="009C45C0" w:rsidRPr="00AF1D30" w:rsidRDefault="009C45C0" w:rsidP="00D72901">
      <w:pPr>
        <w:pStyle w:val="Heading3"/>
      </w:pPr>
      <w:r w:rsidRPr="00AF1D30">
        <w:t>Implementation mechanisms</w:t>
      </w:r>
    </w:p>
    <w:p w14:paraId="7A01A2D4" w14:textId="3BAA1576" w:rsidR="009A7A36" w:rsidRDefault="009C45C0" w:rsidP="009C45C0">
      <w:pPr>
        <w:rPr>
          <w:lang w:val="id-ID"/>
        </w:rPr>
      </w:pPr>
      <w:r w:rsidRPr="00AF1D30">
        <w:t>The EP also</w:t>
      </w:r>
      <w:r w:rsidR="00557C8F" w:rsidRPr="00AF1D30">
        <w:t xml:space="preserve"> targets and</w:t>
      </w:r>
      <w:r w:rsidRPr="00AF1D30">
        <w:t xml:space="preserve"> utilises different implementation mechanisms</w:t>
      </w:r>
      <w:r w:rsidR="00557C8F" w:rsidRPr="00AF1D30">
        <w:t xml:space="preserve"> at field level. </w:t>
      </w:r>
      <w:r w:rsidR="00D72901" w:rsidRPr="00AF1D30">
        <w:t>The</w:t>
      </w:r>
      <w:r w:rsidR="00F90CC0" w:rsidRPr="00AF1D30">
        <w:t>se</w:t>
      </w:r>
      <w:r w:rsidR="00D72901" w:rsidRPr="00AF1D30">
        <w:t xml:space="preserve"> mechanisms represent the </w:t>
      </w:r>
      <w:r w:rsidR="00BE17EC">
        <w:rPr>
          <w:lang w:val="id-ID"/>
        </w:rPr>
        <w:t xml:space="preserve">nationwide </w:t>
      </w:r>
      <w:r w:rsidR="00D72901" w:rsidRPr="00AF1D30">
        <w:t>systems that are targeted by the EP</w:t>
      </w:r>
      <w:r w:rsidR="00BE17EC">
        <w:rPr>
          <w:lang w:val="id-ID"/>
        </w:rPr>
        <w:t xml:space="preserve">, </w:t>
      </w:r>
      <w:r w:rsidR="00557C8F" w:rsidRPr="00AF1D30">
        <w:t xml:space="preserve">selected </w:t>
      </w:r>
      <w:r w:rsidR="00BE17EC">
        <w:rPr>
          <w:lang w:val="id-ID"/>
        </w:rPr>
        <w:t xml:space="preserve">on the assumption that they </w:t>
      </w:r>
      <w:r w:rsidR="00557C8F" w:rsidRPr="00AF1D30">
        <w:t>offer the highest chance of success in achieving</w:t>
      </w:r>
      <w:r w:rsidR="00BE17EC">
        <w:rPr>
          <w:lang w:val="id-ID"/>
        </w:rPr>
        <w:t xml:space="preserve"> and sustaining </w:t>
      </w:r>
      <w:r w:rsidR="00557C8F" w:rsidRPr="00AF1D30">
        <w:t>outp</w:t>
      </w:r>
      <w:r w:rsidR="00D83ECF" w:rsidRPr="00AF1D30">
        <w:t>u</w:t>
      </w:r>
      <w:r w:rsidR="00557C8F" w:rsidRPr="00AF1D30">
        <w:t xml:space="preserve">ts </w:t>
      </w:r>
      <w:r w:rsidR="00D83ECF" w:rsidRPr="00AF1D30">
        <w:t xml:space="preserve">and </w:t>
      </w:r>
      <w:r w:rsidR="00BE17EC">
        <w:lastRenderedPageBreak/>
        <w:t>component-level outcome</w:t>
      </w:r>
      <w:r w:rsidR="00BE17EC">
        <w:rPr>
          <w:lang w:val="id-ID"/>
        </w:rPr>
        <w:t>s</w:t>
      </w:r>
      <w:r w:rsidR="00D83ECF" w:rsidRPr="00AF1D30">
        <w:t xml:space="preserve">. </w:t>
      </w:r>
      <w:r w:rsidR="00925AA4">
        <w:fldChar w:fldCharType="begin"/>
      </w:r>
      <w:r w:rsidR="00925AA4">
        <w:instrText xml:space="preserve"> REF _Ref343695503 \h </w:instrText>
      </w:r>
      <w:r w:rsidR="00925AA4">
        <w:fldChar w:fldCharType="separate"/>
      </w:r>
      <w:r w:rsidR="005E2933" w:rsidRPr="00AF1D30">
        <w:t xml:space="preserve">Table </w:t>
      </w:r>
      <w:r w:rsidR="005E2933">
        <w:rPr>
          <w:noProof/>
        </w:rPr>
        <w:t>3</w:t>
      </w:r>
      <w:r w:rsidR="00925AA4">
        <w:fldChar w:fldCharType="end"/>
      </w:r>
      <w:r w:rsidR="00D83ECF" w:rsidRPr="00AF1D30">
        <w:t xml:space="preserve"> identifies the relevant implementation mechanism</w:t>
      </w:r>
      <w:r w:rsidR="00D72901" w:rsidRPr="00AF1D30">
        <w:t xml:space="preserve">s or systems for each component and also </w:t>
      </w:r>
      <w:r w:rsidR="00C977AD">
        <w:t>describes their characteristics</w:t>
      </w:r>
      <w:r w:rsidR="00B83229">
        <w:t xml:space="preserve"> and challenges</w:t>
      </w:r>
      <w:r w:rsidR="00C977AD">
        <w:t>.</w:t>
      </w:r>
    </w:p>
    <w:p w14:paraId="54A25C6F" w14:textId="33EA605E" w:rsidR="00DB3C94" w:rsidRPr="00AF1D30" w:rsidRDefault="008167F4" w:rsidP="00005486">
      <w:pPr>
        <w:pStyle w:val="Caption"/>
        <w:keepNext/>
        <w:rPr>
          <w:szCs w:val="22"/>
        </w:rPr>
      </w:pPr>
      <w:bookmarkStart w:id="37" w:name="_Ref343695503"/>
      <w:r w:rsidRPr="00AF1D30">
        <w:t xml:space="preserve">Table </w:t>
      </w:r>
      <w:r w:rsidRPr="00AF1D30">
        <w:fldChar w:fldCharType="begin"/>
      </w:r>
      <w:r w:rsidRPr="00AF1D30">
        <w:instrText xml:space="preserve"> SEQ Table \* ARABIC </w:instrText>
      </w:r>
      <w:r w:rsidRPr="00AF1D30">
        <w:fldChar w:fldCharType="separate"/>
      </w:r>
      <w:r w:rsidR="005E2933">
        <w:rPr>
          <w:noProof/>
        </w:rPr>
        <w:t>3</w:t>
      </w:r>
      <w:r w:rsidRPr="00AF1D30">
        <w:fldChar w:fldCharType="end"/>
      </w:r>
      <w:bookmarkEnd w:id="37"/>
      <w:r w:rsidR="00DB3C94" w:rsidRPr="00AF1D30">
        <w:rPr>
          <w:szCs w:val="22"/>
        </w:rPr>
        <w:t xml:space="preserve">: </w:t>
      </w:r>
      <w:r w:rsidR="00BE17EC">
        <w:rPr>
          <w:szCs w:val="22"/>
          <w:lang w:val="id-ID"/>
        </w:rPr>
        <w:t>C</w:t>
      </w:r>
      <w:r w:rsidR="00DB3C94" w:rsidRPr="00AF1D30">
        <w:rPr>
          <w:szCs w:val="22"/>
        </w:rPr>
        <w:t>omponent-level implementation mechanisms</w:t>
      </w:r>
    </w:p>
    <w:tbl>
      <w:tblPr>
        <w:tblW w:w="9087" w:type="dxa"/>
        <w:tblInd w:w="93" w:type="dxa"/>
        <w:tblLayout w:type="fixed"/>
        <w:tblLook w:val="04A0" w:firstRow="1" w:lastRow="0" w:firstColumn="1" w:lastColumn="0" w:noHBand="0" w:noVBand="1"/>
      </w:tblPr>
      <w:tblGrid>
        <w:gridCol w:w="2425"/>
        <w:gridCol w:w="6662"/>
      </w:tblGrid>
      <w:tr w:rsidR="00DB3C94" w:rsidRPr="00AF1D30" w14:paraId="2308EF41" w14:textId="77777777" w:rsidTr="0081376A">
        <w:trPr>
          <w:trHeight w:val="495"/>
        </w:trPr>
        <w:tc>
          <w:tcPr>
            <w:tcW w:w="2425" w:type="dxa"/>
            <w:tcBorders>
              <w:top w:val="single" w:sz="8" w:space="0" w:color="auto"/>
              <w:left w:val="single" w:sz="8" w:space="0" w:color="auto"/>
              <w:bottom w:val="single" w:sz="8" w:space="0" w:color="auto"/>
              <w:right w:val="single" w:sz="8" w:space="0" w:color="auto"/>
            </w:tcBorders>
            <w:shd w:val="clear" w:color="auto" w:fill="365F91" w:themeFill="accent1" w:themeFillShade="BF"/>
            <w:noWrap/>
            <w:vAlign w:val="center"/>
            <w:hideMark/>
          </w:tcPr>
          <w:p w14:paraId="73C0EE28" w14:textId="227897A6" w:rsidR="00DB3C94" w:rsidRPr="00BE17EC" w:rsidRDefault="00BE17EC" w:rsidP="00005486">
            <w:pPr>
              <w:keepNext/>
              <w:spacing w:after="0" w:line="240" w:lineRule="auto"/>
              <w:jc w:val="center"/>
              <w:rPr>
                <w:rFonts w:eastAsia="Times New Roman" w:cs="Calibri"/>
                <w:b/>
                <w:bCs/>
                <w:color w:val="FFFFFF" w:themeColor="background1"/>
                <w:szCs w:val="22"/>
                <w:lang w:val="id-ID"/>
              </w:rPr>
            </w:pPr>
            <w:r>
              <w:rPr>
                <w:rFonts w:eastAsia="Times New Roman" w:cs="Calibri"/>
                <w:b/>
                <w:bCs/>
                <w:color w:val="FFFFFF" w:themeColor="background1"/>
                <w:szCs w:val="22"/>
                <w:lang w:val="id-ID"/>
              </w:rPr>
              <w:t>System</w:t>
            </w:r>
            <w:r w:rsidR="00355B1F">
              <w:rPr>
                <w:rFonts w:eastAsia="Times New Roman" w:cs="Calibri"/>
                <w:b/>
                <w:bCs/>
                <w:color w:val="FFFFFF" w:themeColor="background1"/>
                <w:szCs w:val="22"/>
                <w:lang w:val="id-ID"/>
              </w:rPr>
              <w:t>s</w:t>
            </w:r>
            <w:r>
              <w:rPr>
                <w:rFonts w:eastAsia="Times New Roman" w:cs="Calibri"/>
                <w:b/>
                <w:bCs/>
                <w:color w:val="FFFFFF" w:themeColor="background1"/>
                <w:szCs w:val="22"/>
                <w:lang w:val="id-ID"/>
              </w:rPr>
              <w:t xml:space="preserve"> to strenghten</w:t>
            </w:r>
          </w:p>
        </w:tc>
        <w:tc>
          <w:tcPr>
            <w:tcW w:w="6662" w:type="dxa"/>
            <w:tcBorders>
              <w:top w:val="single" w:sz="8" w:space="0" w:color="auto"/>
              <w:left w:val="nil"/>
              <w:bottom w:val="single" w:sz="8" w:space="0" w:color="auto"/>
              <w:right w:val="single" w:sz="8" w:space="0" w:color="auto"/>
            </w:tcBorders>
            <w:shd w:val="clear" w:color="auto" w:fill="365F91" w:themeFill="accent1" w:themeFillShade="BF"/>
            <w:noWrap/>
            <w:vAlign w:val="center"/>
            <w:hideMark/>
          </w:tcPr>
          <w:p w14:paraId="4B7D5A95" w14:textId="63DF463C" w:rsidR="00DB3C94" w:rsidRPr="00AF1D30" w:rsidRDefault="00DB3C94" w:rsidP="00005486">
            <w:pPr>
              <w:keepNext/>
              <w:spacing w:after="0" w:line="240" w:lineRule="auto"/>
              <w:jc w:val="center"/>
              <w:rPr>
                <w:rFonts w:eastAsia="Times New Roman" w:cs="Calibri"/>
                <w:b/>
                <w:bCs/>
                <w:color w:val="FFFFFF" w:themeColor="background1"/>
                <w:szCs w:val="22"/>
              </w:rPr>
            </w:pPr>
            <w:r w:rsidRPr="00AF1D30">
              <w:rPr>
                <w:rFonts w:eastAsia="Times New Roman" w:cs="Calibri"/>
                <w:b/>
                <w:bCs/>
                <w:color w:val="FFFFFF" w:themeColor="background1"/>
                <w:szCs w:val="22"/>
              </w:rPr>
              <w:t>Key observations</w:t>
            </w:r>
          </w:p>
        </w:tc>
      </w:tr>
      <w:tr w:rsidR="00DB3C94" w:rsidRPr="00AF1D30" w14:paraId="4E8B44CF" w14:textId="77777777" w:rsidTr="00F11245">
        <w:trPr>
          <w:trHeight w:val="495"/>
        </w:trPr>
        <w:tc>
          <w:tcPr>
            <w:tcW w:w="2425"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28CF6463" w14:textId="27DB47C4" w:rsidR="00DB3C94" w:rsidRPr="00AF1D30" w:rsidRDefault="00DB3C94" w:rsidP="00005486">
            <w:pPr>
              <w:keepNext/>
              <w:spacing w:after="0" w:line="240" w:lineRule="auto"/>
              <w:jc w:val="left"/>
              <w:rPr>
                <w:rFonts w:eastAsia="Times New Roman" w:cs="Calibri"/>
                <w:color w:val="000000"/>
                <w:szCs w:val="22"/>
              </w:rPr>
            </w:pPr>
            <w:r w:rsidRPr="00AF1D30">
              <w:t xml:space="preserve">C1: Community-based construction system </w:t>
            </w:r>
          </w:p>
        </w:tc>
        <w:tc>
          <w:tcPr>
            <w:tcW w:w="6662" w:type="dxa"/>
            <w:tcBorders>
              <w:top w:val="nil"/>
              <w:left w:val="nil"/>
              <w:bottom w:val="single" w:sz="4" w:space="0" w:color="auto"/>
              <w:right w:val="single" w:sz="8" w:space="0" w:color="auto"/>
            </w:tcBorders>
            <w:shd w:val="clear" w:color="auto" w:fill="D9D9D9" w:themeFill="background1" w:themeFillShade="D9"/>
            <w:noWrap/>
            <w:vAlign w:val="center"/>
            <w:hideMark/>
          </w:tcPr>
          <w:p w14:paraId="1C8B39B8" w14:textId="2F7DF378" w:rsidR="0081376A" w:rsidRDefault="00C977AD" w:rsidP="0081376A">
            <w:pPr>
              <w:pStyle w:val="ListParagraph"/>
              <w:keepNext/>
              <w:numPr>
                <w:ilvl w:val="0"/>
                <w:numId w:val="36"/>
              </w:numPr>
              <w:spacing w:before="120" w:after="120" w:line="240" w:lineRule="auto"/>
              <w:ind w:left="357" w:hanging="357"/>
            </w:pPr>
            <w:r>
              <w:t>Has a l</w:t>
            </w:r>
            <w:r w:rsidR="00DB3C94" w:rsidRPr="00AF1D30">
              <w:t xml:space="preserve">ong history of use </w:t>
            </w:r>
            <w:r w:rsidR="00BE17EC">
              <w:rPr>
                <w:lang w:val="id-ID"/>
              </w:rPr>
              <w:t xml:space="preserve">by GoI </w:t>
            </w:r>
            <w:r w:rsidR="00DB3C94" w:rsidRPr="00AF1D30">
              <w:t>(7</w:t>
            </w:r>
            <w:r>
              <w:t>,</w:t>
            </w:r>
            <w:r w:rsidR="00DB3C94" w:rsidRPr="00AF1D30">
              <w:t>700 schools already built)</w:t>
            </w:r>
            <w:r w:rsidR="0081376A">
              <w:t xml:space="preserve"> and is a proven mechanism</w:t>
            </w:r>
          </w:p>
          <w:p w14:paraId="59784951" w14:textId="48C609E9" w:rsidR="00DB3C94" w:rsidRPr="00BE17EC" w:rsidRDefault="0081376A" w:rsidP="00BE17EC">
            <w:pPr>
              <w:pStyle w:val="ListParagraph"/>
              <w:keepNext/>
              <w:numPr>
                <w:ilvl w:val="0"/>
                <w:numId w:val="36"/>
              </w:numPr>
              <w:spacing w:before="120" w:after="120" w:line="240" w:lineRule="auto"/>
              <w:ind w:left="357" w:hanging="357"/>
            </w:pPr>
            <w:r>
              <w:t>Considered a more efficient and more effective mechanism than private contractors</w:t>
            </w:r>
            <w:r w:rsidR="00BE17EC">
              <w:rPr>
                <w:lang w:val="id-ID"/>
              </w:rPr>
              <w:t>,</w:t>
            </w:r>
            <w:r>
              <w:t xml:space="preserve"> with the associated benefit of commun</w:t>
            </w:r>
            <w:r w:rsidR="00DB3C94" w:rsidRPr="00AF1D30">
              <w:t>ity commitment</w:t>
            </w:r>
          </w:p>
          <w:p w14:paraId="76A19153" w14:textId="594B1FED" w:rsidR="00DB3C94" w:rsidRPr="00AF1D30" w:rsidRDefault="0081376A" w:rsidP="0081376A">
            <w:pPr>
              <w:pStyle w:val="ListParagraph"/>
              <w:keepNext/>
              <w:numPr>
                <w:ilvl w:val="0"/>
                <w:numId w:val="36"/>
              </w:numPr>
              <w:spacing w:before="120" w:after="120" w:line="240" w:lineRule="auto"/>
              <w:ind w:left="357" w:hanging="357"/>
            </w:pPr>
            <w:r>
              <w:t xml:space="preserve">Partnership </w:t>
            </w:r>
            <w:r w:rsidR="00BE17EC">
              <w:t xml:space="preserve">benefits accrue with external </w:t>
            </w:r>
            <w:r w:rsidR="00BE17EC">
              <w:rPr>
                <w:lang w:val="id-ID"/>
              </w:rPr>
              <w:t xml:space="preserve">- </w:t>
            </w:r>
            <w:r>
              <w:t>SSQ - monitoring process applying a “h</w:t>
            </w:r>
            <w:r w:rsidR="00DB3C94" w:rsidRPr="00AF1D30">
              <w:t>ealthy pressure</w:t>
            </w:r>
            <w:r>
              <w:t>”</w:t>
            </w:r>
            <w:r w:rsidR="00B83229">
              <w:t>.</w:t>
            </w:r>
          </w:p>
          <w:p w14:paraId="374AE04A" w14:textId="38825B60" w:rsidR="00DB3C94" w:rsidRPr="00AF1D30" w:rsidRDefault="00AA4115" w:rsidP="00401562">
            <w:pPr>
              <w:pStyle w:val="ListParagraph"/>
              <w:keepNext/>
              <w:numPr>
                <w:ilvl w:val="0"/>
                <w:numId w:val="36"/>
              </w:numPr>
              <w:spacing w:before="120" w:after="120" w:line="240" w:lineRule="auto"/>
              <w:ind w:left="357" w:hanging="357"/>
            </w:pPr>
            <w:r>
              <w:t>C</w:t>
            </w:r>
            <w:r w:rsidR="00401562">
              <w:t>onsidered an a</w:t>
            </w:r>
            <w:r w:rsidR="00DB3C94" w:rsidRPr="00AF1D30">
              <w:t>ppropriate</w:t>
            </w:r>
            <w:r w:rsidR="00401562">
              <w:t xml:space="preserve"> </w:t>
            </w:r>
            <w:r w:rsidR="00B83229">
              <w:t xml:space="preserve">development level </w:t>
            </w:r>
            <w:r w:rsidR="00401562">
              <w:t>mechanism</w:t>
            </w:r>
            <w:r w:rsidR="00401562">
              <w:rPr>
                <w:rStyle w:val="FootnoteReference"/>
              </w:rPr>
              <w:footnoteReference w:id="5"/>
            </w:r>
            <w:r w:rsidR="00401562">
              <w:t xml:space="preserve"> (funds through GoI with external monitoring) </w:t>
            </w:r>
            <w:r w:rsidR="00DB3C94" w:rsidRPr="00AF1D30">
              <w:t>given the risks involved</w:t>
            </w:r>
            <w:r w:rsidR="00B83229">
              <w:t>.</w:t>
            </w:r>
          </w:p>
        </w:tc>
      </w:tr>
      <w:tr w:rsidR="00DB3C94" w:rsidRPr="00AF1D30" w14:paraId="5E0B86F9" w14:textId="77777777" w:rsidTr="00F11245">
        <w:trPr>
          <w:trHeight w:val="519"/>
        </w:trPr>
        <w:tc>
          <w:tcPr>
            <w:tcW w:w="2425"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14:paraId="4FDB8F71" w14:textId="419EBA60" w:rsidR="00DB3C94" w:rsidRPr="00AF1D30" w:rsidRDefault="00DB3C94" w:rsidP="00B83229">
            <w:pPr>
              <w:keepNext/>
              <w:spacing w:after="0" w:line="240" w:lineRule="auto"/>
              <w:jc w:val="left"/>
              <w:rPr>
                <w:rFonts w:eastAsia="Times New Roman" w:cs="Calibri"/>
                <w:color w:val="000000"/>
                <w:szCs w:val="22"/>
              </w:rPr>
            </w:pPr>
            <w:r w:rsidRPr="00AF1D30">
              <w:t xml:space="preserve">C2: Competency-based </w:t>
            </w:r>
            <w:r w:rsidR="00B83229">
              <w:t xml:space="preserve">professional development </w:t>
            </w:r>
            <w:r w:rsidRPr="00AF1D30">
              <w:t>system</w:t>
            </w:r>
          </w:p>
        </w:tc>
        <w:tc>
          <w:tcPr>
            <w:tcW w:w="6662" w:type="dxa"/>
            <w:tcBorders>
              <w:top w:val="nil"/>
              <w:left w:val="nil"/>
              <w:bottom w:val="single" w:sz="4" w:space="0" w:color="auto"/>
              <w:right w:val="single" w:sz="8" w:space="0" w:color="auto"/>
            </w:tcBorders>
            <w:shd w:val="clear" w:color="auto" w:fill="F2F2F2" w:themeFill="background1" w:themeFillShade="F2"/>
            <w:noWrap/>
            <w:vAlign w:val="center"/>
          </w:tcPr>
          <w:p w14:paraId="3CC47EC6" w14:textId="51EA202E" w:rsidR="00DB3C94" w:rsidRPr="00AF1D30" w:rsidRDefault="00DB3C94" w:rsidP="0081376A">
            <w:pPr>
              <w:pStyle w:val="ListParagraph"/>
              <w:keepNext/>
              <w:numPr>
                <w:ilvl w:val="0"/>
                <w:numId w:val="36"/>
              </w:numPr>
              <w:spacing w:before="120" w:after="120" w:line="240" w:lineRule="auto"/>
              <w:ind w:left="357" w:hanging="357"/>
            </w:pPr>
            <w:r w:rsidRPr="00AF1D30">
              <w:t>Different training deli</w:t>
            </w:r>
            <w:r w:rsidR="009A7A36" w:rsidRPr="00AF1D30">
              <w:t xml:space="preserve">very mechanisms </w:t>
            </w:r>
            <w:r w:rsidR="00B83229">
              <w:t xml:space="preserve">are </w:t>
            </w:r>
            <w:r w:rsidR="009A7A36" w:rsidRPr="00AF1D30">
              <w:t xml:space="preserve">being trialled. </w:t>
            </w:r>
            <w:r w:rsidR="00B83229">
              <w:t xml:space="preserve">There is a desire </w:t>
            </w:r>
            <w:r w:rsidRPr="00AF1D30">
              <w:t xml:space="preserve">to </w:t>
            </w:r>
            <w:r w:rsidR="00B83229">
              <w:t xml:space="preserve">retain </w:t>
            </w:r>
            <w:r w:rsidRPr="00AF1D30">
              <w:t>flexibility</w:t>
            </w:r>
            <w:r w:rsidR="009A7A36" w:rsidRPr="00AF1D30">
              <w:t xml:space="preserve"> </w:t>
            </w:r>
            <w:r w:rsidR="00B83229">
              <w:t xml:space="preserve">of delivery mechanism so that the system evolves </w:t>
            </w:r>
            <w:r w:rsidR="009A7A36" w:rsidRPr="00AF1D30">
              <w:t>within the education system</w:t>
            </w:r>
          </w:p>
          <w:p w14:paraId="351ABE83" w14:textId="3214B026" w:rsidR="00DB3C94" w:rsidRPr="00AF1D30" w:rsidRDefault="00B83229" w:rsidP="00B83229">
            <w:pPr>
              <w:pStyle w:val="ListParagraph"/>
              <w:keepNext/>
              <w:numPr>
                <w:ilvl w:val="0"/>
                <w:numId w:val="36"/>
              </w:numPr>
              <w:spacing w:before="120" w:after="120" w:line="240" w:lineRule="auto"/>
              <w:ind w:left="357" w:hanging="357"/>
            </w:pPr>
            <w:r>
              <w:t>GoI commitment to CPD is clear and on-line delivery of education modules will be utilised. However, the p</w:t>
            </w:r>
            <w:r w:rsidR="00DB3C94" w:rsidRPr="00AF1D30">
              <w:t>edagogical considerations associated with</w:t>
            </w:r>
            <w:r>
              <w:t xml:space="preserve"> a shift to </w:t>
            </w:r>
            <w:r w:rsidR="00DB3C94" w:rsidRPr="00AF1D30">
              <w:t xml:space="preserve">on-line delivery </w:t>
            </w:r>
            <w:r>
              <w:t>need to be assessed and catered for</w:t>
            </w:r>
            <w:r w:rsidR="00BE17EC">
              <w:rPr>
                <w:lang w:val="id-ID"/>
              </w:rPr>
              <w:t>.</w:t>
            </w:r>
          </w:p>
        </w:tc>
      </w:tr>
      <w:tr w:rsidR="00DB3C94" w:rsidRPr="00AF1D30" w14:paraId="733DE1D3" w14:textId="77777777" w:rsidTr="00F11245">
        <w:trPr>
          <w:trHeight w:val="535"/>
        </w:trPr>
        <w:tc>
          <w:tcPr>
            <w:tcW w:w="2425"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7B45E10F" w14:textId="6C14588C" w:rsidR="00DB3C94" w:rsidRPr="00AF1D30" w:rsidRDefault="00DB3C94" w:rsidP="00B83229">
            <w:pPr>
              <w:keepNext/>
              <w:spacing w:after="0" w:line="240" w:lineRule="auto"/>
              <w:jc w:val="left"/>
            </w:pPr>
            <w:r w:rsidRPr="00AF1D30">
              <w:t xml:space="preserve">C3: Quality-based accreditation system </w:t>
            </w:r>
          </w:p>
        </w:tc>
        <w:tc>
          <w:tcPr>
            <w:tcW w:w="6662" w:type="dxa"/>
            <w:tcBorders>
              <w:top w:val="nil"/>
              <w:left w:val="nil"/>
              <w:bottom w:val="single" w:sz="4" w:space="0" w:color="auto"/>
              <w:right w:val="single" w:sz="8" w:space="0" w:color="auto"/>
            </w:tcBorders>
            <w:shd w:val="clear" w:color="auto" w:fill="D9D9D9" w:themeFill="background1" w:themeFillShade="D9"/>
            <w:noWrap/>
            <w:vAlign w:val="center"/>
          </w:tcPr>
          <w:p w14:paraId="053D5B4E" w14:textId="16FA875A" w:rsidR="00B83229" w:rsidRDefault="00B83229" w:rsidP="0081376A">
            <w:pPr>
              <w:pStyle w:val="ListParagraph"/>
              <w:keepNext/>
              <w:numPr>
                <w:ilvl w:val="0"/>
                <w:numId w:val="36"/>
              </w:numPr>
              <w:spacing w:before="120" w:after="120" w:line="240" w:lineRule="auto"/>
              <w:ind w:left="357" w:hanging="357"/>
            </w:pPr>
            <w:r>
              <w:t xml:space="preserve">The paradigm shift towards a quality-based accreditation system is taking hold but stronger evidence </w:t>
            </w:r>
            <w:r w:rsidR="00BE17EC">
              <w:t>of MoRA fully adopting the “model”</w:t>
            </w:r>
            <w:r w:rsidR="00BE17EC">
              <w:rPr>
                <w:lang w:val="id-ID"/>
              </w:rPr>
              <w:t xml:space="preserve"> </w:t>
            </w:r>
            <w:r>
              <w:t xml:space="preserve">is required </w:t>
            </w:r>
          </w:p>
          <w:p w14:paraId="42D7FE26" w14:textId="075E8BA2" w:rsidR="00676556" w:rsidRPr="00AF1D30" w:rsidRDefault="00DB3C94" w:rsidP="00676556">
            <w:pPr>
              <w:pStyle w:val="ListParagraph"/>
              <w:keepNext/>
              <w:numPr>
                <w:ilvl w:val="0"/>
                <w:numId w:val="36"/>
              </w:numPr>
              <w:spacing w:before="120" w:after="120" w:line="240" w:lineRule="auto"/>
              <w:ind w:left="357" w:hanging="357"/>
            </w:pPr>
            <w:r w:rsidRPr="00AF1D30">
              <w:t xml:space="preserve">Funding provided </w:t>
            </w:r>
            <w:r w:rsidR="00676556">
              <w:t xml:space="preserve">directly </w:t>
            </w:r>
            <w:r w:rsidRPr="00AF1D30">
              <w:t xml:space="preserve">to </w:t>
            </w:r>
            <w:r w:rsidR="00676556">
              <w:t xml:space="preserve">both </w:t>
            </w:r>
            <w:r w:rsidRPr="00AF1D30">
              <w:t>Madrasah and SNIP</w:t>
            </w:r>
            <w:r w:rsidR="00676556">
              <w:t xml:space="preserve">s is </w:t>
            </w:r>
            <w:r w:rsidR="00355B1F">
              <w:rPr>
                <w:lang w:val="id-ID"/>
              </w:rPr>
              <w:t xml:space="preserve">logistically </w:t>
            </w:r>
            <w:r w:rsidR="00676556">
              <w:t>complicated but remains the most effective mechanism.</w:t>
            </w:r>
          </w:p>
        </w:tc>
      </w:tr>
      <w:tr w:rsidR="00DB3C94" w:rsidRPr="00AF1D30" w14:paraId="3193A75D" w14:textId="77777777" w:rsidTr="00F11245">
        <w:trPr>
          <w:trHeight w:val="495"/>
        </w:trPr>
        <w:tc>
          <w:tcPr>
            <w:tcW w:w="2425"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14:paraId="280D5CAE" w14:textId="0982BB03" w:rsidR="00DB3C94" w:rsidRPr="00AF1D30" w:rsidRDefault="00DB3C94" w:rsidP="00005486">
            <w:pPr>
              <w:keepNext/>
              <w:spacing w:after="0" w:line="240" w:lineRule="auto"/>
              <w:jc w:val="left"/>
              <w:rPr>
                <w:rFonts w:eastAsia="Times New Roman" w:cs="Calibri"/>
                <w:color w:val="000000"/>
                <w:szCs w:val="22"/>
              </w:rPr>
            </w:pPr>
            <w:r w:rsidRPr="00AF1D30">
              <w:t>C4: Evidence-based policy making system</w:t>
            </w:r>
          </w:p>
        </w:tc>
        <w:tc>
          <w:tcPr>
            <w:tcW w:w="6662" w:type="dxa"/>
            <w:tcBorders>
              <w:top w:val="nil"/>
              <w:left w:val="nil"/>
              <w:bottom w:val="single" w:sz="4" w:space="0" w:color="auto"/>
              <w:right w:val="single" w:sz="8" w:space="0" w:color="auto"/>
            </w:tcBorders>
            <w:shd w:val="clear" w:color="auto" w:fill="F2F2F2" w:themeFill="background1" w:themeFillShade="F2"/>
            <w:noWrap/>
            <w:vAlign w:val="center"/>
            <w:hideMark/>
          </w:tcPr>
          <w:p w14:paraId="2C4B136C" w14:textId="3F73E35E" w:rsidR="00DB3C94" w:rsidRPr="00AF1D30" w:rsidRDefault="00676556" w:rsidP="0081376A">
            <w:pPr>
              <w:pStyle w:val="ListParagraph"/>
              <w:keepNext/>
              <w:numPr>
                <w:ilvl w:val="0"/>
                <w:numId w:val="36"/>
              </w:numPr>
              <w:spacing w:before="120" w:after="120" w:line="240" w:lineRule="auto"/>
              <w:ind w:left="357" w:hanging="357"/>
            </w:pPr>
            <w:r>
              <w:t xml:space="preserve">ACDP uses predominantly a </w:t>
            </w:r>
            <w:r w:rsidR="009A7A36" w:rsidRPr="00AF1D30">
              <w:t>s</w:t>
            </w:r>
            <w:r w:rsidR="00DB3C94" w:rsidRPr="00AF1D30">
              <w:t>ingle response mechanism to complex demands</w:t>
            </w:r>
          </w:p>
          <w:p w14:paraId="23A950F6" w14:textId="4BE44F50" w:rsidR="00DB3C94" w:rsidRPr="00AF1D30" w:rsidRDefault="00DB3C94" w:rsidP="0081376A">
            <w:pPr>
              <w:pStyle w:val="ListParagraph"/>
              <w:keepNext/>
              <w:numPr>
                <w:ilvl w:val="0"/>
                <w:numId w:val="36"/>
              </w:numPr>
              <w:spacing w:before="120" w:after="120" w:line="240" w:lineRule="auto"/>
              <w:ind w:left="357" w:hanging="357"/>
            </w:pPr>
            <w:r w:rsidRPr="00AF1D30">
              <w:t>Lengthy procurement process</w:t>
            </w:r>
            <w:r w:rsidR="009A7A36" w:rsidRPr="00AF1D30">
              <w:t xml:space="preserve"> that limits responsiveness and timeliness</w:t>
            </w:r>
          </w:p>
        </w:tc>
      </w:tr>
    </w:tbl>
    <w:p w14:paraId="6D0E3208" w14:textId="77777777" w:rsidR="00DB3C94" w:rsidRPr="00AF1D30" w:rsidRDefault="00DB3C94" w:rsidP="00005486">
      <w:pPr>
        <w:keepNext/>
      </w:pPr>
    </w:p>
    <w:p w14:paraId="5CAF08CD" w14:textId="4E217E35" w:rsidR="00DB3C94" w:rsidRPr="00AF1D30" w:rsidRDefault="00DB3C94" w:rsidP="00DB3C94">
      <w:pPr>
        <w:pStyle w:val="StyleSub-HeadingGRMText2Before12pt"/>
        <w:numPr>
          <w:ilvl w:val="1"/>
          <w:numId w:val="3"/>
        </w:numPr>
        <w:tabs>
          <w:tab w:val="clear" w:pos="900"/>
          <w:tab w:val="left" w:pos="630"/>
        </w:tabs>
        <w:ind w:left="630" w:hanging="630"/>
      </w:pPr>
      <w:bookmarkStart w:id="38" w:name="_Toc345081144"/>
      <w:r w:rsidRPr="00AF1D30">
        <w:t>Partnership</w:t>
      </w:r>
      <w:bookmarkEnd w:id="38"/>
    </w:p>
    <w:p w14:paraId="2E267F38" w14:textId="7ECBBE79" w:rsidR="00984067" w:rsidRPr="00AF1D30" w:rsidRDefault="00771347" w:rsidP="00DB3C94">
      <w:r w:rsidRPr="00AF1D30">
        <w:t xml:space="preserve">Branded </w:t>
      </w:r>
      <w:r w:rsidR="00984067" w:rsidRPr="00AF1D30">
        <w:t xml:space="preserve">as </w:t>
      </w:r>
      <w:r w:rsidRPr="00AF1D30">
        <w:t>“a p</w:t>
      </w:r>
      <w:r w:rsidR="00DB3C94" w:rsidRPr="00AF1D30">
        <w:t>artnership</w:t>
      </w:r>
      <w:r w:rsidRPr="00AF1D30">
        <w:t>” the EP more accurately reflects a p</w:t>
      </w:r>
      <w:r w:rsidR="00DB3C94" w:rsidRPr="00AF1D30">
        <w:t>hilosophy</w:t>
      </w:r>
      <w:r w:rsidRPr="00AF1D30">
        <w:t>, an intention</w:t>
      </w:r>
      <w:r w:rsidR="00984067" w:rsidRPr="00AF1D30">
        <w:t xml:space="preserve"> or</w:t>
      </w:r>
      <w:r w:rsidRPr="00AF1D30">
        <w:t xml:space="preserve"> a commitment. AusAID’s </w:t>
      </w:r>
      <w:r w:rsidR="00A23616" w:rsidRPr="00AF1D30">
        <w:t>desire</w:t>
      </w:r>
      <w:r w:rsidRPr="00AF1D30">
        <w:t xml:space="preserve"> to work through GoI systems wherever possible is an illustration of such a commitment, and one </w:t>
      </w:r>
      <w:r w:rsidR="009121D1" w:rsidRPr="00AF1D30">
        <w:t>that</w:t>
      </w:r>
      <w:r w:rsidRPr="00AF1D30">
        <w:t xml:space="preserve"> requires</w:t>
      </w:r>
      <w:r w:rsidR="009121D1" w:rsidRPr="00AF1D30">
        <w:t xml:space="preserve"> a mature, trusting relationship and</w:t>
      </w:r>
      <w:r w:rsidRPr="00AF1D30">
        <w:t xml:space="preserve"> joint ownership of successes and failures. </w:t>
      </w:r>
      <w:r w:rsidR="00482F24" w:rsidRPr="00AF1D30">
        <w:t xml:space="preserve">For GoA, </w:t>
      </w:r>
      <w:r w:rsidR="009C20F8" w:rsidRPr="00AF1D30">
        <w:t xml:space="preserve">a </w:t>
      </w:r>
      <w:r w:rsidR="00482F24" w:rsidRPr="00AF1D30">
        <w:t xml:space="preserve">meaningful partnership should enable engagement with GoI at </w:t>
      </w:r>
      <w:r w:rsidR="00482F24" w:rsidRPr="00AF1D30">
        <w:lastRenderedPageBreak/>
        <w:t>policy and operational levels. It provides scope to influence, and offers legitimacy, coverage and leverage. For GoI, the partnership offers enhanced credibility, interest and</w:t>
      </w:r>
      <w:r w:rsidR="00D72901" w:rsidRPr="00AF1D30">
        <w:t xml:space="preserve"> international </w:t>
      </w:r>
      <w:r w:rsidR="00482F24" w:rsidRPr="00AF1D30">
        <w:t>profile</w:t>
      </w:r>
      <w:r w:rsidR="009854E4" w:rsidRPr="00AF1D30">
        <w:t>.</w:t>
      </w:r>
      <w:r w:rsidR="00482F24" w:rsidRPr="00AF1D30">
        <w:t xml:space="preserve"> </w:t>
      </w:r>
    </w:p>
    <w:p w14:paraId="1D69A1FB" w14:textId="0A5F1BC1" w:rsidR="00984067" w:rsidRPr="00AF1D30" w:rsidRDefault="007611FA" w:rsidP="00DB3C94">
      <w:r w:rsidRPr="00AF1D30">
        <w:t xml:space="preserve">Whilst the Governments of Indonesia and </w:t>
      </w:r>
      <w:r w:rsidR="009C20F8" w:rsidRPr="00AF1D30">
        <w:t xml:space="preserve">of </w:t>
      </w:r>
      <w:r w:rsidRPr="00AF1D30">
        <w:t xml:space="preserve">Australia </w:t>
      </w:r>
      <w:r w:rsidR="009C20F8" w:rsidRPr="00AF1D30">
        <w:t xml:space="preserve">rightly consider themselves strategic partners, </w:t>
      </w:r>
      <w:r w:rsidR="009854E4" w:rsidRPr="00AF1D30">
        <w:t>at a practical level</w:t>
      </w:r>
      <w:r w:rsidRPr="00AF1D30">
        <w:t xml:space="preserve"> </w:t>
      </w:r>
      <w:r w:rsidR="00984067" w:rsidRPr="00AF1D30">
        <w:t xml:space="preserve">the </w:t>
      </w:r>
      <w:r w:rsidR="009C20F8" w:rsidRPr="00AF1D30">
        <w:t xml:space="preserve">key operational </w:t>
      </w:r>
      <w:r w:rsidRPr="00AF1D30">
        <w:t xml:space="preserve">relationships exist between institutions and </w:t>
      </w:r>
      <w:r w:rsidR="009C20F8" w:rsidRPr="00AF1D30">
        <w:t xml:space="preserve">between </w:t>
      </w:r>
      <w:r w:rsidRPr="00AF1D30">
        <w:t xml:space="preserve">the individuals who work </w:t>
      </w:r>
      <w:r w:rsidR="009121D1" w:rsidRPr="00AF1D30">
        <w:t>in the institutions</w:t>
      </w:r>
      <w:r w:rsidRPr="00AF1D30">
        <w:t xml:space="preserve">. Though </w:t>
      </w:r>
      <w:r w:rsidR="009854E4" w:rsidRPr="00AF1D30">
        <w:t xml:space="preserve">the </w:t>
      </w:r>
      <w:r w:rsidRPr="00AF1D30">
        <w:t>relationship between the</w:t>
      </w:r>
      <w:r w:rsidR="009121D1" w:rsidRPr="00AF1D30">
        <w:t xml:space="preserve"> two respective</w:t>
      </w:r>
      <w:r w:rsidRPr="00AF1D30">
        <w:t xml:space="preserve"> </w:t>
      </w:r>
      <w:r w:rsidR="00BE17EC">
        <w:rPr>
          <w:lang w:val="id-ID"/>
        </w:rPr>
        <w:t>partners</w:t>
      </w:r>
      <w:r w:rsidRPr="00AF1D30">
        <w:t xml:space="preserve"> </w:t>
      </w:r>
      <w:r w:rsidR="009121D1" w:rsidRPr="00AF1D30">
        <w:t xml:space="preserve">(i.e. GoI, GoA) </w:t>
      </w:r>
      <w:r w:rsidR="006E3905" w:rsidRPr="00AF1D30">
        <w:t>is well founded</w:t>
      </w:r>
      <w:r w:rsidRPr="00AF1D30">
        <w:t xml:space="preserve">, any excessive reliance on individual champions must acknowledge both the upsides (e.g. leverage) </w:t>
      </w:r>
      <w:r w:rsidR="009121D1" w:rsidRPr="00AF1D30">
        <w:t>and</w:t>
      </w:r>
      <w:r w:rsidRPr="00AF1D30">
        <w:t xml:space="preserve"> the downsides (i.e. the void if/once the individual takes another posting). </w:t>
      </w:r>
      <w:r w:rsidR="009C20F8" w:rsidRPr="00AF1D30">
        <w:t xml:space="preserve">It is clear that a strong working relationship based on trust and respect endures </w:t>
      </w:r>
      <w:r w:rsidR="006E3905" w:rsidRPr="00AF1D30">
        <w:t>which enables, at a technical level, the promotion and adoption of new approaches which might otherwise not be possible.</w:t>
      </w:r>
      <w:r w:rsidR="00984067" w:rsidRPr="00AF1D30">
        <w:t xml:space="preserve"> </w:t>
      </w:r>
    </w:p>
    <w:p w14:paraId="78F7E218" w14:textId="77777777" w:rsidR="00005486" w:rsidRPr="00DE5203" w:rsidRDefault="009854E4" w:rsidP="00DB3C94">
      <w:r w:rsidRPr="00AF1D30">
        <w:t>T</w:t>
      </w:r>
      <w:r w:rsidR="00771347" w:rsidRPr="00AF1D30">
        <w:t>he EP is</w:t>
      </w:r>
      <w:r w:rsidRPr="00AF1D30">
        <w:t>,</w:t>
      </w:r>
      <w:r w:rsidR="00771347" w:rsidRPr="00AF1D30">
        <w:t xml:space="preserve"> </w:t>
      </w:r>
      <w:r w:rsidRPr="00AF1D30">
        <w:t xml:space="preserve">therefore, </w:t>
      </w:r>
      <w:r w:rsidR="00771347" w:rsidRPr="00AF1D30">
        <w:t xml:space="preserve">a multi-faceted program that has GoI and AusAID at its </w:t>
      </w:r>
      <w:r w:rsidR="00F90CC0" w:rsidRPr="00AF1D30">
        <w:t>head</w:t>
      </w:r>
      <w:r w:rsidR="00771347" w:rsidRPr="00AF1D30">
        <w:t xml:space="preserve"> but with multiple partnerships and relationships at </w:t>
      </w:r>
      <w:r w:rsidR="009121D1" w:rsidRPr="00AF1D30">
        <w:t xml:space="preserve">lower, </w:t>
      </w:r>
      <w:r w:rsidR="00771347" w:rsidRPr="00AF1D30">
        <w:t>operational level</w:t>
      </w:r>
      <w:r w:rsidR="009121D1" w:rsidRPr="00AF1D30">
        <w:t>s</w:t>
      </w:r>
      <w:r w:rsidR="00771347" w:rsidRPr="00AF1D30">
        <w:t xml:space="preserve">. As that might imply, the quality and frequency of collaboration </w:t>
      </w:r>
      <w:r w:rsidR="00170BA4" w:rsidRPr="00AF1D30">
        <w:t>and</w:t>
      </w:r>
      <w:r w:rsidR="00771347" w:rsidRPr="00AF1D30">
        <w:t xml:space="preserve"> engagement with and between senior levels of program governance is inconsistent and often difficult. GoI’s leadership of the EP is</w:t>
      </w:r>
      <w:r w:rsidR="00170BA4" w:rsidRPr="00AF1D30">
        <w:t xml:space="preserve"> inevitably</w:t>
      </w:r>
      <w:r w:rsidR="00771347" w:rsidRPr="00AF1D30">
        <w:t xml:space="preserve"> diffuse</w:t>
      </w:r>
      <w:r w:rsidR="00170BA4" w:rsidRPr="00AF1D30">
        <w:t xml:space="preserve"> given the breadth of </w:t>
      </w:r>
      <w:r w:rsidR="00170BA4" w:rsidRPr="00DE5203">
        <w:t>the program</w:t>
      </w:r>
      <w:r w:rsidR="00DF1E26" w:rsidRPr="00DE5203">
        <w:t xml:space="preserve"> and AusAID</w:t>
      </w:r>
      <w:r w:rsidR="00771347" w:rsidRPr="00DE5203">
        <w:t xml:space="preserve">’s </w:t>
      </w:r>
      <w:r w:rsidR="00170BA4" w:rsidRPr="00DE5203">
        <w:t xml:space="preserve">senior </w:t>
      </w:r>
      <w:r w:rsidR="00771347" w:rsidRPr="00DE5203">
        <w:t>management of the</w:t>
      </w:r>
      <w:r w:rsidR="009121D1" w:rsidRPr="00DE5203">
        <w:t xml:space="preserve"> EP </w:t>
      </w:r>
      <w:r w:rsidR="00170BA4" w:rsidRPr="00DE5203">
        <w:t>appears</w:t>
      </w:r>
      <w:r w:rsidR="009121D1" w:rsidRPr="00DE5203">
        <w:t xml:space="preserve"> under-resourced</w:t>
      </w:r>
      <w:r w:rsidR="00771347" w:rsidRPr="00DE5203">
        <w:t xml:space="preserve"> when one considers the financial value and political importance attributed to the program. </w:t>
      </w:r>
    </w:p>
    <w:p w14:paraId="25C792FF" w14:textId="77777777" w:rsidR="00DE5203" w:rsidRPr="00DE5203" w:rsidRDefault="00DE5203" w:rsidP="00DE5203">
      <w:pPr>
        <w:spacing w:after="200"/>
        <w:rPr>
          <w:rFonts w:asciiTheme="minorHAnsi" w:eastAsiaTheme="minorHAnsi" w:hAnsiTheme="minorHAnsi" w:cstheme="minorBidi"/>
          <w:szCs w:val="22"/>
          <w:lang w:val="en-AU" w:eastAsia="en-US"/>
        </w:rPr>
      </w:pPr>
      <w:r w:rsidRPr="00DE5203">
        <w:rPr>
          <w:rFonts w:asciiTheme="minorHAnsi" w:eastAsiaTheme="minorHAnsi" w:hAnsiTheme="minorHAnsi" w:cstheme="minorBidi"/>
          <w:szCs w:val="22"/>
          <w:lang w:val="en-AU" w:eastAsia="en-US"/>
        </w:rPr>
        <w:t>In addition, the array of governance mechanisms (Governance Oversight Group, Infrastructure Technical Oversight Group, Staff Development TOG, Islamic School Accreditation TOG and ACDP TOG), which were assembled with the intention of promoting the ideals of management in partnership are apparently underutilised, or at least not effectively utilised for performance assessment/management.</w:t>
      </w:r>
    </w:p>
    <w:p w14:paraId="72DE29C3" w14:textId="2BBF31E8" w:rsidR="00804E48" w:rsidRPr="00AF1D30" w:rsidRDefault="00DC77F4" w:rsidP="00804E48">
      <w:pPr>
        <w:pStyle w:val="StyleSub-HeadingGRMText2Before12pt"/>
        <w:numPr>
          <w:ilvl w:val="1"/>
          <w:numId w:val="3"/>
        </w:numPr>
        <w:tabs>
          <w:tab w:val="clear" w:pos="900"/>
          <w:tab w:val="left" w:pos="630"/>
        </w:tabs>
        <w:ind w:left="630" w:hanging="630"/>
      </w:pPr>
      <w:bookmarkStart w:id="39" w:name="_Toc345081145"/>
      <w:r w:rsidRPr="00AF1D30">
        <w:t>Sustainability</w:t>
      </w:r>
      <w:bookmarkEnd w:id="39"/>
    </w:p>
    <w:p w14:paraId="6BE73DD4" w14:textId="589D3936" w:rsidR="009121D1" w:rsidRPr="00AF1D30" w:rsidRDefault="00DC77F4" w:rsidP="00804E48">
      <w:r w:rsidRPr="00AF1D30">
        <w:t>EP delivery</w:t>
      </w:r>
      <w:r w:rsidR="00804E48" w:rsidRPr="00AF1D30">
        <w:t xml:space="preserve"> mecha</w:t>
      </w:r>
      <w:r w:rsidRPr="00AF1D30">
        <w:t xml:space="preserve">nisms need not </w:t>
      </w:r>
      <w:r w:rsidR="009854E4" w:rsidRPr="00AF1D30">
        <w:t xml:space="preserve">necessarily </w:t>
      </w:r>
      <w:r w:rsidRPr="00AF1D30">
        <w:t>be sustainable</w:t>
      </w:r>
      <w:r w:rsidR="009121D1" w:rsidRPr="00AF1D30">
        <w:t xml:space="preserve"> – they are often intentionally finite and exist only to deliver time-bound activities within a particular program. However, </w:t>
      </w:r>
      <w:r w:rsidR="00804E48" w:rsidRPr="00AF1D30">
        <w:t>there</w:t>
      </w:r>
      <w:r w:rsidR="009121D1" w:rsidRPr="00AF1D30">
        <w:t xml:space="preserve"> </w:t>
      </w:r>
      <w:r w:rsidR="00F90CC0" w:rsidRPr="00AF1D30">
        <w:t xml:space="preserve">is clear ambition within the EP </w:t>
      </w:r>
      <w:r w:rsidR="009121D1" w:rsidRPr="00AF1D30">
        <w:t>to facilitate</w:t>
      </w:r>
      <w:r w:rsidR="00804E48" w:rsidRPr="00AF1D30">
        <w:t xml:space="preserve"> </w:t>
      </w:r>
      <w:r w:rsidR="00F90CC0" w:rsidRPr="00AF1D30">
        <w:t xml:space="preserve">the </w:t>
      </w:r>
      <w:r w:rsidR="00804E48" w:rsidRPr="00AF1D30">
        <w:t xml:space="preserve">systemic change </w:t>
      </w:r>
      <w:r w:rsidR="00F90CC0" w:rsidRPr="00AF1D30">
        <w:t xml:space="preserve">that would see </w:t>
      </w:r>
      <w:r w:rsidR="00804E48" w:rsidRPr="00AF1D30">
        <w:t xml:space="preserve">the benefits </w:t>
      </w:r>
      <w:r w:rsidR="00F90CC0" w:rsidRPr="00AF1D30">
        <w:t xml:space="preserve">of the EP </w:t>
      </w:r>
      <w:r w:rsidR="00804E48" w:rsidRPr="00AF1D30">
        <w:t xml:space="preserve">extend </w:t>
      </w:r>
      <w:r w:rsidR="00F90CC0" w:rsidRPr="00AF1D30">
        <w:t xml:space="preserve">well </w:t>
      </w:r>
      <w:r w:rsidR="00804E48" w:rsidRPr="00AF1D30">
        <w:t>beyond the lifetime of the p</w:t>
      </w:r>
      <w:r w:rsidR="00F90CC0" w:rsidRPr="00AF1D30">
        <w:t>artnership</w:t>
      </w:r>
      <w:r w:rsidR="00804E48" w:rsidRPr="00AF1D30">
        <w:t xml:space="preserve">. </w:t>
      </w:r>
      <w:r w:rsidRPr="00AF1D30">
        <w:t>That requires that program stakeholders ask: w</w:t>
      </w:r>
      <w:r w:rsidR="00804E48" w:rsidRPr="00AF1D30">
        <w:t>hat do we – the EP – want to leave behind</w:t>
      </w:r>
      <w:r w:rsidR="00AA4115">
        <w:t xml:space="preserve"> and</w:t>
      </w:r>
      <w:r w:rsidR="00804E48" w:rsidRPr="00AF1D30">
        <w:t xml:space="preserve"> are we on track to realise those ambitions?</w:t>
      </w:r>
      <w:r w:rsidRPr="00AF1D30">
        <w:t xml:space="preserve"> Equally, the program must consider ‘Who does?’ and ‘Who pays?’ both at program commencement and in relation to the program’s vision for 2016. As such, sustainability </w:t>
      </w:r>
      <w:r w:rsidR="009121D1" w:rsidRPr="00AF1D30">
        <w:t>should be</w:t>
      </w:r>
      <w:r w:rsidRPr="00AF1D30">
        <w:t xml:space="preserve"> seen as a guiding principle and not something that is assumed </w:t>
      </w:r>
      <w:r w:rsidR="00F90CC0" w:rsidRPr="00AF1D30">
        <w:t xml:space="preserve">simply </w:t>
      </w:r>
      <w:r w:rsidRPr="00AF1D30">
        <w:t>by transference of responsibility during implementation</w:t>
      </w:r>
      <w:r w:rsidR="00F90CC0" w:rsidRPr="00AF1D30">
        <w:t xml:space="preserve"> or by working in partner systems. </w:t>
      </w:r>
    </w:p>
    <w:p w14:paraId="49E2C339" w14:textId="65D54D71" w:rsidR="00804E48" w:rsidRPr="00AF1D30" w:rsidRDefault="00804E48" w:rsidP="00804E48">
      <w:r w:rsidRPr="00AF1D30">
        <w:t>Whilst it is too early to provide informed comment about the likelihood of sustainability</w:t>
      </w:r>
      <w:r w:rsidR="009121D1" w:rsidRPr="00AF1D30">
        <w:t xml:space="preserve"> of various EP-supported initiatives</w:t>
      </w:r>
      <w:r w:rsidRPr="00AF1D30">
        <w:t>, it is appropriate and necessary for EP stakeholders to continually identify and review possible threats or risks</w:t>
      </w:r>
      <w:r w:rsidR="00DC77F4" w:rsidRPr="00AF1D30">
        <w:t xml:space="preserve"> to sustained benefits</w:t>
      </w:r>
      <w:r w:rsidRPr="00AF1D30">
        <w:t xml:space="preserve">. </w:t>
      </w:r>
      <w:r w:rsidR="00591F82" w:rsidRPr="00AF1D30">
        <w:fldChar w:fldCharType="begin"/>
      </w:r>
      <w:r w:rsidR="00591F82" w:rsidRPr="00AF1D30">
        <w:instrText xml:space="preserve"> REF _Ref343359004 \h </w:instrText>
      </w:r>
      <w:r w:rsidR="00591F82" w:rsidRPr="00AF1D30">
        <w:fldChar w:fldCharType="separate"/>
      </w:r>
      <w:r w:rsidR="005E2933" w:rsidRPr="00AF1D30">
        <w:t xml:space="preserve">Table </w:t>
      </w:r>
      <w:r w:rsidR="005E2933">
        <w:rPr>
          <w:noProof/>
        </w:rPr>
        <w:t>4</w:t>
      </w:r>
      <w:r w:rsidR="00591F82" w:rsidRPr="00AF1D30">
        <w:fldChar w:fldCharType="end"/>
      </w:r>
      <w:r w:rsidR="00591F82" w:rsidRPr="00AF1D30">
        <w:t xml:space="preserve"> lists potential threats that were </w:t>
      </w:r>
      <w:r w:rsidR="008167F4" w:rsidRPr="00AF1D30">
        <w:t>identified during the APPR process and merit further consideration:</w:t>
      </w:r>
    </w:p>
    <w:p w14:paraId="732BAAF9" w14:textId="00113B1C" w:rsidR="008167F4" w:rsidRPr="00AF1D30" w:rsidRDefault="008167F4" w:rsidP="008167F4">
      <w:pPr>
        <w:pStyle w:val="Caption"/>
        <w:keepNext/>
        <w:rPr>
          <w:szCs w:val="22"/>
        </w:rPr>
      </w:pPr>
      <w:bookmarkStart w:id="40" w:name="_Ref343359004"/>
      <w:r w:rsidRPr="00AF1D30">
        <w:lastRenderedPageBreak/>
        <w:t xml:space="preserve">Table </w:t>
      </w:r>
      <w:r w:rsidRPr="00AF1D30">
        <w:fldChar w:fldCharType="begin"/>
      </w:r>
      <w:r w:rsidRPr="00AF1D30">
        <w:instrText xml:space="preserve"> SEQ Table \* ARABIC </w:instrText>
      </w:r>
      <w:r w:rsidRPr="00AF1D30">
        <w:fldChar w:fldCharType="separate"/>
      </w:r>
      <w:r w:rsidR="005E2933">
        <w:rPr>
          <w:noProof/>
        </w:rPr>
        <w:t>4</w:t>
      </w:r>
      <w:r w:rsidRPr="00AF1D30">
        <w:fldChar w:fldCharType="end"/>
      </w:r>
      <w:bookmarkEnd w:id="40"/>
      <w:r w:rsidRPr="00AF1D30">
        <w:t>:</w:t>
      </w:r>
      <w:r w:rsidRPr="00AF1D30">
        <w:rPr>
          <w:szCs w:val="22"/>
        </w:rPr>
        <w:t xml:space="preserve"> Potential component-specific threats to sustainability</w:t>
      </w:r>
    </w:p>
    <w:tbl>
      <w:tblPr>
        <w:tblW w:w="9087" w:type="dxa"/>
        <w:tblInd w:w="93" w:type="dxa"/>
        <w:tblLayout w:type="fixed"/>
        <w:tblLook w:val="04A0" w:firstRow="1" w:lastRow="0" w:firstColumn="1" w:lastColumn="0" w:noHBand="0" w:noVBand="1"/>
      </w:tblPr>
      <w:tblGrid>
        <w:gridCol w:w="582"/>
        <w:gridCol w:w="8505"/>
      </w:tblGrid>
      <w:tr w:rsidR="008167F4" w:rsidRPr="00AF1D30" w14:paraId="6FD4B35E" w14:textId="77777777" w:rsidTr="00DC15C2">
        <w:trPr>
          <w:trHeight w:val="495"/>
        </w:trPr>
        <w:tc>
          <w:tcPr>
            <w:tcW w:w="582" w:type="dxa"/>
            <w:tcBorders>
              <w:top w:val="single" w:sz="8" w:space="0" w:color="auto"/>
              <w:left w:val="single" w:sz="8" w:space="0" w:color="auto"/>
              <w:bottom w:val="single" w:sz="8" w:space="0" w:color="auto"/>
              <w:right w:val="single" w:sz="8" w:space="0" w:color="auto"/>
            </w:tcBorders>
            <w:shd w:val="clear" w:color="auto" w:fill="1F497D" w:themeFill="text2"/>
            <w:noWrap/>
            <w:vAlign w:val="center"/>
            <w:hideMark/>
          </w:tcPr>
          <w:p w14:paraId="6D4AF549" w14:textId="35BE472F" w:rsidR="008167F4" w:rsidRPr="00AF1D30" w:rsidRDefault="008167F4" w:rsidP="00DC15C2">
            <w:pPr>
              <w:keepNext/>
              <w:spacing w:after="0" w:line="240" w:lineRule="auto"/>
              <w:jc w:val="center"/>
              <w:rPr>
                <w:rFonts w:eastAsia="Times New Roman" w:cs="Calibri"/>
                <w:b/>
                <w:bCs/>
                <w:color w:val="FFFFFF" w:themeColor="background1"/>
                <w:szCs w:val="22"/>
              </w:rPr>
            </w:pPr>
            <w:r w:rsidRPr="00AF1D30">
              <w:rPr>
                <w:rFonts w:eastAsia="Times New Roman" w:cs="Calibri"/>
                <w:b/>
                <w:bCs/>
                <w:color w:val="FFFFFF" w:themeColor="background1"/>
                <w:szCs w:val="22"/>
              </w:rPr>
              <w:t>C</w:t>
            </w:r>
          </w:p>
        </w:tc>
        <w:tc>
          <w:tcPr>
            <w:tcW w:w="8505" w:type="dxa"/>
            <w:tcBorders>
              <w:top w:val="single" w:sz="8" w:space="0" w:color="auto"/>
              <w:left w:val="nil"/>
              <w:bottom w:val="single" w:sz="8" w:space="0" w:color="auto"/>
              <w:right w:val="single" w:sz="8" w:space="0" w:color="auto"/>
            </w:tcBorders>
            <w:shd w:val="clear" w:color="auto" w:fill="1F497D" w:themeFill="text2"/>
            <w:noWrap/>
            <w:vAlign w:val="center"/>
            <w:hideMark/>
          </w:tcPr>
          <w:p w14:paraId="6FB0E1D6" w14:textId="7C33ACDB" w:rsidR="008167F4" w:rsidRPr="00AF1D30" w:rsidRDefault="008167F4" w:rsidP="008167F4">
            <w:pPr>
              <w:keepNext/>
              <w:spacing w:after="0" w:line="240" w:lineRule="auto"/>
              <w:jc w:val="center"/>
              <w:rPr>
                <w:rFonts w:eastAsia="Times New Roman" w:cs="Calibri"/>
                <w:b/>
                <w:bCs/>
                <w:color w:val="FFFFFF" w:themeColor="background1"/>
                <w:szCs w:val="22"/>
              </w:rPr>
            </w:pPr>
            <w:r w:rsidRPr="00AF1D30">
              <w:rPr>
                <w:rFonts w:eastAsia="Times New Roman" w:cs="Calibri"/>
                <w:b/>
                <w:bCs/>
                <w:color w:val="FFFFFF" w:themeColor="background1"/>
                <w:szCs w:val="22"/>
              </w:rPr>
              <w:t>Potential threats to sustainability</w:t>
            </w:r>
          </w:p>
        </w:tc>
      </w:tr>
      <w:tr w:rsidR="008167F4" w:rsidRPr="00AF1D30" w14:paraId="3EC23D0C" w14:textId="77777777" w:rsidTr="00F11245">
        <w:trPr>
          <w:trHeight w:val="495"/>
        </w:trPr>
        <w:tc>
          <w:tcPr>
            <w:tcW w:w="582"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4DF21B41" w14:textId="02F8B7E7" w:rsidR="008167F4" w:rsidRPr="00AF1D30" w:rsidRDefault="008167F4" w:rsidP="008167F4">
            <w:pPr>
              <w:keepNext/>
              <w:spacing w:after="0" w:line="240" w:lineRule="auto"/>
              <w:jc w:val="center"/>
              <w:rPr>
                <w:rFonts w:eastAsia="Times New Roman" w:cs="Calibri"/>
                <w:color w:val="000000"/>
                <w:szCs w:val="22"/>
              </w:rPr>
            </w:pPr>
            <w:r w:rsidRPr="00AF1D30">
              <w:t>C1</w:t>
            </w:r>
          </w:p>
        </w:tc>
        <w:tc>
          <w:tcPr>
            <w:tcW w:w="8505" w:type="dxa"/>
            <w:tcBorders>
              <w:top w:val="nil"/>
              <w:left w:val="nil"/>
              <w:bottom w:val="single" w:sz="4" w:space="0" w:color="auto"/>
              <w:right w:val="single" w:sz="8" w:space="0" w:color="auto"/>
            </w:tcBorders>
            <w:shd w:val="clear" w:color="auto" w:fill="D9D9D9" w:themeFill="background1" w:themeFillShade="D9"/>
            <w:noWrap/>
            <w:vAlign w:val="center"/>
          </w:tcPr>
          <w:p w14:paraId="7DF1C291" w14:textId="0BD2051D" w:rsidR="008167F4" w:rsidRPr="00AF1D30" w:rsidRDefault="00591F82" w:rsidP="001911B8">
            <w:pPr>
              <w:keepNext/>
              <w:spacing w:before="120" w:after="120"/>
            </w:pPr>
            <w:r w:rsidRPr="00AF1D30">
              <w:t xml:space="preserve">Districts targeted for school construction are required to sign a Memorandum of Agreement with MOEC that covers, </w:t>
            </w:r>
            <w:r w:rsidRPr="00AA4115">
              <w:rPr>
                <w:i/>
              </w:rPr>
              <w:t>inter alia</w:t>
            </w:r>
            <w:r w:rsidRPr="00AF1D30">
              <w:t xml:space="preserve">, provision of teaching staff for the new school and a commitment to maintain the school </w:t>
            </w:r>
            <w:r w:rsidR="001911B8" w:rsidRPr="00AF1D30">
              <w:t>into the future</w:t>
            </w:r>
            <w:r w:rsidRPr="00AF1D30">
              <w:t xml:space="preserve">. Whilst these MoAs are presumably signed in good faith, there is </w:t>
            </w:r>
            <w:r w:rsidR="008167F4" w:rsidRPr="00AF1D30">
              <w:t xml:space="preserve">unequal district capacity to </w:t>
            </w:r>
            <w:r w:rsidRPr="00AF1D30">
              <w:t>be able to deliver on the commitment, potentially compromising quality.</w:t>
            </w:r>
          </w:p>
        </w:tc>
      </w:tr>
      <w:tr w:rsidR="008167F4" w:rsidRPr="00AF1D30" w14:paraId="7743B49B" w14:textId="77777777" w:rsidTr="00F11245">
        <w:trPr>
          <w:trHeight w:val="519"/>
        </w:trPr>
        <w:tc>
          <w:tcPr>
            <w:tcW w:w="582"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14:paraId="3CACBF50" w14:textId="7C4E95E7" w:rsidR="008167F4" w:rsidRPr="00AF1D30" w:rsidRDefault="008167F4" w:rsidP="008167F4">
            <w:pPr>
              <w:keepNext/>
              <w:spacing w:after="0" w:line="240" w:lineRule="auto"/>
              <w:jc w:val="center"/>
              <w:rPr>
                <w:rFonts w:eastAsia="Times New Roman" w:cs="Calibri"/>
                <w:color w:val="000000"/>
                <w:szCs w:val="22"/>
              </w:rPr>
            </w:pPr>
            <w:r w:rsidRPr="00AF1D30">
              <w:t>C2</w:t>
            </w:r>
          </w:p>
        </w:tc>
        <w:tc>
          <w:tcPr>
            <w:tcW w:w="8505" w:type="dxa"/>
            <w:tcBorders>
              <w:top w:val="nil"/>
              <w:left w:val="nil"/>
              <w:bottom w:val="single" w:sz="4" w:space="0" w:color="auto"/>
              <w:right w:val="single" w:sz="8" w:space="0" w:color="auto"/>
            </w:tcBorders>
            <w:shd w:val="clear" w:color="auto" w:fill="F2F2F2" w:themeFill="background1" w:themeFillShade="F2"/>
            <w:noWrap/>
            <w:vAlign w:val="center"/>
          </w:tcPr>
          <w:p w14:paraId="52393218" w14:textId="7B031A98" w:rsidR="008167F4" w:rsidRPr="00AF1D30" w:rsidRDefault="00591F82" w:rsidP="00591F82">
            <w:pPr>
              <w:keepNext/>
              <w:spacing w:before="120" w:after="120"/>
            </w:pPr>
            <w:r w:rsidRPr="00AF1D30">
              <w:t xml:space="preserve">Implementation of CPD activities will be “handed over” to the GoI under a Grant Agreement in early 2013. </w:t>
            </w:r>
            <w:r w:rsidR="008167F4" w:rsidRPr="00AF1D30">
              <w:t>There remain concerns about Pusbang Tendik’s capacity to implement training programs as they are currently designed</w:t>
            </w:r>
            <w:r w:rsidRPr="00AF1D30">
              <w:t>. I</w:t>
            </w:r>
            <w:r w:rsidR="008167F4" w:rsidRPr="00AF1D30">
              <w:t xml:space="preserve">n essence, quality may be sacrificed in response to the pressures associated with complexity, scale and political timeframes. </w:t>
            </w:r>
          </w:p>
        </w:tc>
      </w:tr>
      <w:tr w:rsidR="008167F4" w:rsidRPr="00AF1D30" w14:paraId="31DBFFA7" w14:textId="77777777" w:rsidTr="00F11245">
        <w:trPr>
          <w:trHeight w:val="535"/>
        </w:trPr>
        <w:tc>
          <w:tcPr>
            <w:tcW w:w="582" w:type="dxa"/>
            <w:tcBorders>
              <w:top w:val="nil"/>
              <w:left w:val="single" w:sz="8" w:space="0" w:color="auto"/>
              <w:bottom w:val="single" w:sz="4" w:space="0" w:color="auto"/>
              <w:right w:val="single" w:sz="4" w:space="0" w:color="auto"/>
            </w:tcBorders>
            <w:shd w:val="clear" w:color="auto" w:fill="D9D9D9" w:themeFill="background1" w:themeFillShade="D9"/>
            <w:vAlign w:val="center"/>
          </w:tcPr>
          <w:p w14:paraId="7B74A21B" w14:textId="1AB3C19B" w:rsidR="008167F4" w:rsidRPr="00AF1D30" w:rsidRDefault="008167F4" w:rsidP="008167F4">
            <w:pPr>
              <w:keepNext/>
              <w:spacing w:after="0" w:line="240" w:lineRule="auto"/>
              <w:jc w:val="center"/>
            </w:pPr>
            <w:r w:rsidRPr="00AF1D30">
              <w:t>C3</w:t>
            </w:r>
          </w:p>
        </w:tc>
        <w:tc>
          <w:tcPr>
            <w:tcW w:w="8505" w:type="dxa"/>
            <w:tcBorders>
              <w:top w:val="nil"/>
              <w:left w:val="nil"/>
              <w:bottom w:val="single" w:sz="4" w:space="0" w:color="auto"/>
              <w:right w:val="single" w:sz="8" w:space="0" w:color="auto"/>
            </w:tcBorders>
            <w:shd w:val="clear" w:color="auto" w:fill="D9D9D9" w:themeFill="background1" w:themeFillShade="D9"/>
            <w:noWrap/>
            <w:vAlign w:val="center"/>
          </w:tcPr>
          <w:p w14:paraId="5D5F736D" w14:textId="06DC6847" w:rsidR="008167F4" w:rsidRPr="00AF1D30" w:rsidRDefault="00AB1D11" w:rsidP="00AB1D11">
            <w:pPr>
              <w:keepNext/>
              <w:spacing w:before="120" w:after="120"/>
            </w:pPr>
            <w:r w:rsidRPr="00AF1D30">
              <w:t xml:space="preserve">There are </w:t>
            </w:r>
            <w:r w:rsidR="008167F4" w:rsidRPr="00AF1D30">
              <w:t xml:space="preserve">encouraging signs of MoRA </w:t>
            </w:r>
            <w:r w:rsidRPr="00AF1D30">
              <w:t>“</w:t>
            </w:r>
            <w:r w:rsidR="008167F4" w:rsidRPr="00AF1D30">
              <w:t>buy</w:t>
            </w:r>
            <w:r w:rsidRPr="00AF1D30">
              <w:t>ing</w:t>
            </w:r>
            <w:r w:rsidR="008167F4" w:rsidRPr="00AF1D30">
              <w:t>-in</w:t>
            </w:r>
            <w:r w:rsidRPr="00AF1D30">
              <w:t xml:space="preserve">” to the SNIP model of supporting Madrasah quality improvement through budgetary commitment. Whilst it is too early to fully assess the success of the model, its eventual sustainability may be compromised because of the project-style aid modality currently adopted and there is little evidence that a sustainability strategy is being considered. </w:t>
            </w:r>
          </w:p>
        </w:tc>
      </w:tr>
      <w:tr w:rsidR="008167F4" w:rsidRPr="00AF1D30" w14:paraId="0A570A86" w14:textId="77777777" w:rsidTr="00F11245">
        <w:trPr>
          <w:trHeight w:val="495"/>
        </w:trPr>
        <w:tc>
          <w:tcPr>
            <w:tcW w:w="582" w:type="dxa"/>
            <w:tcBorders>
              <w:top w:val="nil"/>
              <w:left w:val="single" w:sz="8" w:space="0" w:color="auto"/>
              <w:bottom w:val="single" w:sz="4" w:space="0" w:color="auto"/>
              <w:right w:val="single" w:sz="4" w:space="0" w:color="auto"/>
            </w:tcBorders>
            <w:shd w:val="clear" w:color="auto" w:fill="F2F2F2" w:themeFill="background1" w:themeFillShade="F2"/>
            <w:vAlign w:val="center"/>
            <w:hideMark/>
          </w:tcPr>
          <w:p w14:paraId="5FEB8873" w14:textId="577443C3" w:rsidR="008167F4" w:rsidRPr="00AF1D30" w:rsidRDefault="008167F4" w:rsidP="008167F4">
            <w:pPr>
              <w:keepNext/>
              <w:spacing w:after="0" w:line="240" w:lineRule="auto"/>
              <w:jc w:val="center"/>
              <w:rPr>
                <w:rFonts w:eastAsia="Times New Roman" w:cs="Calibri"/>
                <w:color w:val="000000"/>
                <w:szCs w:val="22"/>
              </w:rPr>
            </w:pPr>
            <w:r w:rsidRPr="00AF1D30">
              <w:t>C4</w:t>
            </w:r>
          </w:p>
        </w:tc>
        <w:tc>
          <w:tcPr>
            <w:tcW w:w="8505" w:type="dxa"/>
            <w:tcBorders>
              <w:top w:val="nil"/>
              <w:left w:val="nil"/>
              <w:bottom w:val="single" w:sz="4" w:space="0" w:color="auto"/>
              <w:right w:val="single" w:sz="8" w:space="0" w:color="auto"/>
            </w:tcBorders>
            <w:shd w:val="clear" w:color="auto" w:fill="F2F2F2" w:themeFill="background1" w:themeFillShade="F2"/>
            <w:noWrap/>
            <w:vAlign w:val="center"/>
          </w:tcPr>
          <w:p w14:paraId="1BFB14BB" w14:textId="504F3573" w:rsidR="008167F4" w:rsidRPr="00AF1D30" w:rsidRDefault="00901646" w:rsidP="00A725F3">
            <w:pPr>
              <w:keepNext/>
              <w:spacing w:before="120" w:after="120"/>
            </w:pPr>
            <w:r w:rsidRPr="00AF1D30">
              <w:t xml:space="preserve">ACDP </w:t>
            </w:r>
            <w:r w:rsidR="00A725F3" w:rsidRPr="00AF1D30">
              <w:t xml:space="preserve">has been designed </w:t>
            </w:r>
            <w:r w:rsidR="008167F4" w:rsidRPr="00AF1D30">
              <w:t xml:space="preserve">to provide </w:t>
            </w:r>
            <w:r w:rsidR="00A725F3" w:rsidRPr="00AF1D30">
              <w:t>strong</w:t>
            </w:r>
            <w:r w:rsidR="008167F4" w:rsidRPr="00AF1D30">
              <w:t xml:space="preserve"> evidence</w:t>
            </w:r>
            <w:r w:rsidR="00A725F3" w:rsidRPr="00AF1D30">
              <w:t xml:space="preserve"> to facilitate policy improvement</w:t>
            </w:r>
            <w:r w:rsidR="008167F4" w:rsidRPr="00AF1D30">
              <w:t xml:space="preserve">; it </w:t>
            </w:r>
            <w:r w:rsidR="00A725F3" w:rsidRPr="00AF1D30">
              <w:t xml:space="preserve">has not been designed to </w:t>
            </w:r>
            <w:r w:rsidR="008167F4" w:rsidRPr="00AF1D30">
              <w:t xml:space="preserve">build system capacity to </w:t>
            </w:r>
            <w:r w:rsidR="00A725F3" w:rsidRPr="00AF1D30">
              <w:t xml:space="preserve">demand, </w:t>
            </w:r>
            <w:r w:rsidR="008167F4" w:rsidRPr="00AF1D30">
              <w:t>generate, interpret or utilise evidence.</w:t>
            </w:r>
            <w:r w:rsidR="00A725F3" w:rsidRPr="00AF1D30">
              <w:t xml:space="preserve"> Whilst the evidence, when generated and if used to develop policy</w:t>
            </w:r>
            <w:r w:rsidR="00E76053">
              <w:rPr>
                <w:lang w:val="id-ID"/>
              </w:rPr>
              <w:t>,</w:t>
            </w:r>
            <w:r w:rsidR="00A725F3" w:rsidRPr="00AF1D30">
              <w:t xml:space="preserve"> should lead to sustainable outcomes, the system itself is not sustainable.</w:t>
            </w:r>
          </w:p>
        </w:tc>
      </w:tr>
    </w:tbl>
    <w:p w14:paraId="483B802F" w14:textId="77777777" w:rsidR="008167F4" w:rsidRPr="00AF1D30" w:rsidRDefault="008167F4" w:rsidP="008167F4"/>
    <w:p w14:paraId="3CB4B897" w14:textId="710B8BF5" w:rsidR="00E95140" w:rsidRPr="00AF1D30" w:rsidRDefault="00544E5D" w:rsidP="00E95140">
      <w:pPr>
        <w:pStyle w:val="HeadingGRM"/>
        <w:numPr>
          <w:ilvl w:val="0"/>
          <w:numId w:val="3"/>
        </w:numPr>
        <w:tabs>
          <w:tab w:val="left" w:pos="630"/>
        </w:tabs>
        <w:ind w:left="630" w:hanging="630"/>
        <w:rPr>
          <w:color w:val="1F497D"/>
        </w:rPr>
      </w:pPr>
      <w:bookmarkStart w:id="41" w:name="_Toc345081146"/>
      <w:r w:rsidRPr="00AF1D30">
        <w:rPr>
          <w:color w:val="1F497D"/>
        </w:rPr>
        <w:t>Who has benefited?</w:t>
      </w:r>
      <w:bookmarkEnd w:id="41"/>
      <w:r w:rsidRPr="00AF1D30">
        <w:rPr>
          <w:color w:val="1F497D"/>
        </w:rPr>
        <w:t xml:space="preserve"> </w:t>
      </w:r>
    </w:p>
    <w:p w14:paraId="145409BA" w14:textId="4AAFD653" w:rsidR="004F142D" w:rsidRPr="00AF1D30" w:rsidRDefault="00C52581" w:rsidP="004F142D">
      <w:pPr>
        <w:pStyle w:val="StyleSub-HeadingGRMText2Before12pt"/>
        <w:numPr>
          <w:ilvl w:val="1"/>
          <w:numId w:val="3"/>
        </w:numPr>
        <w:tabs>
          <w:tab w:val="clear" w:pos="900"/>
          <w:tab w:val="left" w:pos="630"/>
        </w:tabs>
        <w:ind w:left="630" w:hanging="630"/>
      </w:pPr>
      <w:bookmarkStart w:id="42" w:name="_Toc345081147"/>
      <w:bookmarkStart w:id="43" w:name="_Toc328749562"/>
      <w:r w:rsidRPr="00AF1D30">
        <w:t>B</w:t>
      </w:r>
      <w:r w:rsidR="004F142D" w:rsidRPr="00AF1D30">
        <w:t>eneficiaries</w:t>
      </w:r>
      <w:bookmarkEnd w:id="42"/>
    </w:p>
    <w:p w14:paraId="6715BD62" w14:textId="2018500F" w:rsidR="00C53809" w:rsidRPr="00AF1D30" w:rsidRDefault="004F142D" w:rsidP="004F142D">
      <w:r w:rsidRPr="00AF1D30">
        <w:t xml:space="preserve">The EP lacks an </w:t>
      </w:r>
      <w:r w:rsidR="00C53809" w:rsidRPr="00AF1D30">
        <w:t>agreed identification</w:t>
      </w:r>
      <w:r w:rsidRPr="00AF1D30">
        <w:t xml:space="preserve"> of </w:t>
      </w:r>
      <w:r w:rsidR="003E3F80" w:rsidRPr="00AF1D30">
        <w:t xml:space="preserve">intended </w:t>
      </w:r>
      <w:r w:rsidR="00594C51" w:rsidRPr="00AF1D30">
        <w:t>EP</w:t>
      </w:r>
      <w:r w:rsidRPr="00AF1D30">
        <w:t xml:space="preserve"> beneficiaries</w:t>
      </w:r>
      <w:r w:rsidR="00791AF5" w:rsidRPr="00AF1D30">
        <w:t>.</w:t>
      </w:r>
      <w:r w:rsidR="00C53809" w:rsidRPr="00AF1D30">
        <w:t xml:space="preserve"> </w:t>
      </w:r>
      <w:r w:rsidR="00594C51" w:rsidRPr="00AF1D30">
        <w:t>As such, it is difficult to make a judgement with respect to how successful the EP has been in reaching its intended target group. However, i</w:t>
      </w:r>
      <w:r w:rsidR="003E3F80" w:rsidRPr="00AF1D30">
        <w:t xml:space="preserve">t </w:t>
      </w:r>
      <w:r w:rsidR="00594C51" w:rsidRPr="00AF1D30">
        <w:t xml:space="preserve">seems </w:t>
      </w:r>
      <w:r w:rsidR="003E3F80" w:rsidRPr="00AF1D30">
        <w:t xml:space="preserve">inevitable that the </w:t>
      </w:r>
      <w:r w:rsidRPr="00AF1D30">
        <w:t xml:space="preserve">actual beneficiaries </w:t>
      </w:r>
      <w:r w:rsidR="00594C51" w:rsidRPr="00AF1D30">
        <w:t xml:space="preserve">will vary </w:t>
      </w:r>
      <w:r w:rsidR="003E3F80" w:rsidRPr="00AF1D30">
        <w:t>according to c</w:t>
      </w:r>
      <w:r w:rsidR="00791AF5" w:rsidRPr="00AF1D30">
        <w:t xml:space="preserve">omponent and </w:t>
      </w:r>
      <w:r w:rsidR="003E3F80" w:rsidRPr="00AF1D30">
        <w:t xml:space="preserve">according to the </w:t>
      </w:r>
      <w:r w:rsidRPr="00AF1D30">
        <w:t xml:space="preserve">tier </w:t>
      </w:r>
      <w:r w:rsidR="00791AF5" w:rsidRPr="00AF1D30">
        <w:t>of</w:t>
      </w:r>
      <w:r w:rsidRPr="00AF1D30">
        <w:t xml:space="preserve"> the </w:t>
      </w:r>
      <w:r w:rsidR="00791AF5" w:rsidRPr="00AF1D30">
        <w:t>program logic under consideration</w:t>
      </w:r>
      <w:r w:rsidRPr="00AF1D30">
        <w:t xml:space="preserve">. </w:t>
      </w:r>
      <w:r w:rsidR="00791AF5" w:rsidRPr="00AF1D30">
        <w:t>Against that backdrop</w:t>
      </w:r>
      <w:r w:rsidRPr="00AF1D30">
        <w:t xml:space="preserve">, it is possible to frame three </w:t>
      </w:r>
      <w:r w:rsidR="006B59B1" w:rsidRPr="00AF1D30">
        <w:t>different</w:t>
      </w:r>
      <w:r w:rsidRPr="00AF1D30">
        <w:t xml:space="preserve"> beneficiary types:</w:t>
      </w:r>
    </w:p>
    <w:p w14:paraId="29B5A5F1" w14:textId="77777777" w:rsidR="00C53809" w:rsidRPr="00AF1D30" w:rsidRDefault="00C53809" w:rsidP="00CD243B">
      <w:pPr>
        <w:pStyle w:val="ListParagraph"/>
        <w:numPr>
          <w:ilvl w:val="0"/>
          <w:numId w:val="14"/>
        </w:numPr>
      </w:pPr>
      <w:r w:rsidRPr="00AF1D30">
        <w:t xml:space="preserve"> Immediate beneficiaries: systems implementers (e.g. MoEC, LPPKS, MoRA, SNIPS, Puslitjak)</w:t>
      </w:r>
    </w:p>
    <w:p w14:paraId="38ABEA0A" w14:textId="77777777" w:rsidR="00C53809" w:rsidRPr="00AF1D30" w:rsidRDefault="00C53809" w:rsidP="00CD243B">
      <w:pPr>
        <w:pStyle w:val="ListParagraph"/>
        <w:numPr>
          <w:ilvl w:val="0"/>
          <w:numId w:val="14"/>
        </w:numPr>
      </w:pPr>
      <w:r w:rsidRPr="00AF1D30">
        <w:t xml:space="preserve"> Intermediate beneficiaries: service providers (e.g. SCC, trainees, Madrasah, policy-makers) </w:t>
      </w:r>
    </w:p>
    <w:p w14:paraId="363E5328" w14:textId="77777777" w:rsidR="00C53809" w:rsidRPr="00AF1D30" w:rsidRDefault="00C53809" w:rsidP="00CD243B">
      <w:pPr>
        <w:pStyle w:val="ListParagraph"/>
        <w:numPr>
          <w:ilvl w:val="0"/>
          <w:numId w:val="14"/>
        </w:numPr>
      </w:pPr>
      <w:r w:rsidRPr="00AF1D30">
        <w:t xml:space="preserve"> End beneficiaries: education recipients (e.g. students)</w:t>
      </w:r>
    </w:p>
    <w:p w14:paraId="1008F0FD" w14:textId="362858D6" w:rsidR="00C53809" w:rsidRPr="00AF1D30" w:rsidRDefault="004F142D" w:rsidP="004F142D">
      <w:r w:rsidRPr="00AF1D30">
        <w:t xml:space="preserve">The nature and timing of impacts will </w:t>
      </w:r>
      <w:r w:rsidR="007D60FB" w:rsidRPr="00AF1D30">
        <w:t>also</w:t>
      </w:r>
      <w:r w:rsidRPr="00AF1D30">
        <w:t xml:space="preserve"> vary:</w:t>
      </w:r>
    </w:p>
    <w:p w14:paraId="63315B4D" w14:textId="77777777" w:rsidR="004B57BE" w:rsidRDefault="00C53809" w:rsidP="00CD243B">
      <w:pPr>
        <w:pStyle w:val="ListParagraph"/>
        <w:numPr>
          <w:ilvl w:val="0"/>
          <w:numId w:val="14"/>
        </w:numPr>
      </w:pPr>
      <w:r w:rsidRPr="00AF1D30">
        <w:t xml:space="preserve"> Likely impacts in the short-term on system implementers</w:t>
      </w:r>
    </w:p>
    <w:p w14:paraId="06A3DB92" w14:textId="77777777" w:rsidR="004B57BE" w:rsidRDefault="00C53809" w:rsidP="00CD243B">
      <w:pPr>
        <w:pStyle w:val="ListParagraph"/>
        <w:numPr>
          <w:ilvl w:val="0"/>
          <w:numId w:val="14"/>
        </w:numPr>
      </w:pPr>
      <w:r w:rsidRPr="00AF1D30">
        <w:lastRenderedPageBreak/>
        <w:t>Potential impacts in the mid-term on system beneficiaries</w:t>
      </w:r>
    </w:p>
    <w:p w14:paraId="23ED4987" w14:textId="2B496449" w:rsidR="00C53809" w:rsidRPr="00AF1D30" w:rsidRDefault="00C53809" w:rsidP="00CD243B">
      <w:pPr>
        <w:pStyle w:val="ListParagraph"/>
        <w:numPr>
          <w:ilvl w:val="0"/>
          <w:numId w:val="14"/>
        </w:numPr>
      </w:pPr>
      <w:r w:rsidRPr="00AF1D30">
        <w:t xml:space="preserve">Intended long-term impacts on students, </w:t>
      </w:r>
      <w:r w:rsidR="00791AF5" w:rsidRPr="00AF1D30">
        <w:t xml:space="preserve">likely </w:t>
      </w:r>
      <w:r w:rsidRPr="00AF1D30">
        <w:t xml:space="preserve">difficult to measure within </w:t>
      </w:r>
      <w:r w:rsidR="00791AF5" w:rsidRPr="00AF1D30">
        <w:t xml:space="preserve">the program </w:t>
      </w:r>
      <w:r w:rsidRPr="00AF1D30">
        <w:t>lifetime</w:t>
      </w:r>
    </w:p>
    <w:p w14:paraId="40478F5F" w14:textId="2994F036" w:rsidR="004F142D" w:rsidRPr="00AF1D30" w:rsidRDefault="004F142D" w:rsidP="004F142D">
      <w:pPr>
        <w:pStyle w:val="StyleSub-HeadingGRMText2Before12pt"/>
        <w:numPr>
          <w:ilvl w:val="1"/>
          <w:numId w:val="3"/>
        </w:numPr>
        <w:tabs>
          <w:tab w:val="clear" w:pos="900"/>
          <w:tab w:val="left" w:pos="630"/>
        </w:tabs>
        <w:ind w:left="630" w:hanging="630"/>
      </w:pPr>
      <w:bookmarkStart w:id="44" w:name="_Toc345081148"/>
      <w:r w:rsidRPr="00AF1D30">
        <w:t>Vulnerable groups</w:t>
      </w:r>
      <w:bookmarkEnd w:id="44"/>
      <w:r w:rsidRPr="00AF1D30">
        <w:t xml:space="preserve"> </w:t>
      </w:r>
    </w:p>
    <w:p w14:paraId="06D1F574" w14:textId="252126ED" w:rsidR="00C53809" w:rsidRPr="00AF1D30" w:rsidRDefault="004F142D" w:rsidP="00C82E2C">
      <w:r w:rsidRPr="00AF1D30">
        <w:t xml:space="preserve">The EP lacks a </w:t>
      </w:r>
      <w:r w:rsidR="004B57BE">
        <w:t xml:space="preserve">clear social inclusion strategy, </w:t>
      </w:r>
      <w:r w:rsidRPr="00AF1D30">
        <w:t xml:space="preserve">a legacy of its omission in the </w:t>
      </w:r>
      <w:r w:rsidR="00A725F3" w:rsidRPr="00AF1D30">
        <w:t xml:space="preserve">final </w:t>
      </w:r>
      <w:r w:rsidRPr="00AF1D30">
        <w:t xml:space="preserve">design </w:t>
      </w:r>
      <w:r w:rsidR="00A725F3" w:rsidRPr="00AF1D30">
        <w:t xml:space="preserve">in spite of considerable attention being paid to </w:t>
      </w:r>
      <w:r w:rsidR="000D75A8" w:rsidRPr="00AF1D30">
        <w:t>it during the design process</w:t>
      </w:r>
      <w:r w:rsidRPr="00AF1D30">
        <w:t>. A</w:t>
      </w:r>
      <w:r w:rsidR="000D75A8" w:rsidRPr="00AF1D30">
        <w:t xml:space="preserve">t the moment, </w:t>
      </w:r>
      <w:r w:rsidRPr="00AF1D30">
        <w:t xml:space="preserve">the </w:t>
      </w:r>
      <w:r w:rsidR="000D75A8" w:rsidRPr="00AF1D30">
        <w:t>EP</w:t>
      </w:r>
      <w:r w:rsidRPr="00AF1D30">
        <w:t xml:space="preserve"> assumes </w:t>
      </w:r>
      <w:r w:rsidR="00C53809" w:rsidRPr="00AF1D30">
        <w:t>correlations between EP intent and social inclusio</w:t>
      </w:r>
      <w:r w:rsidR="00C82E2C" w:rsidRPr="00AF1D30">
        <w:t>n objectives. For example, by targeting districts with low GER, it is assumed that the EP is targeting poverty; by targeting improved standards in Madrasah, it is assumed that the EP is focusing on the poorer section of society; and more broadly, by targeting i</w:t>
      </w:r>
      <w:r w:rsidR="00C53809" w:rsidRPr="00AF1D30">
        <w:t>mprov</w:t>
      </w:r>
      <w:r w:rsidR="00C82E2C" w:rsidRPr="00AF1D30">
        <w:t xml:space="preserve">ements in </w:t>
      </w:r>
      <w:r w:rsidR="00C53809" w:rsidRPr="00AF1D30">
        <w:t>education</w:t>
      </w:r>
      <w:r w:rsidR="00C82E2C" w:rsidRPr="00AF1D30">
        <w:t>, the EP is contributing to decreasing</w:t>
      </w:r>
      <w:r w:rsidR="00C53809" w:rsidRPr="00AF1D30">
        <w:t xml:space="preserve"> poverty</w:t>
      </w:r>
      <w:r w:rsidR="00C82E2C" w:rsidRPr="00AF1D30">
        <w:t>.</w:t>
      </w:r>
    </w:p>
    <w:p w14:paraId="794CC4EC" w14:textId="0F006045" w:rsidR="00960242" w:rsidRPr="00AF1D30" w:rsidRDefault="00960242" w:rsidP="00960242">
      <w:r w:rsidRPr="00AF1D30">
        <w:t xml:space="preserve">Similar, relatively simplistic </w:t>
      </w:r>
      <w:r w:rsidR="00C53809" w:rsidRPr="00AF1D30">
        <w:t xml:space="preserve">considerations of social inclusion issues </w:t>
      </w:r>
      <w:r w:rsidRPr="00AF1D30">
        <w:t xml:space="preserve">have been recorded during </w:t>
      </w:r>
      <w:r w:rsidR="00E76053">
        <w:t>implementatio</w:t>
      </w:r>
      <w:r w:rsidR="00E76053">
        <w:rPr>
          <w:lang w:val="id-ID"/>
        </w:rPr>
        <w:t>n</w:t>
      </w:r>
      <w:r w:rsidR="00C53809" w:rsidRPr="00AF1D30">
        <w:t>, e.g. ramps, toilets, disaggregated data</w:t>
      </w:r>
      <w:r w:rsidRPr="00AF1D30">
        <w:t xml:space="preserve">. Whilst there is a clear desire to tackle issues of social exclusion and to benefit vulnerable groups, there is also a lack of understanding of how to go about it. In spite of this, </w:t>
      </w:r>
      <w:r w:rsidR="00E76053">
        <w:rPr>
          <w:lang w:val="id-ID"/>
        </w:rPr>
        <w:t>laudable</w:t>
      </w:r>
      <w:r w:rsidRPr="00AF1D30">
        <w:t xml:space="preserve"> intent has been shown by SSQ in incorporating s</w:t>
      </w:r>
      <w:r w:rsidR="00C53809" w:rsidRPr="00AF1D30">
        <w:t xml:space="preserve">ocial inclusion in </w:t>
      </w:r>
      <w:r w:rsidRPr="00AF1D30">
        <w:t xml:space="preserve">their </w:t>
      </w:r>
      <w:r w:rsidR="00C53809" w:rsidRPr="00AF1D30">
        <w:t>M&amp;E framework</w:t>
      </w:r>
      <w:r w:rsidRPr="00AF1D30">
        <w:t>.</w:t>
      </w:r>
    </w:p>
    <w:p w14:paraId="39CAC66C" w14:textId="0C49640C" w:rsidR="00C53809" w:rsidRPr="00E76053" w:rsidRDefault="00960242" w:rsidP="001D30B4">
      <w:pPr>
        <w:rPr>
          <w:lang w:val="id-ID"/>
        </w:rPr>
      </w:pPr>
      <w:r w:rsidRPr="00AF1D30">
        <w:t>Aus</w:t>
      </w:r>
      <w:r w:rsidR="00E76053">
        <w:t xml:space="preserve">AID </w:t>
      </w:r>
      <w:r w:rsidR="00E76053">
        <w:rPr>
          <w:lang w:val="id-ID"/>
        </w:rPr>
        <w:t>has</w:t>
      </w:r>
      <w:r w:rsidRPr="00AF1D30">
        <w:t xml:space="preserve"> accept</w:t>
      </w:r>
      <w:r w:rsidR="00E76053">
        <w:rPr>
          <w:lang w:val="id-ID"/>
        </w:rPr>
        <w:t>ed</w:t>
      </w:r>
      <w:r w:rsidRPr="00AF1D30">
        <w:t xml:space="preserve"> the omission </w:t>
      </w:r>
      <w:r w:rsidR="00E76053">
        <w:rPr>
          <w:lang w:val="id-ID"/>
        </w:rPr>
        <w:t xml:space="preserve">of a social inclusion strategy </w:t>
      </w:r>
      <w:r w:rsidRPr="00AF1D30">
        <w:t xml:space="preserve">from the </w:t>
      </w:r>
      <w:r w:rsidR="00E76053">
        <w:rPr>
          <w:lang w:val="id-ID"/>
        </w:rPr>
        <w:t xml:space="preserve">EP </w:t>
      </w:r>
      <w:r w:rsidRPr="00AF1D30">
        <w:t xml:space="preserve">design and </w:t>
      </w:r>
      <w:r w:rsidR="005E2933">
        <w:t>commissioned</w:t>
      </w:r>
      <w:r w:rsidR="00E76053">
        <w:rPr>
          <w:lang w:val="id-ID"/>
        </w:rPr>
        <w:t xml:space="preserve"> </w:t>
      </w:r>
      <w:r w:rsidRPr="00AF1D30">
        <w:t>a</w:t>
      </w:r>
      <w:r w:rsidR="00E76053">
        <w:rPr>
          <w:lang w:val="id-ID"/>
        </w:rPr>
        <w:t>n</w:t>
      </w:r>
      <w:r w:rsidRPr="00AF1D30">
        <w:t xml:space="preserve"> </w:t>
      </w:r>
      <w:r w:rsidR="00C53809" w:rsidRPr="00AF1D30">
        <w:t>option</w:t>
      </w:r>
      <w:r w:rsidRPr="00AF1D30">
        <w:t>s</w:t>
      </w:r>
      <w:r w:rsidR="00C53809" w:rsidRPr="00AF1D30">
        <w:t xml:space="preserve"> paper</w:t>
      </w:r>
      <w:r w:rsidRPr="00AF1D30">
        <w:t xml:space="preserve"> </w:t>
      </w:r>
      <w:r w:rsidR="00E76053">
        <w:rPr>
          <w:lang w:val="id-ID"/>
        </w:rPr>
        <w:t xml:space="preserve">(currently under development) </w:t>
      </w:r>
      <w:r w:rsidRPr="00AF1D30">
        <w:t>with the eventual objective of retro-fitting a social inclusion strategy</w:t>
      </w:r>
      <w:r w:rsidR="001D30B4" w:rsidRPr="00AF1D30">
        <w:t>. It should also be noted that only limited data is a</w:t>
      </w:r>
      <w:r w:rsidR="00C53809" w:rsidRPr="00AF1D30">
        <w:t>vailab</w:t>
      </w:r>
      <w:r w:rsidR="001D30B4" w:rsidRPr="00AF1D30">
        <w:t>le</w:t>
      </w:r>
      <w:r w:rsidR="00C53809" w:rsidRPr="00AF1D30">
        <w:t xml:space="preserve"> </w:t>
      </w:r>
      <w:r w:rsidR="001D30B4" w:rsidRPr="00AF1D30">
        <w:t>o</w:t>
      </w:r>
      <w:r w:rsidR="00C53809" w:rsidRPr="00AF1D30">
        <w:t xml:space="preserve">n vulnerable groups, </w:t>
      </w:r>
      <w:r w:rsidR="001D30B4" w:rsidRPr="00AF1D30">
        <w:t xml:space="preserve">possible </w:t>
      </w:r>
      <w:r w:rsidR="00C53809" w:rsidRPr="00AF1D30">
        <w:t>reflecting low GoI priority</w:t>
      </w:r>
      <w:r w:rsidR="00E76053">
        <w:rPr>
          <w:lang w:val="id-ID"/>
        </w:rPr>
        <w:t>.</w:t>
      </w:r>
    </w:p>
    <w:p w14:paraId="18556985" w14:textId="1107D404" w:rsidR="007D6BE9" w:rsidRPr="00AF1D30" w:rsidRDefault="00F81074" w:rsidP="00F75387">
      <w:pPr>
        <w:pStyle w:val="HeadingGRM"/>
        <w:numPr>
          <w:ilvl w:val="0"/>
          <w:numId w:val="3"/>
        </w:numPr>
        <w:tabs>
          <w:tab w:val="left" w:pos="630"/>
        </w:tabs>
        <w:ind w:left="630" w:hanging="630"/>
        <w:rPr>
          <w:color w:val="1F497D"/>
        </w:rPr>
      </w:pPr>
      <w:bookmarkStart w:id="45" w:name="_Toc345081149"/>
      <w:bookmarkEnd w:id="43"/>
      <w:r w:rsidRPr="00AF1D30">
        <w:rPr>
          <w:color w:val="1F497D"/>
        </w:rPr>
        <w:t>What are the i</w:t>
      </w:r>
      <w:r w:rsidR="001911B8" w:rsidRPr="00AF1D30">
        <w:rPr>
          <w:color w:val="1F497D"/>
        </w:rPr>
        <w:t>mplications</w:t>
      </w:r>
      <w:r w:rsidRPr="00AF1D30">
        <w:rPr>
          <w:color w:val="1F497D"/>
        </w:rPr>
        <w:t>?</w:t>
      </w:r>
      <w:bookmarkEnd w:id="45"/>
      <w:r w:rsidR="007D6BE9" w:rsidRPr="00AF1D30">
        <w:rPr>
          <w:color w:val="1F497D"/>
        </w:rPr>
        <w:t xml:space="preserve"> </w:t>
      </w:r>
    </w:p>
    <w:p w14:paraId="1FBDD4CE" w14:textId="73F0A347" w:rsidR="007D6BE9" w:rsidRDefault="008167F4" w:rsidP="00135B2D">
      <w:pPr>
        <w:spacing w:before="120" w:after="120"/>
        <w:contextualSpacing/>
      </w:pPr>
      <w:r w:rsidRPr="00AF1D30">
        <w:fldChar w:fldCharType="begin"/>
      </w:r>
      <w:r w:rsidRPr="00AF1D30">
        <w:instrText xml:space="preserve"> REF _Ref343354321 \h </w:instrText>
      </w:r>
      <w:r w:rsidRPr="00AF1D30">
        <w:fldChar w:fldCharType="separate"/>
      </w:r>
      <w:r w:rsidR="005E2933" w:rsidRPr="00AF1D30">
        <w:t xml:space="preserve">Table </w:t>
      </w:r>
      <w:r w:rsidR="005E2933">
        <w:rPr>
          <w:noProof/>
        </w:rPr>
        <w:t>6</w:t>
      </w:r>
      <w:r w:rsidRPr="00AF1D30">
        <w:fldChar w:fldCharType="end"/>
      </w:r>
      <w:r w:rsidR="007D6BE9" w:rsidRPr="00AF1D30">
        <w:t xml:space="preserve"> and </w:t>
      </w:r>
      <w:r w:rsidRPr="00AF1D30">
        <w:fldChar w:fldCharType="begin"/>
      </w:r>
      <w:r w:rsidRPr="00AF1D30">
        <w:instrText xml:space="preserve"> REF _Ref343354332 \h </w:instrText>
      </w:r>
      <w:r w:rsidRPr="00AF1D30">
        <w:fldChar w:fldCharType="end"/>
      </w:r>
      <w:r w:rsidR="00135B2D">
        <w:fldChar w:fldCharType="begin"/>
      </w:r>
      <w:r w:rsidR="00135B2D">
        <w:instrText xml:space="preserve"> REF _Ref345052488 \h </w:instrText>
      </w:r>
      <w:r w:rsidR="00135B2D">
        <w:fldChar w:fldCharType="separate"/>
      </w:r>
      <w:r w:rsidR="00135B2D" w:rsidRPr="00AF1D30">
        <w:t xml:space="preserve">Table </w:t>
      </w:r>
      <w:r w:rsidR="00135B2D">
        <w:rPr>
          <w:noProof/>
        </w:rPr>
        <w:t>7</w:t>
      </w:r>
      <w:r w:rsidR="00135B2D">
        <w:fldChar w:fldCharType="end"/>
      </w:r>
      <w:r w:rsidR="00135B2D">
        <w:t xml:space="preserve"> </w:t>
      </w:r>
      <w:r w:rsidR="00514102">
        <w:t xml:space="preserve">summarise </w:t>
      </w:r>
      <w:r w:rsidR="007D6BE9" w:rsidRPr="00AF1D30">
        <w:t xml:space="preserve">implications drawn from the </w:t>
      </w:r>
      <w:r w:rsidR="00D36CC5">
        <w:t>previous sections</w:t>
      </w:r>
      <w:r w:rsidR="007D6BE9" w:rsidRPr="00AF1D30">
        <w:t xml:space="preserve">. These implications are structured in the form of </w:t>
      </w:r>
      <w:r w:rsidR="00514102">
        <w:t xml:space="preserve">findings and an associated </w:t>
      </w:r>
      <w:r w:rsidR="007D6BE9" w:rsidRPr="00AF1D30">
        <w:t>recommendation</w:t>
      </w:r>
      <w:r w:rsidR="00D36CC5">
        <w:t xml:space="preserve">. Each recommendation </w:t>
      </w:r>
      <w:r w:rsidR="00514102">
        <w:t>is a</w:t>
      </w:r>
      <w:r w:rsidR="007D6BE9" w:rsidRPr="00AF1D30">
        <w:t>ccompanied by a target group that could be assigned</w:t>
      </w:r>
      <w:r w:rsidR="00514102">
        <w:t xml:space="preserve"> prime</w:t>
      </w:r>
      <w:r w:rsidR="007D6BE9" w:rsidRPr="00AF1D30">
        <w:t xml:space="preserve"> responsibility for implementation and a </w:t>
      </w:r>
      <w:r w:rsidR="00514102">
        <w:t xml:space="preserve">coloured </w:t>
      </w:r>
      <w:r w:rsidR="00CA50BF" w:rsidRPr="00AF1D30">
        <w:t xml:space="preserve">warning system that indicates the </w:t>
      </w:r>
      <w:r w:rsidR="00E77C44" w:rsidRPr="00AF1D30">
        <w:t>relative immediacy of the issue as follows:</w:t>
      </w:r>
      <w:r w:rsidR="007D6BE9" w:rsidRPr="00AF1D30">
        <w:t xml:space="preserve"> </w:t>
      </w:r>
    </w:p>
    <w:p w14:paraId="060FFD30" w14:textId="77777777" w:rsidR="00514102" w:rsidRPr="00AF1D30" w:rsidRDefault="00514102" w:rsidP="00135B2D">
      <w:pPr>
        <w:spacing w:before="120" w:after="120"/>
        <w:contextualSpacing/>
      </w:pPr>
    </w:p>
    <w:p w14:paraId="66026C61" w14:textId="37781A0D" w:rsidR="00E77C44" w:rsidRPr="00AF1D30" w:rsidRDefault="00E77C44" w:rsidP="00E77C44">
      <w:pPr>
        <w:pStyle w:val="Caption"/>
        <w:keepNext/>
        <w:rPr>
          <w:szCs w:val="22"/>
        </w:rPr>
      </w:pPr>
      <w:r w:rsidRPr="00AF1D30">
        <w:t xml:space="preserve">Table </w:t>
      </w:r>
      <w:r w:rsidRPr="00AF1D30">
        <w:fldChar w:fldCharType="begin"/>
      </w:r>
      <w:r w:rsidRPr="00AF1D30">
        <w:instrText xml:space="preserve"> SEQ Table \* ARABIC </w:instrText>
      </w:r>
      <w:r w:rsidRPr="00AF1D30">
        <w:fldChar w:fldCharType="separate"/>
      </w:r>
      <w:r w:rsidR="005E2933">
        <w:rPr>
          <w:noProof/>
        </w:rPr>
        <w:t>5</w:t>
      </w:r>
      <w:r w:rsidRPr="00AF1D30">
        <w:fldChar w:fldCharType="end"/>
      </w:r>
      <w:r w:rsidRPr="00AF1D30">
        <w:t>:</w:t>
      </w:r>
      <w:r w:rsidRPr="00AF1D30">
        <w:rPr>
          <w:szCs w:val="22"/>
        </w:rPr>
        <w:t xml:space="preserve"> </w:t>
      </w:r>
      <w:r w:rsidR="00514102">
        <w:rPr>
          <w:szCs w:val="22"/>
        </w:rPr>
        <w:t>Warning</w:t>
      </w:r>
      <w:r w:rsidRPr="00AF1D30">
        <w:rPr>
          <w:szCs w:val="22"/>
        </w:rPr>
        <w:t xml:space="preserve"> system</w:t>
      </w:r>
    </w:p>
    <w:tbl>
      <w:tblPr>
        <w:tblW w:w="9087" w:type="dxa"/>
        <w:tblInd w:w="93" w:type="dxa"/>
        <w:tblLayout w:type="fixed"/>
        <w:tblLook w:val="04A0" w:firstRow="1" w:lastRow="0" w:firstColumn="1" w:lastColumn="0" w:noHBand="0" w:noVBand="1"/>
      </w:tblPr>
      <w:tblGrid>
        <w:gridCol w:w="1291"/>
        <w:gridCol w:w="7796"/>
      </w:tblGrid>
      <w:tr w:rsidR="00E77C44" w:rsidRPr="00AF1D30" w14:paraId="2FE90C7A" w14:textId="77777777" w:rsidTr="00C52581">
        <w:trPr>
          <w:trHeight w:val="495"/>
        </w:trPr>
        <w:tc>
          <w:tcPr>
            <w:tcW w:w="1291" w:type="dxa"/>
            <w:tcBorders>
              <w:top w:val="single" w:sz="8" w:space="0" w:color="auto"/>
              <w:left w:val="single" w:sz="8" w:space="0" w:color="auto"/>
              <w:bottom w:val="single" w:sz="8" w:space="0" w:color="auto"/>
              <w:right w:val="single" w:sz="8" w:space="0" w:color="auto"/>
            </w:tcBorders>
            <w:shd w:val="clear" w:color="auto" w:fill="1F497D" w:themeFill="text2"/>
            <w:noWrap/>
            <w:vAlign w:val="center"/>
            <w:hideMark/>
          </w:tcPr>
          <w:p w14:paraId="0604AD8B" w14:textId="3F8CCF2F" w:rsidR="00E77C44" w:rsidRPr="00AF1D30" w:rsidRDefault="00E77C44" w:rsidP="00E77C44">
            <w:pPr>
              <w:keepNext/>
              <w:spacing w:after="0" w:line="240" w:lineRule="auto"/>
              <w:jc w:val="center"/>
              <w:rPr>
                <w:rFonts w:eastAsia="Times New Roman" w:cs="Calibri"/>
                <w:b/>
                <w:bCs/>
                <w:color w:val="FFFFFF" w:themeColor="background1"/>
                <w:szCs w:val="22"/>
              </w:rPr>
            </w:pPr>
            <w:r w:rsidRPr="00AF1D30">
              <w:rPr>
                <w:rFonts w:eastAsia="Times New Roman" w:cs="Calibri"/>
                <w:b/>
                <w:bCs/>
                <w:color w:val="FFFFFF" w:themeColor="background1"/>
                <w:szCs w:val="22"/>
              </w:rPr>
              <w:t xml:space="preserve">Colour </w:t>
            </w:r>
          </w:p>
        </w:tc>
        <w:tc>
          <w:tcPr>
            <w:tcW w:w="7796" w:type="dxa"/>
            <w:tcBorders>
              <w:top w:val="single" w:sz="8" w:space="0" w:color="auto"/>
              <w:left w:val="nil"/>
              <w:bottom w:val="single" w:sz="8" w:space="0" w:color="auto"/>
              <w:right w:val="single" w:sz="8" w:space="0" w:color="auto"/>
            </w:tcBorders>
            <w:shd w:val="clear" w:color="auto" w:fill="1F497D" w:themeFill="text2"/>
            <w:noWrap/>
            <w:vAlign w:val="center"/>
            <w:hideMark/>
          </w:tcPr>
          <w:p w14:paraId="7C825AF9" w14:textId="21D08AD9" w:rsidR="00E77C44" w:rsidRPr="00AF1D30" w:rsidRDefault="00E77C44" w:rsidP="00C52581">
            <w:pPr>
              <w:keepNext/>
              <w:spacing w:after="0" w:line="240" w:lineRule="auto"/>
              <w:jc w:val="center"/>
              <w:rPr>
                <w:rFonts w:eastAsia="Times New Roman" w:cs="Calibri"/>
                <w:b/>
                <w:bCs/>
                <w:color w:val="FFFFFF" w:themeColor="background1"/>
                <w:szCs w:val="22"/>
              </w:rPr>
            </w:pPr>
          </w:p>
        </w:tc>
      </w:tr>
      <w:tr w:rsidR="00E77C44" w:rsidRPr="00AF1D30" w14:paraId="79B32F3E" w14:textId="77777777" w:rsidTr="005E2933">
        <w:trPr>
          <w:trHeight w:val="495"/>
        </w:trPr>
        <w:tc>
          <w:tcPr>
            <w:tcW w:w="1291" w:type="dxa"/>
            <w:tcBorders>
              <w:top w:val="nil"/>
              <w:left w:val="single" w:sz="8" w:space="0" w:color="auto"/>
              <w:bottom w:val="single" w:sz="4" w:space="0" w:color="auto"/>
              <w:right w:val="single" w:sz="4" w:space="0" w:color="auto"/>
            </w:tcBorders>
            <w:shd w:val="clear" w:color="auto" w:fill="FABF8F" w:themeFill="accent6" w:themeFillTint="99"/>
            <w:vAlign w:val="center"/>
          </w:tcPr>
          <w:p w14:paraId="1A906E47" w14:textId="0DD9E42C" w:rsidR="00E77C44" w:rsidRPr="00AF1D30" w:rsidRDefault="005E2933" w:rsidP="005E2933">
            <w:pPr>
              <w:keepNext/>
              <w:spacing w:after="0" w:line="240" w:lineRule="auto"/>
              <w:jc w:val="center"/>
              <w:rPr>
                <w:rFonts w:eastAsia="Times New Roman" w:cs="Calibri"/>
                <w:color w:val="000000"/>
                <w:szCs w:val="22"/>
              </w:rPr>
            </w:pPr>
            <w:r>
              <w:rPr>
                <w:rFonts w:eastAsia="Times New Roman" w:cs="Calibri"/>
                <w:color w:val="000000"/>
                <w:szCs w:val="22"/>
              </w:rPr>
              <w:t>Orange</w:t>
            </w:r>
          </w:p>
        </w:tc>
        <w:tc>
          <w:tcPr>
            <w:tcW w:w="7796" w:type="dxa"/>
            <w:tcBorders>
              <w:top w:val="nil"/>
              <w:left w:val="nil"/>
              <w:bottom w:val="single" w:sz="4" w:space="0" w:color="auto"/>
              <w:right w:val="single" w:sz="8" w:space="0" w:color="auto"/>
            </w:tcBorders>
            <w:shd w:val="clear" w:color="auto" w:fill="auto"/>
            <w:noWrap/>
            <w:vAlign w:val="center"/>
          </w:tcPr>
          <w:p w14:paraId="31E357FC" w14:textId="3D306E9B" w:rsidR="00E77C44" w:rsidRPr="00AF1D30" w:rsidRDefault="00E77C44" w:rsidP="00514102">
            <w:pPr>
              <w:keepNext/>
              <w:spacing w:before="120" w:after="120" w:line="240" w:lineRule="auto"/>
              <w:jc w:val="left"/>
            </w:pPr>
            <w:r w:rsidRPr="00AF1D30">
              <w:t xml:space="preserve">Immediate action </w:t>
            </w:r>
            <w:r w:rsidR="00514102">
              <w:t xml:space="preserve">is recommended </w:t>
            </w:r>
          </w:p>
        </w:tc>
      </w:tr>
      <w:tr w:rsidR="00E77C44" w:rsidRPr="00AF1D30" w14:paraId="45F574CC" w14:textId="77777777" w:rsidTr="005E2933">
        <w:trPr>
          <w:trHeight w:val="519"/>
        </w:trPr>
        <w:tc>
          <w:tcPr>
            <w:tcW w:w="1291" w:type="dxa"/>
            <w:tcBorders>
              <w:top w:val="nil"/>
              <w:left w:val="single" w:sz="8" w:space="0" w:color="auto"/>
              <w:bottom w:val="single" w:sz="4" w:space="0" w:color="auto"/>
              <w:right w:val="single" w:sz="4" w:space="0" w:color="auto"/>
            </w:tcBorders>
            <w:shd w:val="clear" w:color="auto" w:fill="CCC0D9" w:themeFill="accent4" w:themeFillTint="66"/>
            <w:vAlign w:val="center"/>
          </w:tcPr>
          <w:p w14:paraId="6A284F6A" w14:textId="601B5A3D" w:rsidR="00E77C44" w:rsidRPr="00AF1D30" w:rsidRDefault="005E2933" w:rsidP="005E2933">
            <w:pPr>
              <w:keepNext/>
              <w:spacing w:after="0" w:line="240" w:lineRule="auto"/>
              <w:jc w:val="center"/>
              <w:rPr>
                <w:rFonts w:eastAsia="Times New Roman" w:cs="Calibri"/>
                <w:color w:val="000000"/>
                <w:szCs w:val="22"/>
              </w:rPr>
            </w:pPr>
            <w:r>
              <w:rPr>
                <w:rFonts w:eastAsia="Times New Roman" w:cs="Calibri"/>
                <w:color w:val="000000"/>
                <w:szCs w:val="22"/>
              </w:rPr>
              <w:t>Purple</w:t>
            </w:r>
          </w:p>
        </w:tc>
        <w:tc>
          <w:tcPr>
            <w:tcW w:w="7796" w:type="dxa"/>
            <w:tcBorders>
              <w:top w:val="nil"/>
              <w:left w:val="nil"/>
              <w:bottom w:val="single" w:sz="4" w:space="0" w:color="auto"/>
              <w:right w:val="single" w:sz="8" w:space="0" w:color="auto"/>
            </w:tcBorders>
            <w:shd w:val="clear" w:color="auto" w:fill="auto"/>
            <w:noWrap/>
            <w:vAlign w:val="center"/>
          </w:tcPr>
          <w:p w14:paraId="277B72F2" w14:textId="1C594E95" w:rsidR="00E77C44" w:rsidRPr="00AF1D30" w:rsidRDefault="00514102" w:rsidP="00514102">
            <w:pPr>
              <w:keepNext/>
              <w:spacing w:before="120" w:after="120" w:line="240" w:lineRule="auto"/>
              <w:jc w:val="left"/>
            </w:pPr>
            <w:r>
              <w:t xml:space="preserve">Immediate consideration is recommended with action </w:t>
            </w:r>
            <w:r w:rsidR="00835AD1">
              <w:t xml:space="preserve">timetabled </w:t>
            </w:r>
            <w:r>
              <w:t xml:space="preserve">as appropriate </w:t>
            </w:r>
          </w:p>
        </w:tc>
      </w:tr>
      <w:tr w:rsidR="00E77C44" w:rsidRPr="00AF1D30" w14:paraId="33AF6712" w14:textId="77777777" w:rsidTr="005E2933">
        <w:trPr>
          <w:trHeight w:val="535"/>
        </w:trPr>
        <w:tc>
          <w:tcPr>
            <w:tcW w:w="1291" w:type="dxa"/>
            <w:tcBorders>
              <w:top w:val="nil"/>
              <w:left w:val="single" w:sz="8" w:space="0" w:color="auto"/>
              <w:bottom w:val="single" w:sz="4" w:space="0" w:color="auto"/>
              <w:right w:val="single" w:sz="4" w:space="0" w:color="auto"/>
            </w:tcBorders>
            <w:shd w:val="clear" w:color="auto" w:fill="D6E3BC" w:themeFill="accent3" w:themeFillTint="66"/>
            <w:vAlign w:val="center"/>
          </w:tcPr>
          <w:p w14:paraId="748E8980" w14:textId="56EAEF6F" w:rsidR="00E77C44" w:rsidRPr="00AF1D30" w:rsidRDefault="005E2933" w:rsidP="005E2933">
            <w:pPr>
              <w:keepNext/>
              <w:spacing w:after="0" w:line="240" w:lineRule="auto"/>
              <w:jc w:val="center"/>
            </w:pPr>
            <w:r>
              <w:t>Green</w:t>
            </w:r>
          </w:p>
        </w:tc>
        <w:tc>
          <w:tcPr>
            <w:tcW w:w="7796" w:type="dxa"/>
            <w:tcBorders>
              <w:top w:val="nil"/>
              <w:left w:val="nil"/>
              <w:bottom w:val="single" w:sz="4" w:space="0" w:color="auto"/>
              <w:right w:val="single" w:sz="8" w:space="0" w:color="auto"/>
            </w:tcBorders>
            <w:shd w:val="clear" w:color="auto" w:fill="auto"/>
            <w:noWrap/>
            <w:vAlign w:val="center"/>
          </w:tcPr>
          <w:p w14:paraId="1B3DFA13" w14:textId="72C57653" w:rsidR="00E77C44" w:rsidRPr="00AF1D30" w:rsidRDefault="00835AD1" w:rsidP="00C52581">
            <w:pPr>
              <w:keepNext/>
              <w:spacing w:before="120" w:after="120" w:line="240" w:lineRule="auto"/>
              <w:jc w:val="left"/>
            </w:pPr>
            <w:r>
              <w:t>Consideration is recommended with appropriate action in due course</w:t>
            </w:r>
          </w:p>
        </w:tc>
      </w:tr>
    </w:tbl>
    <w:p w14:paraId="6DFDEBC3" w14:textId="77777777" w:rsidR="00E77C44" w:rsidRPr="00AF1D30" w:rsidRDefault="00E77C44" w:rsidP="007D6BE9"/>
    <w:p w14:paraId="414A99FE" w14:textId="77777777" w:rsidR="00E77C44" w:rsidRPr="00AF1D30" w:rsidRDefault="00E77C44" w:rsidP="007D6BE9">
      <w:pPr>
        <w:sectPr w:rsidR="00E77C44" w:rsidRPr="00AF1D30" w:rsidSect="00C635C4">
          <w:footerReference w:type="default" r:id="rId16"/>
          <w:pgSz w:w="11907" w:h="16840" w:code="9"/>
          <w:pgMar w:top="1440" w:right="1440" w:bottom="1440" w:left="1440" w:header="540" w:footer="390" w:gutter="0"/>
          <w:pgNumType w:start="1"/>
          <w:cols w:space="720"/>
          <w:docGrid w:linePitch="326"/>
        </w:sectPr>
      </w:pPr>
    </w:p>
    <w:p w14:paraId="14A0409D" w14:textId="6E717CA0" w:rsidR="00F90CC0" w:rsidRPr="00AF1D30" w:rsidRDefault="008167F4" w:rsidP="008167F4">
      <w:pPr>
        <w:pStyle w:val="Caption"/>
        <w:rPr>
          <w:szCs w:val="22"/>
        </w:rPr>
      </w:pPr>
      <w:bookmarkStart w:id="46" w:name="_Ref343354321"/>
      <w:r w:rsidRPr="00AF1D30">
        <w:lastRenderedPageBreak/>
        <w:t xml:space="preserve">Table </w:t>
      </w:r>
      <w:r w:rsidRPr="00AF1D30">
        <w:fldChar w:fldCharType="begin"/>
      </w:r>
      <w:r w:rsidRPr="00AF1D30">
        <w:instrText xml:space="preserve"> SEQ Table \* ARABIC </w:instrText>
      </w:r>
      <w:r w:rsidRPr="00AF1D30">
        <w:fldChar w:fldCharType="separate"/>
      </w:r>
      <w:r w:rsidR="005E2933">
        <w:rPr>
          <w:noProof/>
        </w:rPr>
        <w:t>6</w:t>
      </w:r>
      <w:r w:rsidRPr="00AF1D30">
        <w:fldChar w:fldCharType="end"/>
      </w:r>
      <w:bookmarkEnd w:id="46"/>
      <w:r w:rsidR="00F90CC0" w:rsidRPr="00AF1D30">
        <w:rPr>
          <w:szCs w:val="22"/>
        </w:rPr>
        <w:t xml:space="preserve">: </w:t>
      </w:r>
      <w:r w:rsidR="005E2933">
        <w:rPr>
          <w:szCs w:val="22"/>
        </w:rPr>
        <w:t xml:space="preserve">Implications at EP </w:t>
      </w:r>
      <w:r w:rsidR="007D6BE9" w:rsidRPr="00AF1D30">
        <w:rPr>
          <w:szCs w:val="22"/>
        </w:rPr>
        <w:t>level</w:t>
      </w:r>
    </w:p>
    <w:p w14:paraId="4AD3F1EC" w14:textId="12C7068E" w:rsidR="005E2933" w:rsidRPr="005E2933" w:rsidRDefault="005E2933" w:rsidP="005E2933">
      <w:pPr>
        <w:spacing w:before="120" w:after="120"/>
        <w:contextualSpacing/>
        <w:jc w:val="left"/>
        <w:rPr>
          <w:b/>
          <w:lang w:val="id-ID"/>
        </w:rPr>
      </w:pPr>
      <w:bookmarkStart w:id="47" w:name="_Ref343354332"/>
    </w:p>
    <w:tbl>
      <w:tblPr>
        <w:tblStyle w:val="TableGrid3"/>
        <w:tblW w:w="5000" w:type="pct"/>
        <w:tblLook w:val="04A0" w:firstRow="1" w:lastRow="0" w:firstColumn="1" w:lastColumn="0" w:noHBand="0" w:noVBand="1"/>
      </w:tblPr>
      <w:tblGrid>
        <w:gridCol w:w="6232"/>
        <w:gridCol w:w="6232"/>
        <w:gridCol w:w="1712"/>
      </w:tblGrid>
      <w:tr w:rsidR="005E2933" w:rsidRPr="005E2933" w14:paraId="12325F32" w14:textId="77777777" w:rsidTr="00514102">
        <w:trPr>
          <w:trHeight w:val="567"/>
          <w:tblHeader/>
        </w:trPr>
        <w:tc>
          <w:tcPr>
            <w:tcW w:w="2198" w:type="pct"/>
            <w:tcBorders>
              <w:bottom w:val="single" w:sz="4" w:space="0" w:color="auto"/>
            </w:tcBorders>
            <w:shd w:val="clear" w:color="auto" w:fill="1F497D" w:themeFill="text2"/>
            <w:vAlign w:val="center"/>
          </w:tcPr>
          <w:p w14:paraId="3FF4D80E" w14:textId="77777777" w:rsidR="005E2933" w:rsidRPr="005E2933" w:rsidRDefault="005E2933" w:rsidP="005E2933">
            <w:pPr>
              <w:spacing w:before="120" w:after="120" w:line="240" w:lineRule="auto"/>
              <w:jc w:val="center"/>
              <w:rPr>
                <w:color w:val="FFFFFF" w:themeColor="background1"/>
                <w:szCs w:val="22"/>
                <w:lang w:val="en-AU"/>
              </w:rPr>
            </w:pPr>
            <w:r w:rsidRPr="005E2933">
              <w:rPr>
                <w:color w:val="FFFFFF" w:themeColor="background1"/>
                <w:szCs w:val="22"/>
                <w:lang w:val="id-ID"/>
              </w:rPr>
              <w:t>Finding</w:t>
            </w:r>
            <w:r w:rsidRPr="005E2933">
              <w:rPr>
                <w:color w:val="FFFFFF" w:themeColor="background1"/>
                <w:szCs w:val="22"/>
                <w:lang w:val="en-AU"/>
              </w:rPr>
              <w:t>s</w:t>
            </w:r>
          </w:p>
        </w:tc>
        <w:tc>
          <w:tcPr>
            <w:tcW w:w="2198" w:type="pct"/>
            <w:tcBorders>
              <w:bottom w:val="single" w:sz="4" w:space="0" w:color="auto"/>
            </w:tcBorders>
            <w:shd w:val="clear" w:color="auto" w:fill="1F497D" w:themeFill="text2"/>
            <w:vAlign w:val="center"/>
          </w:tcPr>
          <w:p w14:paraId="2F116B73" w14:textId="77777777" w:rsidR="005E2933" w:rsidRPr="005E2933" w:rsidRDefault="005E2933" w:rsidP="005E2933">
            <w:pPr>
              <w:spacing w:before="120" w:after="120" w:line="240" w:lineRule="auto"/>
              <w:jc w:val="center"/>
              <w:rPr>
                <w:color w:val="FFFFFF" w:themeColor="background1"/>
                <w:szCs w:val="22"/>
                <w:lang w:val="en-AU"/>
              </w:rPr>
            </w:pPr>
            <w:r w:rsidRPr="005E2933">
              <w:rPr>
                <w:color w:val="FFFFFF" w:themeColor="background1"/>
                <w:szCs w:val="22"/>
                <w:lang w:val="en-AU"/>
              </w:rPr>
              <w:t>Recommendations</w:t>
            </w:r>
          </w:p>
        </w:tc>
        <w:tc>
          <w:tcPr>
            <w:tcW w:w="604" w:type="pct"/>
            <w:tcBorders>
              <w:bottom w:val="single" w:sz="4" w:space="0" w:color="auto"/>
            </w:tcBorders>
            <w:shd w:val="clear" w:color="auto" w:fill="1F497D" w:themeFill="text2"/>
            <w:vAlign w:val="center"/>
          </w:tcPr>
          <w:p w14:paraId="4A53F6DD" w14:textId="77777777" w:rsidR="005E2933" w:rsidRPr="005E2933" w:rsidRDefault="005E2933" w:rsidP="005E2933">
            <w:pPr>
              <w:spacing w:before="120" w:after="120" w:line="240" w:lineRule="auto"/>
              <w:jc w:val="center"/>
              <w:rPr>
                <w:color w:val="FFFFFF" w:themeColor="background1"/>
                <w:szCs w:val="22"/>
                <w:lang w:val="en-AU"/>
              </w:rPr>
            </w:pPr>
            <w:r w:rsidRPr="005E2933">
              <w:rPr>
                <w:color w:val="FFFFFF" w:themeColor="background1"/>
                <w:szCs w:val="22"/>
                <w:lang w:val="en-AU"/>
              </w:rPr>
              <w:t>Prime Responsibility</w:t>
            </w:r>
          </w:p>
        </w:tc>
      </w:tr>
      <w:tr w:rsidR="005E2933" w:rsidRPr="005E2933" w14:paraId="4A17D8C5" w14:textId="77777777" w:rsidTr="00514102">
        <w:trPr>
          <w:trHeight w:val="567"/>
        </w:trPr>
        <w:tc>
          <w:tcPr>
            <w:tcW w:w="5000" w:type="pct"/>
            <w:gridSpan w:val="3"/>
            <w:shd w:val="clear" w:color="auto" w:fill="DBE5F1" w:themeFill="accent1" w:themeFillTint="33"/>
            <w:vAlign w:val="center"/>
          </w:tcPr>
          <w:p w14:paraId="317AABA6" w14:textId="77777777" w:rsidR="005E2933" w:rsidRPr="005E2933" w:rsidRDefault="005E2933" w:rsidP="005E2933">
            <w:pPr>
              <w:spacing w:before="120" w:after="120" w:line="240" w:lineRule="auto"/>
              <w:jc w:val="center"/>
              <w:rPr>
                <w:szCs w:val="22"/>
                <w:lang w:val="en-AU"/>
              </w:rPr>
            </w:pPr>
            <w:r w:rsidRPr="005E2933">
              <w:rPr>
                <w:szCs w:val="22"/>
                <w:lang w:val="id-ID"/>
              </w:rPr>
              <w:t>Design</w:t>
            </w:r>
          </w:p>
        </w:tc>
      </w:tr>
      <w:tr w:rsidR="005E2933" w:rsidRPr="005E2933" w14:paraId="4426440F" w14:textId="77777777" w:rsidTr="00514102">
        <w:trPr>
          <w:trHeight w:val="758"/>
        </w:trPr>
        <w:tc>
          <w:tcPr>
            <w:tcW w:w="2198" w:type="pct"/>
            <w:vAlign w:val="center"/>
          </w:tcPr>
          <w:p w14:paraId="0FE3D2C3" w14:textId="79BF97EE" w:rsidR="005E2933" w:rsidRPr="005E2933" w:rsidRDefault="005035F1" w:rsidP="00835AD1">
            <w:pPr>
              <w:spacing w:before="120" w:after="120" w:line="240" w:lineRule="auto"/>
              <w:jc w:val="left"/>
              <w:rPr>
                <w:szCs w:val="22"/>
                <w:lang w:val="id-ID"/>
              </w:rPr>
            </w:pPr>
            <w:r>
              <w:rPr>
                <w:szCs w:val="22"/>
                <w:lang w:val="en-AU"/>
              </w:rPr>
              <w:t>It is likely that f</w:t>
            </w:r>
            <w:r w:rsidR="005E2933" w:rsidRPr="005E2933">
              <w:rPr>
                <w:szCs w:val="22"/>
                <w:lang w:val="id-ID"/>
              </w:rPr>
              <w:t>uture</w:t>
            </w:r>
            <w:r w:rsidR="005E2933" w:rsidRPr="005E2933">
              <w:rPr>
                <w:szCs w:val="22"/>
                <w:lang w:val="en-AU"/>
              </w:rPr>
              <w:t xml:space="preserve"> </w:t>
            </w:r>
            <w:r w:rsidR="005E2933" w:rsidRPr="005E2933">
              <w:rPr>
                <w:szCs w:val="22"/>
                <w:lang w:val="id-ID"/>
              </w:rPr>
              <w:t xml:space="preserve">RENSTRA </w:t>
            </w:r>
            <w:r w:rsidR="005E2933" w:rsidRPr="005E2933">
              <w:rPr>
                <w:szCs w:val="22"/>
                <w:lang w:val="en-AU"/>
              </w:rPr>
              <w:t xml:space="preserve">emphasis </w:t>
            </w:r>
            <w:r w:rsidR="005E2933" w:rsidRPr="005E2933">
              <w:rPr>
                <w:szCs w:val="22"/>
                <w:lang w:val="id-ID"/>
              </w:rPr>
              <w:t>will</w:t>
            </w:r>
            <w:r>
              <w:rPr>
                <w:szCs w:val="22"/>
                <w:lang w:val="en-AU"/>
              </w:rPr>
              <w:t xml:space="preserve"> </w:t>
            </w:r>
            <w:r w:rsidR="005E2933" w:rsidRPr="005E2933">
              <w:rPr>
                <w:szCs w:val="22"/>
                <w:lang w:val="id-ID"/>
              </w:rPr>
              <w:t xml:space="preserve">be </w:t>
            </w:r>
            <w:r w:rsidR="005E2933" w:rsidRPr="005E2933">
              <w:rPr>
                <w:szCs w:val="22"/>
                <w:lang w:val="en-AU"/>
              </w:rPr>
              <w:t xml:space="preserve">on </w:t>
            </w:r>
            <w:r w:rsidR="005E2933" w:rsidRPr="005E2933">
              <w:rPr>
                <w:szCs w:val="22"/>
                <w:lang w:val="id-ID"/>
              </w:rPr>
              <w:t xml:space="preserve">education </w:t>
            </w:r>
            <w:r w:rsidR="005E2933" w:rsidRPr="005E2933">
              <w:rPr>
                <w:szCs w:val="22"/>
                <w:lang w:val="en-AU"/>
              </w:rPr>
              <w:t>infrastructure and teaching environment for 12 years of basic education</w:t>
            </w:r>
            <w:r w:rsidR="005E2933" w:rsidRPr="005E2933">
              <w:rPr>
                <w:szCs w:val="22"/>
                <w:lang w:val="id-ID"/>
              </w:rPr>
              <w:t xml:space="preserve"> (see </w:t>
            </w:r>
            <w:r w:rsidR="005E2933">
              <w:rPr>
                <w:szCs w:val="22"/>
                <w:lang w:val="id-ID"/>
              </w:rPr>
              <w:t>§</w:t>
            </w:r>
            <w:r w:rsidR="00835AD1">
              <w:rPr>
                <w:szCs w:val="22"/>
                <w:lang w:val="en-AU"/>
              </w:rPr>
              <w:t>1</w:t>
            </w:r>
            <w:r>
              <w:rPr>
                <w:szCs w:val="22"/>
                <w:lang w:val="en-AU"/>
              </w:rPr>
              <w:t>.1</w:t>
            </w:r>
            <w:r w:rsidR="005E2933" w:rsidRPr="005E2933">
              <w:rPr>
                <w:szCs w:val="22"/>
                <w:lang w:val="id-ID"/>
              </w:rPr>
              <w:t xml:space="preserve">) </w:t>
            </w:r>
          </w:p>
        </w:tc>
        <w:tc>
          <w:tcPr>
            <w:tcW w:w="2198" w:type="pct"/>
            <w:shd w:val="clear" w:color="auto" w:fill="D6E3BC" w:themeFill="accent3" w:themeFillTint="66"/>
            <w:vAlign w:val="center"/>
          </w:tcPr>
          <w:p w14:paraId="32194A79" w14:textId="566A6758" w:rsidR="005E2933" w:rsidRPr="005E2933" w:rsidRDefault="001A0E9C" w:rsidP="001A0E9C">
            <w:pPr>
              <w:keepNext/>
              <w:spacing w:before="120" w:after="120" w:line="240" w:lineRule="auto"/>
              <w:jc w:val="left"/>
              <w:rPr>
                <w:szCs w:val="22"/>
                <w:lang w:val="id-ID"/>
              </w:rPr>
            </w:pPr>
            <w:r>
              <w:rPr>
                <w:szCs w:val="22"/>
                <w:lang w:val="en-AU"/>
              </w:rPr>
              <w:t xml:space="preserve">R1: </w:t>
            </w:r>
            <w:r w:rsidR="005E2933" w:rsidRPr="005E2933">
              <w:rPr>
                <w:szCs w:val="22"/>
                <w:lang w:val="id-ID"/>
              </w:rPr>
              <w:t xml:space="preserve">Consider </w:t>
            </w:r>
            <w:r w:rsidR="005E2933" w:rsidRPr="005E2933">
              <w:rPr>
                <w:szCs w:val="22"/>
                <w:shd w:val="clear" w:color="auto" w:fill="D6E3BC" w:themeFill="accent3" w:themeFillTint="66"/>
                <w:lang w:val="id-ID"/>
              </w:rPr>
              <w:t>relevance of EP objectives</w:t>
            </w:r>
            <w:r w:rsidR="005E2933" w:rsidRPr="005E2933">
              <w:rPr>
                <w:szCs w:val="22"/>
                <w:lang w:val="id-ID"/>
              </w:rPr>
              <w:t xml:space="preserve"> in relation to future RENSTRA</w:t>
            </w:r>
          </w:p>
        </w:tc>
        <w:tc>
          <w:tcPr>
            <w:tcW w:w="604" w:type="pct"/>
            <w:vAlign w:val="center"/>
          </w:tcPr>
          <w:p w14:paraId="0F4AD050" w14:textId="77777777" w:rsidR="005E2933" w:rsidRPr="005E2933" w:rsidRDefault="005E2933" w:rsidP="005E2933">
            <w:pPr>
              <w:spacing w:before="120" w:after="120" w:line="240" w:lineRule="auto"/>
              <w:jc w:val="left"/>
              <w:rPr>
                <w:szCs w:val="22"/>
                <w:lang w:val="id-ID"/>
              </w:rPr>
            </w:pPr>
            <w:r w:rsidRPr="005E2933">
              <w:rPr>
                <w:szCs w:val="22"/>
                <w:lang w:val="id-ID"/>
              </w:rPr>
              <w:t>AusAID</w:t>
            </w:r>
          </w:p>
        </w:tc>
      </w:tr>
      <w:tr w:rsidR="005E2933" w:rsidRPr="005E2933" w14:paraId="254E0FB5" w14:textId="77777777" w:rsidTr="00514102">
        <w:trPr>
          <w:trHeight w:val="738"/>
        </w:trPr>
        <w:tc>
          <w:tcPr>
            <w:tcW w:w="2198" w:type="pct"/>
            <w:vAlign w:val="center"/>
          </w:tcPr>
          <w:p w14:paraId="0B0DD9BB" w14:textId="463489EF" w:rsidR="005E2933" w:rsidRPr="005E2933" w:rsidRDefault="005E2933" w:rsidP="00835AD1">
            <w:pPr>
              <w:spacing w:before="120" w:after="120" w:line="240" w:lineRule="auto"/>
              <w:jc w:val="left"/>
              <w:rPr>
                <w:szCs w:val="22"/>
                <w:lang w:val="id-ID"/>
              </w:rPr>
            </w:pPr>
            <w:r w:rsidRPr="005E2933">
              <w:rPr>
                <w:szCs w:val="22"/>
                <w:lang w:val="en-AU"/>
              </w:rPr>
              <w:t xml:space="preserve">JRF targets </w:t>
            </w:r>
            <w:r w:rsidRPr="005E2933">
              <w:rPr>
                <w:szCs w:val="22"/>
                <w:lang w:val="id-ID"/>
              </w:rPr>
              <w:t>are</w:t>
            </w:r>
            <w:r w:rsidRPr="005E2933">
              <w:rPr>
                <w:szCs w:val="22"/>
                <w:lang w:val="en-AU"/>
              </w:rPr>
              <w:t xml:space="preserve"> being re-evaluated</w:t>
            </w:r>
            <w:r w:rsidRPr="005E2933">
              <w:rPr>
                <w:szCs w:val="22"/>
                <w:lang w:val="id-ID"/>
              </w:rPr>
              <w:t xml:space="preserve">, with some minor changes expected </w:t>
            </w:r>
            <w:r w:rsidRPr="005E2933">
              <w:rPr>
                <w:szCs w:val="22"/>
                <w:lang w:val="en-AU"/>
              </w:rPr>
              <w:t>in the near future</w:t>
            </w:r>
            <w:r w:rsidRPr="005E2933">
              <w:rPr>
                <w:szCs w:val="22"/>
                <w:lang w:val="id-ID"/>
              </w:rPr>
              <w:t xml:space="preserve"> </w:t>
            </w:r>
            <w:r w:rsidR="005035F1" w:rsidRPr="005E2933">
              <w:rPr>
                <w:szCs w:val="22"/>
                <w:lang w:val="id-ID"/>
              </w:rPr>
              <w:t xml:space="preserve">(see </w:t>
            </w:r>
            <w:r w:rsidR="005035F1">
              <w:rPr>
                <w:szCs w:val="22"/>
                <w:lang w:val="id-ID"/>
              </w:rPr>
              <w:t>§</w:t>
            </w:r>
            <w:r w:rsidR="005035F1">
              <w:rPr>
                <w:szCs w:val="22"/>
                <w:lang w:val="en-AU"/>
              </w:rPr>
              <w:t>1.1</w:t>
            </w:r>
            <w:r w:rsidR="005035F1" w:rsidRPr="005E2933">
              <w:rPr>
                <w:szCs w:val="22"/>
                <w:lang w:val="id-ID"/>
              </w:rPr>
              <w:t>)</w:t>
            </w:r>
          </w:p>
        </w:tc>
        <w:tc>
          <w:tcPr>
            <w:tcW w:w="2198" w:type="pct"/>
            <w:shd w:val="clear" w:color="auto" w:fill="D6E3BC" w:themeFill="accent3" w:themeFillTint="66"/>
            <w:vAlign w:val="center"/>
          </w:tcPr>
          <w:p w14:paraId="2D668C17" w14:textId="1D3FF87E" w:rsidR="005E2933" w:rsidRPr="005E2933" w:rsidRDefault="001A0E9C" w:rsidP="001A0E9C">
            <w:pPr>
              <w:keepNext/>
              <w:spacing w:before="120" w:after="120" w:line="240" w:lineRule="auto"/>
              <w:jc w:val="left"/>
              <w:rPr>
                <w:szCs w:val="22"/>
                <w:lang w:val="id-ID"/>
              </w:rPr>
            </w:pPr>
            <w:r>
              <w:rPr>
                <w:szCs w:val="22"/>
                <w:lang w:val="en-AU"/>
              </w:rPr>
              <w:t xml:space="preserve">R2: </w:t>
            </w:r>
            <w:r w:rsidR="005E2933" w:rsidRPr="005E2933">
              <w:rPr>
                <w:szCs w:val="22"/>
                <w:lang w:val="id-ID"/>
              </w:rPr>
              <w:t>Consider relevance of EP objectives in relation to new JRF targets</w:t>
            </w:r>
          </w:p>
        </w:tc>
        <w:tc>
          <w:tcPr>
            <w:tcW w:w="604" w:type="pct"/>
            <w:vAlign w:val="center"/>
          </w:tcPr>
          <w:p w14:paraId="521907D3" w14:textId="77777777" w:rsidR="005E2933" w:rsidRPr="005E2933" w:rsidRDefault="005E2933" w:rsidP="005E2933">
            <w:pPr>
              <w:spacing w:before="120" w:after="120" w:line="240" w:lineRule="auto"/>
              <w:jc w:val="left"/>
              <w:rPr>
                <w:szCs w:val="22"/>
                <w:lang w:val="id-ID"/>
              </w:rPr>
            </w:pPr>
            <w:r w:rsidRPr="005E2933">
              <w:rPr>
                <w:szCs w:val="22"/>
                <w:lang w:val="id-ID"/>
              </w:rPr>
              <w:t>AusAID</w:t>
            </w:r>
          </w:p>
        </w:tc>
      </w:tr>
      <w:tr w:rsidR="005E2933" w:rsidRPr="005E2933" w14:paraId="2F95FBB7" w14:textId="77777777" w:rsidTr="00514102">
        <w:trPr>
          <w:trHeight w:val="738"/>
        </w:trPr>
        <w:tc>
          <w:tcPr>
            <w:tcW w:w="2198" w:type="pct"/>
            <w:vAlign w:val="center"/>
          </w:tcPr>
          <w:p w14:paraId="3EBD555E" w14:textId="689C750E" w:rsidR="005E2933" w:rsidRPr="005E2933" w:rsidRDefault="005E2933" w:rsidP="00835AD1">
            <w:pPr>
              <w:spacing w:before="120" w:after="120" w:line="240" w:lineRule="auto"/>
              <w:jc w:val="left"/>
              <w:rPr>
                <w:szCs w:val="22"/>
                <w:lang w:val="en-AU"/>
              </w:rPr>
            </w:pPr>
            <w:r w:rsidRPr="005E2933">
              <w:rPr>
                <w:szCs w:val="22"/>
                <w:lang w:val="id-ID"/>
              </w:rPr>
              <w:t xml:space="preserve">Tightening of </w:t>
            </w:r>
            <w:r w:rsidRPr="005E2933">
              <w:rPr>
                <w:szCs w:val="22"/>
                <w:lang w:val="en-AU"/>
              </w:rPr>
              <w:t>budgets</w:t>
            </w:r>
            <w:r w:rsidRPr="005E2933">
              <w:rPr>
                <w:szCs w:val="22"/>
                <w:lang w:val="id-ID"/>
              </w:rPr>
              <w:t xml:space="preserve"> in MoEC</w:t>
            </w:r>
            <w:r w:rsidRPr="005E2933">
              <w:rPr>
                <w:szCs w:val="22"/>
                <w:lang w:val="en-AU"/>
              </w:rPr>
              <w:t xml:space="preserve"> impact</w:t>
            </w:r>
            <w:r w:rsidRPr="005E2933">
              <w:rPr>
                <w:szCs w:val="22"/>
                <w:lang w:val="id-ID"/>
              </w:rPr>
              <w:t>s</w:t>
            </w:r>
            <w:r w:rsidRPr="005E2933">
              <w:rPr>
                <w:szCs w:val="22"/>
                <w:lang w:val="en-AU"/>
              </w:rPr>
              <w:t xml:space="preserve"> areas of the sector that the EP supports</w:t>
            </w:r>
            <w:r w:rsidRPr="005E2933">
              <w:rPr>
                <w:szCs w:val="22"/>
                <w:lang w:val="id-ID"/>
              </w:rPr>
              <w:t xml:space="preserve">, </w:t>
            </w:r>
            <w:r w:rsidRPr="005E2933">
              <w:rPr>
                <w:szCs w:val="22"/>
                <w:lang w:val="en-AU"/>
              </w:rPr>
              <w:t>e.g. JSE infrastructure</w:t>
            </w:r>
            <w:r w:rsidRPr="005E2933">
              <w:rPr>
                <w:szCs w:val="22"/>
                <w:lang w:val="id-ID"/>
              </w:rPr>
              <w:t xml:space="preserve"> (</w:t>
            </w:r>
            <w:r w:rsidR="005035F1" w:rsidRPr="005E2933">
              <w:rPr>
                <w:szCs w:val="22"/>
                <w:lang w:val="id-ID"/>
              </w:rPr>
              <w:t xml:space="preserve">see </w:t>
            </w:r>
            <w:r w:rsidR="005035F1">
              <w:rPr>
                <w:szCs w:val="22"/>
                <w:lang w:val="id-ID"/>
              </w:rPr>
              <w:t>§</w:t>
            </w:r>
            <w:r w:rsidR="005035F1">
              <w:rPr>
                <w:szCs w:val="22"/>
                <w:lang w:val="en-AU"/>
              </w:rPr>
              <w:t>1.1</w:t>
            </w:r>
            <w:r w:rsidRPr="005E2933">
              <w:rPr>
                <w:szCs w:val="22"/>
                <w:lang w:val="id-ID"/>
              </w:rPr>
              <w:t>)</w:t>
            </w:r>
          </w:p>
        </w:tc>
        <w:tc>
          <w:tcPr>
            <w:tcW w:w="2198" w:type="pct"/>
            <w:shd w:val="clear" w:color="auto" w:fill="D6E3BC" w:themeFill="accent3" w:themeFillTint="66"/>
            <w:vAlign w:val="center"/>
          </w:tcPr>
          <w:p w14:paraId="0080BCFC" w14:textId="39A1A53E" w:rsidR="005E2933" w:rsidRPr="005E2933" w:rsidRDefault="001A0E9C" w:rsidP="001A0E9C">
            <w:pPr>
              <w:keepNext/>
              <w:spacing w:before="120" w:after="120" w:line="240" w:lineRule="auto"/>
              <w:jc w:val="left"/>
              <w:rPr>
                <w:szCs w:val="22"/>
                <w:lang w:val="id-ID"/>
              </w:rPr>
            </w:pPr>
            <w:r>
              <w:rPr>
                <w:szCs w:val="22"/>
                <w:lang w:val="en-AU"/>
              </w:rPr>
              <w:t xml:space="preserve">R3: </w:t>
            </w:r>
            <w:r w:rsidR="005E2933" w:rsidRPr="005E2933">
              <w:rPr>
                <w:szCs w:val="22"/>
                <w:lang w:val="id-ID"/>
              </w:rPr>
              <w:t>Monitor the budgets of critical EP support areas through</w:t>
            </w:r>
            <w:r w:rsidR="009A5F8C">
              <w:rPr>
                <w:szCs w:val="22"/>
                <w:lang w:val="en-AU"/>
              </w:rPr>
              <w:t xml:space="preserve"> the </w:t>
            </w:r>
            <w:r w:rsidR="005E2933" w:rsidRPr="005E2933">
              <w:rPr>
                <w:szCs w:val="22"/>
                <w:lang w:val="id-ID"/>
              </w:rPr>
              <w:t>Annual Sector Financial Report</w:t>
            </w:r>
          </w:p>
        </w:tc>
        <w:tc>
          <w:tcPr>
            <w:tcW w:w="604" w:type="pct"/>
            <w:vAlign w:val="center"/>
          </w:tcPr>
          <w:p w14:paraId="65DECE1C" w14:textId="77777777" w:rsidR="005E2933" w:rsidRPr="005E2933" w:rsidRDefault="005E2933" w:rsidP="005E2933">
            <w:pPr>
              <w:spacing w:before="120" w:after="120" w:line="240" w:lineRule="auto"/>
              <w:jc w:val="left"/>
              <w:rPr>
                <w:szCs w:val="22"/>
                <w:lang w:val="id-ID"/>
              </w:rPr>
            </w:pPr>
            <w:r w:rsidRPr="005E2933">
              <w:rPr>
                <w:szCs w:val="22"/>
                <w:lang w:val="id-ID"/>
              </w:rPr>
              <w:t>POM</w:t>
            </w:r>
          </w:p>
        </w:tc>
      </w:tr>
      <w:tr w:rsidR="005E2933" w:rsidRPr="005E2933" w14:paraId="2B9D86BD" w14:textId="77777777" w:rsidTr="00514102">
        <w:trPr>
          <w:trHeight w:val="888"/>
        </w:trPr>
        <w:tc>
          <w:tcPr>
            <w:tcW w:w="2198" w:type="pct"/>
            <w:vAlign w:val="center"/>
          </w:tcPr>
          <w:p w14:paraId="27E65DDE" w14:textId="23B6DB2A" w:rsidR="005E2933" w:rsidRPr="005E2933" w:rsidRDefault="009A5F8C" w:rsidP="009A5F8C">
            <w:pPr>
              <w:spacing w:before="120" w:after="120" w:line="240" w:lineRule="auto"/>
              <w:jc w:val="left"/>
              <w:rPr>
                <w:szCs w:val="22"/>
                <w:lang w:val="id-ID"/>
              </w:rPr>
            </w:pPr>
            <w:r>
              <w:rPr>
                <w:szCs w:val="22"/>
                <w:lang w:val="en-AU"/>
              </w:rPr>
              <w:t>It is likely that the n</w:t>
            </w:r>
            <w:r w:rsidR="005E2933" w:rsidRPr="005E2933">
              <w:rPr>
                <w:szCs w:val="22"/>
                <w:lang w:val="en-AU"/>
              </w:rPr>
              <w:t>on-additionality of donor funds in the education sector will impact on the significance of the EP</w:t>
            </w:r>
            <w:r w:rsidR="005E2933" w:rsidRPr="005E2933">
              <w:rPr>
                <w:szCs w:val="22"/>
                <w:lang w:val="id-ID"/>
              </w:rPr>
              <w:t xml:space="preserve"> (</w:t>
            </w:r>
            <w:r w:rsidR="00DB5A52" w:rsidRPr="005E2933">
              <w:rPr>
                <w:szCs w:val="22"/>
                <w:lang w:val="id-ID"/>
              </w:rPr>
              <w:t xml:space="preserve">see </w:t>
            </w:r>
            <w:r w:rsidR="00DB5A52">
              <w:rPr>
                <w:szCs w:val="22"/>
                <w:lang w:val="id-ID"/>
              </w:rPr>
              <w:t>§</w:t>
            </w:r>
            <w:r w:rsidR="00DB5A52">
              <w:rPr>
                <w:szCs w:val="22"/>
                <w:lang w:val="en-AU"/>
              </w:rPr>
              <w:t>1.1</w:t>
            </w:r>
            <w:r w:rsidR="005E2933" w:rsidRPr="005E2933">
              <w:rPr>
                <w:szCs w:val="22"/>
                <w:lang w:val="id-ID"/>
              </w:rPr>
              <w:t>)</w:t>
            </w:r>
          </w:p>
        </w:tc>
        <w:tc>
          <w:tcPr>
            <w:tcW w:w="2198" w:type="pct"/>
            <w:shd w:val="clear" w:color="auto" w:fill="CCC0D9" w:themeFill="accent4" w:themeFillTint="66"/>
            <w:vAlign w:val="center"/>
          </w:tcPr>
          <w:p w14:paraId="4BABE4F1" w14:textId="28754584" w:rsidR="005E2933" w:rsidRPr="005E2933" w:rsidRDefault="001A0E9C" w:rsidP="001A0E9C">
            <w:pPr>
              <w:keepNext/>
              <w:spacing w:before="120" w:after="120" w:line="240" w:lineRule="auto"/>
              <w:jc w:val="left"/>
              <w:rPr>
                <w:szCs w:val="22"/>
                <w:lang w:val="id-ID"/>
              </w:rPr>
            </w:pPr>
            <w:r>
              <w:rPr>
                <w:szCs w:val="22"/>
                <w:lang w:val="en-AU"/>
              </w:rPr>
              <w:t xml:space="preserve">R4: </w:t>
            </w:r>
            <w:r w:rsidR="005E2933" w:rsidRPr="005E2933">
              <w:rPr>
                <w:szCs w:val="22"/>
                <w:lang w:val="id-ID"/>
              </w:rPr>
              <w:t>AusAID and GoI to negotiate the removal of non-additionality principle for EP funds</w:t>
            </w:r>
          </w:p>
        </w:tc>
        <w:tc>
          <w:tcPr>
            <w:tcW w:w="604" w:type="pct"/>
            <w:vAlign w:val="center"/>
          </w:tcPr>
          <w:p w14:paraId="1C7ABC7B" w14:textId="77777777" w:rsidR="005E2933" w:rsidRPr="005E2933" w:rsidRDefault="005E2933" w:rsidP="005E2933">
            <w:pPr>
              <w:spacing w:before="120" w:after="120" w:line="240" w:lineRule="auto"/>
              <w:jc w:val="left"/>
              <w:rPr>
                <w:szCs w:val="22"/>
                <w:lang w:val="id-ID"/>
              </w:rPr>
            </w:pPr>
            <w:r w:rsidRPr="005E2933">
              <w:rPr>
                <w:szCs w:val="22"/>
                <w:lang w:val="id-ID"/>
              </w:rPr>
              <w:t xml:space="preserve">AusAID </w:t>
            </w:r>
          </w:p>
        </w:tc>
      </w:tr>
      <w:tr w:rsidR="005E2933" w:rsidRPr="005E2933" w14:paraId="42E1AE34" w14:textId="77777777" w:rsidTr="00514102">
        <w:trPr>
          <w:trHeight w:val="567"/>
        </w:trPr>
        <w:tc>
          <w:tcPr>
            <w:tcW w:w="2198" w:type="pct"/>
            <w:vAlign w:val="center"/>
          </w:tcPr>
          <w:p w14:paraId="5546C226" w14:textId="1CBC837B" w:rsidR="005E2933" w:rsidRPr="005E2933" w:rsidRDefault="005E2933" w:rsidP="00835AD1">
            <w:pPr>
              <w:spacing w:before="120" w:after="120" w:line="240" w:lineRule="auto"/>
              <w:jc w:val="left"/>
              <w:rPr>
                <w:szCs w:val="22"/>
                <w:lang w:val="id-ID"/>
              </w:rPr>
            </w:pPr>
            <w:r w:rsidRPr="005E2933">
              <w:rPr>
                <w:szCs w:val="22"/>
                <w:lang w:val="id-ID"/>
              </w:rPr>
              <w:t>M</w:t>
            </w:r>
            <w:r w:rsidRPr="005E2933">
              <w:rPr>
                <w:szCs w:val="22"/>
                <w:lang w:val="en-AU"/>
              </w:rPr>
              <w:t>onitoring district</w:t>
            </w:r>
            <w:r w:rsidRPr="005E2933">
              <w:rPr>
                <w:szCs w:val="22"/>
                <w:lang w:val="id-ID"/>
              </w:rPr>
              <w:t>s education budget and</w:t>
            </w:r>
            <w:r w:rsidRPr="005E2933">
              <w:rPr>
                <w:szCs w:val="22"/>
                <w:lang w:val="en-AU"/>
              </w:rPr>
              <w:t xml:space="preserve"> expenditure </w:t>
            </w:r>
            <w:r w:rsidRPr="005E2933">
              <w:rPr>
                <w:szCs w:val="22"/>
                <w:lang w:val="id-ID"/>
              </w:rPr>
              <w:t>is increasingly crucial (</w:t>
            </w:r>
            <w:r w:rsidR="00DB5A52" w:rsidRPr="005E2933">
              <w:rPr>
                <w:szCs w:val="22"/>
                <w:lang w:val="id-ID"/>
              </w:rPr>
              <w:t xml:space="preserve">see </w:t>
            </w:r>
            <w:r w:rsidR="00DB5A52">
              <w:rPr>
                <w:szCs w:val="22"/>
                <w:lang w:val="id-ID"/>
              </w:rPr>
              <w:t>§</w:t>
            </w:r>
            <w:r w:rsidR="00DB5A52">
              <w:rPr>
                <w:szCs w:val="22"/>
                <w:lang w:val="en-AU"/>
              </w:rPr>
              <w:t>1.2</w:t>
            </w:r>
            <w:r w:rsidRPr="005E2933">
              <w:rPr>
                <w:szCs w:val="22"/>
                <w:lang w:val="id-ID"/>
              </w:rPr>
              <w:t>)</w:t>
            </w:r>
          </w:p>
        </w:tc>
        <w:tc>
          <w:tcPr>
            <w:tcW w:w="2198" w:type="pct"/>
            <w:shd w:val="clear" w:color="auto" w:fill="CCC0D9" w:themeFill="accent4" w:themeFillTint="66"/>
            <w:vAlign w:val="center"/>
          </w:tcPr>
          <w:p w14:paraId="1692FC35" w14:textId="35F89C8A" w:rsidR="005E2933" w:rsidRPr="005E2933" w:rsidRDefault="001A0E9C" w:rsidP="005E2933">
            <w:pPr>
              <w:keepNext/>
              <w:spacing w:before="120" w:after="120" w:line="240" w:lineRule="auto"/>
              <w:jc w:val="left"/>
              <w:rPr>
                <w:szCs w:val="22"/>
                <w:lang w:val="en-AU"/>
              </w:rPr>
            </w:pPr>
            <w:r>
              <w:rPr>
                <w:szCs w:val="22"/>
                <w:lang w:val="en-AU"/>
              </w:rPr>
              <w:t xml:space="preserve">R5: </w:t>
            </w:r>
            <w:r w:rsidR="005E2933" w:rsidRPr="005E2933">
              <w:rPr>
                <w:szCs w:val="22"/>
                <w:lang w:val="id-ID"/>
              </w:rPr>
              <w:t>C</w:t>
            </w:r>
            <w:proofErr w:type="spellStart"/>
            <w:r w:rsidR="005E2933" w:rsidRPr="005E2933">
              <w:rPr>
                <w:szCs w:val="22"/>
                <w:lang w:val="en-AU"/>
              </w:rPr>
              <w:t>ommission</w:t>
            </w:r>
            <w:proofErr w:type="spellEnd"/>
            <w:r w:rsidR="005E2933" w:rsidRPr="005E2933">
              <w:rPr>
                <w:szCs w:val="22"/>
                <w:lang w:val="en-AU"/>
              </w:rPr>
              <w:t xml:space="preserve"> </w:t>
            </w:r>
            <w:r w:rsidR="00DB5A52">
              <w:rPr>
                <w:szCs w:val="22"/>
                <w:lang w:val="en-AU"/>
              </w:rPr>
              <w:t xml:space="preserve">a </w:t>
            </w:r>
            <w:r w:rsidR="005E2933" w:rsidRPr="005E2933">
              <w:rPr>
                <w:szCs w:val="22"/>
                <w:lang w:val="en-AU"/>
              </w:rPr>
              <w:t xml:space="preserve">review </w:t>
            </w:r>
            <w:r w:rsidR="005E2933" w:rsidRPr="005E2933">
              <w:rPr>
                <w:szCs w:val="22"/>
                <w:lang w:val="id-ID"/>
              </w:rPr>
              <w:t>of</w:t>
            </w:r>
            <w:r w:rsidR="005E2933" w:rsidRPr="005E2933">
              <w:rPr>
                <w:szCs w:val="22"/>
                <w:lang w:val="en-AU"/>
              </w:rPr>
              <w:t xml:space="preserve"> factors influencing district funding of </w:t>
            </w:r>
            <w:r w:rsidR="005E2933" w:rsidRPr="005E2933">
              <w:rPr>
                <w:szCs w:val="22"/>
                <w:shd w:val="clear" w:color="auto" w:fill="CCC0D9" w:themeFill="accent4" w:themeFillTint="66"/>
                <w:lang w:val="en-AU"/>
              </w:rPr>
              <w:t>education, including steps to mitigate risks of financial substitution effects at district level</w:t>
            </w:r>
            <w:r w:rsidR="005E2933" w:rsidRPr="005E2933">
              <w:rPr>
                <w:szCs w:val="22"/>
                <w:lang w:val="en-AU"/>
              </w:rPr>
              <w:t xml:space="preserve"> </w:t>
            </w:r>
          </w:p>
        </w:tc>
        <w:tc>
          <w:tcPr>
            <w:tcW w:w="604" w:type="pct"/>
            <w:vAlign w:val="center"/>
          </w:tcPr>
          <w:p w14:paraId="1FE22CE9" w14:textId="042A4E89" w:rsidR="005E2933" w:rsidRPr="005E2933" w:rsidRDefault="00DB5A52" w:rsidP="005E2933">
            <w:pPr>
              <w:spacing w:before="120" w:after="120" w:line="240" w:lineRule="auto"/>
              <w:jc w:val="left"/>
              <w:rPr>
                <w:szCs w:val="22"/>
                <w:lang w:val="id-ID"/>
              </w:rPr>
            </w:pPr>
            <w:r>
              <w:rPr>
                <w:szCs w:val="22"/>
                <w:lang w:val="en-AU"/>
              </w:rPr>
              <w:t>AusAID/</w:t>
            </w:r>
            <w:r w:rsidR="005E2933" w:rsidRPr="005E2933">
              <w:rPr>
                <w:szCs w:val="22"/>
                <w:lang w:val="id-ID"/>
              </w:rPr>
              <w:t>POM</w:t>
            </w:r>
          </w:p>
        </w:tc>
      </w:tr>
      <w:tr w:rsidR="005E2933" w:rsidRPr="005E2933" w14:paraId="2B4711E6" w14:textId="77777777" w:rsidTr="00514102">
        <w:trPr>
          <w:trHeight w:val="567"/>
        </w:trPr>
        <w:tc>
          <w:tcPr>
            <w:tcW w:w="2198" w:type="pct"/>
            <w:vAlign w:val="center"/>
          </w:tcPr>
          <w:p w14:paraId="66E4C646" w14:textId="070CC886" w:rsidR="005E2933" w:rsidRPr="005E2933" w:rsidRDefault="005E2933" w:rsidP="00835AD1">
            <w:pPr>
              <w:spacing w:before="120" w:after="120" w:line="240" w:lineRule="auto"/>
              <w:jc w:val="left"/>
              <w:rPr>
                <w:szCs w:val="22"/>
                <w:lang w:val="en-AU"/>
              </w:rPr>
            </w:pPr>
            <w:r w:rsidRPr="005E2933">
              <w:rPr>
                <w:szCs w:val="22"/>
                <w:lang w:val="id-ID"/>
              </w:rPr>
              <w:t xml:space="preserve">New donor priorities and programs in </w:t>
            </w:r>
            <w:r w:rsidR="00DB5A52">
              <w:rPr>
                <w:szCs w:val="22"/>
                <w:lang w:val="en-AU"/>
              </w:rPr>
              <w:t xml:space="preserve">the </w:t>
            </w:r>
            <w:r w:rsidRPr="005E2933">
              <w:rPr>
                <w:szCs w:val="22"/>
                <w:lang w:val="id-ID"/>
              </w:rPr>
              <w:t xml:space="preserve">education sector create </w:t>
            </w:r>
            <w:r w:rsidRPr="005E2933">
              <w:rPr>
                <w:szCs w:val="22"/>
                <w:lang w:val="en-AU"/>
              </w:rPr>
              <w:t>opportunities</w:t>
            </w:r>
            <w:r w:rsidRPr="005E2933">
              <w:rPr>
                <w:szCs w:val="22"/>
                <w:lang w:val="id-ID"/>
              </w:rPr>
              <w:t xml:space="preserve"> </w:t>
            </w:r>
            <w:r w:rsidRPr="005E2933">
              <w:rPr>
                <w:szCs w:val="22"/>
                <w:lang w:val="en-AU"/>
              </w:rPr>
              <w:t xml:space="preserve">and threats </w:t>
            </w:r>
            <w:r w:rsidRPr="005E2933">
              <w:rPr>
                <w:szCs w:val="22"/>
                <w:lang w:val="id-ID"/>
              </w:rPr>
              <w:t>for EP (</w:t>
            </w:r>
            <w:r w:rsidR="00DB5A52" w:rsidRPr="005E2933">
              <w:rPr>
                <w:szCs w:val="22"/>
                <w:lang w:val="id-ID"/>
              </w:rPr>
              <w:t xml:space="preserve">see </w:t>
            </w:r>
            <w:r w:rsidR="00DB5A52">
              <w:rPr>
                <w:szCs w:val="22"/>
                <w:lang w:val="id-ID"/>
              </w:rPr>
              <w:t>§</w:t>
            </w:r>
            <w:r w:rsidR="00DB5A52">
              <w:rPr>
                <w:szCs w:val="22"/>
                <w:lang w:val="en-AU"/>
              </w:rPr>
              <w:t>1.3</w:t>
            </w:r>
            <w:r w:rsidRPr="005E2933">
              <w:rPr>
                <w:szCs w:val="22"/>
                <w:lang w:val="id-ID"/>
              </w:rPr>
              <w:t>)</w:t>
            </w:r>
          </w:p>
        </w:tc>
        <w:tc>
          <w:tcPr>
            <w:tcW w:w="2198" w:type="pct"/>
            <w:vMerge w:val="restart"/>
            <w:shd w:val="clear" w:color="auto" w:fill="D6E3BC" w:themeFill="accent3" w:themeFillTint="66"/>
            <w:vAlign w:val="center"/>
          </w:tcPr>
          <w:p w14:paraId="71974CE9" w14:textId="1D9A2DD5" w:rsidR="005E2933" w:rsidRPr="005E2933" w:rsidRDefault="001A0E9C" w:rsidP="005E2933">
            <w:pPr>
              <w:spacing w:before="120" w:after="120" w:line="240" w:lineRule="auto"/>
              <w:jc w:val="left"/>
              <w:rPr>
                <w:szCs w:val="22"/>
                <w:lang w:val="id-ID"/>
              </w:rPr>
            </w:pPr>
            <w:r>
              <w:rPr>
                <w:szCs w:val="22"/>
                <w:lang w:val="en-AU"/>
              </w:rPr>
              <w:t xml:space="preserve">R6: </w:t>
            </w:r>
            <w:r w:rsidR="005E2933" w:rsidRPr="005E2933">
              <w:rPr>
                <w:szCs w:val="22"/>
                <w:lang w:val="id-ID"/>
              </w:rPr>
              <w:t>Strengthen the EP theory of change to include a comprehensive mapping of existing donor initiatives in the education and the relative position of EP</w:t>
            </w:r>
          </w:p>
        </w:tc>
        <w:tc>
          <w:tcPr>
            <w:tcW w:w="604" w:type="pct"/>
            <w:vMerge w:val="restart"/>
            <w:vAlign w:val="center"/>
          </w:tcPr>
          <w:p w14:paraId="546E6C8C" w14:textId="77777777" w:rsidR="005E2933" w:rsidRPr="005E2933" w:rsidRDefault="005E2933" w:rsidP="005E2933">
            <w:pPr>
              <w:spacing w:before="120" w:after="120" w:line="240" w:lineRule="auto"/>
              <w:jc w:val="left"/>
              <w:rPr>
                <w:szCs w:val="22"/>
                <w:lang w:val="id-ID"/>
              </w:rPr>
            </w:pPr>
            <w:r w:rsidRPr="005E2933">
              <w:rPr>
                <w:szCs w:val="22"/>
                <w:lang w:val="id-ID"/>
              </w:rPr>
              <w:t>AusAID</w:t>
            </w:r>
          </w:p>
        </w:tc>
      </w:tr>
      <w:tr w:rsidR="005E2933" w:rsidRPr="005E2933" w14:paraId="2EFE6BBD" w14:textId="77777777" w:rsidTr="00514102">
        <w:trPr>
          <w:trHeight w:val="567"/>
        </w:trPr>
        <w:tc>
          <w:tcPr>
            <w:tcW w:w="2198" w:type="pct"/>
            <w:vAlign w:val="center"/>
          </w:tcPr>
          <w:p w14:paraId="608672A1" w14:textId="1075710F" w:rsidR="005E2933" w:rsidRPr="005E2933" w:rsidRDefault="005E2933" w:rsidP="00835AD1">
            <w:pPr>
              <w:spacing w:before="120" w:after="120" w:line="240" w:lineRule="auto"/>
              <w:jc w:val="left"/>
              <w:rPr>
                <w:szCs w:val="22"/>
                <w:lang w:val="id-ID"/>
              </w:rPr>
            </w:pPr>
            <w:r w:rsidRPr="005E2933">
              <w:rPr>
                <w:szCs w:val="22"/>
                <w:lang w:val="id-ID"/>
              </w:rPr>
              <w:t xml:space="preserve">The use of </w:t>
            </w:r>
            <w:r w:rsidRPr="005E2933">
              <w:rPr>
                <w:szCs w:val="22"/>
                <w:lang w:val="en-AU"/>
              </w:rPr>
              <w:t xml:space="preserve">different modalities </w:t>
            </w:r>
            <w:r w:rsidRPr="005E2933">
              <w:rPr>
                <w:szCs w:val="22"/>
                <w:lang w:val="id-ID"/>
              </w:rPr>
              <w:t xml:space="preserve">and </w:t>
            </w:r>
            <w:r w:rsidRPr="005E2933">
              <w:rPr>
                <w:szCs w:val="22"/>
                <w:lang w:val="en-AU"/>
              </w:rPr>
              <w:t>delivery mechanisms accentuate</w:t>
            </w:r>
            <w:r w:rsidRPr="005E2933">
              <w:rPr>
                <w:szCs w:val="22"/>
                <w:lang w:val="id-ID"/>
              </w:rPr>
              <w:t>s</w:t>
            </w:r>
            <w:r w:rsidRPr="005E2933">
              <w:rPr>
                <w:szCs w:val="22"/>
                <w:lang w:val="en-AU"/>
              </w:rPr>
              <w:t xml:space="preserve"> the risk that the partnership operates as four non-contiguous initiatives </w:t>
            </w:r>
            <w:r w:rsidRPr="005E2933">
              <w:rPr>
                <w:szCs w:val="22"/>
                <w:lang w:val="id-ID"/>
              </w:rPr>
              <w:t>(</w:t>
            </w:r>
            <w:r w:rsidR="00DB5A52" w:rsidRPr="005E2933">
              <w:rPr>
                <w:szCs w:val="22"/>
                <w:lang w:val="id-ID"/>
              </w:rPr>
              <w:t xml:space="preserve">see </w:t>
            </w:r>
            <w:r w:rsidR="00DB5A52">
              <w:rPr>
                <w:szCs w:val="22"/>
                <w:lang w:val="id-ID"/>
              </w:rPr>
              <w:t>§</w:t>
            </w:r>
            <w:r w:rsidR="00DB5A52">
              <w:rPr>
                <w:szCs w:val="22"/>
                <w:lang w:val="en-AU"/>
              </w:rPr>
              <w:t>3.1.1</w:t>
            </w:r>
            <w:r w:rsidRPr="005E2933">
              <w:rPr>
                <w:szCs w:val="22"/>
                <w:lang w:val="id-ID"/>
              </w:rPr>
              <w:t>)</w:t>
            </w:r>
          </w:p>
        </w:tc>
        <w:tc>
          <w:tcPr>
            <w:tcW w:w="2198" w:type="pct"/>
            <w:vMerge/>
            <w:shd w:val="clear" w:color="auto" w:fill="D6E3BC" w:themeFill="accent3" w:themeFillTint="66"/>
            <w:vAlign w:val="center"/>
          </w:tcPr>
          <w:p w14:paraId="20E86EAB" w14:textId="77777777" w:rsidR="005E2933" w:rsidRPr="005E2933" w:rsidRDefault="005E2933" w:rsidP="005E2933">
            <w:pPr>
              <w:spacing w:before="120" w:after="120" w:line="240" w:lineRule="auto"/>
              <w:jc w:val="left"/>
              <w:rPr>
                <w:szCs w:val="22"/>
                <w:lang w:val="id-ID"/>
              </w:rPr>
            </w:pPr>
          </w:p>
        </w:tc>
        <w:tc>
          <w:tcPr>
            <w:tcW w:w="604" w:type="pct"/>
            <w:vMerge/>
            <w:vAlign w:val="center"/>
          </w:tcPr>
          <w:p w14:paraId="0FEA6A58" w14:textId="77777777" w:rsidR="005E2933" w:rsidRPr="005E2933" w:rsidRDefault="005E2933" w:rsidP="005E2933">
            <w:pPr>
              <w:spacing w:before="120" w:after="120" w:line="240" w:lineRule="auto"/>
              <w:jc w:val="left"/>
              <w:rPr>
                <w:szCs w:val="22"/>
                <w:lang w:val="id-ID"/>
              </w:rPr>
            </w:pPr>
          </w:p>
        </w:tc>
      </w:tr>
      <w:tr w:rsidR="005E2933" w:rsidRPr="005E2933" w14:paraId="1CDF89A3" w14:textId="77777777" w:rsidTr="00514102">
        <w:trPr>
          <w:trHeight w:val="567"/>
        </w:trPr>
        <w:tc>
          <w:tcPr>
            <w:tcW w:w="2198" w:type="pct"/>
            <w:vAlign w:val="center"/>
          </w:tcPr>
          <w:p w14:paraId="71780D38" w14:textId="08C057A1" w:rsidR="005E2933" w:rsidRPr="005E2933" w:rsidRDefault="005E2933" w:rsidP="00835AD1">
            <w:pPr>
              <w:spacing w:before="120" w:after="120" w:line="240" w:lineRule="auto"/>
              <w:jc w:val="left"/>
              <w:rPr>
                <w:szCs w:val="22"/>
                <w:lang w:val="id-ID"/>
              </w:rPr>
            </w:pPr>
            <w:r w:rsidRPr="005E2933">
              <w:rPr>
                <w:szCs w:val="22"/>
                <w:lang w:val="id-ID"/>
              </w:rPr>
              <w:lastRenderedPageBreak/>
              <w:t>L</w:t>
            </w:r>
            <w:r w:rsidRPr="005E2933">
              <w:rPr>
                <w:szCs w:val="22"/>
                <w:lang w:val="en-AU"/>
              </w:rPr>
              <w:t xml:space="preserve">ack </w:t>
            </w:r>
            <w:r w:rsidRPr="005E2933">
              <w:rPr>
                <w:szCs w:val="22"/>
                <w:lang w:val="id-ID"/>
              </w:rPr>
              <w:t xml:space="preserve">of </w:t>
            </w:r>
            <w:r w:rsidRPr="005E2933">
              <w:rPr>
                <w:szCs w:val="22"/>
                <w:lang w:val="en-AU"/>
              </w:rPr>
              <w:t>identifi</w:t>
            </w:r>
            <w:r w:rsidR="00DB5A52">
              <w:rPr>
                <w:szCs w:val="22"/>
                <w:lang w:val="en-AU"/>
              </w:rPr>
              <w:t xml:space="preserve">cation of </w:t>
            </w:r>
            <w:r w:rsidRPr="005E2933">
              <w:rPr>
                <w:szCs w:val="22"/>
                <w:lang w:val="en-AU"/>
              </w:rPr>
              <w:t xml:space="preserve">EP </w:t>
            </w:r>
            <w:r w:rsidR="00DB5A52">
              <w:rPr>
                <w:szCs w:val="22"/>
                <w:lang w:val="en-AU"/>
              </w:rPr>
              <w:t xml:space="preserve">target </w:t>
            </w:r>
            <w:r w:rsidRPr="005E2933">
              <w:rPr>
                <w:szCs w:val="22"/>
                <w:lang w:val="en-AU"/>
              </w:rPr>
              <w:t>beneficiaries</w:t>
            </w:r>
            <w:r w:rsidRPr="005E2933">
              <w:rPr>
                <w:szCs w:val="22"/>
                <w:lang w:val="id-ID"/>
              </w:rPr>
              <w:t xml:space="preserve"> </w:t>
            </w:r>
            <w:r w:rsidRPr="005E2933">
              <w:rPr>
                <w:szCs w:val="22"/>
                <w:lang w:val="en-AU"/>
              </w:rPr>
              <w:t>make</w:t>
            </w:r>
            <w:r w:rsidRPr="005E2933">
              <w:rPr>
                <w:szCs w:val="22"/>
                <w:lang w:val="id-ID"/>
              </w:rPr>
              <w:t xml:space="preserve">s </w:t>
            </w:r>
            <w:r w:rsidR="00DB5A52" w:rsidRPr="005E2933">
              <w:rPr>
                <w:szCs w:val="22"/>
                <w:lang w:val="en-AU"/>
              </w:rPr>
              <w:t xml:space="preserve">judgement </w:t>
            </w:r>
            <w:r w:rsidRPr="005E2933">
              <w:rPr>
                <w:szCs w:val="22"/>
                <w:lang w:val="id-ID"/>
              </w:rPr>
              <w:t>about EP</w:t>
            </w:r>
            <w:r w:rsidR="00597821">
              <w:rPr>
                <w:szCs w:val="22"/>
                <w:lang w:val="id-ID"/>
              </w:rPr>
              <w:t xml:space="preserve"> </w:t>
            </w:r>
            <w:r w:rsidRPr="005E2933">
              <w:rPr>
                <w:szCs w:val="22"/>
                <w:lang w:val="id-ID"/>
              </w:rPr>
              <w:t xml:space="preserve">success </w:t>
            </w:r>
            <w:r w:rsidR="00DB5A52" w:rsidRPr="005E2933">
              <w:rPr>
                <w:szCs w:val="22"/>
                <w:lang w:val="id-ID"/>
              </w:rPr>
              <w:t>difficult</w:t>
            </w:r>
            <w:r w:rsidR="00DB5A52" w:rsidRPr="005E2933">
              <w:rPr>
                <w:szCs w:val="22"/>
                <w:lang w:val="en-AU"/>
              </w:rPr>
              <w:t xml:space="preserve"> </w:t>
            </w:r>
            <w:r w:rsidRPr="005E2933">
              <w:rPr>
                <w:szCs w:val="22"/>
                <w:lang w:val="id-ID"/>
              </w:rPr>
              <w:t>(</w:t>
            </w:r>
            <w:r w:rsidR="00DB5A52" w:rsidRPr="005E2933">
              <w:rPr>
                <w:szCs w:val="22"/>
                <w:lang w:val="id-ID"/>
              </w:rPr>
              <w:t xml:space="preserve">see </w:t>
            </w:r>
            <w:r w:rsidR="00DB5A52">
              <w:rPr>
                <w:szCs w:val="22"/>
                <w:lang w:val="id-ID"/>
              </w:rPr>
              <w:t>§</w:t>
            </w:r>
            <w:r w:rsidR="00DB5A52">
              <w:rPr>
                <w:szCs w:val="22"/>
                <w:lang w:val="en-AU"/>
              </w:rPr>
              <w:t>4.1</w:t>
            </w:r>
            <w:r w:rsidRPr="005E2933">
              <w:rPr>
                <w:szCs w:val="22"/>
                <w:lang w:val="id-ID"/>
              </w:rPr>
              <w:t>)</w:t>
            </w:r>
          </w:p>
        </w:tc>
        <w:tc>
          <w:tcPr>
            <w:tcW w:w="2198" w:type="pct"/>
            <w:shd w:val="clear" w:color="auto" w:fill="FABF8F" w:themeFill="accent6" w:themeFillTint="99"/>
            <w:vAlign w:val="center"/>
          </w:tcPr>
          <w:p w14:paraId="25A01C33" w14:textId="3EDCF3BC" w:rsidR="005E2933" w:rsidRPr="005E2933" w:rsidRDefault="001A0E9C" w:rsidP="005E2933">
            <w:pPr>
              <w:spacing w:before="120" w:after="120" w:line="240" w:lineRule="auto"/>
              <w:jc w:val="left"/>
              <w:rPr>
                <w:szCs w:val="22"/>
                <w:lang w:val="en-AU"/>
              </w:rPr>
            </w:pPr>
            <w:r>
              <w:rPr>
                <w:szCs w:val="22"/>
                <w:lang w:val="en-AU"/>
              </w:rPr>
              <w:t xml:space="preserve">R7: </w:t>
            </w:r>
            <w:r w:rsidR="005E2933" w:rsidRPr="005E2933">
              <w:rPr>
                <w:szCs w:val="22"/>
                <w:lang w:val="en-AU"/>
              </w:rPr>
              <w:t>Agree on a classification of beneficiaries and identify realistic impact expectations</w:t>
            </w:r>
          </w:p>
        </w:tc>
        <w:tc>
          <w:tcPr>
            <w:tcW w:w="604" w:type="pct"/>
            <w:vAlign w:val="center"/>
          </w:tcPr>
          <w:p w14:paraId="0A6697F0" w14:textId="77777777" w:rsidR="005E2933" w:rsidRPr="005E2933" w:rsidRDefault="005E2933" w:rsidP="005E2933">
            <w:pPr>
              <w:spacing w:before="120" w:after="120" w:line="240" w:lineRule="auto"/>
              <w:jc w:val="left"/>
              <w:rPr>
                <w:szCs w:val="22"/>
                <w:lang w:val="id-ID"/>
              </w:rPr>
            </w:pPr>
            <w:r w:rsidRPr="005E2933">
              <w:rPr>
                <w:szCs w:val="22"/>
                <w:lang w:val="id-ID"/>
              </w:rPr>
              <w:t>AusAID</w:t>
            </w:r>
          </w:p>
        </w:tc>
      </w:tr>
      <w:tr w:rsidR="005E2933" w:rsidRPr="005E2933" w14:paraId="7B246B0A" w14:textId="77777777" w:rsidTr="00514102">
        <w:trPr>
          <w:trHeight w:val="567"/>
        </w:trPr>
        <w:tc>
          <w:tcPr>
            <w:tcW w:w="2198" w:type="pct"/>
            <w:tcBorders>
              <w:bottom w:val="single" w:sz="4" w:space="0" w:color="auto"/>
            </w:tcBorders>
            <w:vAlign w:val="center"/>
          </w:tcPr>
          <w:p w14:paraId="46AFF593" w14:textId="39ECAB55" w:rsidR="005E2933" w:rsidRPr="005E2933" w:rsidRDefault="005E2933" w:rsidP="00835AD1">
            <w:pPr>
              <w:spacing w:before="120" w:after="120" w:line="240" w:lineRule="auto"/>
              <w:jc w:val="left"/>
              <w:rPr>
                <w:szCs w:val="22"/>
                <w:lang w:val="en-AU"/>
              </w:rPr>
            </w:pPr>
            <w:r w:rsidRPr="005E2933">
              <w:rPr>
                <w:szCs w:val="22"/>
                <w:lang w:val="id-ID"/>
              </w:rPr>
              <w:t>L</w:t>
            </w:r>
            <w:r w:rsidRPr="005E2933">
              <w:rPr>
                <w:szCs w:val="22"/>
                <w:lang w:val="en-AU"/>
              </w:rPr>
              <w:t>ack</w:t>
            </w:r>
            <w:r w:rsidRPr="005E2933">
              <w:rPr>
                <w:szCs w:val="22"/>
                <w:lang w:val="id-ID"/>
              </w:rPr>
              <w:t xml:space="preserve"> of </w:t>
            </w:r>
            <w:r w:rsidRPr="005E2933">
              <w:rPr>
                <w:szCs w:val="22"/>
                <w:lang w:val="en-AU"/>
              </w:rPr>
              <w:t>clear social inclusion strategy</w:t>
            </w:r>
            <w:r w:rsidRPr="005E2933">
              <w:rPr>
                <w:szCs w:val="22"/>
                <w:lang w:val="id-ID"/>
              </w:rPr>
              <w:t xml:space="preserve"> means social inclusion objectives are not identified and cannot be monitored</w:t>
            </w:r>
            <w:r w:rsidR="00597821">
              <w:rPr>
                <w:szCs w:val="22"/>
                <w:lang w:val="id-ID"/>
              </w:rPr>
              <w:t xml:space="preserve"> </w:t>
            </w:r>
            <w:r w:rsidRPr="005E2933">
              <w:rPr>
                <w:szCs w:val="22"/>
                <w:lang w:val="id-ID"/>
              </w:rPr>
              <w:t>(</w:t>
            </w:r>
            <w:r w:rsidR="00DB5A52" w:rsidRPr="005E2933">
              <w:rPr>
                <w:szCs w:val="22"/>
                <w:lang w:val="id-ID"/>
              </w:rPr>
              <w:t xml:space="preserve">see </w:t>
            </w:r>
            <w:r w:rsidR="00DB5A52">
              <w:rPr>
                <w:szCs w:val="22"/>
                <w:lang w:val="id-ID"/>
              </w:rPr>
              <w:t>§</w:t>
            </w:r>
            <w:r w:rsidR="00DB5A52">
              <w:rPr>
                <w:szCs w:val="22"/>
                <w:lang w:val="en-AU"/>
              </w:rPr>
              <w:t>4.2</w:t>
            </w:r>
            <w:r w:rsidR="00DB5A52" w:rsidRPr="005E2933">
              <w:rPr>
                <w:szCs w:val="22"/>
                <w:lang w:val="id-ID"/>
              </w:rPr>
              <w:t>)</w:t>
            </w:r>
          </w:p>
        </w:tc>
        <w:tc>
          <w:tcPr>
            <w:tcW w:w="2198" w:type="pct"/>
            <w:vMerge w:val="restart"/>
            <w:shd w:val="clear" w:color="auto" w:fill="CCC0D9" w:themeFill="accent4" w:themeFillTint="66"/>
            <w:vAlign w:val="center"/>
          </w:tcPr>
          <w:p w14:paraId="676CED8E" w14:textId="3D7F4558" w:rsidR="005E2933" w:rsidRPr="005E2933" w:rsidRDefault="001A0E9C" w:rsidP="005E2933">
            <w:pPr>
              <w:spacing w:before="120" w:after="120" w:line="240" w:lineRule="auto"/>
              <w:jc w:val="left"/>
              <w:rPr>
                <w:szCs w:val="22"/>
                <w:lang w:val="id-ID"/>
              </w:rPr>
            </w:pPr>
            <w:r>
              <w:rPr>
                <w:szCs w:val="22"/>
                <w:lang w:val="en-AU"/>
              </w:rPr>
              <w:t xml:space="preserve">R8: </w:t>
            </w:r>
            <w:r w:rsidR="005E2933" w:rsidRPr="005E2933">
              <w:rPr>
                <w:szCs w:val="22"/>
                <w:lang w:val="en-AU"/>
              </w:rPr>
              <w:t xml:space="preserve">Finalise, socialise and implement an EP social inclusion strategy, including </w:t>
            </w:r>
            <w:r w:rsidR="005E2933" w:rsidRPr="005E2933">
              <w:rPr>
                <w:szCs w:val="22"/>
                <w:lang w:val="id-ID"/>
              </w:rPr>
              <w:t>a mechanism t</w:t>
            </w:r>
            <w:r w:rsidR="005E2933" w:rsidRPr="005E2933">
              <w:rPr>
                <w:szCs w:val="22"/>
                <w:lang w:val="en-AU"/>
              </w:rPr>
              <w:t>o assess its implementation</w:t>
            </w:r>
          </w:p>
        </w:tc>
        <w:tc>
          <w:tcPr>
            <w:tcW w:w="604" w:type="pct"/>
            <w:vMerge w:val="restart"/>
            <w:vAlign w:val="center"/>
          </w:tcPr>
          <w:p w14:paraId="58E242AA" w14:textId="77777777" w:rsidR="005E2933" w:rsidRPr="005E2933" w:rsidRDefault="005E2933" w:rsidP="005E2933">
            <w:pPr>
              <w:spacing w:before="120" w:after="120" w:line="240" w:lineRule="auto"/>
              <w:jc w:val="left"/>
              <w:rPr>
                <w:szCs w:val="22"/>
                <w:lang w:val="id-ID"/>
              </w:rPr>
            </w:pPr>
            <w:r w:rsidRPr="005E2933">
              <w:rPr>
                <w:szCs w:val="22"/>
                <w:lang w:val="id-ID"/>
              </w:rPr>
              <w:t>AusAID / POM</w:t>
            </w:r>
          </w:p>
        </w:tc>
      </w:tr>
      <w:tr w:rsidR="005E2933" w:rsidRPr="005E2933" w14:paraId="370141AA" w14:textId="77777777" w:rsidTr="00514102">
        <w:trPr>
          <w:trHeight w:val="567"/>
        </w:trPr>
        <w:tc>
          <w:tcPr>
            <w:tcW w:w="2198" w:type="pct"/>
            <w:tcBorders>
              <w:bottom w:val="single" w:sz="4" w:space="0" w:color="auto"/>
            </w:tcBorders>
            <w:vAlign w:val="center"/>
          </w:tcPr>
          <w:p w14:paraId="3F2B656E" w14:textId="7300D9BB" w:rsidR="005E2933" w:rsidRPr="005E2933" w:rsidRDefault="005E2933" w:rsidP="00835AD1">
            <w:pPr>
              <w:spacing w:before="120" w:after="120" w:line="240" w:lineRule="auto"/>
              <w:jc w:val="left"/>
              <w:rPr>
                <w:szCs w:val="22"/>
                <w:lang w:val="id-ID"/>
              </w:rPr>
            </w:pPr>
            <w:r w:rsidRPr="005E2933">
              <w:rPr>
                <w:szCs w:val="22"/>
                <w:lang w:val="id-ID"/>
              </w:rPr>
              <w:t>L</w:t>
            </w:r>
            <w:r w:rsidRPr="005E2933">
              <w:rPr>
                <w:szCs w:val="22"/>
                <w:lang w:val="en-AU"/>
              </w:rPr>
              <w:t>imited data is available on vulnerable groups, possibl</w:t>
            </w:r>
            <w:r w:rsidRPr="005E2933">
              <w:rPr>
                <w:szCs w:val="22"/>
                <w:lang w:val="id-ID"/>
              </w:rPr>
              <w:t>y</w:t>
            </w:r>
            <w:r w:rsidRPr="005E2933">
              <w:rPr>
                <w:szCs w:val="22"/>
                <w:lang w:val="en-AU"/>
              </w:rPr>
              <w:t xml:space="preserve"> reflecting low GoI priority</w:t>
            </w:r>
            <w:r w:rsidRPr="005E2933">
              <w:rPr>
                <w:szCs w:val="22"/>
                <w:lang w:val="id-ID"/>
              </w:rPr>
              <w:t xml:space="preserve"> </w:t>
            </w:r>
            <w:r w:rsidR="00DB5A52" w:rsidRPr="005E2933">
              <w:rPr>
                <w:szCs w:val="22"/>
                <w:lang w:val="id-ID"/>
              </w:rPr>
              <w:t xml:space="preserve">(see </w:t>
            </w:r>
            <w:r w:rsidR="00DB5A52">
              <w:rPr>
                <w:szCs w:val="22"/>
                <w:lang w:val="id-ID"/>
              </w:rPr>
              <w:t>§</w:t>
            </w:r>
            <w:r w:rsidR="00DB5A52">
              <w:rPr>
                <w:szCs w:val="22"/>
                <w:lang w:val="en-AU"/>
              </w:rPr>
              <w:t>4.2</w:t>
            </w:r>
            <w:r w:rsidR="00DB5A52" w:rsidRPr="005E2933">
              <w:rPr>
                <w:szCs w:val="22"/>
                <w:lang w:val="id-ID"/>
              </w:rPr>
              <w:t>)</w:t>
            </w:r>
          </w:p>
        </w:tc>
        <w:tc>
          <w:tcPr>
            <w:tcW w:w="2198" w:type="pct"/>
            <w:vMerge/>
            <w:tcBorders>
              <w:bottom w:val="single" w:sz="4" w:space="0" w:color="auto"/>
            </w:tcBorders>
            <w:shd w:val="clear" w:color="auto" w:fill="CCC0D9" w:themeFill="accent4" w:themeFillTint="66"/>
            <w:vAlign w:val="center"/>
          </w:tcPr>
          <w:p w14:paraId="7EDEFE1B" w14:textId="77777777" w:rsidR="005E2933" w:rsidRPr="005E2933" w:rsidRDefault="005E2933" w:rsidP="005E2933">
            <w:pPr>
              <w:spacing w:before="120" w:after="120" w:line="240" w:lineRule="auto"/>
              <w:jc w:val="left"/>
              <w:rPr>
                <w:szCs w:val="22"/>
                <w:lang w:val="en-AU"/>
              </w:rPr>
            </w:pPr>
          </w:p>
        </w:tc>
        <w:tc>
          <w:tcPr>
            <w:tcW w:w="604" w:type="pct"/>
            <w:vMerge/>
            <w:tcBorders>
              <w:bottom w:val="single" w:sz="4" w:space="0" w:color="auto"/>
            </w:tcBorders>
            <w:vAlign w:val="center"/>
          </w:tcPr>
          <w:p w14:paraId="4BC74725" w14:textId="77777777" w:rsidR="005E2933" w:rsidRPr="005E2933" w:rsidRDefault="005E2933" w:rsidP="005E2933">
            <w:pPr>
              <w:spacing w:before="120" w:after="120" w:line="240" w:lineRule="auto"/>
              <w:jc w:val="left"/>
              <w:rPr>
                <w:szCs w:val="22"/>
                <w:lang w:val="id-ID"/>
              </w:rPr>
            </w:pPr>
          </w:p>
        </w:tc>
      </w:tr>
      <w:tr w:rsidR="005E2933" w:rsidRPr="005E2933" w14:paraId="43F0940A" w14:textId="77777777" w:rsidTr="00514102">
        <w:trPr>
          <w:trHeight w:val="567"/>
        </w:trPr>
        <w:tc>
          <w:tcPr>
            <w:tcW w:w="5000" w:type="pct"/>
            <w:gridSpan w:val="3"/>
            <w:shd w:val="clear" w:color="auto" w:fill="DBE5F1" w:themeFill="accent1" w:themeFillTint="33"/>
            <w:vAlign w:val="center"/>
          </w:tcPr>
          <w:p w14:paraId="4640EDD3" w14:textId="77777777" w:rsidR="005E2933" w:rsidRPr="005E2933" w:rsidRDefault="005E2933" w:rsidP="005E2933">
            <w:pPr>
              <w:spacing w:before="120" w:after="120" w:line="240" w:lineRule="auto"/>
              <w:jc w:val="center"/>
              <w:rPr>
                <w:szCs w:val="22"/>
                <w:lang w:val="en-AU"/>
              </w:rPr>
            </w:pPr>
            <w:r w:rsidRPr="005E2933">
              <w:rPr>
                <w:szCs w:val="22"/>
                <w:lang w:val="id-ID"/>
              </w:rPr>
              <w:t>Management</w:t>
            </w:r>
          </w:p>
        </w:tc>
      </w:tr>
      <w:tr w:rsidR="005E2933" w:rsidRPr="005E2933" w14:paraId="0264430F" w14:textId="77777777" w:rsidTr="00514102">
        <w:trPr>
          <w:trHeight w:val="567"/>
        </w:trPr>
        <w:tc>
          <w:tcPr>
            <w:tcW w:w="2198" w:type="pct"/>
            <w:vAlign w:val="center"/>
          </w:tcPr>
          <w:p w14:paraId="7F6C1C0B" w14:textId="535B5CB8" w:rsidR="005E2933" w:rsidRPr="005E2933" w:rsidRDefault="005E2933" w:rsidP="00835AD1">
            <w:pPr>
              <w:spacing w:before="120" w:after="120" w:line="240" w:lineRule="auto"/>
              <w:jc w:val="left"/>
              <w:rPr>
                <w:szCs w:val="22"/>
                <w:lang w:val="en-AU"/>
              </w:rPr>
            </w:pPr>
            <w:r w:rsidRPr="005E2933">
              <w:rPr>
                <w:szCs w:val="22"/>
                <w:lang w:val="en-AU"/>
              </w:rPr>
              <w:t xml:space="preserve">AusAID’s senior management of the EP </w:t>
            </w:r>
            <w:r w:rsidRPr="005E2933">
              <w:rPr>
                <w:szCs w:val="22"/>
                <w:lang w:val="id-ID"/>
              </w:rPr>
              <w:t>i</w:t>
            </w:r>
            <w:r w:rsidRPr="005E2933">
              <w:rPr>
                <w:szCs w:val="22"/>
                <w:lang w:val="en-AU"/>
              </w:rPr>
              <w:t xml:space="preserve">s under-resourced </w:t>
            </w:r>
            <w:r w:rsidRPr="005E2933">
              <w:rPr>
                <w:szCs w:val="22"/>
                <w:lang w:val="id-ID"/>
              </w:rPr>
              <w:t xml:space="preserve">and this jeopardises the </w:t>
            </w:r>
            <w:r w:rsidRPr="005E2933">
              <w:rPr>
                <w:szCs w:val="22"/>
                <w:lang w:val="en-AU"/>
              </w:rPr>
              <w:t xml:space="preserve">quality and frequency of engagement with program </w:t>
            </w:r>
            <w:r w:rsidRPr="005E2933">
              <w:rPr>
                <w:szCs w:val="22"/>
                <w:lang w:val="id-ID"/>
              </w:rPr>
              <w:t xml:space="preserve">implementation </w:t>
            </w:r>
            <w:r w:rsidR="00636C45" w:rsidRPr="005E2933">
              <w:rPr>
                <w:szCs w:val="22"/>
                <w:lang w:val="id-ID"/>
              </w:rPr>
              <w:t xml:space="preserve">(see </w:t>
            </w:r>
            <w:r w:rsidR="00636C45">
              <w:rPr>
                <w:szCs w:val="22"/>
                <w:lang w:val="id-ID"/>
              </w:rPr>
              <w:t>§</w:t>
            </w:r>
            <w:r w:rsidR="00636C45">
              <w:rPr>
                <w:szCs w:val="22"/>
                <w:lang w:val="en-AU"/>
              </w:rPr>
              <w:t>3.2</w:t>
            </w:r>
            <w:r w:rsidR="00636C45" w:rsidRPr="005E2933">
              <w:rPr>
                <w:szCs w:val="22"/>
                <w:lang w:val="id-ID"/>
              </w:rPr>
              <w:t>)</w:t>
            </w:r>
          </w:p>
        </w:tc>
        <w:tc>
          <w:tcPr>
            <w:tcW w:w="2198" w:type="pct"/>
            <w:shd w:val="clear" w:color="auto" w:fill="FABF8F" w:themeFill="accent6" w:themeFillTint="99"/>
            <w:vAlign w:val="center"/>
          </w:tcPr>
          <w:p w14:paraId="717CDF15" w14:textId="569416D6" w:rsidR="005E2933" w:rsidRPr="005E2933" w:rsidRDefault="001A0E9C" w:rsidP="005E2933">
            <w:pPr>
              <w:keepNext/>
              <w:spacing w:before="120" w:after="120" w:line="240" w:lineRule="auto"/>
              <w:jc w:val="left"/>
              <w:rPr>
                <w:szCs w:val="22"/>
                <w:lang w:val="en-AU"/>
              </w:rPr>
            </w:pPr>
            <w:r>
              <w:rPr>
                <w:szCs w:val="22"/>
                <w:lang w:val="en-AU"/>
              </w:rPr>
              <w:t xml:space="preserve">R9: </w:t>
            </w:r>
            <w:r w:rsidR="005E2933" w:rsidRPr="005E2933">
              <w:rPr>
                <w:szCs w:val="22"/>
                <w:lang w:val="id-ID"/>
              </w:rPr>
              <w:t>S</w:t>
            </w:r>
            <w:proofErr w:type="spellStart"/>
            <w:r w:rsidR="005E2933" w:rsidRPr="005E2933">
              <w:rPr>
                <w:szCs w:val="22"/>
                <w:lang w:val="en-AU"/>
              </w:rPr>
              <w:t>trengthen</w:t>
            </w:r>
            <w:proofErr w:type="spellEnd"/>
            <w:r w:rsidR="005E2933" w:rsidRPr="005E2933">
              <w:rPr>
                <w:szCs w:val="22"/>
                <w:lang w:val="en-AU"/>
              </w:rPr>
              <w:t xml:space="preserve"> the management of the EP with increased AusAID senior management resource that has overall EP overview and responsibility</w:t>
            </w:r>
          </w:p>
        </w:tc>
        <w:tc>
          <w:tcPr>
            <w:tcW w:w="604" w:type="pct"/>
            <w:vAlign w:val="center"/>
          </w:tcPr>
          <w:p w14:paraId="5E872A07" w14:textId="77777777" w:rsidR="005E2933" w:rsidRPr="005E2933" w:rsidRDefault="005E2933" w:rsidP="005E2933">
            <w:pPr>
              <w:spacing w:before="120" w:after="120" w:line="240" w:lineRule="auto"/>
              <w:jc w:val="left"/>
              <w:rPr>
                <w:szCs w:val="22"/>
                <w:lang w:val="id-ID"/>
              </w:rPr>
            </w:pPr>
            <w:r w:rsidRPr="005E2933">
              <w:rPr>
                <w:szCs w:val="22"/>
                <w:lang w:val="id-ID"/>
              </w:rPr>
              <w:t>AusAID</w:t>
            </w:r>
          </w:p>
        </w:tc>
      </w:tr>
      <w:tr w:rsidR="005E2933" w:rsidRPr="005E2933" w14:paraId="08B6AC5E" w14:textId="77777777" w:rsidTr="00514102">
        <w:trPr>
          <w:trHeight w:val="567"/>
        </w:trPr>
        <w:tc>
          <w:tcPr>
            <w:tcW w:w="2198" w:type="pct"/>
            <w:tcBorders>
              <w:bottom w:val="single" w:sz="4" w:space="0" w:color="auto"/>
            </w:tcBorders>
            <w:vAlign w:val="center"/>
          </w:tcPr>
          <w:p w14:paraId="5B6D5B3B" w14:textId="0A074128" w:rsidR="005E2933" w:rsidRPr="005E2933" w:rsidRDefault="005E2933" w:rsidP="00835AD1">
            <w:pPr>
              <w:spacing w:before="120" w:after="120" w:line="240" w:lineRule="auto"/>
              <w:jc w:val="left"/>
              <w:rPr>
                <w:szCs w:val="22"/>
                <w:lang w:val="id-ID"/>
              </w:rPr>
            </w:pPr>
            <w:r w:rsidRPr="005E2933">
              <w:rPr>
                <w:szCs w:val="22"/>
                <w:lang w:val="id-ID"/>
              </w:rPr>
              <w:t>EP</w:t>
            </w:r>
            <w:r w:rsidRPr="005E2933">
              <w:rPr>
                <w:szCs w:val="22"/>
                <w:lang w:val="en-AU"/>
              </w:rPr>
              <w:t xml:space="preserve"> governance mechanisms (</w:t>
            </w:r>
            <w:r w:rsidRPr="005E2933">
              <w:rPr>
                <w:szCs w:val="22"/>
                <w:lang w:val="id-ID"/>
              </w:rPr>
              <w:t xml:space="preserve">GOG and </w:t>
            </w:r>
            <w:r w:rsidRPr="005E2933">
              <w:rPr>
                <w:szCs w:val="22"/>
                <w:lang w:val="en-AU"/>
              </w:rPr>
              <w:t>TOG</w:t>
            </w:r>
            <w:r w:rsidRPr="005E2933">
              <w:rPr>
                <w:szCs w:val="22"/>
                <w:lang w:val="id-ID"/>
              </w:rPr>
              <w:t>s</w:t>
            </w:r>
            <w:r w:rsidRPr="005E2933">
              <w:rPr>
                <w:szCs w:val="22"/>
                <w:lang w:val="en-AU"/>
              </w:rPr>
              <w:t>)</w:t>
            </w:r>
            <w:r w:rsidRPr="005E2933">
              <w:rPr>
                <w:szCs w:val="22"/>
                <w:lang w:val="id-ID"/>
              </w:rPr>
              <w:t xml:space="preserve"> </w:t>
            </w:r>
            <w:r w:rsidRPr="005E2933">
              <w:rPr>
                <w:szCs w:val="22"/>
                <w:lang w:val="en-AU"/>
              </w:rPr>
              <w:t>are not effectively utilised for performance assessment/management</w:t>
            </w:r>
            <w:r w:rsidRPr="005E2933">
              <w:rPr>
                <w:szCs w:val="22"/>
                <w:lang w:val="id-ID"/>
              </w:rPr>
              <w:t xml:space="preserve"> </w:t>
            </w:r>
            <w:r w:rsidR="00636C45" w:rsidRPr="005E2933">
              <w:rPr>
                <w:szCs w:val="22"/>
                <w:lang w:val="id-ID"/>
              </w:rPr>
              <w:t xml:space="preserve">(see </w:t>
            </w:r>
            <w:r w:rsidR="00636C45">
              <w:rPr>
                <w:szCs w:val="22"/>
                <w:lang w:val="id-ID"/>
              </w:rPr>
              <w:t>§</w:t>
            </w:r>
            <w:r w:rsidR="00636C45">
              <w:rPr>
                <w:szCs w:val="22"/>
                <w:lang w:val="en-AU"/>
              </w:rPr>
              <w:t>3.2</w:t>
            </w:r>
            <w:r w:rsidR="00636C45" w:rsidRPr="005E2933">
              <w:rPr>
                <w:szCs w:val="22"/>
                <w:lang w:val="id-ID"/>
              </w:rPr>
              <w:t>)</w:t>
            </w:r>
          </w:p>
        </w:tc>
        <w:tc>
          <w:tcPr>
            <w:tcW w:w="2198" w:type="pct"/>
            <w:tcBorders>
              <w:bottom w:val="single" w:sz="4" w:space="0" w:color="auto"/>
            </w:tcBorders>
            <w:shd w:val="clear" w:color="auto" w:fill="CCC0D9" w:themeFill="accent4" w:themeFillTint="66"/>
            <w:vAlign w:val="center"/>
          </w:tcPr>
          <w:p w14:paraId="0D51DCE7" w14:textId="0A3CEFBB" w:rsidR="005E2933" w:rsidRPr="005E2933" w:rsidRDefault="001A0E9C" w:rsidP="00002792">
            <w:pPr>
              <w:spacing w:before="120" w:after="120" w:line="240" w:lineRule="auto"/>
              <w:jc w:val="left"/>
              <w:rPr>
                <w:szCs w:val="22"/>
                <w:lang w:val="en-AU"/>
              </w:rPr>
            </w:pPr>
            <w:r>
              <w:rPr>
                <w:szCs w:val="22"/>
                <w:lang w:val="en-AU"/>
              </w:rPr>
              <w:t xml:space="preserve">R10: </w:t>
            </w:r>
            <w:r w:rsidR="00002792" w:rsidRPr="00002792">
              <w:rPr>
                <w:szCs w:val="22"/>
                <w:lang w:val="en-AU"/>
              </w:rPr>
              <w:t xml:space="preserve">Strengthen the EP governance mechanisms to ensure proactive management </w:t>
            </w:r>
            <w:r w:rsidR="00002792">
              <w:rPr>
                <w:szCs w:val="22"/>
                <w:lang w:val="en-AU"/>
              </w:rPr>
              <w:t xml:space="preserve">of </w:t>
            </w:r>
            <w:r w:rsidR="00002792" w:rsidRPr="00002792">
              <w:rPr>
                <w:szCs w:val="22"/>
                <w:lang w:val="en-AU"/>
              </w:rPr>
              <w:t>EP performance.</w:t>
            </w:r>
          </w:p>
        </w:tc>
        <w:tc>
          <w:tcPr>
            <w:tcW w:w="604" w:type="pct"/>
            <w:tcBorders>
              <w:bottom w:val="single" w:sz="4" w:space="0" w:color="auto"/>
            </w:tcBorders>
            <w:vAlign w:val="center"/>
          </w:tcPr>
          <w:p w14:paraId="189434B4" w14:textId="77777777" w:rsidR="005E2933" w:rsidRPr="005E2933" w:rsidRDefault="005E2933" w:rsidP="005E2933">
            <w:pPr>
              <w:spacing w:before="120" w:after="120" w:line="240" w:lineRule="auto"/>
              <w:jc w:val="left"/>
              <w:rPr>
                <w:szCs w:val="22"/>
                <w:lang w:val="id-ID"/>
              </w:rPr>
            </w:pPr>
            <w:r w:rsidRPr="005E2933">
              <w:rPr>
                <w:szCs w:val="22"/>
                <w:lang w:val="id-ID"/>
              </w:rPr>
              <w:t>GoI /AusAID</w:t>
            </w:r>
          </w:p>
        </w:tc>
      </w:tr>
      <w:tr w:rsidR="005E2933" w:rsidRPr="005E2933" w14:paraId="78B3FF0C" w14:textId="77777777" w:rsidTr="00514102">
        <w:trPr>
          <w:trHeight w:val="567"/>
        </w:trPr>
        <w:tc>
          <w:tcPr>
            <w:tcW w:w="5000" w:type="pct"/>
            <w:gridSpan w:val="3"/>
            <w:shd w:val="clear" w:color="auto" w:fill="DBE5F1" w:themeFill="accent1" w:themeFillTint="33"/>
            <w:vAlign w:val="center"/>
          </w:tcPr>
          <w:p w14:paraId="62FF56DB" w14:textId="77777777" w:rsidR="005E2933" w:rsidRPr="005E2933" w:rsidRDefault="005E2933" w:rsidP="005E2933">
            <w:pPr>
              <w:spacing w:before="120" w:after="120" w:line="240" w:lineRule="auto"/>
              <w:jc w:val="center"/>
              <w:rPr>
                <w:szCs w:val="22"/>
                <w:lang w:val="en-AU"/>
              </w:rPr>
            </w:pPr>
            <w:r w:rsidRPr="005E2933">
              <w:rPr>
                <w:szCs w:val="22"/>
                <w:lang w:val="id-ID"/>
              </w:rPr>
              <w:t>Performance Oversight and Monitoring</w:t>
            </w:r>
          </w:p>
        </w:tc>
      </w:tr>
      <w:tr w:rsidR="005E2933" w:rsidRPr="005E2933" w14:paraId="26137737" w14:textId="77777777" w:rsidTr="00514102">
        <w:trPr>
          <w:trHeight w:val="567"/>
        </w:trPr>
        <w:tc>
          <w:tcPr>
            <w:tcW w:w="2198" w:type="pct"/>
            <w:vAlign w:val="center"/>
          </w:tcPr>
          <w:p w14:paraId="2C4C7A5A" w14:textId="39FBC026" w:rsidR="005E2933" w:rsidRPr="005E2933" w:rsidRDefault="005E2933" w:rsidP="00835AD1">
            <w:pPr>
              <w:spacing w:before="120" w:after="120" w:line="240" w:lineRule="auto"/>
              <w:jc w:val="left"/>
              <w:rPr>
                <w:szCs w:val="22"/>
                <w:lang w:val="id-ID"/>
              </w:rPr>
            </w:pPr>
            <w:r w:rsidRPr="005E2933">
              <w:rPr>
                <w:szCs w:val="22"/>
                <w:lang w:val="id-ID"/>
              </w:rPr>
              <w:t xml:space="preserve">The lack of identifed milestones/targets along the pathway of expected changes makes it difficult to judge progress </w:t>
            </w:r>
            <w:r w:rsidR="00636C45" w:rsidRPr="005E2933">
              <w:rPr>
                <w:szCs w:val="22"/>
                <w:lang w:val="id-ID"/>
              </w:rPr>
              <w:t xml:space="preserve">(see </w:t>
            </w:r>
            <w:r w:rsidR="00636C45">
              <w:rPr>
                <w:szCs w:val="22"/>
                <w:lang w:val="id-ID"/>
              </w:rPr>
              <w:t>§</w:t>
            </w:r>
            <w:r w:rsidR="00636C45">
              <w:rPr>
                <w:szCs w:val="22"/>
                <w:lang w:val="en-AU"/>
              </w:rPr>
              <w:t>2.0</w:t>
            </w:r>
            <w:r w:rsidR="00636C45" w:rsidRPr="005E2933">
              <w:rPr>
                <w:szCs w:val="22"/>
                <w:lang w:val="id-ID"/>
              </w:rPr>
              <w:t>)</w:t>
            </w:r>
          </w:p>
        </w:tc>
        <w:tc>
          <w:tcPr>
            <w:tcW w:w="2198" w:type="pct"/>
            <w:shd w:val="clear" w:color="auto" w:fill="FABF8F" w:themeFill="accent6" w:themeFillTint="99"/>
            <w:vAlign w:val="center"/>
          </w:tcPr>
          <w:p w14:paraId="0CFEA671" w14:textId="5EC58032" w:rsidR="005E2933" w:rsidRPr="005E2933" w:rsidRDefault="001A0E9C" w:rsidP="00636C45">
            <w:pPr>
              <w:keepNext/>
              <w:spacing w:before="120" w:after="120" w:line="240" w:lineRule="auto"/>
              <w:jc w:val="left"/>
              <w:rPr>
                <w:szCs w:val="22"/>
                <w:lang w:val="id-ID"/>
              </w:rPr>
            </w:pPr>
            <w:r>
              <w:rPr>
                <w:szCs w:val="22"/>
                <w:lang w:val="en-AU"/>
              </w:rPr>
              <w:t xml:space="preserve">R11: </w:t>
            </w:r>
            <w:r w:rsidR="005E2933" w:rsidRPr="00636C45">
              <w:rPr>
                <w:szCs w:val="22"/>
                <w:lang w:val="id-ID"/>
              </w:rPr>
              <w:t>Consolidate the EP theory of change, t</w:t>
            </w:r>
            <w:r w:rsidR="005E2933" w:rsidRPr="005E2933">
              <w:rPr>
                <w:szCs w:val="22"/>
                <w:lang w:val="id-ID"/>
              </w:rPr>
              <w:t>o include:</w:t>
            </w:r>
          </w:p>
          <w:p w14:paraId="2043E511" w14:textId="77777777" w:rsidR="005E2933" w:rsidRPr="00636C45" w:rsidRDefault="005E2933" w:rsidP="00636C45">
            <w:pPr>
              <w:keepNext/>
              <w:numPr>
                <w:ilvl w:val="0"/>
                <w:numId w:val="44"/>
              </w:numPr>
              <w:spacing w:before="120" w:after="120" w:line="240" w:lineRule="auto"/>
              <w:contextualSpacing/>
              <w:jc w:val="left"/>
              <w:rPr>
                <w:szCs w:val="22"/>
                <w:lang w:val="id-ID"/>
              </w:rPr>
            </w:pPr>
            <w:r w:rsidRPr="00636C45">
              <w:rPr>
                <w:szCs w:val="22"/>
                <w:lang w:val="id-ID"/>
              </w:rPr>
              <w:t xml:space="preserve">Clear assumptions about each step of the EP logic </w:t>
            </w:r>
          </w:p>
          <w:p w14:paraId="67B77080" w14:textId="77777777" w:rsidR="005E2933" w:rsidRPr="00636C45" w:rsidRDefault="005E2933" w:rsidP="00636C45">
            <w:pPr>
              <w:keepNext/>
              <w:numPr>
                <w:ilvl w:val="0"/>
                <w:numId w:val="44"/>
              </w:numPr>
              <w:spacing w:before="120" w:after="120" w:line="240" w:lineRule="auto"/>
              <w:contextualSpacing/>
              <w:jc w:val="left"/>
              <w:rPr>
                <w:szCs w:val="22"/>
                <w:lang w:val="id-ID"/>
              </w:rPr>
            </w:pPr>
            <w:r w:rsidRPr="00636C45">
              <w:rPr>
                <w:szCs w:val="22"/>
                <w:lang w:val="id-ID"/>
              </w:rPr>
              <w:t>Clear and measurable results expectations for each step of the EP logic through the identification of performance milestones</w:t>
            </w:r>
          </w:p>
        </w:tc>
        <w:tc>
          <w:tcPr>
            <w:tcW w:w="604" w:type="pct"/>
            <w:vAlign w:val="center"/>
          </w:tcPr>
          <w:p w14:paraId="0363C89A" w14:textId="77777777" w:rsidR="005E2933" w:rsidRPr="005E2933" w:rsidRDefault="005E2933" w:rsidP="005E2933">
            <w:pPr>
              <w:spacing w:before="120" w:after="120" w:line="240" w:lineRule="auto"/>
              <w:jc w:val="left"/>
              <w:rPr>
                <w:szCs w:val="22"/>
                <w:lang w:val="id-ID"/>
              </w:rPr>
            </w:pPr>
            <w:r w:rsidRPr="005E2933">
              <w:rPr>
                <w:szCs w:val="22"/>
                <w:lang w:val="id-ID"/>
              </w:rPr>
              <w:t>POM / AusAID / SSQ / GoI</w:t>
            </w:r>
          </w:p>
        </w:tc>
      </w:tr>
      <w:tr w:rsidR="005E2933" w:rsidRPr="005E2933" w14:paraId="7CDE383E" w14:textId="77777777" w:rsidTr="00514102">
        <w:trPr>
          <w:trHeight w:val="567"/>
        </w:trPr>
        <w:tc>
          <w:tcPr>
            <w:tcW w:w="2198" w:type="pct"/>
            <w:vAlign w:val="center"/>
          </w:tcPr>
          <w:p w14:paraId="53D14675" w14:textId="1DCF6FAB" w:rsidR="005E2933" w:rsidRPr="005E2933" w:rsidRDefault="005E2933" w:rsidP="00835AD1">
            <w:pPr>
              <w:spacing w:before="120" w:after="120" w:line="240" w:lineRule="auto"/>
              <w:jc w:val="left"/>
              <w:rPr>
                <w:szCs w:val="22"/>
                <w:lang w:val="id-ID"/>
              </w:rPr>
            </w:pPr>
            <w:r w:rsidRPr="005E2933">
              <w:rPr>
                <w:szCs w:val="22"/>
                <w:lang w:val="id-ID"/>
              </w:rPr>
              <w:t xml:space="preserve">There is a lack of identification of </w:t>
            </w:r>
            <w:r w:rsidRPr="005E2933">
              <w:rPr>
                <w:szCs w:val="22"/>
                <w:lang w:val="en-AU"/>
              </w:rPr>
              <w:t xml:space="preserve">threats or risks to sustained </w:t>
            </w:r>
            <w:r w:rsidRPr="005E2933">
              <w:rPr>
                <w:szCs w:val="22"/>
                <w:lang w:val="id-ID"/>
              </w:rPr>
              <w:t xml:space="preserve">EP </w:t>
            </w:r>
            <w:r w:rsidRPr="005E2933">
              <w:rPr>
                <w:szCs w:val="22"/>
                <w:lang w:val="en-AU"/>
              </w:rPr>
              <w:t>benefits</w:t>
            </w:r>
            <w:r w:rsidRPr="005E2933">
              <w:rPr>
                <w:szCs w:val="22"/>
                <w:lang w:val="id-ID"/>
              </w:rPr>
              <w:t xml:space="preserve"> </w:t>
            </w:r>
            <w:r w:rsidR="00636C45" w:rsidRPr="005E2933">
              <w:rPr>
                <w:szCs w:val="22"/>
                <w:lang w:val="id-ID"/>
              </w:rPr>
              <w:t xml:space="preserve">(see </w:t>
            </w:r>
            <w:r w:rsidR="00636C45">
              <w:rPr>
                <w:szCs w:val="22"/>
                <w:lang w:val="id-ID"/>
              </w:rPr>
              <w:t>§</w:t>
            </w:r>
            <w:r w:rsidR="00636C45">
              <w:rPr>
                <w:szCs w:val="22"/>
                <w:lang w:val="en-AU"/>
              </w:rPr>
              <w:t>3.3</w:t>
            </w:r>
            <w:r w:rsidR="00636C45" w:rsidRPr="005E2933">
              <w:rPr>
                <w:szCs w:val="22"/>
                <w:lang w:val="id-ID"/>
              </w:rPr>
              <w:t>)</w:t>
            </w:r>
          </w:p>
        </w:tc>
        <w:tc>
          <w:tcPr>
            <w:tcW w:w="2198" w:type="pct"/>
            <w:shd w:val="clear" w:color="auto" w:fill="CCC0D9" w:themeFill="accent4" w:themeFillTint="66"/>
            <w:vAlign w:val="center"/>
          </w:tcPr>
          <w:p w14:paraId="1E88C94D" w14:textId="59D3DEE5" w:rsidR="005E2933" w:rsidRPr="005E2933" w:rsidRDefault="001A0E9C" w:rsidP="005E2933">
            <w:pPr>
              <w:spacing w:before="120" w:after="120" w:line="240" w:lineRule="auto"/>
              <w:jc w:val="left"/>
              <w:rPr>
                <w:szCs w:val="22"/>
                <w:lang w:val="id-ID"/>
              </w:rPr>
            </w:pPr>
            <w:r>
              <w:rPr>
                <w:szCs w:val="22"/>
                <w:lang w:val="en-AU"/>
              </w:rPr>
              <w:t xml:space="preserve">R12: </w:t>
            </w:r>
            <w:r w:rsidR="005E2933" w:rsidRPr="005E2933">
              <w:rPr>
                <w:szCs w:val="22"/>
                <w:lang w:val="en-AU"/>
              </w:rPr>
              <w:t>Consolidate the EP theory of change, t</w:t>
            </w:r>
            <w:r w:rsidR="005E2933" w:rsidRPr="005E2933">
              <w:rPr>
                <w:szCs w:val="22"/>
                <w:lang w:val="id-ID"/>
              </w:rPr>
              <w:t xml:space="preserve">o include a </w:t>
            </w:r>
            <w:r w:rsidR="005E2933" w:rsidRPr="005E2933">
              <w:rPr>
                <w:szCs w:val="22"/>
                <w:lang w:val="en-AU"/>
              </w:rPr>
              <w:t xml:space="preserve">comprehensive risk register at EP level </w:t>
            </w:r>
          </w:p>
        </w:tc>
        <w:tc>
          <w:tcPr>
            <w:tcW w:w="604" w:type="pct"/>
            <w:vAlign w:val="center"/>
          </w:tcPr>
          <w:p w14:paraId="009F5DCD" w14:textId="77777777" w:rsidR="005E2933" w:rsidRPr="005E2933" w:rsidRDefault="005E2933" w:rsidP="005E2933">
            <w:pPr>
              <w:spacing w:before="120" w:after="120" w:line="240" w:lineRule="auto"/>
              <w:jc w:val="left"/>
              <w:rPr>
                <w:szCs w:val="22"/>
                <w:lang w:val="en-AU"/>
              </w:rPr>
            </w:pPr>
            <w:r w:rsidRPr="005E2933">
              <w:rPr>
                <w:szCs w:val="22"/>
                <w:lang w:val="id-ID"/>
              </w:rPr>
              <w:t>AusAID / POM</w:t>
            </w:r>
          </w:p>
        </w:tc>
      </w:tr>
    </w:tbl>
    <w:p w14:paraId="74209A42" w14:textId="77777777" w:rsidR="005E2933" w:rsidRPr="005E2933" w:rsidRDefault="005E2933" w:rsidP="005E2933">
      <w:pPr>
        <w:spacing w:before="120" w:after="120"/>
        <w:jc w:val="left"/>
        <w:rPr>
          <w:rFonts w:asciiTheme="minorHAnsi" w:eastAsiaTheme="minorHAnsi" w:hAnsiTheme="minorHAnsi" w:cstheme="minorBidi"/>
          <w:b/>
          <w:szCs w:val="22"/>
          <w:lang w:val="id-ID" w:eastAsia="en-US"/>
        </w:rPr>
      </w:pPr>
    </w:p>
    <w:p w14:paraId="4C5BCC02" w14:textId="2E70DBDA" w:rsidR="005E2933" w:rsidRPr="00514102" w:rsidRDefault="005E2933" w:rsidP="00514102">
      <w:pPr>
        <w:pStyle w:val="Caption"/>
      </w:pPr>
      <w:r>
        <w:br w:type="page"/>
      </w:r>
      <w:bookmarkStart w:id="48" w:name="_Ref345052488"/>
      <w:r w:rsidRPr="00AF1D30">
        <w:lastRenderedPageBreak/>
        <w:t xml:space="preserve">Table </w:t>
      </w:r>
      <w:r w:rsidRPr="00AF1D30">
        <w:fldChar w:fldCharType="begin"/>
      </w:r>
      <w:r w:rsidRPr="00AF1D30">
        <w:instrText xml:space="preserve"> SEQ Table \* ARABIC </w:instrText>
      </w:r>
      <w:r w:rsidRPr="00AF1D30">
        <w:fldChar w:fldCharType="separate"/>
      </w:r>
      <w:r>
        <w:t>7</w:t>
      </w:r>
      <w:r w:rsidRPr="00AF1D30">
        <w:fldChar w:fldCharType="end"/>
      </w:r>
      <w:bookmarkEnd w:id="48"/>
      <w:r w:rsidRPr="00514102">
        <w:t>: Implications at Component level</w:t>
      </w:r>
    </w:p>
    <w:p w14:paraId="21CAC566" w14:textId="2B49863E" w:rsidR="005E2933" w:rsidRPr="005E2933" w:rsidRDefault="005E2933" w:rsidP="005E2933">
      <w:pPr>
        <w:spacing w:before="120" w:after="120"/>
        <w:ind w:left="720"/>
        <w:contextualSpacing/>
        <w:jc w:val="left"/>
        <w:rPr>
          <w:b/>
          <w:lang w:val="id-ID"/>
        </w:rPr>
      </w:pPr>
    </w:p>
    <w:tbl>
      <w:tblPr>
        <w:tblStyle w:val="TableGrid3"/>
        <w:tblW w:w="5000" w:type="pct"/>
        <w:tblLook w:val="04A0" w:firstRow="1" w:lastRow="0" w:firstColumn="1" w:lastColumn="0" w:noHBand="0" w:noVBand="1"/>
      </w:tblPr>
      <w:tblGrid>
        <w:gridCol w:w="6158"/>
        <w:gridCol w:w="6161"/>
        <w:gridCol w:w="1857"/>
      </w:tblGrid>
      <w:tr w:rsidR="005E2933" w:rsidRPr="005E2933" w14:paraId="366F498B" w14:textId="77777777" w:rsidTr="00514102">
        <w:trPr>
          <w:trHeight w:val="567"/>
          <w:tblHeader/>
        </w:trPr>
        <w:tc>
          <w:tcPr>
            <w:tcW w:w="2172" w:type="pct"/>
            <w:tcBorders>
              <w:bottom w:val="single" w:sz="4" w:space="0" w:color="auto"/>
            </w:tcBorders>
            <w:shd w:val="clear" w:color="auto" w:fill="1F497D" w:themeFill="text2"/>
            <w:vAlign w:val="center"/>
          </w:tcPr>
          <w:p w14:paraId="7B03916C" w14:textId="77777777" w:rsidR="005E2933" w:rsidRPr="005E2933" w:rsidRDefault="005E2933" w:rsidP="005E2933">
            <w:pPr>
              <w:spacing w:before="120" w:after="120" w:line="240" w:lineRule="auto"/>
              <w:ind w:left="360"/>
              <w:jc w:val="center"/>
              <w:rPr>
                <w:color w:val="FFFFFF" w:themeColor="background1"/>
                <w:szCs w:val="22"/>
                <w:lang w:val="en-AU"/>
              </w:rPr>
            </w:pPr>
            <w:r w:rsidRPr="005E2933">
              <w:rPr>
                <w:color w:val="FFFFFF" w:themeColor="background1"/>
                <w:szCs w:val="22"/>
                <w:lang w:val="id-ID"/>
              </w:rPr>
              <w:t>Finding</w:t>
            </w:r>
            <w:r w:rsidRPr="005E2933">
              <w:rPr>
                <w:color w:val="FFFFFF" w:themeColor="background1"/>
                <w:szCs w:val="22"/>
                <w:lang w:val="en-AU"/>
              </w:rPr>
              <w:t>s</w:t>
            </w:r>
          </w:p>
        </w:tc>
        <w:tc>
          <w:tcPr>
            <w:tcW w:w="2173" w:type="pct"/>
            <w:tcBorders>
              <w:bottom w:val="single" w:sz="4" w:space="0" w:color="auto"/>
            </w:tcBorders>
            <w:shd w:val="clear" w:color="auto" w:fill="1F497D" w:themeFill="text2"/>
            <w:vAlign w:val="center"/>
          </w:tcPr>
          <w:p w14:paraId="52EEE55A" w14:textId="77777777" w:rsidR="005E2933" w:rsidRPr="005E2933" w:rsidRDefault="005E2933" w:rsidP="005E2933">
            <w:pPr>
              <w:spacing w:before="120" w:after="120" w:line="240" w:lineRule="auto"/>
              <w:ind w:left="360"/>
              <w:jc w:val="center"/>
              <w:rPr>
                <w:color w:val="FFFFFF" w:themeColor="background1"/>
                <w:szCs w:val="22"/>
                <w:lang w:val="en-AU"/>
              </w:rPr>
            </w:pPr>
            <w:r w:rsidRPr="005E2933">
              <w:rPr>
                <w:color w:val="FFFFFF" w:themeColor="background1"/>
                <w:szCs w:val="22"/>
                <w:lang w:val="en-AU"/>
              </w:rPr>
              <w:t>Recommendations</w:t>
            </w:r>
          </w:p>
        </w:tc>
        <w:tc>
          <w:tcPr>
            <w:tcW w:w="655" w:type="pct"/>
            <w:tcBorders>
              <w:bottom w:val="single" w:sz="4" w:space="0" w:color="auto"/>
            </w:tcBorders>
            <w:shd w:val="clear" w:color="auto" w:fill="1F497D" w:themeFill="text2"/>
            <w:vAlign w:val="center"/>
          </w:tcPr>
          <w:p w14:paraId="31E1971F" w14:textId="77777777" w:rsidR="005E2933" w:rsidRPr="005E2933" w:rsidRDefault="005E2933" w:rsidP="00D67C18">
            <w:pPr>
              <w:spacing w:before="120" w:after="120" w:line="240" w:lineRule="auto"/>
              <w:jc w:val="center"/>
              <w:rPr>
                <w:color w:val="FFFFFF" w:themeColor="background1"/>
                <w:szCs w:val="22"/>
                <w:lang w:val="en-AU"/>
              </w:rPr>
            </w:pPr>
            <w:r w:rsidRPr="005E2933">
              <w:rPr>
                <w:color w:val="FFFFFF" w:themeColor="background1"/>
                <w:szCs w:val="22"/>
                <w:lang w:val="en-AU"/>
              </w:rPr>
              <w:t>Prime Responsibility</w:t>
            </w:r>
          </w:p>
        </w:tc>
      </w:tr>
      <w:tr w:rsidR="005E2933" w:rsidRPr="005E2933" w14:paraId="51641373" w14:textId="77777777" w:rsidTr="00135B2D">
        <w:trPr>
          <w:trHeight w:val="567"/>
        </w:trPr>
        <w:tc>
          <w:tcPr>
            <w:tcW w:w="5000" w:type="pct"/>
            <w:gridSpan w:val="3"/>
            <w:shd w:val="clear" w:color="auto" w:fill="DBE5F1" w:themeFill="accent1" w:themeFillTint="33"/>
            <w:vAlign w:val="center"/>
          </w:tcPr>
          <w:p w14:paraId="666525B2" w14:textId="77777777" w:rsidR="005E2933" w:rsidRPr="005E2933" w:rsidRDefault="005E2933" w:rsidP="005E2933">
            <w:pPr>
              <w:spacing w:before="120" w:after="120" w:line="240" w:lineRule="auto"/>
              <w:ind w:left="360"/>
              <w:jc w:val="center"/>
              <w:rPr>
                <w:szCs w:val="22"/>
                <w:lang w:val="en-AU"/>
              </w:rPr>
            </w:pPr>
            <w:r w:rsidRPr="005E2933">
              <w:rPr>
                <w:szCs w:val="22"/>
                <w:lang w:val="id-ID"/>
              </w:rPr>
              <w:t>Component 1</w:t>
            </w:r>
          </w:p>
        </w:tc>
      </w:tr>
      <w:tr w:rsidR="005E2933" w:rsidRPr="005E2933" w14:paraId="3C8012A6" w14:textId="77777777" w:rsidTr="00135B2D">
        <w:trPr>
          <w:trHeight w:val="567"/>
        </w:trPr>
        <w:tc>
          <w:tcPr>
            <w:tcW w:w="2172" w:type="pct"/>
            <w:vAlign w:val="center"/>
          </w:tcPr>
          <w:p w14:paraId="074B114D" w14:textId="357E6F33" w:rsidR="005E2933" w:rsidRPr="005E2933" w:rsidRDefault="005E2933" w:rsidP="00835AD1">
            <w:pPr>
              <w:spacing w:before="120" w:after="120" w:line="240" w:lineRule="auto"/>
              <w:jc w:val="left"/>
              <w:rPr>
                <w:szCs w:val="22"/>
                <w:lang w:val="id-ID"/>
              </w:rPr>
            </w:pPr>
            <w:r w:rsidRPr="005E2933">
              <w:rPr>
                <w:rFonts w:cs="Calibri"/>
                <w:szCs w:val="22"/>
                <w:lang w:val="id-ID"/>
              </w:rPr>
              <w:t>B</w:t>
            </w:r>
            <w:r w:rsidRPr="005E2933">
              <w:rPr>
                <w:szCs w:val="22"/>
                <w:lang w:val="en-AU"/>
              </w:rPr>
              <w:t xml:space="preserve">uilding additional </w:t>
            </w:r>
            <w:r w:rsidR="00636C45">
              <w:rPr>
                <w:szCs w:val="22"/>
                <w:lang w:val="en-AU"/>
              </w:rPr>
              <w:t>and/</w:t>
            </w:r>
            <w:r w:rsidRPr="005E2933">
              <w:rPr>
                <w:szCs w:val="22"/>
                <w:lang w:val="en-AU"/>
              </w:rPr>
              <w:t>or renovating current classrooms in existing facilities offer effective alternatives to achiev</w:t>
            </w:r>
            <w:r w:rsidR="00636C45">
              <w:rPr>
                <w:szCs w:val="22"/>
                <w:lang w:val="en-AU"/>
              </w:rPr>
              <w:t>ing</w:t>
            </w:r>
            <w:r w:rsidRPr="005E2933">
              <w:rPr>
                <w:szCs w:val="22"/>
                <w:lang w:val="en-AU"/>
              </w:rPr>
              <w:t xml:space="preserve"> the objective</w:t>
            </w:r>
            <w:r w:rsidR="00636C45">
              <w:rPr>
                <w:szCs w:val="22"/>
                <w:lang w:val="en-AU"/>
              </w:rPr>
              <w:t>s</w:t>
            </w:r>
            <w:r w:rsidRPr="005E2933">
              <w:rPr>
                <w:szCs w:val="22"/>
                <w:lang w:val="id-ID"/>
              </w:rPr>
              <w:t xml:space="preserve"> of C1 </w:t>
            </w:r>
            <w:r w:rsidR="00636C45" w:rsidRPr="005E2933">
              <w:rPr>
                <w:szCs w:val="22"/>
                <w:lang w:val="id-ID"/>
              </w:rPr>
              <w:t xml:space="preserve">(see </w:t>
            </w:r>
            <w:r w:rsidR="00636C45">
              <w:rPr>
                <w:szCs w:val="22"/>
                <w:lang w:val="id-ID"/>
              </w:rPr>
              <w:t>§</w:t>
            </w:r>
            <w:r w:rsidR="00636C45">
              <w:rPr>
                <w:szCs w:val="22"/>
                <w:lang w:val="en-AU"/>
              </w:rPr>
              <w:t>2.2</w:t>
            </w:r>
            <w:r w:rsidR="00636C45" w:rsidRPr="005E2933">
              <w:rPr>
                <w:szCs w:val="22"/>
                <w:lang w:val="id-ID"/>
              </w:rPr>
              <w:t>)</w:t>
            </w:r>
          </w:p>
        </w:tc>
        <w:tc>
          <w:tcPr>
            <w:tcW w:w="2173" w:type="pct"/>
            <w:shd w:val="clear" w:color="auto" w:fill="CCC0D9" w:themeFill="accent4" w:themeFillTint="66"/>
            <w:vAlign w:val="center"/>
          </w:tcPr>
          <w:p w14:paraId="65E36760" w14:textId="301AE423" w:rsidR="005E2933" w:rsidRPr="005E2933" w:rsidRDefault="001A0E9C" w:rsidP="005E2933">
            <w:pPr>
              <w:keepNext/>
              <w:spacing w:before="120" w:after="120" w:line="240" w:lineRule="auto"/>
              <w:jc w:val="left"/>
              <w:rPr>
                <w:szCs w:val="22"/>
                <w:lang w:val="id-ID"/>
              </w:rPr>
            </w:pPr>
            <w:r>
              <w:rPr>
                <w:szCs w:val="22"/>
                <w:lang w:val="en-AU"/>
              </w:rPr>
              <w:t xml:space="preserve">R13: </w:t>
            </w:r>
            <w:r w:rsidR="005E2933" w:rsidRPr="005E2933">
              <w:rPr>
                <w:szCs w:val="22"/>
                <w:lang w:val="id-ID"/>
              </w:rPr>
              <w:t>Diversify C1 approach to access improvement while keeping the focus on infrastructure provision, e.g. supporting school rehabilitation and/or extension programs.</w:t>
            </w:r>
          </w:p>
        </w:tc>
        <w:tc>
          <w:tcPr>
            <w:tcW w:w="655" w:type="pct"/>
            <w:vAlign w:val="center"/>
          </w:tcPr>
          <w:p w14:paraId="6001B4C0" w14:textId="060910B7" w:rsidR="005E2933" w:rsidRPr="005E2933" w:rsidRDefault="005E2933" w:rsidP="005E2933">
            <w:pPr>
              <w:spacing w:before="120" w:after="120" w:line="240" w:lineRule="auto"/>
              <w:jc w:val="left"/>
              <w:rPr>
                <w:szCs w:val="22"/>
                <w:lang w:val="id-ID"/>
              </w:rPr>
            </w:pPr>
            <w:r w:rsidRPr="005E2933">
              <w:rPr>
                <w:szCs w:val="22"/>
                <w:lang w:val="id-ID"/>
              </w:rPr>
              <w:t>AusAID</w:t>
            </w:r>
            <w:r w:rsidR="00597821">
              <w:rPr>
                <w:szCs w:val="22"/>
                <w:lang w:val="id-ID"/>
              </w:rPr>
              <w:t xml:space="preserve"> </w:t>
            </w:r>
            <w:r w:rsidRPr="005E2933">
              <w:rPr>
                <w:szCs w:val="22"/>
                <w:lang w:val="id-ID"/>
              </w:rPr>
              <w:t>/ GoI</w:t>
            </w:r>
          </w:p>
        </w:tc>
      </w:tr>
      <w:tr w:rsidR="005E2933" w:rsidRPr="005E2933" w14:paraId="2703F2C2" w14:textId="77777777" w:rsidTr="00135B2D">
        <w:trPr>
          <w:trHeight w:val="567"/>
        </w:trPr>
        <w:tc>
          <w:tcPr>
            <w:tcW w:w="2172" w:type="pct"/>
            <w:vAlign w:val="center"/>
          </w:tcPr>
          <w:p w14:paraId="026EB3FF" w14:textId="21400573" w:rsidR="005E2933" w:rsidRPr="005E2933" w:rsidRDefault="005E2933" w:rsidP="00835AD1">
            <w:pPr>
              <w:spacing w:before="120" w:after="120" w:line="240" w:lineRule="auto"/>
              <w:jc w:val="left"/>
              <w:rPr>
                <w:szCs w:val="22"/>
                <w:lang w:val="id-ID"/>
              </w:rPr>
            </w:pPr>
            <w:r w:rsidRPr="005E2933">
              <w:rPr>
                <w:szCs w:val="22"/>
                <w:lang w:val="id-ID"/>
              </w:rPr>
              <w:t>P</w:t>
            </w:r>
            <w:proofErr w:type="spellStart"/>
            <w:r w:rsidRPr="005E2933">
              <w:rPr>
                <w:szCs w:val="22"/>
                <w:lang w:val="en-AU"/>
              </w:rPr>
              <w:t>ossible</w:t>
            </w:r>
            <w:proofErr w:type="spellEnd"/>
            <w:r w:rsidRPr="005E2933">
              <w:rPr>
                <w:szCs w:val="22"/>
                <w:lang w:val="en-AU"/>
              </w:rPr>
              <w:t xml:space="preserve"> delays in subsequent </w:t>
            </w:r>
            <w:r w:rsidRPr="005E2933">
              <w:rPr>
                <w:szCs w:val="22"/>
                <w:lang w:val="id-ID"/>
              </w:rPr>
              <w:t>construction cycle</w:t>
            </w:r>
            <w:r w:rsidR="00636C45">
              <w:rPr>
                <w:szCs w:val="22"/>
                <w:lang w:val="en-AU"/>
              </w:rPr>
              <w:t>s</w:t>
            </w:r>
            <w:r w:rsidRPr="005E2933">
              <w:rPr>
                <w:szCs w:val="22"/>
                <w:lang w:val="id-ID"/>
              </w:rPr>
              <w:t xml:space="preserve"> under C1 </w:t>
            </w:r>
            <w:r w:rsidRPr="005E2933">
              <w:rPr>
                <w:szCs w:val="22"/>
                <w:lang w:val="en-AU"/>
              </w:rPr>
              <w:t>represent a threat to the attainment of the end-of-program target</w:t>
            </w:r>
            <w:r w:rsidR="00636C45">
              <w:rPr>
                <w:szCs w:val="22"/>
                <w:lang w:val="en-AU"/>
              </w:rPr>
              <w:t xml:space="preserve"> </w:t>
            </w:r>
            <w:r w:rsidR="00636C45" w:rsidRPr="005E2933">
              <w:rPr>
                <w:szCs w:val="22"/>
                <w:lang w:val="id-ID"/>
              </w:rPr>
              <w:t xml:space="preserve">(see </w:t>
            </w:r>
            <w:r w:rsidR="00636C45">
              <w:rPr>
                <w:szCs w:val="22"/>
                <w:lang w:val="id-ID"/>
              </w:rPr>
              <w:t>§</w:t>
            </w:r>
            <w:r w:rsidR="00636C45">
              <w:rPr>
                <w:szCs w:val="22"/>
                <w:lang w:val="en-AU"/>
              </w:rPr>
              <w:t>2.2</w:t>
            </w:r>
            <w:r w:rsidR="00636C45" w:rsidRPr="005E2933">
              <w:rPr>
                <w:szCs w:val="22"/>
                <w:lang w:val="id-ID"/>
              </w:rPr>
              <w:t>)</w:t>
            </w:r>
          </w:p>
        </w:tc>
        <w:tc>
          <w:tcPr>
            <w:tcW w:w="2173" w:type="pct"/>
            <w:shd w:val="clear" w:color="auto" w:fill="CCC0D9" w:themeFill="accent4" w:themeFillTint="66"/>
            <w:vAlign w:val="center"/>
          </w:tcPr>
          <w:p w14:paraId="6BFBF109" w14:textId="12AEF09A" w:rsidR="005E2933" w:rsidRPr="005E2933" w:rsidRDefault="001A0E9C" w:rsidP="005E2933">
            <w:pPr>
              <w:keepNext/>
              <w:spacing w:before="120" w:after="120" w:line="240" w:lineRule="auto"/>
              <w:jc w:val="left"/>
              <w:rPr>
                <w:szCs w:val="22"/>
                <w:lang w:val="en-AU"/>
              </w:rPr>
            </w:pPr>
            <w:r>
              <w:rPr>
                <w:szCs w:val="22"/>
                <w:lang w:val="en-AU"/>
              </w:rPr>
              <w:t xml:space="preserve">R14: </w:t>
            </w:r>
            <w:r w:rsidR="005E2933" w:rsidRPr="005E2933">
              <w:rPr>
                <w:szCs w:val="22"/>
                <w:lang w:val="en-AU"/>
              </w:rPr>
              <w:t>Review construction targets in recognition of current timeframes and capacities</w:t>
            </w:r>
          </w:p>
        </w:tc>
        <w:tc>
          <w:tcPr>
            <w:tcW w:w="655" w:type="pct"/>
            <w:vAlign w:val="center"/>
          </w:tcPr>
          <w:p w14:paraId="3B5AD757" w14:textId="4A88E478" w:rsidR="005E2933" w:rsidRPr="005E2933" w:rsidRDefault="005E2933" w:rsidP="005E2933">
            <w:pPr>
              <w:spacing w:before="120" w:after="120" w:line="240" w:lineRule="auto"/>
              <w:jc w:val="left"/>
              <w:rPr>
                <w:szCs w:val="22"/>
                <w:lang w:val="en-AU"/>
              </w:rPr>
            </w:pPr>
            <w:r w:rsidRPr="005E2933">
              <w:rPr>
                <w:szCs w:val="22"/>
                <w:lang w:val="id-ID"/>
              </w:rPr>
              <w:t>AusAID</w:t>
            </w:r>
            <w:r w:rsidR="00597821">
              <w:rPr>
                <w:szCs w:val="22"/>
                <w:lang w:val="id-ID"/>
              </w:rPr>
              <w:t xml:space="preserve"> </w:t>
            </w:r>
            <w:r w:rsidRPr="005E2933">
              <w:rPr>
                <w:szCs w:val="22"/>
                <w:lang w:val="id-ID"/>
              </w:rPr>
              <w:t>/ GoI</w:t>
            </w:r>
          </w:p>
        </w:tc>
      </w:tr>
      <w:tr w:rsidR="005E2933" w:rsidRPr="005E2933" w14:paraId="4333AA34" w14:textId="77777777" w:rsidTr="00135B2D">
        <w:trPr>
          <w:trHeight w:val="567"/>
        </w:trPr>
        <w:tc>
          <w:tcPr>
            <w:tcW w:w="2172" w:type="pct"/>
            <w:vAlign w:val="center"/>
          </w:tcPr>
          <w:p w14:paraId="5D84C142" w14:textId="301DCECA" w:rsidR="005E2933" w:rsidRPr="00636C45" w:rsidRDefault="005E2933" w:rsidP="00835AD1">
            <w:pPr>
              <w:spacing w:before="120" w:after="120" w:line="240" w:lineRule="auto"/>
              <w:jc w:val="left"/>
              <w:rPr>
                <w:szCs w:val="22"/>
                <w:lang w:val="en-AU"/>
              </w:rPr>
            </w:pPr>
            <w:r w:rsidRPr="005E2933">
              <w:rPr>
                <w:szCs w:val="22"/>
                <w:lang w:val="id-ID"/>
              </w:rPr>
              <w:t>The small number of eligible proposals submitted for the first construction cycle under C1 impeded the rigorous application of the selection criteria</w:t>
            </w:r>
            <w:r w:rsidR="00636C45">
              <w:rPr>
                <w:szCs w:val="22"/>
                <w:lang w:val="en-AU"/>
              </w:rPr>
              <w:t xml:space="preserve"> </w:t>
            </w:r>
            <w:r w:rsidR="00636C45" w:rsidRPr="005E2933">
              <w:rPr>
                <w:szCs w:val="22"/>
                <w:lang w:val="id-ID"/>
              </w:rPr>
              <w:t xml:space="preserve">(see </w:t>
            </w:r>
            <w:r w:rsidR="00636C45">
              <w:rPr>
                <w:szCs w:val="22"/>
                <w:lang w:val="id-ID"/>
              </w:rPr>
              <w:t>§</w:t>
            </w:r>
            <w:r w:rsidR="00636C45">
              <w:rPr>
                <w:szCs w:val="22"/>
                <w:lang w:val="en-AU"/>
              </w:rPr>
              <w:t>2.2</w:t>
            </w:r>
            <w:r w:rsidR="00636C45" w:rsidRPr="005E2933">
              <w:rPr>
                <w:szCs w:val="22"/>
                <w:lang w:val="id-ID"/>
              </w:rPr>
              <w:t>)</w:t>
            </w:r>
          </w:p>
        </w:tc>
        <w:tc>
          <w:tcPr>
            <w:tcW w:w="2173" w:type="pct"/>
            <w:shd w:val="clear" w:color="auto" w:fill="D6E3BC" w:themeFill="accent3" w:themeFillTint="66"/>
            <w:vAlign w:val="center"/>
          </w:tcPr>
          <w:p w14:paraId="48F6F770" w14:textId="5C510E46" w:rsidR="005E2933" w:rsidRPr="005E2933" w:rsidRDefault="001A0E9C" w:rsidP="005E2933">
            <w:pPr>
              <w:keepNext/>
              <w:spacing w:before="120" w:after="120" w:line="240" w:lineRule="auto"/>
              <w:jc w:val="left"/>
              <w:rPr>
                <w:szCs w:val="22"/>
                <w:lang w:val="id-ID"/>
              </w:rPr>
            </w:pPr>
            <w:r>
              <w:rPr>
                <w:szCs w:val="22"/>
                <w:lang w:val="en-AU"/>
              </w:rPr>
              <w:t xml:space="preserve">R15: </w:t>
            </w:r>
            <w:r w:rsidR="005E2933" w:rsidRPr="005E2933">
              <w:rPr>
                <w:szCs w:val="22"/>
                <w:lang w:val="id-ID"/>
              </w:rPr>
              <w:t xml:space="preserve">Commission a study to understand factors of non-submission from districts </w:t>
            </w:r>
            <w:r w:rsidR="005E2933" w:rsidRPr="005E2933">
              <w:rPr>
                <w:szCs w:val="22"/>
                <w:lang w:val="en-AU"/>
              </w:rPr>
              <w:t xml:space="preserve">and </w:t>
            </w:r>
            <w:r w:rsidR="005E2933" w:rsidRPr="005E2933">
              <w:rPr>
                <w:szCs w:val="22"/>
                <w:lang w:val="id-ID"/>
              </w:rPr>
              <w:t xml:space="preserve">identify </w:t>
            </w:r>
            <w:r w:rsidR="005E2933" w:rsidRPr="005E2933">
              <w:rPr>
                <w:szCs w:val="22"/>
                <w:lang w:val="en-AU"/>
              </w:rPr>
              <w:t>remedial actions</w:t>
            </w:r>
          </w:p>
        </w:tc>
        <w:tc>
          <w:tcPr>
            <w:tcW w:w="655" w:type="pct"/>
            <w:vAlign w:val="center"/>
          </w:tcPr>
          <w:p w14:paraId="457F6432" w14:textId="3C6D0599" w:rsidR="005E2933" w:rsidRPr="005E2933" w:rsidRDefault="005E2933" w:rsidP="005E2933">
            <w:pPr>
              <w:spacing w:before="120" w:after="120" w:line="240" w:lineRule="auto"/>
              <w:jc w:val="left"/>
              <w:rPr>
                <w:szCs w:val="22"/>
                <w:lang w:val="id-ID"/>
              </w:rPr>
            </w:pPr>
            <w:r w:rsidRPr="005E2933">
              <w:rPr>
                <w:szCs w:val="22"/>
                <w:lang w:val="id-ID"/>
              </w:rPr>
              <w:t>AusAID</w:t>
            </w:r>
            <w:r w:rsidR="00597821">
              <w:rPr>
                <w:szCs w:val="22"/>
                <w:lang w:val="id-ID"/>
              </w:rPr>
              <w:t xml:space="preserve"> </w:t>
            </w:r>
            <w:r w:rsidRPr="005E2933">
              <w:rPr>
                <w:szCs w:val="22"/>
                <w:lang w:val="id-ID"/>
              </w:rPr>
              <w:t>/ POM</w:t>
            </w:r>
          </w:p>
        </w:tc>
      </w:tr>
      <w:tr w:rsidR="005E2933" w:rsidRPr="005E2933" w14:paraId="4143F1A9" w14:textId="77777777" w:rsidTr="005E2933">
        <w:trPr>
          <w:trHeight w:val="567"/>
        </w:trPr>
        <w:tc>
          <w:tcPr>
            <w:tcW w:w="2172" w:type="pct"/>
            <w:vAlign w:val="center"/>
          </w:tcPr>
          <w:p w14:paraId="30157724" w14:textId="0292F633" w:rsidR="005E2933" w:rsidRPr="005E2933" w:rsidRDefault="005E2933" w:rsidP="00835AD1">
            <w:pPr>
              <w:spacing w:before="120" w:after="120" w:line="240" w:lineRule="auto"/>
              <w:jc w:val="left"/>
              <w:rPr>
                <w:szCs w:val="22"/>
                <w:lang w:val="id-ID"/>
              </w:rPr>
            </w:pPr>
            <w:r w:rsidRPr="005E2933">
              <w:rPr>
                <w:szCs w:val="22"/>
                <w:lang w:val="id-ID"/>
              </w:rPr>
              <w:t xml:space="preserve">Site selection </w:t>
            </w:r>
            <w:r w:rsidRPr="005E2933">
              <w:rPr>
                <w:szCs w:val="22"/>
                <w:lang w:val="en-AU"/>
              </w:rPr>
              <w:t xml:space="preserve">criteria should be </w:t>
            </w:r>
            <w:r w:rsidRPr="005E2933">
              <w:rPr>
                <w:szCs w:val="22"/>
                <w:lang w:val="id-ID"/>
              </w:rPr>
              <w:t xml:space="preserve">reviewed and </w:t>
            </w:r>
            <w:r w:rsidRPr="005E2933">
              <w:rPr>
                <w:szCs w:val="22"/>
                <w:lang w:val="en-AU"/>
              </w:rPr>
              <w:t>sharpened</w:t>
            </w:r>
            <w:r w:rsidR="00636C45">
              <w:rPr>
                <w:szCs w:val="22"/>
                <w:lang w:val="en-AU"/>
              </w:rPr>
              <w:t xml:space="preserve"> - </w:t>
            </w:r>
            <w:r w:rsidRPr="005E2933">
              <w:rPr>
                <w:szCs w:val="22"/>
                <w:lang w:val="id-ID"/>
              </w:rPr>
              <w:t>fo</w:t>
            </w:r>
            <w:r w:rsidRPr="005E2933">
              <w:rPr>
                <w:szCs w:val="22"/>
                <w:lang w:val="en-AU"/>
              </w:rPr>
              <w:t>r instance the GER criteri</w:t>
            </w:r>
            <w:r w:rsidR="00636C45">
              <w:rPr>
                <w:szCs w:val="22"/>
                <w:lang w:val="en-AU"/>
              </w:rPr>
              <w:t xml:space="preserve">on </w:t>
            </w:r>
            <w:r w:rsidR="00636C45" w:rsidRPr="005E2933">
              <w:rPr>
                <w:szCs w:val="22"/>
                <w:lang w:val="id-ID"/>
              </w:rPr>
              <w:t xml:space="preserve">(see </w:t>
            </w:r>
            <w:r w:rsidR="00636C45">
              <w:rPr>
                <w:szCs w:val="22"/>
                <w:lang w:val="id-ID"/>
              </w:rPr>
              <w:t>§</w:t>
            </w:r>
            <w:r w:rsidR="00636C45">
              <w:rPr>
                <w:szCs w:val="22"/>
                <w:lang w:val="en-AU"/>
              </w:rPr>
              <w:t>2.2</w:t>
            </w:r>
            <w:r w:rsidR="00636C45" w:rsidRPr="005E2933">
              <w:rPr>
                <w:szCs w:val="22"/>
                <w:lang w:val="id-ID"/>
              </w:rPr>
              <w:t>)</w:t>
            </w:r>
          </w:p>
        </w:tc>
        <w:tc>
          <w:tcPr>
            <w:tcW w:w="2173" w:type="pct"/>
            <w:shd w:val="clear" w:color="auto" w:fill="FABF8F" w:themeFill="accent6" w:themeFillTint="99"/>
            <w:vAlign w:val="center"/>
          </w:tcPr>
          <w:p w14:paraId="42886949" w14:textId="2C9D7477" w:rsidR="005E2933" w:rsidRPr="005E2933" w:rsidRDefault="001A0E9C" w:rsidP="005E2933">
            <w:pPr>
              <w:keepNext/>
              <w:spacing w:before="120" w:after="120" w:line="240" w:lineRule="auto"/>
              <w:jc w:val="left"/>
              <w:rPr>
                <w:szCs w:val="22"/>
                <w:lang w:val="id-ID"/>
              </w:rPr>
            </w:pPr>
            <w:r>
              <w:rPr>
                <w:szCs w:val="22"/>
                <w:lang w:val="en-AU"/>
              </w:rPr>
              <w:t xml:space="preserve">R16: </w:t>
            </w:r>
            <w:r w:rsidR="005E2933" w:rsidRPr="005E2933">
              <w:rPr>
                <w:szCs w:val="22"/>
                <w:lang w:val="en-AU"/>
              </w:rPr>
              <w:t xml:space="preserve">Review district and site selection processes, to include measure of transition </w:t>
            </w:r>
          </w:p>
        </w:tc>
        <w:tc>
          <w:tcPr>
            <w:tcW w:w="655" w:type="pct"/>
            <w:vAlign w:val="center"/>
          </w:tcPr>
          <w:p w14:paraId="063BDAC2" w14:textId="77777777" w:rsidR="005E2933" w:rsidRPr="005E2933" w:rsidRDefault="005E2933" w:rsidP="005E2933">
            <w:pPr>
              <w:spacing w:before="120" w:after="120" w:line="240" w:lineRule="auto"/>
              <w:jc w:val="left"/>
              <w:rPr>
                <w:szCs w:val="22"/>
                <w:lang w:val="id-ID"/>
              </w:rPr>
            </w:pPr>
            <w:r w:rsidRPr="005E2933">
              <w:rPr>
                <w:szCs w:val="22"/>
                <w:lang w:val="id-ID"/>
              </w:rPr>
              <w:t>AusAID / GoI</w:t>
            </w:r>
          </w:p>
        </w:tc>
      </w:tr>
      <w:tr w:rsidR="005E2933" w:rsidRPr="005E2933" w14:paraId="6D4E3DE7" w14:textId="77777777" w:rsidTr="00135B2D">
        <w:trPr>
          <w:trHeight w:val="567"/>
        </w:trPr>
        <w:tc>
          <w:tcPr>
            <w:tcW w:w="2172" w:type="pct"/>
            <w:vAlign w:val="center"/>
          </w:tcPr>
          <w:p w14:paraId="669AA82C" w14:textId="5AFBBBB2" w:rsidR="005E2933" w:rsidRPr="00636C45" w:rsidRDefault="00636C45" w:rsidP="00835AD1">
            <w:pPr>
              <w:spacing w:before="120" w:after="120" w:line="240" w:lineRule="auto"/>
              <w:jc w:val="left"/>
              <w:rPr>
                <w:szCs w:val="22"/>
                <w:lang w:val="en-AU"/>
              </w:rPr>
            </w:pPr>
            <w:r>
              <w:rPr>
                <w:szCs w:val="22"/>
                <w:lang w:val="en-AU"/>
              </w:rPr>
              <w:t>U</w:t>
            </w:r>
            <w:r w:rsidR="005E2933" w:rsidRPr="005E2933">
              <w:rPr>
                <w:szCs w:val="22"/>
                <w:lang w:val="en-AU"/>
              </w:rPr>
              <w:t>nequal district capacity to deliver on the MoAs compromis</w:t>
            </w:r>
            <w:r w:rsidR="005E2933" w:rsidRPr="005E2933">
              <w:rPr>
                <w:szCs w:val="22"/>
                <w:lang w:val="id-ID"/>
              </w:rPr>
              <w:t>es the sustainability of C1 achievements</w:t>
            </w:r>
            <w:r>
              <w:rPr>
                <w:szCs w:val="22"/>
                <w:lang w:val="en-AU"/>
              </w:rPr>
              <w:t xml:space="preserve"> </w:t>
            </w:r>
            <w:r w:rsidRPr="005E2933">
              <w:rPr>
                <w:szCs w:val="22"/>
                <w:lang w:val="id-ID"/>
              </w:rPr>
              <w:t xml:space="preserve">(see </w:t>
            </w:r>
            <w:r>
              <w:rPr>
                <w:szCs w:val="22"/>
                <w:lang w:val="id-ID"/>
              </w:rPr>
              <w:t>§</w:t>
            </w:r>
            <w:r>
              <w:rPr>
                <w:szCs w:val="22"/>
                <w:lang w:val="en-AU"/>
              </w:rPr>
              <w:t>3.3</w:t>
            </w:r>
            <w:r w:rsidRPr="005E2933">
              <w:rPr>
                <w:szCs w:val="22"/>
                <w:lang w:val="id-ID"/>
              </w:rPr>
              <w:t>)</w:t>
            </w:r>
          </w:p>
        </w:tc>
        <w:tc>
          <w:tcPr>
            <w:tcW w:w="2173" w:type="pct"/>
            <w:shd w:val="clear" w:color="auto" w:fill="CCC0D9" w:themeFill="accent4" w:themeFillTint="66"/>
            <w:vAlign w:val="center"/>
          </w:tcPr>
          <w:p w14:paraId="5632A0A3" w14:textId="2F89B553" w:rsidR="005E2933" w:rsidRPr="005E2933" w:rsidRDefault="001A0E9C" w:rsidP="005E2933">
            <w:pPr>
              <w:keepNext/>
              <w:spacing w:before="120" w:after="120" w:line="240" w:lineRule="auto"/>
              <w:jc w:val="left"/>
              <w:rPr>
                <w:szCs w:val="22"/>
                <w:lang w:val="id-ID"/>
              </w:rPr>
            </w:pPr>
            <w:r>
              <w:rPr>
                <w:szCs w:val="22"/>
                <w:lang w:val="en-AU"/>
              </w:rPr>
              <w:t xml:space="preserve">R17: </w:t>
            </w:r>
            <w:r w:rsidR="005E2933" w:rsidRPr="005E2933">
              <w:rPr>
                <w:szCs w:val="22"/>
                <w:lang w:val="id-ID"/>
              </w:rPr>
              <w:t>Commission a study to understand factors of capacity and identify actions to develop district capacity to fulfill their MoA obligations</w:t>
            </w:r>
          </w:p>
        </w:tc>
        <w:tc>
          <w:tcPr>
            <w:tcW w:w="655" w:type="pct"/>
            <w:vAlign w:val="center"/>
          </w:tcPr>
          <w:p w14:paraId="6F496255" w14:textId="7EAEF23C" w:rsidR="005E2933" w:rsidRPr="005E2933" w:rsidRDefault="005E2933" w:rsidP="005E2933">
            <w:pPr>
              <w:spacing w:before="120" w:after="120" w:line="240" w:lineRule="auto"/>
              <w:jc w:val="left"/>
              <w:rPr>
                <w:szCs w:val="22"/>
                <w:lang w:val="en-AU"/>
              </w:rPr>
            </w:pPr>
            <w:r w:rsidRPr="005E2933">
              <w:rPr>
                <w:szCs w:val="22"/>
                <w:lang w:val="id-ID"/>
              </w:rPr>
              <w:t>AusAID</w:t>
            </w:r>
            <w:r w:rsidR="00597821">
              <w:rPr>
                <w:szCs w:val="22"/>
                <w:lang w:val="id-ID"/>
              </w:rPr>
              <w:t xml:space="preserve"> </w:t>
            </w:r>
            <w:r w:rsidRPr="005E2933">
              <w:rPr>
                <w:szCs w:val="22"/>
                <w:lang w:val="id-ID"/>
              </w:rPr>
              <w:t>/ POM</w:t>
            </w:r>
          </w:p>
        </w:tc>
      </w:tr>
      <w:tr w:rsidR="005E2933" w:rsidRPr="005E2933" w14:paraId="05EDC7D4" w14:textId="77777777" w:rsidTr="00135B2D">
        <w:trPr>
          <w:trHeight w:val="567"/>
        </w:trPr>
        <w:tc>
          <w:tcPr>
            <w:tcW w:w="2172" w:type="pct"/>
            <w:vAlign w:val="center"/>
          </w:tcPr>
          <w:p w14:paraId="6DA9BDD4" w14:textId="065C8C36" w:rsidR="005E2933" w:rsidRPr="005E2933" w:rsidRDefault="005E2933" w:rsidP="00835AD1">
            <w:pPr>
              <w:spacing w:before="120" w:after="120" w:line="240" w:lineRule="auto"/>
              <w:jc w:val="left"/>
              <w:rPr>
                <w:szCs w:val="22"/>
                <w:lang w:val="id-ID"/>
              </w:rPr>
            </w:pPr>
            <w:r w:rsidRPr="005E2933">
              <w:rPr>
                <w:szCs w:val="22"/>
                <w:lang w:val="id-ID"/>
              </w:rPr>
              <w:t>T</w:t>
            </w:r>
            <w:r w:rsidRPr="005E2933">
              <w:rPr>
                <w:szCs w:val="22"/>
                <w:lang w:val="en-AU"/>
              </w:rPr>
              <w:t>here is an appetite for discussing possible involvement of</w:t>
            </w:r>
            <w:r w:rsidRPr="005E2933">
              <w:rPr>
                <w:szCs w:val="22"/>
                <w:lang w:val="id-ID"/>
              </w:rPr>
              <w:t xml:space="preserve"> SSQ</w:t>
            </w:r>
            <w:r w:rsidRPr="005E2933">
              <w:rPr>
                <w:szCs w:val="22"/>
                <w:lang w:val="en-AU"/>
              </w:rPr>
              <w:t xml:space="preserve"> field monitors in the</w:t>
            </w:r>
            <w:r w:rsidRPr="005E2933">
              <w:rPr>
                <w:szCs w:val="22"/>
                <w:lang w:val="id-ID"/>
              </w:rPr>
              <w:t xml:space="preserve"> school</w:t>
            </w:r>
            <w:r w:rsidRPr="005E2933">
              <w:rPr>
                <w:szCs w:val="22"/>
                <w:lang w:val="en-AU"/>
              </w:rPr>
              <w:t xml:space="preserve"> construction process</w:t>
            </w:r>
            <w:r w:rsidR="00636C45">
              <w:rPr>
                <w:szCs w:val="22"/>
                <w:lang w:val="en-AU"/>
              </w:rPr>
              <w:t xml:space="preserve"> </w:t>
            </w:r>
            <w:r w:rsidR="00636C45" w:rsidRPr="005E2933">
              <w:rPr>
                <w:szCs w:val="22"/>
                <w:lang w:val="id-ID"/>
              </w:rPr>
              <w:t xml:space="preserve">(see </w:t>
            </w:r>
            <w:r w:rsidR="00636C45">
              <w:rPr>
                <w:szCs w:val="22"/>
                <w:lang w:val="id-ID"/>
              </w:rPr>
              <w:t>§</w:t>
            </w:r>
            <w:r w:rsidR="00636C45">
              <w:rPr>
                <w:szCs w:val="22"/>
                <w:lang w:val="en-AU"/>
              </w:rPr>
              <w:t>2.2</w:t>
            </w:r>
            <w:r w:rsidR="00636C45" w:rsidRPr="005E2933">
              <w:rPr>
                <w:szCs w:val="22"/>
                <w:lang w:val="id-ID"/>
              </w:rPr>
              <w:t>)</w:t>
            </w:r>
          </w:p>
        </w:tc>
        <w:tc>
          <w:tcPr>
            <w:tcW w:w="2173" w:type="pct"/>
            <w:shd w:val="clear" w:color="auto" w:fill="D6E3BC" w:themeFill="accent3" w:themeFillTint="66"/>
            <w:vAlign w:val="center"/>
          </w:tcPr>
          <w:p w14:paraId="23E4520C" w14:textId="50FDFE8D" w:rsidR="005E2933" w:rsidRPr="005E2933" w:rsidRDefault="001A0E9C" w:rsidP="005E2933">
            <w:pPr>
              <w:keepNext/>
              <w:spacing w:before="120" w:after="120" w:line="240" w:lineRule="auto"/>
              <w:jc w:val="left"/>
              <w:rPr>
                <w:szCs w:val="22"/>
                <w:lang w:val="en-AU"/>
              </w:rPr>
            </w:pPr>
            <w:r>
              <w:rPr>
                <w:szCs w:val="22"/>
                <w:lang w:val="en-AU"/>
              </w:rPr>
              <w:t xml:space="preserve">R18: </w:t>
            </w:r>
            <w:r w:rsidR="005E2933" w:rsidRPr="005E2933">
              <w:rPr>
                <w:szCs w:val="22"/>
                <w:lang w:val="en-AU"/>
              </w:rPr>
              <w:t>Review and clarify role of field monitors with respect to an increasing involvement in oversight of construction process</w:t>
            </w:r>
          </w:p>
        </w:tc>
        <w:tc>
          <w:tcPr>
            <w:tcW w:w="655" w:type="pct"/>
            <w:vAlign w:val="center"/>
          </w:tcPr>
          <w:p w14:paraId="092C5CB9" w14:textId="77777777" w:rsidR="005E2933" w:rsidRPr="005E2933" w:rsidRDefault="005E2933" w:rsidP="005E2933">
            <w:pPr>
              <w:spacing w:before="120" w:after="120" w:line="240" w:lineRule="auto"/>
              <w:jc w:val="left"/>
              <w:rPr>
                <w:szCs w:val="22"/>
                <w:lang w:val="en-AU"/>
              </w:rPr>
            </w:pPr>
            <w:r w:rsidRPr="005E2933">
              <w:rPr>
                <w:szCs w:val="22"/>
                <w:lang w:val="id-ID"/>
              </w:rPr>
              <w:t>AusAID / GoI / SSQ</w:t>
            </w:r>
          </w:p>
        </w:tc>
      </w:tr>
      <w:tr w:rsidR="005E2933" w:rsidRPr="005E2933" w14:paraId="403ACFE1" w14:textId="77777777" w:rsidTr="00135B2D">
        <w:trPr>
          <w:trHeight w:val="567"/>
        </w:trPr>
        <w:tc>
          <w:tcPr>
            <w:tcW w:w="5000" w:type="pct"/>
            <w:gridSpan w:val="3"/>
            <w:shd w:val="clear" w:color="auto" w:fill="DBE5F1" w:themeFill="accent1" w:themeFillTint="33"/>
            <w:vAlign w:val="center"/>
          </w:tcPr>
          <w:p w14:paraId="0E17C059" w14:textId="77777777" w:rsidR="005E2933" w:rsidRPr="005E2933" w:rsidRDefault="005E2933" w:rsidP="00636C45">
            <w:pPr>
              <w:keepNext/>
              <w:spacing w:before="120" w:after="120" w:line="240" w:lineRule="auto"/>
              <w:ind w:left="142"/>
              <w:jc w:val="center"/>
              <w:rPr>
                <w:szCs w:val="22"/>
                <w:lang w:val="en-AU"/>
              </w:rPr>
            </w:pPr>
            <w:r w:rsidRPr="005E2933">
              <w:rPr>
                <w:szCs w:val="22"/>
                <w:lang w:val="id-ID"/>
              </w:rPr>
              <w:lastRenderedPageBreak/>
              <w:t>Component 2</w:t>
            </w:r>
          </w:p>
        </w:tc>
      </w:tr>
      <w:tr w:rsidR="005E2933" w:rsidRPr="005E2933" w14:paraId="59C97E95" w14:textId="77777777" w:rsidTr="00135B2D">
        <w:trPr>
          <w:trHeight w:val="567"/>
        </w:trPr>
        <w:tc>
          <w:tcPr>
            <w:tcW w:w="2172" w:type="pct"/>
            <w:tcBorders>
              <w:bottom w:val="single" w:sz="4" w:space="0" w:color="auto"/>
            </w:tcBorders>
          </w:tcPr>
          <w:p w14:paraId="2B45B166" w14:textId="277BB75B" w:rsidR="005E2933" w:rsidRPr="00843133" w:rsidRDefault="005E2933" w:rsidP="00835AD1">
            <w:pPr>
              <w:keepNext/>
              <w:spacing w:before="120" w:after="120" w:line="240" w:lineRule="auto"/>
              <w:jc w:val="left"/>
              <w:rPr>
                <w:szCs w:val="22"/>
                <w:lang w:val="en-AU"/>
              </w:rPr>
            </w:pPr>
            <w:r w:rsidRPr="005E2933">
              <w:rPr>
                <w:szCs w:val="22"/>
                <w:lang w:val="id-ID"/>
              </w:rPr>
              <w:t>Some training participants reported a poor understanding of how to apply their new knowledge, suggesting a threat to the attainment of EOPO 2</w:t>
            </w:r>
            <w:r w:rsidR="00843133">
              <w:rPr>
                <w:szCs w:val="22"/>
                <w:lang w:val="en-AU"/>
              </w:rPr>
              <w:t xml:space="preserve"> </w:t>
            </w:r>
            <w:r w:rsidR="00843133" w:rsidRPr="005E2933">
              <w:rPr>
                <w:szCs w:val="22"/>
                <w:lang w:val="id-ID"/>
              </w:rPr>
              <w:t xml:space="preserve">(see </w:t>
            </w:r>
            <w:r w:rsidR="00843133">
              <w:rPr>
                <w:szCs w:val="22"/>
                <w:lang w:val="id-ID"/>
              </w:rPr>
              <w:t>§</w:t>
            </w:r>
            <w:r w:rsidR="00843133">
              <w:rPr>
                <w:szCs w:val="22"/>
                <w:lang w:val="en-AU"/>
              </w:rPr>
              <w:t>2.3</w:t>
            </w:r>
            <w:r w:rsidR="00843133" w:rsidRPr="005E2933">
              <w:rPr>
                <w:szCs w:val="22"/>
                <w:lang w:val="id-ID"/>
              </w:rPr>
              <w:t>)</w:t>
            </w:r>
          </w:p>
        </w:tc>
        <w:tc>
          <w:tcPr>
            <w:tcW w:w="2173" w:type="pct"/>
            <w:tcBorders>
              <w:bottom w:val="nil"/>
            </w:tcBorders>
            <w:shd w:val="clear" w:color="auto" w:fill="CCC0D9" w:themeFill="accent4" w:themeFillTint="66"/>
            <w:vAlign w:val="center"/>
          </w:tcPr>
          <w:p w14:paraId="2BB3548C" w14:textId="3B1B596A" w:rsidR="005E2933" w:rsidRPr="005E2933" w:rsidRDefault="001A0E9C" w:rsidP="00636C45">
            <w:pPr>
              <w:keepNext/>
              <w:spacing w:before="120" w:after="120" w:line="240" w:lineRule="auto"/>
              <w:jc w:val="left"/>
              <w:rPr>
                <w:szCs w:val="22"/>
                <w:lang w:val="id-ID"/>
              </w:rPr>
            </w:pPr>
            <w:r>
              <w:rPr>
                <w:szCs w:val="22"/>
                <w:lang w:val="en-AU"/>
              </w:rPr>
              <w:t xml:space="preserve">R19: </w:t>
            </w:r>
            <w:r w:rsidR="005E2933" w:rsidRPr="005E2933">
              <w:rPr>
                <w:szCs w:val="22"/>
                <w:lang w:val="en-AU"/>
              </w:rPr>
              <w:t>Identify intermediate steps in C2 logic to articulate expected shifts in knowledge, attitudes and practices in post-training phase, with appropriate mechanism</w:t>
            </w:r>
            <w:r w:rsidR="00843133">
              <w:rPr>
                <w:szCs w:val="22"/>
                <w:lang w:val="en-AU"/>
              </w:rPr>
              <w:t>s</w:t>
            </w:r>
            <w:r w:rsidR="005E2933" w:rsidRPr="005E2933">
              <w:rPr>
                <w:szCs w:val="22"/>
                <w:lang w:val="en-AU"/>
              </w:rPr>
              <w:t xml:space="preserve"> to review progress against expectations</w:t>
            </w:r>
          </w:p>
        </w:tc>
        <w:tc>
          <w:tcPr>
            <w:tcW w:w="655" w:type="pct"/>
            <w:tcBorders>
              <w:bottom w:val="single" w:sz="4" w:space="0" w:color="auto"/>
            </w:tcBorders>
            <w:vAlign w:val="center"/>
          </w:tcPr>
          <w:p w14:paraId="19BF4512" w14:textId="77777777" w:rsidR="005E2933" w:rsidRPr="005E2933" w:rsidRDefault="005E2933" w:rsidP="00636C45">
            <w:pPr>
              <w:keepNext/>
              <w:spacing w:before="120" w:after="120" w:line="240" w:lineRule="auto"/>
              <w:jc w:val="left"/>
              <w:rPr>
                <w:szCs w:val="22"/>
                <w:lang w:val="id-ID"/>
              </w:rPr>
            </w:pPr>
            <w:r w:rsidRPr="005E2933">
              <w:rPr>
                <w:szCs w:val="22"/>
                <w:lang w:val="id-ID"/>
              </w:rPr>
              <w:t>SSQ</w:t>
            </w:r>
          </w:p>
        </w:tc>
      </w:tr>
      <w:tr w:rsidR="005E2933" w:rsidRPr="005E2933" w14:paraId="23BD2121" w14:textId="77777777" w:rsidTr="005E2933">
        <w:trPr>
          <w:trHeight w:val="567"/>
        </w:trPr>
        <w:tc>
          <w:tcPr>
            <w:tcW w:w="2172" w:type="pct"/>
            <w:tcBorders>
              <w:bottom w:val="single" w:sz="4" w:space="0" w:color="auto"/>
            </w:tcBorders>
          </w:tcPr>
          <w:p w14:paraId="2209F911" w14:textId="5035D954" w:rsidR="005E2933" w:rsidRPr="005E2933" w:rsidRDefault="005E2933" w:rsidP="00835AD1">
            <w:pPr>
              <w:spacing w:before="120" w:after="120" w:line="240" w:lineRule="auto"/>
              <w:jc w:val="left"/>
              <w:rPr>
                <w:szCs w:val="22"/>
                <w:lang w:val="id-ID"/>
              </w:rPr>
            </w:pPr>
            <w:r w:rsidRPr="005E2933">
              <w:rPr>
                <w:szCs w:val="22"/>
                <w:lang w:val="id-ID"/>
              </w:rPr>
              <w:t xml:space="preserve">MoEC commitment to CPD results in </w:t>
            </w:r>
            <w:r w:rsidRPr="005E2933">
              <w:rPr>
                <w:szCs w:val="22"/>
                <w:lang w:val="en-AU"/>
              </w:rPr>
              <w:t>a tight timeline for implementing the system nationwide</w:t>
            </w:r>
            <w:r w:rsidR="00843133">
              <w:rPr>
                <w:szCs w:val="22"/>
                <w:lang w:val="en-AU"/>
              </w:rPr>
              <w:t xml:space="preserve"> </w:t>
            </w:r>
            <w:r w:rsidR="00843133" w:rsidRPr="005E2933">
              <w:rPr>
                <w:szCs w:val="22"/>
                <w:lang w:val="id-ID"/>
              </w:rPr>
              <w:t xml:space="preserve">(see </w:t>
            </w:r>
            <w:r w:rsidR="00843133">
              <w:rPr>
                <w:szCs w:val="22"/>
                <w:lang w:val="id-ID"/>
              </w:rPr>
              <w:t>§</w:t>
            </w:r>
            <w:r w:rsidR="00843133">
              <w:rPr>
                <w:szCs w:val="22"/>
                <w:lang w:val="en-AU"/>
              </w:rPr>
              <w:t>2.3</w:t>
            </w:r>
            <w:r w:rsidR="00843133" w:rsidRPr="005E2933">
              <w:rPr>
                <w:szCs w:val="22"/>
                <w:lang w:val="id-ID"/>
              </w:rPr>
              <w:t>)</w:t>
            </w:r>
          </w:p>
        </w:tc>
        <w:tc>
          <w:tcPr>
            <w:tcW w:w="2173" w:type="pct"/>
            <w:vMerge w:val="restart"/>
            <w:shd w:val="clear" w:color="auto" w:fill="FABF8F" w:themeFill="accent6" w:themeFillTint="99"/>
            <w:vAlign w:val="center"/>
          </w:tcPr>
          <w:p w14:paraId="73A4B9F8" w14:textId="23420A75" w:rsidR="005E2933" w:rsidRPr="005E2933" w:rsidRDefault="001A0E9C" w:rsidP="005E2933">
            <w:pPr>
              <w:keepNext/>
              <w:spacing w:before="120" w:after="120" w:line="240" w:lineRule="auto"/>
              <w:jc w:val="left"/>
              <w:rPr>
                <w:szCs w:val="22"/>
                <w:lang w:val="id-ID"/>
              </w:rPr>
            </w:pPr>
            <w:r>
              <w:rPr>
                <w:szCs w:val="22"/>
                <w:lang w:val="en-AU"/>
              </w:rPr>
              <w:t xml:space="preserve">R20: </w:t>
            </w:r>
            <w:r w:rsidR="005E2933" w:rsidRPr="005E2933">
              <w:rPr>
                <w:szCs w:val="22"/>
                <w:lang w:val="en-AU"/>
              </w:rPr>
              <w:t>Establish robust monitoring process for C2 grant agreement implementation, with</w:t>
            </w:r>
          </w:p>
          <w:p w14:paraId="117F5329" w14:textId="77777777" w:rsidR="005E2933" w:rsidRPr="005E2933" w:rsidRDefault="005E2933" w:rsidP="005E2933">
            <w:pPr>
              <w:keepNext/>
              <w:numPr>
                <w:ilvl w:val="0"/>
                <w:numId w:val="45"/>
              </w:numPr>
              <w:spacing w:before="120" w:after="120" w:line="240" w:lineRule="auto"/>
              <w:contextualSpacing/>
              <w:jc w:val="left"/>
            </w:pPr>
            <w:r w:rsidRPr="005E2933">
              <w:rPr>
                <w:lang w:val="id-ID"/>
              </w:rPr>
              <w:t>C</w:t>
            </w:r>
            <w:r w:rsidRPr="005E2933">
              <w:rPr>
                <w:lang w:val="en-AU"/>
              </w:rPr>
              <w:t>lear result milestones and targets</w:t>
            </w:r>
          </w:p>
          <w:p w14:paraId="745D8AA2" w14:textId="77777777" w:rsidR="00002792" w:rsidRPr="00002792" w:rsidRDefault="005E2933" w:rsidP="00002792">
            <w:pPr>
              <w:keepNext/>
              <w:numPr>
                <w:ilvl w:val="0"/>
                <w:numId w:val="47"/>
              </w:numPr>
              <w:spacing w:before="120" w:after="200" w:line="240" w:lineRule="auto"/>
              <w:contextualSpacing/>
              <w:jc w:val="left"/>
              <w:rPr>
                <w:sz w:val="20"/>
                <w:szCs w:val="20"/>
              </w:rPr>
            </w:pPr>
            <w:r w:rsidRPr="00002792">
              <w:rPr>
                <w:lang w:val="id-ID"/>
              </w:rPr>
              <w:t>Cl</w:t>
            </w:r>
            <w:r w:rsidRPr="00002792">
              <w:rPr>
                <w:lang w:val="en-AU"/>
              </w:rPr>
              <w:t>ear support function</w:t>
            </w:r>
            <w:r w:rsidR="00843133" w:rsidRPr="00002792">
              <w:rPr>
                <w:lang w:val="en-AU"/>
              </w:rPr>
              <w:t xml:space="preserve"> for SSQ</w:t>
            </w:r>
          </w:p>
          <w:p w14:paraId="6F358492" w14:textId="439C5533" w:rsidR="00002792" w:rsidRPr="00002792" w:rsidRDefault="00002792" w:rsidP="00002792">
            <w:pPr>
              <w:keepNext/>
              <w:numPr>
                <w:ilvl w:val="0"/>
                <w:numId w:val="45"/>
              </w:numPr>
              <w:spacing w:before="120" w:after="120" w:line="240" w:lineRule="auto"/>
              <w:contextualSpacing/>
              <w:jc w:val="left"/>
              <w:rPr>
                <w:lang w:val="id-ID"/>
              </w:rPr>
            </w:pPr>
            <w:r w:rsidRPr="00002792">
              <w:rPr>
                <w:lang w:val="id-ID"/>
              </w:rPr>
              <w:t>Remedial action should monitoring indicate implementation failure.</w:t>
            </w:r>
          </w:p>
          <w:p w14:paraId="5CA60D4E" w14:textId="0B8B081C" w:rsidR="00002792" w:rsidRPr="005E2933" w:rsidRDefault="00002792" w:rsidP="00002792">
            <w:pPr>
              <w:keepNext/>
              <w:spacing w:before="120" w:after="120" w:line="240" w:lineRule="auto"/>
              <w:contextualSpacing/>
              <w:jc w:val="left"/>
              <w:rPr>
                <w:lang w:val="id-ID"/>
              </w:rPr>
            </w:pPr>
          </w:p>
        </w:tc>
        <w:tc>
          <w:tcPr>
            <w:tcW w:w="655" w:type="pct"/>
            <w:vMerge w:val="restart"/>
            <w:vAlign w:val="center"/>
          </w:tcPr>
          <w:p w14:paraId="69595920" w14:textId="6FC2D3F0" w:rsidR="005E2933" w:rsidRPr="005E2933" w:rsidRDefault="00843133" w:rsidP="005E2933">
            <w:pPr>
              <w:spacing w:before="120" w:after="120" w:line="240" w:lineRule="auto"/>
              <w:jc w:val="left"/>
              <w:rPr>
                <w:szCs w:val="22"/>
                <w:lang w:val="en-AU"/>
              </w:rPr>
            </w:pPr>
            <w:r>
              <w:rPr>
                <w:szCs w:val="22"/>
                <w:lang w:val="en-AU"/>
              </w:rPr>
              <w:t xml:space="preserve">AusAID / </w:t>
            </w:r>
            <w:r w:rsidR="005E2933" w:rsidRPr="005E2933">
              <w:rPr>
                <w:szCs w:val="22"/>
                <w:lang w:val="id-ID"/>
              </w:rPr>
              <w:t>SSQ / GoI</w:t>
            </w:r>
          </w:p>
        </w:tc>
      </w:tr>
      <w:tr w:rsidR="005E2933" w:rsidRPr="005E2933" w14:paraId="64F4C540" w14:textId="77777777" w:rsidTr="00002792">
        <w:trPr>
          <w:trHeight w:val="567"/>
        </w:trPr>
        <w:tc>
          <w:tcPr>
            <w:tcW w:w="2172" w:type="pct"/>
            <w:tcBorders>
              <w:bottom w:val="single" w:sz="4" w:space="0" w:color="auto"/>
            </w:tcBorders>
            <w:vAlign w:val="center"/>
          </w:tcPr>
          <w:p w14:paraId="29ACB62C" w14:textId="3CDF38FE" w:rsidR="005E2933" w:rsidRPr="00002792" w:rsidRDefault="005E2933" w:rsidP="00002792">
            <w:pPr>
              <w:spacing w:before="120" w:after="120" w:line="240" w:lineRule="auto"/>
              <w:jc w:val="left"/>
              <w:rPr>
                <w:szCs w:val="22"/>
                <w:lang w:val="id-ID"/>
              </w:rPr>
            </w:pPr>
            <w:r w:rsidRPr="005E2933">
              <w:rPr>
                <w:szCs w:val="22"/>
                <w:lang w:val="id-ID"/>
              </w:rPr>
              <w:t xml:space="preserve">The </w:t>
            </w:r>
            <w:r w:rsidRPr="00002792">
              <w:rPr>
                <w:szCs w:val="22"/>
                <w:lang w:val="id-ID"/>
              </w:rPr>
              <w:t>transfer of management responsibility</w:t>
            </w:r>
            <w:r w:rsidR="00843133" w:rsidRPr="00002792">
              <w:rPr>
                <w:szCs w:val="22"/>
                <w:lang w:val="id-ID"/>
              </w:rPr>
              <w:t xml:space="preserve"> for</w:t>
            </w:r>
            <w:r w:rsidRPr="00002792">
              <w:rPr>
                <w:szCs w:val="22"/>
                <w:lang w:val="id-ID"/>
              </w:rPr>
              <w:t xml:space="preserve"> the </w:t>
            </w:r>
            <w:r w:rsidRPr="005E2933">
              <w:rPr>
                <w:szCs w:val="22"/>
                <w:lang w:val="id-ID"/>
              </w:rPr>
              <w:t xml:space="preserve">CPD </w:t>
            </w:r>
            <w:r w:rsidRPr="00002792">
              <w:rPr>
                <w:szCs w:val="22"/>
                <w:lang w:val="id-ID"/>
              </w:rPr>
              <w:t>system from SSQ to MoEC Pusbang Tendik in 2013</w:t>
            </w:r>
            <w:r w:rsidRPr="005E2933">
              <w:rPr>
                <w:szCs w:val="22"/>
                <w:lang w:val="id-ID"/>
              </w:rPr>
              <w:t xml:space="preserve"> presents </w:t>
            </w:r>
            <w:r w:rsidRPr="00002792">
              <w:rPr>
                <w:szCs w:val="22"/>
                <w:lang w:val="id-ID"/>
              </w:rPr>
              <w:t xml:space="preserve">risks </w:t>
            </w:r>
            <w:r w:rsidRPr="005E2933">
              <w:rPr>
                <w:szCs w:val="22"/>
                <w:lang w:val="id-ID"/>
              </w:rPr>
              <w:t>a</w:t>
            </w:r>
            <w:r w:rsidR="00843133" w:rsidRPr="00002792">
              <w:rPr>
                <w:szCs w:val="22"/>
                <w:lang w:val="id-ID"/>
              </w:rPr>
              <w:t xml:space="preserve">s well as </w:t>
            </w:r>
            <w:r w:rsidRPr="00002792">
              <w:rPr>
                <w:szCs w:val="22"/>
                <w:lang w:val="id-ID"/>
              </w:rPr>
              <w:t xml:space="preserve">long-term institutional opportunities </w:t>
            </w:r>
            <w:r w:rsidR="00843133" w:rsidRPr="005E2933">
              <w:rPr>
                <w:szCs w:val="22"/>
                <w:lang w:val="id-ID"/>
              </w:rPr>
              <w:t xml:space="preserve">(see </w:t>
            </w:r>
            <w:r w:rsidR="00843133">
              <w:rPr>
                <w:szCs w:val="22"/>
                <w:lang w:val="id-ID"/>
              </w:rPr>
              <w:t>§</w:t>
            </w:r>
            <w:r w:rsidR="00C71926" w:rsidRPr="00002792">
              <w:rPr>
                <w:szCs w:val="22"/>
                <w:lang w:val="id-ID"/>
              </w:rPr>
              <w:t>3</w:t>
            </w:r>
            <w:r w:rsidR="00843133" w:rsidRPr="00002792">
              <w:rPr>
                <w:szCs w:val="22"/>
                <w:lang w:val="id-ID"/>
              </w:rPr>
              <w:t>.3</w:t>
            </w:r>
            <w:r w:rsidR="00843133" w:rsidRPr="005E2933">
              <w:rPr>
                <w:szCs w:val="22"/>
                <w:lang w:val="id-ID"/>
              </w:rPr>
              <w:t>)</w:t>
            </w:r>
          </w:p>
        </w:tc>
        <w:tc>
          <w:tcPr>
            <w:tcW w:w="2173" w:type="pct"/>
            <w:vMerge/>
            <w:tcBorders>
              <w:bottom w:val="single" w:sz="4" w:space="0" w:color="auto"/>
            </w:tcBorders>
            <w:shd w:val="clear" w:color="auto" w:fill="FABF8F" w:themeFill="accent6" w:themeFillTint="99"/>
            <w:vAlign w:val="center"/>
          </w:tcPr>
          <w:p w14:paraId="61D57EE3" w14:textId="77777777" w:rsidR="005E2933" w:rsidRPr="005E2933" w:rsidRDefault="005E2933" w:rsidP="005E2933">
            <w:pPr>
              <w:keepNext/>
              <w:numPr>
                <w:ilvl w:val="0"/>
                <w:numId w:val="45"/>
              </w:numPr>
              <w:spacing w:before="120" w:after="120" w:line="240" w:lineRule="auto"/>
              <w:contextualSpacing/>
              <w:jc w:val="left"/>
              <w:rPr>
                <w:lang w:val="en-AU"/>
              </w:rPr>
            </w:pPr>
          </w:p>
        </w:tc>
        <w:tc>
          <w:tcPr>
            <w:tcW w:w="655" w:type="pct"/>
            <w:vMerge/>
            <w:tcBorders>
              <w:bottom w:val="single" w:sz="4" w:space="0" w:color="auto"/>
            </w:tcBorders>
            <w:vAlign w:val="center"/>
          </w:tcPr>
          <w:p w14:paraId="5671C08D" w14:textId="77777777" w:rsidR="005E2933" w:rsidRPr="005E2933" w:rsidRDefault="005E2933" w:rsidP="005E2933">
            <w:pPr>
              <w:spacing w:before="120" w:after="120" w:line="240" w:lineRule="auto"/>
              <w:jc w:val="left"/>
              <w:rPr>
                <w:szCs w:val="22"/>
                <w:lang w:val="id-ID"/>
              </w:rPr>
            </w:pPr>
          </w:p>
        </w:tc>
      </w:tr>
      <w:tr w:rsidR="005E2933" w:rsidRPr="005E2933" w14:paraId="72D6E0F1" w14:textId="77777777" w:rsidTr="00135B2D">
        <w:trPr>
          <w:trHeight w:val="567"/>
        </w:trPr>
        <w:tc>
          <w:tcPr>
            <w:tcW w:w="2172" w:type="pct"/>
            <w:tcBorders>
              <w:bottom w:val="single" w:sz="4" w:space="0" w:color="auto"/>
            </w:tcBorders>
            <w:vAlign w:val="center"/>
          </w:tcPr>
          <w:p w14:paraId="1D4014E6" w14:textId="5A9A3B11" w:rsidR="005E2933" w:rsidRPr="005E2933" w:rsidRDefault="005E2933" w:rsidP="00835AD1">
            <w:pPr>
              <w:spacing w:before="120" w:after="120" w:line="240" w:lineRule="auto"/>
              <w:jc w:val="left"/>
              <w:rPr>
                <w:szCs w:val="22"/>
                <w:lang w:val="en-AU"/>
              </w:rPr>
            </w:pPr>
            <w:r w:rsidRPr="005E2933">
              <w:rPr>
                <w:szCs w:val="22"/>
                <w:lang w:val="id-ID"/>
              </w:rPr>
              <w:t>There is a major push to develop on-line delivery of the CPD system</w:t>
            </w:r>
            <w:r w:rsidR="00843133">
              <w:rPr>
                <w:szCs w:val="22"/>
                <w:lang w:val="en-AU"/>
              </w:rPr>
              <w:t xml:space="preserve"> </w:t>
            </w:r>
            <w:r w:rsidR="00843133" w:rsidRPr="005E2933">
              <w:rPr>
                <w:szCs w:val="22"/>
                <w:lang w:val="id-ID"/>
              </w:rPr>
              <w:t xml:space="preserve">(see </w:t>
            </w:r>
            <w:r w:rsidR="00843133">
              <w:rPr>
                <w:szCs w:val="22"/>
                <w:lang w:val="id-ID"/>
              </w:rPr>
              <w:t>§</w:t>
            </w:r>
            <w:r w:rsidR="00C71926">
              <w:rPr>
                <w:szCs w:val="22"/>
                <w:lang w:val="en-AU"/>
              </w:rPr>
              <w:t>3.1.2</w:t>
            </w:r>
            <w:r w:rsidR="00843133" w:rsidRPr="005E2933">
              <w:rPr>
                <w:szCs w:val="22"/>
                <w:lang w:val="id-ID"/>
              </w:rPr>
              <w:t>)</w:t>
            </w:r>
          </w:p>
        </w:tc>
        <w:tc>
          <w:tcPr>
            <w:tcW w:w="2173" w:type="pct"/>
            <w:tcBorders>
              <w:bottom w:val="single" w:sz="4" w:space="0" w:color="auto"/>
            </w:tcBorders>
            <w:shd w:val="clear" w:color="auto" w:fill="D6E3BC" w:themeFill="accent3" w:themeFillTint="66"/>
            <w:vAlign w:val="center"/>
          </w:tcPr>
          <w:p w14:paraId="3E6E7D91" w14:textId="3797E0E7" w:rsidR="005E2933" w:rsidRPr="005E2933" w:rsidRDefault="001A0E9C" w:rsidP="00843133">
            <w:pPr>
              <w:keepNext/>
              <w:spacing w:before="120" w:after="120" w:line="240" w:lineRule="auto"/>
              <w:jc w:val="left"/>
              <w:rPr>
                <w:szCs w:val="22"/>
                <w:lang w:val="id-ID"/>
              </w:rPr>
            </w:pPr>
            <w:r>
              <w:rPr>
                <w:szCs w:val="22"/>
                <w:lang w:val="en-AU"/>
              </w:rPr>
              <w:t xml:space="preserve">R21: </w:t>
            </w:r>
            <w:r w:rsidR="00843133">
              <w:rPr>
                <w:szCs w:val="22"/>
                <w:lang w:val="en-AU"/>
              </w:rPr>
              <w:t>Adjust t</w:t>
            </w:r>
            <w:r w:rsidR="005E2933" w:rsidRPr="005E2933">
              <w:rPr>
                <w:szCs w:val="22"/>
                <w:lang w:val="en-AU"/>
              </w:rPr>
              <w:t>he pedagogical content of</w:t>
            </w:r>
            <w:r w:rsidR="005E2933" w:rsidRPr="005E2933">
              <w:rPr>
                <w:szCs w:val="22"/>
                <w:lang w:val="id-ID"/>
              </w:rPr>
              <w:t xml:space="preserve"> CPD</w:t>
            </w:r>
            <w:r w:rsidR="005E2933" w:rsidRPr="005E2933">
              <w:rPr>
                <w:szCs w:val="22"/>
                <w:lang w:val="en-AU"/>
              </w:rPr>
              <w:t xml:space="preserve"> training material </w:t>
            </w:r>
            <w:r w:rsidR="00843133">
              <w:rPr>
                <w:szCs w:val="22"/>
                <w:lang w:val="en-AU"/>
              </w:rPr>
              <w:t xml:space="preserve">for </w:t>
            </w:r>
            <w:r w:rsidR="005E2933" w:rsidRPr="005E2933">
              <w:rPr>
                <w:szCs w:val="22"/>
                <w:lang w:val="id-ID"/>
              </w:rPr>
              <w:t xml:space="preserve">on-line delivery </w:t>
            </w:r>
            <w:r w:rsidR="005E2933" w:rsidRPr="005E2933">
              <w:rPr>
                <w:szCs w:val="22"/>
                <w:lang w:val="en-AU"/>
              </w:rPr>
              <w:t xml:space="preserve">and </w:t>
            </w:r>
            <w:r w:rsidR="00843133" w:rsidRPr="005E2933">
              <w:rPr>
                <w:szCs w:val="22"/>
                <w:lang w:val="en-AU"/>
              </w:rPr>
              <w:t xml:space="preserve">develop </w:t>
            </w:r>
            <w:r w:rsidR="005E2933" w:rsidRPr="005E2933">
              <w:rPr>
                <w:szCs w:val="22"/>
                <w:lang w:val="en-AU"/>
              </w:rPr>
              <w:t xml:space="preserve">e-learning skills of beneficiaries </w:t>
            </w:r>
          </w:p>
        </w:tc>
        <w:tc>
          <w:tcPr>
            <w:tcW w:w="655" w:type="pct"/>
            <w:tcBorders>
              <w:bottom w:val="single" w:sz="4" w:space="0" w:color="auto"/>
            </w:tcBorders>
            <w:vAlign w:val="center"/>
          </w:tcPr>
          <w:p w14:paraId="2FD3FE7D" w14:textId="77777777" w:rsidR="005E2933" w:rsidRPr="005E2933" w:rsidRDefault="005E2933" w:rsidP="005E2933">
            <w:pPr>
              <w:spacing w:before="120" w:after="120" w:line="240" w:lineRule="auto"/>
              <w:jc w:val="left"/>
              <w:rPr>
                <w:szCs w:val="22"/>
                <w:lang w:val="id-ID"/>
              </w:rPr>
            </w:pPr>
            <w:r w:rsidRPr="005E2933">
              <w:rPr>
                <w:szCs w:val="22"/>
                <w:lang w:val="id-ID"/>
              </w:rPr>
              <w:t>SSQ / GoI</w:t>
            </w:r>
          </w:p>
        </w:tc>
      </w:tr>
      <w:tr w:rsidR="005E2933" w:rsidRPr="005E2933" w14:paraId="320C61F7" w14:textId="77777777" w:rsidTr="00135B2D">
        <w:trPr>
          <w:trHeight w:val="567"/>
        </w:trPr>
        <w:tc>
          <w:tcPr>
            <w:tcW w:w="5000" w:type="pct"/>
            <w:gridSpan w:val="3"/>
            <w:shd w:val="clear" w:color="auto" w:fill="DBE5F1" w:themeFill="accent1" w:themeFillTint="33"/>
            <w:vAlign w:val="center"/>
          </w:tcPr>
          <w:p w14:paraId="38806E18" w14:textId="77777777" w:rsidR="005E2933" w:rsidRPr="005E2933" w:rsidRDefault="005E2933" w:rsidP="005E2933">
            <w:pPr>
              <w:spacing w:before="120" w:after="120" w:line="240" w:lineRule="auto"/>
              <w:ind w:left="142"/>
              <w:jc w:val="center"/>
              <w:rPr>
                <w:szCs w:val="22"/>
                <w:lang w:val="en-AU"/>
              </w:rPr>
            </w:pPr>
            <w:r w:rsidRPr="005E2933">
              <w:rPr>
                <w:szCs w:val="22"/>
                <w:lang w:val="id-ID"/>
              </w:rPr>
              <w:t>Component 3</w:t>
            </w:r>
          </w:p>
        </w:tc>
      </w:tr>
      <w:tr w:rsidR="005E2933" w:rsidRPr="005E2933" w14:paraId="749D2BF8" w14:textId="77777777" w:rsidTr="005E2933">
        <w:trPr>
          <w:trHeight w:val="567"/>
        </w:trPr>
        <w:tc>
          <w:tcPr>
            <w:tcW w:w="2172" w:type="pct"/>
          </w:tcPr>
          <w:p w14:paraId="20171301" w14:textId="69D8F05D" w:rsidR="005E2933" w:rsidRPr="005E2933" w:rsidRDefault="005E2933" w:rsidP="00835AD1">
            <w:pPr>
              <w:spacing w:before="120" w:after="120" w:line="240" w:lineRule="auto"/>
              <w:jc w:val="left"/>
              <w:rPr>
                <w:szCs w:val="22"/>
                <w:lang w:val="en-AU"/>
              </w:rPr>
            </w:pPr>
            <w:r w:rsidRPr="005E2933">
              <w:rPr>
                <w:szCs w:val="22"/>
                <w:lang w:val="en-AU"/>
              </w:rPr>
              <w:t xml:space="preserve">The paradigm shift towards a quality-based accreditation system is taking hold but stronger evidence of MoRA fully adopting the “model” is required </w:t>
            </w:r>
            <w:r w:rsidR="00C71926" w:rsidRPr="005E2933">
              <w:rPr>
                <w:szCs w:val="22"/>
                <w:lang w:val="id-ID"/>
              </w:rPr>
              <w:t xml:space="preserve">(see </w:t>
            </w:r>
            <w:r w:rsidR="00C71926">
              <w:rPr>
                <w:szCs w:val="22"/>
                <w:lang w:val="id-ID"/>
              </w:rPr>
              <w:t>§</w:t>
            </w:r>
            <w:r w:rsidR="00C71926">
              <w:rPr>
                <w:szCs w:val="22"/>
                <w:lang w:val="en-AU"/>
              </w:rPr>
              <w:t>2.4</w:t>
            </w:r>
            <w:r w:rsidR="00C71926" w:rsidRPr="005E2933">
              <w:rPr>
                <w:szCs w:val="22"/>
                <w:lang w:val="id-ID"/>
              </w:rPr>
              <w:t>)</w:t>
            </w:r>
          </w:p>
        </w:tc>
        <w:tc>
          <w:tcPr>
            <w:tcW w:w="2173" w:type="pct"/>
            <w:shd w:val="clear" w:color="auto" w:fill="FABF8F" w:themeFill="accent6" w:themeFillTint="99"/>
            <w:vAlign w:val="center"/>
          </w:tcPr>
          <w:p w14:paraId="3040D1C6" w14:textId="589BD2D0" w:rsidR="005E2933" w:rsidRPr="005E2933" w:rsidRDefault="001A0E9C" w:rsidP="005E2933">
            <w:pPr>
              <w:keepNext/>
              <w:spacing w:before="120" w:after="120" w:line="240" w:lineRule="auto"/>
              <w:jc w:val="left"/>
              <w:rPr>
                <w:szCs w:val="22"/>
                <w:lang w:val="en-AU"/>
              </w:rPr>
            </w:pPr>
            <w:r>
              <w:rPr>
                <w:szCs w:val="22"/>
                <w:lang w:val="en-AU"/>
              </w:rPr>
              <w:t xml:space="preserve">R22: </w:t>
            </w:r>
            <w:r w:rsidR="005E2933" w:rsidRPr="005E2933">
              <w:rPr>
                <w:szCs w:val="22"/>
                <w:lang w:val="id-ID"/>
              </w:rPr>
              <w:t>M</w:t>
            </w:r>
            <w:proofErr w:type="spellStart"/>
            <w:r w:rsidR="005E2933" w:rsidRPr="005E2933">
              <w:rPr>
                <w:szCs w:val="22"/>
                <w:lang w:val="en-AU"/>
              </w:rPr>
              <w:t>onitor</w:t>
            </w:r>
            <w:proofErr w:type="spellEnd"/>
            <w:r w:rsidR="005E2933" w:rsidRPr="005E2933">
              <w:rPr>
                <w:szCs w:val="22"/>
                <w:lang w:val="en-AU"/>
              </w:rPr>
              <w:t xml:space="preserve"> the opportunities and constraints for MoRA uptake of the SNIP/MDC model</w:t>
            </w:r>
          </w:p>
        </w:tc>
        <w:tc>
          <w:tcPr>
            <w:tcW w:w="655" w:type="pct"/>
            <w:vAlign w:val="center"/>
          </w:tcPr>
          <w:p w14:paraId="41BC6C8D" w14:textId="77777777" w:rsidR="005E2933" w:rsidRPr="005E2933" w:rsidRDefault="005E2933" w:rsidP="005E2933">
            <w:pPr>
              <w:spacing w:before="120" w:after="120" w:line="240" w:lineRule="auto"/>
              <w:jc w:val="left"/>
              <w:rPr>
                <w:szCs w:val="22"/>
                <w:lang w:val="id-ID"/>
              </w:rPr>
            </w:pPr>
            <w:r w:rsidRPr="005E2933">
              <w:rPr>
                <w:szCs w:val="22"/>
                <w:lang w:val="id-ID"/>
              </w:rPr>
              <w:t xml:space="preserve">SSQ </w:t>
            </w:r>
          </w:p>
        </w:tc>
      </w:tr>
      <w:tr w:rsidR="005E2933" w:rsidRPr="005E2933" w14:paraId="076603EF" w14:textId="77777777" w:rsidTr="00135B2D">
        <w:trPr>
          <w:trHeight w:val="567"/>
        </w:trPr>
        <w:tc>
          <w:tcPr>
            <w:tcW w:w="2172" w:type="pct"/>
            <w:vAlign w:val="center"/>
          </w:tcPr>
          <w:p w14:paraId="4CACC5A0" w14:textId="4289FCEC" w:rsidR="005E2933" w:rsidRPr="005E2933" w:rsidRDefault="005E2933" w:rsidP="00835AD1">
            <w:pPr>
              <w:spacing w:before="120" w:after="120" w:line="240" w:lineRule="auto"/>
              <w:jc w:val="left"/>
              <w:rPr>
                <w:szCs w:val="22"/>
                <w:lang w:val="en-AU"/>
              </w:rPr>
            </w:pPr>
            <w:r w:rsidRPr="005E2933">
              <w:rPr>
                <w:szCs w:val="22"/>
                <w:lang w:val="id-ID"/>
              </w:rPr>
              <w:t>S</w:t>
            </w:r>
            <w:r w:rsidRPr="005E2933">
              <w:rPr>
                <w:szCs w:val="22"/>
                <w:lang w:val="en-AU"/>
              </w:rPr>
              <w:t>ustainability</w:t>
            </w:r>
            <w:r w:rsidRPr="005E2933">
              <w:rPr>
                <w:szCs w:val="22"/>
                <w:lang w:val="id-ID"/>
              </w:rPr>
              <w:t xml:space="preserve"> of</w:t>
            </w:r>
            <w:r w:rsidRPr="005E2933">
              <w:rPr>
                <w:szCs w:val="22"/>
                <w:lang w:val="en-AU"/>
              </w:rPr>
              <w:t xml:space="preserve"> </w:t>
            </w:r>
            <w:r w:rsidRPr="005E2933">
              <w:rPr>
                <w:szCs w:val="22"/>
                <w:lang w:val="id-ID"/>
              </w:rPr>
              <w:t>C3</w:t>
            </w:r>
            <w:r w:rsidRPr="005E2933">
              <w:rPr>
                <w:szCs w:val="22"/>
                <w:lang w:val="en-AU"/>
              </w:rPr>
              <w:t xml:space="preserve"> </w:t>
            </w:r>
            <w:r w:rsidRPr="005E2933">
              <w:rPr>
                <w:szCs w:val="22"/>
                <w:lang w:val="id-ID"/>
              </w:rPr>
              <w:t xml:space="preserve">achievements </w:t>
            </w:r>
            <w:r w:rsidRPr="005E2933">
              <w:rPr>
                <w:szCs w:val="22"/>
                <w:lang w:val="en-AU"/>
              </w:rPr>
              <w:t xml:space="preserve">may be compromised </w:t>
            </w:r>
            <w:r w:rsidRPr="005E2933">
              <w:rPr>
                <w:szCs w:val="22"/>
                <w:lang w:val="id-ID"/>
              </w:rPr>
              <w:t>due to its</w:t>
            </w:r>
            <w:r w:rsidRPr="005E2933">
              <w:rPr>
                <w:szCs w:val="22"/>
                <w:lang w:val="en-AU"/>
              </w:rPr>
              <w:t xml:space="preserve"> project-style modality </w:t>
            </w:r>
            <w:r w:rsidR="00C71926" w:rsidRPr="005E2933">
              <w:rPr>
                <w:szCs w:val="22"/>
                <w:lang w:val="id-ID"/>
              </w:rPr>
              <w:t xml:space="preserve">(see </w:t>
            </w:r>
            <w:r w:rsidR="00C71926">
              <w:rPr>
                <w:szCs w:val="22"/>
                <w:lang w:val="id-ID"/>
              </w:rPr>
              <w:t>§</w:t>
            </w:r>
            <w:r w:rsidR="00C71926">
              <w:rPr>
                <w:szCs w:val="22"/>
                <w:lang w:val="en-AU"/>
              </w:rPr>
              <w:t>3.3</w:t>
            </w:r>
            <w:r w:rsidR="00C71926" w:rsidRPr="005E2933">
              <w:rPr>
                <w:szCs w:val="22"/>
                <w:lang w:val="id-ID"/>
              </w:rPr>
              <w:t>)</w:t>
            </w:r>
          </w:p>
        </w:tc>
        <w:tc>
          <w:tcPr>
            <w:tcW w:w="2173" w:type="pct"/>
            <w:shd w:val="clear" w:color="auto" w:fill="D6E3BC" w:themeFill="accent3" w:themeFillTint="66"/>
            <w:vAlign w:val="center"/>
          </w:tcPr>
          <w:p w14:paraId="1B2660C5" w14:textId="6CF347AE" w:rsidR="005E2933" w:rsidRPr="005E2933" w:rsidRDefault="001A0E9C" w:rsidP="005E2933">
            <w:pPr>
              <w:keepNext/>
              <w:spacing w:before="120" w:after="120" w:line="240" w:lineRule="auto"/>
              <w:jc w:val="left"/>
              <w:rPr>
                <w:szCs w:val="22"/>
                <w:lang w:val="id-ID"/>
              </w:rPr>
            </w:pPr>
            <w:r>
              <w:rPr>
                <w:szCs w:val="22"/>
                <w:lang w:val="en-AU"/>
              </w:rPr>
              <w:t xml:space="preserve">R23: </w:t>
            </w:r>
            <w:r w:rsidR="005E2933" w:rsidRPr="005E2933">
              <w:rPr>
                <w:szCs w:val="22"/>
                <w:lang w:val="id-ID"/>
              </w:rPr>
              <w:t>Develop a sustainability strategy for C3</w:t>
            </w:r>
          </w:p>
        </w:tc>
        <w:tc>
          <w:tcPr>
            <w:tcW w:w="655" w:type="pct"/>
            <w:vAlign w:val="center"/>
          </w:tcPr>
          <w:p w14:paraId="2A5B30A5" w14:textId="77777777" w:rsidR="005E2933" w:rsidRPr="005E2933" w:rsidRDefault="005E2933" w:rsidP="005E2933">
            <w:pPr>
              <w:spacing w:before="120" w:after="120" w:line="240" w:lineRule="auto"/>
              <w:jc w:val="left"/>
              <w:rPr>
                <w:szCs w:val="22"/>
                <w:lang w:val="id-ID"/>
              </w:rPr>
            </w:pPr>
            <w:r w:rsidRPr="005E2933">
              <w:rPr>
                <w:szCs w:val="22"/>
                <w:lang w:val="id-ID"/>
              </w:rPr>
              <w:t>SSQ / AusAID</w:t>
            </w:r>
          </w:p>
        </w:tc>
      </w:tr>
      <w:tr w:rsidR="005E2933" w:rsidRPr="005E2933" w14:paraId="0C7D00B1" w14:textId="77777777" w:rsidTr="00135B2D">
        <w:trPr>
          <w:trHeight w:val="567"/>
        </w:trPr>
        <w:tc>
          <w:tcPr>
            <w:tcW w:w="5000" w:type="pct"/>
            <w:gridSpan w:val="3"/>
            <w:shd w:val="clear" w:color="auto" w:fill="DBE5F1" w:themeFill="accent1" w:themeFillTint="33"/>
            <w:vAlign w:val="center"/>
          </w:tcPr>
          <w:p w14:paraId="6FB1A111" w14:textId="77777777" w:rsidR="005E2933" w:rsidRPr="005E2933" w:rsidRDefault="005E2933" w:rsidP="00514102">
            <w:pPr>
              <w:keepNext/>
              <w:spacing w:before="120" w:after="120" w:line="240" w:lineRule="auto"/>
              <w:ind w:left="142"/>
              <w:jc w:val="center"/>
              <w:rPr>
                <w:szCs w:val="22"/>
                <w:lang w:val="en-AU"/>
              </w:rPr>
            </w:pPr>
            <w:r w:rsidRPr="005E2933">
              <w:rPr>
                <w:szCs w:val="22"/>
                <w:lang w:val="id-ID"/>
              </w:rPr>
              <w:lastRenderedPageBreak/>
              <w:t>Component 4</w:t>
            </w:r>
          </w:p>
        </w:tc>
      </w:tr>
      <w:tr w:rsidR="005E2933" w:rsidRPr="005E2933" w14:paraId="27914697" w14:textId="77777777" w:rsidTr="00135B2D">
        <w:trPr>
          <w:trHeight w:val="567"/>
        </w:trPr>
        <w:tc>
          <w:tcPr>
            <w:tcW w:w="2172" w:type="pct"/>
            <w:vAlign w:val="center"/>
          </w:tcPr>
          <w:p w14:paraId="32902EFD" w14:textId="42B8BB1B" w:rsidR="005E2933" w:rsidRPr="005E2933" w:rsidRDefault="005E2933" w:rsidP="00835AD1">
            <w:pPr>
              <w:keepNext/>
              <w:spacing w:before="120" w:after="120" w:line="240" w:lineRule="auto"/>
              <w:jc w:val="left"/>
              <w:rPr>
                <w:szCs w:val="22"/>
                <w:lang w:val="id-ID"/>
              </w:rPr>
            </w:pPr>
            <w:r w:rsidRPr="005E2933">
              <w:rPr>
                <w:szCs w:val="22"/>
                <w:lang w:val="id-ID"/>
              </w:rPr>
              <w:t>There is so far no evidence that the ACDP model increase</w:t>
            </w:r>
            <w:r w:rsidR="00C71926">
              <w:rPr>
                <w:szCs w:val="22"/>
                <w:lang w:val="en-AU"/>
              </w:rPr>
              <w:t>s</w:t>
            </w:r>
            <w:r w:rsidRPr="005E2933">
              <w:rPr>
                <w:szCs w:val="22"/>
                <w:lang w:val="id-ID"/>
              </w:rPr>
              <w:t xml:space="preserve"> </w:t>
            </w:r>
            <w:r w:rsidRPr="005E2933">
              <w:rPr>
                <w:szCs w:val="22"/>
                <w:lang w:val="en-AU"/>
              </w:rPr>
              <w:t>us</w:t>
            </w:r>
            <w:r w:rsidRPr="005E2933">
              <w:rPr>
                <w:szCs w:val="22"/>
                <w:lang w:val="id-ID"/>
              </w:rPr>
              <w:t>e of</w:t>
            </w:r>
            <w:r w:rsidRPr="005E2933">
              <w:rPr>
                <w:szCs w:val="22"/>
                <w:lang w:val="en-AU"/>
              </w:rPr>
              <w:t xml:space="preserve"> evidence </w:t>
            </w:r>
            <w:r w:rsidRPr="005E2933">
              <w:rPr>
                <w:szCs w:val="22"/>
                <w:lang w:val="id-ID"/>
              </w:rPr>
              <w:t>by policy makers</w:t>
            </w:r>
            <w:r w:rsidR="00C71926">
              <w:rPr>
                <w:szCs w:val="22"/>
                <w:lang w:val="en-AU"/>
              </w:rPr>
              <w:t xml:space="preserve"> </w:t>
            </w:r>
            <w:r w:rsidR="00C71926" w:rsidRPr="005E2933">
              <w:rPr>
                <w:szCs w:val="22"/>
                <w:lang w:val="id-ID"/>
              </w:rPr>
              <w:t xml:space="preserve">(see </w:t>
            </w:r>
            <w:r w:rsidR="00C71926">
              <w:rPr>
                <w:szCs w:val="22"/>
                <w:lang w:val="id-ID"/>
              </w:rPr>
              <w:t>§</w:t>
            </w:r>
            <w:r w:rsidR="00C71926">
              <w:rPr>
                <w:szCs w:val="22"/>
                <w:lang w:val="en-AU"/>
              </w:rPr>
              <w:t>2.5</w:t>
            </w:r>
            <w:r w:rsidR="00C71926" w:rsidRPr="005E2933">
              <w:rPr>
                <w:szCs w:val="22"/>
                <w:lang w:val="id-ID"/>
              </w:rPr>
              <w:t>)</w:t>
            </w:r>
          </w:p>
        </w:tc>
        <w:tc>
          <w:tcPr>
            <w:tcW w:w="2173" w:type="pct"/>
            <w:shd w:val="clear" w:color="auto" w:fill="CCC0D9" w:themeFill="accent4" w:themeFillTint="66"/>
            <w:vAlign w:val="center"/>
          </w:tcPr>
          <w:p w14:paraId="79396606" w14:textId="4C11E169" w:rsidR="005E2933" w:rsidRPr="00EA5BA2" w:rsidRDefault="001A0E9C" w:rsidP="00F05AD6">
            <w:pPr>
              <w:keepNext/>
              <w:spacing w:before="120" w:after="120" w:line="240" w:lineRule="auto"/>
              <w:jc w:val="left"/>
              <w:rPr>
                <w:szCs w:val="22"/>
                <w:lang w:val="en-AU"/>
              </w:rPr>
            </w:pPr>
            <w:r>
              <w:rPr>
                <w:szCs w:val="22"/>
                <w:lang w:val="en-AU"/>
              </w:rPr>
              <w:t xml:space="preserve">R24: </w:t>
            </w:r>
            <w:r w:rsidR="00F05AD6">
              <w:rPr>
                <w:szCs w:val="22"/>
                <w:lang w:val="en-AU"/>
              </w:rPr>
              <w:t>Promote socialisation strategy of research findings and e</w:t>
            </w:r>
            <w:r w:rsidR="00EA5BA2" w:rsidRPr="00EA5BA2">
              <w:rPr>
                <w:szCs w:val="22"/>
                <w:lang w:val="id-ID"/>
              </w:rPr>
              <w:t xml:space="preserve">nsure robust M&amp;E system is designed and implemented by implementing partner and </w:t>
            </w:r>
            <w:r w:rsidR="00F05AD6">
              <w:rPr>
                <w:szCs w:val="22"/>
                <w:lang w:val="en-AU"/>
              </w:rPr>
              <w:t xml:space="preserve">by </w:t>
            </w:r>
            <w:r w:rsidR="00EA5BA2">
              <w:rPr>
                <w:szCs w:val="22"/>
                <w:lang w:val="en-AU"/>
              </w:rPr>
              <w:t>POM</w:t>
            </w:r>
            <w:r w:rsidR="00F05AD6">
              <w:rPr>
                <w:szCs w:val="22"/>
                <w:lang w:val="en-AU"/>
              </w:rPr>
              <w:t>.</w:t>
            </w:r>
          </w:p>
        </w:tc>
        <w:tc>
          <w:tcPr>
            <w:tcW w:w="655" w:type="pct"/>
            <w:vAlign w:val="center"/>
          </w:tcPr>
          <w:p w14:paraId="2A0BF3B6" w14:textId="6A21CAA7" w:rsidR="005E2933" w:rsidRPr="00EA5BA2" w:rsidRDefault="00EA5BA2" w:rsidP="00514102">
            <w:pPr>
              <w:keepNext/>
              <w:spacing w:before="120" w:after="120" w:line="240" w:lineRule="auto"/>
              <w:jc w:val="left"/>
              <w:rPr>
                <w:szCs w:val="22"/>
                <w:lang w:val="en-AU"/>
              </w:rPr>
            </w:pPr>
            <w:r>
              <w:rPr>
                <w:szCs w:val="22"/>
                <w:lang w:val="id-ID"/>
              </w:rPr>
              <w:t>A</w:t>
            </w:r>
            <w:r>
              <w:rPr>
                <w:szCs w:val="22"/>
                <w:lang w:val="en-AU"/>
              </w:rPr>
              <w:t>DB/POM</w:t>
            </w:r>
          </w:p>
        </w:tc>
      </w:tr>
      <w:tr w:rsidR="005E2933" w:rsidRPr="005E2933" w14:paraId="49894A50" w14:textId="77777777" w:rsidTr="00C71926">
        <w:trPr>
          <w:trHeight w:val="567"/>
        </w:trPr>
        <w:tc>
          <w:tcPr>
            <w:tcW w:w="2172" w:type="pct"/>
            <w:vAlign w:val="center"/>
          </w:tcPr>
          <w:p w14:paraId="42F99379" w14:textId="43EEDEB0" w:rsidR="005E2933" w:rsidRPr="00C71926" w:rsidRDefault="005E2933" w:rsidP="00835AD1">
            <w:pPr>
              <w:spacing w:before="120" w:after="120" w:line="240" w:lineRule="auto"/>
              <w:jc w:val="left"/>
              <w:rPr>
                <w:szCs w:val="22"/>
                <w:lang w:val="en-AU"/>
              </w:rPr>
            </w:pPr>
            <w:r w:rsidRPr="005E2933">
              <w:rPr>
                <w:szCs w:val="22"/>
                <w:lang w:val="id-ID"/>
              </w:rPr>
              <w:t>T</w:t>
            </w:r>
            <w:r w:rsidRPr="005E2933">
              <w:rPr>
                <w:szCs w:val="22"/>
                <w:lang w:val="en-AU"/>
              </w:rPr>
              <w:t xml:space="preserve">he critical assumptions underpinning the </w:t>
            </w:r>
            <w:r w:rsidRPr="005E2933">
              <w:rPr>
                <w:szCs w:val="22"/>
                <w:lang w:val="id-ID"/>
              </w:rPr>
              <w:t xml:space="preserve">C4 </w:t>
            </w:r>
            <w:r w:rsidRPr="005E2933">
              <w:rPr>
                <w:szCs w:val="22"/>
                <w:lang w:val="en-AU"/>
              </w:rPr>
              <w:t xml:space="preserve">logic </w:t>
            </w:r>
            <w:r w:rsidR="00C71926">
              <w:rPr>
                <w:szCs w:val="22"/>
                <w:lang w:val="id-ID"/>
              </w:rPr>
              <w:t>need</w:t>
            </w:r>
            <w:r w:rsidRPr="005E2933">
              <w:rPr>
                <w:szCs w:val="22"/>
                <w:lang w:val="id-ID"/>
              </w:rPr>
              <w:t xml:space="preserve"> to be clarif</w:t>
            </w:r>
            <w:r w:rsidR="00C71926">
              <w:rPr>
                <w:szCs w:val="22"/>
                <w:lang w:val="en-AU"/>
              </w:rPr>
              <w:t>ied</w:t>
            </w:r>
            <w:r w:rsidRPr="005E2933">
              <w:rPr>
                <w:szCs w:val="22"/>
                <w:lang w:val="id-ID"/>
              </w:rPr>
              <w:t xml:space="preserve"> and reported against</w:t>
            </w:r>
            <w:r w:rsidR="00C71926">
              <w:rPr>
                <w:szCs w:val="22"/>
                <w:lang w:val="en-AU"/>
              </w:rPr>
              <w:t xml:space="preserve"> </w:t>
            </w:r>
            <w:r w:rsidR="00C71926" w:rsidRPr="005E2933">
              <w:rPr>
                <w:szCs w:val="22"/>
                <w:lang w:val="id-ID"/>
              </w:rPr>
              <w:t xml:space="preserve">(see </w:t>
            </w:r>
            <w:r w:rsidR="00C71926">
              <w:rPr>
                <w:szCs w:val="22"/>
                <w:lang w:val="id-ID"/>
              </w:rPr>
              <w:t>§</w:t>
            </w:r>
            <w:r w:rsidR="00C71926">
              <w:rPr>
                <w:szCs w:val="22"/>
                <w:lang w:val="en-AU"/>
              </w:rPr>
              <w:t>2.5</w:t>
            </w:r>
            <w:r w:rsidR="00C71926" w:rsidRPr="005E2933">
              <w:rPr>
                <w:szCs w:val="22"/>
                <w:lang w:val="id-ID"/>
              </w:rPr>
              <w:t>)</w:t>
            </w:r>
          </w:p>
        </w:tc>
        <w:tc>
          <w:tcPr>
            <w:tcW w:w="2173" w:type="pct"/>
            <w:shd w:val="clear" w:color="auto" w:fill="CCC0D9" w:themeFill="accent4" w:themeFillTint="66"/>
            <w:vAlign w:val="center"/>
          </w:tcPr>
          <w:p w14:paraId="7B9B4EC9" w14:textId="65015514" w:rsidR="005E2933" w:rsidRPr="005E2933" w:rsidRDefault="001A0E9C" w:rsidP="00C71926">
            <w:pPr>
              <w:keepNext/>
              <w:spacing w:before="120" w:after="120" w:line="240" w:lineRule="auto"/>
              <w:jc w:val="left"/>
              <w:rPr>
                <w:szCs w:val="22"/>
                <w:lang w:val="en-AU"/>
              </w:rPr>
            </w:pPr>
            <w:r>
              <w:rPr>
                <w:szCs w:val="22"/>
                <w:lang w:val="en-AU"/>
              </w:rPr>
              <w:t xml:space="preserve">R25: </w:t>
            </w:r>
            <w:r w:rsidR="005E2933" w:rsidRPr="005E2933">
              <w:rPr>
                <w:szCs w:val="22"/>
                <w:lang w:val="id-ID"/>
              </w:rPr>
              <w:t>Streng</w:t>
            </w:r>
            <w:proofErr w:type="spellStart"/>
            <w:r w:rsidR="00C71926">
              <w:rPr>
                <w:szCs w:val="22"/>
                <w:lang w:val="en-AU"/>
              </w:rPr>
              <w:t>th</w:t>
            </w:r>
            <w:proofErr w:type="spellEnd"/>
            <w:r w:rsidR="005E2933" w:rsidRPr="005E2933">
              <w:rPr>
                <w:szCs w:val="22"/>
                <w:lang w:val="id-ID"/>
              </w:rPr>
              <w:t>en the C4 logic to include assumption</w:t>
            </w:r>
            <w:r w:rsidR="00C71926">
              <w:rPr>
                <w:szCs w:val="22"/>
                <w:lang w:val="en-AU"/>
              </w:rPr>
              <w:t>s</w:t>
            </w:r>
            <w:r w:rsidR="005E2933" w:rsidRPr="005E2933">
              <w:rPr>
                <w:szCs w:val="22"/>
                <w:lang w:val="id-ID"/>
              </w:rPr>
              <w:t xml:space="preserve"> behind and </w:t>
            </w:r>
            <w:r w:rsidR="005E2933" w:rsidRPr="005E2933">
              <w:rPr>
                <w:szCs w:val="22"/>
                <w:lang w:val="en-AU"/>
              </w:rPr>
              <w:t xml:space="preserve">expected shifts in knowledge, attitudes and practices </w:t>
            </w:r>
            <w:r w:rsidR="005E2933" w:rsidRPr="005E2933">
              <w:rPr>
                <w:szCs w:val="22"/>
                <w:lang w:val="id-ID"/>
              </w:rPr>
              <w:t>of relevant policy-makers</w:t>
            </w:r>
            <w:r w:rsidR="005E2933" w:rsidRPr="005E2933">
              <w:rPr>
                <w:szCs w:val="22"/>
                <w:lang w:val="en-AU"/>
              </w:rPr>
              <w:t xml:space="preserve"> </w:t>
            </w:r>
          </w:p>
        </w:tc>
        <w:tc>
          <w:tcPr>
            <w:tcW w:w="655" w:type="pct"/>
            <w:vAlign w:val="center"/>
          </w:tcPr>
          <w:p w14:paraId="102A8051" w14:textId="37D195EB" w:rsidR="005E2933" w:rsidRPr="005E2933" w:rsidRDefault="005E2933" w:rsidP="00002792">
            <w:pPr>
              <w:spacing w:before="120" w:after="120" w:line="240" w:lineRule="auto"/>
              <w:jc w:val="left"/>
              <w:rPr>
                <w:szCs w:val="22"/>
                <w:lang w:val="id-ID"/>
              </w:rPr>
            </w:pPr>
            <w:r w:rsidRPr="005E2933">
              <w:rPr>
                <w:szCs w:val="22"/>
                <w:lang w:val="id-ID"/>
              </w:rPr>
              <w:t>A</w:t>
            </w:r>
            <w:proofErr w:type="spellStart"/>
            <w:r w:rsidR="00002792">
              <w:rPr>
                <w:szCs w:val="22"/>
                <w:lang w:val="en-AU"/>
              </w:rPr>
              <w:t>usAID</w:t>
            </w:r>
            <w:proofErr w:type="spellEnd"/>
            <w:r w:rsidR="00002792">
              <w:rPr>
                <w:szCs w:val="22"/>
                <w:lang w:val="en-AU"/>
              </w:rPr>
              <w:t>/EC</w:t>
            </w:r>
          </w:p>
        </w:tc>
      </w:tr>
      <w:tr w:rsidR="005E2933" w:rsidRPr="005E2933" w14:paraId="0A3DDC4D" w14:textId="77777777" w:rsidTr="005E2933">
        <w:trPr>
          <w:trHeight w:val="567"/>
        </w:trPr>
        <w:tc>
          <w:tcPr>
            <w:tcW w:w="2172" w:type="pct"/>
            <w:vAlign w:val="center"/>
          </w:tcPr>
          <w:p w14:paraId="32F4C351" w14:textId="1E0D7E90" w:rsidR="005E2933" w:rsidRPr="005E2933" w:rsidRDefault="005E2933" w:rsidP="00835AD1">
            <w:pPr>
              <w:spacing w:before="120" w:after="120" w:line="240" w:lineRule="auto"/>
              <w:jc w:val="left"/>
              <w:rPr>
                <w:szCs w:val="22"/>
                <w:lang w:val="en-AU"/>
              </w:rPr>
            </w:pPr>
            <w:r w:rsidRPr="005E2933">
              <w:rPr>
                <w:szCs w:val="22"/>
                <w:lang w:val="en-AU"/>
              </w:rPr>
              <w:t>The ACDP model predominantly focuses on the delivery of research studies</w:t>
            </w:r>
            <w:r w:rsidRPr="005E2933">
              <w:rPr>
                <w:szCs w:val="22"/>
                <w:lang w:val="id-ID"/>
              </w:rPr>
              <w:t xml:space="preserve"> and makes </w:t>
            </w:r>
            <w:r w:rsidRPr="005E2933">
              <w:rPr>
                <w:szCs w:val="22"/>
                <w:lang w:val="en-AU"/>
              </w:rPr>
              <w:t xml:space="preserve">limited use of other knowledge products and activities </w:t>
            </w:r>
            <w:r w:rsidR="00C71926" w:rsidRPr="005E2933">
              <w:rPr>
                <w:szCs w:val="22"/>
                <w:lang w:val="id-ID"/>
              </w:rPr>
              <w:t xml:space="preserve">(see </w:t>
            </w:r>
            <w:r w:rsidR="00C71926">
              <w:rPr>
                <w:szCs w:val="22"/>
                <w:lang w:val="id-ID"/>
              </w:rPr>
              <w:t>§</w:t>
            </w:r>
            <w:r w:rsidR="00C71926">
              <w:rPr>
                <w:szCs w:val="22"/>
                <w:lang w:val="en-AU"/>
              </w:rPr>
              <w:t>2.5</w:t>
            </w:r>
            <w:r w:rsidR="00514102">
              <w:rPr>
                <w:szCs w:val="22"/>
                <w:lang w:val="en-AU"/>
              </w:rPr>
              <w:t xml:space="preserve"> and </w:t>
            </w:r>
            <w:r w:rsidR="00514102">
              <w:rPr>
                <w:szCs w:val="22"/>
                <w:lang w:val="id-ID"/>
              </w:rPr>
              <w:t>§</w:t>
            </w:r>
            <w:r w:rsidR="00514102">
              <w:rPr>
                <w:szCs w:val="22"/>
                <w:lang w:val="en-AU"/>
              </w:rPr>
              <w:t>3.3</w:t>
            </w:r>
            <w:r w:rsidR="00C71926" w:rsidRPr="005E2933">
              <w:rPr>
                <w:szCs w:val="22"/>
                <w:lang w:val="id-ID"/>
              </w:rPr>
              <w:t>)</w:t>
            </w:r>
          </w:p>
        </w:tc>
        <w:tc>
          <w:tcPr>
            <w:tcW w:w="2173" w:type="pct"/>
            <w:shd w:val="clear" w:color="auto" w:fill="FABF8F" w:themeFill="accent6" w:themeFillTint="99"/>
            <w:vAlign w:val="center"/>
          </w:tcPr>
          <w:p w14:paraId="72F5D59C" w14:textId="7F29DB98" w:rsidR="005E2933" w:rsidRPr="00BE0B2E" w:rsidRDefault="001A0E9C" w:rsidP="00C71926">
            <w:pPr>
              <w:keepNext/>
              <w:spacing w:before="120" w:after="120" w:line="240" w:lineRule="auto"/>
              <w:jc w:val="left"/>
              <w:rPr>
                <w:szCs w:val="22"/>
                <w:lang w:val="en-AU"/>
              </w:rPr>
            </w:pPr>
            <w:r>
              <w:rPr>
                <w:szCs w:val="22"/>
                <w:lang w:val="en-AU"/>
              </w:rPr>
              <w:t xml:space="preserve">R26: </w:t>
            </w:r>
            <w:r w:rsidR="00BE0B2E" w:rsidRPr="00BE0B2E">
              <w:rPr>
                <w:szCs w:val="22"/>
                <w:lang w:val="en-AU"/>
              </w:rPr>
              <w:t>Ensure consideration is given to all mechanisms available to ACDP in response to demand. Consider entering into dialogue with new AusAID funded KSI to ensure experiences with respect to fostering more evidence-based policy making are shared.</w:t>
            </w:r>
          </w:p>
        </w:tc>
        <w:tc>
          <w:tcPr>
            <w:tcW w:w="655" w:type="pct"/>
            <w:vAlign w:val="center"/>
          </w:tcPr>
          <w:p w14:paraId="5C10C40C" w14:textId="338D190A" w:rsidR="005E2933" w:rsidRPr="00514102" w:rsidRDefault="005E2933" w:rsidP="005E2933">
            <w:pPr>
              <w:spacing w:before="120" w:after="120" w:line="240" w:lineRule="auto"/>
              <w:jc w:val="left"/>
              <w:rPr>
                <w:szCs w:val="22"/>
                <w:lang w:val="en-AU"/>
              </w:rPr>
            </w:pPr>
            <w:r w:rsidRPr="005E2933">
              <w:rPr>
                <w:szCs w:val="22"/>
                <w:lang w:val="id-ID"/>
              </w:rPr>
              <w:t>ADB</w:t>
            </w:r>
            <w:r w:rsidR="00514102">
              <w:rPr>
                <w:szCs w:val="22"/>
                <w:lang w:val="en-AU"/>
              </w:rPr>
              <w:t xml:space="preserve"> / AusAID</w:t>
            </w:r>
          </w:p>
        </w:tc>
      </w:tr>
      <w:tr w:rsidR="005E2933" w:rsidRPr="005E2933" w14:paraId="41159CAB" w14:textId="77777777" w:rsidTr="00135B2D">
        <w:trPr>
          <w:trHeight w:val="567"/>
        </w:trPr>
        <w:tc>
          <w:tcPr>
            <w:tcW w:w="2172" w:type="pct"/>
            <w:vAlign w:val="center"/>
          </w:tcPr>
          <w:p w14:paraId="02392495" w14:textId="06BD0E04" w:rsidR="005E2933" w:rsidRPr="005E2933" w:rsidRDefault="005E2933" w:rsidP="00835AD1">
            <w:pPr>
              <w:spacing w:before="120" w:after="120" w:line="240" w:lineRule="auto"/>
              <w:jc w:val="left"/>
              <w:rPr>
                <w:szCs w:val="22"/>
                <w:lang w:val="en-AU"/>
              </w:rPr>
            </w:pPr>
            <w:r w:rsidRPr="005E2933">
              <w:rPr>
                <w:szCs w:val="22"/>
                <w:lang w:val="id-ID"/>
              </w:rPr>
              <w:t>There are li</w:t>
            </w:r>
            <w:r w:rsidRPr="005E2933">
              <w:rPr>
                <w:szCs w:val="22"/>
                <w:lang w:val="en-AU"/>
              </w:rPr>
              <w:t xml:space="preserve">mited lessons and findings from EP permeating ACDP products, and </w:t>
            </w:r>
            <w:r w:rsidRPr="005E2933">
              <w:rPr>
                <w:szCs w:val="22"/>
                <w:lang w:val="id-ID"/>
              </w:rPr>
              <w:t xml:space="preserve">limited demands for </w:t>
            </w:r>
            <w:r w:rsidRPr="005E2933">
              <w:rPr>
                <w:szCs w:val="22"/>
                <w:lang w:val="en-AU"/>
              </w:rPr>
              <w:t>ACDP</w:t>
            </w:r>
            <w:r w:rsidRPr="005E2933">
              <w:rPr>
                <w:szCs w:val="22"/>
                <w:lang w:val="id-ID"/>
              </w:rPr>
              <w:t xml:space="preserve"> </w:t>
            </w:r>
            <w:r w:rsidRPr="005E2933">
              <w:rPr>
                <w:szCs w:val="22"/>
                <w:lang w:val="en-AU"/>
              </w:rPr>
              <w:t>knowledge products</w:t>
            </w:r>
            <w:r w:rsidRPr="005E2933">
              <w:rPr>
                <w:szCs w:val="22"/>
                <w:lang w:val="id-ID"/>
              </w:rPr>
              <w:t xml:space="preserve"> from</w:t>
            </w:r>
            <w:r w:rsidRPr="005E2933">
              <w:rPr>
                <w:szCs w:val="22"/>
                <w:lang w:val="en-AU"/>
              </w:rPr>
              <w:t xml:space="preserve"> policy makers involved in the EP</w:t>
            </w:r>
            <w:r w:rsidR="00514102">
              <w:rPr>
                <w:szCs w:val="22"/>
                <w:lang w:val="en-AU"/>
              </w:rPr>
              <w:t xml:space="preserve"> (see </w:t>
            </w:r>
            <w:r w:rsidR="00514102">
              <w:rPr>
                <w:szCs w:val="22"/>
                <w:lang w:val="id-ID"/>
              </w:rPr>
              <w:t>§</w:t>
            </w:r>
            <w:r w:rsidR="00514102">
              <w:rPr>
                <w:szCs w:val="22"/>
                <w:lang w:val="en-AU"/>
              </w:rPr>
              <w:t>2.5)</w:t>
            </w:r>
          </w:p>
        </w:tc>
        <w:tc>
          <w:tcPr>
            <w:tcW w:w="2173" w:type="pct"/>
            <w:shd w:val="clear" w:color="auto" w:fill="D6E3BC" w:themeFill="accent3" w:themeFillTint="66"/>
            <w:vAlign w:val="center"/>
          </w:tcPr>
          <w:p w14:paraId="653D1ADA" w14:textId="03DA55AD" w:rsidR="005E2933" w:rsidRPr="005E2933" w:rsidRDefault="001A0E9C" w:rsidP="005E2933">
            <w:pPr>
              <w:keepNext/>
              <w:spacing w:before="120" w:after="120" w:line="240" w:lineRule="auto"/>
              <w:jc w:val="left"/>
              <w:rPr>
                <w:szCs w:val="22"/>
                <w:lang w:val="id-ID"/>
              </w:rPr>
            </w:pPr>
            <w:r>
              <w:rPr>
                <w:szCs w:val="22"/>
                <w:lang w:val="en-AU"/>
              </w:rPr>
              <w:t xml:space="preserve">R27: </w:t>
            </w:r>
            <w:r w:rsidR="005E2933" w:rsidRPr="005E2933">
              <w:rPr>
                <w:szCs w:val="22"/>
                <w:lang w:val="id-ID"/>
              </w:rPr>
              <w:t>Encourage</w:t>
            </w:r>
            <w:r w:rsidR="005E2933" w:rsidRPr="005E2933">
              <w:rPr>
                <w:szCs w:val="22"/>
                <w:lang w:val="en-AU"/>
              </w:rPr>
              <w:t xml:space="preserve"> policy makers involved in the EP</w:t>
            </w:r>
            <w:r w:rsidR="005E2933" w:rsidRPr="005E2933">
              <w:rPr>
                <w:szCs w:val="22"/>
                <w:lang w:val="id-ID"/>
              </w:rPr>
              <w:t xml:space="preserve"> to use ACDP and feed </w:t>
            </w:r>
            <w:r w:rsidR="005E2933" w:rsidRPr="005E2933">
              <w:rPr>
                <w:szCs w:val="22"/>
                <w:lang w:val="en-AU"/>
              </w:rPr>
              <w:t xml:space="preserve">EP lessons and findings </w:t>
            </w:r>
            <w:r w:rsidR="005E2933" w:rsidRPr="005E2933">
              <w:rPr>
                <w:szCs w:val="22"/>
                <w:lang w:val="id-ID"/>
              </w:rPr>
              <w:t>into ACDP work</w:t>
            </w:r>
            <w:r w:rsidR="005E2933" w:rsidRPr="005E2933">
              <w:rPr>
                <w:szCs w:val="22"/>
                <w:lang w:val="en-AU"/>
              </w:rPr>
              <w:t xml:space="preserve"> </w:t>
            </w:r>
          </w:p>
        </w:tc>
        <w:tc>
          <w:tcPr>
            <w:tcW w:w="655" w:type="pct"/>
            <w:vAlign w:val="center"/>
          </w:tcPr>
          <w:p w14:paraId="743C1C46" w14:textId="77777777" w:rsidR="005E2933" w:rsidRPr="005E2933" w:rsidRDefault="005E2933" w:rsidP="005E2933">
            <w:pPr>
              <w:spacing w:before="120" w:after="120" w:line="240" w:lineRule="auto"/>
              <w:jc w:val="left"/>
              <w:rPr>
                <w:szCs w:val="22"/>
                <w:lang w:val="id-ID"/>
              </w:rPr>
            </w:pPr>
            <w:r w:rsidRPr="005E2933">
              <w:rPr>
                <w:szCs w:val="22"/>
                <w:lang w:val="id-ID"/>
              </w:rPr>
              <w:t>AusAID / SSQ</w:t>
            </w:r>
          </w:p>
        </w:tc>
      </w:tr>
    </w:tbl>
    <w:p w14:paraId="7528340B" w14:textId="77777777" w:rsidR="005E2933" w:rsidRPr="005E2933" w:rsidRDefault="005E2933" w:rsidP="005E2933">
      <w:pPr>
        <w:spacing w:before="120" w:after="120"/>
        <w:jc w:val="left"/>
        <w:rPr>
          <w:rFonts w:asciiTheme="minorHAnsi" w:eastAsiaTheme="minorHAnsi" w:hAnsiTheme="minorHAnsi" w:cstheme="minorBidi"/>
          <w:b/>
          <w:szCs w:val="22"/>
          <w:lang w:val="id-ID" w:eastAsia="en-US"/>
        </w:rPr>
      </w:pPr>
    </w:p>
    <w:p w14:paraId="226187BA" w14:textId="77777777" w:rsidR="005E2933" w:rsidRPr="005E2933" w:rsidRDefault="005E2933" w:rsidP="005E2933">
      <w:pPr>
        <w:spacing w:before="120" w:after="120"/>
        <w:jc w:val="left"/>
        <w:rPr>
          <w:rFonts w:asciiTheme="minorHAnsi" w:eastAsiaTheme="minorHAnsi" w:hAnsiTheme="minorHAnsi" w:cstheme="minorBidi"/>
          <w:b/>
          <w:szCs w:val="22"/>
          <w:lang w:val="en-AU" w:eastAsia="en-US"/>
        </w:rPr>
      </w:pPr>
    </w:p>
    <w:bookmarkEnd w:id="47"/>
    <w:p w14:paraId="17341173" w14:textId="77777777" w:rsidR="00F90CC0" w:rsidRPr="00AF1D30" w:rsidRDefault="00F90CC0" w:rsidP="00D76663">
      <w:pPr>
        <w:pStyle w:val="HeadingGRM"/>
        <w:numPr>
          <w:ilvl w:val="0"/>
          <w:numId w:val="10"/>
        </w:numPr>
        <w:tabs>
          <w:tab w:val="left" w:pos="630"/>
        </w:tabs>
        <w:ind w:left="630" w:hanging="630"/>
        <w:rPr>
          <w:color w:val="1F497D"/>
        </w:rPr>
        <w:sectPr w:rsidR="00F90CC0" w:rsidRPr="00AF1D30" w:rsidSect="00C52581">
          <w:footerReference w:type="default" r:id="rId17"/>
          <w:pgSz w:w="16840" w:h="11907" w:orient="landscape" w:code="9"/>
          <w:pgMar w:top="1440" w:right="1440" w:bottom="1440" w:left="1440" w:header="540" w:footer="696" w:gutter="0"/>
          <w:cols w:space="720"/>
          <w:docGrid w:linePitch="326"/>
        </w:sectPr>
      </w:pPr>
    </w:p>
    <w:p w14:paraId="6B87CEA5" w14:textId="77777777" w:rsidR="00B26CF4" w:rsidRPr="00AF1D30" w:rsidRDefault="00B26CF4" w:rsidP="00F63654">
      <w:pPr>
        <w:spacing w:before="1600" w:after="160"/>
        <w:jc w:val="right"/>
        <w:rPr>
          <w:rFonts w:ascii="Arial Narrow" w:hAnsi="Arial Narrow" w:cs="Calibri"/>
          <w:b/>
          <w:smallCaps/>
          <w:color w:val="004071"/>
          <w:sz w:val="66"/>
          <w:szCs w:val="66"/>
        </w:rPr>
      </w:pPr>
    </w:p>
    <w:p w14:paraId="2ECE8476" w14:textId="77777777" w:rsidR="00240F1C" w:rsidRPr="00AF1D30" w:rsidRDefault="00240F1C" w:rsidP="00240F1C">
      <w:pPr>
        <w:spacing w:before="1600" w:after="160"/>
        <w:jc w:val="right"/>
        <w:rPr>
          <w:rFonts w:ascii="Arial Narrow" w:hAnsi="Arial Narrow" w:cs="Calibri"/>
          <w:b/>
          <w:smallCaps/>
          <w:color w:val="004071"/>
          <w:sz w:val="66"/>
          <w:szCs w:val="66"/>
        </w:rPr>
      </w:pPr>
      <w:r w:rsidRPr="00AF1D30">
        <w:rPr>
          <w:rFonts w:ascii="Arial Narrow" w:hAnsi="Arial Narrow" w:cs="Calibri"/>
          <w:b/>
          <w:smallCaps/>
          <w:color w:val="004071"/>
          <w:sz w:val="66"/>
          <w:szCs w:val="66"/>
        </w:rPr>
        <w:t>Annex I</w:t>
      </w:r>
    </w:p>
    <w:p w14:paraId="43BC6C5F" w14:textId="77777777" w:rsidR="00240F1C" w:rsidRPr="00AF1D30" w:rsidRDefault="00240F1C" w:rsidP="00240F1C">
      <w:pPr>
        <w:spacing w:after="0"/>
        <w:jc w:val="right"/>
        <w:rPr>
          <w:rFonts w:ascii="Arial Narrow" w:hAnsi="Arial Narrow" w:cs="Calibri"/>
          <w:b/>
          <w:smallCaps/>
          <w:color w:val="004071"/>
          <w:sz w:val="66"/>
          <w:szCs w:val="66"/>
        </w:rPr>
      </w:pPr>
      <w:r w:rsidRPr="00AF1D30">
        <w:rPr>
          <w:rFonts w:ascii="Arial Narrow" w:hAnsi="Arial Narrow" w:cs="Calibri"/>
          <w:b/>
          <w:smallCaps/>
          <w:color w:val="004071"/>
          <w:sz w:val="66"/>
          <w:szCs w:val="66"/>
        </w:rPr>
        <w:t>APPR Preparation Process</w:t>
      </w:r>
    </w:p>
    <w:p w14:paraId="488C2375" w14:textId="77777777" w:rsidR="002A4378" w:rsidRDefault="002A4378" w:rsidP="00240F1C">
      <w:pPr>
        <w:spacing w:after="0" w:line="240" w:lineRule="auto"/>
        <w:jc w:val="left"/>
        <w:rPr>
          <w:rFonts w:ascii="Arial Narrow" w:hAnsi="Arial Narrow" w:cs="Calibri"/>
          <w:b/>
          <w:smallCaps/>
          <w:color w:val="004071"/>
          <w:sz w:val="66"/>
          <w:szCs w:val="66"/>
        </w:rPr>
        <w:sectPr w:rsidR="002A4378" w:rsidSect="00C52581">
          <w:footerReference w:type="default" r:id="rId18"/>
          <w:pgSz w:w="11907" w:h="16840" w:code="9"/>
          <w:pgMar w:top="1440" w:right="1440" w:bottom="1440" w:left="1440" w:header="540" w:footer="696" w:gutter="0"/>
          <w:cols w:space="720"/>
          <w:docGrid w:linePitch="326"/>
        </w:sectPr>
      </w:pPr>
    </w:p>
    <w:p w14:paraId="58F8EBD2" w14:textId="77777777" w:rsidR="00240F1C" w:rsidRPr="00AF1D30" w:rsidRDefault="00240F1C" w:rsidP="00240F1C">
      <w:pPr>
        <w:jc w:val="center"/>
        <w:rPr>
          <w:rFonts w:asciiTheme="minorHAnsi" w:eastAsiaTheme="minorHAnsi" w:hAnsiTheme="minorHAnsi" w:cstheme="minorBidi"/>
          <w:b/>
          <w:color w:val="1F497D" w:themeColor="text2"/>
          <w:sz w:val="28"/>
          <w:szCs w:val="28"/>
          <w:lang w:eastAsia="en-US"/>
        </w:rPr>
      </w:pPr>
      <w:r w:rsidRPr="00AF1D30">
        <w:rPr>
          <w:rFonts w:asciiTheme="minorHAnsi" w:eastAsiaTheme="minorHAnsi" w:hAnsiTheme="minorHAnsi" w:cstheme="minorBidi"/>
          <w:b/>
          <w:color w:val="1F497D" w:themeColor="text2"/>
          <w:sz w:val="28"/>
          <w:szCs w:val="28"/>
          <w:lang w:eastAsia="en-US"/>
        </w:rPr>
        <w:lastRenderedPageBreak/>
        <w:t>The Annual Partnership Progress Report</w:t>
      </w:r>
    </w:p>
    <w:p w14:paraId="607BC6EE" w14:textId="77777777" w:rsidR="00240F1C" w:rsidRPr="00AF1D30" w:rsidRDefault="00240F1C" w:rsidP="00240F1C">
      <w:pPr>
        <w:spacing w:after="200"/>
        <w:jc w:val="center"/>
        <w:rPr>
          <w:rFonts w:asciiTheme="minorHAnsi" w:eastAsiaTheme="minorHAnsi" w:hAnsiTheme="minorHAnsi" w:cstheme="minorBidi"/>
          <w:b/>
          <w:color w:val="1F497D" w:themeColor="text2"/>
          <w:sz w:val="28"/>
          <w:szCs w:val="28"/>
          <w:lang w:eastAsia="en-US"/>
        </w:rPr>
      </w:pPr>
      <w:r w:rsidRPr="00AF1D30">
        <w:rPr>
          <w:rFonts w:asciiTheme="minorHAnsi" w:eastAsiaTheme="minorHAnsi" w:hAnsiTheme="minorHAnsi" w:cstheme="minorBidi"/>
          <w:b/>
          <w:color w:val="1F497D" w:themeColor="text2"/>
          <w:sz w:val="28"/>
          <w:szCs w:val="28"/>
          <w:lang w:eastAsia="en-US"/>
        </w:rPr>
        <w:t>Standard Production Process</w:t>
      </w:r>
    </w:p>
    <w:p w14:paraId="078B8B08" w14:textId="77777777" w:rsidR="00240F1C" w:rsidRPr="00AF1D30" w:rsidRDefault="00240F1C" w:rsidP="00240F1C">
      <w:pPr>
        <w:spacing w:after="200"/>
        <w:rPr>
          <w:rFonts w:asciiTheme="minorHAnsi" w:eastAsiaTheme="minorHAnsi" w:hAnsiTheme="minorHAnsi" w:cstheme="minorBidi"/>
          <w:szCs w:val="22"/>
          <w:lang w:eastAsia="en-US"/>
        </w:rPr>
      </w:pPr>
      <w:r w:rsidRPr="00AF1D30">
        <w:rPr>
          <w:rFonts w:asciiTheme="minorHAnsi" w:eastAsiaTheme="minorHAnsi" w:hAnsiTheme="minorHAnsi" w:cstheme="minorBidi"/>
          <w:szCs w:val="22"/>
          <w:lang w:eastAsia="en-US"/>
        </w:rPr>
        <w:t xml:space="preserve">The Education Partnership – Performance Management System delivers a number of reports that provide evidence on the performance of the EP as stand-alone documents. The documents also feed into an analytical process that results in the production of the Annual Partnership Progress Report. </w:t>
      </w:r>
    </w:p>
    <w:p w14:paraId="0F615AF8" w14:textId="26B5D228" w:rsidR="00240F1C" w:rsidRPr="00AF1D30" w:rsidRDefault="00240F1C" w:rsidP="00240F1C">
      <w:pPr>
        <w:spacing w:after="200"/>
        <w:rPr>
          <w:rFonts w:asciiTheme="minorHAnsi" w:eastAsiaTheme="minorHAnsi" w:hAnsiTheme="minorHAnsi" w:cstheme="minorBidi"/>
          <w:szCs w:val="22"/>
          <w:lang w:eastAsia="en-US"/>
        </w:rPr>
      </w:pPr>
      <w:r w:rsidRPr="00AF1D30">
        <w:rPr>
          <w:rFonts w:asciiTheme="minorHAnsi" w:eastAsiaTheme="minorHAnsi" w:hAnsiTheme="minorHAnsi" w:cstheme="minorBidi"/>
          <w:szCs w:val="22"/>
          <w:lang w:eastAsia="en-US"/>
        </w:rPr>
        <w:t>This brief document articulates the steps that are taken in the production of the APPR and can be considered an operational annex to the EP-PMS. Each of the four steps in the analytical process is elaborated below with respect to the activities to be undertaken; the responsibility for the implementation of the activities; and when the activities will be undertaken.</w:t>
      </w:r>
      <w:r w:rsidR="00597821">
        <w:rPr>
          <w:rFonts w:asciiTheme="minorHAnsi" w:eastAsiaTheme="minorHAnsi" w:hAnsiTheme="minorHAnsi" w:cstheme="minorBidi"/>
          <w:szCs w:val="22"/>
          <w:lang w:eastAsia="en-US"/>
        </w:rPr>
        <w:t xml:space="preserve"> </w:t>
      </w:r>
    </w:p>
    <w:p w14:paraId="24EBA440" w14:textId="77777777" w:rsidR="00240F1C" w:rsidRPr="00AF1D30" w:rsidRDefault="00240F1C" w:rsidP="00240F1C">
      <w:pPr>
        <w:spacing w:before="240" w:after="200"/>
        <w:rPr>
          <w:rFonts w:asciiTheme="minorHAnsi" w:eastAsiaTheme="minorHAnsi" w:hAnsiTheme="minorHAnsi" w:cstheme="minorBidi"/>
          <w:b/>
          <w:sz w:val="24"/>
          <w:lang w:eastAsia="en-US"/>
        </w:rPr>
      </w:pPr>
      <w:r w:rsidRPr="00AF1D30">
        <w:rPr>
          <w:rFonts w:asciiTheme="minorHAnsi" w:eastAsiaTheme="minorHAnsi" w:hAnsiTheme="minorHAnsi" w:cstheme="minorBidi"/>
          <w:b/>
          <w:sz w:val="24"/>
          <w:lang w:eastAsia="en-US"/>
        </w:rPr>
        <w:t>Step 1: Screening of EP reports</w:t>
      </w:r>
    </w:p>
    <w:p w14:paraId="7F090203" w14:textId="08293238" w:rsidR="00240F1C" w:rsidRPr="00AF1D30" w:rsidRDefault="00240F1C" w:rsidP="00240F1C">
      <w:pPr>
        <w:numPr>
          <w:ilvl w:val="0"/>
          <w:numId w:val="17"/>
        </w:numPr>
        <w:spacing w:after="120"/>
      </w:pPr>
      <w:r w:rsidRPr="00AF1D30">
        <w:rPr>
          <w:b/>
          <w:i/>
        </w:rPr>
        <w:t>Activities:</w:t>
      </w:r>
      <w:r w:rsidRPr="00AF1D30">
        <w:t xml:space="preserve"> Every report related to EP performance submitted and/or received by POM (see Annex 1) will be screened through the analytical framework lens. The analytical framework is structured around a series of overarching themes that i) reflect strategic topics for AusAID, ii) cut across EP components, and iii) are consistent with AusAID’s Quality at Implementation (QAI) criteria. Each theme is broken down into a series of key questions and sub-questions (see Annex 2). Relevant information from these reports will be extracted and incorporated into the appropriate cells of the analytical framework matrix, forming an individual analytical matrix for each report. Inevitably, not all cells of a given individual matrix will be filled, as some reports will only contain information pertinent to selected themes. As there will be around 10-12 reports received each year, it is expected that 10-12 individual analytical matrices will be produced which will provide a sound basis of information for the APPR.</w:t>
      </w:r>
      <w:r w:rsidR="00597821">
        <w:t xml:space="preserve"> </w:t>
      </w:r>
      <w:r w:rsidRPr="00AF1D30">
        <w:t>Additional sources of information will be considered if necessary or requested by AusAID.</w:t>
      </w:r>
    </w:p>
    <w:p w14:paraId="179F3A55" w14:textId="26D49A5D" w:rsidR="00240F1C" w:rsidRPr="00AF1D30" w:rsidRDefault="00240F1C" w:rsidP="00240F1C">
      <w:pPr>
        <w:numPr>
          <w:ilvl w:val="0"/>
          <w:numId w:val="17"/>
        </w:numPr>
        <w:spacing w:after="120"/>
        <w:ind w:left="709" w:hanging="357"/>
        <w:rPr>
          <w:b/>
          <w:i/>
        </w:rPr>
      </w:pPr>
      <w:r w:rsidRPr="00AF1D30">
        <w:rPr>
          <w:b/>
          <w:i/>
        </w:rPr>
        <w:t>Responsibility:</w:t>
      </w:r>
      <w:r w:rsidR="00597821">
        <w:rPr>
          <w:b/>
          <w:i/>
        </w:rPr>
        <w:t xml:space="preserve"> </w:t>
      </w:r>
      <w:r w:rsidRPr="00AF1D30">
        <w:t>The POM team is responsible for screening all reports related to EP performance and producing associated individual matrices.</w:t>
      </w:r>
      <w:r w:rsidR="00597821">
        <w:t xml:space="preserve"> </w:t>
      </w:r>
      <w:r w:rsidRPr="00AF1D30">
        <w:t>Briefing by and discussion with relevant reports’ authors will facilitate that process.</w:t>
      </w:r>
    </w:p>
    <w:p w14:paraId="528D917D" w14:textId="77777777" w:rsidR="00240F1C" w:rsidRPr="00AF1D30" w:rsidRDefault="00240F1C" w:rsidP="00240F1C">
      <w:pPr>
        <w:numPr>
          <w:ilvl w:val="0"/>
          <w:numId w:val="17"/>
        </w:numPr>
        <w:spacing w:after="120"/>
        <w:ind w:left="709" w:hanging="357"/>
        <w:rPr>
          <w:b/>
          <w:i/>
        </w:rPr>
      </w:pPr>
      <w:r w:rsidRPr="00AF1D30">
        <w:rPr>
          <w:b/>
          <w:i/>
        </w:rPr>
        <w:t xml:space="preserve">Timing: </w:t>
      </w:r>
      <w:r w:rsidRPr="00AF1D30">
        <w:t>Individual matrices will be produced within 1 month of approval/receipt of a report, and/or at the latest by 31 October each year.</w:t>
      </w:r>
    </w:p>
    <w:p w14:paraId="1C13549C" w14:textId="77777777" w:rsidR="00240F1C" w:rsidRPr="00AF1D30" w:rsidRDefault="00240F1C" w:rsidP="00240F1C">
      <w:pPr>
        <w:spacing w:before="240" w:after="200"/>
        <w:rPr>
          <w:rFonts w:asciiTheme="minorHAnsi" w:eastAsiaTheme="minorHAnsi" w:hAnsiTheme="minorHAnsi" w:cstheme="minorBidi"/>
          <w:b/>
          <w:sz w:val="24"/>
          <w:lang w:eastAsia="en-US"/>
        </w:rPr>
      </w:pPr>
      <w:r w:rsidRPr="00AF1D30">
        <w:rPr>
          <w:rFonts w:asciiTheme="minorHAnsi" w:eastAsiaTheme="minorHAnsi" w:hAnsiTheme="minorHAnsi" w:cstheme="minorBidi"/>
          <w:b/>
          <w:sz w:val="24"/>
          <w:lang w:eastAsia="en-US"/>
        </w:rPr>
        <w:t>Step 2: Synthesising information by theme</w:t>
      </w:r>
    </w:p>
    <w:p w14:paraId="2CA1A33D" w14:textId="77777777" w:rsidR="00240F1C" w:rsidRPr="00AF1D30" w:rsidRDefault="00240F1C" w:rsidP="00240F1C">
      <w:pPr>
        <w:numPr>
          <w:ilvl w:val="0"/>
          <w:numId w:val="16"/>
        </w:numPr>
        <w:spacing w:after="120"/>
        <w:ind w:left="714" w:hanging="357"/>
      </w:pPr>
      <w:r w:rsidRPr="00AF1D30">
        <w:rPr>
          <w:b/>
          <w:i/>
        </w:rPr>
        <w:t>Activities:</w:t>
      </w:r>
      <w:r w:rsidRPr="00AF1D30">
        <w:t xml:space="preserve"> All individual matrices will be brought together and information will be aggregated by overarching theme. This means that the 10-12 individual matrices will be summarised annually into one overall (APPR) matrix structured around the overarching analytical themes and key questions. This APPR matrix will be large and difficult to manipulate. A summary of all the information will therefore be prepared for each overarching theme and distributed to the participants of the annual APPR workshop (see step 3 below).</w:t>
      </w:r>
    </w:p>
    <w:p w14:paraId="50002856" w14:textId="4263C831" w:rsidR="00240F1C" w:rsidRPr="00AF1D30" w:rsidRDefault="00240F1C" w:rsidP="00240F1C">
      <w:pPr>
        <w:numPr>
          <w:ilvl w:val="0"/>
          <w:numId w:val="16"/>
        </w:numPr>
        <w:spacing w:after="120"/>
        <w:ind w:left="714" w:hanging="357"/>
        <w:rPr>
          <w:b/>
          <w:i/>
        </w:rPr>
      </w:pPr>
      <w:r w:rsidRPr="00AF1D30">
        <w:rPr>
          <w:b/>
          <w:i/>
        </w:rPr>
        <w:t>Responsibility:</w:t>
      </w:r>
      <w:r w:rsidR="00597821">
        <w:rPr>
          <w:b/>
          <w:i/>
        </w:rPr>
        <w:t xml:space="preserve"> </w:t>
      </w:r>
      <w:r w:rsidRPr="00AF1D30">
        <w:t xml:space="preserve">The POM team is responsible for aggregating all individual matrices into the APPR matrix and for preparing a readily digestible summary of the matrix for relevant parties. </w:t>
      </w:r>
    </w:p>
    <w:p w14:paraId="31184887" w14:textId="77777777" w:rsidR="00240F1C" w:rsidRPr="00AF1D30" w:rsidRDefault="00240F1C" w:rsidP="00240F1C">
      <w:pPr>
        <w:numPr>
          <w:ilvl w:val="0"/>
          <w:numId w:val="16"/>
        </w:numPr>
        <w:spacing w:after="120"/>
        <w:ind w:left="714" w:hanging="357"/>
        <w:rPr>
          <w:b/>
          <w:i/>
        </w:rPr>
      </w:pPr>
      <w:r w:rsidRPr="00AF1D30">
        <w:rPr>
          <w:b/>
          <w:i/>
        </w:rPr>
        <w:lastRenderedPageBreak/>
        <w:t xml:space="preserve">Timing: </w:t>
      </w:r>
      <w:r w:rsidRPr="00AF1D30">
        <w:t>The APPR matrix and its summary will be ready and sent by the first week of November each year.</w:t>
      </w:r>
      <w:r w:rsidRPr="00AF1D30">
        <w:rPr>
          <w:b/>
          <w:i/>
        </w:rPr>
        <w:t xml:space="preserve"> </w:t>
      </w:r>
    </w:p>
    <w:p w14:paraId="0BA3425B" w14:textId="77777777" w:rsidR="00240F1C" w:rsidRPr="00AF1D30" w:rsidRDefault="00240F1C" w:rsidP="00240F1C">
      <w:pPr>
        <w:spacing w:before="240" w:after="200"/>
        <w:rPr>
          <w:rFonts w:asciiTheme="minorHAnsi" w:eastAsiaTheme="minorHAnsi" w:hAnsiTheme="minorHAnsi" w:cstheme="minorBidi"/>
          <w:b/>
          <w:sz w:val="24"/>
          <w:lang w:eastAsia="en-US"/>
        </w:rPr>
      </w:pPr>
      <w:r w:rsidRPr="00AF1D30">
        <w:rPr>
          <w:rFonts w:asciiTheme="minorHAnsi" w:eastAsiaTheme="minorHAnsi" w:hAnsiTheme="minorHAnsi" w:cstheme="minorBidi"/>
          <w:b/>
          <w:sz w:val="24"/>
          <w:lang w:eastAsia="en-US"/>
        </w:rPr>
        <w:t>Step 3: Identifying key findings and recommendations</w:t>
      </w:r>
    </w:p>
    <w:p w14:paraId="11355256" w14:textId="77777777" w:rsidR="00240F1C" w:rsidRPr="00AF1D30" w:rsidRDefault="00240F1C" w:rsidP="00240F1C">
      <w:pPr>
        <w:numPr>
          <w:ilvl w:val="0"/>
          <w:numId w:val="16"/>
        </w:numPr>
        <w:spacing w:before="120" w:after="120"/>
        <w:ind w:left="714" w:hanging="357"/>
      </w:pPr>
      <w:r w:rsidRPr="00AF1D30">
        <w:rPr>
          <w:b/>
          <w:i/>
        </w:rPr>
        <w:t>Activities:</w:t>
      </w:r>
      <w:r w:rsidRPr="00AF1D30">
        <w:t xml:space="preserve"> Relevant EP stakeholders will convene in an annual APPR workshop to analyse the information contained in the APPR matrix and its summary. Prior to the workshop, participants will have received the summary of the APPR matrix and an outline/agenda of the discussions. The objectives of the workshop are i) to agree on findings to answer the key analytical questions; ii) to identify trends, patterns and gaps of information related to each overarching theme; and iii) to propose actionable recommendations for the future of the EP and AusAID investment in the sector. Key points from the workshop discussion will be highlighted in the workshop minutes.</w:t>
      </w:r>
    </w:p>
    <w:p w14:paraId="45A46656" w14:textId="3BA14A59" w:rsidR="00240F1C" w:rsidRPr="00AF1D30" w:rsidRDefault="00240F1C" w:rsidP="00240F1C">
      <w:pPr>
        <w:numPr>
          <w:ilvl w:val="0"/>
          <w:numId w:val="16"/>
        </w:numPr>
        <w:spacing w:before="120" w:after="120"/>
        <w:ind w:left="714" w:hanging="357"/>
        <w:rPr>
          <w:b/>
          <w:i/>
        </w:rPr>
      </w:pPr>
      <w:r w:rsidRPr="00AF1D30">
        <w:rPr>
          <w:b/>
          <w:i/>
        </w:rPr>
        <w:t>Responsibility:</w:t>
      </w:r>
      <w:r w:rsidR="00597821">
        <w:rPr>
          <w:b/>
          <w:i/>
        </w:rPr>
        <w:t xml:space="preserve"> </w:t>
      </w:r>
      <w:r w:rsidRPr="00AF1D30">
        <w:t xml:space="preserve">The POM team is responsible for organising and facilitating the annual APPR workshop. The list of participants will be agreed beforehand with AusAID and will include representatives from EP institutional and implementing partners. POM will act as a </w:t>
      </w:r>
      <w:r w:rsidR="00EA61FC" w:rsidRPr="00AF1D30">
        <w:t>secretariat</w:t>
      </w:r>
      <w:r w:rsidRPr="00AF1D30">
        <w:t xml:space="preserve"> of the workshop and will produce minutes of the discussion that will serve for the drafting of the APPR.</w:t>
      </w:r>
    </w:p>
    <w:p w14:paraId="4EF6DAD1" w14:textId="77777777" w:rsidR="00240F1C" w:rsidRPr="00AF1D30" w:rsidRDefault="00240F1C" w:rsidP="00240F1C">
      <w:pPr>
        <w:numPr>
          <w:ilvl w:val="0"/>
          <w:numId w:val="16"/>
        </w:numPr>
        <w:spacing w:before="120" w:after="120"/>
        <w:ind w:left="714" w:hanging="357"/>
        <w:rPr>
          <w:b/>
          <w:i/>
        </w:rPr>
      </w:pPr>
      <w:r w:rsidRPr="00AF1D30">
        <w:rPr>
          <w:b/>
          <w:i/>
        </w:rPr>
        <w:t xml:space="preserve">Timing: </w:t>
      </w:r>
      <w:r w:rsidRPr="00AF1D30">
        <w:t>The annual APPR workshop will be held within the first half of November each year.</w:t>
      </w:r>
    </w:p>
    <w:p w14:paraId="6F355B24" w14:textId="77777777" w:rsidR="00240F1C" w:rsidRPr="00AF1D30" w:rsidRDefault="00240F1C" w:rsidP="00240F1C">
      <w:pPr>
        <w:spacing w:before="240" w:after="200"/>
        <w:rPr>
          <w:rFonts w:asciiTheme="minorHAnsi" w:eastAsiaTheme="minorHAnsi" w:hAnsiTheme="minorHAnsi" w:cstheme="minorBidi"/>
          <w:b/>
          <w:sz w:val="24"/>
          <w:lang w:eastAsia="en-US"/>
        </w:rPr>
      </w:pPr>
      <w:r w:rsidRPr="00AF1D30">
        <w:rPr>
          <w:rFonts w:asciiTheme="minorHAnsi" w:eastAsiaTheme="minorHAnsi" w:hAnsiTheme="minorHAnsi" w:cstheme="minorBidi"/>
          <w:b/>
          <w:sz w:val="24"/>
          <w:lang w:eastAsia="en-US"/>
        </w:rPr>
        <w:t xml:space="preserve">Step 4: Writing up the report </w:t>
      </w:r>
    </w:p>
    <w:p w14:paraId="6CF65E66" w14:textId="77777777" w:rsidR="00240F1C" w:rsidRPr="00AF1D30" w:rsidRDefault="00240F1C" w:rsidP="00240F1C">
      <w:pPr>
        <w:numPr>
          <w:ilvl w:val="0"/>
          <w:numId w:val="16"/>
        </w:numPr>
        <w:spacing w:before="120" w:after="120"/>
        <w:ind w:left="714" w:hanging="357"/>
      </w:pPr>
      <w:r w:rsidRPr="00AF1D30">
        <w:rPr>
          <w:b/>
          <w:i/>
        </w:rPr>
        <w:t>Activities:</w:t>
      </w:r>
      <w:r w:rsidRPr="00AF1D30">
        <w:t xml:space="preserve"> Based on the conclusions of the workshop discussion, a draft APPR will be produced and submitted to AusAID. This report will outline key findings related to EP performance over the previous 12 months, structured around the overarching themes and key questions of the analytical framework (see suggested Table of Contents in Annex 3). The report will also include conclusions and targeted recommendations to improve the implementation and management of the EP. While the findings section will describe EP performance against each analytical theme through the presentation of evidence and facts, the analysis section will be more analytical, i.e. identifying key factors supporting or inhibiting EP performance. The recommendations section will propose targeted action allocated to the four objectives of the EP-PMS. A final APPR will incorporate comments from relevant stakeholders and be submitted to AusAID. </w:t>
      </w:r>
    </w:p>
    <w:p w14:paraId="429065AB" w14:textId="11A76BF9" w:rsidR="00240F1C" w:rsidRPr="00AF1D30" w:rsidRDefault="00240F1C" w:rsidP="00240F1C">
      <w:pPr>
        <w:numPr>
          <w:ilvl w:val="0"/>
          <w:numId w:val="16"/>
        </w:numPr>
        <w:spacing w:before="120" w:after="120"/>
        <w:ind w:left="714" w:hanging="357"/>
        <w:rPr>
          <w:b/>
          <w:i/>
        </w:rPr>
      </w:pPr>
      <w:r w:rsidRPr="00AF1D30">
        <w:rPr>
          <w:b/>
          <w:i/>
        </w:rPr>
        <w:t>Responsibility:</w:t>
      </w:r>
      <w:r w:rsidR="00597821">
        <w:rPr>
          <w:b/>
          <w:i/>
        </w:rPr>
        <w:t xml:space="preserve"> </w:t>
      </w:r>
      <w:r w:rsidRPr="00AF1D30">
        <w:t>The POM team is responsible for drafting and submitting the draft APPR. AusAID is responsible for providing comments on the draft document, following which the POM team is responsible for finalising and submitting the final report.</w:t>
      </w:r>
    </w:p>
    <w:p w14:paraId="38991947" w14:textId="77777777" w:rsidR="00240F1C" w:rsidRPr="00AF1D30" w:rsidRDefault="00240F1C" w:rsidP="00240F1C">
      <w:pPr>
        <w:numPr>
          <w:ilvl w:val="0"/>
          <w:numId w:val="16"/>
        </w:numPr>
        <w:spacing w:before="120" w:after="120"/>
        <w:ind w:left="714" w:hanging="357"/>
        <w:rPr>
          <w:b/>
        </w:rPr>
      </w:pPr>
      <w:r w:rsidRPr="00AF1D30">
        <w:rPr>
          <w:b/>
          <w:i/>
        </w:rPr>
        <w:t xml:space="preserve">Timing: </w:t>
      </w:r>
      <w:r w:rsidRPr="00AF1D30">
        <w:t>The draft APPR will be submitted no later than 30 November each year. The final APPR will be submitted no longer than two weeks after receiving relevant comments.</w:t>
      </w:r>
      <w:r w:rsidRPr="00AF1D30">
        <w:rPr>
          <w:b/>
          <w:i/>
        </w:rPr>
        <w:t xml:space="preserve"> </w:t>
      </w:r>
    </w:p>
    <w:p w14:paraId="11231638" w14:textId="77777777" w:rsidR="002A4378" w:rsidRDefault="00240F1C" w:rsidP="00240F1C">
      <w:pPr>
        <w:spacing w:after="200"/>
        <w:rPr>
          <w:rFonts w:asciiTheme="minorHAnsi" w:eastAsiaTheme="minorHAnsi" w:hAnsiTheme="minorHAnsi" w:cstheme="minorBidi"/>
          <w:b/>
          <w:szCs w:val="22"/>
          <w:lang w:eastAsia="en-US"/>
        </w:rPr>
        <w:sectPr w:rsidR="002A4378" w:rsidSect="002A4378">
          <w:footerReference w:type="default" r:id="rId19"/>
          <w:pgSz w:w="11907" w:h="16840" w:code="9"/>
          <w:pgMar w:top="1440" w:right="1440" w:bottom="1440" w:left="1440" w:header="540" w:footer="696" w:gutter="0"/>
          <w:pgNumType w:start="1"/>
          <w:cols w:space="720"/>
          <w:docGrid w:linePitch="326"/>
        </w:sectPr>
      </w:pPr>
      <w:r w:rsidRPr="00AF1D30">
        <w:rPr>
          <w:rFonts w:asciiTheme="minorHAnsi" w:eastAsiaTheme="minorHAnsi" w:hAnsiTheme="minorHAnsi" w:cstheme="minorBidi"/>
          <w:b/>
          <w:szCs w:val="22"/>
          <w:lang w:eastAsia="en-US"/>
        </w:rPr>
        <w:br w:type="page"/>
      </w:r>
    </w:p>
    <w:p w14:paraId="646B8F8F" w14:textId="28D86839" w:rsidR="00240F1C" w:rsidRPr="00AF1D30" w:rsidRDefault="00240F1C" w:rsidP="00240F1C">
      <w:pPr>
        <w:spacing w:after="200"/>
        <w:rPr>
          <w:rFonts w:asciiTheme="minorHAnsi" w:eastAsiaTheme="minorHAnsi" w:hAnsiTheme="minorHAnsi" w:cstheme="minorBidi"/>
          <w:b/>
          <w:szCs w:val="22"/>
          <w:lang w:eastAsia="en-US"/>
        </w:rPr>
      </w:pPr>
    </w:p>
    <w:p w14:paraId="0D6F47D4" w14:textId="77777777" w:rsidR="00240F1C" w:rsidRPr="00AF1D30" w:rsidRDefault="00240F1C" w:rsidP="00240F1C">
      <w:pPr>
        <w:spacing w:before="1600" w:after="160"/>
        <w:jc w:val="right"/>
        <w:rPr>
          <w:rFonts w:ascii="Arial Narrow" w:hAnsi="Arial Narrow" w:cs="Calibri"/>
          <w:b/>
          <w:smallCaps/>
          <w:color w:val="004071"/>
          <w:sz w:val="66"/>
          <w:szCs w:val="66"/>
        </w:rPr>
      </w:pPr>
    </w:p>
    <w:p w14:paraId="0123528E" w14:textId="77777777" w:rsidR="00240F1C" w:rsidRPr="00AF1D30" w:rsidRDefault="00240F1C" w:rsidP="00240F1C">
      <w:pPr>
        <w:spacing w:after="0"/>
        <w:jc w:val="right"/>
        <w:rPr>
          <w:rFonts w:ascii="Arial Narrow" w:hAnsi="Arial Narrow" w:cs="Calibri"/>
          <w:b/>
          <w:smallCaps/>
          <w:color w:val="004071"/>
          <w:sz w:val="66"/>
          <w:szCs w:val="66"/>
        </w:rPr>
      </w:pPr>
      <w:r w:rsidRPr="00AF1D30">
        <w:rPr>
          <w:rFonts w:ascii="Arial Narrow" w:hAnsi="Arial Narrow" w:cs="Calibri"/>
          <w:b/>
          <w:smallCaps/>
          <w:color w:val="004071"/>
          <w:sz w:val="66"/>
          <w:szCs w:val="66"/>
        </w:rPr>
        <w:t>Annex II</w:t>
      </w:r>
    </w:p>
    <w:p w14:paraId="4322D073" w14:textId="77777777" w:rsidR="00240F1C" w:rsidRPr="00AF1D30" w:rsidRDefault="00240F1C" w:rsidP="00240F1C">
      <w:pPr>
        <w:spacing w:after="0"/>
        <w:jc w:val="right"/>
        <w:rPr>
          <w:rFonts w:ascii="Arial Narrow" w:hAnsi="Arial Narrow" w:cs="Calibri"/>
          <w:b/>
          <w:smallCaps/>
          <w:color w:val="004071"/>
          <w:sz w:val="66"/>
          <w:szCs w:val="66"/>
        </w:rPr>
      </w:pPr>
      <w:r w:rsidRPr="00AF1D30">
        <w:rPr>
          <w:rFonts w:ascii="Arial Narrow" w:hAnsi="Arial Narrow" w:cs="Calibri"/>
          <w:b/>
          <w:smallCaps/>
          <w:color w:val="004071"/>
          <w:sz w:val="66"/>
          <w:szCs w:val="66"/>
        </w:rPr>
        <w:t>EP Documents Scrutinised</w:t>
      </w:r>
    </w:p>
    <w:p w14:paraId="0CCE1C52" w14:textId="77777777" w:rsidR="001D7BA1" w:rsidRDefault="00240F1C" w:rsidP="00240F1C">
      <w:pPr>
        <w:spacing w:after="0" w:line="240" w:lineRule="auto"/>
        <w:jc w:val="left"/>
        <w:rPr>
          <w:rFonts w:ascii="Arial Narrow" w:hAnsi="Arial Narrow" w:cs="Calibri"/>
          <w:b/>
          <w:smallCaps/>
          <w:color w:val="004071"/>
          <w:sz w:val="66"/>
          <w:szCs w:val="66"/>
        </w:rPr>
        <w:sectPr w:rsidR="001D7BA1" w:rsidSect="002A4378">
          <w:headerReference w:type="default" r:id="rId20"/>
          <w:footerReference w:type="default" r:id="rId21"/>
          <w:pgSz w:w="11907" w:h="16840" w:code="9"/>
          <w:pgMar w:top="1440" w:right="1440" w:bottom="1440" w:left="1440" w:header="540" w:footer="696" w:gutter="0"/>
          <w:pgNumType w:start="1"/>
          <w:cols w:space="720"/>
          <w:docGrid w:linePitch="326"/>
        </w:sectPr>
      </w:pPr>
      <w:r w:rsidRPr="00AF1D30">
        <w:rPr>
          <w:rFonts w:ascii="Arial Narrow" w:hAnsi="Arial Narrow" w:cs="Calibri"/>
          <w:b/>
          <w:smallCaps/>
          <w:color w:val="004071"/>
          <w:sz w:val="66"/>
          <w:szCs w:val="66"/>
        </w:rPr>
        <w:br w:type="page"/>
      </w:r>
    </w:p>
    <w:p w14:paraId="29A3B4D4" w14:textId="5ADDDF58" w:rsidR="00240F1C" w:rsidRPr="00AF1D30" w:rsidRDefault="00240F1C" w:rsidP="00240F1C">
      <w:pPr>
        <w:spacing w:after="0" w:line="240" w:lineRule="auto"/>
        <w:jc w:val="left"/>
        <w:rPr>
          <w:rFonts w:ascii="Arial Narrow" w:hAnsi="Arial Narrow" w:cs="Calibri"/>
          <w:b/>
          <w:smallCaps/>
          <w:color w:val="004071"/>
          <w:sz w:val="66"/>
          <w:szCs w:val="66"/>
        </w:rPr>
      </w:pPr>
    </w:p>
    <w:tbl>
      <w:tblPr>
        <w:tblStyle w:val="TableGrid2"/>
        <w:tblW w:w="9464" w:type="dxa"/>
        <w:tblLook w:val="04A0" w:firstRow="1" w:lastRow="0" w:firstColumn="1" w:lastColumn="0" w:noHBand="0" w:noVBand="1"/>
      </w:tblPr>
      <w:tblGrid>
        <w:gridCol w:w="1254"/>
        <w:gridCol w:w="5233"/>
        <w:gridCol w:w="2977"/>
      </w:tblGrid>
      <w:tr w:rsidR="00240F1C" w:rsidRPr="00AF1D30" w14:paraId="0377CDA0" w14:textId="77777777" w:rsidTr="00D36CC5">
        <w:tc>
          <w:tcPr>
            <w:tcW w:w="1254" w:type="dxa"/>
            <w:shd w:val="clear" w:color="auto" w:fill="365F91" w:themeFill="accent1" w:themeFillShade="BF"/>
            <w:vAlign w:val="center"/>
          </w:tcPr>
          <w:p w14:paraId="085D0149" w14:textId="77777777" w:rsidR="00240F1C" w:rsidRPr="00AF1D30" w:rsidRDefault="00240F1C" w:rsidP="00240F1C">
            <w:pPr>
              <w:spacing w:before="60" w:after="60" w:line="240" w:lineRule="auto"/>
              <w:jc w:val="center"/>
              <w:rPr>
                <w:b/>
                <w:color w:val="F2F2F2" w:themeColor="background1" w:themeShade="F2"/>
                <w:sz w:val="24"/>
              </w:rPr>
            </w:pPr>
            <w:r w:rsidRPr="00AF1D30">
              <w:rPr>
                <w:b/>
                <w:color w:val="F2F2F2" w:themeColor="background1" w:themeShade="F2"/>
                <w:sz w:val="24"/>
              </w:rPr>
              <w:t>Document No.</w:t>
            </w:r>
          </w:p>
        </w:tc>
        <w:tc>
          <w:tcPr>
            <w:tcW w:w="5233" w:type="dxa"/>
            <w:shd w:val="clear" w:color="auto" w:fill="365F91" w:themeFill="accent1" w:themeFillShade="BF"/>
            <w:vAlign w:val="center"/>
          </w:tcPr>
          <w:p w14:paraId="7306FFF2" w14:textId="77777777" w:rsidR="00240F1C" w:rsidRPr="00AF1D30" w:rsidRDefault="00240F1C" w:rsidP="00240F1C">
            <w:pPr>
              <w:spacing w:before="60" w:after="60" w:line="240" w:lineRule="auto"/>
              <w:jc w:val="center"/>
              <w:rPr>
                <w:b/>
                <w:color w:val="F2F2F2" w:themeColor="background1" w:themeShade="F2"/>
                <w:sz w:val="24"/>
              </w:rPr>
            </w:pPr>
            <w:r w:rsidRPr="00AF1D30">
              <w:rPr>
                <w:b/>
                <w:color w:val="F2F2F2" w:themeColor="background1" w:themeShade="F2"/>
                <w:sz w:val="24"/>
              </w:rPr>
              <w:t>Title</w:t>
            </w:r>
          </w:p>
        </w:tc>
        <w:tc>
          <w:tcPr>
            <w:tcW w:w="2977" w:type="dxa"/>
            <w:shd w:val="clear" w:color="auto" w:fill="365F91" w:themeFill="accent1" w:themeFillShade="BF"/>
            <w:vAlign w:val="center"/>
          </w:tcPr>
          <w:p w14:paraId="6E95CA1E" w14:textId="77777777" w:rsidR="00240F1C" w:rsidRPr="00AF1D30" w:rsidRDefault="00240F1C" w:rsidP="00240F1C">
            <w:pPr>
              <w:spacing w:before="60" w:after="60" w:line="240" w:lineRule="auto"/>
              <w:jc w:val="center"/>
              <w:rPr>
                <w:b/>
                <w:color w:val="F2F2F2" w:themeColor="background1" w:themeShade="F2"/>
                <w:sz w:val="24"/>
              </w:rPr>
            </w:pPr>
            <w:r w:rsidRPr="00AF1D30">
              <w:rPr>
                <w:b/>
                <w:color w:val="F2F2F2" w:themeColor="background1" w:themeShade="F2"/>
                <w:sz w:val="24"/>
              </w:rPr>
              <w:t>Source</w:t>
            </w:r>
          </w:p>
        </w:tc>
      </w:tr>
      <w:tr w:rsidR="00240F1C" w:rsidRPr="00AF1D30" w14:paraId="18F61F31" w14:textId="77777777" w:rsidTr="00D36CC5">
        <w:trPr>
          <w:trHeight w:val="624"/>
        </w:trPr>
        <w:tc>
          <w:tcPr>
            <w:tcW w:w="1254" w:type="dxa"/>
            <w:vAlign w:val="center"/>
          </w:tcPr>
          <w:p w14:paraId="261815D2" w14:textId="77777777" w:rsidR="00240F1C" w:rsidRPr="00AF1D30" w:rsidRDefault="00240F1C" w:rsidP="00240F1C">
            <w:pPr>
              <w:spacing w:before="20" w:after="40" w:line="240" w:lineRule="auto"/>
              <w:jc w:val="center"/>
              <w:rPr>
                <w:szCs w:val="22"/>
              </w:rPr>
            </w:pPr>
            <w:r w:rsidRPr="00AF1D30">
              <w:rPr>
                <w:szCs w:val="22"/>
              </w:rPr>
              <w:t>1</w:t>
            </w:r>
          </w:p>
        </w:tc>
        <w:tc>
          <w:tcPr>
            <w:tcW w:w="5233" w:type="dxa"/>
            <w:vAlign w:val="center"/>
          </w:tcPr>
          <w:p w14:paraId="0509D097" w14:textId="77777777" w:rsidR="00240F1C" w:rsidRPr="00AF1D30" w:rsidRDefault="00240F1C" w:rsidP="00240F1C">
            <w:pPr>
              <w:spacing w:before="20" w:after="40" w:line="240" w:lineRule="auto"/>
              <w:jc w:val="left"/>
              <w:rPr>
                <w:szCs w:val="22"/>
              </w:rPr>
            </w:pPr>
            <w:r w:rsidRPr="00AF1D30">
              <w:rPr>
                <w:szCs w:val="22"/>
              </w:rPr>
              <w:t>2011 BOS Training – Evaluation Report</w:t>
            </w:r>
          </w:p>
        </w:tc>
        <w:tc>
          <w:tcPr>
            <w:tcW w:w="2977" w:type="dxa"/>
            <w:vAlign w:val="center"/>
          </w:tcPr>
          <w:p w14:paraId="6493E647" w14:textId="77777777" w:rsidR="00240F1C" w:rsidRPr="00AF1D30" w:rsidRDefault="00240F1C" w:rsidP="00240F1C">
            <w:pPr>
              <w:spacing w:before="20" w:after="40" w:line="240" w:lineRule="auto"/>
              <w:jc w:val="left"/>
              <w:rPr>
                <w:szCs w:val="22"/>
              </w:rPr>
            </w:pPr>
            <w:r w:rsidRPr="00AF1D30">
              <w:rPr>
                <w:szCs w:val="22"/>
              </w:rPr>
              <w:t>INSIST Yogyakarta</w:t>
            </w:r>
          </w:p>
        </w:tc>
      </w:tr>
      <w:tr w:rsidR="00240F1C" w:rsidRPr="00AF1D30" w14:paraId="371D8F44" w14:textId="77777777" w:rsidTr="00D36CC5">
        <w:trPr>
          <w:trHeight w:val="624"/>
        </w:trPr>
        <w:tc>
          <w:tcPr>
            <w:tcW w:w="1254" w:type="dxa"/>
            <w:vAlign w:val="center"/>
          </w:tcPr>
          <w:p w14:paraId="351755C5" w14:textId="77777777" w:rsidR="00240F1C" w:rsidRPr="00AF1D30" w:rsidRDefault="00240F1C" w:rsidP="00240F1C">
            <w:pPr>
              <w:spacing w:before="20" w:after="40" w:line="240" w:lineRule="auto"/>
              <w:jc w:val="center"/>
              <w:rPr>
                <w:szCs w:val="22"/>
              </w:rPr>
            </w:pPr>
            <w:r w:rsidRPr="00AF1D30">
              <w:rPr>
                <w:szCs w:val="22"/>
              </w:rPr>
              <w:t>2</w:t>
            </w:r>
          </w:p>
        </w:tc>
        <w:tc>
          <w:tcPr>
            <w:tcW w:w="5233" w:type="dxa"/>
            <w:vAlign w:val="center"/>
          </w:tcPr>
          <w:p w14:paraId="5B423E88" w14:textId="77777777" w:rsidR="00240F1C" w:rsidRPr="00AF1D30" w:rsidRDefault="00240F1C" w:rsidP="00240F1C">
            <w:pPr>
              <w:spacing w:before="20" w:after="40" w:line="240" w:lineRule="auto"/>
              <w:jc w:val="left"/>
              <w:rPr>
                <w:szCs w:val="22"/>
              </w:rPr>
            </w:pPr>
            <w:r w:rsidRPr="00AF1D30">
              <w:rPr>
                <w:szCs w:val="22"/>
              </w:rPr>
              <w:t>Review of a Decade of Gender Mainstreaming in Education - Final Report</w:t>
            </w:r>
          </w:p>
        </w:tc>
        <w:tc>
          <w:tcPr>
            <w:tcW w:w="2977" w:type="dxa"/>
            <w:vAlign w:val="center"/>
          </w:tcPr>
          <w:p w14:paraId="1765CAB0" w14:textId="77777777" w:rsidR="00240F1C" w:rsidRPr="00AF1D30" w:rsidRDefault="00240F1C" w:rsidP="00240F1C">
            <w:pPr>
              <w:spacing w:before="20" w:after="40" w:line="240" w:lineRule="auto"/>
              <w:jc w:val="left"/>
              <w:rPr>
                <w:szCs w:val="22"/>
              </w:rPr>
            </w:pPr>
            <w:r w:rsidRPr="00AF1D30">
              <w:rPr>
                <w:szCs w:val="22"/>
              </w:rPr>
              <w:t>ACDP</w:t>
            </w:r>
          </w:p>
        </w:tc>
      </w:tr>
      <w:tr w:rsidR="00240F1C" w:rsidRPr="00AF1D30" w14:paraId="3AA10E8B" w14:textId="77777777" w:rsidTr="00D36CC5">
        <w:trPr>
          <w:trHeight w:val="624"/>
        </w:trPr>
        <w:tc>
          <w:tcPr>
            <w:tcW w:w="1254" w:type="dxa"/>
            <w:vAlign w:val="center"/>
          </w:tcPr>
          <w:p w14:paraId="040DE891" w14:textId="77777777" w:rsidR="00240F1C" w:rsidRPr="00AF1D30" w:rsidRDefault="00240F1C" w:rsidP="00240F1C">
            <w:pPr>
              <w:spacing w:before="20" w:after="40" w:line="240" w:lineRule="auto"/>
              <w:jc w:val="center"/>
              <w:rPr>
                <w:szCs w:val="22"/>
              </w:rPr>
            </w:pPr>
            <w:r w:rsidRPr="00AF1D30">
              <w:rPr>
                <w:szCs w:val="22"/>
              </w:rPr>
              <w:t>3</w:t>
            </w:r>
          </w:p>
        </w:tc>
        <w:tc>
          <w:tcPr>
            <w:tcW w:w="5233" w:type="dxa"/>
            <w:vAlign w:val="center"/>
          </w:tcPr>
          <w:p w14:paraId="249FB362" w14:textId="77777777" w:rsidR="00240F1C" w:rsidRPr="00AF1D30" w:rsidRDefault="00240F1C" w:rsidP="00240F1C">
            <w:pPr>
              <w:spacing w:before="20" w:after="40" w:line="240" w:lineRule="auto"/>
              <w:jc w:val="left"/>
              <w:rPr>
                <w:szCs w:val="22"/>
              </w:rPr>
            </w:pPr>
            <w:r w:rsidRPr="00AF1D30">
              <w:rPr>
                <w:szCs w:val="22"/>
              </w:rPr>
              <w:t>Education Partnership – Health Check #1</w:t>
            </w:r>
          </w:p>
        </w:tc>
        <w:tc>
          <w:tcPr>
            <w:tcW w:w="2977" w:type="dxa"/>
            <w:vAlign w:val="center"/>
          </w:tcPr>
          <w:p w14:paraId="1DB16CA1" w14:textId="77777777" w:rsidR="00240F1C" w:rsidRPr="00AF1D30" w:rsidRDefault="00240F1C" w:rsidP="00240F1C">
            <w:pPr>
              <w:spacing w:before="20" w:after="40" w:line="240" w:lineRule="auto"/>
              <w:jc w:val="left"/>
              <w:rPr>
                <w:szCs w:val="22"/>
              </w:rPr>
            </w:pPr>
            <w:r w:rsidRPr="00AF1D30">
              <w:rPr>
                <w:szCs w:val="22"/>
              </w:rPr>
              <w:t>POM</w:t>
            </w:r>
          </w:p>
        </w:tc>
      </w:tr>
      <w:tr w:rsidR="00240F1C" w:rsidRPr="00AF1D30" w14:paraId="6FAEBC56" w14:textId="77777777" w:rsidTr="00D36CC5">
        <w:trPr>
          <w:trHeight w:val="624"/>
        </w:trPr>
        <w:tc>
          <w:tcPr>
            <w:tcW w:w="1254" w:type="dxa"/>
            <w:vAlign w:val="center"/>
          </w:tcPr>
          <w:p w14:paraId="4FB7AADC" w14:textId="77777777" w:rsidR="00240F1C" w:rsidRPr="00AF1D30" w:rsidRDefault="00240F1C" w:rsidP="00240F1C">
            <w:pPr>
              <w:spacing w:before="20" w:after="40" w:line="240" w:lineRule="auto"/>
              <w:jc w:val="center"/>
              <w:rPr>
                <w:szCs w:val="22"/>
              </w:rPr>
            </w:pPr>
            <w:r w:rsidRPr="00AF1D30">
              <w:rPr>
                <w:szCs w:val="22"/>
              </w:rPr>
              <w:t>4</w:t>
            </w:r>
          </w:p>
        </w:tc>
        <w:tc>
          <w:tcPr>
            <w:tcW w:w="5233" w:type="dxa"/>
            <w:vAlign w:val="center"/>
          </w:tcPr>
          <w:p w14:paraId="542294E2" w14:textId="77777777" w:rsidR="00240F1C" w:rsidRPr="00AF1D30" w:rsidRDefault="00240F1C" w:rsidP="00240F1C">
            <w:pPr>
              <w:spacing w:before="20" w:after="40" w:line="240" w:lineRule="auto"/>
              <w:jc w:val="left"/>
              <w:rPr>
                <w:szCs w:val="22"/>
              </w:rPr>
            </w:pPr>
            <w:r w:rsidRPr="00AF1D30">
              <w:rPr>
                <w:szCs w:val="22"/>
              </w:rPr>
              <w:t>Annual Sector Financial Report</w:t>
            </w:r>
          </w:p>
        </w:tc>
        <w:tc>
          <w:tcPr>
            <w:tcW w:w="2977" w:type="dxa"/>
            <w:vAlign w:val="center"/>
          </w:tcPr>
          <w:p w14:paraId="4DB68F92" w14:textId="77777777" w:rsidR="00240F1C" w:rsidRPr="00AF1D30" w:rsidRDefault="00240F1C" w:rsidP="00240F1C">
            <w:pPr>
              <w:spacing w:before="20" w:after="40" w:line="240" w:lineRule="auto"/>
              <w:jc w:val="left"/>
              <w:rPr>
                <w:szCs w:val="22"/>
              </w:rPr>
            </w:pPr>
            <w:r w:rsidRPr="00AF1D30">
              <w:rPr>
                <w:szCs w:val="22"/>
              </w:rPr>
              <w:t>POM</w:t>
            </w:r>
          </w:p>
        </w:tc>
      </w:tr>
      <w:tr w:rsidR="00240F1C" w:rsidRPr="00AF1D30" w14:paraId="480E927F" w14:textId="77777777" w:rsidTr="00D36CC5">
        <w:trPr>
          <w:trHeight w:val="624"/>
        </w:trPr>
        <w:tc>
          <w:tcPr>
            <w:tcW w:w="1254" w:type="dxa"/>
            <w:vAlign w:val="center"/>
          </w:tcPr>
          <w:p w14:paraId="1D7C2974" w14:textId="77777777" w:rsidR="00240F1C" w:rsidRPr="00AF1D30" w:rsidRDefault="00240F1C" w:rsidP="00240F1C">
            <w:pPr>
              <w:spacing w:before="20" w:after="40" w:line="240" w:lineRule="auto"/>
              <w:jc w:val="center"/>
              <w:rPr>
                <w:szCs w:val="22"/>
              </w:rPr>
            </w:pPr>
            <w:r w:rsidRPr="00AF1D30">
              <w:rPr>
                <w:szCs w:val="22"/>
              </w:rPr>
              <w:t>5</w:t>
            </w:r>
          </w:p>
        </w:tc>
        <w:tc>
          <w:tcPr>
            <w:tcW w:w="5233" w:type="dxa"/>
            <w:vAlign w:val="center"/>
          </w:tcPr>
          <w:p w14:paraId="3F4F0482" w14:textId="77777777" w:rsidR="00240F1C" w:rsidRPr="00AF1D30" w:rsidRDefault="00240F1C" w:rsidP="00240F1C">
            <w:pPr>
              <w:spacing w:before="20" w:after="40" w:line="240" w:lineRule="auto"/>
              <w:jc w:val="left"/>
              <w:rPr>
                <w:szCs w:val="22"/>
              </w:rPr>
            </w:pPr>
            <w:r w:rsidRPr="00AF1D30">
              <w:rPr>
                <w:szCs w:val="22"/>
              </w:rPr>
              <w:t>School Systems and Quality – Annual Progress Report</w:t>
            </w:r>
          </w:p>
        </w:tc>
        <w:tc>
          <w:tcPr>
            <w:tcW w:w="2977" w:type="dxa"/>
            <w:vAlign w:val="center"/>
          </w:tcPr>
          <w:p w14:paraId="556CC000" w14:textId="77777777" w:rsidR="00240F1C" w:rsidRPr="00AF1D30" w:rsidRDefault="00240F1C" w:rsidP="00240F1C">
            <w:pPr>
              <w:spacing w:before="20" w:after="40" w:line="240" w:lineRule="auto"/>
              <w:jc w:val="left"/>
              <w:rPr>
                <w:szCs w:val="22"/>
              </w:rPr>
            </w:pPr>
            <w:r w:rsidRPr="00AF1D30">
              <w:rPr>
                <w:szCs w:val="22"/>
              </w:rPr>
              <w:t>SSQ</w:t>
            </w:r>
          </w:p>
        </w:tc>
      </w:tr>
    </w:tbl>
    <w:p w14:paraId="7216EB73" w14:textId="77777777" w:rsidR="00240F1C" w:rsidRPr="00AF1D30" w:rsidRDefault="00240F1C" w:rsidP="00240F1C">
      <w:pPr>
        <w:spacing w:after="0"/>
        <w:jc w:val="right"/>
        <w:rPr>
          <w:rFonts w:ascii="Arial Narrow" w:hAnsi="Arial Narrow" w:cs="Calibri"/>
          <w:b/>
          <w:smallCaps/>
          <w:color w:val="004071"/>
          <w:sz w:val="66"/>
          <w:szCs w:val="66"/>
        </w:rPr>
      </w:pPr>
    </w:p>
    <w:p w14:paraId="59AEF07F" w14:textId="77777777" w:rsidR="002A4378" w:rsidRDefault="00240F1C" w:rsidP="00240F1C">
      <w:pPr>
        <w:spacing w:after="0" w:line="240" w:lineRule="auto"/>
        <w:jc w:val="left"/>
        <w:rPr>
          <w:rFonts w:ascii="Arial Narrow" w:hAnsi="Arial Narrow" w:cs="Calibri"/>
          <w:b/>
          <w:smallCaps/>
          <w:color w:val="004071"/>
          <w:sz w:val="66"/>
          <w:szCs w:val="66"/>
        </w:rPr>
        <w:sectPr w:rsidR="002A4378" w:rsidSect="002A4378">
          <w:footerReference w:type="default" r:id="rId22"/>
          <w:pgSz w:w="11907" w:h="16840" w:code="9"/>
          <w:pgMar w:top="1440" w:right="1440" w:bottom="1440" w:left="1440" w:header="540" w:footer="696" w:gutter="0"/>
          <w:pgNumType w:start="1"/>
          <w:cols w:space="720"/>
          <w:docGrid w:linePitch="326"/>
        </w:sectPr>
      </w:pPr>
      <w:r w:rsidRPr="00AF1D30">
        <w:rPr>
          <w:rFonts w:ascii="Arial Narrow" w:hAnsi="Arial Narrow" w:cs="Calibri"/>
          <w:b/>
          <w:smallCaps/>
          <w:color w:val="004071"/>
          <w:sz w:val="66"/>
          <w:szCs w:val="66"/>
        </w:rPr>
        <w:br w:type="page"/>
      </w:r>
    </w:p>
    <w:p w14:paraId="74538865" w14:textId="07BF871C" w:rsidR="00240F1C" w:rsidRPr="00AF1D30" w:rsidRDefault="00240F1C" w:rsidP="00240F1C">
      <w:pPr>
        <w:spacing w:after="0" w:line="240" w:lineRule="auto"/>
        <w:jc w:val="left"/>
        <w:rPr>
          <w:rFonts w:ascii="Arial Narrow" w:hAnsi="Arial Narrow" w:cs="Calibri"/>
          <w:b/>
          <w:smallCaps/>
          <w:color w:val="004071"/>
          <w:sz w:val="66"/>
          <w:szCs w:val="66"/>
        </w:rPr>
      </w:pPr>
    </w:p>
    <w:p w14:paraId="43A48101" w14:textId="77777777" w:rsidR="00240F1C" w:rsidRPr="00AF1D30" w:rsidRDefault="00240F1C" w:rsidP="00240F1C">
      <w:pPr>
        <w:spacing w:before="1600" w:after="160"/>
        <w:jc w:val="right"/>
        <w:rPr>
          <w:rFonts w:ascii="Arial Narrow" w:hAnsi="Arial Narrow" w:cs="Calibri"/>
          <w:b/>
          <w:smallCaps/>
          <w:color w:val="004071"/>
          <w:sz w:val="66"/>
          <w:szCs w:val="66"/>
        </w:rPr>
      </w:pPr>
      <w:r w:rsidRPr="00AF1D30">
        <w:rPr>
          <w:rFonts w:ascii="Arial Narrow" w:hAnsi="Arial Narrow" w:cs="Calibri"/>
          <w:b/>
          <w:smallCaps/>
          <w:color w:val="004071"/>
          <w:sz w:val="66"/>
          <w:szCs w:val="66"/>
        </w:rPr>
        <w:t>Annex III</w:t>
      </w:r>
    </w:p>
    <w:p w14:paraId="18F5D603" w14:textId="77777777" w:rsidR="00240F1C" w:rsidRDefault="00240F1C" w:rsidP="00240F1C">
      <w:pPr>
        <w:spacing w:after="0"/>
        <w:jc w:val="right"/>
        <w:rPr>
          <w:rFonts w:ascii="Arial Narrow" w:hAnsi="Arial Narrow" w:cs="Calibri"/>
          <w:b/>
          <w:smallCaps/>
          <w:color w:val="004071"/>
          <w:sz w:val="66"/>
          <w:szCs w:val="66"/>
        </w:rPr>
      </w:pPr>
      <w:r w:rsidRPr="00AF1D30">
        <w:rPr>
          <w:rFonts w:ascii="Arial Narrow" w:hAnsi="Arial Narrow" w:cs="Calibri"/>
          <w:b/>
          <w:smallCaps/>
          <w:color w:val="004071"/>
          <w:sz w:val="66"/>
          <w:szCs w:val="66"/>
        </w:rPr>
        <w:t>EP Analytical framework</w:t>
      </w:r>
    </w:p>
    <w:p w14:paraId="5A213819" w14:textId="77777777" w:rsidR="001D7BA1" w:rsidRDefault="001D7BA1" w:rsidP="00240F1C">
      <w:pPr>
        <w:spacing w:after="0"/>
        <w:jc w:val="right"/>
        <w:rPr>
          <w:rFonts w:ascii="Arial Narrow" w:hAnsi="Arial Narrow" w:cs="Calibri"/>
          <w:b/>
          <w:smallCaps/>
          <w:color w:val="004071"/>
          <w:sz w:val="66"/>
          <w:szCs w:val="66"/>
        </w:rPr>
      </w:pPr>
    </w:p>
    <w:p w14:paraId="41223214" w14:textId="77777777" w:rsidR="001D7BA1" w:rsidRDefault="001D7BA1" w:rsidP="00240F1C">
      <w:pPr>
        <w:spacing w:after="0"/>
        <w:jc w:val="right"/>
        <w:rPr>
          <w:rFonts w:ascii="Arial Narrow" w:hAnsi="Arial Narrow" w:cs="Calibri"/>
          <w:b/>
          <w:smallCaps/>
          <w:color w:val="004071"/>
          <w:sz w:val="66"/>
          <w:szCs w:val="66"/>
        </w:rPr>
        <w:sectPr w:rsidR="001D7BA1" w:rsidSect="002A4378">
          <w:headerReference w:type="default" r:id="rId23"/>
          <w:footerReference w:type="default" r:id="rId24"/>
          <w:pgSz w:w="11907" w:h="16840" w:code="9"/>
          <w:pgMar w:top="1440" w:right="1440" w:bottom="1440" w:left="1440" w:header="540" w:footer="696" w:gutter="0"/>
          <w:pgNumType w:start="1"/>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228"/>
        <w:gridCol w:w="2569"/>
        <w:gridCol w:w="6121"/>
        <w:gridCol w:w="2583"/>
      </w:tblGrid>
      <w:tr w:rsidR="00240F1C" w:rsidRPr="00AF1D30" w14:paraId="13CEB35F" w14:textId="77777777" w:rsidTr="00240F1C">
        <w:trPr>
          <w:trHeight w:val="579"/>
          <w:tblHeader/>
        </w:trPr>
        <w:tc>
          <w:tcPr>
            <w:tcW w:w="238" w:type="pct"/>
            <w:tcBorders>
              <w:top w:val="single" w:sz="4" w:space="0" w:color="auto"/>
              <w:left w:val="single" w:sz="4" w:space="0" w:color="auto"/>
              <w:bottom w:val="single" w:sz="4" w:space="0" w:color="auto"/>
              <w:right w:val="single" w:sz="4" w:space="0" w:color="auto"/>
            </w:tcBorders>
            <w:shd w:val="clear" w:color="auto" w:fill="1F497D"/>
            <w:vAlign w:val="center"/>
            <w:hideMark/>
          </w:tcPr>
          <w:p w14:paraId="2A1FF1FB" w14:textId="77777777" w:rsidR="00240F1C" w:rsidRPr="00AF1D30" w:rsidRDefault="00240F1C" w:rsidP="00240F1C">
            <w:pPr>
              <w:spacing w:after="0"/>
              <w:jc w:val="center"/>
              <w:rPr>
                <w:rFonts w:asciiTheme="minorHAnsi" w:eastAsiaTheme="minorHAnsi" w:hAnsiTheme="minorHAnsi" w:cs="Calibri"/>
                <w:b/>
                <w:smallCaps/>
                <w:color w:val="FFFFFF"/>
                <w:szCs w:val="22"/>
                <w:lang w:eastAsia="en-US"/>
              </w:rPr>
            </w:pPr>
            <w:r w:rsidRPr="00AF1D30">
              <w:rPr>
                <w:rFonts w:asciiTheme="minorHAnsi" w:eastAsiaTheme="minorHAnsi" w:hAnsiTheme="minorHAnsi" w:cs="Calibri"/>
                <w:b/>
                <w:smallCaps/>
                <w:color w:val="FFFFFF"/>
                <w:szCs w:val="22"/>
                <w:lang w:eastAsia="en-US"/>
              </w:rPr>
              <w:lastRenderedPageBreak/>
              <w:t>#</w:t>
            </w:r>
          </w:p>
        </w:tc>
        <w:tc>
          <w:tcPr>
            <w:tcW w:w="786" w:type="pct"/>
            <w:tcBorders>
              <w:top w:val="single" w:sz="4" w:space="0" w:color="auto"/>
              <w:left w:val="single" w:sz="4" w:space="0" w:color="auto"/>
              <w:bottom w:val="single" w:sz="4" w:space="0" w:color="auto"/>
              <w:right w:val="single" w:sz="4" w:space="0" w:color="auto"/>
            </w:tcBorders>
            <w:shd w:val="clear" w:color="auto" w:fill="1F497D"/>
            <w:vAlign w:val="center"/>
            <w:hideMark/>
          </w:tcPr>
          <w:p w14:paraId="2692E933" w14:textId="77777777" w:rsidR="00240F1C" w:rsidRPr="00AF1D30" w:rsidRDefault="00240F1C" w:rsidP="00240F1C">
            <w:pPr>
              <w:spacing w:after="0"/>
              <w:jc w:val="center"/>
              <w:rPr>
                <w:rFonts w:asciiTheme="minorHAnsi" w:eastAsiaTheme="minorHAnsi" w:hAnsiTheme="minorHAnsi" w:cs="Calibri"/>
                <w:b/>
                <w:color w:val="FFFFFF"/>
                <w:szCs w:val="22"/>
                <w:lang w:eastAsia="en-US"/>
              </w:rPr>
            </w:pPr>
            <w:r w:rsidRPr="00AF1D30">
              <w:rPr>
                <w:rFonts w:asciiTheme="minorHAnsi" w:eastAsiaTheme="minorHAnsi" w:hAnsiTheme="minorHAnsi" w:cs="Calibri"/>
                <w:b/>
                <w:color w:val="FFFFFF"/>
                <w:szCs w:val="22"/>
                <w:lang w:eastAsia="en-US"/>
              </w:rPr>
              <w:t>Overarching themes</w:t>
            </w:r>
          </w:p>
        </w:tc>
        <w:tc>
          <w:tcPr>
            <w:tcW w:w="906" w:type="pct"/>
            <w:tcBorders>
              <w:top w:val="single" w:sz="4" w:space="0" w:color="auto"/>
              <w:left w:val="single" w:sz="4" w:space="0" w:color="auto"/>
              <w:bottom w:val="single" w:sz="4" w:space="0" w:color="auto"/>
              <w:right w:val="single" w:sz="4" w:space="0" w:color="auto"/>
            </w:tcBorders>
            <w:shd w:val="clear" w:color="auto" w:fill="1F497D"/>
            <w:vAlign w:val="center"/>
            <w:hideMark/>
          </w:tcPr>
          <w:p w14:paraId="6D091A26" w14:textId="77777777" w:rsidR="00240F1C" w:rsidRPr="00AF1D30" w:rsidRDefault="00240F1C" w:rsidP="00240F1C">
            <w:pPr>
              <w:spacing w:after="0"/>
              <w:jc w:val="center"/>
              <w:rPr>
                <w:rFonts w:asciiTheme="minorHAnsi" w:eastAsiaTheme="minorHAnsi" w:hAnsiTheme="minorHAnsi" w:cs="Calibri"/>
                <w:b/>
                <w:color w:val="FFFFFF"/>
                <w:szCs w:val="22"/>
                <w:lang w:eastAsia="en-US"/>
              </w:rPr>
            </w:pPr>
            <w:r w:rsidRPr="00AF1D30">
              <w:rPr>
                <w:rFonts w:asciiTheme="minorHAnsi" w:eastAsiaTheme="minorHAnsi" w:hAnsiTheme="minorHAnsi" w:cs="Calibri"/>
                <w:b/>
                <w:color w:val="FFFFFF"/>
                <w:szCs w:val="22"/>
                <w:lang w:eastAsia="en-US"/>
              </w:rPr>
              <w:t>Key Questions</w:t>
            </w:r>
          </w:p>
        </w:tc>
        <w:tc>
          <w:tcPr>
            <w:tcW w:w="2159" w:type="pct"/>
            <w:tcBorders>
              <w:top w:val="single" w:sz="4" w:space="0" w:color="auto"/>
              <w:left w:val="single" w:sz="4" w:space="0" w:color="auto"/>
              <w:bottom w:val="single" w:sz="4" w:space="0" w:color="auto"/>
              <w:right w:val="single" w:sz="4" w:space="0" w:color="auto"/>
            </w:tcBorders>
            <w:shd w:val="clear" w:color="auto" w:fill="1F497D"/>
            <w:vAlign w:val="center"/>
            <w:hideMark/>
          </w:tcPr>
          <w:p w14:paraId="113D0EBB" w14:textId="77777777" w:rsidR="00240F1C" w:rsidRPr="00AF1D30" w:rsidRDefault="00240F1C" w:rsidP="00240F1C">
            <w:pPr>
              <w:spacing w:after="0"/>
              <w:jc w:val="center"/>
              <w:rPr>
                <w:rFonts w:asciiTheme="minorHAnsi" w:eastAsiaTheme="minorHAnsi" w:hAnsiTheme="minorHAnsi" w:cs="Calibri"/>
                <w:b/>
                <w:color w:val="FFFFFF"/>
                <w:szCs w:val="22"/>
                <w:lang w:eastAsia="en-US"/>
              </w:rPr>
            </w:pPr>
            <w:r w:rsidRPr="00AF1D30">
              <w:rPr>
                <w:rFonts w:asciiTheme="minorHAnsi" w:eastAsiaTheme="minorHAnsi" w:hAnsiTheme="minorHAnsi" w:cs="Calibri"/>
                <w:b/>
                <w:color w:val="FFFFFF"/>
                <w:szCs w:val="22"/>
                <w:lang w:eastAsia="en-US"/>
              </w:rPr>
              <w:t xml:space="preserve"> Sub-Questions</w:t>
            </w:r>
          </w:p>
        </w:tc>
        <w:tc>
          <w:tcPr>
            <w:tcW w:w="911" w:type="pct"/>
            <w:tcBorders>
              <w:top w:val="single" w:sz="4" w:space="0" w:color="auto"/>
              <w:left w:val="single" w:sz="4" w:space="0" w:color="auto"/>
              <w:bottom w:val="single" w:sz="4" w:space="0" w:color="auto"/>
              <w:right w:val="single" w:sz="4" w:space="0" w:color="auto"/>
            </w:tcBorders>
            <w:shd w:val="clear" w:color="auto" w:fill="1F497D"/>
            <w:vAlign w:val="center"/>
          </w:tcPr>
          <w:p w14:paraId="6E6AD733" w14:textId="77777777" w:rsidR="00240F1C" w:rsidRPr="00AF1D30" w:rsidRDefault="00240F1C" w:rsidP="00240F1C">
            <w:pPr>
              <w:spacing w:after="0"/>
              <w:jc w:val="center"/>
              <w:rPr>
                <w:rFonts w:asciiTheme="minorHAnsi" w:eastAsiaTheme="minorHAnsi" w:hAnsiTheme="minorHAnsi" w:cs="Calibri"/>
                <w:b/>
                <w:color w:val="FFFFFF"/>
                <w:szCs w:val="22"/>
                <w:lang w:eastAsia="en-US"/>
              </w:rPr>
            </w:pPr>
            <w:r w:rsidRPr="00AF1D30">
              <w:rPr>
                <w:rFonts w:asciiTheme="minorHAnsi" w:eastAsiaTheme="minorHAnsi" w:hAnsiTheme="minorHAnsi" w:cs="Calibri"/>
                <w:b/>
                <w:color w:val="FFFFFF"/>
                <w:szCs w:val="22"/>
                <w:lang w:eastAsia="en-US"/>
              </w:rPr>
              <w:t>Main Sources of Information</w:t>
            </w:r>
          </w:p>
        </w:tc>
      </w:tr>
      <w:tr w:rsidR="00240F1C" w:rsidRPr="00AF1D30" w14:paraId="26DEA57B" w14:textId="77777777" w:rsidTr="00240F1C">
        <w:trPr>
          <w:trHeight w:val="659"/>
        </w:trPr>
        <w:tc>
          <w:tcPr>
            <w:tcW w:w="5000" w:type="pct"/>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14:paraId="7BC3F017" w14:textId="77777777" w:rsidR="00240F1C" w:rsidRPr="00AF1D30" w:rsidRDefault="00240F1C" w:rsidP="00240F1C">
            <w:pPr>
              <w:spacing w:after="0"/>
              <w:jc w:val="center"/>
              <w:rPr>
                <w:rFonts w:asciiTheme="minorHAnsi" w:eastAsiaTheme="minorHAnsi" w:hAnsiTheme="minorHAnsi" w:cs="Calibri"/>
                <w:b/>
                <w:szCs w:val="22"/>
                <w:lang w:eastAsia="en-US"/>
              </w:rPr>
            </w:pPr>
            <w:r w:rsidRPr="00AF1D30">
              <w:rPr>
                <w:rFonts w:asciiTheme="minorHAnsi" w:eastAsiaTheme="minorHAnsi" w:hAnsiTheme="minorHAnsi" w:cs="Calibri"/>
                <w:b/>
                <w:szCs w:val="22"/>
                <w:lang w:eastAsia="en-US"/>
              </w:rPr>
              <w:t>Themes related to the DAC criteria</w:t>
            </w:r>
          </w:p>
        </w:tc>
      </w:tr>
      <w:tr w:rsidR="00240F1C" w:rsidRPr="00AF1D30" w14:paraId="54672191" w14:textId="77777777" w:rsidTr="00240F1C">
        <w:trPr>
          <w:trHeight w:val="567"/>
        </w:trPr>
        <w:tc>
          <w:tcPr>
            <w:tcW w:w="238" w:type="pct"/>
            <w:tcBorders>
              <w:top w:val="single" w:sz="4" w:space="0" w:color="auto"/>
              <w:left w:val="single" w:sz="4" w:space="0" w:color="auto"/>
              <w:bottom w:val="single" w:sz="4" w:space="0" w:color="auto"/>
              <w:right w:val="single" w:sz="4" w:space="0" w:color="auto"/>
            </w:tcBorders>
            <w:vAlign w:val="center"/>
            <w:hideMark/>
          </w:tcPr>
          <w:p w14:paraId="467F34BA" w14:textId="77777777" w:rsidR="00240F1C" w:rsidRPr="00AF1D30" w:rsidRDefault="00240F1C" w:rsidP="00240F1C">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t>1</w:t>
            </w:r>
          </w:p>
        </w:tc>
        <w:tc>
          <w:tcPr>
            <w:tcW w:w="786" w:type="pct"/>
            <w:tcBorders>
              <w:top w:val="single" w:sz="4" w:space="0" w:color="auto"/>
              <w:left w:val="single" w:sz="4" w:space="0" w:color="auto"/>
              <w:bottom w:val="single" w:sz="4" w:space="0" w:color="auto"/>
              <w:right w:val="single" w:sz="4" w:space="0" w:color="auto"/>
            </w:tcBorders>
            <w:vAlign w:val="center"/>
            <w:hideMark/>
          </w:tcPr>
          <w:p w14:paraId="1916A3A2" w14:textId="77777777" w:rsidR="00240F1C" w:rsidRPr="00AF1D30" w:rsidRDefault="00240F1C" w:rsidP="00240F1C">
            <w:pPr>
              <w:widowControl w:val="0"/>
              <w:autoSpaceDE w:val="0"/>
              <w:autoSpaceDN w:val="0"/>
              <w:adjustRightInd w:val="0"/>
              <w:spacing w:after="0"/>
              <w:jc w:val="left"/>
              <w:rPr>
                <w:rFonts w:asciiTheme="minorHAnsi" w:eastAsiaTheme="minorHAnsi" w:hAnsiTheme="minorHAnsi" w:cs="Calibri"/>
                <w:b/>
                <w:szCs w:val="22"/>
                <w:lang w:eastAsia="en-US"/>
              </w:rPr>
            </w:pPr>
            <w:r w:rsidRPr="00AF1D30">
              <w:rPr>
                <w:rFonts w:asciiTheme="minorHAnsi" w:eastAsiaTheme="minorHAnsi" w:hAnsiTheme="minorHAnsi" w:cs="Calibri"/>
                <w:b/>
                <w:szCs w:val="22"/>
                <w:lang w:eastAsia="en-US"/>
              </w:rPr>
              <w:t>Contextual relevance</w:t>
            </w:r>
          </w:p>
        </w:tc>
        <w:tc>
          <w:tcPr>
            <w:tcW w:w="906" w:type="pct"/>
            <w:tcBorders>
              <w:top w:val="single" w:sz="4" w:space="0" w:color="auto"/>
              <w:left w:val="single" w:sz="4" w:space="0" w:color="auto"/>
              <w:bottom w:val="single" w:sz="4" w:space="0" w:color="auto"/>
              <w:right w:val="single" w:sz="4" w:space="0" w:color="auto"/>
            </w:tcBorders>
            <w:vAlign w:val="center"/>
            <w:hideMark/>
          </w:tcPr>
          <w:p w14:paraId="14902C16" w14:textId="77777777" w:rsidR="00240F1C" w:rsidRPr="00AF1D30" w:rsidRDefault="00240F1C" w:rsidP="00240F1C">
            <w:pPr>
              <w:widowControl w:val="0"/>
              <w:autoSpaceDE w:val="0"/>
              <w:autoSpaceDN w:val="0"/>
              <w:adjustRightInd w:val="0"/>
              <w:spacing w:after="0"/>
              <w:jc w:val="left"/>
              <w:rPr>
                <w:rFonts w:asciiTheme="minorHAnsi" w:eastAsiaTheme="minorHAnsi" w:hAnsiTheme="minorHAnsi" w:cs="Calibri"/>
                <w:szCs w:val="22"/>
                <w:lang w:eastAsia="en-US"/>
              </w:rPr>
            </w:pPr>
            <w:r w:rsidRPr="00AF1D30">
              <w:rPr>
                <w:rFonts w:asciiTheme="minorHAnsi" w:eastAsiaTheme="minorHAnsi" w:hAnsiTheme="minorHAnsi" w:cs="Calibri"/>
                <w:szCs w:val="22"/>
                <w:lang w:eastAsia="en-US"/>
              </w:rPr>
              <w:t>To what extent and how do EP interventions remain appropriate to the Indonesian education sector?</w:t>
            </w:r>
          </w:p>
        </w:tc>
        <w:tc>
          <w:tcPr>
            <w:tcW w:w="2159" w:type="pct"/>
            <w:tcBorders>
              <w:top w:val="single" w:sz="4" w:space="0" w:color="auto"/>
              <w:left w:val="single" w:sz="4" w:space="0" w:color="auto"/>
              <w:bottom w:val="single" w:sz="4" w:space="0" w:color="auto"/>
              <w:right w:val="single" w:sz="4" w:space="0" w:color="auto"/>
            </w:tcBorders>
            <w:vAlign w:val="center"/>
            <w:hideMark/>
          </w:tcPr>
          <w:p w14:paraId="79F7FE3D"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 xml:space="preserve">What are the issues addressed by EP interventions? </w:t>
            </w:r>
          </w:p>
          <w:p w14:paraId="39E1577B"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How critical are these issues to the sector?</w:t>
            </w:r>
          </w:p>
          <w:p w14:paraId="14E5E420"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 xml:space="preserve">Does AusAID retain comparative advantage for tackling them? </w:t>
            </w:r>
          </w:p>
          <w:p w14:paraId="526D5C51"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Are EP interventions addressing emerging problems?</w:t>
            </w:r>
          </w:p>
        </w:tc>
        <w:tc>
          <w:tcPr>
            <w:tcW w:w="911" w:type="pct"/>
            <w:tcBorders>
              <w:top w:val="single" w:sz="4" w:space="0" w:color="auto"/>
              <w:left w:val="single" w:sz="4" w:space="0" w:color="auto"/>
              <w:bottom w:val="single" w:sz="4" w:space="0" w:color="auto"/>
              <w:right w:val="single" w:sz="4" w:space="0" w:color="auto"/>
            </w:tcBorders>
            <w:vAlign w:val="center"/>
          </w:tcPr>
          <w:p w14:paraId="487B6E36"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Sector studies</w:t>
            </w:r>
          </w:p>
          <w:p w14:paraId="423FDED7"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Reality Check</w:t>
            </w:r>
          </w:p>
          <w:p w14:paraId="2754B40D"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Evaluation studies</w:t>
            </w:r>
          </w:p>
          <w:p w14:paraId="778C174F" w14:textId="77777777" w:rsidR="00240F1C" w:rsidRPr="00AF1D30" w:rsidRDefault="00240F1C" w:rsidP="00240F1C">
            <w:pPr>
              <w:widowControl w:val="0"/>
              <w:autoSpaceDE w:val="0"/>
              <w:autoSpaceDN w:val="0"/>
              <w:adjustRightInd w:val="0"/>
              <w:spacing w:after="0" w:line="240" w:lineRule="auto"/>
              <w:ind w:left="162"/>
              <w:jc w:val="left"/>
              <w:rPr>
                <w:rFonts w:asciiTheme="minorHAnsi" w:eastAsiaTheme="minorHAnsi" w:hAnsiTheme="minorHAnsi" w:cs="Calibri"/>
                <w:szCs w:val="22"/>
                <w:lang w:eastAsia="en-US"/>
              </w:rPr>
            </w:pPr>
          </w:p>
        </w:tc>
      </w:tr>
      <w:tr w:rsidR="00240F1C" w:rsidRPr="00AF1D30" w14:paraId="107F726A" w14:textId="77777777" w:rsidTr="00240F1C">
        <w:trPr>
          <w:trHeight w:val="2187"/>
        </w:trPr>
        <w:tc>
          <w:tcPr>
            <w:tcW w:w="238" w:type="pct"/>
            <w:tcBorders>
              <w:top w:val="single" w:sz="4" w:space="0" w:color="auto"/>
              <w:left w:val="single" w:sz="4" w:space="0" w:color="auto"/>
              <w:bottom w:val="single" w:sz="4" w:space="0" w:color="auto"/>
              <w:right w:val="single" w:sz="4" w:space="0" w:color="auto"/>
            </w:tcBorders>
            <w:vAlign w:val="center"/>
            <w:hideMark/>
          </w:tcPr>
          <w:p w14:paraId="137F98DC" w14:textId="77777777" w:rsidR="00240F1C" w:rsidRPr="00AF1D30" w:rsidRDefault="00240F1C" w:rsidP="00240F1C">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t>2</w:t>
            </w:r>
          </w:p>
        </w:tc>
        <w:tc>
          <w:tcPr>
            <w:tcW w:w="786" w:type="pct"/>
            <w:tcBorders>
              <w:top w:val="single" w:sz="4" w:space="0" w:color="auto"/>
              <w:left w:val="single" w:sz="4" w:space="0" w:color="auto"/>
              <w:bottom w:val="single" w:sz="4" w:space="0" w:color="auto"/>
              <w:right w:val="single" w:sz="4" w:space="0" w:color="auto"/>
            </w:tcBorders>
            <w:vAlign w:val="center"/>
            <w:hideMark/>
          </w:tcPr>
          <w:p w14:paraId="2117F9F4" w14:textId="77777777" w:rsidR="00240F1C" w:rsidRPr="00AF1D30" w:rsidRDefault="00240F1C" w:rsidP="00240F1C">
            <w:pPr>
              <w:widowControl w:val="0"/>
              <w:autoSpaceDE w:val="0"/>
              <w:autoSpaceDN w:val="0"/>
              <w:adjustRightInd w:val="0"/>
              <w:spacing w:after="0"/>
              <w:jc w:val="left"/>
              <w:rPr>
                <w:rFonts w:asciiTheme="minorHAnsi" w:eastAsiaTheme="minorHAnsi" w:hAnsiTheme="minorHAnsi" w:cs="Calibri"/>
                <w:b/>
                <w:szCs w:val="22"/>
                <w:lang w:eastAsia="en-US"/>
              </w:rPr>
            </w:pPr>
            <w:r w:rsidRPr="00AF1D30">
              <w:rPr>
                <w:rFonts w:asciiTheme="minorHAnsi" w:eastAsiaTheme="minorHAnsi" w:hAnsiTheme="minorHAnsi" w:cs="Calibri"/>
                <w:b/>
                <w:szCs w:val="22"/>
                <w:lang w:eastAsia="en-US"/>
              </w:rPr>
              <w:t>GoA-GoI partnership</w:t>
            </w:r>
          </w:p>
        </w:tc>
        <w:tc>
          <w:tcPr>
            <w:tcW w:w="906" w:type="pct"/>
            <w:tcBorders>
              <w:top w:val="single" w:sz="4" w:space="0" w:color="auto"/>
              <w:left w:val="single" w:sz="4" w:space="0" w:color="auto"/>
              <w:bottom w:val="single" w:sz="4" w:space="0" w:color="auto"/>
              <w:right w:val="single" w:sz="4" w:space="0" w:color="auto"/>
            </w:tcBorders>
            <w:vAlign w:val="center"/>
            <w:hideMark/>
          </w:tcPr>
          <w:p w14:paraId="2FDCCACD" w14:textId="77777777" w:rsidR="00240F1C" w:rsidRPr="00AF1D30" w:rsidRDefault="00240F1C" w:rsidP="00240F1C">
            <w:pPr>
              <w:widowControl w:val="0"/>
              <w:autoSpaceDE w:val="0"/>
              <w:autoSpaceDN w:val="0"/>
              <w:adjustRightInd w:val="0"/>
              <w:spacing w:after="0"/>
              <w:jc w:val="left"/>
              <w:rPr>
                <w:rFonts w:asciiTheme="minorHAnsi" w:eastAsiaTheme="minorHAnsi" w:hAnsiTheme="minorHAnsi" w:cs="Calibri"/>
                <w:szCs w:val="22"/>
                <w:lang w:eastAsia="en-US"/>
              </w:rPr>
            </w:pPr>
            <w:r w:rsidRPr="00AF1D30">
              <w:rPr>
                <w:rFonts w:asciiTheme="minorHAnsi" w:eastAsiaTheme="minorHAnsi" w:hAnsiTheme="minorHAnsi" w:cs="Calibri"/>
                <w:szCs w:val="22"/>
                <w:lang w:eastAsia="en-US"/>
              </w:rPr>
              <w:t>What is the added value of the partnership approach in delivering the EP?</w:t>
            </w:r>
          </w:p>
        </w:tc>
        <w:tc>
          <w:tcPr>
            <w:tcW w:w="2159" w:type="pct"/>
            <w:tcBorders>
              <w:top w:val="single" w:sz="4" w:space="0" w:color="auto"/>
              <w:left w:val="single" w:sz="4" w:space="0" w:color="auto"/>
              <w:bottom w:val="single" w:sz="4" w:space="0" w:color="auto"/>
              <w:right w:val="single" w:sz="4" w:space="0" w:color="auto"/>
            </w:tcBorders>
            <w:vAlign w:val="center"/>
            <w:hideMark/>
          </w:tcPr>
          <w:p w14:paraId="445CE70D"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 xml:space="preserve">What are the positive and negative features of the partnership approach? </w:t>
            </w:r>
          </w:p>
          <w:p w14:paraId="3B18A9A0"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What is the added value of working through GoI systems?</w:t>
            </w:r>
          </w:p>
          <w:p w14:paraId="3C30390A"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 xml:space="preserve">Are EP interventions complementing GoI investments in the sector? </w:t>
            </w:r>
          </w:p>
          <w:p w14:paraId="21090D46"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Are the responsibilities of key partners being fully and effectively discharged?</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734F0BB2"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ICR</w:t>
            </w:r>
          </w:p>
          <w:p w14:paraId="3A80A0A1"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Supplementary analysis</w:t>
            </w:r>
          </w:p>
          <w:p w14:paraId="739F08CB"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Monitoring reports</w:t>
            </w:r>
          </w:p>
          <w:p w14:paraId="37213873"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 xml:space="preserve">Audits </w:t>
            </w:r>
          </w:p>
        </w:tc>
      </w:tr>
      <w:tr w:rsidR="00240F1C" w:rsidRPr="00AF1D30" w14:paraId="4D5C0110" w14:textId="77777777" w:rsidTr="00240F1C">
        <w:trPr>
          <w:trHeight w:val="2118"/>
        </w:trPr>
        <w:tc>
          <w:tcPr>
            <w:tcW w:w="238" w:type="pct"/>
            <w:tcBorders>
              <w:top w:val="single" w:sz="4" w:space="0" w:color="auto"/>
              <w:left w:val="single" w:sz="4" w:space="0" w:color="auto"/>
              <w:bottom w:val="single" w:sz="4" w:space="0" w:color="auto"/>
              <w:right w:val="single" w:sz="4" w:space="0" w:color="auto"/>
            </w:tcBorders>
            <w:vAlign w:val="center"/>
            <w:hideMark/>
          </w:tcPr>
          <w:p w14:paraId="04550FCC" w14:textId="77777777" w:rsidR="00240F1C" w:rsidRPr="00AF1D30" w:rsidRDefault="00240F1C" w:rsidP="00240F1C">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t>3</w:t>
            </w:r>
          </w:p>
        </w:tc>
        <w:tc>
          <w:tcPr>
            <w:tcW w:w="786" w:type="pct"/>
            <w:tcBorders>
              <w:top w:val="single" w:sz="4" w:space="0" w:color="auto"/>
              <w:left w:val="single" w:sz="4" w:space="0" w:color="auto"/>
              <w:bottom w:val="single" w:sz="4" w:space="0" w:color="auto"/>
              <w:right w:val="single" w:sz="4" w:space="0" w:color="auto"/>
            </w:tcBorders>
            <w:vAlign w:val="center"/>
            <w:hideMark/>
          </w:tcPr>
          <w:p w14:paraId="4E4BBCEE" w14:textId="77777777" w:rsidR="00240F1C" w:rsidRPr="00AF1D30" w:rsidRDefault="00240F1C" w:rsidP="00240F1C">
            <w:pPr>
              <w:widowControl w:val="0"/>
              <w:autoSpaceDE w:val="0"/>
              <w:autoSpaceDN w:val="0"/>
              <w:adjustRightInd w:val="0"/>
              <w:spacing w:after="0"/>
              <w:jc w:val="left"/>
              <w:rPr>
                <w:rFonts w:asciiTheme="minorHAnsi" w:eastAsiaTheme="minorHAnsi" w:hAnsiTheme="minorHAnsi" w:cs="Calibri"/>
                <w:b/>
                <w:szCs w:val="22"/>
                <w:lang w:eastAsia="en-US"/>
              </w:rPr>
            </w:pPr>
            <w:r w:rsidRPr="00AF1D30">
              <w:rPr>
                <w:rFonts w:asciiTheme="minorHAnsi" w:eastAsiaTheme="minorHAnsi" w:hAnsiTheme="minorHAnsi" w:cs="Calibri"/>
                <w:b/>
                <w:szCs w:val="22"/>
                <w:lang w:eastAsia="en-US"/>
              </w:rPr>
              <w:t>Delivery mechanisms</w:t>
            </w:r>
          </w:p>
        </w:tc>
        <w:tc>
          <w:tcPr>
            <w:tcW w:w="906" w:type="pct"/>
            <w:tcBorders>
              <w:top w:val="single" w:sz="4" w:space="0" w:color="auto"/>
              <w:left w:val="single" w:sz="4" w:space="0" w:color="auto"/>
              <w:bottom w:val="single" w:sz="4" w:space="0" w:color="auto"/>
              <w:right w:val="single" w:sz="4" w:space="0" w:color="auto"/>
            </w:tcBorders>
            <w:vAlign w:val="center"/>
            <w:hideMark/>
          </w:tcPr>
          <w:p w14:paraId="4A9BDCAA" w14:textId="77777777" w:rsidR="00240F1C" w:rsidRPr="00AF1D30" w:rsidRDefault="00240F1C" w:rsidP="00240F1C">
            <w:pPr>
              <w:widowControl w:val="0"/>
              <w:autoSpaceDE w:val="0"/>
              <w:autoSpaceDN w:val="0"/>
              <w:adjustRightInd w:val="0"/>
              <w:spacing w:after="0"/>
              <w:jc w:val="left"/>
              <w:rPr>
                <w:rFonts w:asciiTheme="minorHAnsi" w:eastAsiaTheme="minorHAnsi" w:hAnsiTheme="minorHAnsi" w:cs="Calibri"/>
                <w:szCs w:val="22"/>
                <w:lang w:eastAsia="en-US"/>
              </w:rPr>
            </w:pPr>
            <w:r w:rsidRPr="00AF1D30">
              <w:rPr>
                <w:rFonts w:asciiTheme="minorHAnsi" w:eastAsiaTheme="minorHAnsi" w:hAnsiTheme="minorHAnsi" w:cs="Calibri"/>
                <w:szCs w:val="22"/>
                <w:lang w:eastAsia="en-US"/>
              </w:rPr>
              <w:t>To what extent are the EP delivery mechanisms effective, efficient and accountable?</w:t>
            </w:r>
          </w:p>
        </w:tc>
        <w:tc>
          <w:tcPr>
            <w:tcW w:w="2159" w:type="pct"/>
            <w:tcBorders>
              <w:top w:val="single" w:sz="4" w:space="0" w:color="auto"/>
              <w:left w:val="single" w:sz="4" w:space="0" w:color="auto"/>
              <w:bottom w:val="single" w:sz="4" w:space="0" w:color="auto"/>
              <w:right w:val="single" w:sz="4" w:space="0" w:color="auto"/>
            </w:tcBorders>
            <w:vAlign w:val="center"/>
            <w:hideMark/>
          </w:tcPr>
          <w:p w14:paraId="586D364E"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 xml:space="preserve">What are the advantages and disadvantages of the </w:t>
            </w:r>
            <w:r w:rsidRPr="00AF1D30">
              <w:rPr>
                <w:rFonts w:cs="Calibri"/>
                <w:szCs w:val="22"/>
                <w:lang w:eastAsia="en-US"/>
              </w:rPr>
              <w:t>component delivery mechanisms?</w:t>
            </w:r>
          </w:p>
          <w:p w14:paraId="70C9324A"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Are Australian funds used for their intended purpose?</w:t>
            </w:r>
          </w:p>
          <w:p w14:paraId="719B268F"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 xml:space="preserve">Are the EP coordination and management arrangements sufficiently supporting the delivery of the interventions? </w:t>
            </w:r>
          </w:p>
          <w:p w14:paraId="68232885"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Are risks associated with the delivery EP interventions appropriately mitigated?</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27D657CD"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ICR</w:t>
            </w:r>
          </w:p>
          <w:p w14:paraId="64F31303"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Monitoring reports</w:t>
            </w:r>
          </w:p>
          <w:p w14:paraId="5C2D3520"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 xml:space="preserve">Audits </w:t>
            </w:r>
          </w:p>
        </w:tc>
      </w:tr>
      <w:tr w:rsidR="00240F1C" w:rsidRPr="00AF1D30" w14:paraId="0E04BEE9" w14:textId="77777777" w:rsidTr="00240F1C">
        <w:trPr>
          <w:trHeight w:val="697"/>
        </w:trPr>
        <w:tc>
          <w:tcPr>
            <w:tcW w:w="238" w:type="pct"/>
            <w:tcBorders>
              <w:top w:val="single" w:sz="4" w:space="0" w:color="auto"/>
              <w:left w:val="single" w:sz="4" w:space="0" w:color="auto"/>
              <w:bottom w:val="single" w:sz="4" w:space="0" w:color="auto"/>
              <w:right w:val="single" w:sz="4" w:space="0" w:color="auto"/>
            </w:tcBorders>
            <w:vAlign w:val="center"/>
            <w:hideMark/>
          </w:tcPr>
          <w:p w14:paraId="5DA1A6FD" w14:textId="77777777" w:rsidR="00240F1C" w:rsidRPr="00AF1D30" w:rsidRDefault="00240F1C" w:rsidP="00240F1C">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t>4</w:t>
            </w:r>
          </w:p>
        </w:tc>
        <w:tc>
          <w:tcPr>
            <w:tcW w:w="786" w:type="pct"/>
            <w:tcBorders>
              <w:top w:val="single" w:sz="4" w:space="0" w:color="auto"/>
              <w:left w:val="single" w:sz="4" w:space="0" w:color="auto"/>
              <w:bottom w:val="single" w:sz="4" w:space="0" w:color="auto"/>
              <w:right w:val="single" w:sz="4" w:space="0" w:color="auto"/>
            </w:tcBorders>
            <w:vAlign w:val="center"/>
            <w:hideMark/>
          </w:tcPr>
          <w:p w14:paraId="1D90327F" w14:textId="77777777" w:rsidR="00240F1C" w:rsidRPr="00AF1D30" w:rsidRDefault="00240F1C" w:rsidP="00240F1C">
            <w:pPr>
              <w:widowControl w:val="0"/>
              <w:autoSpaceDE w:val="0"/>
              <w:autoSpaceDN w:val="0"/>
              <w:adjustRightInd w:val="0"/>
              <w:spacing w:after="0"/>
              <w:jc w:val="left"/>
              <w:rPr>
                <w:rFonts w:asciiTheme="minorHAnsi" w:eastAsiaTheme="minorHAnsi" w:hAnsiTheme="minorHAnsi" w:cs="Calibri"/>
                <w:b/>
                <w:szCs w:val="22"/>
                <w:lang w:eastAsia="en-US"/>
              </w:rPr>
            </w:pPr>
            <w:r w:rsidRPr="00AF1D30">
              <w:rPr>
                <w:rFonts w:asciiTheme="minorHAnsi" w:eastAsiaTheme="minorHAnsi" w:hAnsiTheme="minorHAnsi" w:cs="Calibri"/>
                <w:b/>
                <w:szCs w:val="22"/>
                <w:lang w:eastAsia="en-US"/>
              </w:rPr>
              <w:t>Sustainability</w:t>
            </w:r>
          </w:p>
        </w:tc>
        <w:tc>
          <w:tcPr>
            <w:tcW w:w="906" w:type="pct"/>
            <w:tcBorders>
              <w:top w:val="single" w:sz="4" w:space="0" w:color="auto"/>
              <w:left w:val="single" w:sz="4" w:space="0" w:color="auto"/>
              <w:bottom w:val="single" w:sz="4" w:space="0" w:color="auto"/>
              <w:right w:val="single" w:sz="4" w:space="0" w:color="auto"/>
            </w:tcBorders>
            <w:vAlign w:val="center"/>
            <w:hideMark/>
          </w:tcPr>
          <w:p w14:paraId="3FEDEBE8" w14:textId="77777777" w:rsidR="00240F1C" w:rsidRPr="00AF1D30" w:rsidRDefault="00240F1C" w:rsidP="00240F1C">
            <w:pPr>
              <w:widowControl w:val="0"/>
              <w:autoSpaceDE w:val="0"/>
              <w:autoSpaceDN w:val="0"/>
              <w:adjustRightInd w:val="0"/>
              <w:spacing w:after="0"/>
              <w:jc w:val="left"/>
              <w:rPr>
                <w:rFonts w:asciiTheme="minorHAnsi" w:eastAsiaTheme="minorHAnsi" w:hAnsiTheme="minorHAnsi" w:cs="Calibri"/>
                <w:szCs w:val="22"/>
                <w:lang w:eastAsia="en-US"/>
              </w:rPr>
            </w:pPr>
            <w:r w:rsidRPr="00AF1D30">
              <w:rPr>
                <w:rFonts w:asciiTheme="minorHAnsi" w:eastAsiaTheme="minorHAnsi" w:hAnsiTheme="minorHAnsi" w:cs="Calibri"/>
                <w:szCs w:val="22"/>
                <w:lang w:eastAsia="en-US"/>
              </w:rPr>
              <w:t>To what extent are EP benefits likely to be sustained beyond the life of the EP?</w:t>
            </w:r>
          </w:p>
        </w:tc>
        <w:tc>
          <w:tcPr>
            <w:tcW w:w="2159" w:type="pct"/>
            <w:tcBorders>
              <w:top w:val="single" w:sz="4" w:space="0" w:color="auto"/>
              <w:left w:val="single" w:sz="4" w:space="0" w:color="auto"/>
              <w:bottom w:val="single" w:sz="4" w:space="0" w:color="auto"/>
              <w:right w:val="single" w:sz="4" w:space="0" w:color="auto"/>
            </w:tcBorders>
            <w:vAlign w:val="center"/>
            <w:hideMark/>
          </w:tcPr>
          <w:p w14:paraId="257FFED8"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lang w:eastAsia="en-US"/>
              </w:rPr>
              <w:t>Has sustainability of EP benefits been sufficiently planned for in the design of the interventions?</w:t>
            </w:r>
          </w:p>
          <w:p w14:paraId="3A607CF6"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Is the phase out of EP interventions appropriately</w:t>
            </w:r>
            <w:r w:rsidRPr="00AF1D30">
              <w:rPr>
                <w:szCs w:val="22"/>
              </w:rPr>
              <w:t xml:space="preserve"> </w:t>
            </w:r>
            <w:r w:rsidRPr="00AF1D30">
              <w:rPr>
                <w:rFonts w:cs="Calibri"/>
                <w:szCs w:val="22"/>
              </w:rPr>
              <w:t>prepared and communicated?</w:t>
            </w:r>
          </w:p>
          <w:p w14:paraId="22A6B0B3"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Are EP interventions sufficiently supporting institutional strengthening?</w:t>
            </w:r>
          </w:p>
          <w:p w14:paraId="6FD599DE"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lastRenderedPageBreak/>
              <w:t xml:space="preserve">Are EP interventions sufficiently supporting local ownership? </w:t>
            </w:r>
          </w:p>
        </w:tc>
        <w:tc>
          <w:tcPr>
            <w:tcW w:w="911" w:type="pct"/>
            <w:tcBorders>
              <w:top w:val="single" w:sz="4" w:space="0" w:color="auto"/>
              <w:left w:val="single" w:sz="4" w:space="0" w:color="auto"/>
              <w:bottom w:val="single" w:sz="4" w:space="0" w:color="auto"/>
              <w:right w:val="single" w:sz="4" w:space="0" w:color="auto"/>
            </w:tcBorders>
            <w:vAlign w:val="center"/>
          </w:tcPr>
          <w:p w14:paraId="707CC77E"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lastRenderedPageBreak/>
              <w:t>School surveys</w:t>
            </w:r>
          </w:p>
          <w:p w14:paraId="7DFE11B3"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Evaluation studies</w:t>
            </w:r>
          </w:p>
          <w:p w14:paraId="16F9F3A5"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Monitoring reports</w:t>
            </w:r>
          </w:p>
        </w:tc>
      </w:tr>
      <w:tr w:rsidR="00240F1C" w:rsidRPr="00AF1D30" w14:paraId="71D7A03B" w14:textId="77777777" w:rsidTr="00240F1C">
        <w:trPr>
          <w:trHeight w:val="1685"/>
        </w:trPr>
        <w:tc>
          <w:tcPr>
            <w:tcW w:w="238" w:type="pct"/>
            <w:tcBorders>
              <w:top w:val="single" w:sz="4" w:space="0" w:color="auto"/>
              <w:left w:val="single" w:sz="4" w:space="0" w:color="auto"/>
              <w:bottom w:val="single" w:sz="4" w:space="0" w:color="auto"/>
              <w:right w:val="single" w:sz="4" w:space="0" w:color="auto"/>
            </w:tcBorders>
            <w:vAlign w:val="center"/>
            <w:hideMark/>
          </w:tcPr>
          <w:p w14:paraId="671CAC6F" w14:textId="77777777" w:rsidR="00240F1C" w:rsidRPr="00AF1D30" w:rsidRDefault="00240F1C" w:rsidP="00240F1C">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lastRenderedPageBreak/>
              <w:t>5</w:t>
            </w:r>
          </w:p>
        </w:tc>
        <w:tc>
          <w:tcPr>
            <w:tcW w:w="786" w:type="pct"/>
            <w:tcBorders>
              <w:top w:val="single" w:sz="4" w:space="0" w:color="auto"/>
              <w:left w:val="single" w:sz="4" w:space="0" w:color="auto"/>
              <w:bottom w:val="single" w:sz="4" w:space="0" w:color="auto"/>
              <w:right w:val="single" w:sz="4" w:space="0" w:color="auto"/>
            </w:tcBorders>
            <w:vAlign w:val="center"/>
            <w:hideMark/>
          </w:tcPr>
          <w:p w14:paraId="52101C94" w14:textId="77777777" w:rsidR="00240F1C" w:rsidRPr="00AF1D30" w:rsidRDefault="00240F1C" w:rsidP="00240F1C">
            <w:pPr>
              <w:widowControl w:val="0"/>
              <w:autoSpaceDE w:val="0"/>
              <w:autoSpaceDN w:val="0"/>
              <w:adjustRightInd w:val="0"/>
              <w:spacing w:after="0"/>
              <w:jc w:val="left"/>
              <w:rPr>
                <w:rFonts w:asciiTheme="minorHAnsi" w:eastAsiaTheme="minorHAnsi" w:hAnsiTheme="minorHAnsi" w:cs="Calibri"/>
                <w:b/>
                <w:szCs w:val="22"/>
                <w:lang w:eastAsia="en-US"/>
              </w:rPr>
            </w:pPr>
            <w:r w:rsidRPr="00AF1D30">
              <w:rPr>
                <w:rFonts w:asciiTheme="minorHAnsi" w:eastAsiaTheme="minorHAnsi" w:hAnsiTheme="minorHAnsi" w:cs="Calibri"/>
                <w:b/>
                <w:szCs w:val="22"/>
                <w:lang w:eastAsia="en-US"/>
              </w:rPr>
              <w:t>Impacts on beneficiaries</w:t>
            </w:r>
          </w:p>
        </w:tc>
        <w:tc>
          <w:tcPr>
            <w:tcW w:w="906" w:type="pct"/>
            <w:tcBorders>
              <w:top w:val="single" w:sz="4" w:space="0" w:color="auto"/>
              <w:left w:val="single" w:sz="4" w:space="0" w:color="auto"/>
              <w:bottom w:val="single" w:sz="4" w:space="0" w:color="auto"/>
              <w:right w:val="single" w:sz="4" w:space="0" w:color="auto"/>
            </w:tcBorders>
            <w:vAlign w:val="center"/>
            <w:hideMark/>
          </w:tcPr>
          <w:p w14:paraId="4F253614" w14:textId="77777777" w:rsidR="00240F1C" w:rsidRPr="00AF1D30" w:rsidRDefault="00240F1C" w:rsidP="00240F1C">
            <w:pPr>
              <w:widowControl w:val="0"/>
              <w:autoSpaceDE w:val="0"/>
              <w:autoSpaceDN w:val="0"/>
              <w:adjustRightInd w:val="0"/>
              <w:spacing w:after="0"/>
              <w:jc w:val="left"/>
              <w:rPr>
                <w:rFonts w:asciiTheme="minorHAnsi" w:eastAsiaTheme="minorHAnsi" w:hAnsiTheme="minorHAnsi" w:cs="Calibri"/>
                <w:szCs w:val="22"/>
                <w:lang w:eastAsia="en-US"/>
              </w:rPr>
            </w:pPr>
            <w:r w:rsidRPr="00AF1D30">
              <w:rPr>
                <w:rFonts w:asciiTheme="minorHAnsi" w:eastAsiaTheme="minorHAnsi" w:hAnsiTheme="minorHAnsi" w:cs="Calibri"/>
                <w:szCs w:val="22"/>
                <w:lang w:eastAsia="en-US"/>
              </w:rPr>
              <w:t>How have EP interventions impacted upon beneficiaries?</w:t>
            </w:r>
          </w:p>
        </w:tc>
        <w:tc>
          <w:tcPr>
            <w:tcW w:w="2159" w:type="pct"/>
            <w:tcBorders>
              <w:top w:val="single" w:sz="4" w:space="0" w:color="auto"/>
              <w:left w:val="single" w:sz="4" w:space="0" w:color="auto"/>
              <w:bottom w:val="single" w:sz="4" w:space="0" w:color="auto"/>
              <w:right w:val="single" w:sz="4" w:space="0" w:color="auto"/>
            </w:tcBorders>
            <w:vAlign w:val="center"/>
            <w:hideMark/>
          </w:tcPr>
          <w:p w14:paraId="61986EB6"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Who are the direct and indirect beneficiaries of EP interventions?</w:t>
            </w:r>
          </w:p>
          <w:p w14:paraId="2FDC26F7"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 xml:space="preserve">What </w:t>
            </w:r>
            <w:r w:rsidRPr="00AF1D30">
              <w:rPr>
                <w:szCs w:val="22"/>
              </w:rPr>
              <w:t>are the</w:t>
            </w:r>
            <w:r w:rsidRPr="00AF1D30">
              <w:rPr>
                <w:rFonts w:cs="Calibri"/>
                <w:szCs w:val="22"/>
              </w:rPr>
              <w:t xml:space="preserve"> expected and unexpected impacts on these beneficiaries?</w:t>
            </w:r>
          </w:p>
          <w:p w14:paraId="2BCFAC52"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 xml:space="preserve">Have the impacts been sufficient to justify the investment? </w:t>
            </w:r>
          </w:p>
        </w:tc>
        <w:tc>
          <w:tcPr>
            <w:tcW w:w="911" w:type="pct"/>
            <w:tcBorders>
              <w:top w:val="single" w:sz="4" w:space="0" w:color="auto"/>
              <w:left w:val="single" w:sz="4" w:space="0" w:color="auto"/>
              <w:bottom w:val="single" w:sz="4" w:space="0" w:color="auto"/>
              <w:right w:val="single" w:sz="4" w:space="0" w:color="auto"/>
            </w:tcBorders>
            <w:vAlign w:val="center"/>
          </w:tcPr>
          <w:p w14:paraId="5912906B"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Reality check studies</w:t>
            </w:r>
          </w:p>
          <w:p w14:paraId="383B2F6A"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School surveys</w:t>
            </w:r>
          </w:p>
          <w:p w14:paraId="5196C77B"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Evaluation studies</w:t>
            </w:r>
          </w:p>
          <w:p w14:paraId="206F8896"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Monitoring reports</w:t>
            </w:r>
          </w:p>
        </w:tc>
      </w:tr>
      <w:tr w:rsidR="00240F1C" w:rsidRPr="00AF1D30" w14:paraId="21880FB1" w14:textId="77777777" w:rsidTr="00240F1C">
        <w:trPr>
          <w:trHeight w:val="500"/>
        </w:trPr>
        <w:tc>
          <w:tcPr>
            <w:tcW w:w="5000" w:type="pct"/>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14:paraId="782AEB0B" w14:textId="77777777" w:rsidR="00240F1C" w:rsidRPr="00AF1D30" w:rsidRDefault="00240F1C" w:rsidP="00240F1C">
            <w:pPr>
              <w:spacing w:after="0"/>
              <w:jc w:val="center"/>
              <w:rPr>
                <w:rFonts w:asciiTheme="minorHAnsi" w:eastAsiaTheme="minorHAnsi" w:hAnsiTheme="minorHAnsi" w:cs="Calibri"/>
                <w:b/>
                <w:szCs w:val="22"/>
                <w:lang w:eastAsia="en-US"/>
              </w:rPr>
            </w:pPr>
            <w:r w:rsidRPr="00AF1D30">
              <w:rPr>
                <w:rFonts w:asciiTheme="minorHAnsi" w:eastAsiaTheme="minorHAnsi" w:hAnsiTheme="minorHAnsi" w:cs="Calibri"/>
                <w:b/>
                <w:szCs w:val="22"/>
                <w:lang w:eastAsia="en-US"/>
              </w:rPr>
              <w:t>Themes related to the EP goals</w:t>
            </w:r>
          </w:p>
        </w:tc>
      </w:tr>
      <w:tr w:rsidR="00240F1C" w:rsidRPr="00AF1D30" w14:paraId="7AF89131" w14:textId="77777777" w:rsidTr="00240F1C">
        <w:trPr>
          <w:trHeight w:val="2144"/>
        </w:trPr>
        <w:tc>
          <w:tcPr>
            <w:tcW w:w="238" w:type="pct"/>
            <w:tcBorders>
              <w:top w:val="single" w:sz="4" w:space="0" w:color="auto"/>
              <w:left w:val="single" w:sz="4" w:space="0" w:color="auto"/>
              <w:bottom w:val="single" w:sz="4" w:space="0" w:color="auto"/>
              <w:right w:val="single" w:sz="4" w:space="0" w:color="auto"/>
            </w:tcBorders>
            <w:vAlign w:val="center"/>
            <w:hideMark/>
          </w:tcPr>
          <w:p w14:paraId="7BCEB52A" w14:textId="77777777" w:rsidR="00240F1C" w:rsidRPr="00AF1D30" w:rsidRDefault="00240F1C" w:rsidP="00240F1C">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t>6</w:t>
            </w:r>
          </w:p>
        </w:tc>
        <w:tc>
          <w:tcPr>
            <w:tcW w:w="786" w:type="pct"/>
            <w:tcBorders>
              <w:top w:val="single" w:sz="4" w:space="0" w:color="auto"/>
              <w:left w:val="single" w:sz="4" w:space="0" w:color="auto"/>
              <w:bottom w:val="single" w:sz="4" w:space="0" w:color="auto"/>
              <w:right w:val="single" w:sz="4" w:space="0" w:color="auto"/>
            </w:tcBorders>
            <w:vAlign w:val="center"/>
            <w:hideMark/>
          </w:tcPr>
          <w:p w14:paraId="4409117B" w14:textId="77777777" w:rsidR="00240F1C" w:rsidRPr="00AF1D30" w:rsidRDefault="00240F1C" w:rsidP="00240F1C">
            <w:pPr>
              <w:spacing w:after="0"/>
              <w:jc w:val="left"/>
              <w:rPr>
                <w:rFonts w:asciiTheme="minorHAnsi" w:eastAsiaTheme="minorHAnsi" w:hAnsiTheme="minorHAnsi" w:cs="Calibri"/>
                <w:b/>
                <w:szCs w:val="22"/>
                <w:lang w:eastAsia="en-US"/>
              </w:rPr>
            </w:pPr>
            <w:r w:rsidRPr="00AF1D30">
              <w:rPr>
                <w:rFonts w:asciiTheme="minorHAnsi" w:eastAsiaTheme="minorHAnsi" w:hAnsiTheme="minorHAnsi" w:cs="Calibri"/>
                <w:b/>
                <w:szCs w:val="22"/>
                <w:lang w:eastAsia="en-US"/>
              </w:rPr>
              <w:t>Participation in education</w:t>
            </w:r>
          </w:p>
        </w:tc>
        <w:tc>
          <w:tcPr>
            <w:tcW w:w="906" w:type="pct"/>
            <w:tcBorders>
              <w:top w:val="single" w:sz="4" w:space="0" w:color="auto"/>
              <w:left w:val="single" w:sz="4" w:space="0" w:color="auto"/>
              <w:bottom w:val="single" w:sz="4" w:space="0" w:color="auto"/>
              <w:right w:val="single" w:sz="4" w:space="0" w:color="auto"/>
            </w:tcBorders>
            <w:vAlign w:val="center"/>
            <w:hideMark/>
          </w:tcPr>
          <w:p w14:paraId="2AF07407" w14:textId="77777777" w:rsidR="00240F1C" w:rsidRPr="00AF1D30" w:rsidRDefault="00240F1C" w:rsidP="00240F1C">
            <w:pPr>
              <w:widowControl w:val="0"/>
              <w:autoSpaceDE w:val="0"/>
              <w:autoSpaceDN w:val="0"/>
              <w:adjustRightInd w:val="0"/>
              <w:spacing w:after="0"/>
              <w:jc w:val="left"/>
              <w:rPr>
                <w:rFonts w:asciiTheme="minorHAnsi" w:eastAsiaTheme="minorHAnsi" w:hAnsiTheme="minorHAnsi" w:cs="Calibri"/>
                <w:szCs w:val="22"/>
                <w:lang w:eastAsia="en-US"/>
              </w:rPr>
            </w:pPr>
            <w:r w:rsidRPr="00AF1D30">
              <w:rPr>
                <w:rFonts w:asciiTheme="minorHAnsi" w:eastAsiaTheme="minorHAnsi" w:hAnsiTheme="minorHAnsi" w:cs="Calibri"/>
                <w:szCs w:val="22"/>
                <w:lang w:eastAsia="en-US"/>
              </w:rPr>
              <w:t>To what extent have EP interventions contributed to student participation in JSE?</w:t>
            </w:r>
          </w:p>
        </w:tc>
        <w:tc>
          <w:tcPr>
            <w:tcW w:w="2159" w:type="pct"/>
            <w:tcBorders>
              <w:top w:val="single" w:sz="4" w:space="0" w:color="auto"/>
              <w:left w:val="single" w:sz="4" w:space="0" w:color="auto"/>
              <w:bottom w:val="single" w:sz="4" w:space="0" w:color="auto"/>
              <w:right w:val="single" w:sz="4" w:space="0" w:color="auto"/>
            </w:tcBorders>
            <w:vAlign w:val="center"/>
            <w:hideMark/>
          </w:tcPr>
          <w:p w14:paraId="659FE9F0"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What is the evidence of increase in JSE school participation?</w:t>
            </w:r>
          </w:p>
          <w:p w14:paraId="42DE7B46"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How do EP interventions contribute to increase student participation in schooling?</w:t>
            </w:r>
          </w:p>
          <w:p w14:paraId="6C2BF329" w14:textId="77777777" w:rsidR="00240F1C" w:rsidRPr="00AF1D30" w:rsidRDefault="00240F1C" w:rsidP="00240F1C">
            <w:pPr>
              <w:widowControl w:val="0"/>
              <w:numPr>
                <w:ilvl w:val="1"/>
                <w:numId w:val="18"/>
              </w:numPr>
              <w:autoSpaceDE w:val="0"/>
              <w:autoSpaceDN w:val="0"/>
              <w:adjustRightInd w:val="0"/>
              <w:spacing w:after="0" w:line="240" w:lineRule="auto"/>
              <w:ind w:left="908" w:hanging="425"/>
              <w:jc w:val="left"/>
              <w:rPr>
                <w:rFonts w:cs="Calibri"/>
                <w:szCs w:val="22"/>
              </w:rPr>
            </w:pPr>
            <w:r w:rsidRPr="00AF1D30">
              <w:rPr>
                <w:rFonts w:cs="Calibri"/>
                <w:szCs w:val="22"/>
              </w:rPr>
              <w:t>Are EP interventions influencing motivation and incentives for student participation?</w:t>
            </w:r>
          </w:p>
          <w:p w14:paraId="6D1C57B7" w14:textId="77777777" w:rsidR="00240F1C" w:rsidRPr="00AF1D30" w:rsidRDefault="00240F1C" w:rsidP="00240F1C">
            <w:pPr>
              <w:widowControl w:val="0"/>
              <w:numPr>
                <w:ilvl w:val="1"/>
                <w:numId w:val="18"/>
              </w:numPr>
              <w:autoSpaceDE w:val="0"/>
              <w:autoSpaceDN w:val="0"/>
              <w:adjustRightInd w:val="0"/>
              <w:spacing w:after="0" w:line="240" w:lineRule="auto"/>
              <w:ind w:left="908" w:hanging="425"/>
              <w:jc w:val="left"/>
              <w:rPr>
                <w:rFonts w:cs="Calibri"/>
                <w:szCs w:val="22"/>
                <w:lang w:eastAsia="en-US"/>
              </w:rPr>
            </w:pPr>
            <w:r w:rsidRPr="00AF1D30">
              <w:rPr>
                <w:rFonts w:cs="Calibri"/>
                <w:szCs w:val="22"/>
              </w:rPr>
              <w:t>Have EP interventions improved opportunities for students to participate in JSE?</w:t>
            </w:r>
          </w:p>
          <w:p w14:paraId="735DF001"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 xml:space="preserve">Has the EP contribution been sufficient to justify the investment? </w:t>
            </w:r>
          </w:p>
        </w:tc>
        <w:tc>
          <w:tcPr>
            <w:tcW w:w="911" w:type="pct"/>
            <w:tcBorders>
              <w:top w:val="single" w:sz="4" w:space="0" w:color="auto"/>
              <w:left w:val="single" w:sz="4" w:space="0" w:color="auto"/>
              <w:bottom w:val="single" w:sz="4" w:space="0" w:color="auto"/>
              <w:right w:val="single" w:sz="4" w:space="0" w:color="auto"/>
            </w:tcBorders>
            <w:vAlign w:val="center"/>
          </w:tcPr>
          <w:p w14:paraId="75CD3F2F"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Reality check studies</w:t>
            </w:r>
          </w:p>
          <w:p w14:paraId="5DFDF2C5"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School surveys</w:t>
            </w:r>
          </w:p>
          <w:p w14:paraId="725763C7"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Evaluation studies</w:t>
            </w:r>
          </w:p>
          <w:p w14:paraId="1D9BBEEF"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Monitoring reports</w:t>
            </w:r>
          </w:p>
        </w:tc>
      </w:tr>
      <w:tr w:rsidR="00240F1C" w:rsidRPr="00AF1D30" w14:paraId="18233181" w14:textId="77777777" w:rsidTr="00240F1C">
        <w:trPr>
          <w:trHeight w:val="1827"/>
        </w:trPr>
        <w:tc>
          <w:tcPr>
            <w:tcW w:w="238" w:type="pct"/>
            <w:tcBorders>
              <w:top w:val="single" w:sz="4" w:space="0" w:color="auto"/>
              <w:left w:val="single" w:sz="4" w:space="0" w:color="auto"/>
              <w:bottom w:val="single" w:sz="4" w:space="0" w:color="auto"/>
              <w:right w:val="single" w:sz="4" w:space="0" w:color="auto"/>
            </w:tcBorders>
            <w:vAlign w:val="center"/>
            <w:hideMark/>
          </w:tcPr>
          <w:p w14:paraId="2CE6F1BF" w14:textId="77777777" w:rsidR="00240F1C" w:rsidRPr="00AF1D30" w:rsidRDefault="00240F1C" w:rsidP="00240F1C">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t>7</w:t>
            </w:r>
          </w:p>
        </w:tc>
        <w:tc>
          <w:tcPr>
            <w:tcW w:w="786" w:type="pct"/>
            <w:tcBorders>
              <w:top w:val="single" w:sz="4" w:space="0" w:color="auto"/>
              <w:left w:val="single" w:sz="4" w:space="0" w:color="auto"/>
              <w:bottom w:val="single" w:sz="4" w:space="0" w:color="auto"/>
              <w:right w:val="single" w:sz="4" w:space="0" w:color="auto"/>
            </w:tcBorders>
            <w:vAlign w:val="center"/>
            <w:hideMark/>
          </w:tcPr>
          <w:p w14:paraId="32D50A6C" w14:textId="77777777" w:rsidR="00240F1C" w:rsidRPr="00AF1D30" w:rsidRDefault="00240F1C" w:rsidP="00240F1C">
            <w:pPr>
              <w:spacing w:after="0"/>
              <w:jc w:val="left"/>
              <w:rPr>
                <w:rFonts w:asciiTheme="minorHAnsi" w:eastAsiaTheme="minorHAnsi" w:hAnsiTheme="minorHAnsi" w:cs="Calibri"/>
                <w:b/>
                <w:szCs w:val="22"/>
                <w:lang w:eastAsia="en-US"/>
              </w:rPr>
            </w:pPr>
            <w:r w:rsidRPr="00AF1D30">
              <w:rPr>
                <w:rFonts w:asciiTheme="minorHAnsi" w:eastAsiaTheme="minorHAnsi" w:hAnsiTheme="minorHAnsi" w:cs="Calibri"/>
                <w:b/>
                <w:szCs w:val="22"/>
                <w:lang w:eastAsia="en-US"/>
              </w:rPr>
              <w:t>Quality of education</w:t>
            </w:r>
          </w:p>
        </w:tc>
        <w:tc>
          <w:tcPr>
            <w:tcW w:w="906" w:type="pct"/>
            <w:tcBorders>
              <w:top w:val="single" w:sz="4" w:space="0" w:color="auto"/>
              <w:left w:val="single" w:sz="4" w:space="0" w:color="auto"/>
              <w:bottom w:val="single" w:sz="4" w:space="0" w:color="auto"/>
              <w:right w:val="single" w:sz="4" w:space="0" w:color="auto"/>
            </w:tcBorders>
            <w:vAlign w:val="center"/>
            <w:hideMark/>
          </w:tcPr>
          <w:p w14:paraId="31FDA980" w14:textId="77777777" w:rsidR="00240F1C" w:rsidRPr="00AF1D30" w:rsidRDefault="00240F1C" w:rsidP="00240F1C">
            <w:pPr>
              <w:widowControl w:val="0"/>
              <w:autoSpaceDE w:val="0"/>
              <w:autoSpaceDN w:val="0"/>
              <w:adjustRightInd w:val="0"/>
              <w:spacing w:after="0"/>
              <w:jc w:val="left"/>
              <w:rPr>
                <w:rFonts w:asciiTheme="minorHAnsi" w:eastAsiaTheme="minorHAnsi" w:hAnsiTheme="minorHAnsi" w:cs="Calibri"/>
                <w:szCs w:val="22"/>
                <w:lang w:eastAsia="en-US"/>
              </w:rPr>
            </w:pPr>
            <w:r w:rsidRPr="00AF1D30">
              <w:rPr>
                <w:rFonts w:asciiTheme="minorHAnsi" w:eastAsiaTheme="minorHAnsi" w:hAnsiTheme="minorHAnsi" w:cs="Calibri"/>
                <w:szCs w:val="22"/>
                <w:lang w:eastAsia="en-US"/>
              </w:rPr>
              <w:t>To what extent have EP interventions contributed to the improvement of the quality of education in public and private schools?</w:t>
            </w:r>
          </w:p>
        </w:tc>
        <w:tc>
          <w:tcPr>
            <w:tcW w:w="2159" w:type="pct"/>
            <w:tcBorders>
              <w:top w:val="single" w:sz="4" w:space="0" w:color="auto"/>
              <w:left w:val="single" w:sz="4" w:space="0" w:color="auto"/>
              <w:bottom w:val="single" w:sz="4" w:space="0" w:color="auto"/>
              <w:right w:val="single" w:sz="4" w:space="0" w:color="auto"/>
            </w:tcBorders>
            <w:vAlign w:val="center"/>
            <w:hideMark/>
          </w:tcPr>
          <w:p w14:paraId="6B5C6C4A"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What is the evidence of improved quality in public and private schools?</w:t>
            </w:r>
          </w:p>
          <w:p w14:paraId="53B33616"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 xml:space="preserve">How do EP interventions contribute to education quality improvement? </w:t>
            </w:r>
          </w:p>
          <w:p w14:paraId="1D2ED6B7" w14:textId="77777777" w:rsidR="00240F1C" w:rsidRPr="00AF1D30" w:rsidRDefault="00240F1C" w:rsidP="00240F1C">
            <w:pPr>
              <w:widowControl w:val="0"/>
              <w:numPr>
                <w:ilvl w:val="1"/>
                <w:numId w:val="18"/>
              </w:numPr>
              <w:autoSpaceDE w:val="0"/>
              <w:autoSpaceDN w:val="0"/>
              <w:adjustRightInd w:val="0"/>
              <w:spacing w:after="0" w:line="240" w:lineRule="auto"/>
              <w:ind w:left="908" w:hanging="425"/>
              <w:jc w:val="left"/>
              <w:rPr>
                <w:rFonts w:cs="Calibri"/>
                <w:szCs w:val="22"/>
              </w:rPr>
            </w:pPr>
            <w:r w:rsidRPr="00AF1D30">
              <w:rPr>
                <w:rFonts w:cs="Calibri"/>
                <w:szCs w:val="22"/>
              </w:rPr>
              <w:t xml:space="preserve">What’s the role of improving P and S competencies? </w:t>
            </w:r>
          </w:p>
          <w:p w14:paraId="28EFF376" w14:textId="77777777" w:rsidR="00240F1C" w:rsidRPr="00AF1D30" w:rsidRDefault="00240F1C" w:rsidP="00240F1C">
            <w:pPr>
              <w:widowControl w:val="0"/>
              <w:numPr>
                <w:ilvl w:val="1"/>
                <w:numId w:val="18"/>
              </w:numPr>
              <w:autoSpaceDE w:val="0"/>
              <w:autoSpaceDN w:val="0"/>
              <w:adjustRightInd w:val="0"/>
              <w:spacing w:after="0" w:line="240" w:lineRule="auto"/>
              <w:ind w:left="908" w:hanging="425"/>
              <w:jc w:val="left"/>
              <w:rPr>
                <w:rFonts w:cs="Calibri"/>
                <w:szCs w:val="22"/>
                <w:lang w:eastAsia="en-US"/>
              </w:rPr>
            </w:pPr>
            <w:r w:rsidRPr="00AF1D30">
              <w:rPr>
                <w:rFonts w:cs="Calibri"/>
                <w:szCs w:val="22"/>
              </w:rPr>
              <w:t>What’s the role of enabling schools to fulfil their development</w:t>
            </w:r>
            <w:r w:rsidRPr="00AF1D30">
              <w:rPr>
                <w:rFonts w:cs="Calibri"/>
                <w:szCs w:val="22"/>
                <w:lang w:eastAsia="en-US"/>
              </w:rPr>
              <w:t xml:space="preserve"> plans?</w:t>
            </w:r>
          </w:p>
          <w:p w14:paraId="185BCC90"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 xml:space="preserve">Has the EP contribution been sufficient to justify the investment? </w:t>
            </w:r>
          </w:p>
        </w:tc>
        <w:tc>
          <w:tcPr>
            <w:tcW w:w="911" w:type="pct"/>
            <w:tcBorders>
              <w:top w:val="single" w:sz="4" w:space="0" w:color="auto"/>
              <w:left w:val="single" w:sz="4" w:space="0" w:color="auto"/>
              <w:bottom w:val="single" w:sz="4" w:space="0" w:color="auto"/>
              <w:right w:val="single" w:sz="4" w:space="0" w:color="auto"/>
            </w:tcBorders>
            <w:vAlign w:val="center"/>
          </w:tcPr>
          <w:p w14:paraId="14C369DC"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Reality check studies</w:t>
            </w:r>
          </w:p>
          <w:p w14:paraId="27C0E395"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School surveys</w:t>
            </w:r>
          </w:p>
          <w:p w14:paraId="2DE7899F"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Evaluation studies</w:t>
            </w:r>
          </w:p>
          <w:p w14:paraId="26975EF9"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Monitoring reports</w:t>
            </w:r>
          </w:p>
        </w:tc>
      </w:tr>
      <w:tr w:rsidR="00240F1C" w:rsidRPr="00AF1D30" w14:paraId="756C6263" w14:textId="77777777" w:rsidTr="00240F1C">
        <w:trPr>
          <w:trHeight w:val="1973"/>
        </w:trPr>
        <w:tc>
          <w:tcPr>
            <w:tcW w:w="238" w:type="pct"/>
            <w:tcBorders>
              <w:top w:val="single" w:sz="4" w:space="0" w:color="auto"/>
              <w:left w:val="single" w:sz="4" w:space="0" w:color="auto"/>
              <w:bottom w:val="single" w:sz="4" w:space="0" w:color="auto"/>
              <w:right w:val="single" w:sz="4" w:space="0" w:color="auto"/>
            </w:tcBorders>
            <w:vAlign w:val="center"/>
            <w:hideMark/>
          </w:tcPr>
          <w:p w14:paraId="192EDA70" w14:textId="77777777" w:rsidR="00240F1C" w:rsidRPr="00AF1D30" w:rsidRDefault="00240F1C" w:rsidP="00240F1C">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lastRenderedPageBreak/>
              <w:t>8</w:t>
            </w:r>
          </w:p>
        </w:tc>
        <w:tc>
          <w:tcPr>
            <w:tcW w:w="786" w:type="pct"/>
            <w:tcBorders>
              <w:top w:val="single" w:sz="4" w:space="0" w:color="auto"/>
              <w:left w:val="single" w:sz="4" w:space="0" w:color="auto"/>
              <w:bottom w:val="single" w:sz="4" w:space="0" w:color="auto"/>
              <w:right w:val="single" w:sz="4" w:space="0" w:color="auto"/>
            </w:tcBorders>
            <w:vAlign w:val="center"/>
            <w:hideMark/>
          </w:tcPr>
          <w:p w14:paraId="357EB37C" w14:textId="77777777" w:rsidR="00240F1C" w:rsidRPr="00AF1D30" w:rsidRDefault="00240F1C" w:rsidP="00240F1C">
            <w:pPr>
              <w:spacing w:after="0"/>
              <w:jc w:val="left"/>
              <w:rPr>
                <w:rFonts w:asciiTheme="minorHAnsi" w:eastAsiaTheme="minorHAnsi" w:hAnsiTheme="minorHAnsi" w:cs="Calibri"/>
                <w:b/>
                <w:szCs w:val="22"/>
                <w:lang w:eastAsia="en-US"/>
              </w:rPr>
            </w:pPr>
            <w:r w:rsidRPr="00AF1D30">
              <w:rPr>
                <w:rFonts w:asciiTheme="minorHAnsi" w:eastAsiaTheme="minorHAnsi" w:hAnsiTheme="minorHAnsi" w:cs="Calibri"/>
                <w:b/>
                <w:szCs w:val="22"/>
                <w:lang w:eastAsia="en-US"/>
              </w:rPr>
              <w:t>Sector governance</w:t>
            </w:r>
          </w:p>
        </w:tc>
        <w:tc>
          <w:tcPr>
            <w:tcW w:w="906" w:type="pct"/>
            <w:tcBorders>
              <w:top w:val="single" w:sz="4" w:space="0" w:color="auto"/>
              <w:left w:val="single" w:sz="4" w:space="0" w:color="auto"/>
              <w:bottom w:val="single" w:sz="4" w:space="0" w:color="auto"/>
              <w:right w:val="single" w:sz="4" w:space="0" w:color="auto"/>
            </w:tcBorders>
            <w:vAlign w:val="center"/>
            <w:hideMark/>
          </w:tcPr>
          <w:p w14:paraId="58B869BF" w14:textId="77777777" w:rsidR="00240F1C" w:rsidRPr="00AF1D30" w:rsidRDefault="00240F1C" w:rsidP="00240F1C">
            <w:pPr>
              <w:widowControl w:val="0"/>
              <w:autoSpaceDE w:val="0"/>
              <w:autoSpaceDN w:val="0"/>
              <w:adjustRightInd w:val="0"/>
              <w:spacing w:after="0"/>
              <w:jc w:val="left"/>
              <w:rPr>
                <w:rFonts w:asciiTheme="minorHAnsi" w:eastAsiaTheme="minorHAnsi" w:hAnsiTheme="minorHAnsi" w:cs="Calibri"/>
                <w:szCs w:val="22"/>
                <w:lang w:eastAsia="en-US"/>
              </w:rPr>
            </w:pPr>
            <w:r w:rsidRPr="00AF1D30">
              <w:rPr>
                <w:rFonts w:asciiTheme="minorHAnsi" w:eastAsiaTheme="minorHAnsi" w:hAnsiTheme="minorHAnsi" w:cs="Calibri"/>
                <w:szCs w:val="22"/>
                <w:lang w:eastAsia="en-US"/>
              </w:rPr>
              <w:t>To what extent have EP interventions contributed to increased use of evidence for education sector decision making?</w:t>
            </w:r>
          </w:p>
        </w:tc>
        <w:tc>
          <w:tcPr>
            <w:tcW w:w="2159" w:type="pct"/>
            <w:tcBorders>
              <w:top w:val="single" w:sz="4" w:space="0" w:color="auto"/>
              <w:left w:val="single" w:sz="4" w:space="0" w:color="auto"/>
              <w:bottom w:val="single" w:sz="4" w:space="0" w:color="auto"/>
              <w:right w:val="single" w:sz="4" w:space="0" w:color="auto"/>
            </w:tcBorders>
            <w:vAlign w:val="center"/>
            <w:hideMark/>
          </w:tcPr>
          <w:p w14:paraId="35BDAC17"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 xml:space="preserve">What is the evidence of increased use of evidence for education sector decision making? </w:t>
            </w:r>
          </w:p>
          <w:p w14:paraId="487FB0D1"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 xml:space="preserve">How do EP interventions contribute to increased use of evidence for education sector decision making? </w:t>
            </w:r>
          </w:p>
          <w:p w14:paraId="65AF202F"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 xml:space="preserve">Has the EP contribution been sufficient to justify the investment? </w:t>
            </w:r>
          </w:p>
        </w:tc>
        <w:tc>
          <w:tcPr>
            <w:tcW w:w="911" w:type="pct"/>
            <w:tcBorders>
              <w:top w:val="single" w:sz="4" w:space="0" w:color="auto"/>
              <w:left w:val="single" w:sz="4" w:space="0" w:color="auto"/>
              <w:bottom w:val="single" w:sz="4" w:space="0" w:color="auto"/>
              <w:right w:val="single" w:sz="4" w:space="0" w:color="auto"/>
            </w:tcBorders>
            <w:vAlign w:val="center"/>
          </w:tcPr>
          <w:p w14:paraId="0A729840"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Evaluation studies</w:t>
            </w:r>
          </w:p>
          <w:p w14:paraId="69477550"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Monitoring reports</w:t>
            </w:r>
          </w:p>
        </w:tc>
      </w:tr>
      <w:tr w:rsidR="00240F1C" w:rsidRPr="00AF1D30" w14:paraId="6BA60516" w14:textId="77777777" w:rsidTr="00240F1C">
        <w:trPr>
          <w:trHeight w:val="567"/>
        </w:trPr>
        <w:tc>
          <w:tcPr>
            <w:tcW w:w="5000" w:type="pct"/>
            <w:gridSpan w:val="5"/>
            <w:tcBorders>
              <w:top w:val="single" w:sz="4" w:space="0" w:color="auto"/>
              <w:left w:val="single" w:sz="4" w:space="0" w:color="auto"/>
              <w:bottom w:val="single" w:sz="4" w:space="0" w:color="auto"/>
              <w:right w:val="single" w:sz="4" w:space="0" w:color="auto"/>
            </w:tcBorders>
            <w:shd w:val="clear" w:color="auto" w:fill="C6D9F1"/>
            <w:vAlign w:val="center"/>
            <w:hideMark/>
          </w:tcPr>
          <w:p w14:paraId="5A07787C" w14:textId="77777777" w:rsidR="00240F1C" w:rsidRPr="00AF1D30" w:rsidRDefault="00240F1C" w:rsidP="00240F1C">
            <w:pPr>
              <w:spacing w:after="0"/>
              <w:jc w:val="center"/>
              <w:rPr>
                <w:rFonts w:asciiTheme="minorHAnsi" w:eastAsiaTheme="minorHAnsi" w:hAnsiTheme="minorHAnsi" w:cs="Calibri"/>
                <w:b/>
                <w:szCs w:val="22"/>
                <w:lang w:eastAsia="en-US"/>
              </w:rPr>
            </w:pPr>
            <w:r w:rsidRPr="00AF1D30">
              <w:rPr>
                <w:rFonts w:asciiTheme="minorHAnsi" w:eastAsiaTheme="minorHAnsi" w:hAnsiTheme="minorHAnsi" w:cs="Calibri"/>
                <w:b/>
                <w:szCs w:val="22"/>
                <w:lang w:eastAsia="en-US"/>
              </w:rPr>
              <w:t>Themes related to EP targeted vulnerable groups</w:t>
            </w:r>
          </w:p>
        </w:tc>
      </w:tr>
      <w:tr w:rsidR="00240F1C" w:rsidRPr="00AF1D30" w14:paraId="7DD74CDE" w14:textId="77777777" w:rsidTr="00240F1C">
        <w:trPr>
          <w:trHeight w:val="2533"/>
        </w:trPr>
        <w:tc>
          <w:tcPr>
            <w:tcW w:w="238" w:type="pct"/>
            <w:tcBorders>
              <w:top w:val="single" w:sz="4" w:space="0" w:color="auto"/>
              <w:left w:val="single" w:sz="4" w:space="0" w:color="auto"/>
              <w:bottom w:val="single" w:sz="4" w:space="0" w:color="auto"/>
              <w:right w:val="single" w:sz="4" w:space="0" w:color="auto"/>
            </w:tcBorders>
            <w:vAlign w:val="center"/>
            <w:hideMark/>
          </w:tcPr>
          <w:p w14:paraId="5B1E073D" w14:textId="77777777" w:rsidR="00240F1C" w:rsidRPr="00AF1D30" w:rsidRDefault="00240F1C" w:rsidP="00240F1C">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t>9</w:t>
            </w:r>
          </w:p>
        </w:tc>
        <w:tc>
          <w:tcPr>
            <w:tcW w:w="786" w:type="pct"/>
            <w:tcBorders>
              <w:top w:val="single" w:sz="4" w:space="0" w:color="auto"/>
              <w:left w:val="single" w:sz="4" w:space="0" w:color="auto"/>
              <w:bottom w:val="single" w:sz="4" w:space="0" w:color="auto"/>
              <w:right w:val="single" w:sz="4" w:space="0" w:color="auto"/>
            </w:tcBorders>
            <w:vAlign w:val="center"/>
            <w:hideMark/>
          </w:tcPr>
          <w:p w14:paraId="2A089EE1" w14:textId="77777777" w:rsidR="00240F1C" w:rsidRPr="00AF1D30" w:rsidRDefault="00240F1C" w:rsidP="00240F1C">
            <w:pPr>
              <w:spacing w:after="0"/>
              <w:jc w:val="left"/>
              <w:rPr>
                <w:rFonts w:asciiTheme="minorHAnsi" w:eastAsiaTheme="minorHAnsi" w:hAnsiTheme="minorHAnsi" w:cs="Calibri"/>
                <w:b/>
                <w:szCs w:val="22"/>
                <w:lang w:eastAsia="en-US"/>
              </w:rPr>
            </w:pPr>
            <w:r w:rsidRPr="00AF1D30">
              <w:rPr>
                <w:rFonts w:asciiTheme="minorHAnsi" w:eastAsiaTheme="minorHAnsi" w:hAnsiTheme="minorHAnsi" w:cs="Calibri"/>
                <w:b/>
                <w:szCs w:val="22"/>
                <w:lang w:eastAsia="en-US"/>
              </w:rPr>
              <w:t>Gender</w:t>
            </w:r>
          </w:p>
        </w:tc>
        <w:tc>
          <w:tcPr>
            <w:tcW w:w="906" w:type="pct"/>
            <w:tcBorders>
              <w:top w:val="single" w:sz="4" w:space="0" w:color="auto"/>
              <w:left w:val="single" w:sz="4" w:space="0" w:color="auto"/>
              <w:bottom w:val="single" w:sz="4" w:space="0" w:color="auto"/>
              <w:right w:val="single" w:sz="4" w:space="0" w:color="auto"/>
            </w:tcBorders>
            <w:vAlign w:val="center"/>
            <w:hideMark/>
          </w:tcPr>
          <w:p w14:paraId="27C3F0E9" w14:textId="77777777" w:rsidR="00240F1C" w:rsidRPr="00AF1D30" w:rsidRDefault="00240F1C" w:rsidP="00240F1C">
            <w:pPr>
              <w:widowControl w:val="0"/>
              <w:autoSpaceDE w:val="0"/>
              <w:autoSpaceDN w:val="0"/>
              <w:adjustRightInd w:val="0"/>
              <w:spacing w:after="0"/>
              <w:jc w:val="left"/>
              <w:rPr>
                <w:rFonts w:asciiTheme="minorHAnsi" w:eastAsiaTheme="minorHAnsi" w:hAnsiTheme="minorHAnsi" w:cs="Calibri"/>
                <w:szCs w:val="22"/>
                <w:lang w:eastAsia="en-US"/>
              </w:rPr>
            </w:pPr>
            <w:r w:rsidRPr="00AF1D30">
              <w:rPr>
                <w:rFonts w:asciiTheme="minorHAnsi" w:eastAsiaTheme="minorHAnsi" w:hAnsiTheme="minorHAnsi" w:cs="Calibri"/>
                <w:szCs w:val="22"/>
                <w:lang w:eastAsia="en-US"/>
              </w:rPr>
              <w:t xml:space="preserve">To what extent has the EP promote gender equality in the Indonesian education sector? </w:t>
            </w:r>
          </w:p>
        </w:tc>
        <w:tc>
          <w:tcPr>
            <w:tcW w:w="2159" w:type="pct"/>
            <w:tcBorders>
              <w:top w:val="single" w:sz="4" w:space="0" w:color="auto"/>
              <w:left w:val="single" w:sz="4" w:space="0" w:color="auto"/>
              <w:bottom w:val="single" w:sz="4" w:space="0" w:color="auto"/>
              <w:right w:val="single" w:sz="4" w:space="0" w:color="auto"/>
            </w:tcBorders>
            <w:vAlign w:val="center"/>
            <w:hideMark/>
          </w:tcPr>
          <w:p w14:paraId="22FDE5F3"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How are EP interventions closing gender gaps in the education sector in Indonesia?</w:t>
            </w:r>
          </w:p>
          <w:p w14:paraId="016B63D0"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 xml:space="preserve">What are we learning about the different impacts of EP interventions on women and men, girls and boys? </w:t>
            </w:r>
          </w:p>
          <w:p w14:paraId="0FE0CF73"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 xml:space="preserve">Has the delivery of EP interventions been sufficiently gender appropriate? </w:t>
            </w:r>
          </w:p>
          <w:p w14:paraId="3E831AB0"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Are EP interventions facilitating increased women’s empowerment and voice in decision-making and leadership?</w:t>
            </w:r>
          </w:p>
        </w:tc>
        <w:tc>
          <w:tcPr>
            <w:tcW w:w="911" w:type="pct"/>
            <w:tcBorders>
              <w:top w:val="single" w:sz="4" w:space="0" w:color="auto"/>
              <w:left w:val="single" w:sz="4" w:space="0" w:color="auto"/>
              <w:bottom w:val="single" w:sz="4" w:space="0" w:color="auto"/>
              <w:right w:val="single" w:sz="4" w:space="0" w:color="auto"/>
            </w:tcBorders>
            <w:vAlign w:val="center"/>
          </w:tcPr>
          <w:p w14:paraId="46A3A1D9"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Social Inclusion Strategy</w:t>
            </w:r>
          </w:p>
          <w:p w14:paraId="0E84E424"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Reality check studies</w:t>
            </w:r>
          </w:p>
          <w:p w14:paraId="1B30F88C"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Evaluation studies</w:t>
            </w:r>
          </w:p>
          <w:p w14:paraId="40BBC091"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Monitoring reports</w:t>
            </w:r>
          </w:p>
        </w:tc>
      </w:tr>
      <w:tr w:rsidR="00240F1C" w:rsidRPr="00AF1D30" w14:paraId="27A59E22" w14:textId="77777777" w:rsidTr="00240F1C">
        <w:trPr>
          <w:trHeight w:val="2252"/>
        </w:trPr>
        <w:tc>
          <w:tcPr>
            <w:tcW w:w="238" w:type="pct"/>
            <w:tcBorders>
              <w:top w:val="single" w:sz="4" w:space="0" w:color="auto"/>
              <w:left w:val="single" w:sz="4" w:space="0" w:color="auto"/>
              <w:bottom w:val="single" w:sz="4" w:space="0" w:color="auto"/>
              <w:right w:val="single" w:sz="4" w:space="0" w:color="auto"/>
            </w:tcBorders>
            <w:vAlign w:val="center"/>
            <w:hideMark/>
          </w:tcPr>
          <w:p w14:paraId="47ACEAD1" w14:textId="77777777" w:rsidR="00240F1C" w:rsidRPr="00AF1D30" w:rsidRDefault="00240F1C" w:rsidP="00240F1C">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t>10</w:t>
            </w:r>
          </w:p>
        </w:tc>
        <w:tc>
          <w:tcPr>
            <w:tcW w:w="786" w:type="pct"/>
            <w:tcBorders>
              <w:top w:val="single" w:sz="4" w:space="0" w:color="auto"/>
              <w:left w:val="single" w:sz="4" w:space="0" w:color="auto"/>
              <w:bottom w:val="single" w:sz="4" w:space="0" w:color="auto"/>
              <w:right w:val="single" w:sz="4" w:space="0" w:color="auto"/>
            </w:tcBorders>
            <w:vAlign w:val="center"/>
            <w:hideMark/>
          </w:tcPr>
          <w:p w14:paraId="4FB92BAB" w14:textId="77777777" w:rsidR="00240F1C" w:rsidRPr="00AF1D30" w:rsidRDefault="00240F1C" w:rsidP="00240F1C">
            <w:pPr>
              <w:spacing w:after="0"/>
              <w:jc w:val="left"/>
              <w:rPr>
                <w:rFonts w:asciiTheme="minorHAnsi" w:eastAsiaTheme="minorHAnsi" w:hAnsiTheme="minorHAnsi" w:cs="Calibri"/>
                <w:b/>
                <w:szCs w:val="22"/>
                <w:lang w:eastAsia="en-US"/>
              </w:rPr>
            </w:pPr>
            <w:r w:rsidRPr="00AF1D30">
              <w:rPr>
                <w:rFonts w:asciiTheme="minorHAnsi" w:eastAsiaTheme="minorHAnsi" w:hAnsiTheme="minorHAnsi" w:cs="Calibri"/>
                <w:b/>
                <w:szCs w:val="22"/>
                <w:lang w:eastAsia="en-US"/>
              </w:rPr>
              <w:t>Disability</w:t>
            </w:r>
          </w:p>
        </w:tc>
        <w:tc>
          <w:tcPr>
            <w:tcW w:w="906" w:type="pct"/>
            <w:tcBorders>
              <w:top w:val="single" w:sz="4" w:space="0" w:color="auto"/>
              <w:left w:val="single" w:sz="4" w:space="0" w:color="auto"/>
              <w:bottom w:val="single" w:sz="4" w:space="0" w:color="auto"/>
              <w:right w:val="single" w:sz="4" w:space="0" w:color="auto"/>
            </w:tcBorders>
            <w:vAlign w:val="center"/>
            <w:hideMark/>
          </w:tcPr>
          <w:p w14:paraId="0DCD0D80" w14:textId="77777777" w:rsidR="00240F1C" w:rsidRPr="00AF1D30" w:rsidRDefault="00240F1C" w:rsidP="00240F1C">
            <w:pPr>
              <w:widowControl w:val="0"/>
              <w:autoSpaceDE w:val="0"/>
              <w:autoSpaceDN w:val="0"/>
              <w:adjustRightInd w:val="0"/>
              <w:spacing w:after="0"/>
              <w:jc w:val="left"/>
              <w:rPr>
                <w:rFonts w:asciiTheme="minorHAnsi" w:eastAsiaTheme="minorHAnsi" w:hAnsiTheme="minorHAnsi" w:cs="Calibri"/>
                <w:szCs w:val="22"/>
                <w:lang w:eastAsia="en-US"/>
              </w:rPr>
            </w:pPr>
            <w:r w:rsidRPr="00AF1D30">
              <w:rPr>
                <w:rFonts w:asciiTheme="minorHAnsi" w:eastAsiaTheme="minorHAnsi" w:hAnsiTheme="minorHAnsi" w:cs="Calibri"/>
                <w:szCs w:val="22"/>
                <w:lang w:eastAsia="en-US"/>
              </w:rPr>
              <w:t>To what extent has the EP promoted disability inclusive education in Indonesia?</w:t>
            </w:r>
          </w:p>
        </w:tc>
        <w:tc>
          <w:tcPr>
            <w:tcW w:w="2159" w:type="pct"/>
            <w:tcBorders>
              <w:top w:val="single" w:sz="4" w:space="0" w:color="auto"/>
              <w:left w:val="single" w:sz="4" w:space="0" w:color="auto"/>
              <w:bottom w:val="single" w:sz="4" w:space="0" w:color="auto"/>
              <w:right w:val="single" w:sz="4" w:space="0" w:color="auto"/>
            </w:tcBorders>
            <w:vAlign w:val="center"/>
            <w:hideMark/>
          </w:tcPr>
          <w:p w14:paraId="0E8B9AD4"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Are EP interventions sufficiently enabling people with disability to access the same opportunities for participation, contribution and decision making in the Indonesian education sector?</w:t>
            </w:r>
          </w:p>
          <w:p w14:paraId="1CBF7AC1"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 xml:space="preserve">What are we learning about the different impacts of EP interventions on people with disability? </w:t>
            </w:r>
          </w:p>
        </w:tc>
        <w:tc>
          <w:tcPr>
            <w:tcW w:w="911" w:type="pct"/>
            <w:tcBorders>
              <w:top w:val="single" w:sz="4" w:space="0" w:color="auto"/>
              <w:left w:val="single" w:sz="4" w:space="0" w:color="auto"/>
              <w:bottom w:val="single" w:sz="4" w:space="0" w:color="auto"/>
              <w:right w:val="single" w:sz="4" w:space="0" w:color="auto"/>
            </w:tcBorders>
            <w:vAlign w:val="center"/>
          </w:tcPr>
          <w:p w14:paraId="78D4F961"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Social Inclusion Strategy</w:t>
            </w:r>
          </w:p>
          <w:p w14:paraId="1D6FF214"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Reality check studies</w:t>
            </w:r>
          </w:p>
          <w:p w14:paraId="6AA6BC35"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Evaluation studies</w:t>
            </w:r>
          </w:p>
          <w:p w14:paraId="198F4062"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Monitoring reports</w:t>
            </w:r>
          </w:p>
        </w:tc>
      </w:tr>
      <w:tr w:rsidR="00240F1C" w:rsidRPr="00AF1D30" w14:paraId="1CC0E18B" w14:textId="77777777" w:rsidTr="00240F1C">
        <w:trPr>
          <w:trHeight w:val="2114"/>
        </w:trPr>
        <w:tc>
          <w:tcPr>
            <w:tcW w:w="238" w:type="pct"/>
            <w:tcBorders>
              <w:top w:val="single" w:sz="4" w:space="0" w:color="auto"/>
              <w:left w:val="single" w:sz="4" w:space="0" w:color="auto"/>
              <w:bottom w:val="single" w:sz="4" w:space="0" w:color="auto"/>
              <w:right w:val="single" w:sz="4" w:space="0" w:color="auto"/>
            </w:tcBorders>
            <w:vAlign w:val="center"/>
            <w:hideMark/>
          </w:tcPr>
          <w:p w14:paraId="17B0507A" w14:textId="77777777" w:rsidR="00240F1C" w:rsidRPr="00AF1D30" w:rsidRDefault="00240F1C" w:rsidP="00240F1C">
            <w:pPr>
              <w:spacing w:after="0"/>
              <w:jc w:val="center"/>
              <w:rPr>
                <w:rFonts w:asciiTheme="minorHAnsi" w:eastAsiaTheme="minorHAnsi" w:hAnsiTheme="minorHAnsi" w:cs="Calibri"/>
                <w:smallCaps/>
                <w:szCs w:val="22"/>
                <w:lang w:eastAsia="en-US"/>
              </w:rPr>
            </w:pPr>
            <w:r w:rsidRPr="00AF1D30">
              <w:rPr>
                <w:rFonts w:asciiTheme="minorHAnsi" w:eastAsiaTheme="minorHAnsi" w:hAnsiTheme="minorHAnsi" w:cs="Calibri"/>
                <w:smallCaps/>
                <w:szCs w:val="22"/>
                <w:lang w:eastAsia="en-US"/>
              </w:rPr>
              <w:lastRenderedPageBreak/>
              <w:t>11</w:t>
            </w:r>
          </w:p>
        </w:tc>
        <w:tc>
          <w:tcPr>
            <w:tcW w:w="786" w:type="pct"/>
            <w:tcBorders>
              <w:top w:val="single" w:sz="4" w:space="0" w:color="auto"/>
              <w:left w:val="single" w:sz="4" w:space="0" w:color="auto"/>
              <w:bottom w:val="single" w:sz="4" w:space="0" w:color="auto"/>
              <w:right w:val="single" w:sz="4" w:space="0" w:color="auto"/>
            </w:tcBorders>
            <w:vAlign w:val="center"/>
            <w:hideMark/>
          </w:tcPr>
          <w:p w14:paraId="620C0ECB" w14:textId="77777777" w:rsidR="00240F1C" w:rsidRPr="00AF1D30" w:rsidRDefault="00240F1C" w:rsidP="00240F1C">
            <w:pPr>
              <w:spacing w:after="0"/>
              <w:jc w:val="left"/>
              <w:rPr>
                <w:rFonts w:asciiTheme="minorHAnsi" w:eastAsiaTheme="minorHAnsi" w:hAnsiTheme="minorHAnsi" w:cs="Calibri"/>
                <w:b/>
                <w:szCs w:val="22"/>
                <w:lang w:eastAsia="en-US"/>
              </w:rPr>
            </w:pPr>
            <w:r w:rsidRPr="00AF1D30">
              <w:rPr>
                <w:rFonts w:asciiTheme="minorHAnsi" w:eastAsiaTheme="minorHAnsi" w:hAnsiTheme="minorHAnsi" w:cs="Calibri"/>
                <w:b/>
                <w:szCs w:val="22"/>
                <w:lang w:eastAsia="en-US"/>
              </w:rPr>
              <w:t>Poverty reduction</w:t>
            </w:r>
          </w:p>
        </w:tc>
        <w:tc>
          <w:tcPr>
            <w:tcW w:w="906" w:type="pct"/>
            <w:tcBorders>
              <w:top w:val="single" w:sz="4" w:space="0" w:color="auto"/>
              <w:left w:val="single" w:sz="4" w:space="0" w:color="auto"/>
              <w:bottom w:val="single" w:sz="4" w:space="0" w:color="auto"/>
              <w:right w:val="single" w:sz="4" w:space="0" w:color="auto"/>
            </w:tcBorders>
            <w:vAlign w:val="center"/>
            <w:hideMark/>
          </w:tcPr>
          <w:p w14:paraId="03A05D9D" w14:textId="77777777" w:rsidR="00240F1C" w:rsidRPr="00AF1D30" w:rsidRDefault="00240F1C" w:rsidP="00240F1C">
            <w:pPr>
              <w:widowControl w:val="0"/>
              <w:autoSpaceDE w:val="0"/>
              <w:autoSpaceDN w:val="0"/>
              <w:adjustRightInd w:val="0"/>
              <w:spacing w:after="0"/>
              <w:jc w:val="left"/>
              <w:rPr>
                <w:rFonts w:asciiTheme="minorHAnsi" w:eastAsiaTheme="minorHAnsi" w:hAnsiTheme="minorHAnsi" w:cs="Calibri"/>
                <w:szCs w:val="22"/>
                <w:lang w:eastAsia="en-US"/>
              </w:rPr>
            </w:pPr>
            <w:r w:rsidRPr="00AF1D30">
              <w:rPr>
                <w:rFonts w:asciiTheme="minorHAnsi" w:eastAsiaTheme="minorHAnsi" w:hAnsiTheme="minorHAnsi" w:cs="Calibri"/>
                <w:szCs w:val="22"/>
                <w:lang w:eastAsia="en-US"/>
              </w:rPr>
              <w:t>To what extent has the EP promoted poverty reduction and the empowerment of poor people?</w:t>
            </w:r>
          </w:p>
        </w:tc>
        <w:tc>
          <w:tcPr>
            <w:tcW w:w="2159" w:type="pct"/>
            <w:tcBorders>
              <w:top w:val="single" w:sz="4" w:space="0" w:color="auto"/>
              <w:left w:val="single" w:sz="4" w:space="0" w:color="auto"/>
              <w:bottom w:val="single" w:sz="4" w:space="0" w:color="auto"/>
              <w:right w:val="single" w:sz="4" w:space="0" w:color="auto"/>
            </w:tcBorders>
            <w:vAlign w:val="center"/>
            <w:hideMark/>
          </w:tcPr>
          <w:p w14:paraId="3A33F7AC"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lang w:eastAsia="en-US"/>
              </w:rPr>
            </w:pPr>
            <w:r w:rsidRPr="00AF1D30">
              <w:rPr>
                <w:rFonts w:cs="Calibri"/>
                <w:szCs w:val="22"/>
              </w:rPr>
              <w:t xml:space="preserve">Are EP interventions sufficiently targeting the poor? </w:t>
            </w:r>
          </w:p>
          <w:p w14:paraId="76B15EB1"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 xml:space="preserve">What are we learning about the different impacts of EP interventions on poor people? </w:t>
            </w:r>
          </w:p>
          <w:p w14:paraId="0D8AAB02"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Are EP interventions sufficiently facilitating increased poor people’s empowerment and voice in decision-making?</w:t>
            </w:r>
          </w:p>
        </w:tc>
        <w:tc>
          <w:tcPr>
            <w:tcW w:w="911" w:type="pct"/>
            <w:tcBorders>
              <w:top w:val="single" w:sz="4" w:space="0" w:color="auto"/>
              <w:left w:val="single" w:sz="4" w:space="0" w:color="auto"/>
              <w:bottom w:val="single" w:sz="4" w:space="0" w:color="auto"/>
              <w:right w:val="single" w:sz="4" w:space="0" w:color="auto"/>
            </w:tcBorders>
            <w:vAlign w:val="center"/>
          </w:tcPr>
          <w:p w14:paraId="1BCF2533"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Social Inclusion Strategy</w:t>
            </w:r>
          </w:p>
          <w:p w14:paraId="74D2D537"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Reality check studies</w:t>
            </w:r>
          </w:p>
          <w:p w14:paraId="574A87F4"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Evaluation studies</w:t>
            </w:r>
          </w:p>
          <w:p w14:paraId="614E87E9" w14:textId="77777777" w:rsidR="00240F1C" w:rsidRPr="00AF1D30" w:rsidRDefault="00240F1C" w:rsidP="00240F1C">
            <w:pPr>
              <w:widowControl w:val="0"/>
              <w:numPr>
                <w:ilvl w:val="0"/>
                <w:numId w:val="18"/>
              </w:numPr>
              <w:autoSpaceDE w:val="0"/>
              <w:autoSpaceDN w:val="0"/>
              <w:adjustRightInd w:val="0"/>
              <w:spacing w:after="0" w:line="240" w:lineRule="auto"/>
              <w:ind w:left="446" w:hanging="284"/>
              <w:jc w:val="left"/>
              <w:rPr>
                <w:rFonts w:cs="Calibri"/>
                <w:szCs w:val="22"/>
              </w:rPr>
            </w:pPr>
            <w:r w:rsidRPr="00AF1D30">
              <w:rPr>
                <w:rFonts w:cs="Calibri"/>
                <w:szCs w:val="22"/>
              </w:rPr>
              <w:t>Monitoring reports</w:t>
            </w:r>
          </w:p>
        </w:tc>
      </w:tr>
    </w:tbl>
    <w:p w14:paraId="2E995A8D" w14:textId="77777777" w:rsidR="00240F1C" w:rsidRPr="00AF1D30" w:rsidRDefault="00240F1C" w:rsidP="00240F1C">
      <w:pPr>
        <w:spacing w:after="200"/>
        <w:jc w:val="left"/>
        <w:rPr>
          <w:rFonts w:asciiTheme="minorHAnsi" w:eastAsiaTheme="minorHAnsi" w:hAnsiTheme="minorHAnsi" w:cstheme="minorBidi"/>
          <w:b/>
          <w:szCs w:val="22"/>
          <w:lang w:eastAsia="en-US"/>
        </w:rPr>
      </w:pPr>
    </w:p>
    <w:p w14:paraId="4C33B0E2" w14:textId="77777777" w:rsidR="00240F1C" w:rsidRPr="00AF1D30" w:rsidRDefault="00240F1C" w:rsidP="00240F1C">
      <w:pPr>
        <w:spacing w:after="0"/>
        <w:jc w:val="center"/>
      </w:pPr>
    </w:p>
    <w:p w14:paraId="7615A9E3" w14:textId="77777777" w:rsidR="00240F1C" w:rsidRPr="00AF1D30" w:rsidRDefault="00240F1C" w:rsidP="00240F1C">
      <w:pPr>
        <w:spacing w:after="0"/>
        <w:rPr>
          <w:rFonts w:asciiTheme="minorHAnsi" w:hAnsiTheme="minorHAnsi" w:cstheme="minorHAnsi"/>
          <w:b/>
          <w:smallCaps/>
          <w:color w:val="004071"/>
          <w:sz w:val="20"/>
          <w:szCs w:val="20"/>
        </w:rPr>
        <w:sectPr w:rsidR="00240F1C" w:rsidRPr="00AF1D30" w:rsidSect="006A754A">
          <w:footerReference w:type="default" r:id="rId25"/>
          <w:pgSz w:w="16840" w:h="11907" w:orient="landscape" w:code="9"/>
          <w:pgMar w:top="1440" w:right="1440" w:bottom="1440" w:left="1440" w:header="540" w:footer="696" w:gutter="0"/>
          <w:pgNumType w:start="1"/>
          <w:cols w:space="720"/>
          <w:docGrid w:linePitch="326"/>
        </w:sectPr>
      </w:pPr>
    </w:p>
    <w:p w14:paraId="382356DC" w14:textId="77777777" w:rsidR="00240F1C" w:rsidRPr="00AF1D30" w:rsidRDefault="00240F1C" w:rsidP="00240F1C">
      <w:pPr>
        <w:spacing w:before="1600" w:after="160"/>
        <w:jc w:val="right"/>
        <w:rPr>
          <w:rFonts w:ascii="Arial Narrow" w:hAnsi="Arial Narrow" w:cs="Calibri"/>
          <w:b/>
          <w:smallCaps/>
          <w:color w:val="004071"/>
          <w:sz w:val="66"/>
          <w:szCs w:val="66"/>
        </w:rPr>
      </w:pPr>
      <w:r w:rsidRPr="00AF1D30">
        <w:rPr>
          <w:rFonts w:ascii="Arial Narrow" w:hAnsi="Arial Narrow" w:cs="Calibri"/>
          <w:b/>
          <w:smallCaps/>
          <w:color w:val="004071"/>
          <w:sz w:val="66"/>
          <w:szCs w:val="66"/>
        </w:rPr>
        <w:lastRenderedPageBreak/>
        <w:t>Annex IV</w:t>
      </w:r>
    </w:p>
    <w:p w14:paraId="3EC81741" w14:textId="77777777" w:rsidR="00240F1C" w:rsidRPr="00AF1D30" w:rsidRDefault="00240F1C" w:rsidP="00240F1C">
      <w:pPr>
        <w:spacing w:after="0"/>
        <w:jc w:val="right"/>
        <w:rPr>
          <w:rFonts w:ascii="Arial Narrow" w:hAnsi="Arial Narrow" w:cs="Calibri"/>
          <w:b/>
          <w:smallCaps/>
          <w:color w:val="004071"/>
          <w:sz w:val="66"/>
          <w:szCs w:val="66"/>
        </w:rPr>
        <w:sectPr w:rsidR="00240F1C" w:rsidRPr="00AF1D30" w:rsidSect="00C52581">
          <w:headerReference w:type="default" r:id="rId26"/>
          <w:footerReference w:type="default" r:id="rId27"/>
          <w:pgSz w:w="11907" w:h="16840" w:code="9"/>
          <w:pgMar w:top="1440" w:right="1440" w:bottom="1440" w:left="1440" w:header="540" w:footer="696" w:gutter="0"/>
          <w:cols w:space="720"/>
          <w:docGrid w:linePitch="326"/>
        </w:sectPr>
      </w:pPr>
      <w:r w:rsidRPr="00AF1D30">
        <w:rPr>
          <w:rFonts w:ascii="Arial Narrow" w:hAnsi="Arial Narrow" w:cs="Calibri"/>
          <w:b/>
          <w:smallCaps/>
          <w:color w:val="004071"/>
          <w:sz w:val="66"/>
          <w:szCs w:val="66"/>
        </w:rPr>
        <w:t>List of Key Informants</w:t>
      </w:r>
    </w:p>
    <w:p w14:paraId="1D30F095" w14:textId="77777777" w:rsidR="00240F1C" w:rsidRPr="00AF1D30" w:rsidRDefault="00240F1C" w:rsidP="00240F1C">
      <w:pPr>
        <w:spacing w:after="200"/>
        <w:jc w:val="center"/>
        <w:rPr>
          <w:rFonts w:asciiTheme="minorHAnsi" w:eastAsiaTheme="minorHAnsi" w:hAnsiTheme="minorHAnsi" w:cstheme="minorBidi"/>
          <w:b/>
          <w:szCs w:val="22"/>
          <w:lang w:eastAsia="en-US"/>
        </w:rPr>
      </w:pPr>
    </w:p>
    <w:tbl>
      <w:tblPr>
        <w:tblStyle w:val="TableGrid2"/>
        <w:tblW w:w="9464" w:type="dxa"/>
        <w:tblLook w:val="04A0" w:firstRow="1" w:lastRow="0" w:firstColumn="1" w:lastColumn="0" w:noHBand="0" w:noVBand="1"/>
      </w:tblPr>
      <w:tblGrid>
        <w:gridCol w:w="1171"/>
        <w:gridCol w:w="4503"/>
        <w:gridCol w:w="3790"/>
      </w:tblGrid>
      <w:tr w:rsidR="00240F1C" w:rsidRPr="00AF1D30" w14:paraId="69A1E32D" w14:textId="77777777" w:rsidTr="00240F1C">
        <w:tc>
          <w:tcPr>
            <w:tcW w:w="1091" w:type="dxa"/>
            <w:shd w:val="clear" w:color="auto" w:fill="365F91" w:themeFill="accent1" w:themeFillShade="BF"/>
            <w:vAlign w:val="center"/>
          </w:tcPr>
          <w:p w14:paraId="798A410B" w14:textId="77777777" w:rsidR="00240F1C" w:rsidRPr="00AF1D30" w:rsidRDefault="00240F1C" w:rsidP="00240F1C">
            <w:pPr>
              <w:spacing w:before="60" w:after="60" w:line="240" w:lineRule="auto"/>
              <w:jc w:val="center"/>
              <w:rPr>
                <w:b/>
                <w:color w:val="F2F2F2" w:themeColor="background1" w:themeShade="F2"/>
                <w:sz w:val="24"/>
              </w:rPr>
            </w:pPr>
            <w:r w:rsidRPr="00AF1D30">
              <w:rPr>
                <w:b/>
                <w:color w:val="F2F2F2" w:themeColor="background1" w:themeShade="F2"/>
                <w:sz w:val="24"/>
              </w:rPr>
              <w:t>Interview No.</w:t>
            </w:r>
          </w:p>
        </w:tc>
        <w:tc>
          <w:tcPr>
            <w:tcW w:w="4546" w:type="dxa"/>
            <w:shd w:val="clear" w:color="auto" w:fill="365F91" w:themeFill="accent1" w:themeFillShade="BF"/>
            <w:vAlign w:val="center"/>
          </w:tcPr>
          <w:p w14:paraId="47EE36AF" w14:textId="77777777" w:rsidR="00240F1C" w:rsidRPr="00AF1D30" w:rsidRDefault="00240F1C" w:rsidP="00240F1C">
            <w:pPr>
              <w:spacing w:before="60" w:after="60" w:line="240" w:lineRule="auto"/>
              <w:jc w:val="center"/>
              <w:rPr>
                <w:b/>
                <w:color w:val="F2F2F2" w:themeColor="background1" w:themeShade="F2"/>
                <w:sz w:val="24"/>
              </w:rPr>
            </w:pPr>
            <w:r w:rsidRPr="00AF1D30">
              <w:rPr>
                <w:b/>
                <w:color w:val="F2F2F2" w:themeColor="background1" w:themeShade="F2"/>
                <w:sz w:val="24"/>
              </w:rPr>
              <w:t>Interviewee(s)</w:t>
            </w:r>
          </w:p>
        </w:tc>
        <w:tc>
          <w:tcPr>
            <w:tcW w:w="3827" w:type="dxa"/>
            <w:shd w:val="clear" w:color="auto" w:fill="365F91" w:themeFill="accent1" w:themeFillShade="BF"/>
            <w:vAlign w:val="center"/>
          </w:tcPr>
          <w:p w14:paraId="18B4C2CD" w14:textId="77777777" w:rsidR="00240F1C" w:rsidRPr="00AF1D30" w:rsidRDefault="00240F1C" w:rsidP="00240F1C">
            <w:pPr>
              <w:spacing w:before="60" w:after="60" w:line="240" w:lineRule="auto"/>
              <w:jc w:val="center"/>
              <w:rPr>
                <w:b/>
                <w:color w:val="F2F2F2" w:themeColor="background1" w:themeShade="F2"/>
                <w:sz w:val="24"/>
              </w:rPr>
            </w:pPr>
            <w:r w:rsidRPr="00AF1D30">
              <w:rPr>
                <w:b/>
                <w:color w:val="F2F2F2" w:themeColor="background1" w:themeShade="F2"/>
                <w:sz w:val="24"/>
              </w:rPr>
              <w:t>Date, Time</w:t>
            </w:r>
          </w:p>
        </w:tc>
      </w:tr>
      <w:tr w:rsidR="00240F1C" w:rsidRPr="00AF1D30" w14:paraId="17F117BB" w14:textId="77777777" w:rsidTr="00240F1C">
        <w:trPr>
          <w:trHeight w:val="624"/>
        </w:trPr>
        <w:tc>
          <w:tcPr>
            <w:tcW w:w="1091" w:type="dxa"/>
            <w:vAlign w:val="center"/>
          </w:tcPr>
          <w:p w14:paraId="029511BD" w14:textId="77777777" w:rsidR="00240F1C" w:rsidRPr="00AF1D30" w:rsidRDefault="00240F1C" w:rsidP="00240F1C">
            <w:pPr>
              <w:spacing w:before="20" w:after="40" w:line="240" w:lineRule="auto"/>
              <w:jc w:val="center"/>
              <w:rPr>
                <w:szCs w:val="22"/>
              </w:rPr>
            </w:pPr>
            <w:r w:rsidRPr="00AF1D30">
              <w:rPr>
                <w:szCs w:val="22"/>
              </w:rPr>
              <w:t>1</w:t>
            </w:r>
          </w:p>
        </w:tc>
        <w:tc>
          <w:tcPr>
            <w:tcW w:w="4546" w:type="dxa"/>
            <w:vAlign w:val="center"/>
          </w:tcPr>
          <w:p w14:paraId="2BD631B7" w14:textId="77777777" w:rsidR="00240F1C" w:rsidRPr="00AF1D30" w:rsidRDefault="00240F1C" w:rsidP="00240F1C">
            <w:pPr>
              <w:spacing w:before="20" w:after="40" w:line="240" w:lineRule="auto"/>
              <w:jc w:val="left"/>
              <w:rPr>
                <w:szCs w:val="22"/>
              </w:rPr>
            </w:pPr>
            <w:r w:rsidRPr="00AF1D30">
              <w:rPr>
                <w:szCs w:val="22"/>
              </w:rPr>
              <w:t>Julia Wheeler (AusAID)</w:t>
            </w:r>
          </w:p>
          <w:p w14:paraId="533DF9D8" w14:textId="77777777" w:rsidR="00240F1C" w:rsidRPr="00AF1D30" w:rsidRDefault="00240F1C" w:rsidP="00240F1C">
            <w:pPr>
              <w:spacing w:before="20" w:after="40" w:line="240" w:lineRule="auto"/>
              <w:jc w:val="left"/>
              <w:rPr>
                <w:szCs w:val="22"/>
              </w:rPr>
            </w:pPr>
            <w:r w:rsidRPr="00AF1D30">
              <w:rPr>
                <w:szCs w:val="22"/>
              </w:rPr>
              <w:t>Isradi Alireja (AusAID)</w:t>
            </w:r>
          </w:p>
        </w:tc>
        <w:tc>
          <w:tcPr>
            <w:tcW w:w="3827" w:type="dxa"/>
            <w:vAlign w:val="center"/>
          </w:tcPr>
          <w:p w14:paraId="0BA6C570" w14:textId="77777777" w:rsidR="00240F1C" w:rsidRPr="00AF1D30" w:rsidRDefault="00240F1C" w:rsidP="00240F1C">
            <w:pPr>
              <w:spacing w:before="20" w:after="40" w:line="240" w:lineRule="auto"/>
              <w:jc w:val="left"/>
              <w:rPr>
                <w:szCs w:val="22"/>
              </w:rPr>
            </w:pPr>
            <w:r w:rsidRPr="00AF1D30">
              <w:rPr>
                <w:szCs w:val="22"/>
              </w:rPr>
              <w:t>Thursday, 22 November (0900-1100)</w:t>
            </w:r>
          </w:p>
        </w:tc>
      </w:tr>
      <w:tr w:rsidR="00240F1C" w:rsidRPr="00AF1D30" w14:paraId="79429316" w14:textId="77777777" w:rsidTr="00240F1C">
        <w:trPr>
          <w:trHeight w:val="624"/>
        </w:trPr>
        <w:tc>
          <w:tcPr>
            <w:tcW w:w="1091" w:type="dxa"/>
            <w:vAlign w:val="center"/>
          </w:tcPr>
          <w:p w14:paraId="172823B3" w14:textId="77777777" w:rsidR="00240F1C" w:rsidRPr="00AF1D30" w:rsidRDefault="00240F1C" w:rsidP="00240F1C">
            <w:pPr>
              <w:spacing w:before="20" w:after="40" w:line="240" w:lineRule="auto"/>
              <w:jc w:val="center"/>
              <w:rPr>
                <w:szCs w:val="22"/>
              </w:rPr>
            </w:pPr>
            <w:r w:rsidRPr="00AF1D30">
              <w:rPr>
                <w:szCs w:val="22"/>
              </w:rPr>
              <w:t>2</w:t>
            </w:r>
          </w:p>
        </w:tc>
        <w:tc>
          <w:tcPr>
            <w:tcW w:w="4546" w:type="dxa"/>
            <w:vAlign w:val="center"/>
          </w:tcPr>
          <w:p w14:paraId="79EE376E" w14:textId="77777777" w:rsidR="00240F1C" w:rsidRPr="00AF1D30" w:rsidRDefault="00240F1C" w:rsidP="00240F1C">
            <w:pPr>
              <w:spacing w:before="20" w:after="40" w:line="240" w:lineRule="auto"/>
              <w:jc w:val="left"/>
              <w:rPr>
                <w:szCs w:val="22"/>
              </w:rPr>
            </w:pPr>
            <w:r w:rsidRPr="00AF1D30">
              <w:rPr>
                <w:szCs w:val="22"/>
              </w:rPr>
              <w:t>Sam Muller (SSQ)</w:t>
            </w:r>
          </w:p>
        </w:tc>
        <w:tc>
          <w:tcPr>
            <w:tcW w:w="3827" w:type="dxa"/>
            <w:vAlign w:val="center"/>
          </w:tcPr>
          <w:p w14:paraId="42D17A03" w14:textId="77777777" w:rsidR="00240F1C" w:rsidRPr="00AF1D30" w:rsidRDefault="00240F1C" w:rsidP="00240F1C">
            <w:pPr>
              <w:spacing w:before="20" w:after="40" w:line="240" w:lineRule="auto"/>
              <w:jc w:val="left"/>
              <w:rPr>
                <w:szCs w:val="22"/>
              </w:rPr>
            </w:pPr>
            <w:r w:rsidRPr="00AF1D30">
              <w:rPr>
                <w:szCs w:val="22"/>
              </w:rPr>
              <w:t>Thursday, 22 November (1400-1600)</w:t>
            </w:r>
          </w:p>
        </w:tc>
      </w:tr>
      <w:tr w:rsidR="00240F1C" w:rsidRPr="00AF1D30" w14:paraId="5166941F" w14:textId="77777777" w:rsidTr="00240F1C">
        <w:trPr>
          <w:trHeight w:val="624"/>
        </w:trPr>
        <w:tc>
          <w:tcPr>
            <w:tcW w:w="1091" w:type="dxa"/>
            <w:vAlign w:val="center"/>
          </w:tcPr>
          <w:p w14:paraId="0A11B692" w14:textId="77777777" w:rsidR="00240F1C" w:rsidRPr="00AF1D30" w:rsidRDefault="00240F1C" w:rsidP="00240F1C">
            <w:pPr>
              <w:spacing w:before="20" w:after="40" w:line="240" w:lineRule="auto"/>
              <w:jc w:val="center"/>
              <w:rPr>
                <w:szCs w:val="22"/>
              </w:rPr>
            </w:pPr>
            <w:r w:rsidRPr="00AF1D30">
              <w:rPr>
                <w:szCs w:val="22"/>
              </w:rPr>
              <w:t>3</w:t>
            </w:r>
          </w:p>
        </w:tc>
        <w:tc>
          <w:tcPr>
            <w:tcW w:w="4546" w:type="dxa"/>
            <w:vAlign w:val="center"/>
          </w:tcPr>
          <w:p w14:paraId="6495B104" w14:textId="77777777" w:rsidR="00240F1C" w:rsidRPr="00AF1D30" w:rsidRDefault="00240F1C" w:rsidP="00240F1C">
            <w:pPr>
              <w:spacing w:before="20" w:after="40" w:line="240" w:lineRule="auto"/>
              <w:jc w:val="left"/>
              <w:rPr>
                <w:szCs w:val="22"/>
              </w:rPr>
            </w:pPr>
            <w:r w:rsidRPr="00AF1D30">
              <w:rPr>
                <w:szCs w:val="22"/>
              </w:rPr>
              <w:t>Meliana Istanto (AusAID)</w:t>
            </w:r>
          </w:p>
          <w:p w14:paraId="5DB4C636" w14:textId="77777777" w:rsidR="00240F1C" w:rsidRPr="00AF1D30" w:rsidRDefault="00240F1C" w:rsidP="00240F1C">
            <w:pPr>
              <w:spacing w:before="20" w:after="40" w:line="240" w:lineRule="auto"/>
              <w:jc w:val="left"/>
              <w:rPr>
                <w:szCs w:val="22"/>
              </w:rPr>
            </w:pPr>
            <w:r w:rsidRPr="00AF1D30">
              <w:rPr>
                <w:szCs w:val="22"/>
              </w:rPr>
              <w:t>Bia Puspita (AusAID)</w:t>
            </w:r>
          </w:p>
        </w:tc>
        <w:tc>
          <w:tcPr>
            <w:tcW w:w="3827" w:type="dxa"/>
            <w:vAlign w:val="center"/>
          </w:tcPr>
          <w:p w14:paraId="7B24E4B3" w14:textId="77777777" w:rsidR="00240F1C" w:rsidRPr="00AF1D30" w:rsidRDefault="00240F1C" w:rsidP="00240F1C">
            <w:pPr>
              <w:spacing w:before="20" w:after="40" w:line="240" w:lineRule="auto"/>
              <w:jc w:val="left"/>
              <w:rPr>
                <w:szCs w:val="22"/>
              </w:rPr>
            </w:pPr>
            <w:r w:rsidRPr="00AF1D30">
              <w:rPr>
                <w:szCs w:val="22"/>
              </w:rPr>
              <w:t>Friday, 23 November (1000-1200)</w:t>
            </w:r>
          </w:p>
        </w:tc>
      </w:tr>
      <w:tr w:rsidR="00240F1C" w:rsidRPr="00AF1D30" w14:paraId="52B4E59F" w14:textId="77777777" w:rsidTr="00240F1C">
        <w:trPr>
          <w:trHeight w:val="624"/>
        </w:trPr>
        <w:tc>
          <w:tcPr>
            <w:tcW w:w="1091" w:type="dxa"/>
            <w:vAlign w:val="center"/>
          </w:tcPr>
          <w:p w14:paraId="674D5515" w14:textId="77777777" w:rsidR="00240F1C" w:rsidRPr="00AF1D30" w:rsidRDefault="00240F1C" w:rsidP="00240F1C">
            <w:pPr>
              <w:spacing w:before="20" w:after="40" w:line="240" w:lineRule="auto"/>
              <w:jc w:val="center"/>
              <w:rPr>
                <w:szCs w:val="22"/>
              </w:rPr>
            </w:pPr>
            <w:r w:rsidRPr="00AF1D30">
              <w:rPr>
                <w:szCs w:val="22"/>
              </w:rPr>
              <w:t>4</w:t>
            </w:r>
          </w:p>
        </w:tc>
        <w:tc>
          <w:tcPr>
            <w:tcW w:w="4546" w:type="dxa"/>
            <w:vAlign w:val="center"/>
          </w:tcPr>
          <w:p w14:paraId="1CC5EF15" w14:textId="77777777" w:rsidR="00240F1C" w:rsidRPr="00AF1D30" w:rsidRDefault="00240F1C" w:rsidP="00240F1C">
            <w:pPr>
              <w:spacing w:before="20" w:after="40" w:line="240" w:lineRule="auto"/>
              <w:jc w:val="left"/>
              <w:rPr>
                <w:szCs w:val="22"/>
              </w:rPr>
            </w:pPr>
            <w:r w:rsidRPr="00AF1D30">
              <w:rPr>
                <w:szCs w:val="22"/>
              </w:rPr>
              <w:t>Russell Keogh (SSQ C3)</w:t>
            </w:r>
          </w:p>
          <w:p w14:paraId="7071B40B" w14:textId="77777777" w:rsidR="00240F1C" w:rsidRPr="00AF1D30" w:rsidRDefault="00240F1C" w:rsidP="00240F1C">
            <w:pPr>
              <w:spacing w:before="20" w:after="40" w:line="240" w:lineRule="auto"/>
              <w:jc w:val="left"/>
              <w:rPr>
                <w:szCs w:val="22"/>
              </w:rPr>
            </w:pPr>
            <w:r w:rsidRPr="00AF1D30">
              <w:rPr>
                <w:szCs w:val="22"/>
              </w:rPr>
              <w:t>Robert Kingham (SSQ C3)</w:t>
            </w:r>
          </w:p>
          <w:p w14:paraId="55150BC5" w14:textId="77777777" w:rsidR="00240F1C" w:rsidRPr="00AF1D30" w:rsidRDefault="00240F1C" w:rsidP="00240F1C">
            <w:pPr>
              <w:spacing w:before="20" w:after="40" w:line="240" w:lineRule="auto"/>
              <w:jc w:val="left"/>
              <w:rPr>
                <w:szCs w:val="22"/>
              </w:rPr>
            </w:pPr>
            <w:r w:rsidRPr="00AF1D30">
              <w:rPr>
                <w:szCs w:val="22"/>
              </w:rPr>
              <w:t>Abdul Munir (SSQ C3)</w:t>
            </w:r>
          </w:p>
        </w:tc>
        <w:tc>
          <w:tcPr>
            <w:tcW w:w="3827" w:type="dxa"/>
            <w:vAlign w:val="center"/>
          </w:tcPr>
          <w:p w14:paraId="2371757C" w14:textId="77777777" w:rsidR="00240F1C" w:rsidRPr="00AF1D30" w:rsidRDefault="00240F1C" w:rsidP="00240F1C">
            <w:pPr>
              <w:spacing w:before="20" w:after="40" w:line="240" w:lineRule="auto"/>
              <w:jc w:val="left"/>
              <w:rPr>
                <w:szCs w:val="22"/>
              </w:rPr>
            </w:pPr>
            <w:r w:rsidRPr="00AF1D30">
              <w:rPr>
                <w:szCs w:val="22"/>
              </w:rPr>
              <w:t>Monday, 26 November (1000-1200)</w:t>
            </w:r>
          </w:p>
        </w:tc>
      </w:tr>
      <w:tr w:rsidR="00240F1C" w:rsidRPr="00AF1D30" w14:paraId="1C5D45F0" w14:textId="77777777" w:rsidTr="00240F1C">
        <w:trPr>
          <w:trHeight w:val="624"/>
        </w:trPr>
        <w:tc>
          <w:tcPr>
            <w:tcW w:w="1091" w:type="dxa"/>
            <w:vAlign w:val="center"/>
          </w:tcPr>
          <w:p w14:paraId="00D9DADC" w14:textId="77777777" w:rsidR="00240F1C" w:rsidRPr="00AF1D30" w:rsidRDefault="00240F1C" w:rsidP="00240F1C">
            <w:pPr>
              <w:spacing w:before="20" w:after="40" w:line="240" w:lineRule="auto"/>
              <w:jc w:val="center"/>
              <w:rPr>
                <w:szCs w:val="22"/>
              </w:rPr>
            </w:pPr>
            <w:r w:rsidRPr="00AF1D30">
              <w:rPr>
                <w:szCs w:val="22"/>
              </w:rPr>
              <w:t>5</w:t>
            </w:r>
          </w:p>
        </w:tc>
        <w:tc>
          <w:tcPr>
            <w:tcW w:w="4546" w:type="dxa"/>
            <w:vAlign w:val="center"/>
          </w:tcPr>
          <w:p w14:paraId="40ADD215" w14:textId="77777777" w:rsidR="00240F1C" w:rsidRPr="00AF1D30" w:rsidRDefault="00240F1C" w:rsidP="00240F1C">
            <w:pPr>
              <w:spacing w:before="20" w:after="40" w:line="240" w:lineRule="auto"/>
              <w:jc w:val="left"/>
              <w:rPr>
                <w:szCs w:val="22"/>
              </w:rPr>
            </w:pPr>
            <w:r w:rsidRPr="00AF1D30">
              <w:rPr>
                <w:szCs w:val="22"/>
              </w:rPr>
              <w:t>Hetty Cislowski</w:t>
            </w:r>
          </w:p>
        </w:tc>
        <w:tc>
          <w:tcPr>
            <w:tcW w:w="3827" w:type="dxa"/>
            <w:vAlign w:val="center"/>
          </w:tcPr>
          <w:p w14:paraId="67615741" w14:textId="77777777" w:rsidR="00240F1C" w:rsidRPr="00AF1D30" w:rsidRDefault="00240F1C" w:rsidP="00240F1C">
            <w:pPr>
              <w:spacing w:before="20" w:after="40" w:line="240" w:lineRule="auto"/>
              <w:jc w:val="left"/>
              <w:rPr>
                <w:szCs w:val="22"/>
              </w:rPr>
            </w:pPr>
            <w:r w:rsidRPr="00AF1D30">
              <w:rPr>
                <w:szCs w:val="22"/>
              </w:rPr>
              <w:t>Monday, 26 November (1400-1600)</w:t>
            </w:r>
          </w:p>
        </w:tc>
      </w:tr>
      <w:tr w:rsidR="00240F1C" w:rsidRPr="00AF1D30" w14:paraId="51425DE2" w14:textId="77777777" w:rsidTr="00240F1C">
        <w:trPr>
          <w:trHeight w:val="624"/>
        </w:trPr>
        <w:tc>
          <w:tcPr>
            <w:tcW w:w="1091" w:type="dxa"/>
            <w:vAlign w:val="center"/>
          </w:tcPr>
          <w:p w14:paraId="4150BC30" w14:textId="77777777" w:rsidR="00240F1C" w:rsidRPr="00AF1D30" w:rsidRDefault="00240F1C" w:rsidP="00240F1C">
            <w:pPr>
              <w:spacing w:before="20" w:after="40" w:line="240" w:lineRule="auto"/>
              <w:jc w:val="center"/>
              <w:rPr>
                <w:szCs w:val="22"/>
              </w:rPr>
            </w:pPr>
            <w:r w:rsidRPr="00AF1D30">
              <w:rPr>
                <w:szCs w:val="22"/>
              </w:rPr>
              <w:t>6</w:t>
            </w:r>
          </w:p>
        </w:tc>
        <w:tc>
          <w:tcPr>
            <w:tcW w:w="4546" w:type="dxa"/>
            <w:vAlign w:val="center"/>
          </w:tcPr>
          <w:p w14:paraId="51505986" w14:textId="77777777" w:rsidR="00240F1C" w:rsidRPr="00AF1D30" w:rsidRDefault="00240F1C" w:rsidP="00240F1C">
            <w:pPr>
              <w:spacing w:before="20" w:after="40" w:line="240" w:lineRule="auto"/>
              <w:jc w:val="left"/>
              <w:rPr>
                <w:szCs w:val="22"/>
              </w:rPr>
            </w:pPr>
            <w:r w:rsidRPr="00AF1D30">
              <w:rPr>
                <w:szCs w:val="22"/>
              </w:rPr>
              <w:t>Brian Spicer (SSQ C2)</w:t>
            </w:r>
          </w:p>
          <w:p w14:paraId="12874C97" w14:textId="77777777" w:rsidR="00240F1C" w:rsidRPr="00AF1D30" w:rsidRDefault="00240F1C" w:rsidP="00240F1C">
            <w:pPr>
              <w:spacing w:before="20" w:after="40" w:line="240" w:lineRule="auto"/>
              <w:jc w:val="left"/>
              <w:rPr>
                <w:szCs w:val="22"/>
              </w:rPr>
            </w:pPr>
            <w:r w:rsidRPr="00AF1D30">
              <w:rPr>
                <w:szCs w:val="22"/>
              </w:rPr>
              <w:t>Roslyn Davis (SSQ C2)</w:t>
            </w:r>
          </w:p>
          <w:p w14:paraId="6B91E756" w14:textId="77777777" w:rsidR="00240F1C" w:rsidRPr="00AF1D30" w:rsidRDefault="00240F1C" w:rsidP="00240F1C">
            <w:pPr>
              <w:spacing w:before="20" w:after="40" w:line="240" w:lineRule="auto"/>
              <w:jc w:val="left"/>
              <w:rPr>
                <w:szCs w:val="22"/>
              </w:rPr>
            </w:pPr>
            <w:r w:rsidRPr="00AF1D30">
              <w:rPr>
                <w:szCs w:val="22"/>
              </w:rPr>
              <w:t>Alistair Douglas (SSQ C2)</w:t>
            </w:r>
          </w:p>
        </w:tc>
        <w:tc>
          <w:tcPr>
            <w:tcW w:w="3827" w:type="dxa"/>
            <w:vAlign w:val="center"/>
          </w:tcPr>
          <w:p w14:paraId="5764CE12" w14:textId="77777777" w:rsidR="00240F1C" w:rsidRPr="00AF1D30" w:rsidRDefault="00240F1C" w:rsidP="00240F1C">
            <w:pPr>
              <w:spacing w:before="20" w:after="40" w:line="240" w:lineRule="auto"/>
              <w:jc w:val="left"/>
              <w:rPr>
                <w:szCs w:val="22"/>
              </w:rPr>
            </w:pPr>
            <w:r w:rsidRPr="00AF1D30">
              <w:rPr>
                <w:szCs w:val="22"/>
              </w:rPr>
              <w:t>Tuesday, 27 November (1400-1600)</w:t>
            </w:r>
          </w:p>
        </w:tc>
      </w:tr>
      <w:tr w:rsidR="00240F1C" w:rsidRPr="00AF1D30" w14:paraId="1E11BAA8" w14:textId="77777777" w:rsidTr="00240F1C">
        <w:trPr>
          <w:trHeight w:val="624"/>
        </w:trPr>
        <w:tc>
          <w:tcPr>
            <w:tcW w:w="1091" w:type="dxa"/>
            <w:vAlign w:val="center"/>
          </w:tcPr>
          <w:p w14:paraId="7A187CAB" w14:textId="77777777" w:rsidR="00240F1C" w:rsidRPr="00AF1D30" w:rsidRDefault="00240F1C" w:rsidP="00240F1C">
            <w:pPr>
              <w:spacing w:before="20" w:after="40" w:line="240" w:lineRule="auto"/>
              <w:jc w:val="center"/>
              <w:rPr>
                <w:szCs w:val="22"/>
              </w:rPr>
            </w:pPr>
            <w:r w:rsidRPr="00AF1D30">
              <w:rPr>
                <w:szCs w:val="22"/>
              </w:rPr>
              <w:t>7</w:t>
            </w:r>
          </w:p>
        </w:tc>
        <w:tc>
          <w:tcPr>
            <w:tcW w:w="4546" w:type="dxa"/>
            <w:vAlign w:val="center"/>
          </w:tcPr>
          <w:p w14:paraId="18739699" w14:textId="77777777" w:rsidR="00240F1C" w:rsidRPr="00AF1D30" w:rsidRDefault="00240F1C" w:rsidP="00240F1C">
            <w:pPr>
              <w:spacing w:before="20" w:after="40" w:line="240" w:lineRule="auto"/>
              <w:jc w:val="left"/>
              <w:rPr>
                <w:szCs w:val="22"/>
              </w:rPr>
            </w:pPr>
            <w:r w:rsidRPr="00AF1D30">
              <w:rPr>
                <w:szCs w:val="22"/>
              </w:rPr>
              <w:t>Irfani Darma (SSQ C1)</w:t>
            </w:r>
          </w:p>
          <w:p w14:paraId="25652368" w14:textId="77777777" w:rsidR="00240F1C" w:rsidRPr="00AF1D30" w:rsidRDefault="00240F1C" w:rsidP="00240F1C">
            <w:pPr>
              <w:spacing w:before="20" w:after="40" w:line="240" w:lineRule="auto"/>
              <w:jc w:val="left"/>
              <w:rPr>
                <w:szCs w:val="22"/>
              </w:rPr>
            </w:pPr>
            <w:r w:rsidRPr="00AF1D30">
              <w:rPr>
                <w:szCs w:val="22"/>
              </w:rPr>
              <w:t>Suluh Adiwibowo (SSQ C1)</w:t>
            </w:r>
          </w:p>
          <w:p w14:paraId="340C0C9F" w14:textId="77777777" w:rsidR="00240F1C" w:rsidRPr="00AF1D30" w:rsidRDefault="00240F1C" w:rsidP="00240F1C">
            <w:pPr>
              <w:spacing w:before="20" w:after="40" w:line="240" w:lineRule="auto"/>
              <w:jc w:val="left"/>
              <w:rPr>
                <w:szCs w:val="22"/>
              </w:rPr>
            </w:pPr>
            <w:r w:rsidRPr="00AF1D30">
              <w:rPr>
                <w:szCs w:val="22"/>
              </w:rPr>
              <w:t>Jihad Saad (SSQ C1)</w:t>
            </w:r>
          </w:p>
        </w:tc>
        <w:tc>
          <w:tcPr>
            <w:tcW w:w="3827" w:type="dxa"/>
            <w:vAlign w:val="center"/>
          </w:tcPr>
          <w:p w14:paraId="4D4D004F" w14:textId="77777777" w:rsidR="00240F1C" w:rsidRPr="00AF1D30" w:rsidRDefault="00240F1C" w:rsidP="00240F1C">
            <w:pPr>
              <w:spacing w:before="20" w:after="40" w:line="240" w:lineRule="auto"/>
              <w:jc w:val="left"/>
              <w:rPr>
                <w:szCs w:val="22"/>
              </w:rPr>
            </w:pPr>
            <w:r w:rsidRPr="00AF1D30">
              <w:rPr>
                <w:szCs w:val="22"/>
              </w:rPr>
              <w:t>Wednesday, 28 November (0900-1100)</w:t>
            </w:r>
          </w:p>
        </w:tc>
      </w:tr>
      <w:tr w:rsidR="00240F1C" w:rsidRPr="00AF1D30" w14:paraId="39AF0A54" w14:textId="77777777" w:rsidTr="00240F1C">
        <w:trPr>
          <w:trHeight w:val="624"/>
        </w:trPr>
        <w:tc>
          <w:tcPr>
            <w:tcW w:w="1091" w:type="dxa"/>
            <w:vAlign w:val="center"/>
          </w:tcPr>
          <w:p w14:paraId="29327E59" w14:textId="77777777" w:rsidR="00240F1C" w:rsidRPr="00AF1D30" w:rsidRDefault="00240F1C" w:rsidP="00240F1C">
            <w:pPr>
              <w:spacing w:before="20" w:after="40" w:line="240" w:lineRule="auto"/>
              <w:jc w:val="center"/>
              <w:rPr>
                <w:szCs w:val="22"/>
              </w:rPr>
            </w:pPr>
            <w:r w:rsidRPr="00AF1D30">
              <w:rPr>
                <w:szCs w:val="22"/>
              </w:rPr>
              <w:t>8</w:t>
            </w:r>
          </w:p>
        </w:tc>
        <w:tc>
          <w:tcPr>
            <w:tcW w:w="4546" w:type="dxa"/>
            <w:vAlign w:val="center"/>
          </w:tcPr>
          <w:p w14:paraId="1125E278" w14:textId="2DBF4C66" w:rsidR="00240F1C" w:rsidRPr="00AF1D30" w:rsidRDefault="00240F1C" w:rsidP="00240F1C">
            <w:pPr>
              <w:spacing w:before="20" w:after="40" w:line="240" w:lineRule="auto"/>
              <w:jc w:val="left"/>
              <w:rPr>
                <w:szCs w:val="22"/>
              </w:rPr>
            </w:pPr>
            <w:r w:rsidRPr="00AF1D30">
              <w:rPr>
                <w:szCs w:val="22"/>
              </w:rPr>
              <w:t>Didik Suhardi (MOEC</w:t>
            </w:r>
            <w:r w:rsidR="00597821">
              <w:rPr>
                <w:szCs w:val="22"/>
              </w:rPr>
              <w:t>)</w:t>
            </w:r>
          </w:p>
          <w:p w14:paraId="756DC9AA" w14:textId="59D8027C" w:rsidR="00240F1C" w:rsidRPr="00AF1D30" w:rsidRDefault="00240F1C" w:rsidP="00240F1C">
            <w:pPr>
              <w:spacing w:before="20" w:after="40" w:line="240" w:lineRule="auto"/>
              <w:jc w:val="left"/>
              <w:rPr>
                <w:szCs w:val="22"/>
              </w:rPr>
            </w:pPr>
            <w:r w:rsidRPr="00AF1D30">
              <w:rPr>
                <w:szCs w:val="22"/>
              </w:rPr>
              <w:t>Susetyo Widyasmoro (MOEC</w:t>
            </w:r>
            <w:r w:rsidR="00597821">
              <w:rPr>
                <w:szCs w:val="22"/>
              </w:rPr>
              <w:t>)</w:t>
            </w:r>
          </w:p>
          <w:p w14:paraId="0FDE882E" w14:textId="25CE4658" w:rsidR="00240F1C" w:rsidRPr="00AF1D30" w:rsidRDefault="00240F1C" w:rsidP="00240F1C">
            <w:pPr>
              <w:spacing w:before="20" w:after="40" w:line="240" w:lineRule="auto"/>
              <w:jc w:val="left"/>
              <w:rPr>
                <w:szCs w:val="22"/>
              </w:rPr>
            </w:pPr>
            <w:r w:rsidRPr="00AF1D30">
              <w:rPr>
                <w:szCs w:val="22"/>
              </w:rPr>
              <w:t>Dedi Karyana (MOEC</w:t>
            </w:r>
            <w:r w:rsidR="00597821">
              <w:rPr>
                <w:szCs w:val="22"/>
              </w:rPr>
              <w:t>)</w:t>
            </w:r>
          </w:p>
          <w:p w14:paraId="671B0548" w14:textId="386C56D3" w:rsidR="00240F1C" w:rsidRPr="00AF1D30" w:rsidRDefault="00240F1C" w:rsidP="00240F1C">
            <w:pPr>
              <w:spacing w:before="20" w:after="40" w:line="240" w:lineRule="auto"/>
              <w:jc w:val="left"/>
              <w:rPr>
                <w:szCs w:val="22"/>
              </w:rPr>
            </w:pPr>
            <w:r w:rsidRPr="00AF1D30">
              <w:rPr>
                <w:szCs w:val="22"/>
              </w:rPr>
              <w:t>Ahmad Zufar (MOEC</w:t>
            </w:r>
            <w:r w:rsidR="00597821">
              <w:rPr>
                <w:szCs w:val="22"/>
              </w:rPr>
              <w:t>)</w:t>
            </w:r>
          </w:p>
          <w:p w14:paraId="12A67A51" w14:textId="2C9ABC71" w:rsidR="00240F1C" w:rsidRPr="00AF1D30" w:rsidRDefault="00240F1C" w:rsidP="00597821">
            <w:pPr>
              <w:spacing w:before="20" w:after="40" w:line="240" w:lineRule="auto"/>
              <w:jc w:val="left"/>
              <w:rPr>
                <w:szCs w:val="22"/>
              </w:rPr>
            </w:pPr>
            <w:r w:rsidRPr="00AF1D30">
              <w:rPr>
                <w:szCs w:val="22"/>
              </w:rPr>
              <w:t>Kamin (MOEC</w:t>
            </w:r>
            <w:r w:rsidR="00597821">
              <w:rPr>
                <w:szCs w:val="22"/>
              </w:rPr>
              <w:t>)</w:t>
            </w:r>
          </w:p>
        </w:tc>
        <w:tc>
          <w:tcPr>
            <w:tcW w:w="3827" w:type="dxa"/>
            <w:vAlign w:val="center"/>
          </w:tcPr>
          <w:p w14:paraId="17AF4321" w14:textId="77777777" w:rsidR="00240F1C" w:rsidRPr="00AF1D30" w:rsidRDefault="00240F1C" w:rsidP="00240F1C">
            <w:pPr>
              <w:spacing w:before="20" w:after="40" w:line="240" w:lineRule="auto"/>
              <w:jc w:val="left"/>
              <w:rPr>
                <w:szCs w:val="22"/>
              </w:rPr>
            </w:pPr>
            <w:r w:rsidRPr="00AF1D30">
              <w:rPr>
                <w:szCs w:val="22"/>
              </w:rPr>
              <w:t>Thursday, 29 November (0900-1100)</w:t>
            </w:r>
          </w:p>
        </w:tc>
      </w:tr>
      <w:tr w:rsidR="00240F1C" w:rsidRPr="00AF1D30" w14:paraId="5C5FF01D" w14:textId="77777777" w:rsidTr="00240F1C">
        <w:trPr>
          <w:trHeight w:val="624"/>
        </w:trPr>
        <w:tc>
          <w:tcPr>
            <w:tcW w:w="1091" w:type="dxa"/>
            <w:vAlign w:val="center"/>
          </w:tcPr>
          <w:p w14:paraId="0B2BFAFB" w14:textId="77777777" w:rsidR="00240F1C" w:rsidRPr="00AF1D30" w:rsidRDefault="00240F1C" w:rsidP="00240F1C">
            <w:pPr>
              <w:spacing w:before="20" w:after="40" w:line="240" w:lineRule="auto"/>
              <w:jc w:val="center"/>
              <w:rPr>
                <w:szCs w:val="22"/>
              </w:rPr>
            </w:pPr>
            <w:r w:rsidRPr="00AF1D30">
              <w:rPr>
                <w:szCs w:val="22"/>
              </w:rPr>
              <w:t>9</w:t>
            </w:r>
          </w:p>
        </w:tc>
        <w:tc>
          <w:tcPr>
            <w:tcW w:w="4546" w:type="dxa"/>
            <w:vAlign w:val="center"/>
          </w:tcPr>
          <w:p w14:paraId="31482715" w14:textId="77777777" w:rsidR="00240F1C" w:rsidRPr="00AF1D30" w:rsidRDefault="00240F1C" w:rsidP="00240F1C">
            <w:pPr>
              <w:spacing w:before="20" w:after="40" w:line="240" w:lineRule="auto"/>
              <w:jc w:val="left"/>
              <w:rPr>
                <w:szCs w:val="22"/>
              </w:rPr>
            </w:pPr>
            <w:r w:rsidRPr="00AF1D30">
              <w:rPr>
                <w:szCs w:val="22"/>
              </w:rPr>
              <w:t>Hannah Birdsey (AusAID)</w:t>
            </w:r>
          </w:p>
        </w:tc>
        <w:tc>
          <w:tcPr>
            <w:tcW w:w="3827" w:type="dxa"/>
            <w:vAlign w:val="center"/>
          </w:tcPr>
          <w:p w14:paraId="38101770" w14:textId="77777777" w:rsidR="00240F1C" w:rsidRPr="00AF1D30" w:rsidRDefault="00240F1C" w:rsidP="00240F1C">
            <w:pPr>
              <w:spacing w:before="20" w:after="40" w:line="240" w:lineRule="auto"/>
              <w:jc w:val="left"/>
              <w:rPr>
                <w:szCs w:val="22"/>
              </w:rPr>
            </w:pPr>
            <w:r w:rsidRPr="00AF1D30">
              <w:rPr>
                <w:szCs w:val="22"/>
              </w:rPr>
              <w:t>Thursday, 29 November (1400-1600)</w:t>
            </w:r>
          </w:p>
        </w:tc>
      </w:tr>
      <w:tr w:rsidR="00240F1C" w:rsidRPr="00AF1D30" w14:paraId="59ACE69A" w14:textId="77777777" w:rsidTr="00240F1C">
        <w:trPr>
          <w:trHeight w:val="624"/>
        </w:trPr>
        <w:tc>
          <w:tcPr>
            <w:tcW w:w="1091" w:type="dxa"/>
            <w:vAlign w:val="center"/>
          </w:tcPr>
          <w:p w14:paraId="678B6CDD" w14:textId="77777777" w:rsidR="00240F1C" w:rsidRPr="00AF1D30" w:rsidRDefault="00240F1C" w:rsidP="00240F1C">
            <w:pPr>
              <w:spacing w:before="20" w:after="40" w:line="240" w:lineRule="auto"/>
              <w:jc w:val="center"/>
              <w:rPr>
                <w:szCs w:val="22"/>
              </w:rPr>
            </w:pPr>
            <w:r w:rsidRPr="00AF1D30">
              <w:rPr>
                <w:szCs w:val="22"/>
              </w:rPr>
              <w:t>10</w:t>
            </w:r>
          </w:p>
        </w:tc>
        <w:tc>
          <w:tcPr>
            <w:tcW w:w="4546" w:type="dxa"/>
            <w:vAlign w:val="center"/>
          </w:tcPr>
          <w:p w14:paraId="6ADC3C70" w14:textId="77777777" w:rsidR="00240F1C" w:rsidRPr="00AF1D30" w:rsidRDefault="00240F1C" w:rsidP="00240F1C">
            <w:pPr>
              <w:spacing w:before="20" w:after="40" w:line="240" w:lineRule="auto"/>
              <w:jc w:val="left"/>
              <w:rPr>
                <w:szCs w:val="22"/>
              </w:rPr>
            </w:pPr>
            <w:r w:rsidRPr="00AF1D30">
              <w:rPr>
                <w:szCs w:val="22"/>
              </w:rPr>
              <w:t>Jo Dowling (AusAID)</w:t>
            </w:r>
          </w:p>
          <w:p w14:paraId="1E0792F2" w14:textId="77777777" w:rsidR="00240F1C" w:rsidRPr="00AF1D30" w:rsidRDefault="00240F1C" w:rsidP="00240F1C">
            <w:pPr>
              <w:spacing w:before="20" w:after="40" w:line="240" w:lineRule="auto"/>
              <w:jc w:val="left"/>
              <w:rPr>
                <w:szCs w:val="22"/>
              </w:rPr>
            </w:pPr>
            <w:r w:rsidRPr="00AF1D30">
              <w:rPr>
                <w:szCs w:val="22"/>
              </w:rPr>
              <w:t>Jennifer Donohoe (AusAID)</w:t>
            </w:r>
          </w:p>
        </w:tc>
        <w:tc>
          <w:tcPr>
            <w:tcW w:w="3827" w:type="dxa"/>
            <w:vAlign w:val="center"/>
          </w:tcPr>
          <w:p w14:paraId="239D03F0" w14:textId="77777777" w:rsidR="00240F1C" w:rsidRPr="00AF1D30" w:rsidRDefault="00240F1C" w:rsidP="00240F1C">
            <w:pPr>
              <w:spacing w:before="20" w:after="40" w:line="240" w:lineRule="auto"/>
              <w:jc w:val="left"/>
              <w:rPr>
                <w:szCs w:val="22"/>
              </w:rPr>
            </w:pPr>
            <w:r w:rsidRPr="00AF1D30">
              <w:rPr>
                <w:szCs w:val="22"/>
              </w:rPr>
              <w:t>Friday, 30 November (1500-1700)</w:t>
            </w:r>
          </w:p>
        </w:tc>
      </w:tr>
      <w:tr w:rsidR="00240F1C" w:rsidRPr="00AF1D30" w14:paraId="1648917B" w14:textId="77777777" w:rsidTr="00240F1C">
        <w:trPr>
          <w:trHeight w:val="624"/>
        </w:trPr>
        <w:tc>
          <w:tcPr>
            <w:tcW w:w="1091" w:type="dxa"/>
            <w:vAlign w:val="center"/>
          </w:tcPr>
          <w:p w14:paraId="591788AC" w14:textId="77777777" w:rsidR="00240F1C" w:rsidRPr="00AF1D30" w:rsidRDefault="00240F1C" w:rsidP="00240F1C">
            <w:pPr>
              <w:spacing w:before="20" w:after="40" w:line="240" w:lineRule="auto"/>
              <w:jc w:val="center"/>
              <w:rPr>
                <w:szCs w:val="22"/>
              </w:rPr>
            </w:pPr>
            <w:r w:rsidRPr="00AF1D30">
              <w:rPr>
                <w:szCs w:val="22"/>
              </w:rPr>
              <w:t>11</w:t>
            </w:r>
          </w:p>
        </w:tc>
        <w:tc>
          <w:tcPr>
            <w:tcW w:w="4546" w:type="dxa"/>
            <w:vAlign w:val="center"/>
          </w:tcPr>
          <w:p w14:paraId="76E30972" w14:textId="296B57C5" w:rsidR="00240F1C" w:rsidRPr="00AF1D30" w:rsidRDefault="00240F1C" w:rsidP="00597821">
            <w:pPr>
              <w:spacing w:before="20" w:after="40" w:line="240" w:lineRule="auto"/>
              <w:jc w:val="left"/>
              <w:rPr>
                <w:szCs w:val="22"/>
              </w:rPr>
            </w:pPr>
            <w:r w:rsidRPr="00AF1D30">
              <w:rPr>
                <w:szCs w:val="22"/>
              </w:rPr>
              <w:t>Bambang Indriyanto (MOEC</w:t>
            </w:r>
            <w:r w:rsidR="00597821">
              <w:rPr>
                <w:szCs w:val="22"/>
              </w:rPr>
              <w:t>)</w:t>
            </w:r>
          </w:p>
        </w:tc>
        <w:tc>
          <w:tcPr>
            <w:tcW w:w="3827" w:type="dxa"/>
            <w:vAlign w:val="center"/>
          </w:tcPr>
          <w:p w14:paraId="7EEE47E1" w14:textId="77777777" w:rsidR="00240F1C" w:rsidRPr="00AF1D30" w:rsidRDefault="00240F1C" w:rsidP="00240F1C">
            <w:pPr>
              <w:spacing w:before="20" w:after="40" w:line="240" w:lineRule="auto"/>
              <w:jc w:val="left"/>
              <w:rPr>
                <w:szCs w:val="22"/>
              </w:rPr>
            </w:pPr>
            <w:r w:rsidRPr="00AF1D30">
              <w:rPr>
                <w:szCs w:val="22"/>
              </w:rPr>
              <w:t>Monday, 3 December (0900-1100)</w:t>
            </w:r>
          </w:p>
        </w:tc>
      </w:tr>
      <w:tr w:rsidR="00240F1C" w:rsidRPr="00AF1D30" w14:paraId="7605B23D" w14:textId="77777777" w:rsidTr="00240F1C">
        <w:trPr>
          <w:trHeight w:val="624"/>
        </w:trPr>
        <w:tc>
          <w:tcPr>
            <w:tcW w:w="1091" w:type="dxa"/>
            <w:vAlign w:val="center"/>
          </w:tcPr>
          <w:p w14:paraId="7901D035" w14:textId="77777777" w:rsidR="00240F1C" w:rsidRPr="00AF1D30" w:rsidRDefault="00240F1C" w:rsidP="00240F1C">
            <w:pPr>
              <w:spacing w:before="20" w:after="40" w:line="240" w:lineRule="auto"/>
              <w:jc w:val="center"/>
              <w:rPr>
                <w:szCs w:val="22"/>
              </w:rPr>
            </w:pPr>
            <w:r w:rsidRPr="00AF1D30">
              <w:rPr>
                <w:szCs w:val="22"/>
              </w:rPr>
              <w:t>12</w:t>
            </w:r>
          </w:p>
        </w:tc>
        <w:tc>
          <w:tcPr>
            <w:tcW w:w="4546" w:type="dxa"/>
            <w:vAlign w:val="center"/>
          </w:tcPr>
          <w:p w14:paraId="559D67C1" w14:textId="77777777" w:rsidR="00240F1C" w:rsidRPr="00AF1D30" w:rsidRDefault="00240F1C" w:rsidP="00240F1C">
            <w:pPr>
              <w:spacing w:before="20" w:after="40" w:line="240" w:lineRule="auto"/>
              <w:jc w:val="left"/>
              <w:rPr>
                <w:szCs w:val="22"/>
              </w:rPr>
            </w:pPr>
            <w:r w:rsidRPr="00AF1D30">
              <w:rPr>
                <w:szCs w:val="22"/>
              </w:rPr>
              <w:t>Rohmat Muliana (MORA)</w:t>
            </w:r>
          </w:p>
        </w:tc>
        <w:tc>
          <w:tcPr>
            <w:tcW w:w="3827" w:type="dxa"/>
            <w:vAlign w:val="center"/>
          </w:tcPr>
          <w:p w14:paraId="12A2438A" w14:textId="77777777" w:rsidR="00240F1C" w:rsidRPr="00AF1D30" w:rsidRDefault="00240F1C" w:rsidP="00240F1C">
            <w:pPr>
              <w:spacing w:before="20" w:after="40" w:line="240" w:lineRule="auto"/>
              <w:jc w:val="left"/>
              <w:rPr>
                <w:szCs w:val="22"/>
              </w:rPr>
            </w:pPr>
            <w:r w:rsidRPr="00AF1D30">
              <w:rPr>
                <w:szCs w:val="22"/>
              </w:rPr>
              <w:t>Tuesday, 11 December (0900-1100)</w:t>
            </w:r>
          </w:p>
        </w:tc>
      </w:tr>
    </w:tbl>
    <w:p w14:paraId="5393B556" w14:textId="77777777" w:rsidR="00240F1C" w:rsidRPr="00AF1D30" w:rsidRDefault="00240F1C" w:rsidP="00240F1C">
      <w:pPr>
        <w:spacing w:after="0" w:line="240" w:lineRule="auto"/>
        <w:jc w:val="left"/>
        <w:rPr>
          <w:rFonts w:asciiTheme="minorHAnsi" w:eastAsiaTheme="minorHAnsi" w:hAnsiTheme="minorHAnsi" w:cstheme="minorBidi"/>
          <w:szCs w:val="22"/>
          <w:lang w:eastAsia="en-US"/>
        </w:rPr>
      </w:pPr>
    </w:p>
    <w:p w14:paraId="64A082BA" w14:textId="77777777" w:rsidR="00240F1C" w:rsidRPr="00AF1D30" w:rsidRDefault="00240F1C" w:rsidP="00240F1C">
      <w:pPr>
        <w:spacing w:after="0" w:line="240" w:lineRule="auto"/>
        <w:jc w:val="left"/>
        <w:rPr>
          <w:rFonts w:asciiTheme="minorHAnsi" w:eastAsiaTheme="minorHAnsi" w:hAnsiTheme="minorHAnsi" w:cstheme="minorBidi"/>
          <w:szCs w:val="22"/>
          <w:lang w:eastAsia="en-US"/>
        </w:rPr>
      </w:pPr>
      <w:r w:rsidRPr="00AF1D30">
        <w:rPr>
          <w:rFonts w:asciiTheme="minorHAnsi" w:eastAsiaTheme="minorHAnsi" w:hAnsiTheme="minorHAnsi" w:cstheme="minorBidi"/>
          <w:szCs w:val="22"/>
          <w:lang w:eastAsia="en-US"/>
        </w:rPr>
        <w:t>Interviews were carried out by Nick Clinch, Laurent de Schoutheete and Maulyati Slamet from POM.</w:t>
      </w:r>
    </w:p>
    <w:p w14:paraId="6F793D4F" w14:textId="77777777" w:rsidR="006A754A" w:rsidRDefault="006A754A" w:rsidP="00240F1C">
      <w:pPr>
        <w:spacing w:after="0" w:line="240" w:lineRule="auto"/>
        <w:jc w:val="right"/>
        <w:rPr>
          <w:rFonts w:ascii="Arial Narrow" w:hAnsi="Arial Narrow" w:cs="Calibri"/>
          <w:b/>
          <w:smallCaps/>
          <w:color w:val="004071"/>
          <w:sz w:val="66"/>
          <w:szCs w:val="66"/>
        </w:rPr>
        <w:sectPr w:rsidR="006A754A" w:rsidSect="005233BB">
          <w:headerReference w:type="default" r:id="rId28"/>
          <w:footerReference w:type="default" r:id="rId29"/>
          <w:pgSz w:w="11907" w:h="16840" w:code="9"/>
          <w:pgMar w:top="1440" w:right="1440" w:bottom="1440" w:left="1440" w:header="540" w:footer="696" w:gutter="0"/>
          <w:pgNumType w:start="1"/>
          <w:cols w:space="720"/>
          <w:docGrid w:linePitch="326"/>
        </w:sectPr>
      </w:pPr>
    </w:p>
    <w:p w14:paraId="1931E3F5" w14:textId="77777777" w:rsidR="006A754A" w:rsidRDefault="006A754A" w:rsidP="00240F1C">
      <w:pPr>
        <w:spacing w:after="0" w:line="240" w:lineRule="auto"/>
        <w:jc w:val="right"/>
        <w:rPr>
          <w:rFonts w:ascii="Arial Narrow" w:hAnsi="Arial Narrow" w:cs="Calibri"/>
          <w:b/>
          <w:smallCaps/>
          <w:color w:val="004071"/>
          <w:sz w:val="66"/>
          <w:szCs w:val="66"/>
        </w:rPr>
      </w:pPr>
    </w:p>
    <w:p w14:paraId="04A5B196" w14:textId="77777777" w:rsidR="00240F1C" w:rsidRPr="00AF1D30" w:rsidRDefault="00240F1C" w:rsidP="00240F1C">
      <w:pPr>
        <w:spacing w:after="0" w:line="240" w:lineRule="auto"/>
        <w:jc w:val="right"/>
        <w:rPr>
          <w:rFonts w:ascii="Arial Narrow" w:hAnsi="Arial Narrow" w:cs="Calibri"/>
          <w:b/>
          <w:smallCaps/>
          <w:color w:val="004071"/>
          <w:sz w:val="66"/>
          <w:szCs w:val="66"/>
        </w:rPr>
      </w:pPr>
    </w:p>
    <w:p w14:paraId="639A86A8" w14:textId="77777777" w:rsidR="00240F1C" w:rsidRPr="00AF1D30" w:rsidRDefault="00240F1C" w:rsidP="00240F1C">
      <w:pPr>
        <w:spacing w:after="0" w:line="240" w:lineRule="auto"/>
        <w:jc w:val="right"/>
        <w:rPr>
          <w:rFonts w:ascii="Arial Narrow" w:hAnsi="Arial Narrow" w:cs="Calibri"/>
          <w:b/>
          <w:smallCaps/>
          <w:color w:val="004071"/>
          <w:sz w:val="66"/>
          <w:szCs w:val="66"/>
        </w:rPr>
      </w:pPr>
    </w:p>
    <w:p w14:paraId="3A2CB997" w14:textId="77777777" w:rsidR="00240F1C" w:rsidRPr="00AF1D30" w:rsidRDefault="00240F1C" w:rsidP="00240F1C">
      <w:pPr>
        <w:spacing w:after="0" w:line="240" w:lineRule="auto"/>
        <w:jc w:val="right"/>
        <w:rPr>
          <w:rFonts w:ascii="Arial Narrow" w:hAnsi="Arial Narrow" w:cs="Calibri"/>
          <w:b/>
          <w:smallCaps/>
          <w:color w:val="004071"/>
          <w:sz w:val="66"/>
          <w:szCs w:val="66"/>
        </w:rPr>
      </w:pPr>
    </w:p>
    <w:p w14:paraId="60D8B889" w14:textId="77777777" w:rsidR="00240F1C" w:rsidRPr="00AF1D30" w:rsidRDefault="00240F1C" w:rsidP="00240F1C">
      <w:pPr>
        <w:spacing w:after="0" w:line="240" w:lineRule="auto"/>
        <w:jc w:val="right"/>
        <w:rPr>
          <w:rFonts w:ascii="Arial Narrow" w:hAnsi="Arial Narrow" w:cs="Calibri"/>
          <w:b/>
          <w:smallCaps/>
          <w:color w:val="004071"/>
          <w:sz w:val="66"/>
          <w:szCs w:val="66"/>
        </w:rPr>
      </w:pPr>
      <w:r w:rsidRPr="00AF1D30">
        <w:rPr>
          <w:rFonts w:ascii="Arial Narrow" w:hAnsi="Arial Narrow" w:cs="Calibri"/>
          <w:b/>
          <w:smallCaps/>
          <w:color w:val="004071"/>
          <w:sz w:val="66"/>
          <w:szCs w:val="66"/>
        </w:rPr>
        <w:t>Annex V</w:t>
      </w:r>
    </w:p>
    <w:p w14:paraId="752C4213" w14:textId="77777777" w:rsidR="00240F1C" w:rsidRDefault="00240F1C" w:rsidP="00240F1C">
      <w:pPr>
        <w:spacing w:after="0"/>
        <w:jc w:val="right"/>
        <w:rPr>
          <w:rFonts w:ascii="Arial Narrow" w:hAnsi="Arial Narrow" w:cs="Calibri"/>
          <w:b/>
          <w:smallCaps/>
          <w:color w:val="004071"/>
          <w:sz w:val="66"/>
          <w:szCs w:val="66"/>
        </w:rPr>
      </w:pPr>
      <w:r w:rsidRPr="00AF1D30">
        <w:rPr>
          <w:rFonts w:ascii="Arial Narrow" w:hAnsi="Arial Narrow" w:cs="Calibri"/>
          <w:b/>
          <w:smallCaps/>
          <w:color w:val="004071"/>
          <w:sz w:val="66"/>
          <w:szCs w:val="66"/>
        </w:rPr>
        <w:t>EP Theory of Change</w:t>
      </w:r>
    </w:p>
    <w:p w14:paraId="6FD6D977" w14:textId="77777777" w:rsidR="005233BB" w:rsidRDefault="005233BB" w:rsidP="00240F1C">
      <w:pPr>
        <w:spacing w:after="0"/>
        <w:jc w:val="right"/>
        <w:rPr>
          <w:rFonts w:ascii="Arial Narrow" w:hAnsi="Arial Narrow" w:cs="Calibri"/>
          <w:b/>
          <w:smallCaps/>
          <w:color w:val="004071"/>
          <w:sz w:val="66"/>
          <w:szCs w:val="66"/>
        </w:rPr>
      </w:pPr>
    </w:p>
    <w:p w14:paraId="2CDFACB2" w14:textId="77777777" w:rsidR="005233BB" w:rsidRDefault="005233BB" w:rsidP="00240F1C">
      <w:pPr>
        <w:spacing w:after="0"/>
        <w:jc w:val="right"/>
        <w:rPr>
          <w:rFonts w:ascii="Arial Narrow" w:hAnsi="Arial Narrow" w:cs="Calibri"/>
          <w:b/>
          <w:smallCaps/>
          <w:color w:val="004071"/>
          <w:sz w:val="66"/>
          <w:szCs w:val="66"/>
        </w:rPr>
        <w:sectPr w:rsidR="005233BB" w:rsidSect="005233BB">
          <w:headerReference w:type="default" r:id="rId30"/>
          <w:footerReference w:type="default" r:id="rId31"/>
          <w:pgSz w:w="11907" w:h="16840" w:code="9"/>
          <w:pgMar w:top="1440" w:right="1440" w:bottom="1440" w:left="1440" w:header="540" w:footer="696" w:gutter="0"/>
          <w:pgNumType w:start="1"/>
          <w:cols w:space="720"/>
          <w:docGrid w:linePitch="326"/>
        </w:sectPr>
      </w:pPr>
    </w:p>
    <w:p w14:paraId="3DEFB8BB" w14:textId="77777777" w:rsidR="00240F1C" w:rsidRPr="00AF1D30" w:rsidRDefault="00240F1C" w:rsidP="00240F1C">
      <w:pPr>
        <w:spacing w:after="0"/>
        <w:jc w:val="center"/>
        <w:rPr>
          <w:rFonts w:ascii="Arial Narrow" w:hAnsi="Arial Narrow" w:cs="Calibri"/>
          <w:b/>
          <w:smallCaps/>
          <w:color w:val="004071"/>
          <w:sz w:val="66"/>
          <w:szCs w:val="66"/>
        </w:rPr>
        <w:sectPr w:rsidR="00240F1C" w:rsidRPr="00AF1D30" w:rsidSect="004A6862">
          <w:footerReference w:type="default" r:id="rId32"/>
          <w:pgSz w:w="16840" w:h="11907" w:orient="landscape" w:code="9"/>
          <w:pgMar w:top="1440" w:right="1440" w:bottom="1440" w:left="1440" w:header="540" w:footer="696" w:gutter="0"/>
          <w:pgNumType w:start="1"/>
          <w:cols w:space="720"/>
          <w:docGrid w:linePitch="326"/>
        </w:sectPr>
      </w:pPr>
      <w:r w:rsidRPr="00AF1D30">
        <w:rPr>
          <w:noProof/>
          <w:lang w:val="en-AU"/>
        </w:rPr>
        <w:lastRenderedPageBreak/>
        <w:drawing>
          <wp:inline distT="0" distB="0" distL="0" distR="0" wp14:anchorId="3F5E5577" wp14:editId="21018B80">
            <wp:extent cx="7105650" cy="519948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105650" cy="5199486"/>
                    </a:xfrm>
                    <a:prstGeom prst="rect">
                      <a:avLst/>
                    </a:prstGeom>
                    <a:noFill/>
                    <a:ln>
                      <a:noFill/>
                    </a:ln>
                  </pic:spPr>
                </pic:pic>
              </a:graphicData>
            </a:graphic>
          </wp:inline>
        </w:drawing>
      </w:r>
    </w:p>
    <w:p w14:paraId="308EB214" w14:textId="77777777" w:rsidR="00240F1C" w:rsidRPr="00AF1D30" w:rsidRDefault="00240F1C" w:rsidP="00240F1C">
      <w:pPr>
        <w:spacing w:after="0" w:line="240" w:lineRule="auto"/>
        <w:jc w:val="right"/>
        <w:rPr>
          <w:rFonts w:ascii="Arial Narrow" w:hAnsi="Arial Narrow" w:cs="Calibri"/>
          <w:b/>
          <w:smallCaps/>
          <w:color w:val="004071"/>
          <w:sz w:val="66"/>
          <w:szCs w:val="66"/>
        </w:rPr>
      </w:pPr>
    </w:p>
    <w:p w14:paraId="6D52826E" w14:textId="77777777" w:rsidR="00240F1C" w:rsidRPr="00AF1D30" w:rsidRDefault="00240F1C" w:rsidP="00240F1C">
      <w:pPr>
        <w:spacing w:after="0" w:line="240" w:lineRule="auto"/>
        <w:jc w:val="right"/>
        <w:rPr>
          <w:rFonts w:ascii="Arial Narrow" w:hAnsi="Arial Narrow" w:cs="Calibri"/>
          <w:b/>
          <w:smallCaps/>
          <w:color w:val="004071"/>
          <w:sz w:val="66"/>
          <w:szCs w:val="66"/>
        </w:rPr>
      </w:pPr>
    </w:p>
    <w:p w14:paraId="116295A6" w14:textId="77777777" w:rsidR="00240F1C" w:rsidRPr="00AF1D30" w:rsidRDefault="00240F1C" w:rsidP="00240F1C">
      <w:pPr>
        <w:spacing w:after="0" w:line="240" w:lineRule="auto"/>
        <w:jc w:val="right"/>
        <w:rPr>
          <w:rFonts w:ascii="Arial Narrow" w:hAnsi="Arial Narrow" w:cs="Calibri"/>
          <w:b/>
          <w:smallCaps/>
          <w:color w:val="004071"/>
          <w:sz w:val="66"/>
          <w:szCs w:val="66"/>
        </w:rPr>
      </w:pPr>
    </w:p>
    <w:p w14:paraId="0E13B323" w14:textId="77777777" w:rsidR="00240F1C" w:rsidRPr="00AF1D30" w:rsidRDefault="00240F1C" w:rsidP="00240F1C">
      <w:pPr>
        <w:spacing w:after="0" w:line="240" w:lineRule="auto"/>
        <w:jc w:val="right"/>
        <w:rPr>
          <w:rFonts w:ascii="Arial Narrow" w:hAnsi="Arial Narrow" w:cs="Calibri"/>
          <w:b/>
          <w:smallCaps/>
          <w:color w:val="004071"/>
          <w:sz w:val="66"/>
          <w:szCs w:val="66"/>
        </w:rPr>
      </w:pPr>
      <w:r w:rsidRPr="00AF1D30">
        <w:rPr>
          <w:rFonts w:ascii="Arial Narrow" w:hAnsi="Arial Narrow" w:cs="Calibri"/>
          <w:b/>
          <w:smallCaps/>
          <w:color w:val="004071"/>
          <w:sz w:val="66"/>
          <w:szCs w:val="66"/>
        </w:rPr>
        <w:t>Annex VI</w:t>
      </w:r>
    </w:p>
    <w:p w14:paraId="24CBF12D" w14:textId="77777777" w:rsidR="00240F1C" w:rsidRPr="00AF1D30" w:rsidRDefault="00240F1C" w:rsidP="00240F1C">
      <w:pPr>
        <w:spacing w:after="0"/>
        <w:jc w:val="right"/>
        <w:rPr>
          <w:rFonts w:ascii="Arial Narrow" w:hAnsi="Arial Narrow" w:cs="Calibri"/>
          <w:b/>
          <w:smallCaps/>
          <w:color w:val="004071"/>
          <w:sz w:val="66"/>
          <w:szCs w:val="66"/>
        </w:rPr>
      </w:pPr>
      <w:r w:rsidRPr="00AF1D30">
        <w:rPr>
          <w:rFonts w:ascii="Arial Narrow" w:hAnsi="Arial Narrow" w:cs="Calibri"/>
          <w:b/>
          <w:smallCaps/>
          <w:color w:val="004071"/>
          <w:sz w:val="66"/>
          <w:szCs w:val="66"/>
        </w:rPr>
        <w:t xml:space="preserve">ECBP M&amp;E Standards </w:t>
      </w:r>
    </w:p>
    <w:p w14:paraId="3EF00C50" w14:textId="77777777" w:rsidR="00240F1C" w:rsidRPr="00AF1D30" w:rsidRDefault="00240F1C" w:rsidP="00240F1C">
      <w:pPr>
        <w:spacing w:after="0"/>
        <w:jc w:val="right"/>
        <w:rPr>
          <w:rFonts w:ascii="Arial Narrow" w:hAnsi="Arial Narrow" w:cs="Calibri"/>
          <w:b/>
          <w:smallCaps/>
          <w:color w:val="004071"/>
          <w:sz w:val="66"/>
          <w:szCs w:val="66"/>
        </w:rPr>
        <w:sectPr w:rsidR="00240F1C" w:rsidRPr="00AF1D30" w:rsidSect="00C52581">
          <w:headerReference w:type="default" r:id="rId34"/>
          <w:footerReference w:type="default" r:id="rId35"/>
          <w:pgSz w:w="11907" w:h="16840" w:code="9"/>
          <w:pgMar w:top="1440" w:right="1440" w:bottom="1440" w:left="1440" w:header="540" w:footer="696" w:gutter="0"/>
          <w:cols w:space="720"/>
          <w:docGrid w:linePitch="326"/>
        </w:sectPr>
      </w:pPr>
      <w:r w:rsidRPr="00AF1D30">
        <w:rPr>
          <w:rFonts w:ascii="Arial Narrow" w:hAnsi="Arial Narrow" w:cs="Calibri"/>
          <w:b/>
          <w:smallCaps/>
          <w:color w:val="004071"/>
          <w:sz w:val="66"/>
          <w:szCs w:val="66"/>
        </w:rPr>
        <w:t>Standard 3: Initiative Progress Reporting</w:t>
      </w:r>
    </w:p>
    <w:tbl>
      <w:tblPr>
        <w:tblW w:w="5000" w:type="pct"/>
        <w:tblLayout w:type="fixed"/>
        <w:tblLook w:val="04A0" w:firstRow="1" w:lastRow="0" w:firstColumn="1" w:lastColumn="0" w:noHBand="0" w:noVBand="1"/>
      </w:tblPr>
      <w:tblGrid>
        <w:gridCol w:w="675"/>
        <w:gridCol w:w="9356"/>
        <w:gridCol w:w="4145"/>
      </w:tblGrid>
      <w:tr w:rsidR="00980485" w:rsidRPr="00AF1D30" w14:paraId="46C1AC61" w14:textId="77777777" w:rsidTr="00980485">
        <w:trPr>
          <w:trHeight w:val="660"/>
        </w:trPr>
        <w:tc>
          <w:tcPr>
            <w:tcW w:w="238" w:type="pct"/>
            <w:tcBorders>
              <w:top w:val="single" w:sz="8" w:space="0" w:color="auto"/>
              <w:left w:val="single" w:sz="8" w:space="0" w:color="auto"/>
              <w:bottom w:val="nil"/>
              <w:right w:val="single" w:sz="4" w:space="0" w:color="auto"/>
            </w:tcBorders>
            <w:shd w:val="clear" w:color="auto" w:fill="365F91" w:themeFill="accent1" w:themeFillShade="BF"/>
            <w:noWrap/>
            <w:vAlign w:val="center"/>
            <w:hideMark/>
          </w:tcPr>
          <w:p w14:paraId="1A151F0C" w14:textId="77777777" w:rsidR="00240F1C" w:rsidRPr="00AF1D30" w:rsidRDefault="00240F1C" w:rsidP="00240F1C">
            <w:pPr>
              <w:spacing w:after="0" w:line="240" w:lineRule="auto"/>
              <w:jc w:val="center"/>
              <w:rPr>
                <w:rFonts w:eastAsia="Times New Roman"/>
                <w:b/>
                <w:bCs/>
                <w:color w:val="FFFFFF" w:themeColor="background1"/>
                <w:sz w:val="24"/>
                <w:lang w:eastAsia="en-GB"/>
              </w:rPr>
            </w:pPr>
            <w:r w:rsidRPr="00AF1D30">
              <w:rPr>
                <w:rFonts w:eastAsia="Times New Roman"/>
                <w:b/>
                <w:bCs/>
                <w:color w:val="FFFFFF" w:themeColor="background1"/>
                <w:sz w:val="24"/>
                <w:lang w:eastAsia="en-GB"/>
              </w:rPr>
              <w:lastRenderedPageBreak/>
              <w:t>No</w:t>
            </w:r>
          </w:p>
        </w:tc>
        <w:tc>
          <w:tcPr>
            <w:tcW w:w="3300" w:type="pct"/>
            <w:tcBorders>
              <w:top w:val="single" w:sz="8" w:space="0" w:color="auto"/>
              <w:left w:val="nil"/>
              <w:bottom w:val="nil"/>
              <w:right w:val="single" w:sz="4" w:space="0" w:color="auto"/>
            </w:tcBorders>
            <w:shd w:val="clear" w:color="auto" w:fill="365F91" w:themeFill="accent1" w:themeFillShade="BF"/>
            <w:noWrap/>
            <w:vAlign w:val="center"/>
            <w:hideMark/>
          </w:tcPr>
          <w:p w14:paraId="3754DBDD" w14:textId="77777777" w:rsidR="00240F1C" w:rsidRPr="00AF1D30" w:rsidRDefault="00240F1C" w:rsidP="00240F1C">
            <w:pPr>
              <w:spacing w:after="0" w:line="240" w:lineRule="auto"/>
              <w:jc w:val="center"/>
              <w:rPr>
                <w:rFonts w:eastAsia="Times New Roman"/>
                <w:b/>
                <w:bCs/>
                <w:color w:val="FFFFFF" w:themeColor="background1"/>
                <w:sz w:val="24"/>
                <w:lang w:eastAsia="en-GB"/>
              </w:rPr>
            </w:pPr>
            <w:r w:rsidRPr="00AF1D30">
              <w:rPr>
                <w:rFonts w:eastAsia="Times New Roman"/>
                <w:b/>
                <w:bCs/>
                <w:color w:val="FFFFFF" w:themeColor="background1"/>
                <w:sz w:val="24"/>
                <w:lang w:eastAsia="en-GB"/>
              </w:rPr>
              <w:t>Feature of Progress Report</w:t>
            </w:r>
          </w:p>
        </w:tc>
        <w:tc>
          <w:tcPr>
            <w:tcW w:w="1462" w:type="pct"/>
            <w:tcBorders>
              <w:top w:val="single" w:sz="8" w:space="0" w:color="auto"/>
              <w:left w:val="nil"/>
              <w:bottom w:val="nil"/>
              <w:right w:val="single" w:sz="8" w:space="0" w:color="auto"/>
            </w:tcBorders>
            <w:shd w:val="clear" w:color="auto" w:fill="365F91" w:themeFill="accent1" w:themeFillShade="BF"/>
            <w:noWrap/>
            <w:vAlign w:val="center"/>
            <w:hideMark/>
          </w:tcPr>
          <w:p w14:paraId="4D837238" w14:textId="77777777" w:rsidR="00240F1C" w:rsidRPr="00AF1D30" w:rsidRDefault="00240F1C" w:rsidP="00240F1C">
            <w:pPr>
              <w:spacing w:after="0" w:line="240" w:lineRule="auto"/>
              <w:jc w:val="center"/>
              <w:rPr>
                <w:rFonts w:eastAsia="Times New Roman"/>
                <w:b/>
                <w:bCs/>
                <w:color w:val="FFFFFF" w:themeColor="background1"/>
                <w:sz w:val="24"/>
                <w:lang w:eastAsia="en-GB"/>
              </w:rPr>
            </w:pPr>
            <w:r w:rsidRPr="00AF1D30">
              <w:rPr>
                <w:rFonts w:eastAsia="Times New Roman"/>
                <w:b/>
                <w:bCs/>
                <w:color w:val="FFFFFF" w:themeColor="background1"/>
                <w:sz w:val="24"/>
                <w:lang w:eastAsia="en-GB"/>
              </w:rPr>
              <w:t>EP-APPR Compliance</w:t>
            </w:r>
          </w:p>
        </w:tc>
      </w:tr>
      <w:tr w:rsidR="00980485" w:rsidRPr="00AF1D30" w14:paraId="47A8A2BC" w14:textId="77777777" w:rsidTr="00980485">
        <w:trPr>
          <w:trHeight w:val="510"/>
        </w:trPr>
        <w:tc>
          <w:tcPr>
            <w:tcW w:w="238"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FEDD82" w14:textId="77777777" w:rsidR="00240F1C" w:rsidRPr="00AF1D30" w:rsidRDefault="00240F1C" w:rsidP="00240F1C">
            <w:pPr>
              <w:spacing w:after="0" w:line="240" w:lineRule="auto"/>
              <w:jc w:val="center"/>
              <w:rPr>
                <w:rFonts w:eastAsia="Times New Roman"/>
                <w:color w:val="000000"/>
                <w:szCs w:val="22"/>
                <w:lang w:eastAsia="en-GB"/>
              </w:rPr>
            </w:pPr>
            <w:r w:rsidRPr="00AF1D30">
              <w:rPr>
                <w:rFonts w:eastAsia="Times New Roman"/>
                <w:color w:val="000000"/>
                <w:szCs w:val="22"/>
                <w:lang w:eastAsia="en-GB"/>
              </w:rPr>
              <w:t>3.1</w:t>
            </w:r>
          </w:p>
        </w:tc>
        <w:tc>
          <w:tcPr>
            <w:tcW w:w="3300" w:type="pct"/>
            <w:tcBorders>
              <w:top w:val="single" w:sz="4" w:space="0" w:color="auto"/>
              <w:left w:val="nil"/>
              <w:bottom w:val="single" w:sz="4" w:space="0" w:color="auto"/>
              <w:right w:val="single" w:sz="4" w:space="0" w:color="auto"/>
            </w:tcBorders>
            <w:shd w:val="clear" w:color="auto" w:fill="auto"/>
            <w:vAlign w:val="center"/>
            <w:hideMark/>
          </w:tcPr>
          <w:p w14:paraId="628476A7" w14:textId="77777777" w:rsidR="00240F1C" w:rsidRPr="00AF1D30" w:rsidRDefault="00240F1C" w:rsidP="00240F1C">
            <w:pPr>
              <w:spacing w:after="0" w:line="240" w:lineRule="auto"/>
              <w:jc w:val="left"/>
              <w:rPr>
                <w:rFonts w:eastAsia="Times New Roman"/>
                <w:color w:val="000000"/>
                <w:szCs w:val="22"/>
                <w:lang w:eastAsia="en-GB"/>
              </w:rPr>
            </w:pPr>
            <w:r w:rsidRPr="00AF1D30">
              <w:rPr>
                <w:rFonts w:eastAsia="Times New Roman"/>
                <w:color w:val="000000"/>
                <w:szCs w:val="22"/>
                <w:lang w:eastAsia="en-GB"/>
              </w:rPr>
              <w:t>There is an executive summary that communicates the key information required for QAI reporting</w:t>
            </w:r>
          </w:p>
        </w:tc>
        <w:tc>
          <w:tcPr>
            <w:tcW w:w="1462" w:type="pct"/>
            <w:tcBorders>
              <w:top w:val="single" w:sz="4" w:space="0" w:color="auto"/>
              <w:left w:val="nil"/>
              <w:bottom w:val="single" w:sz="4" w:space="0" w:color="auto"/>
              <w:right w:val="single" w:sz="8" w:space="0" w:color="auto"/>
            </w:tcBorders>
            <w:shd w:val="clear" w:color="auto" w:fill="auto"/>
            <w:vAlign w:val="center"/>
            <w:hideMark/>
          </w:tcPr>
          <w:p w14:paraId="0EC8C7E0" w14:textId="446B8DD2" w:rsidR="00240F1C" w:rsidRPr="00AF1D30" w:rsidRDefault="00597A88" w:rsidP="00240F1C">
            <w:pPr>
              <w:spacing w:after="0" w:line="240" w:lineRule="auto"/>
              <w:jc w:val="left"/>
              <w:rPr>
                <w:rFonts w:eastAsia="Times New Roman"/>
                <w:color w:val="000000"/>
                <w:sz w:val="20"/>
                <w:szCs w:val="20"/>
                <w:lang w:eastAsia="en-GB"/>
              </w:rPr>
            </w:pPr>
            <w:r>
              <w:rPr>
                <w:rFonts w:eastAsia="Times New Roman"/>
                <w:color w:val="000000"/>
                <w:sz w:val="20"/>
                <w:szCs w:val="20"/>
                <w:lang w:eastAsia="en-GB"/>
              </w:rPr>
              <w:t>See Executive Summary</w:t>
            </w:r>
          </w:p>
        </w:tc>
      </w:tr>
      <w:tr w:rsidR="00980485" w:rsidRPr="00AF1D30" w14:paraId="516676A9" w14:textId="77777777" w:rsidTr="00980485">
        <w:trPr>
          <w:trHeight w:val="51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14:paraId="2B77CF47" w14:textId="77777777" w:rsidR="00240F1C" w:rsidRPr="00AF1D30" w:rsidRDefault="00240F1C" w:rsidP="00240F1C">
            <w:pPr>
              <w:spacing w:after="0" w:line="240" w:lineRule="auto"/>
              <w:jc w:val="center"/>
              <w:rPr>
                <w:rFonts w:eastAsia="Times New Roman"/>
                <w:color w:val="000000"/>
                <w:szCs w:val="22"/>
                <w:lang w:eastAsia="en-GB"/>
              </w:rPr>
            </w:pPr>
            <w:r w:rsidRPr="00AF1D30">
              <w:rPr>
                <w:rFonts w:eastAsia="Times New Roman"/>
                <w:color w:val="000000"/>
                <w:szCs w:val="22"/>
                <w:lang w:eastAsia="en-GB"/>
              </w:rPr>
              <w:t>3.2</w:t>
            </w:r>
          </w:p>
        </w:tc>
        <w:tc>
          <w:tcPr>
            <w:tcW w:w="3300" w:type="pct"/>
            <w:tcBorders>
              <w:top w:val="nil"/>
              <w:left w:val="nil"/>
              <w:bottom w:val="single" w:sz="4" w:space="0" w:color="auto"/>
              <w:right w:val="single" w:sz="4" w:space="0" w:color="auto"/>
            </w:tcBorders>
            <w:shd w:val="clear" w:color="auto" w:fill="auto"/>
            <w:noWrap/>
            <w:vAlign w:val="center"/>
            <w:hideMark/>
          </w:tcPr>
          <w:p w14:paraId="2E57AD7D" w14:textId="77777777" w:rsidR="00240F1C" w:rsidRPr="00AF1D30" w:rsidRDefault="00240F1C" w:rsidP="00240F1C">
            <w:pPr>
              <w:spacing w:after="0" w:line="240" w:lineRule="auto"/>
              <w:jc w:val="left"/>
              <w:rPr>
                <w:rFonts w:eastAsia="Times New Roman"/>
                <w:color w:val="000000"/>
                <w:szCs w:val="22"/>
                <w:lang w:eastAsia="en-GB"/>
              </w:rPr>
            </w:pPr>
            <w:r w:rsidRPr="00AF1D30">
              <w:rPr>
                <w:rFonts w:eastAsia="Times New Roman"/>
                <w:color w:val="000000"/>
                <w:szCs w:val="22"/>
                <w:lang w:eastAsia="en-GB"/>
              </w:rPr>
              <w:t>The relevant aspects of the context are adequately described</w:t>
            </w:r>
          </w:p>
        </w:tc>
        <w:tc>
          <w:tcPr>
            <w:tcW w:w="1462" w:type="pct"/>
            <w:tcBorders>
              <w:top w:val="nil"/>
              <w:left w:val="nil"/>
              <w:bottom w:val="single" w:sz="4" w:space="0" w:color="auto"/>
              <w:right w:val="single" w:sz="8" w:space="0" w:color="auto"/>
            </w:tcBorders>
            <w:shd w:val="clear" w:color="auto" w:fill="auto"/>
            <w:noWrap/>
            <w:vAlign w:val="center"/>
            <w:hideMark/>
          </w:tcPr>
          <w:p w14:paraId="74A74DF4" w14:textId="2153BBC5" w:rsidR="00240F1C" w:rsidRPr="00AF1D30" w:rsidRDefault="00597A88" w:rsidP="00835AD1">
            <w:pPr>
              <w:spacing w:after="0" w:line="240" w:lineRule="auto"/>
              <w:jc w:val="left"/>
              <w:rPr>
                <w:rFonts w:eastAsia="Times New Roman"/>
                <w:color w:val="000000"/>
                <w:szCs w:val="22"/>
                <w:lang w:eastAsia="en-GB"/>
              </w:rPr>
            </w:pPr>
            <w:r>
              <w:rPr>
                <w:rFonts w:eastAsia="Times New Roman"/>
                <w:color w:val="000000"/>
                <w:szCs w:val="22"/>
                <w:lang w:eastAsia="en-GB"/>
              </w:rPr>
              <w:t xml:space="preserve">See </w:t>
            </w:r>
            <w:r w:rsidR="00835AD1">
              <w:rPr>
                <w:rFonts w:eastAsia="Times New Roman"/>
                <w:color w:val="000000"/>
                <w:szCs w:val="22"/>
                <w:lang w:eastAsia="en-GB"/>
              </w:rPr>
              <w:t>§</w:t>
            </w:r>
            <w:r>
              <w:rPr>
                <w:rFonts w:eastAsia="Times New Roman"/>
                <w:color w:val="000000"/>
                <w:szCs w:val="22"/>
                <w:lang w:eastAsia="en-GB"/>
              </w:rPr>
              <w:t>1</w:t>
            </w:r>
            <w:r w:rsidR="00980485">
              <w:rPr>
                <w:rFonts w:eastAsia="Times New Roman"/>
                <w:color w:val="000000"/>
                <w:szCs w:val="22"/>
                <w:lang w:eastAsia="en-GB"/>
              </w:rPr>
              <w:t xml:space="preserve"> (in particular </w:t>
            </w:r>
            <w:r w:rsidR="00835AD1">
              <w:rPr>
                <w:rFonts w:eastAsia="Times New Roman"/>
                <w:color w:val="000000"/>
                <w:szCs w:val="22"/>
                <w:lang w:eastAsia="en-GB"/>
              </w:rPr>
              <w:t>§</w:t>
            </w:r>
            <w:r w:rsidR="00980485">
              <w:rPr>
                <w:rFonts w:eastAsia="Times New Roman"/>
                <w:color w:val="000000"/>
                <w:szCs w:val="22"/>
                <w:lang w:eastAsia="en-GB"/>
              </w:rPr>
              <w:t xml:space="preserve">1.1 and </w:t>
            </w:r>
            <w:r w:rsidR="00835AD1">
              <w:rPr>
                <w:rFonts w:eastAsia="Times New Roman"/>
                <w:color w:val="000000"/>
                <w:szCs w:val="22"/>
                <w:lang w:eastAsia="en-GB"/>
              </w:rPr>
              <w:t>§</w:t>
            </w:r>
            <w:r w:rsidR="00980485">
              <w:rPr>
                <w:rFonts w:eastAsia="Times New Roman"/>
                <w:color w:val="000000"/>
                <w:szCs w:val="22"/>
                <w:lang w:eastAsia="en-GB"/>
              </w:rPr>
              <w:t>1.2)</w:t>
            </w:r>
          </w:p>
        </w:tc>
      </w:tr>
      <w:tr w:rsidR="00980485" w:rsidRPr="00AF1D30" w14:paraId="1FF5B1C9" w14:textId="77777777" w:rsidTr="00980485">
        <w:trPr>
          <w:trHeight w:val="51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14:paraId="62E31652" w14:textId="77777777" w:rsidR="00240F1C" w:rsidRPr="00AF1D30" w:rsidRDefault="00240F1C" w:rsidP="00240F1C">
            <w:pPr>
              <w:spacing w:after="0" w:line="240" w:lineRule="auto"/>
              <w:jc w:val="center"/>
              <w:rPr>
                <w:rFonts w:eastAsia="Times New Roman"/>
                <w:color w:val="000000"/>
                <w:szCs w:val="22"/>
                <w:lang w:eastAsia="en-GB"/>
              </w:rPr>
            </w:pPr>
            <w:r w:rsidRPr="00AF1D30">
              <w:rPr>
                <w:rFonts w:eastAsia="Times New Roman"/>
                <w:color w:val="000000"/>
                <w:szCs w:val="22"/>
                <w:lang w:eastAsia="en-GB"/>
              </w:rPr>
              <w:t>3.3</w:t>
            </w:r>
          </w:p>
        </w:tc>
        <w:tc>
          <w:tcPr>
            <w:tcW w:w="3300" w:type="pct"/>
            <w:tcBorders>
              <w:top w:val="nil"/>
              <w:left w:val="nil"/>
              <w:bottom w:val="single" w:sz="4" w:space="0" w:color="auto"/>
              <w:right w:val="single" w:sz="4" w:space="0" w:color="auto"/>
            </w:tcBorders>
            <w:shd w:val="clear" w:color="auto" w:fill="auto"/>
            <w:noWrap/>
            <w:vAlign w:val="center"/>
            <w:hideMark/>
          </w:tcPr>
          <w:p w14:paraId="3CDC3B54" w14:textId="77777777" w:rsidR="00240F1C" w:rsidRPr="00AF1D30" w:rsidRDefault="00240F1C" w:rsidP="00240F1C">
            <w:pPr>
              <w:spacing w:after="0" w:line="240" w:lineRule="auto"/>
              <w:jc w:val="left"/>
              <w:rPr>
                <w:rFonts w:eastAsia="Times New Roman"/>
                <w:color w:val="000000"/>
                <w:szCs w:val="22"/>
                <w:lang w:eastAsia="en-GB"/>
              </w:rPr>
            </w:pPr>
            <w:r w:rsidRPr="00AF1D30">
              <w:rPr>
                <w:rFonts w:eastAsia="Times New Roman"/>
                <w:color w:val="000000"/>
                <w:szCs w:val="22"/>
                <w:lang w:eastAsia="en-GB"/>
              </w:rPr>
              <w:t>There is a reflection on the continuing relevance of the expected end-of-program outcomes</w:t>
            </w:r>
          </w:p>
        </w:tc>
        <w:tc>
          <w:tcPr>
            <w:tcW w:w="1462" w:type="pct"/>
            <w:tcBorders>
              <w:top w:val="nil"/>
              <w:left w:val="nil"/>
              <w:bottom w:val="single" w:sz="4" w:space="0" w:color="auto"/>
              <w:right w:val="single" w:sz="8" w:space="0" w:color="auto"/>
            </w:tcBorders>
            <w:shd w:val="clear" w:color="auto" w:fill="auto"/>
            <w:noWrap/>
            <w:vAlign w:val="center"/>
            <w:hideMark/>
          </w:tcPr>
          <w:p w14:paraId="67DCE2CD" w14:textId="2D7D8796" w:rsidR="00240F1C" w:rsidRPr="00AF1D30" w:rsidRDefault="00597A88" w:rsidP="00835AD1">
            <w:pPr>
              <w:spacing w:after="0" w:line="240" w:lineRule="auto"/>
              <w:jc w:val="left"/>
              <w:rPr>
                <w:rFonts w:eastAsia="Times New Roman"/>
                <w:color w:val="000000"/>
                <w:szCs w:val="22"/>
                <w:lang w:eastAsia="en-GB"/>
              </w:rPr>
            </w:pPr>
            <w:r>
              <w:rPr>
                <w:rFonts w:eastAsia="Times New Roman"/>
                <w:color w:val="000000"/>
                <w:szCs w:val="22"/>
                <w:lang w:eastAsia="en-GB"/>
              </w:rPr>
              <w:t xml:space="preserve">See </w:t>
            </w:r>
            <w:r w:rsidR="00835AD1">
              <w:rPr>
                <w:rFonts w:eastAsia="Times New Roman"/>
                <w:color w:val="000000"/>
                <w:szCs w:val="22"/>
                <w:lang w:eastAsia="en-GB"/>
              </w:rPr>
              <w:t>§</w:t>
            </w:r>
            <w:r>
              <w:rPr>
                <w:rFonts w:eastAsia="Times New Roman"/>
                <w:color w:val="000000"/>
                <w:szCs w:val="22"/>
                <w:lang w:eastAsia="en-GB"/>
              </w:rPr>
              <w:t xml:space="preserve">1 </w:t>
            </w:r>
            <w:r w:rsidR="00980485">
              <w:rPr>
                <w:rFonts w:eastAsia="Times New Roman"/>
                <w:color w:val="000000"/>
                <w:szCs w:val="22"/>
                <w:lang w:eastAsia="en-GB"/>
              </w:rPr>
              <w:t xml:space="preserve">(in particular </w:t>
            </w:r>
            <w:r w:rsidR="00835AD1">
              <w:rPr>
                <w:rFonts w:eastAsia="Times New Roman"/>
                <w:color w:val="000000"/>
                <w:szCs w:val="22"/>
                <w:lang w:eastAsia="en-GB"/>
              </w:rPr>
              <w:t>§</w:t>
            </w:r>
            <w:r w:rsidR="00980485">
              <w:rPr>
                <w:rFonts w:eastAsia="Times New Roman"/>
                <w:color w:val="000000"/>
                <w:szCs w:val="22"/>
                <w:lang w:eastAsia="en-GB"/>
              </w:rPr>
              <w:t>1.3)</w:t>
            </w:r>
          </w:p>
        </w:tc>
      </w:tr>
      <w:tr w:rsidR="00980485" w:rsidRPr="00AF1D30" w14:paraId="261795F3" w14:textId="77777777" w:rsidTr="00980485">
        <w:trPr>
          <w:trHeight w:val="51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14:paraId="2FB2214B" w14:textId="77777777" w:rsidR="00240F1C" w:rsidRPr="00AF1D30" w:rsidRDefault="00240F1C" w:rsidP="00240F1C">
            <w:pPr>
              <w:spacing w:after="0" w:line="240" w:lineRule="auto"/>
              <w:jc w:val="center"/>
              <w:rPr>
                <w:rFonts w:eastAsia="Times New Roman"/>
                <w:color w:val="000000"/>
                <w:szCs w:val="22"/>
                <w:lang w:eastAsia="en-GB"/>
              </w:rPr>
            </w:pPr>
            <w:r w:rsidRPr="00AF1D30">
              <w:rPr>
                <w:rFonts w:eastAsia="Times New Roman"/>
                <w:color w:val="000000"/>
                <w:szCs w:val="22"/>
                <w:lang w:eastAsia="en-GB"/>
              </w:rPr>
              <w:t>3.4</w:t>
            </w:r>
          </w:p>
        </w:tc>
        <w:tc>
          <w:tcPr>
            <w:tcW w:w="3300" w:type="pct"/>
            <w:tcBorders>
              <w:top w:val="nil"/>
              <w:left w:val="nil"/>
              <w:bottom w:val="single" w:sz="4" w:space="0" w:color="auto"/>
              <w:right w:val="single" w:sz="4" w:space="0" w:color="auto"/>
            </w:tcBorders>
            <w:shd w:val="clear" w:color="auto" w:fill="auto"/>
            <w:vAlign w:val="center"/>
            <w:hideMark/>
          </w:tcPr>
          <w:p w14:paraId="5FB419B4" w14:textId="77777777" w:rsidR="00240F1C" w:rsidRPr="00AF1D30" w:rsidRDefault="00240F1C" w:rsidP="00240F1C">
            <w:pPr>
              <w:spacing w:after="0" w:line="240" w:lineRule="auto"/>
              <w:jc w:val="left"/>
              <w:rPr>
                <w:rFonts w:eastAsia="Times New Roman"/>
                <w:color w:val="000000"/>
                <w:szCs w:val="22"/>
                <w:lang w:eastAsia="en-GB"/>
              </w:rPr>
            </w:pPr>
            <w:r w:rsidRPr="00AF1D30">
              <w:rPr>
                <w:rFonts w:eastAsia="Times New Roman"/>
                <w:color w:val="000000"/>
                <w:szCs w:val="22"/>
                <w:lang w:eastAsia="en-GB"/>
              </w:rPr>
              <w:t>An assessment of the adequacy of progress toward sustained end-of-program outcomes is described</w:t>
            </w:r>
          </w:p>
        </w:tc>
        <w:tc>
          <w:tcPr>
            <w:tcW w:w="1462" w:type="pct"/>
            <w:tcBorders>
              <w:top w:val="nil"/>
              <w:left w:val="nil"/>
              <w:bottom w:val="single" w:sz="4" w:space="0" w:color="auto"/>
              <w:right w:val="single" w:sz="8" w:space="0" w:color="auto"/>
            </w:tcBorders>
            <w:shd w:val="clear" w:color="auto" w:fill="auto"/>
            <w:noWrap/>
            <w:vAlign w:val="center"/>
            <w:hideMark/>
          </w:tcPr>
          <w:p w14:paraId="1B4AF7F8" w14:textId="43C746E8" w:rsidR="00240F1C" w:rsidRPr="00AF1D30" w:rsidRDefault="00980485" w:rsidP="00835AD1">
            <w:pPr>
              <w:spacing w:after="0" w:line="240" w:lineRule="auto"/>
              <w:jc w:val="left"/>
              <w:rPr>
                <w:rFonts w:eastAsia="Times New Roman"/>
                <w:color w:val="000000"/>
                <w:szCs w:val="22"/>
                <w:lang w:eastAsia="en-GB"/>
              </w:rPr>
            </w:pPr>
            <w:r>
              <w:rPr>
                <w:rFonts w:eastAsia="Times New Roman"/>
                <w:color w:val="000000"/>
                <w:szCs w:val="22"/>
                <w:lang w:eastAsia="en-GB"/>
              </w:rPr>
              <w:t xml:space="preserve">See </w:t>
            </w:r>
            <w:r w:rsidR="00835AD1">
              <w:rPr>
                <w:rFonts w:eastAsia="Times New Roman"/>
                <w:color w:val="000000"/>
                <w:szCs w:val="22"/>
                <w:lang w:eastAsia="en-GB"/>
              </w:rPr>
              <w:t>§</w:t>
            </w:r>
            <w:r>
              <w:rPr>
                <w:rFonts w:eastAsia="Times New Roman"/>
                <w:color w:val="000000"/>
                <w:szCs w:val="22"/>
                <w:lang w:eastAsia="en-GB"/>
              </w:rPr>
              <w:t xml:space="preserve">2.2 to </w:t>
            </w:r>
            <w:r w:rsidR="00835AD1">
              <w:rPr>
                <w:rFonts w:eastAsia="Times New Roman"/>
                <w:color w:val="000000"/>
                <w:szCs w:val="22"/>
                <w:lang w:eastAsia="en-GB"/>
              </w:rPr>
              <w:t>§</w:t>
            </w:r>
            <w:r>
              <w:rPr>
                <w:rFonts w:eastAsia="Times New Roman"/>
                <w:color w:val="000000"/>
                <w:szCs w:val="22"/>
                <w:lang w:eastAsia="en-GB"/>
              </w:rPr>
              <w:t>2.5</w:t>
            </w:r>
          </w:p>
        </w:tc>
      </w:tr>
      <w:tr w:rsidR="00980485" w:rsidRPr="00AF1D30" w14:paraId="5B42E9B8" w14:textId="77777777" w:rsidTr="00980485">
        <w:trPr>
          <w:trHeight w:val="51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14:paraId="71E04F3C" w14:textId="77777777" w:rsidR="00980485" w:rsidRPr="00AF1D30" w:rsidRDefault="00980485" w:rsidP="00240F1C">
            <w:pPr>
              <w:spacing w:after="0" w:line="240" w:lineRule="auto"/>
              <w:jc w:val="center"/>
              <w:rPr>
                <w:rFonts w:eastAsia="Times New Roman"/>
                <w:color w:val="000000"/>
                <w:szCs w:val="22"/>
                <w:lang w:eastAsia="en-GB"/>
              </w:rPr>
            </w:pPr>
            <w:r w:rsidRPr="00AF1D30">
              <w:rPr>
                <w:rFonts w:eastAsia="Times New Roman"/>
                <w:color w:val="000000"/>
                <w:szCs w:val="22"/>
                <w:lang w:eastAsia="en-GB"/>
              </w:rPr>
              <w:t>3.5</w:t>
            </w:r>
          </w:p>
        </w:tc>
        <w:tc>
          <w:tcPr>
            <w:tcW w:w="3300" w:type="pct"/>
            <w:tcBorders>
              <w:top w:val="nil"/>
              <w:left w:val="nil"/>
              <w:bottom w:val="single" w:sz="4" w:space="0" w:color="auto"/>
              <w:right w:val="single" w:sz="4" w:space="0" w:color="auto"/>
            </w:tcBorders>
            <w:shd w:val="clear" w:color="auto" w:fill="auto"/>
            <w:vAlign w:val="center"/>
            <w:hideMark/>
          </w:tcPr>
          <w:p w14:paraId="454CA755" w14:textId="77777777" w:rsidR="00980485" w:rsidRPr="00AF1D30" w:rsidRDefault="00980485" w:rsidP="00240F1C">
            <w:pPr>
              <w:spacing w:after="0" w:line="240" w:lineRule="auto"/>
              <w:jc w:val="left"/>
              <w:rPr>
                <w:rFonts w:eastAsia="Times New Roman"/>
                <w:color w:val="000000"/>
                <w:szCs w:val="22"/>
                <w:lang w:eastAsia="en-GB"/>
              </w:rPr>
            </w:pPr>
            <w:r w:rsidRPr="00AF1D30">
              <w:rPr>
                <w:rFonts w:eastAsia="Times New Roman"/>
                <w:color w:val="000000"/>
                <w:szCs w:val="22"/>
                <w:lang w:eastAsia="en-GB"/>
              </w:rPr>
              <w:t>The quality, reach and coverage of key outputs or deliverables for the reporting period are described</w:t>
            </w:r>
          </w:p>
        </w:tc>
        <w:tc>
          <w:tcPr>
            <w:tcW w:w="1462" w:type="pct"/>
            <w:tcBorders>
              <w:top w:val="nil"/>
              <w:left w:val="nil"/>
              <w:bottom w:val="single" w:sz="4" w:space="0" w:color="auto"/>
              <w:right w:val="single" w:sz="8" w:space="0" w:color="auto"/>
            </w:tcBorders>
            <w:shd w:val="clear" w:color="auto" w:fill="auto"/>
            <w:noWrap/>
            <w:vAlign w:val="center"/>
            <w:hideMark/>
          </w:tcPr>
          <w:p w14:paraId="28BC4F82" w14:textId="4EF7FBB6" w:rsidR="00980485" w:rsidRPr="00AF1D30" w:rsidRDefault="00980485" w:rsidP="00835AD1">
            <w:pPr>
              <w:spacing w:after="0" w:line="240" w:lineRule="auto"/>
              <w:jc w:val="left"/>
              <w:rPr>
                <w:rFonts w:eastAsia="Times New Roman"/>
                <w:color w:val="000000"/>
                <w:szCs w:val="22"/>
                <w:lang w:eastAsia="en-GB"/>
              </w:rPr>
            </w:pPr>
            <w:r>
              <w:rPr>
                <w:rFonts w:eastAsia="Times New Roman"/>
                <w:color w:val="000000"/>
                <w:szCs w:val="22"/>
                <w:lang w:eastAsia="en-GB"/>
              </w:rPr>
              <w:t xml:space="preserve">See </w:t>
            </w:r>
            <w:r w:rsidR="00835AD1">
              <w:rPr>
                <w:rFonts w:eastAsia="Times New Roman"/>
                <w:color w:val="000000"/>
                <w:szCs w:val="22"/>
                <w:lang w:eastAsia="en-GB"/>
              </w:rPr>
              <w:t>§</w:t>
            </w:r>
            <w:r>
              <w:rPr>
                <w:rFonts w:eastAsia="Times New Roman"/>
                <w:color w:val="000000"/>
                <w:szCs w:val="22"/>
                <w:lang w:eastAsia="en-GB"/>
              </w:rPr>
              <w:t xml:space="preserve">2.2 to </w:t>
            </w:r>
            <w:r w:rsidR="00835AD1">
              <w:rPr>
                <w:rFonts w:eastAsia="Times New Roman"/>
                <w:color w:val="000000"/>
                <w:szCs w:val="22"/>
                <w:lang w:eastAsia="en-GB"/>
              </w:rPr>
              <w:t>§</w:t>
            </w:r>
            <w:r>
              <w:rPr>
                <w:rFonts w:eastAsia="Times New Roman"/>
                <w:color w:val="000000"/>
                <w:szCs w:val="22"/>
                <w:lang w:eastAsia="en-GB"/>
              </w:rPr>
              <w:t>2.5</w:t>
            </w:r>
          </w:p>
        </w:tc>
      </w:tr>
      <w:tr w:rsidR="00980485" w:rsidRPr="00AF1D30" w14:paraId="40780322" w14:textId="77777777" w:rsidTr="00980485">
        <w:trPr>
          <w:trHeight w:val="51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14:paraId="310D1A3A" w14:textId="77777777" w:rsidR="00980485" w:rsidRPr="00AF1D30" w:rsidRDefault="00980485" w:rsidP="00240F1C">
            <w:pPr>
              <w:spacing w:after="0" w:line="240" w:lineRule="auto"/>
              <w:jc w:val="center"/>
              <w:rPr>
                <w:rFonts w:eastAsia="Times New Roman"/>
                <w:color w:val="000000"/>
                <w:szCs w:val="22"/>
                <w:lang w:eastAsia="en-GB"/>
              </w:rPr>
            </w:pPr>
            <w:r w:rsidRPr="00AF1D30">
              <w:rPr>
                <w:rFonts w:eastAsia="Times New Roman"/>
                <w:color w:val="000000"/>
                <w:szCs w:val="22"/>
                <w:lang w:eastAsia="en-GB"/>
              </w:rPr>
              <w:t>3.6</w:t>
            </w:r>
          </w:p>
        </w:tc>
        <w:tc>
          <w:tcPr>
            <w:tcW w:w="3300" w:type="pct"/>
            <w:tcBorders>
              <w:top w:val="nil"/>
              <w:left w:val="nil"/>
              <w:bottom w:val="single" w:sz="4" w:space="0" w:color="auto"/>
              <w:right w:val="single" w:sz="4" w:space="0" w:color="auto"/>
            </w:tcBorders>
            <w:shd w:val="clear" w:color="auto" w:fill="auto"/>
            <w:noWrap/>
            <w:vAlign w:val="center"/>
            <w:hideMark/>
          </w:tcPr>
          <w:p w14:paraId="5EB3E980" w14:textId="77777777" w:rsidR="00980485" w:rsidRPr="00AF1D30" w:rsidRDefault="00980485" w:rsidP="00240F1C">
            <w:pPr>
              <w:spacing w:after="0" w:line="240" w:lineRule="auto"/>
              <w:jc w:val="left"/>
              <w:rPr>
                <w:rFonts w:eastAsia="Times New Roman"/>
                <w:color w:val="000000"/>
                <w:szCs w:val="22"/>
                <w:lang w:eastAsia="en-GB"/>
              </w:rPr>
            </w:pPr>
            <w:r w:rsidRPr="00AF1D30">
              <w:rPr>
                <w:rFonts w:eastAsia="Times New Roman"/>
                <w:color w:val="000000"/>
                <w:szCs w:val="22"/>
                <w:lang w:eastAsia="en-GB"/>
              </w:rPr>
              <w:t>The adequacy of progress implementing the annual plan is described</w:t>
            </w:r>
          </w:p>
        </w:tc>
        <w:tc>
          <w:tcPr>
            <w:tcW w:w="1462" w:type="pct"/>
            <w:tcBorders>
              <w:top w:val="nil"/>
              <w:left w:val="nil"/>
              <w:bottom w:val="single" w:sz="4" w:space="0" w:color="auto"/>
              <w:right w:val="single" w:sz="8" w:space="0" w:color="auto"/>
            </w:tcBorders>
            <w:shd w:val="clear" w:color="auto" w:fill="auto"/>
            <w:noWrap/>
            <w:vAlign w:val="center"/>
            <w:hideMark/>
          </w:tcPr>
          <w:p w14:paraId="3711C9D0" w14:textId="66C16ECB" w:rsidR="00980485" w:rsidRPr="00AF1D30" w:rsidRDefault="00980485" w:rsidP="00240F1C">
            <w:pPr>
              <w:spacing w:after="0" w:line="240" w:lineRule="auto"/>
              <w:jc w:val="left"/>
              <w:rPr>
                <w:rFonts w:eastAsia="Times New Roman"/>
                <w:color w:val="000000"/>
                <w:szCs w:val="22"/>
                <w:lang w:eastAsia="en-GB"/>
              </w:rPr>
            </w:pPr>
            <w:r>
              <w:rPr>
                <w:rFonts w:eastAsia="Times New Roman"/>
                <w:color w:val="000000"/>
                <w:szCs w:val="22"/>
                <w:lang w:eastAsia="en-GB"/>
              </w:rPr>
              <w:t>n/a (assumed that SSQ and ACDP reporting covers that)</w:t>
            </w:r>
            <w:r w:rsidRPr="00AF1D30">
              <w:rPr>
                <w:rFonts w:eastAsia="Times New Roman"/>
                <w:color w:val="000000"/>
                <w:szCs w:val="22"/>
                <w:lang w:eastAsia="en-GB"/>
              </w:rPr>
              <w:t> </w:t>
            </w:r>
          </w:p>
        </w:tc>
      </w:tr>
      <w:tr w:rsidR="00980485" w:rsidRPr="00AF1D30" w14:paraId="33F2A2FF" w14:textId="77777777" w:rsidTr="00980485">
        <w:trPr>
          <w:trHeight w:val="51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14:paraId="571D0FA2" w14:textId="77777777" w:rsidR="00980485" w:rsidRPr="00AF1D30" w:rsidRDefault="00980485" w:rsidP="00240F1C">
            <w:pPr>
              <w:spacing w:after="0" w:line="240" w:lineRule="auto"/>
              <w:jc w:val="center"/>
              <w:rPr>
                <w:rFonts w:eastAsia="Times New Roman"/>
                <w:color w:val="000000"/>
                <w:szCs w:val="22"/>
                <w:lang w:eastAsia="en-GB"/>
              </w:rPr>
            </w:pPr>
            <w:r w:rsidRPr="00AF1D30">
              <w:rPr>
                <w:rFonts w:eastAsia="Times New Roman"/>
                <w:color w:val="000000"/>
                <w:szCs w:val="22"/>
                <w:lang w:eastAsia="en-GB"/>
              </w:rPr>
              <w:t>3.7</w:t>
            </w:r>
          </w:p>
        </w:tc>
        <w:tc>
          <w:tcPr>
            <w:tcW w:w="3300" w:type="pct"/>
            <w:tcBorders>
              <w:top w:val="nil"/>
              <w:left w:val="nil"/>
              <w:bottom w:val="single" w:sz="4" w:space="0" w:color="auto"/>
              <w:right w:val="single" w:sz="4" w:space="0" w:color="auto"/>
            </w:tcBorders>
            <w:shd w:val="clear" w:color="auto" w:fill="auto"/>
            <w:vAlign w:val="center"/>
            <w:hideMark/>
          </w:tcPr>
          <w:p w14:paraId="10EDA35B" w14:textId="77777777" w:rsidR="00980485" w:rsidRPr="00AF1D30" w:rsidRDefault="00980485" w:rsidP="00240F1C">
            <w:pPr>
              <w:spacing w:after="0" w:line="240" w:lineRule="auto"/>
              <w:jc w:val="left"/>
              <w:rPr>
                <w:rFonts w:eastAsia="Times New Roman"/>
                <w:color w:val="000000"/>
                <w:szCs w:val="22"/>
                <w:lang w:eastAsia="en-GB"/>
              </w:rPr>
            </w:pPr>
            <w:r w:rsidRPr="00AF1D30">
              <w:rPr>
                <w:rFonts w:eastAsia="Times New Roman"/>
                <w:color w:val="000000"/>
                <w:szCs w:val="22"/>
                <w:lang w:eastAsia="en-GB"/>
              </w:rPr>
              <w:t>A reflection on the adequacy of planned inputs to meet the expected end-of-program outcomes is provided</w:t>
            </w:r>
          </w:p>
        </w:tc>
        <w:tc>
          <w:tcPr>
            <w:tcW w:w="1462" w:type="pct"/>
            <w:tcBorders>
              <w:top w:val="nil"/>
              <w:left w:val="nil"/>
              <w:bottom w:val="single" w:sz="4" w:space="0" w:color="auto"/>
              <w:right w:val="single" w:sz="8" w:space="0" w:color="auto"/>
            </w:tcBorders>
            <w:shd w:val="clear" w:color="auto" w:fill="auto"/>
            <w:noWrap/>
            <w:vAlign w:val="center"/>
            <w:hideMark/>
          </w:tcPr>
          <w:p w14:paraId="07A083F3" w14:textId="1A804F42" w:rsidR="00980485" w:rsidRPr="00AF1D30" w:rsidRDefault="00980485" w:rsidP="00835AD1">
            <w:pPr>
              <w:spacing w:after="0" w:line="240" w:lineRule="auto"/>
              <w:jc w:val="left"/>
              <w:rPr>
                <w:rFonts w:eastAsia="Times New Roman"/>
                <w:color w:val="000000"/>
                <w:szCs w:val="22"/>
                <w:lang w:eastAsia="en-GB"/>
              </w:rPr>
            </w:pPr>
            <w:r>
              <w:rPr>
                <w:rFonts w:eastAsia="Times New Roman"/>
                <w:color w:val="000000"/>
                <w:szCs w:val="22"/>
                <w:lang w:eastAsia="en-GB"/>
              </w:rPr>
              <w:t xml:space="preserve">See </w:t>
            </w:r>
            <w:r w:rsidR="00835AD1">
              <w:rPr>
                <w:rFonts w:eastAsia="Times New Roman"/>
                <w:color w:val="000000"/>
                <w:szCs w:val="22"/>
                <w:lang w:eastAsia="en-GB"/>
              </w:rPr>
              <w:t>§</w:t>
            </w:r>
            <w:r>
              <w:rPr>
                <w:rFonts w:eastAsia="Times New Roman"/>
                <w:color w:val="000000"/>
                <w:szCs w:val="22"/>
                <w:lang w:eastAsia="en-GB"/>
              </w:rPr>
              <w:t>3</w:t>
            </w:r>
          </w:p>
        </w:tc>
      </w:tr>
      <w:tr w:rsidR="00980485" w:rsidRPr="00AF1D30" w14:paraId="1DEC24D1" w14:textId="77777777" w:rsidTr="00980485">
        <w:trPr>
          <w:trHeight w:val="51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14:paraId="7E63E06F" w14:textId="77777777" w:rsidR="00980485" w:rsidRPr="00AF1D30" w:rsidRDefault="00980485" w:rsidP="00240F1C">
            <w:pPr>
              <w:spacing w:after="0" w:line="240" w:lineRule="auto"/>
              <w:jc w:val="center"/>
              <w:rPr>
                <w:rFonts w:eastAsia="Times New Roman"/>
                <w:color w:val="000000"/>
                <w:szCs w:val="22"/>
                <w:lang w:eastAsia="en-GB"/>
              </w:rPr>
            </w:pPr>
            <w:r w:rsidRPr="00AF1D30">
              <w:rPr>
                <w:rFonts w:eastAsia="Times New Roman"/>
                <w:color w:val="000000"/>
                <w:szCs w:val="22"/>
                <w:lang w:eastAsia="en-GB"/>
              </w:rPr>
              <w:t>3.8</w:t>
            </w:r>
          </w:p>
        </w:tc>
        <w:tc>
          <w:tcPr>
            <w:tcW w:w="3300" w:type="pct"/>
            <w:tcBorders>
              <w:top w:val="nil"/>
              <w:left w:val="nil"/>
              <w:bottom w:val="single" w:sz="4" w:space="0" w:color="auto"/>
              <w:right w:val="single" w:sz="4" w:space="0" w:color="auto"/>
            </w:tcBorders>
            <w:shd w:val="clear" w:color="auto" w:fill="auto"/>
            <w:vAlign w:val="center"/>
            <w:hideMark/>
          </w:tcPr>
          <w:p w14:paraId="58A5ED52" w14:textId="77777777" w:rsidR="00980485" w:rsidRPr="00AF1D30" w:rsidRDefault="00980485" w:rsidP="00240F1C">
            <w:pPr>
              <w:spacing w:after="0" w:line="240" w:lineRule="auto"/>
              <w:jc w:val="left"/>
              <w:rPr>
                <w:rFonts w:eastAsia="Times New Roman"/>
                <w:color w:val="000000"/>
                <w:szCs w:val="22"/>
                <w:lang w:eastAsia="en-GB"/>
              </w:rPr>
            </w:pPr>
            <w:r w:rsidRPr="00AF1D30">
              <w:rPr>
                <w:rFonts w:eastAsia="Times New Roman"/>
                <w:color w:val="000000"/>
                <w:szCs w:val="22"/>
                <w:lang w:eastAsia="en-GB"/>
              </w:rPr>
              <w:t>The adequacy of progress against the budget is assessed</w:t>
            </w:r>
          </w:p>
        </w:tc>
        <w:tc>
          <w:tcPr>
            <w:tcW w:w="1462" w:type="pct"/>
            <w:tcBorders>
              <w:top w:val="nil"/>
              <w:left w:val="nil"/>
              <w:bottom w:val="single" w:sz="4" w:space="0" w:color="auto"/>
              <w:right w:val="single" w:sz="8" w:space="0" w:color="auto"/>
            </w:tcBorders>
            <w:shd w:val="clear" w:color="auto" w:fill="auto"/>
            <w:noWrap/>
            <w:vAlign w:val="center"/>
            <w:hideMark/>
          </w:tcPr>
          <w:p w14:paraId="708E4B50" w14:textId="476D5E29" w:rsidR="00980485" w:rsidRPr="00AF1D30" w:rsidRDefault="00980485" w:rsidP="00835AD1">
            <w:pPr>
              <w:spacing w:after="0" w:line="240" w:lineRule="auto"/>
              <w:jc w:val="left"/>
              <w:rPr>
                <w:rFonts w:eastAsia="Times New Roman"/>
                <w:color w:val="000000"/>
                <w:szCs w:val="22"/>
                <w:lang w:eastAsia="en-GB"/>
              </w:rPr>
            </w:pPr>
            <w:r>
              <w:rPr>
                <w:rFonts w:eastAsia="Times New Roman"/>
                <w:color w:val="000000"/>
                <w:szCs w:val="22"/>
                <w:lang w:eastAsia="en-GB"/>
              </w:rPr>
              <w:t xml:space="preserve">Not done, although financial management is considered in </w:t>
            </w:r>
            <w:r w:rsidR="00835AD1">
              <w:rPr>
                <w:rFonts w:eastAsia="Times New Roman"/>
                <w:color w:val="000000"/>
                <w:szCs w:val="22"/>
                <w:lang w:eastAsia="en-GB"/>
              </w:rPr>
              <w:t>§</w:t>
            </w:r>
            <w:r>
              <w:rPr>
                <w:rFonts w:eastAsia="Times New Roman"/>
                <w:color w:val="000000"/>
                <w:szCs w:val="22"/>
                <w:lang w:eastAsia="en-GB"/>
              </w:rPr>
              <w:t xml:space="preserve">3.1 and </w:t>
            </w:r>
            <w:r w:rsidR="00835AD1">
              <w:rPr>
                <w:rFonts w:eastAsia="Times New Roman"/>
                <w:color w:val="000000"/>
                <w:szCs w:val="22"/>
                <w:lang w:eastAsia="en-GB"/>
              </w:rPr>
              <w:t>§</w:t>
            </w:r>
            <w:r>
              <w:rPr>
                <w:rFonts w:eastAsia="Times New Roman"/>
                <w:color w:val="000000"/>
                <w:szCs w:val="22"/>
                <w:lang w:eastAsia="en-GB"/>
              </w:rPr>
              <w:t>3.2.</w:t>
            </w:r>
          </w:p>
        </w:tc>
      </w:tr>
      <w:tr w:rsidR="00980485" w:rsidRPr="00AF1D30" w14:paraId="10E22C20" w14:textId="77777777" w:rsidTr="00980485">
        <w:trPr>
          <w:trHeight w:val="51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14:paraId="074D1702" w14:textId="77777777" w:rsidR="00980485" w:rsidRPr="00AF1D30" w:rsidRDefault="00980485" w:rsidP="00240F1C">
            <w:pPr>
              <w:spacing w:after="0" w:line="240" w:lineRule="auto"/>
              <w:jc w:val="center"/>
              <w:rPr>
                <w:rFonts w:eastAsia="Times New Roman"/>
                <w:color w:val="000000"/>
                <w:szCs w:val="22"/>
                <w:lang w:eastAsia="en-GB"/>
              </w:rPr>
            </w:pPr>
            <w:r w:rsidRPr="00AF1D30">
              <w:rPr>
                <w:rFonts w:eastAsia="Times New Roman"/>
                <w:color w:val="000000"/>
                <w:szCs w:val="22"/>
                <w:lang w:eastAsia="en-GB"/>
              </w:rPr>
              <w:t>3.9</w:t>
            </w:r>
          </w:p>
        </w:tc>
        <w:tc>
          <w:tcPr>
            <w:tcW w:w="3300" w:type="pct"/>
            <w:tcBorders>
              <w:top w:val="nil"/>
              <w:left w:val="nil"/>
              <w:bottom w:val="single" w:sz="4" w:space="0" w:color="auto"/>
              <w:right w:val="single" w:sz="4" w:space="0" w:color="auto"/>
            </w:tcBorders>
            <w:shd w:val="clear" w:color="auto" w:fill="auto"/>
            <w:vAlign w:val="center"/>
            <w:hideMark/>
          </w:tcPr>
          <w:p w14:paraId="33785A3B" w14:textId="77777777" w:rsidR="00980485" w:rsidRPr="00AF1D30" w:rsidRDefault="00980485" w:rsidP="00240F1C">
            <w:pPr>
              <w:spacing w:after="0" w:line="240" w:lineRule="auto"/>
              <w:jc w:val="left"/>
              <w:rPr>
                <w:rFonts w:eastAsia="Times New Roman"/>
                <w:color w:val="000000"/>
                <w:szCs w:val="22"/>
                <w:lang w:eastAsia="en-GB"/>
              </w:rPr>
            </w:pPr>
            <w:r w:rsidRPr="00AF1D30">
              <w:rPr>
                <w:rFonts w:eastAsia="Times New Roman"/>
                <w:color w:val="000000"/>
                <w:szCs w:val="22"/>
                <w:lang w:eastAsia="en-GB"/>
              </w:rPr>
              <w:t>The efficiency and effectiveness of key management or implementation system is assessed or demonstrated</w:t>
            </w:r>
          </w:p>
        </w:tc>
        <w:tc>
          <w:tcPr>
            <w:tcW w:w="1462" w:type="pct"/>
            <w:tcBorders>
              <w:top w:val="nil"/>
              <w:left w:val="nil"/>
              <w:bottom w:val="single" w:sz="4" w:space="0" w:color="auto"/>
              <w:right w:val="single" w:sz="8" w:space="0" w:color="auto"/>
            </w:tcBorders>
            <w:shd w:val="clear" w:color="auto" w:fill="auto"/>
            <w:noWrap/>
            <w:vAlign w:val="center"/>
            <w:hideMark/>
          </w:tcPr>
          <w:p w14:paraId="2B2A4D3F" w14:textId="5BFACA0B" w:rsidR="00980485" w:rsidRPr="00AF1D30" w:rsidRDefault="00980485" w:rsidP="00240F1C">
            <w:pPr>
              <w:spacing w:after="0" w:line="240" w:lineRule="auto"/>
              <w:jc w:val="left"/>
              <w:rPr>
                <w:rFonts w:eastAsia="Times New Roman"/>
                <w:color w:val="000000"/>
                <w:szCs w:val="22"/>
                <w:lang w:eastAsia="en-GB"/>
              </w:rPr>
            </w:pPr>
            <w:r>
              <w:rPr>
                <w:rFonts w:eastAsia="Times New Roman"/>
                <w:color w:val="000000"/>
                <w:szCs w:val="22"/>
                <w:lang w:eastAsia="en-GB"/>
              </w:rPr>
              <w:t xml:space="preserve">See Section </w:t>
            </w:r>
            <w:r w:rsidR="00835AD1">
              <w:rPr>
                <w:rFonts w:eastAsia="Times New Roman"/>
                <w:color w:val="000000"/>
                <w:szCs w:val="22"/>
                <w:lang w:eastAsia="en-GB"/>
              </w:rPr>
              <w:t>§</w:t>
            </w:r>
            <w:r>
              <w:rPr>
                <w:rFonts w:eastAsia="Times New Roman"/>
                <w:color w:val="000000"/>
                <w:szCs w:val="22"/>
                <w:lang w:eastAsia="en-GB"/>
              </w:rPr>
              <w:t xml:space="preserve">3.1 and </w:t>
            </w:r>
            <w:r w:rsidR="00835AD1">
              <w:rPr>
                <w:rFonts w:eastAsia="Times New Roman"/>
                <w:color w:val="000000"/>
                <w:szCs w:val="22"/>
                <w:lang w:eastAsia="en-GB"/>
              </w:rPr>
              <w:t>§</w:t>
            </w:r>
            <w:r>
              <w:rPr>
                <w:rFonts w:eastAsia="Times New Roman"/>
                <w:color w:val="000000"/>
                <w:szCs w:val="22"/>
                <w:lang w:eastAsia="en-GB"/>
              </w:rPr>
              <w:t>3.2</w:t>
            </w:r>
          </w:p>
        </w:tc>
      </w:tr>
      <w:tr w:rsidR="00980485" w:rsidRPr="00AF1D30" w14:paraId="0EA46E52" w14:textId="77777777" w:rsidTr="00980485">
        <w:trPr>
          <w:trHeight w:val="51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14:paraId="4FC390FB" w14:textId="77777777" w:rsidR="00980485" w:rsidRPr="00AF1D30" w:rsidRDefault="00980485" w:rsidP="00240F1C">
            <w:pPr>
              <w:spacing w:after="0" w:line="240" w:lineRule="auto"/>
              <w:jc w:val="center"/>
              <w:rPr>
                <w:rFonts w:eastAsia="Times New Roman"/>
                <w:color w:val="000000"/>
                <w:szCs w:val="22"/>
                <w:lang w:eastAsia="en-GB"/>
              </w:rPr>
            </w:pPr>
            <w:r w:rsidRPr="00AF1D30">
              <w:rPr>
                <w:rFonts w:eastAsia="Times New Roman"/>
                <w:color w:val="000000"/>
                <w:szCs w:val="22"/>
                <w:lang w:eastAsia="en-GB"/>
              </w:rPr>
              <w:t>3.10</w:t>
            </w:r>
          </w:p>
        </w:tc>
        <w:tc>
          <w:tcPr>
            <w:tcW w:w="3300" w:type="pct"/>
            <w:tcBorders>
              <w:top w:val="nil"/>
              <w:left w:val="nil"/>
              <w:bottom w:val="single" w:sz="4" w:space="0" w:color="auto"/>
              <w:right w:val="single" w:sz="4" w:space="0" w:color="auto"/>
            </w:tcBorders>
            <w:shd w:val="clear" w:color="auto" w:fill="auto"/>
            <w:vAlign w:val="center"/>
            <w:hideMark/>
          </w:tcPr>
          <w:p w14:paraId="1C9DC05B" w14:textId="77777777" w:rsidR="00980485" w:rsidRPr="00AF1D30" w:rsidRDefault="00980485" w:rsidP="00240F1C">
            <w:pPr>
              <w:spacing w:after="0" w:line="240" w:lineRule="auto"/>
              <w:jc w:val="left"/>
              <w:rPr>
                <w:rFonts w:eastAsia="Times New Roman"/>
                <w:color w:val="000000"/>
                <w:szCs w:val="22"/>
                <w:lang w:eastAsia="en-GB"/>
              </w:rPr>
            </w:pPr>
            <w:r w:rsidRPr="00AF1D30">
              <w:rPr>
                <w:rFonts w:eastAsia="Times New Roman"/>
                <w:color w:val="000000"/>
                <w:szCs w:val="22"/>
                <w:lang w:eastAsia="en-GB"/>
              </w:rPr>
              <w:t>The report achieves a fair balance between reporting of positive or negative issues or achievements</w:t>
            </w:r>
          </w:p>
        </w:tc>
        <w:tc>
          <w:tcPr>
            <w:tcW w:w="1462" w:type="pct"/>
            <w:tcBorders>
              <w:top w:val="nil"/>
              <w:left w:val="nil"/>
              <w:bottom w:val="single" w:sz="4" w:space="0" w:color="auto"/>
              <w:right w:val="single" w:sz="8" w:space="0" w:color="auto"/>
            </w:tcBorders>
            <w:shd w:val="clear" w:color="auto" w:fill="auto"/>
            <w:noWrap/>
            <w:vAlign w:val="center"/>
            <w:hideMark/>
          </w:tcPr>
          <w:p w14:paraId="6AE92E5C" w14:textId="62D8BAD0" w:rsidR="00980485" w:rsidRPr="00AF1D30" w:rsidRDefault="00980485" w:rsidP="00240F1C">
            <w:pPr>
              <w:spacing w:after="0" w:line="240" w:lineRule="auto"/>
              <w:jc w:val="left"/>
              <w:rPr>
                <w:rFonts w:eastAsia="Times New Roman"/>
                <w:color w:val="000000"/>
                <w:szCs w:val="22"/>
                <w:lang w:eastAsia="en-GB"/>
              </w:rPr>
            </w:pPr>
            <w:r>
              <w:rPr>
                <w:rFonts w:eastAsia="Times New Roman"/>
                <w:color w:val="000000"/>
                <w:szCs w:val="22"/>
                <w:lang w:eastAsia="en-GB"/>
              </w:rPr>
              <w:t>Independence of POM lends itself to this</w:t>
            </w:r>
          </w:p>
        </w:tc>
      </w:tr>
      <w:tr w:rsidR="00980485" w:rsidRPr="00AF1D30" w14:paraId="0CD78A17" w14:textId="77777777" w:rsidTr="00980485">
        <w:trPr>
          <w:trHeight w:val="510"/>
        </w:trPr>
        <w:tc>
          <w:tcPr>
            <w:tcW w:w="238" w:type="pct"/>
            <w:tcBorders>
              <w:top w:val="nil"/>
              <w:left w:val="single" w:sz="8" w:space="0" w:color="auto"/>
              <w:bottom w:val="single" w:sz="4" w:space="0" w:color="auto"/>
              <w:right w:val="single" w:sz="4" w:space="0" w:color="auto"/>
            </w:tcBorders>
            <w:shd w:val="clear" w:color="auto" w:fill="auto"/>
            <w:noWrap/>
            <w:vAlign w:val="center"/>
            <w:hideMark/>
          </w:tcPr>
          <w:p w14:paraId="5528ECAC" w14:textId="77777777" w:rsidR="00980485" w:rsidRPr="00AF1D30" w:rsidRDefault="00980485" w:rsidP="00240F1C">
            <w:pPr>
              <w:spacing w:after="0" w:line="240" w:lineRule="auto"/>
              <w:jc w:val="center"/>
              <w:rPr>
                <w:rFonts w:eastAsia="Times New Roman"/>
                <w:color w:val="000000"/>
                <w:szCs w:val="22"/>
                <w:lang w:eastAsia="en-GB"/>
              </w:rPr>
            </w:pPr>
            <w:r w:rsidRPr="00AF1D30">
              <w:rPr>
                <w:rFonts w:eastAsia="Times New Roman"/>
                <w:color w:val="000000"/>
                <w:szCs w:val="22"/>
                <w:lang w:eastAsia="en-GB"/>
              </w:rPr>
              <w:t>3.11</w:t>
            </w:r>
          </w:p>
        </w:tc>
        <w:tc>
          <w:tcPr>
            <w:tcW w:w="3300" w:type="pct"/>
            <w:tcBorders>
              <w:top w:val="nil"/>
              <w:left w:val="nil"/>
              <w:bottom w:val="single" w:sz="4" w:space="0" w:color="auto"/>
              <w:right w:val="single" w:sz="4" w:space="0" w:color="auto"/>
            </w:tcBorders>
            <w:shd w:val="clear" w:color="auto" w:fill="auto"/>
            <w:vAlign w:val="center"/>
            <w:hideMark/>
          </w:tcPr>
          <w:p w14:paraId="1E0C54C2" w14:textId="77777777" w:rsidR="00980485" w:rsidRPr="00AF1D30" w:rsidRDefault="00980485" w:rsidP="00240F1C">
            <w:pPr>
              <w:spacing w:after="0" w:line="240" w:lineRule="auto"/>
              <w:jc w:val="left"/>
              <w:rPr>
                <w:rFonts w:eastAsia="Times New Roman"/>
                <w:color w:val="000000"/>
                <w:szCs w:val="22"/>
                <w:lang w:eastAsia="en-GB"/>
              </w:rPr>
            </w:pPr>
            <w:r w:rsidRPr="00AF1D30">
              <w:rPr>
                <w:rFonts w:eastAsia="Times New Roman"/>
                <w:color w:val="000000"/>
                <w:szCs w:val="22"/>
                <w:lang w:eastAsia="en-GB"/>
              </w:rPr>
              <w:t>The report provides credible evidence of claims made</w:t>
            </w:r>
          </w:p>
        </w:tc>
        <w:tc>
          <w:tcPr>
            <w:tcW w:w="1462" w:type="pct"/>
            <w:tcBorders>
              <w:top w:val="nil"/>
              <w:left w:val="nil"/>
              <w:bottom w:val="single" w:sz="4" w:space="0" w:color="auto"/>
              <w:right w:val="single" w:sz="8" w:space="0" w:color="auto"/>
            </w:tcBorders>
            <w:shd w:val="clear" w:color="auto" w:fill="auto"/>
            <w:noWrap/>
            <w:vAlign w:val="center"/>
            <w:hideMark/>
          </w:tcPr>
          <w:p w14:paraId="5A1C5AE3" w14:textId="66AD3814" w:rsidR="00980485" w:rsidRPr="00AF1D30" w:rsidRDefault="00980485" w:rsidP="00240F1C">
            <w:pPr>
              <w:spacing w:after="0" w:line="240" w:lineRule="auto"/>
              <w:jc w:val="left"/>
              <w:rPr>
                <w:rFonts w:eastAsia="Times New Roman"/>
                <w:color w:val="000000"/>
                <w:szCs w:val="22"/>
                <w:lang w:eastAsia="en-GB"/>
              </w:rPr>
            </w:pPr>
            <w:r>
              <w:rPr>
                <w:rFonts w:eastAsia="Times New Roman"/>
                <w:color w:val="000000"/>
                <w:szCs w:val="22"/>
                <w:lang w:eastAsia="en-GB"/>
              </w:rPr>
              <w:t>Limited evidence in this report but measures in place to increase evidence</w:t>
            </w:r>
          </w:p>
        </w:tc>
      </w:tr>
      <w:tr w:rsidR="00980485" w:rsidRPr="00AF1D30" w14:paraId="31FAACD4" w14:textId="77777777" w:rsidTr="00980485">
        <w:trPr>
          <w:trHeight w:val="510"/>
        </w:trPr>
        <w:tc>
          <w:tcPr>
            <w:tcW w:w="238" w:type="pct"/>
            <w:tcBorders>
              <w:top w:val="nil"/>
              <w:left w:val="single" w:sz="8" w:space="0" w:color="auto"/>
              <w:bottom w:val="single" w:sz="8" w:space="0" w:color="auto"/>
              <w:right w:val="single" w:sz="4" w:space="0" w:color="auto"/>
            </w:tcBorders>
            <w:shd w:val="clear" w:color="auto" w:fill="auto"/>
            <w:noWrap/>
            <w:vAlign w:val="center"/>
            <w:hideMark/>
          </w:tcPr>
          <w:p w14:paraId="43D93CBE" w14:textId="77777777" w:rsidR="00980485" w:rsidRPr="00AF1D30" w:rsidRDefault="00980485" w:rsidP="00240F1C">
            <w:pPr>
              <w:spacing w:after="0" w:line="240" w:lineRule="auto"/>
              <w:jc w:val="center"/>
              <w:rPr>
                <w:rFonts w:eastAsia="Times New Roman"/>
                <w:color w:val="000000"/>
                <w:szCs w:val="22"/>
                <w:lang w:eastAsia="en-GB"/>
              </w:rPr>
            </w:pPr>
            <w:r w:rsidRPr="00AF1D30">
              <w:rPr>
                <w:rFonts w:eastAsia="Times New Roman"/>
                <w:color w:val="000000"/>
                <w:szCs w:val="22"/>
                <w:lang w:eastAsia="en-GB"/>
              </w:rPr>
              <w:t>3.12</w:t>
            </w:r>
          </w:p>
        </w:tc>
        <w:tc>
          <w:tcPr>
            <w:tcW w:w="3300" w:type="pct"/>
            <w:tcBorders>
              <w:top w:val="nil"/>
              <w:left w:val="nil"/>
              <w:bottom w:val="single" w:sz="8" w:space="0" w:color="auto"/>
              <w:right w:val="single" w:sz="4" w:space="0" w:color="auto"/>
            </w:tcBorders>
            <w:shd w:val="clear" w:color="auto" w:fill="auto"/>
            <w:vAlign w:val="center"/>
            <w:hideMark/>
          </w:tcPr>
          <w:p w14:paraId="7FFC1B30" w14:textId="77777777" w:rsidR="00980485" w:rsidRPr="00AF1D30" w:rsidRDefault="00980485" w:rsidP="00240F1C">
            <w:pPr>
              <w:spacing w:after="0" w:line="240" w:lineRule="auto"/>
              <w:jc w:val="left"/>
              <w:rPr>
                <w:rFonts w:eastAsia="Times New Roman"/>
                <w:color w:val="000000"/>
                <w:szCs w:val="22"/>
                <w:lang w:eastAsia="en-GB"/>
              </w:rPr>
            </w:pPr>
            <w:r w:rsidRPr="00AF1D30">
              <w:rPr>
                <w:rFonts w:eastAsia="Times New Roman"/>
                <w:color w:val="000000"/>
                <w:szCs w:val="22"/>
                <w:lang w:eastAsia="en-GB"/>
              </w:rPr>
              <w:t>Important lessons are summarised</w:t>
            </w:r>
          </w:p>
        </w:tc>
        <w:tc>
          <w:tcPr>
            <w:tcW w:w="1462" w:type="pct"/>
            <w:tcBorders>
              <w:top w:val="nil"/>
              <w:left w:val="nil"/>
              <w:bottom w:val="single" w:sz="8" w:space="0" w:color="auto"/>
              <w:right w:val="single" w:sz="8" w:space="0" w:color="auto"/>
            </w:tcBorders>
            <w:shd w:val="clear" w:color="auto" w:fill="auto"/>
            <w:noWrap/>
            <w:vAlign w:val="center"/>
            <w:hideMark/>
          </w:tcPr>
          <w:p w14:paraId="05ABFC4C" w14:textId="49C213CD" w:rsidR="00980485" w:rsidRPr="00AF1D30" w:rsidRDefault="00980485" w:rsidP="00835AD1">
            <w:pPr>
              <w:spacing w:after="0" w:line="240" w:lineRule="auto"/>
              <w:jc w:val="left"/>
              <w:rPr>
                <w:rFonts w:eastAsia="Times New Roman"/>
                <w:color w:val="000000"/>
                <w:szCs w:val="22"/>
                <w:lang w:eastAsia="en-GB"/>
              </w:rPr>
            </w:pPr>
            <w:r>
              <w:rPr>
                <w:rFonts w:eastAsia="Times New Roman"/>
                <w:color w:val="000000"/>
                <w:szCs w:val="22"/>
                <w:lang w:eastAsia="en-GB"/>
              </w:rPr>
              <w:t xml:space="preserve">See </w:t>
            </w:r>
            <w:r w:rsidR="00835AD1">
              <w:rPr>
                <w:rFonts w:eastAsia="Times New Roman"/>
                <w:color w:val="000000"/>
                <w:szCs w:val="22"/>
                <w:lang w:eastAsia="en-GB"/>
              </w:rPr>
              <w:t>§</w:t>
            </w:r>
            <w:r>
              <w:rPr>
                <w:rFonts w:eastAsia="Times New Roman"/>
                <w:color w:val="000000"/>
                <w:szCs w:val="22"/>
                <w:lang w:eastAsia="en-GB"/>
              </w:rPr>
              <w:t>5</w:t>
            </w:r>
          </w:p>
        </w:tc>
      </w:tr>
    </w:tbl>
    <w:p w14:paraId="3809FB13" w14:textId="77777777" w:rsidR="004A6862" w:rsidRPr="00AF1D30" w:rsidRDefault="004A6862" w:rsidP="00240F1C">
      <w:pPr>
        <w:spacing w:after="0"/>
        <w:rPr>
          <w:rFonts w:asciiTheme="minorHAnsi" w:hAnsiTheme="minorHAnsi" w:cstheme="minorHAnsi"/>
          <w:b/>
          <w:smallCaps/>
          <w:color w:val="004071"/>
          <w:sz w:val="20"/>
          <w:szCs w:val="20"/>
        </w:rPr>
        <w:sectPr w:rsidR="004A6862" w:rsidRPr="00AF1D30" w:rsidSect="004A6862">
          <w:headerReference w:type="default" r:id="rId36"/>
          <w:footerReference w:type="default" r:id="rId37"/>
          <w:pgSz w:w="16840" w:h="11907" w:orient="landscape" w:code="9"/>
          <w:pgMar w:top="1440" w:right="1440" w:bottom="1440" w:left="1440" w:header="540" w:footer="696" w:gutter="0"/>
          <w:pgNumType w:start="1"/>
          <w:cols w:space="720"/>
          <w:docGrid w:linePitch="326"/>
        </w:sectPr>
      </w:pPr>
    </w:p>
    <w:p w14:paraId="2F1B4A73" w14:textId="167259F4" w:rsidR="007D16D1" w:rsidRPr="00AF1D30" w:rsidRDefault="007D16D1" w:rsidP="004A6862">
      <w:pPr>
        <w:spacing w:before="1600" w:after="160"/>
        <w:rPr>
          <w:rFonts w:asciiTheme="minorHAnsi" w:hAnsiTheme="minorHAnsi" w:cstheme="minorHAnsi"/>
          <w:b/>
          <w:smallCaps/>
          <w:color w:val="004071"/>
          <w:sz w:val="20"/>
          <w:szCs w:val="20"/>
        </w:rPr>
      </w:pPr>
    </w:p>
    <w:sectPr w:rsidR="007D16D1" w:rsidRPr="00AF1D30" w:rsidSect="00C52581">
      <w:headerReference w:type="default" r:id="rId38"/>
      <w:footerReference w:type="default" r:id="rId39"/>
      <w:pgSz w:w="11907" w:h="16840" w:code="9"/>
      <w:pgMar w:top="1440" w:right="1440" w:bottom="1440" w:left="1440" w:header="540" w:footer="69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28713" w14:textId="77777777" w:rsidR="00FF620F" w:rsidRDefault="00FF620F" w:rsidP="00945943">
      <w:pPr>
        <w:spacing w:after="0" w:line="240" w:lineRule="auto"/>
      </w:pPr>
      <w:r>
        <w:separator/>
      </w:r>
    </w:p>
  </w:endnote>
  <w:endnote w:type="continuationSeparator" w:id="0">
    <w:p w14:paraId="3C6A2367" w14:textId="77777777" w:rsidR="00FF620F" w:rsidRDefault="00FF620F" w:rsidP="0094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3D299" w14:textId="77777777" w:rsidR="00236ECC" w:rsidRDefault="00236ECC" w:rsidP="00E845C7">
    <w:pPr>
      <w:pStyle w:val="Footer"/>
      <w:pBdr>
        <w:top w:val="single" w:sz="4" w:space="1" w:color="auto"/>
      </w:pBd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432BB" w14:textId="575B1430" w:rsidR="00236ECC" w:rsidRPr="002A4378" w:rsidRDefault="00236ECC" w:rsidP="002A437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9904"/>
      <w:docPartObj>
        <w:docPartGallery w:val="Page Numbers (Bottom of Page)"/>
        <w:docPartUnique/>
      </w:docPartObj>
    </w:sdtPr>
    <w:sdtEndPr>
      <w:rPr>
        <w:noProof/>
      </w:rPr>
    </w:sdtEndPr>
    <w:sdtContent>
      <w:p w14:paraId="11418B16" w14:textId="77777777" w:rsidR="00236ECC" w:rsidRPr="00C635C4" w:rsidRDefault="00236ECC" w:rsidP="005233BB">
        <w:pPr>
          <w:pStyle w:val="Footer"/>
          <w:pBdr>
            <w:top w:val="single" w:sz="4" w:space="1" w:color="auto"/>
          </w:pBdr>
          <w:tabs>
            <w:tab w:val="clear" w:pos="4513"/>
            <w:tab w:val="clear" w:pos="9026"/>
            <w:tab w:val="center" w:pos="6946"/>
            <w:tab w:val="right" w:pos="13892"/>
          </w:tabs>
        </w:pPr>
        <w:r>
          <w:rPr>
            <w:rFonts w:ascii="Arial Narrow" w:hAnsi="Arial Narrow"/>
            <w:color w:val="7F7F7F"/>
            <w:sz w:val="20"/>
            <w:szCs w:val="20"/>
          </w:rPr>
          <w:t>Annual Partnership Performance Report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2B1A12">
          <w:rPr>
            <w:noProof/>
          </w:rPr>
          <w:t>4</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B7A66" w14:textId="4356B126" w:rsidR="00236ECC" w:rsidRPr="005233BB" w:rsidRDefault="00236ECC" w:rsidP="005233B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213217"/>
      <w:docPartObj>
        <w:docPartGallery w:val="Page Numbers (Bottom of Page)"/>
        <w:docPartUnique/>
      </w:docPartObj>
    </w:sdtPr>
    <w:sdtEndPr>
      <w:rPr>
        <w:noProof/>
      </w:rPr>
    </w:sdtEndPr>
    <w:sdtContent>
      <w:p w14:paraId="3380C1D5" w14:textId="77777777" w:rsidR="00236ECC" w:rsidRPr="00C635C4" w:rsidRDefault="00236ECC" w:rsidP="002A4378">
        <w:pPr>
          <w:pStyle w:val="Footer"/>
          <w:pBdr>
            <w:top w:val="single" w:sz="4" w:space="1" w:color="auto"/>
          </w:pBdr>
        </w:pPr>
        <w:r>
          <w:rPr>
            <w:rFonts w:ascii="Arial Narrow" w:hAnsi="Arial Narrow"/>
            <w:color w:val="7F7F7F"/>
            <w:sz w:val="20"/>
            <w:szCs w:val="20"/>
          </w:rPr>
          <w:t>Annual Partnership Performance Report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2B1A12">
          <w:rPr>
            <w:noProof/>
          </w:rPr>
          <w:t>1</w:t>
        </w:r>
        <w:r>
          <w:rPr>
            <w:noProof/>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435C0" w14:textId="769E2880" w:rsidR="00236ECC" w:rsidRPr="006A754A" w:rsidRDefault="00236ECC" w:rsidP="006A754A">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517275"/>
      <w:docPartObj>
        <w:docPartGallery w:val="Page Numbers (Bottom of Page)"/>
        <w:docPartUnique/>
      </w:docPartObj>
    </w:sdtPr>
    <w:sdtEndPr>
      <w:rPr>
        <w:noProof/>
      </w:rPr>
    </w:sdtEndPr>
    <w:sdtContent>
      <w:p w14:paraId="7327E1D0" w14:textId="77777777" w:rsidR="00236ECC" w:rsidRPr="006A754A" w:rsidRDefault="00236ECC" w:rsidP="006A754A">
        <w:pPr>
          <w:pStyle w:val="Footer"/>
          <w:pBdr>
            <w:top w:val="single" w:sz="4" w:space="1" w:color="auto"/>
          </w:pBdr>
          <w:tabs>
            <w:tab w:val="clear" w:pos="4513"/>
            <w:tab w:val="clear" w:pos="9026"/>
            <w:tab w:val="center" w:pos="6946"/>
            <w:tab w:val="right" w:pos="13892"/>
          </w:tabs>
        </w:pPr>
        <w:r>
          <w:rPr>
            <w:rFonts w:ascii="Arial Narrow" w:hAnsi="Arial Narrow"/>
            <w:color w:val="7F7F7F"/>
            <w:sz w:val="20"/>
            <w:szCs w:val="20"/>
          </w:rPr>
          <w:t>Annual Partnership Performance Report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2B1A12">
          <w:rPr>
            <w:noProof/>
          </w:rPr>
          <w:t>1</w:t>
        </w:r>
        <w:r>
          <w:rPr>
            <w:noProof/>
          </w:rPr>
          <w:fldChar w:fldCharType="end"/>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896D4" w14:textId="34E43694" w:rsidR="00236ECC" w:rsidRPr="004A6862" w:rsidRDefault="00236ECC" w:rsidP="004A6862">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375155"/>
      <w:docPartObj>
        <w:docPartGallery w:val="Page Numbers (Bottom of Page)"/>
        <w:docPartUnique/>
      </w:docPartObj>
    </w:sdtPr>
    <w:sdtEndPr>
      <w:rPr>
        <w:noProof/>
      </w:rPr>
    </w:sdtEndPr>
    <w:sdtContent>
      <w:p w14:paraId="46D211C3" w14:textId="77777777" w:rsidR="00236ECC" w:rsidRPr="006A754A" w:rsidRDefault="00236ECC" w:rsidP="006A754A">
        <w:pPr>
          <w:pStyle w:val="Footer"/>
          <w:pBdr>
            <w:top w:val="single" w:sz="4" w:space="1" w:color="auto"/>
          </w:pBdr>
          <w:tabs>
            <w:tab w:val="clear" w:pos="4513"/>
            <w:tab w:val="clear" w:pos="9026"/>
            <w:tab w:val="center" w:pos="6946"/>
            <w:tab w:val="right" w:pos="13892"/>
          </w:tabs>
        </w:pPr>
        <w:r>
          <w:rPr>
            <w:rFonts w:ascii="Arial Narrow" w:hAnsi="Arial Narrow"/>
            <w:color w:val="7F7F7F"/>
            <w:sz w:val="20"/>
            <w:szCs w:val="20"/>
          </w:rPr>
          <w:t>Annual Partnership Performance Report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2B1A12">
          <w:rPr>
            <w:noProof/>
          </w:rPr>
          <w:t>1</w:t>
        </w:r>
        <w:r>
          <w:rPr>
            <w:noProof/>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449529"/>
      <w:docPartObj>
        <w:docPartGallery w:val="Page Numbers (Bottom of Page)"/>
        <w:docPartUnique/>
      </w:docPartObj>
    </w:sdtPr>
    <w:sdtEndPr>
      <w:rPr>
        <w:noProof/>
      </w:rPr>
    </w:sdtEndPr>
    <w:sdtContent>
      <w:p w14:paraId="2D0506D7" w14:textId="77777777" w:rsidR="00236ECC" w:rsidRPr="006A754A" w:rsidRDefault="00236ECC" w:rsidP="006A754A">
        <w:pPr>
          <w:pStyle w:val="Footer"/>
          <w:pBdr>
            <w:top w:val="single" w:sz="4" w:space="1" w:color="auto"/>
          </w:pBdr>
          <w:tabs>
            <w:tab w:val="clear" w:pos="4513"/>
            <w:tab w:val="clear" w:pos="9026"/>
            <w:tab w:val="center" w:pos="6946"/>
            <w:tab w:val="right" w:pos="13892"/>
          </w:tabs>
        </w:pPr>
        <w:r>
          <w:rPr>
            <w:rFonts w:ascii="Arial Narrow" w:hAnsi="Arial Narrow"/>
            <w:color w:val="7F7F7F"/>
            <w:sz w:val="20"/>
            <w:szCs w:val="20"/>
          </w:rPr>
          <w:t>Annual Partnership Performance Report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2B1A12">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70BC4" w14:textId="77777777" w:rsidR="00236ECC" w:rsidRDefault="00236ECC" w:rsidP="00E37CED">
    <w:pPr>
      <w:pStyle w:val="Footer"/>
      <w:pBdr>
        <w:top w:val="single" w:sz="4" w:space="1" w:color="auto"/>
      </w:pBdr>
      <w:ind w:right="-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ED224" w14:textId="7C663ECC" w:rsidR="00236ECC" w:rsidRDefault="00236ECC" w:rsidP="005A2B58">
    <w:pPr>
      <w:pStyle w:val="Footer"/>
      <w:pBdr>
        <w:top w:val="single" w:sz="4" w:space="1" w:color="auto"/>
      </w:pBdr>
      <w:tabs>
        <w:tab w:val="left" w:pos="0"/>
      </w:tabs>
    </w:pPr>
    <w:r>
      <w:rPr>
        <w:rFonts w:ascii="Arial Narrow" w:hAnsi="Arial Narrow"/>
        <w:color w:val="7F7F7F"/>
        <w:sz w:val="20"/>
        <w:szCs w:val="20"/>
      </w:rPr>
      <w:t xml:space="preserve">Annual Partnership Performance Report 2012 </w:t>
    </w:r>
    <w:sdt>
      <w:sdtPr>
        <w:id w:val="374431692"/>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2B1A12">
          <w:rPr>
            <w:noProof/>
          </w:rPr>
          <w:t>vii</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131341"/>
      <w:docPartObj>
        <w:docPartGallery w:val="Page Numbers (Bottom of Page)"/>
        <w:docPartUnique/>
      </w:docPartObj>
    </w:sdtPr>
    <w:sdtEndPr>
      <w:rPr>
        <w:noProof/>
      </w:rPr>
    </w:sdtEndPr>
    <w:sdtContent>
      <w:p w14:paraId="3DEB569E" w14:textId="5AF98980" w:rsidR="00236ECC" w:rsidRDefault="00236ECC" w:rsidP="00C635C4">
        <w:pPr>
          <w:pStyle w:val="Footer"/>
          <w:pBdr>
            <w:top w:val="single" w:sz="4" w:space="1" w:color="auto"/>
          </w:pBdr>
        </w:pPr>
        <w:r>
          <w:rPr>
            <w:rFonts w:ascii="Arial Narrow" w:hAnsi="Arial Narrow"/>
            <w:color w:val="7F7F7F"/>
            <w:sz w:val="20"/>
            <w:szCs w:val="20"/>
          </w:rPr>
          <w:t>Annual Partnership Performance Report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2B1A12">
          <w:rPr>
            <w:noProof/>
          </w:rPr>
          <w:t>15</w:t>
        </w:r>
        <w:r>
          <w:rPr>
            <w:noProof/>
          </w:rPr>
          <w:fldChar w:fldCharType="end"/>
        </w:r>
      </w:p>
    </w:sdtContent>
  </w:sdt>
  <w:p w14:paraId="7BA44E62" w14:textId="4D4A7EB2" w:rsidR="00236ECC" w:rsidRPr="00C635C4" w:rsidRDefault="00236ECC" w:rsidP="00C635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285984"/>
      <w:docPartObj>
        <w:docPartGallery w:val="Page Numbers (Bottom of Page)"/>
        <w:docPartUnique/>
      </w:docPartObj>
    </w:sdtPr>
    <w:sdtEndPr>
      <w:rPr>
        <w:noProof/>
      </w:rPr>
    </w:sdtEndPr>
    <w:sdtContent>
      <w:p w14:paraId="26C9BDD2" w14:textId="77777777" w:rsidR="00236ECC" w:rsidRDefault="00236ECC" w:rsidP="001D7BA1">
        <w:pPr>
          <w:pStyle w:val="Footer"/>
          <w:pBdr>
            <w:top w:val="single" w:sz="4" w:space="1" w:color="auto"/>
          </w:pBdr>
          <w:tabs>
            <w:tab w:val="clear" w:pos="4513"/>
            <w:tab w:val="clear" w:pos="9026"/>
            <w:tab w:val="center" w:pos="6946"/>
            <w:tab w:val="right" w:pos="13892"/>
          </w:tabs>
        </w:pPr>
        <w:r>
          <w:rPr>
            <w:rFonts w:ascii="Arial Narrow" w:hAnsi="Arial Narrow"/>
            <w:color w:val="7F7F7F"/>
            <w:sz w:val="20"/>
            <w:szCs w:val="20"/>
          </w:rPr>
          <w:t>Annual Partnership Performance Report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2B1A12">
          <w:rPr>
            <w:noProof/>
          </w:rPr>
          <w:t>20</w:t>
        </w:r>
        <w:r>
          <w:rPr>
            <w:noProof/>
          </w:rPr>
          <w:fldChar w:fldCharType="end"/>
        </w:r>
      </w:p>
    </w:sdtContent>
  </w:sdt>
  <w:p w14:paraId="2483F775" w14:textId="77777777" w:rsidR="00236ECC" w:rsidRPr="00C635C4" w:rsidRDefault="00236ECC" w:rsidP="00C635C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2DCE2" w14:textId="77777777" w:rsidR="00236ECC" w:rsidRPr="00C635C4" w:rsidRDefault="00236ECC" w:rsidP="00C635C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87474"/>
      <w:docPartObj>
        <w:docPartGallery w:val="Page Numbers (Bottom of Page)"/>
        <w:docPartUnique/>
      </w:docPartObj>
    </w:sdtPr>
    <w:sdtEndPr>
      <w:rPr>
        <w:noProof/>
      </w:rPr>
    </w:sdtEndPr>
    <w:sdtContent>
      <w:p w14:paraId="53428F28" w14:textId="51D16B96" w:rsidR="00236ECC" w:rsidRPr="00C635C4" w:rsidRDefault="00236ECC" w:rsidP="002A4378">
        <w:pPr>
          <w:pStyle w:val="Footer"/>
          <w:pBdr>
            <w:top w:val="single" w:sz="4" w:space="1" w:color="auto"/>
          </w:pBdr>
        </w:pPr>
        <w:r>
          <w:rPr>
            <w:rFonts w:ascii="Arial Narrow" w:hAnsi="Arial Narrow"/>
            <w:color w:val="7F7F7F"/>
            <w:sz w:val="20"/>
            <w:szCs w:val="20"/>
          </w:rPr>
          <w:t>Annual Partnership Performance Report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2B1A12">
          <w:rPr>
            <w:noProof/>
          </w:rPr>
          <w:t>2</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C4881" w14:textId="74663CED" w:rsidR="00236ECC" w:rsidRPr="002A4378" w:rsidRDefault="00236ECC" w:rsidP="002A437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801294"/>
      <w:docPartObj>
        <w:docPartGallery w:val="Page Numbers (Bottom of Page)"/>
        <w:docPartUnique/>
      </w:docPartObj>
    </w:sdtPr>
    <w:sdtEndPr>
      <w:rPr>
        <w:noProof/>
      </w:rPr>
    </w:sdtEndPr>
    <w:sdtContent>
      <w:p w14:paraId="640D5A74" w14:textId="0B9A2271" w:rsidR="00236ECC" w:rsidRPr="00C635C4" w:rsidRDefault="00236ECC" w:rsidP="002A4378">
        <w:pPr>
          <w:pStyle w:val="Footer"/>
          <w:pBdr>
            <w:top w:val="single" w:sz="4" w:space="1" w:color="auto"/>
          </w:pBdr>
        </w:pPr>
        <w:r>
          <w:rPr>
            <w:rFonts w:ascii="Arial Narrow" w:hAnsi="Arial Narrow"/>
            <w:color w:val="7F7F7F"/>
            <w:sz w:val="20"/>
            <w:szCs w:val="20"/>
          </w:rPr>
          <w:t>Annual Partnership Performance Report 2012</w:t>
        </w:r>
        <w:r>
          <w:rPr>
            <w:rFonts w:ascii="Arial Narrow" w:hAnsi="Arial Narrow"/>
            <w:color w:val="7F7F7F"/>
            <w:sz w:val="20"/>
            <w:szCs w:val="20"/>
          </w:rPr>
          <w:tab/>
        </w:r>
        <w:r>
          <w:rPr>
            <w:rFonts w:ascii="Arial Narrow" w:hAnsi="Arial Narrow"/>
            <w:color w:val="7F7F7F"/>
            <w:sz w:val="20"/>
            <w:szCs w:val="20"/>
          </w:rPr>
          <w:tab/>
        </w:r>
        <w:r>
          <w:fldChar w:fldCharType="begin"/>
        </w:r>
        <w:r>
          <w:instrText xml:space="preserve"> PAGE   \* MERGEFORMAT </w:instrText>
        </w:r>
        <w:r>
          <w:fldChar w:fldCharType="separate"/>
        </w:r>
        <w:r w:rsidR="002B1A1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CAE32" w14:textId="77777777" w:rsidR="00FF620F" w:rsidRDefault="00FF620F" w:rsidP="00945943">
      <w:pPr>
        <w:spacing w:after="0" w:line="240" w:lineRule="auto"/>
      </w:pPr>
      <w:r>
        <w:separator/>
      </w:r>
    </w:p>
  </w:footnote>
  <w:footnote w:type="continuationSeparator" w:id="0">
    <w:p w14:paraId="36E68CE3" w14:textId="77777777" w:rsidR="00FF620F" w:rsidRDefault="00FF620F" w:rsidP="00945943">
      <w:pPr>
        <w:spacing w:after="0" w:line="240" w:lineRule="auto"/>
      </w:pPr>
      <w:r>
        <w:continuationSeparator/>
      </w:r>
    </w:p>
  </w:footnote>
  <w:footnote w:id="1">
    <w:p w14:paraId="62B2D8E9" w14:textId="128120E4" w:rsidR="00236ECC" w:rsidRPr="001911B8" w:rsidRDefault="00236ECC">
      <w:pPr>
        <w:pStyle w:val="FootnoteText"/>
        <w:rPr>
          <w:lang w:val="en-AU"/>
        </w:rPr>
      </w:pPr>
      <w:r>
        <w:rPr>
          <w:rStyle w:val="FootnoteReference"/>
        </w:rPr>
        <w:footnoteRef/>
      </w:r>
      <w:r>
        <w:t xml:space="preserve"> </w:t>
      </w:r>
      <w:r>
        <w:rPr>
          <w:lang w:val="en-AU"/>
        </w:rPr>
        <w:t>List of documents scrutinised can be found in Annex II</w:t>
      </w:r>
    </w:p>
  </w:footnote>
  <w:footnote w:id="2">
    <w:p w14:paraId="0C023594" w14:textId="4F32FB8D" w:rsidR="00236ECC" w:rsidRPr="00754B93" w:rsidRDefault="00236ECC">
      <w:pPr>
        <w:pStyle w:val="FootnoteText"/>
        <w:rPr>
          <w:lang w:val="en-AU"/>
        </w:rPr>
      </w:pPr>
      <w:r>
        <w:rPr>
          <w:rStyle w:val="FootnoteReference"/>
        </w:rPr>
        <w:footnoteRef/>
      </w:r>
      <w:r>
        <w:t xml:space="preserve"> </w:t>
      </w:r>
      <w:r>
        <w:rPr>
          <w:lang w:val="en-AU"/>
        </w:rPr>
        <w:t>The EP Analytical Framework is attached as Annex III</w:t>
      </w:r>
    </w:p>
  </w:footnote>
  <w:footnote w:id="3">
    <w:p w14:paraId="345672A2" w14:textId="797B72FB" w:rsidR="00236ECC" w:rsidRPr="001911B8" w:rsidRDefault="00236ECC">
      <w:pPr>
        <w:pStyle w:val="FootnoteText"/>
        <w:rPr>
          <w:lang w:val="en-AU"/>
        </w:rPr>
      </w:pPr>
      <w:r>
        <w:rPr>
          <w:rStyle w:val="FootnoteReference"/>
        </w:rPr>
        <w:footnoteRef/>
      </w:r>
      <w:r>
        <w:t xml:space="preserve"> </w:t>
      </w:r>
      <w:r>
        <w:rPr>
          <w:lang w:val="en-AU"/>
        </w:rPr>
        <w:t>List of key informants interviewed can be found in Annex IV</w:t>
      </w:r>
    </w:p>
  </w:footnote>
  <w:footnote w:id="4">
    <w:p w14:paraId="29B4D3FA" w14:textId="34329F2E" w:rsidR="00236ECC" w:rsidRPr="00544E5D" w:rsidRDefault="00236ECC">
      <w:pPr>
        <w:pStyle w:val="FootnoteText"/>
        <w:rPr>
          <w:lang w:val="da-DK"/>
        </w:rPr>
      </w:pPr>
      <w:r>
        <w:rPr>
          <w:rStyle w:val="FootnoteReference"/>
        </w:rPr>
        <w:footnoteRef/>
      </w:r>
      <w:r>
        <w:t xml:space="preserve"> The APPR workshop was </w:t>
      </w:r>
      <w:r>
        <w:rPr>
          <w:lang w:val="en-AU"/>
        </w:rPr>
        <w:t>a</w:t>
      </w:r>
      <w:r w:rsidRPr="00B50E67">
        <w:rPr>
          <w:lang w:val="en-AU"/>
        </w:rPr>
        <w:t>ttended by senior repres</w:t>
      </w:r>
      <w:r>
        <w:rPr>
          <w:lang w:val="en-AU"/>
        </w:rPr>
        <w:t xml:space="preserve">entatives of MoEC, MoRA, AusAID </w:t>
      </w:r>
      <w:r w:rsidRPr="00B50E67">
        <w:rPr>
          <w:lang w:val="en-AU"/>
        </w:rPr>
        <w:t xml:space="preserve">Jakarta and SSQ. ACDP representatives were invited but </w:t>
      </w:r>
      <w:r>
        <w:rPr>
          <w:lang w:val="en-AU"/>
        </w:rPr>
        <w:t xml:space="preserve">were </w:t>
      </w:r>
      <w:r w:rsidRPr="00B50E67">
        <w:rPr>
          <w:lang w:val="en-AU"/>
        </w:rPr>
        <w:t xml:space="preserve">unable to </w:t>
      </w:r>
      <w:r w:rsidRPr="006B59B1">
        <w:rPr>
          <w:lang w:val="en-AU"/>
        </w:rPr>
        <w:t>att</w:t>
      </w:r>
      <w:r>
        <w:rPr>
          <w:lang w:val="en-AU"/>
        </w:rPr>
        <w:t>end.</w:t>
      </w:r>
    </w:p>
  </w:footnote>
  <w:footnote w:id="5">
    <w:p w14:paraId="3F5D7535" w14:textId="140E2544" w:rsidR="00236ECC" w:rsidRPr="00401562" w:rsidRDefault="00236ECC" w:rsidP="00942B9D">
      <w:pPr>
        <w:pStyle w:val="FootnoteText"/>
        <w:jc w:val="both"/>
        <w:rPr>
          <w:lang w:val="en-AU"/>
        </w:rPr>
      </w:pPr>
      <w:r>
        <w:rPr>
          <w:rStyle w:val="FootnoteReference"/>
        </w:rPr>
        <w:footnoteRef/>
      </w:r>
      <w:r>
        <w:t xml:space="preserve"> </w:t>
      </w:r>
      <w:r>
        <w:rPr>
          <w:lang w:val="en-AU"/>
        </w:rPr>
        <w:t xml:space="preserve">Four stages along a continuum were identified: 1. Construction funded by donor and implemented by Managing Contractor; 2. Construction implemented by community and funded through and monitored by Managing Contractor; 3. Construction implemented by community and funded through Government systems and monitored by Managing Contractor; and 4. Construction implemented by community and funded through and monitored by Government systems.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80A22" w14:textId="77777777" w:rsidR="00236ECC" w:rsidRDefault="00236ECC" w:rsidP="00E845C7">
    <w:pPr>
      <w:pStyle w:val="Header"/>
      <w:tabs>
        <w:tab w:val="clear" w:pos="4153"/>
        <w:tab w:val="clear" w:pos="8306"/>
        <w:tab w:val="left" w:pos="8685"/>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8988B" w14:textId="77777777" w:rsidR="00236ECC" w:rsidRDefault="00236ECC" w:rsidP="00E845C7">
    <w:pPr>
      <w:pStyle w:val="Header"/>
      <w:tabs>
        <w:tab w:val="clear" w:pos="4153"/>
        <w:tab w:val="clear" w:pos="8306"/>
        <w:tab w:val="left" w:pos="868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FA83E" w14:textId="77777777" w:rsidR="00236ECC" w:rsidRDefault="00236ECC" w:rsidP="00E845C7">
    <w:pPr>
      <w:pStyle w:val="Header"/>
      <w:tabs>
        <w:tab w:val="clear" w:pos="4153"/>
        <w:tab w:val="clear" w:pos="8306"/>
        <w:tab w:val="left" w:pos="868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C08CC" w14:textId="77777777" w:rsidR="00236ECC" w:rsidRDefault="00236ECC" w:rsidP="00E845C7">
    <w:pPr>
      <w:pStyle w:val="Header"/>
      <w:tabs>
        <w:tab w:val="clear" w:pos="4153"/>
        <w:tab w:val="clear" w:pos="8306"/>
        <w:tab w:val="left" w:pos="868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AAFF6" w14:textId="77777777" w:rsidR="00236ECC" w:rsidRDefault="00236ECC" w:rsidP="00E845C7">
    <w:pPr>
      <w:pStyle w:val="Header"/>
      <w:tabs>
        <w:tab w:val="clear" w:pos="4153"/>
        <w:tab w:val="clear" w:pos="8306"/>
        <w:tab w:val="left" w:pos="868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891B5" w14:textId="77777777" w:rsidR="00236ECC" w:rsidRDefault="00236ECC" w:rsidP="00E845C7">
    <w:pPr>
      <w:pStyle w:val="Header"/>
      <w:tabs>
        <w:tab w:val="clear" w:pos="4153"/>
        <w:tab w:val="clear" w:pos="8306"/>
        <w:tab w:val="left" w:pos="868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9E91B" w14:textId="77777777" w:rsidR="00236ECC" w:rsidRDefault="00236ECC" w:rsidP="00E845C7">
    <w:pPr>
      <w:pStyle w:val="Header"/>
      <w:tabs>
        <w:tab w:val="clear" w:pos="4153"/>
        <w:tab w:val="clear" w:pos="8306"/>
        <w:tab w:val="left" w:pos="868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87F3D" w14:textId="77777777" w:rsidR="00236ECC" w:rsidRDefault="00236ECC" w:rsidP="00E845C7">
    <w:pPr>
      <w:pStyle w:val="Header"/>
      <w:tabs>
        <w:tab w:val="clear" w:pos="4153"/>
        <w:tab w:val="clear" w:pos="8306"/>
        <w:tab w:val="left" w:pos="8685"/>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81328" w14:textId="77777777" w:rsidR="00236ECC" w:rsidRDefault="00236ECC" w:rsidP="00E845C7">
    <w:pPr>
      <w:pStyle w:val="Header"/>
      <w:tabs>
        <w:tab w:val="clear" w:pos="4153"/>
        <w:tab w:val="clear" w:pos="8306"/>
        <w:tab w:val="left" w:pos="8685"/>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776F1" w14:textId="77777777" w:rsidR="00236ECC" w:rsidRDefault="00236ECC" w:rsidP="00E845C7">
    <w:pPr>
      <w:pStyle w:val="Header"/>
      <w:tabs>
        <w:tab w:val="clear" w:pos="4153"/>
        <w:tab w:val="clear" w:pos="8306"/>
        <w:tab w:val="left" w:pos="86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8F5"/>
    <w:multiLevelType w:val="hybridMultilevel"/>
    <w:tmpl w:val="BFE09612"/>
    <w:lvl w:ilvl="0" w:tplc="C0786A86">
      <w:start w:val="1"/>
      <w:numFmt w:val="bullet"/>
      <w:lvlText w:val="•"/>
      <w:lvlJc w:val="left"/>
      <w:pPr>
        <w:tabs>
          <w:tab w:val="num" w:pos="720"/>
        </w:tabs>
        <w:ind w:left="720" w:hanging="360"/>
      </w:pPr>
      <w:rPr>
        <w:rFonts w:ascii="Arial" w:hAnsi="Arial" w:hint="default"/>
      </w:rPr>
    </w:lvl>
    <w:lvl w:ilvl="1" w:tplc="2EA28C8E" w:tentative="1">
      <w:start w:val="1"/>
      <w:numFmt w:val="bullet"/>
      <w:lvlText w:val="•"/>
      <w:lvlJc w:val="left"/>
      <w:pPr>
        <w:tabs>
          <w:tab w:val="num" w:pos="1440"/>
        </w:tabs>
        <w:ind w:left="1440" w:hanging="360"/>
      </w:pPr>
      <w:rPr>
        <w:rFonts w:ascii="Arial" w:hAnsi="Arial" w:hint="default"/>
      </w:rPr>
    </w:lvl>
    <w:lvl w:ilvl="2" w:tplc="B0703948" w:tentative="1">
      <w:start w:val="1"/>
      <w:numFmt w:val="bullet"/>
      <w:lvlText w:val="•"/>
      <w:lvlJc w:val="left"/>
      <w:pPr>
        <w:tabs>
          <w:tab w:val="num" w:pos="2160"/>
        </w:tabs>
        <w:ind w:left="2160" w:hanging="360"/>
      </w:pPr>
      <w:rPr>
        <w:rFonts w:ascii="Arial" w:hAnsi="Arial" w:hint="default"/>
      </w:rPr>
    </w:lvl>
    <w:lvl w:ilvl="3" w:tplc="F73C4FD0" w:tentative="1">
      <w:start w:val="1"/>
      <w:numFmt w:val="bullet"/>
      <w:lvlText w:val="•"/>
      <w:lvlJc w:val="left"/>
      <w:pPr>
        <w:tabs>
          <w:tab w:val="num" w:pos="2880"/>
        </w:tabs>
        <w:ind w:left="2880" w:hanging="360"/>
      </w:pPr>
      <w:rPr>
        <w:rFonts w:ascii="Arial" w:hAnsi="Arial" w:hint="default"/>
      </w:rPr>
    </w:lvl>
    <w:lvl w:ilvl="4" w:tplc="3D1CDC8E" w:tentative="1">
      <w:start w:val="1"/>
      <w:numFmt w:val="bullet"/>
      <w:lvlText w:val="•"/>
      <w:lvlJc w:val="left"/>
      <w:pPr>
        <w:tabs>
          <w:tab w:val="num" w:pos="3600"/>
        </w:tabs>
        <w:ind w:left="3600" w:hanging="360"/>
      </w:pPr>
      <w:rPr>
        <w:rFonts w:ascii="Arial" w:hAnsi="Arial" w:hint="default"/>
      </w:rPr>
    </w:lvl>
    <w:lvl w:ilvl="5" w:tplc="C518BF00" w:tentative="1">
      <w:start w:val="1"/>
      <w:numFmt w:val="bullet"/>
      <w:lvlText w:val="•"/>
      <w:lvlJc w:val="left"/>
      <w:pPr>
        <w:tabs>
          <w:tab w:val="num" w:pos="4320"/>
        </w:tabs>
        <w:ind w:left="4320" w:hanging="360"/>
      </w:pPr>
      <w:rPr>
        <w:rFonts w:ascii="Arial" w:hAnsi="Arial" w:hint="default"/>
      </w:rPr>
    </w:lvl>
    <w:lvl w:ilvl="6" w:tplc="D8862D0C" w:tentative="1">
      <w:start w:val="1"/>
      <w:numFmt w:val="bullet"/>
      <w:lvlText w:val="•"/>
      <w:lvlJc w:val="left"/>
      <w:pPr>
        <w:tabs>
          <w:tab w:val="num" w:pos="5040"/>
        </w:tabs>
        <w:ind w:left="5040" w:hanging="360"/>
      </w:pPr>
      <w:rPr>
        <w:rFonts w:ascii="Arial" w:hAnsi="Arial" w:hint="default"/>
      </w:rPr>
    </w:lvl>
    <w:lvl w:ilvl="7" w:tplc="6C22D726" w:tentative="1">
      <w:start w:val="1"/>
      <w:numFmt w:val="bullet"/>
      <w:lvlText w:val="•"/>
      <w:lvlJc w:val="left"/>
      <w:pPr>
        <w:tabs>
          <w:tab w:val="num" w:pos="5760"/>
        </w:tabs>
        <w:ind w:left="5760" w:hanging="360"/>
      </w:pPr>
      <w:rPr>
        <w:rFonts w:ascii="Arial" w:hAnsi="Arial" w:hint="default"/>
      </w:rPr>
    </w:lvl>
    <w:lvl w:ilvl="8" w:tplc="45263E14" w:tentative="1">
      <w:start w:val="1"/>
      <w:numFmt w:val="bullet"/>
      <w:lvlText w:val="•"/>
      <w:lvlJc w:val="left"/>
      <w:pPr>
        <w:tabs>
          <w:tab w:val="num" w:pos="6480"/>
        </w:tabs>
        <w:ind w:left="6480" w:hanging="360"/>
      </w:pPr>
      <w:rPr>
        <w:rFonts w:ascii="Arial" w:hAnsi="Arial" w:hint="default"/>
      </w:rPr>
    </w:lvl>
  </w:abstractNum>
  <w:abstractNum w:abstractNumId="1">
    <w:nsid w:val="06AA584A"/>
    <w:multiLevelType w:val="hybridMultilevel"/>
    <w:tmpl w:val="D2467236"/>
    <w:lvl w:ilvl="0" w:tplc="051C7CEC">
      <w:start w:val="1"/>
      <w:numFmt w:val="bullet"/>
      <w:lvlText w:val="•"/>
      <w:lvlJc w:val="left"/>
      <w:pPr>
        <w:tabs>
          <w:tab w:val="num" w:pos="720"/>
        </w:tabs>
        <w:ind w:left="720" w:hanging="360"/>
      </w:pPr>
      <w:rPr>
        <w:rFonts w:ascii="Arial" w:hAnsi="Arial" w:hint="default"/>
      </w:rPr>
    </w:lvl>
    <w:lvl w:ilvl="1" w:tplc="D9DC6F80" w:tentative="1">
      <w:start w:val="1"/>
      <w:numFmt w:val="bullet"/>
      <w:lvlText w:val="•"/>
      <w:lvlJc w:val="left"/>
      <w:pPr>
        <w:tabs>
          <w:tab w:val="num" w:pos="1440"/>
        </w:tabs>
        <w:ind w:left="1440" w:hanging="360"/>
      </w:pPr>
      <w:rPr>
        <w:rFonts w:ascii="Arial" w:hAnsi="Arial" w:hint="default"/>
      </w:rPr>
    </w:lvl>
    <w:lvl w:ilvl="2" w:tplc="248EBF18" w:tentative="1">
      <w:start w:val="1"/>
      <w:numFmt w:val="bullet"/>
      <w:lvlText w:val="•"/>
      <w:lvlJc w:val="left"/>
      <w:pPr>
        <w:tabs>
          <w:tab w:val="num" w:pos="2160"/>
        </w:tabs>
        <w:ind w:left="2160" w:hanging="360"/>
      </w:pPr>
      <w:rPr>
        <w:rFonts w:ascii="Arial" w:hAnsi="Arial" w:hint="default"/>
      </w:rPr>
    </w:lvl>
    <w:lvl w:ilvl="3" w:tplc="73D8BCD4" w:tentative="1">
      <w:start w:val="1"/>
      <w:numFmt w:val="bullet"/>
      <w:lvlText w:val="•"/>
      <w:lvlJc w:val="left"/>
      <w:pPr>
        <w:tabs>
          <w:tab w:val="num" w:pos="2880"/>
        </w:tabs>
        <w:ind w:left="2880" w:hanging="360"/>
      </w:pPr>
      <w:rPr>
        <w:rFonts w:ascii="Arial" w:hAnsi="Arial" w:hint="default"/>
      </w:rPr>
    </w:lvl>
    <w:lvl w:ilvl="4" w:tplc="839C6458" w:tentative="1">
      <w:start w:val="1"/>
      <w:numFmt w:val="bullet"/>
      <w:lvlText w:val="•"/>
      <w:lvlJc w:val="left"/>
      <w:pPr>
        <w:tabs>
          <w:tab w:val="num" w:pos="3600"/>
        </w:tabs>
        <w:ind w:left="3600" w:hanging="360"/>
      </w:pPr>
      <w:rPr>
        <w:rFonts w:ascii="Arial" w:hAnsi="Arial" w:hint="default"/>
      </w:rPr>
    </w:lvl>
    <w:lvl w:ilvl="5" w:tplc="E0B07F7E" w:tentative="1">
      <w:start w:val="1"/>
      <w:numFmt w:val="bullet"/>
      <w:lvlText w:val="•"/>
      <w:lvlJc w:val="left"/>
      <w:pPr>
        <w:tabs>
          <w:tab w:val="num" w:pos="4320"/>
        </w:tabs>
        <w:ind w:left="4320" w:hanging="360"/>
      </w:pPr>
      <w:rPr>
        <w:rFonts w:ascii="Arial" w:hAnsi="Arial" w:hint="default"/>
      </w:rPr>
    </w:lvl>
    <w:lvl w:ilvl="6" w:tplc="9514B9DE" w:tentative="1">
      <w:start w:val="1"/>
      <w:numFmt w:val="bullet"/>
      <w:lvlText w:val="•"/>
      <w:lvlJc w:val="left"/>
      <w:pPr>
        <w:tabs>
          <w:tab w:val="num" w:pos="5040"/>
        </w:tabs>
        <w:ind w:left="5040" w:hanging="360"/>
      </w:pPr>
      <w:rPr>
        <w:rFonts w:ascii="Arial" w:hAnsi="Arial" w:hint="default"/>
      </w:rPr>
    </w:lvl>
    <w:lvl w:ilvl="7" w:tplc="FEF6B3F4" w:tentative="1">
      <w:start w:val="1"/>
      <w:numFmt w:val="bullet"/>
      <w:lvlText w:val="•"/>
      <w:lvlJc w:val="left"/>
      <w:pPr>
        <w:tabs>
          <w:tab w:val="num" w:pos="5760"/>
        </w:tabs>
        <w:ind w:left="5760" w:hanging="360"/>
      </w:pPr>
      <w:rPr>
        <w:rFonts w:ascii="Arial" w:hAnsi="Arial" w:hint="default"/>
      </w:rPr>
    </w:lvl>
    <w:lvl w:ilvl="8" w:tplc="3DCE89D2" w:tentative="1">
      <w:start w:val="1"/>
      <w:numFmt w:val="bullet"/>
      <w:lvlText w:val="•"/>
      <w:lvlJc w:val="left"/>
      <w:pPr>
        <w:tabs>
          <w:tab w:val="num" w:pos="6480"/>
        </w:tabs>
        <w:ind w:left="6480" w:hanging="360"/>
      </w:pPr>
      <w:rPr>
        <w:rFonts w:ascii="Arial" w:hAnsi="Arial" w:hint="default"/>
      </w:rPr>
    </w:lvl>
  </w:abstractNum>
  <w:abstractNum w:abstractNumId="2">
    <w:nsid w:val="0BD47940"/>
    <w:multiLevelType w:val="multilevel"/>
    <w:tmpl w:val="9EAEEA4A"/>
    <w:lvl w:ilvl="0">
      <w:start w:val="1"/>
      <w:numFmt w:val="decimal"/>
      <w:pStyle w:val="Heading1"/>
      <w:lvlText w:val="%1."/>
      <w:lvlJc w:val="left"/>
      <w:pPr>
        <w:tabs>
          <w:tab w:val="num" w:pos="432"/>
        </w:tabs>
        <w:ind w:left="432" w:hanging="432"/>
      </w:pPr>
      <w:rPr>
        <w:rFonts w:ascii="Garamond" w:hAnsi="Garamond" w:hint="default"/>
        <w:b/>
        <w:sz w:val="36"/>
        <w:szCs w:val="36"/>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D703A33"/>
    <w:multiLevelType w:val="hybridMultilevel"/>
    <w:tmpl w:val="CBEC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908D5"/>
    <w:multiLevelType w:val="hybridMultilevel"/>
    <w:tmpl w:val="FE48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36228"/>
    <w:multiLevelType w:val="hybridMultilevel"/>
    <w:tmpl w:val="D0866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41906"/>
    <w:multiLevelType w:val="hybridMultilevel"/>
    <w:tmpl w:val="63F4EF3C"/>
    <w:lvl w:ilvl="0" w:tplc="7A547B80">
      <w:start w:val="1"/>
      <w:numFmt w:val="bullet"/>
      <w:lvlText w:val="•"/>
      <w:lvlJc w:val="left"/>
      <w:pPr>
        <w:tabs>
          <w:tab w:val="num" w:pos="720"/>
        </w:tabs>
        <w:ind w:left="720" w:hanging="360"/>
      </w:pPr>
      <w:rPr>
        <w:rFonts w:ascii="Arial" w:hAnsi="Arial" w:hint="default"/>
      </w:rPr>
    </w:lvl>
    <w:lvl w:ilvl="1" w:tplc="824AC1A2">
      <w:start w:val="1"/>
      <w:numFmt w:val="bullet"/>
      <w:lvlText w:val="•"/>
      <w:lvlJc w:val="left"/>
      <w:pPr>
        <w:tabs>
          <w:tab w:val="num" w:pos="1440"/>
        </w:tabs>
        <w:ind w:left="1440" w:hanging="360"/>
      </w:pPr>
      <w:rPr>
        <w:rFonts w:ascii="Arial" w:hAnsi="Arial" w:hint="default"/>
      </w:rPr>
    </w:lvl>
    <w:lvl w:ilvl="2" w:tplc="E7F42984" w:tentative="1">
      <w:start w:val="1"/>
      <w:numFmt w:val="bullet"/>
      <w:lvlText w:val="•"/>
      <w:lvlJc w:val="left"/>
      <w:pPr>
        <w:tabs>
          <w:tab w:val="num" w:pos="2160"/>
        </w:tabs>
        <w:ind w:left="2160" w:hanging="360"/>
      </w:pPr>
      <w:rPr>
        <w:rFonts w:ascii="Arial" w:hAnsi="Arial" w:hint="default"/>
      </w:rPr>
    </w:lvl>
    <w:lvl w:ilvl="3" w:tplc="2C6A2626" w:tentative="1">
      <w:start w:val="1"/>
      <w:numFmt w:val="bullet"/>
      <w:lvlText w:val="•"/>
      <w:lvlJc w:val="left"/>
      <w:pPr>
        <w:tabs>
          <w:tab w:val="num" w:pos="2880"/>
        </w:tabs>
        <w:ind w:left="2880" w:hanging="360"/>
      </w:pPr>
      <w:rPr>
        <w:rFonts w:ascii="Arial" w:hAnsi="Arial" w:hint="default"/>
      </w:rPr>
    </w:lvl>
    <w:lvl w:ilvl="4" w:tplc="0C00B3FA" w:tentative="1">
      <w:start w:val="1"/>
      <w:numFmt w:val="bullet"/>
      <w:lvlText w:val="•"/>
      <w:lvlJc w:val="left"/>
      <w:pPr>
        <w:tabs>
          <w:tab w:val="num" w:pos="3600"/>
        </w:tabs>
        <w:ind w:left="3600" w:hanging="360"/>
      </w:pPr>
      <w:rPr>
        <w:rFonts w:ascii="Arial" w:hAnsi="Arial" w:hint="default"/>
      </w:rPr>
    </w:lvl>
    <w:lvl w:ilvl="5" w:tplc="0ACC7340" w:tentative="1">
      <w:start w:val="1"/>
      <w:numFmt w:val="bullet"/>
      <w:lvlText w:val="•"/>
      <w:lvlJc w:val="left"/>
      <w:pPr>
        <w:tabs>
          <w:tab w:val="num" w:pos="4320"/>
        </w:tabs>
        <w:ind w:left="4320" w:hanging="360"/>
      </w:pPr>
      <w:rPr>
        <w:rFonts w:ascii="Arial" w:hAnsi="Arial" w:hint="default"/>
      </w:rPr>
    </w:lvl>
    <w:lvl w:ilvl="6" w:tplc="D4E862CE" w:tentative="1">
      <w:start w:val="1"/>
      <w:numFmt w:val="bullet"/>
      <w:lvlText w:val="•"/>
      <w:lvlJc w:val="left"/>
      <w:pPr>
        <w:tabs>
          <w:tab w:val="num" w:pos="5040"/>
        </w:tabs>
        <w:ind w:left="5040" w:hanging="360"/>
      </w:pPr>
      <w:rPr>
        <w:rFonts w:ascii="Arial" w:hAnsi="Arial" w:hint="default"/>
      </w:rPr>
    </w:lvl>
    <w:lvl w:ilvl="7" w:tplc="E4FAE6D2" w:tentative="1">
      <w:start w:val="1"/>
      <w:numFmt w:val="bullet"/>
      <w:lvlText w:val="•"/>
      <w:lvlJc w:val="left"/>
      <w:pPr>
        <w:tabs>
          <w:tab w:val="num" w:pos="5760"/>
        </w:tabs>
        <w:ind w:left="5760" w:hanging="360"/>
      </w:pPr>
      <w:rPr>
        <w:rFonts w:ascii="Arial" w:hAnsi="Arial" w:hint="default"/>
      </w:rPr>
    </w:lvl>
    <w:lvl w:ilvl="8" w:tplc="B7F83F00" w:tentative="1">
      <w:start w:val="1"/>
      <w:numFmt w:val="bullet"/>
      <w:lvlText w:val="•"/>
      <w:lvlJc w:val="left"/>
      <w:pPr>
        <w:tabs>
          <w:tab w:val="num" w:pos="6480"/>
        </w:tabs>
        <w:ind w:left="6480" w:hanging="360"/>
      </w:pPr>
      <w:rPr>
        <w:rFonts w:ascii="Arial" w:hAnsi="Arial" w:hint="default"/>
      </w:rPr>
    </w:lvl>
  </w:abstractNum>
  <w:abstractNum w:abstractNumId="7">
    <w:nsid w:val="185A6B76"/>
    <w:multiLevelType w:val="hybridMultilevel"/>
    <w:tmpl w:val="D282673A"/>
    <w:lvl w:ilvl="0" w:tplc="8F02B120">
      <w:start w:val="1"/>
      <w:numFmt w:val="bullet"/>
      <w:lvlText w:val="•"/>
      <w:lvlJc w:val="left"/>
      <w:pPr>
        <w:tabs>
          <w:tab w:val="num" w:pos="720"/>
        </w:tabs>
        <w:ind w:left="720" w:hanging="360"/>
      </w:pPr>
      <w:rPr>
        <w:rFonts w:ascii="Arial" w:hAnsi="Arial" w:hint="default"/>
      </w:rPr>
    </w:lvl>
    <w:lvl w:ilvl="1" w:tplc="8E468CF2" w:tentative="1">
      <w:start w:val="1"/>
      <w:numFmt w:val="bullet"/>
      <w:lvlText w:val="•"/>
      <w:lvlJc w:val="left"/>
      <w:pPr>
        <w:tabs>
          <w:tab w:val="num" w:pos="1440"/>
        </w:tabs>
        <w:ind w:left="1440" w:hanging="360"/>
      </w:pPr>
      <w:rPr>
        <w:rFonts w:ascii="Arial" w:hAnsi="Arial" w:hint="default"/>
      </w:rPr>
    </w:lvl>
    <w:lvl w:ilvl="2" w:tplc="C7325B92" w:tentative="1">
      <w:start w:val="1"/>
      <w:numFmt w:val="bullet"/>
      <w:lvlText w:val="•"/>
      <w:lvlJc w:val="left"/>
      <w:pPr>
        <w:tabs>
          <w:tab w:val="num" w:pos="2160"/>
        </w:tabs>
        <w:ind w:left="2160" w:hanging="360"/>
      </w:pPr>
      <w:rPr>
        <w:rFonts w:ascii="Arial" w:hAnsi="Arial" w:hint="default"/>
      </w:rPr>
    </w:lvl>
    <w:lvl w:ilvl="3" w:tplc="46269010" w:tentative="1">
      <w:start w:val="1"/>
      <w:numFmt w:val="bullet"/>
      <w:lvlText w:val="•"/>
      <w:lvlJc w:val="left"/>
      <w:pPr>
        <w:tabs>
          <w:tab w:val="num" w:pos="2880"/>
        </w:tabs>
        <w:ind w:left="2880" w:hanging="360"/>
      </w:pPr>
      <w:rPr>
        <w:rFonts w:ascii="Arial" w:hAnsi="Arial" w:hint="default"/>
      </w:rPr>
    </w:lvl>
    <w:lvl w:ilvl="4" w:tplc="3AAE974A" w:tentative="1">
      <w:start w:val="1"/>
      <w:numFmt w:val="bullet"/>
      <w:lvlText w:val="•"/>
      <w:lvlJc w:val="left"/>
      <w:pPr>
        <w:tabs>
          <w:tab w:val="num" w:pos="3600"/>
        </w:tabs>
        <w:ind w:left="3600" w:hanging="360"/>
      </w:pPr>
      <w:rPr>
        <w:rFonts w:ascii="Arial" w:hAnsi="Arial" w:hint="default"/>
      </w:rPr>
    </w:lvl>
    <w:lvl w:ilvl="5" w:tplc="5A249B4E" w:tentative="1">
      <w:start w:val="1"/>
      <w:numFmt w:val="bullet"/>
      <w:lvlText w:val="•"/>
      <w:lvlJc w:val="left"/>
      <w:pPr>
        <w:tabs>
          <w:tab w:val="num" w:pos="4320"/>
        </w:tabs>
        <w:ind w:left="4320" w:hanging="360"/>
      </w:pPr>
      <w:rPr>
        <w:rFonts w:ascii="Arial" w:hAnsi="Arial" w:hint="default"/>
      </w:rPr>
    </w:lvl>
    <w:lvl w:ilvl="6" w:tplc="AF701188" w:tentative="1">
      <w:start w:val="1"/>
      <w:numFmt w:val="bullet"/>
      <w:lvlText w:val="•"/>
      <w:lvlJc w:val="left"/>
      <w:pPr>
        <w:tabs>
          <w:tab w:val="num" w:pos="5040"/>
        </w:tabs>
        <w:ind w:left="5040" w:hanging="360"/>
      </w:pPr>
      <w:rPr>
        <w:rFonts w:ascii="Arial" w:hAnsi="Arial" w:hint="default"/>
      </w:rPr>
    </w:lvl>
    <w:lvl w:ilvl="7" w:tplc="0F06C3FE" w:tentative="1">
      <w:start w:val="1"/>
      <w:numFmt w:val="bullet"/>
      <w:lvlText w:val="•"/>
      <w:lvlJc w:val="left"/>
      <w:pPr>
        <w:tabs>
          <w:tab w:val="num" w:pos="5760"/>
        </w:tabs>
        <w:ind w:left="5760" w:hanging="360"/>
      </w:pPr>
      <w:rPr>
        <w:rFonts w:ascii="Arial" w:hAnsi="Arial" w:hint="default"/>
      </w:rPr>
    </w:lvl>
    <w:lvl w:ilvl="8" w:tplc="6AC20A62" w:tentative="1">
      <w:start w:val="1"/>
      <w:numFmt w:val="bullet"/>
      <w:lvlText w:val="•"/>
      <w:lvlJc w:val="left"/>
      <w:pPr>
        <w:tabs>
          <w:tab w:val="num" w:pos="6480"/>
        </w:tabs>
        <w:ind w:left="6480" w:hanging="360"/>
      </w:pPr>
      <w:rPr>
        <w:rFonts w:ascii="Arial" w:hAnsi="Arial" w:hint="default"/>
      </w:rPr>
    </w:lvl>
  </w:abstractNum>
  <w:abstractNum w:abstractNumId="8">
    <w:nsid w:val="1ACF1C60"/>
    <w:multiLevelType w:val="hybridMultilevel"/>
    <w:tmpl w:val="8F5E8B82"/>
    <w:lvl w:ilvl="0" w:tplc="4B264950">
      <w:start w:val="1"/>
      <w:numFmt w:val="bullet"/>
      <w:lvlText w:val="•"/>
      <w:lvlJc w:val="left"/>
      <w:pPr>
        <w:tabs>
          <w:tab w:val="num" w:pos="720"/>
        </w:tabs>
        <w:ind w:left="720" w:hanging="360"/>
      </w:pPr>
      <w:rPr>
        <w:rFonts w:ascii="Arial" w:hAnsi="Arial" w:hint="default"/>
      </w:rPr>
    </w:lvl>
    <w:lvl w:ilvl="1" w:tplc="0C090019">
      <w:start w:val="1"/>
      <w:numFmt w:val="bullet"/>
      <w:lvlText w:val="o"/>
      <w:lvlJc w:val="left"/>
      <w:pPr>
        <w:tabs>
          <w:tab w:val="num" w:pos="1440"/>
        </w:tabs>
        <w:ind w:left="1440" w:hanging="360"/>
      </w:pPr>
      <w:rPr>
        <w:rFonts w:ascii="Courier New" w:hAnsi="Courier New" w:cs="Times New Roman" w:hint="default"/>
      </w:rPr>
    </w:lvl>
    <w:lvl w:ilvl="2" w:tplc="3F9CA650" w:tentative="1">
      <w:start w:val="1"/>
      <w:numFmt w:val="bullet"/>
      <w:lvlText w:val="•"/>
      <w:lvlJc w:val="left"/>
      <w:pPr>
        <w:tabs>
          <w:tab w:val="num" w:pos="2160"/>
        </w:tabs>
        <w:ind w:left="2160" w:hanging="360"/>
      </w:pPr>
      <w:rPr>
        <w:rFonts w:ascii="Arial" w:hAnsi="Arial" w:hint="default"/>
      </w:rPr>
    </w:lvl>
    <w:lvl w:ilvl="3" w:tplc="C38A18DA" w:tentative="1">
      <w:start w:val="1"/>
      <w:numFmt w:val="bullet"/>
      <w:lvlText w:val="•"/>
      <w:lvlJc w:val="left"/>
      <w:pPr>
        <w:tabs>
          <w:tab w:val="num" w:pos="2880"/>
        </w:tabs>
        <w:ind w:left="2880" w:hanging="360"/>
      </w:pPr>
      <w:rPr>
        <w:rFonts w:ascii="Arial" w:hAnsi="Arial" w:hint="default"/>
      </w:rPr>
    </w:lvl>
    <w:lvl w:ilvl="4" w:tplc="EBCE0612" w:tentative="1">
      <w:start w:val="1"/>
      <w:numFmt w:val="bullet"/>
      <w:lvlText w:val="•"/>
      <w:lvlJc w:val="left"/>
      <w:pPr>
        <w:tabs>
          <w:tab w:val="num" w:pos="3600"/>
        </w:tabs>
        <w:ind w:left="3600" w:hanging="360"/>
      </w:pPr>
      <w:rPr>
        <w:rFonts w:ascii="Arial" w:hAnsi="Arial" w:hint="default"/>
      </w:rPr>
    </w:lvl>
    <w:lvl w:ilvl="5" w:tplc="3A3C71A0" w:tentative="1">
      <w:start w:val="1"/>
      <w:numFmt w:val="bullet"/>
      <w:lvlText w:val="•"/>
      <w:lvlJc w:val="left"/>
      <w:pPr>
        <w:tabs>
          <w:tab w:val="num" w:pos="4320"/>
        </w:tabs>
        <w:ind w:left="4320" w:hanging="360"/>
      </w:pPr>
      <w:rPr>
        <w:rFonts w:ascii="Arial" w:hAnsi="Arial" w:hint="default"/>
      </w:rPr>
    </w:lvl>
    <w:lvl w:ilvl="6" w:tplc="89842052" w:tentative="1">
      <w:start w:val="1"/>
      <w:numFmt w:val="bullet"/>
      <w:lvlText w:val="•"/>
      <w:lvlJc w:val="left"/>
      <w:pPr>
        <w:tabs>
          <w:tab w:val="num" w:pos="5040"/>
        </w:tabs>
        <w:ind w:left="5040" w:hanging="360"/>
      </w:pPr>
      <w:rPr>
        <w:rFonts w:ascii="Arial" w:hAnsi="Arial" w:hint="default"/>
      </w:rPr>
    </w:lvl>
    <w:lvl w:ilvl="7" w:tplc="49BC467A" w:tentative="1">
      <w:start w:val="1"/>
      <w:numFmt w:val="bullet"/>
      <w:lvlText w:val="•"/>
      <w:lvlJc w:val="left"/>
      <w:pPr>
        <w:tabs>
          <w:tab w:val="num" w:pos="5760"/>
        </w:tabs>
        <w:ind w:left="5760" w:hanging="360"/>
      </w:pPr>
      <w:rPr>
        <w:rFonts w:ascii="Arial" w:hAnsi="Arial" w:hint="default"/>
      </w:rPr>
    </w:lvl>
    <w:lvl w:ilvl="8" w:tplc="4608FC22" w:tentative="1">
      <w:start w:val="1"/>
      <w:numFmt w:val="bullet"/>
      <w:lvlText w:val="•"/>
      <w:lvlJc w:val="left"/>
      <w:pPr>
        <w:tabs>
          <w:tab w:val="num" w:pos="6480"/>
        </w:tabs>
        <w:ind w:left="6480" w:hanging="360"/>
      </w:pPr>
      <w:rPr>
        <w:rFonts w:ascii="Arial" w:hAnsi="Arial" w:hint="default"/>
      </w:rPr>
    </w:lvl>
  </w:abstractNum>
  <w:abstractNum w:abstractNumId="9">
    <w:nsid w:val="1CE7061A"/>
    <w:multiLevelType w:val="hybridMultilevel"/>
    <w:tmpl w:val="5B761C84"/>
    <w:lvl w:ilvl="0" w:tplc="04210001">
      <w:start w:val="1"/>
      <w:numFmt w:val="bullet"/>
      <w:lvlText w:val=""/>
      <w:lvlJc w:val="left"/>
      <w:pPr>
        <w:ind w:left="714" w:hanging="360"/>
      </w:pPr>
      <w:rPr>
        <w:rFonts w:ascii="Symbol" w:hAnsi="Symbol" w:hint="default"/>
      </w:rPr>
    </w:lvl>
    <w:lvl w:ilvl="1" w:tplc="04210003" w:tentative="1">
      <w:start w:val="1"/>
      <w:numFmt w:val="bullet"/>
      <w:lvlText w:val="o"/>
      <w:lvlJc w:val="left"/>
      <w:pPr>
        <w:ind w:left="1434" w:hanging="360"/>
      </w:pPr>
      <w:rPr>
        <w:rFonts w:ascii="Courier New" w:hAnsi="Courier New" w:cs="Courier New" w:hint="default"/>
      </w:rPr>
    </w:lvl>
    <w:lvl w:ilvl="2" w:tplc="04210005" w:tentative="1">
      <w:start w:val="1"/>
      <w:numFmt w:val="bullet"/>
      <w:lvlText w:val=""/>
      <w:lvlJc w:val="left"/>
      <w:pPr>
        <w:ind w:left="2154" w:hanging="360"/>
      </w:pPr>
      <w:rPr>
        <w:rFonts w:ascii="Wingdings" w:hAnsi="Wingdings" w:hint="default"/>
      </w:rPr>
    </w:lvl>
    <w:lvl w:ilvl="3" w:tplc="04210001" w:tentative="1">
      <w:start w:val="1"/>
      <w:numFmt w:val="bullet"/>
      <w:lvlText w:val=""/>
      <w:lvlJc w:val="left"/>
      <w:pPr>
        <w:ind w:left="2874" w:hanging="360"/>
      </w:pPr>
      <w:rPr>
        <w:rFonts w:ascii="Symbol" w:hAnsi="Symbol" w:hint="default"/>
      </w:rPr>
    </w:lvl>
    <w:lvl w:ilvl="4" w:tplc="04210003" w:tentative="1">
      <w:start w:val="1"/>
      <w:numFmt w:val="bullet"/>
      <w:lvlText w:val="o"/>
      <w:lvlJc w:val="left"/>
      <w:pPr>
        <w:ind w:left="3594" w:hanging="360"/>
      </w:pPr>
      <w:rPr>
        <w:rFonts w:ascii="Courier New" w:hAnsi="Courier New" w:cs="Courier New" w:hint="default"/>
      </w:rPr>
    </w:lvl>
    <w:lvl w:ilvl="5" w:tplc="04210005" w:tentative="1">
      <w:start w:val="1"/>
      <w:numFmt w:val="bullet"/>
      <w:lvlText w:val=""/>
      <w:lvlJc w:val="left"/>
      <w:pPr>
        <w:ind w:left="4314" w:hanging="360"/>
      </w:pPr>
      <w:rPr>
        <w:rFonts w:ascii="Wingdings" w:hAnsi="Wingdings" w:hint="default"/>
      </w:rPr>
    </w:lvl>
    <w:lvl w:ilvl="6" w:tplc="04210001" w:tentative="1">
      <w:start w:val="1"/>
      <w:numFmt w:val="bullet"/>
      <w:lvlText w:val=""/>
      <w:lvlJc w:val="left"/>
      <w:pPr>
        <w:ind w:left="5034" w:hanging="360"/>
      </w:pPr>
      <w:rPr>
        <w:rFonts w:ascii="Symbol" w:hAnsi="Symbol" w:hint="default"/>
      </w:rPr>
    </w:lvl>
    <w:lvl w:ilvl="7" w:tplc="04210003" w:tentative="1">
      <w:start w:val="1"/>
      <w:numFmt w:val="bullet"/>
      <w:lvlText w:val="o"/>
      <w:lvlJc w:val="left"/>
      <w:pPr>
        <w:ind w:left="5754" w:hanging="360"/>
      </w:pPr>
      <w:rPr>
        <w:rFonts w:ascii="Courier New" w:hAnsi="Courier New" w:cs="Courier New" w:hint="default"/>
      </w:rPr>
    </w:lvl>
    <w:lvl w:ilvl="8" w:tplc="04210005" w:tentative="1">
      <w:start w:val="1"/>
      <w:numFmt w:val="bullet"/>
      <w:lvlText w:val=""/>
      <w:lvlJc w:val="left"/>
      <w:pPr>
        <w:ind w:left="6474" w:hanging="360"/>
      </w:pPr>
      <w:rPr>
        <w:rFonts w:ascii="Wingdings" w:hAnsi="Wingdings" w:hint="default"/>
      </w:rPr>
    </w:lvl>
  </w:abstractNum>
  <w:abstractNum w:abstractNumId="10">
    <w:nsid w:val="1FFF306A"/>
    <w:multiLevelType w:val="hybridMultilevel"/>
    <w:tmpl w:val="2B22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9F7C6B"/>
    <w:multiLevelType w:val="hybridMultilevel"/>
    <w:tmpl w:val="ED2A287C"/>
    <w:lvl w:ilvl="0" w:tplc="83FC007A">
      <w:start w:val="1"/>
      <w:numFmt w:val="bullet"/>
      <w:lvlText w:val="•"/>
      <w:lvlJc w:val="left"/>
      <w:pPr>
        <w:tabs>
          <w:tab w:val="num" w:pos="720"/>
        </w:tabs>
        <w:ind w:left="720" w:hanging="360"/>
      </w:pPr>
      <w:rPr>
        <w:rFonts w:ascii="Arial" w:hAnsi="Arial" w:hint="default"/>
      </w:rPr>
    </w:lvl>
    <w:lvl w:ilvl="1" w:tplc="B052BA2C">
      <w:start w:val="788"/>
      <w:numFmt w:val="bullet"/>
      <w:lvlText w:val="–"/>
      <w:lvlJc w:val="left"/>
      <w:pPr>
        <w:tabs>
          <w:tab w:val="num" w:pos="1440"/>
        </w:tabs>
        <w:ind w:left="1440" w:hanging="360"/>
      </w:pPr>
      <w:rPr>
        <w:rFonts w:ascii="Arial" w:hAnsi="Arial" w:hint="default"/>
      </w:rPr>
    </w:lvl>
    <w:lvl w:ilvl="2" w:tplc="D3E6C1FE" w:tentative="1">
      <w:start w:val="1"/>
      <w:numFmt w:val="bullet"/>
      <w:lvlText w:val="•"/>
      <w:lvlJc w:val="left"/>
      <w:pPr>
        <w:tabs>
          <w:tab w:val="num" w:pos="2160"/>
        </w:tabs>
        <w:ind w:left="2160" w:hanging="360"/>
      </w:pPr>
      <w:rPr>
        <w:rFonts w:ascii="Arial" w:hAnsi="Arial" w:hint="default"/>
      </w:rPr>
    </w:lvl>
    <w:lvl w:ilvl="3" w:tplc="C32AA742" w:tentative="1">
      <w:start w:val="1"/>
      <w:numFmt w:val="bullet"/>
      <w:lvlText w:val="•"/>
      <w:lvlJc w:val="left"/>
      <w:pPr>
        <w:tabs>
          <w:tab w:val="num" w:pos="2880"/>
        </w:tabs>
        <w:ind w:left="2880" w:hanging="360"/>
      </w:pPr>
      <w:rPr>
        <w:rFonts w:ascii="Arial" w:hAnsi="Arial" w:hint="default"/>
      </w:rPr>
    </w:lvl>
    <w:lvl w:ilvl="4" w:tplc="3132CC5C" w:tentative="1">
      <w:start w:val="1"/>
      <w:numFmt w:val="bullet"/>
      <w:lvlText w:val="•"/>
      <w:lvlJc w:val="left"/>
      <w:pPr>
        <w:tabs>
          <w:tab w:val="num" w:pos="3600"/>
        </w:tabs>
        <w:ind w:left="3600" w:hanging="360"/>
      </w:pPr>
      <w:rPr>
        <w:rFonts w:ascii="Arial" w:hAnsi="Arial" w:hint="default"/>
      </w:rPr>
    </w:lvl>
    <w:lvl w:ilvl="5" w:tplc="9822CCDA" w:tentative="1">
      <w:start w:val="1"/>
      <w:numFmt w:val="bullet"/>
      <w:lvlText w:val="•"/>
      <w:lvlJc w:val="left"/>
      <w:pPr>
        <w:tabs>
          <w:tab w:val="num" w:pos="4320"/>
        </w:tabs>
        <w:ind w:left="4320" w:hanging="360"/>
      </w:pPr>
      <w:rPr>
        <w:rFonts w:ascii="Arial" w:hAnsi="Arial" w:hint="default"/>
      </w:rPr>
    </w:lvl>
    <w:lvl w:ilvl="6" w:tplc="42A2D5A2" w:tentative="1">
      <w:start w:val="1"/>
      <w:numFmt w:val="bullet"/>
      <w:lvlText w:val="•"/>
      <w:lvlJc w:val="left"/>
      <w:pPr>
        <w:tabs>
          <w:tab w:val="num" w:pos="5040"/>
        </w:tabs>
        <w:ind w:left="5040" w:hanging="360"/>
      </w:pPr>
      <w:rPr>
        <w:rFonts w:ascii="Arial" w:hAnsi="Arial" w:hint="default"/>
      </w:rPr>
    </w:lvl>
    <w:lvl w:ilvl="7" w:tplc="52E8EC3E" w:tentative="1">
      <w:start w:val="1"/>
      <w:numFmt w:val="bullet"/>
      <w:lvlText w:val="•"/>
      <w:lvlJc w:val="left"/>
      <w:pPr>
        <w:tabs>
          <w:tab w:val="num" w:pos="5760"/>
        </w:tabs>
        <w:ind w:left="5760" w:hanging="360"/>
      </w:pPr>
      <w:rPr>
        <w:rFonts w:ascii="Arial" w:hAnsi="Arial" w:hint="default"/>
      </w:rPr>
    </w:lvl>
    <w:lvl w:ilvl="8" w:tplc="B4CC962E" w:tentative="1">
      <w:start w:val="1"/>
      <w:numFmt w:val="bullet"/>
      <w:lvlText w:val="•"/>
      <w:lvlJc w:val="left"/>
      <w:pPr>
        <w:tabs>
          <w:tab w:val="num" w:pos="6480"/>
        </w:tabs>
        <w:ind w:left="6480" w:hanging="360"/>
      </w:pPr>
      <w:rPr>
        <w:rFonts w:ascii="Arial" w:hAnsi="Arial" w:hint="default"/>
      </w:rPr>
    </w:lvl>
  </w:abstractNum>
  <w:abstractNum w:abstractNumId="12">
    <w:nsid w:val="22695509"/>
    <w:multiLevelType w:val="multilevel"/>
    <w:tmpl w:val="FABE01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4E87F7F"/>
    <w:multiLevelType w:val="hybridMultilevel"/>
    <w:tmpl w:val="EED2861C"/>
    <w:lvl w:ilvl="0" w:tplc="04210001">
      <w:start w:val="1"/>
      <w:numFmt w:val="bullet"/>
      <w:lvlText w:val=""/>
      <w:lvlJc w:val="left"/>
      <w:pPr>
        <w:ind w:left="1434" w:hanging="360"/>
      </w:pPr>
      <w:rPr>
        <w:rFonts w:ascii="Symbol" w:hAnsi="Symbol" w:hint="default"/>
      </w:rPr>
    </w:lvl>
    <w:lvl w:ilvl="1" w:tplc="04210003" w:tentative="1">
      <w:start w:val="1"/>
      <w:numFmt w:val="bullet"/>
      <w:lvlText w:val="o"/>
      <w:lvlJc w:val="left"/>
      <w:pPr>
        <w:ind w:left="2154" w:hanging="360"/>
      </w:pPr>
      <w:rPr>
        <w:rFonts w:ascii="Courier New" w:hAnsi="Courier New" w:cs="Courier New" w:hint="default"/>
      </w:rPr>
    </w:lvl>
    <w:lvl w:ilvl="2" w:tplc="04210005" w:tentative="1">
      <w:start w:val="1"/>
      <w:numFmt w:val="bullet"/>
      <w:lvlText w:val=""/>
      <w:lvlJc w:val="left"/>
      <w:pPr>
        <w:ind w:left="2874" w:hanging="360"/>
      </w:pPr>
      <w:rPr>
        <w:rFonts w:ascii="Wingdings" w:hAnsi="Wingdings" w:hint="default"/>
      </w:rPr>
    </w:lvl>
    <w:lvl w:ilvl="3" w:tplc="04210001" w:tentative="1">
      <w:start w:val="1"/>
      <w:numFmt w:val="bullet"/>
      <w:lvlText w:val=""/>
      <w:lvlJc w:val="left"/>
      <w:pPr>
        <w:ind w:left="3594" w:hanging="360"/>
      </w:pPr>
      <w:rPr>
        <w:rFonts w:ascii="Symbol" w:hAnsi="Symbol" w:hint="default"/>
      </w:rPr>
    </w:lvl>
    <w:lvl w:ilvl="4" w:tplc="04210003" w:tentative="1">
      <w:start w:val="1"/>
      <w:numFmt w:val="bullet"/>
      <w:lvlText w:val="o"/>
      <w:lvlJc w:val="left"/>
      <w:pPr>
        <w:ind w:left="4314" w:hanging="360"/>
      </w:pPr>
      <w:rPr>
        <w:rFonts w:ascii="Courier New" w:hAnsi="Courier New" w:cs="Courier New" w:hint="default"/>
      </w:rPr>
    </w:lvl>
    <w:lvl w:ilvl="5" w:tplc="04210005" w:tentative="1">
      <w:start w:val="1"/>
      <w:numFmt w:val="bullet"/>
      <w:lvlText w:val=""/>
      <w:lvlJc w:val="left"/>
      <w:pPr>
        <w:ind w:left="5034" w:hanging="360"/>
      </w:pPr>
      <w:rPr>
        <w:rFonts w:ascii="Wingdings" w:hAnsi="Wingdings" w:hint="default"/>
      </w:rPr>
    </w:lvl>
    <w:lvl w:ilvl="6" w:tplc="04210001" w:tentative="1">
      <w:start w:val="1"/>
      <w:numFmt w:val="bullet"/>
      <w:lvlText w:val=""/>
      <w:lvlJc w:val="left"/>
      <w:pPr>
        <w:ind w:left="5754" w:hanging="360"/>
      </w:pPr>
      <w:rPr>
        <w:rFonts w:ascii="Symbol" w:hAnsi="Symbol" w:hint="default"/>
      </w:rPr>
    </w:lvl>
    <w:lvl w:ilvl="7" w:tplc="04210003" w:tentative="1">
      <w:start w:val="1"/>
      <w:numFmt w:val="bullet"/>
      <w:lvlText w:val="o"/>
      <w:lvlJc w:val="left"/>
      <w:pPr>
        <w:ind w:left="6474" w:hanging="360"/>
      </w:pPr>
      <w:rPr>
        <w:rFonts w:ascii="Courier New" w:hAnsi="Courier New" w:cs="Courier New" w:hint="default"/>
      </w:rPr>
    </w:lvl>
    <w:lvl w:ilvl="8" w:tplc="04210005" w:tentative="1">
      <w:start w:val="1"/>
      <w:numFmt w:val="bullet"/>
      <w:lvlText w:val=""/>
      <w:lvlJc w:val="left"/>
      <w:pPr>
        <w:ind w:left="7194" w:hanging="360"/>
      </w:pPr>
      <w:rPr>
        <w:rFonts w:ascii="Wingdings" w:hAnsi="Wingdings" w:hint="default"/>
      </w:rPr>
    </w:lvl>
  </w:abstractNum>
  <w:abstractNum w:abstractNumId="14">
    <w:nsid w:val="265E0EFA"/>
    <w:multiLevelType w:val="hybridMultilevel"/>
    <w:tmpl w:val="8522F51C"/>
    <w:lvl w:ilvl="0" w:tplc="901C1106">
      <w:start w:val="62"/>
      <w:numFmt w:val="bullet"/>
      <w:lvlText w:val="–"/>
      <w:lvlJc w:val="left"/>
      <w:pPr>
        <w:tabs>
          <w:tab w:val="num" w:pos="1440"/>
        </w:tabs>
        <w:ind w:left="1440" w:hanging="360"/>
      </w:pPr>
      <w:rPr>
        <w:rFonts w:ascii="Arial" w:hAnsi="Aria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68E45C2"/>
    <w:multiLevelType w:val="hybridMultilevel"/>
    <w:tmpl w:val="AE52F9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F824FD3"/>
    <w:multiLevelType w:val="hybridMultilevel"/>
    <w:tmpl w:val="26C6F332"/>
    <w:lvl w:ilvl="0" w:tplc="86E8F264">
      <w:start w:val="1"/>
      <w:numFmt w:val="bullet"/>
      <w:lvlText w:val="•"/>
      <w:lvlJc w:val="left"/>
      <w:pPr>
        <w:tabs>
          <w:tab w:val="num" w:pos="720"/>
        </w:tabs>
        <w:ind w:left="720" w:hanging="360"/>
      </w:pPr>
      <w:rPr>
        <w:rFonts w:ascii="Arial" w:hAnsi="Arial" w:hint="default"/>
      </w:rPr>
    </w:lvl>
    <w:lvl w:ilvl="1" w:tplc="901C1106">
      <w:start w:val="62"/>
      <w:numFmt w:val="bullet"/>
      <w:lvlText w:val="–"/>
      <w:lvlJc w:val="left"/>
      <w:pPr>
        <w:tabs>
          <w:tab w:val="num" w:pos="1440"/>
        </w:tabs>
        <w:ind w:left="1440" w:hanging="360"/>
      </w:pPr>
      <w:rPr>
        <w:rFonts w:ascii="Arial" w:hAnsi="Arial" w:hint="default"/>
      </w:rPr>
    </w:lvl>
    <w:lvl w:ilvl="2" w:tplc="9086E3EA" w:tentative="1">
      <w:start w:val="1"/>
      <w:numFmt w:val="bullet"/>
      <w:lvlText w:val="•"/>
      <w:lvlJc w:val="left"/>
      <w:pPr>
        <w:tabs>
          <w:tab w:val="num" w:pos="2160"/>
        </w:tabs>
        <w:ind w:left="2160" w:hanging="360"/>
      </w:pPr>
      <w:rPr>
        <w:rFonts w:ascii="Arial" w:hAnsi="Arial" w:hint="default"/>
      </w:rPr>
    </w:lvl>
    <w:lvl w:ilvl="3" w:tplc="3084BA8A" w:tentative="1">
      <w:start w:val="1"/>
      <w:numFmt w:val="bullet"/>
      <w:lvlText w:val="•"/>
      <w:lvlJc w:val="left"/>
      <w:pPr>
        <w:tabs>
          <w:tab w:val="num" w:pos="2880"/>
        </w:tabs>
        <w:ind w:left="2880" w:hanging="360"/>
      </w:pPr>
      <w:rPr>
        <w:rFonts w:ascii="Arial" w:hAnsi="Arial" w:hint="default"/>
      </w:rPr>
    </w:lvl>
    <w:lvl w:ilvl="4" w:tplc="C62874C6" w:tentative="1">
      <w:start w:val="1"/>
      <w:numFmt w:val="bullet"/>
      <w:lvlText w:val="•"/>
      <w:lvlJc w:val="left"/>
      <w:pPr>
        <w:tabs>
          <w:tab w:val="num" w:pos="3600"/>
        </w:tabs>
        <w:ind w:left="3600" w:hanging="360"/>
      </w:pPr>
      <w:rPr>
        <w:rFonts w:ascii="Arial" w:hAnsi="Arial" w:hint="default"/>
      </w:rPr>
    </w:lvl>
    <w:lvl w:ilvl="5" w:tplc="62B2C2D8" w:tentative="1">
      <w:start w:val="1"/>
      <w:numFmt w:val="bullet"/>
      <w:lvlText w:val="•"/>
      <w:lvlJc w:val="left"/>
      <w:pPr>
        <w:tabs>
          <w:tab w:val="num" w:pos="4320"/>
        </w:tabs>
        <w:ind w:left="4320" w:hanging="360"/>
      </w:pPr>
      <w:rPr>
        <w:rFonts w:ascii="Arial" w:hAnsi="Arial" w:hint="default"/>
      </w:rPr>
    </w:lvl>
    <w:lvl w:ilvl="6" w:tplc="6554B5DC" w:tentative="1">
      <w:start w:val="1"/>
      <w:numFmt w:val="bullet"/>
      <w:lvlText w:val="•"/>
      <w:lvlJc w:val="left"/>
      <w:pPr>
        <w:tabs>
          <w:tab w:val="num" w:pos="5040"/>
        </w:tabs>
        <w:ind w:left="5040" w:hanging="360"/>
      </w:pPr>
      <w:rPr>
        <w:rFonts w:ascii="Arial" w:hAnsi="Arial" w:hint="default"/>
      </w:rPr>
    </w:lvl>
    <w:lvl w:ilvl="7" w:tplc="3F2A80B8" w:tentative="1">
      <w:start w:val="1"/>
      <w:numFmt w:val="bullet"/>
      <w:lvlText w:val="•"/>
      <w:lvlJc w:val="left"/>
      <w:pPr>
        <w:tabs>
          <w:tab w:val="num" w:pos="5760"/>
        </w:tabs>
        <w:ind w:left="5760" w:hanging="360"/>
      </w:pPr>
      <w:rPr>
        <w:rFonts w:ascii="Arial" w:hAnsi="Arial" w:hint="default"/>
      </w:rPr>
    </w:lvl>
    <w:lvl w:ilvl="8" w:tplc="AFBC2A24" w:tentative="1">
      <w:start w:val="1"/>
      <w:numFmt w:val="bullet"/>
      <w:lvlText w:val="•"/>
      <w:lvlJc w:val="left"/>
      <w:pPr>
        <w:tabs>
          <w:tab w:val="num" w:pos="6480"/>
        </w:tabs>
        <w:ind w:left="6480" w:hanging="360"/>
      </w:pPr>
      <w:rPr>
        <w:rFonts w:ascii="Arial" w:hAnsi="Arial" w:hint="default"/>
      </w:rPr>
    </w:lvl>
  </w:abstractNum>
  <w:abstractNum w:abstractNumId="17">
    <w:nsid w:val="34030EFE"/>
    <w:multiLevelType w:val="hybridMultilevel"/>
    <w:tmpl w:val="572C9A5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nsid w:val="34071BC3"/>
    <w:multiLevelType w:val="hybridMultilevel"/>
    <w:tmpl w:val="75DA9CBC"/>
    <w:lvl w:ilvl="0" w:tplc="0C090019">
      <w:start w:val="1"/>
      <w:numFmt w:val="bullet"/>
      <w:lvlText w:val="o"/>
      <w:lvlJc w:val="left"/>
      <w:pPr>
        <w:ind w:left="360" w:hanging="360"/>
      </w:pPr>
      <w:rPr>
        <w:rFonts w:ascii="Courier New" w:hAnsi="Courier New"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9">
    <w:nsid w:val="38B81EC9"/>
    <w:multiLevelType w:val="hybridMultilevel"/>
    <w:tmpl w:val="75C46234"/>
    <w:lvl w:ilvl="0" w:tplc="A66E7B2E">
      <w:start w:val="1"/>
      <w:numFmt w:val="bullet"/>
      <w:lvlText w:val=""/>
      <w:lvlJc w:val="left"/>
      <w:pPr>
        <w:ind w:left="777" w:hanging="360"/>
      </w:pPr>
      <w:rPr>
        <w:rFonts w:ascii="Symbol" w:hAnsi="Symbol" w:hint="default"/>
      </w:rPr>
    </w:lvl>
    <w:lvl w:ilvl="1" w:tplc="0C090019">
      <w:start w:val="1"/>
      <w:numFmt w:val="bullet"/>
      <w:lvlText w:val="o"/>
      <w:lvlJc w:val="left"/>
      <w:pPr>
        <w:ind w:left="1497" w:hanging="360"/>
      </w:pPr>
      <w:rPr>
        <w:rFonts w:ascii="Courier New" w:hAnsi="Courier New" w:cs="Times New Roman" w:hint="default"/>
      </w:rPr>
    </w:lvl>
    <w:lvl w:ilvl="2" w:tplc="0C09001B">
      <w:start w:val="1"/>
      <w:numFmt w:val="bullet"/>
      <w:lvlText w:val=""/>
      <w:lvlJc w:val="left"/>
      <w:pPr>
        <w:ind w:left="2217" w:hanging="360"/>
      </w:pPr>
      <w:rPr>
        <w:rFonts w:ascii="Wingdings" w:hAnsi="Wingdings" w:hint="default"/>
      </w:rPr>
    </w:lvl>
    <w:lvl w:ilvl="3" w:tplc="0C09000F">
      <w:start w:val="1"/>
      <w:numFmt w:val="bullet"/>
      <w:lvlText w:val=""/>
      <w:lvlJc w:val="left"/>
      <w:pPr>
        <w:ind w:left="2937" w:hanging="360"/>
      </w:pPr>
      <w:rPr>
        <w:rFonts w:ascii="Symbol" w:hAnsi="Symbol" w:hint="default"/>
      </w:rPr>
    </w:lvl>
    <w:lvl w:ilvl="4" w:tplc="0C090019">
      <w:start w:val="1"/>
      <w:numFmt w:val="bullet"/>
      <w:lvlText w:val="o"/>
      <w:lvlJc w:val="left"/>
      <w:pPr>
        <w:ind w:left="3657" w:hanging="360"/>
      </w:pPr>
      <w:rPr>
        <w:rFonts w:ascii="Courier New" w:hAnsi="Courier New" w:cs="Times New Roman" w:hint="default"/>
      </w:rPr>
    </w:lvl>
    <w:lvl w:ilvl="5" w:tplc="0C09001B">
      <w:start w:val="1"/>
      <w:numFmt w:val="bullet"/>
      <w:lvlText w:val=""/>
      <w:lvlJc w:val="left"/>
      <w:pPr>
        <w:ind w:left="4377" w:hanging="360"/>
      </w:pPr>
      <w:rPr>
        <w:rFonts w:ascii="Wingdings" w:hAnsi="Wingdings" w:hint="default"/>
      </w:rPr>
    </w:lvl>
    <w:lvl w:ilvl="6" w:tplc="0C09000F">
      <w:start w:val="1"/>
      <w:numFmt w:val="bullet"/>
      <w:lvlText w:val=""/>
      <w:lvlJc w:val="left"/>
      <w:pPr>
        <w:ind w:left="5097" w:hanging="360"/>
      </w:pPr>
      <w:rPr>
        <w:rFonts w:ascii="Symbol" w:hAnsi="Symbol" w:hint="default"/>
      </w:rPr>
    </w:lvl>
    <w:lvl w:ilvl="7" w:tplc="0C090019">
      <w:start w:val="1"/>
      <w:numFmt w:val="bullet"/>
      <w:lvlText w:val="o"/>
      <w:lvlJc w:val="left"/>
      <w:pPr>
        <w:ind w:left="5817" w:hanging="360"/>
      </w:pPr>
      <w:rPr>
        <w:rFonts w:ascii="Courier New" w:hAnsi="Courier New" w:cs="Times New Roman" w:hint="default"/>
      </w:rPr>
    </w:lvl>
    <w:lvl w:ilvl="8" w:tplc="0C09001B">
      <w:start w:val="1"/>
      <w:numFmt w:val="bullet"/>
      <w:lvlText w:val=""/>
      <w:lvlJc w:val="left"/>
      <w:pPr>
        <w:ind w:left="6537" w:hanging="360"/>
      </w:pPr>
      <w:rPr>
        <w:rFonts w:ascii="Wingdings" w:hAnsi="Wingdings" w:hint="default"/>
      </w:rPr>
    </w:lvl>
  </w:abstractNum>
  <w:abstractNum w:abstractNumId="20">
    <w:nsid w:val="3A6D2871"/>
    <w:multiLevelType w:val="multilevel"/>
    <w:tmpl w:val="7534DB0E"/>
    <w:lvl w:ilvl="0">
      <w:start w:val="1"/>
      <w:numFmt w:val="decimal"/>
      <w:lvlText w:val="%1"/>
      <w:lvlJc w:val="left"/>
      <w:pPr>
        <w:ind w:left="360" w:hanging="360"/>
      </w:pPr>
      <w:rPr>
        <w:rFonts w:cs="Times New Roman" w:hint="default"/>
      </w:rPr>
    </w:lvl>
    <w:lvl w:ilvl="1">
      <w:start w:val="62"/>
      <w:numFmt w:val="bullet"/>
      <w:lvlText w:val="–"/>
      <w:lvlJc w:val="left"/>
      <w:pPr>
        <w:ind w:left="792" w:hanging="432"/>
      </w:pPr>
      <w:rPr>
        <w:rFonts w:ascii="Arial" w:hAnsi="Arial" w:hint="default"/>
      </w:rPr>
    </w:lvl>
    <w:lvl w:ilvl="2">
      <w:start w:val="1"/>
      <w:numFmt w:val="bullet"/>
      <w:lvlText w:val="o"/>
      <w:lvlJc w:val="left"/>
      <w:pPr>
        <w:ind w:left="1224" w:hanging="504"/>
      </w:pPr>
      <w:rPr>
        <w:rFonts w:ascii="Courier New" w:hAnsi="Courier New"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F6728E"/>
    <w:multiLevelType w:val="multilevel"/>
    <w:tmpl w:val="D522F76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D825766"/>
    <w:multiLevelType w:val="hybridMultilevel"/>
    <w:tmpl w:val="4DC8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823832"/>
    <w:multiLevelType w:val="hybridMultilevel"/>
    <w:tmpl w:val="F762352E"/>
    <w:lvl w:ilvl="0" w:tplc="09E882D4">
      <w:start w:val="1"/>
      <w:numFmt w:val="upperLetter"/>
      <w:pStyle w:val="Sub-Heading3GRM"/>
      <w:lvlText w:val="%1."/>
      <w:lvlJc w:val="left"/>
      <w:pPr>
        <w:ind w:left="720" w:hanging="360"/>
      </w:pPr>
      <w:rPr>
        <w:rFonts w:ascii="Garamond" w:hAnsi="Garamond"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337572"/>
    <w:multiLevelType w:val="hybridMultilevel"/>
    <w:tmpl w:val="E278CCC4"/>
    <w:lvl w:ilvl="0" w:tplc="8B2CAE8A">
      <w:start w:val="1"/>
      <w:numFmt w:val="bullet"/>
      <w:lvlText w:val="•"/>
      <w:lvlJc w:val="left"/>
      <w:pPr>
        <w:tabs>
          <w:tab w:val="num" w:pos="720"/>
        </w:tabs>
        <w:ind w:left="720" w:hanging="360"/>
      </w:pPr>
      <w:rPr>
        <w:rFonts w:ascii="Arial" w:hAnsi="Arial" w:hint="default"/>
      </w:rPr>
    </w:lvl>
    <w:lvl w:ilvl="1" w:tplc="0421000F">
      <w:start w:val="1"/>
      <w:numFmt w:val="decimal"/>
      <w:lvlText w:val="%2."/>
      <w:lvlJc w:val="left"/>
      <w:pPr>
        <w:tabs>
          <w:tab w:val="num" w:pos="1440"/>
        </w:tabs>
        <w:ind w:left="1440" w:hanging="360"/>
      </w:pPr>
      <w:rPr>
        <w:rFonts w:hint="default"/>
      </w:rPr>
    </w:lvl>
    <w:lvl w:ilvl="2" w:tplc="A6081532" w:tentative="1">
      <w:start w:val="1"/>
      <w:numFmt w:val="bullet"/>
      <w:lvlText w:val="•"/>
      <w:lvlJc w:val="left"/>
      <w:pPr>
        <w:tabs>
          <w:tab w:val="num" w:pos="2160"/>
        </w:tabs>
        <w:ind w:left="2160" w:hanging="360"/>
      </w:pPr>
      <w:rPr>
        <w:rFonts w:ascii="Arial" w:hAnsi="Arial" w:hint="default"/>
      </w:rPr>
    </w:lvl>
    <w:lvl w:ilvl="3" w:tplc="7BA28430" w:tentative="1">
      <w:start w:val="1"/>
      <w:numFmt w:val="bullet"/>
      <w:lvlText w:val="•"/>
      <w:lvlJc w:val="left"/>
      <w:pPr>
        <w:tabs>
          <w:tab w:val="num" w:pos="2880"/>
        </w:tabs>
        <w:ind w:left="2880" w:hanging="360"/>
      </w:pPr>
      <w:rPr>
        <w:rFonts w:ascii="Arial" w:hAnsi="Arial" w:hint="default"/>
      </w:rPr>
    </w:lvl>
    <w:lvl w:ilvl="4" w:tplc="9FCE461A" w:tentative="1">
      <w:start w:val="1"/>
      <w:numFmt w:val="bullet"/>
      <w:lvlText w:val="•"/>
      <w:lvlJc w:val="left"/>
      <w:pPr>
        <w:tabs>
          <w:tab w:val="num" w:pos="3600"/>
        </w:tabs>
        <w:ind w:left="3600" w:hanging="360"/>
      </w:pPr>
      <w:rPr>
        <w:rFonts w:ascii="Arial" w:hAnsi="Arial" w:hint="default"/>
      </w:rPr>
    </w:lvl>
    <w:lvl w:ilvl="5" w:tplc="C40A5FA6" w:tentative="1">
      <w:start w:val="1"/>
      <w:numFmt w:val="bullet"/>
      <w:lvlText w:val="•"/>
      <w:lvlJc w:val="left"/>
      <w:pPr>
        <w:tabs>
          <w:tab w:val="num" w:pos="4320"/>
        </w:tabs>
        <w:ind w:left="4320" w:hanging="360"/>
      </w:pPr>
      <w:rPr>
        <w:rFonts w:ascii="Arial" w:hAnsi="Arial" w:hint="default"/>
      </w:rPr>
    </w:lvl>
    <w:lvl w:ilvl="6" w:tplc="C43CD74A" w:tentative="1">
      <w:start w:val="1"/>
      <w:numFmt w:val="bullet"/>
      <w:lvlText w:val="•"/>
      <w:lvlJc w:val="left"/>
      <w:pPr>
        <w:tabs>
          <w:tab w:val="num" w:pos="5040"/>
        </w:tabs>
        <w:ind w:left="5040" w:hanging="360"/>
      </w:pPr>
      <w:rPr>
        <w:rFonts w:ascii="Arial" w:hAnsi="Arial" w:hint="default"/>
      </w:rPr>
    </w:lvl>
    <w:lvl w:ilvl="7" w:tplc="BA806ADA" w:tentative="1">
      <w:start w:val="1"/>
      <w:numFmt w:val="bullet"/>
      <w:lvlText w:val="•"/>
      <w:lvlJc w:val="left"/>
      <w:pPr>
        <w:tabs>
          <w:tab w:val="num" w:pos="5760"/>
        </w:tabs>
        <w:ind w:left="5760" w:hanging="360"/>
      </w:pPr>
      <w:rPr>
        <w:rFonts w:ascii="Arial" w:hAnsi="Arial" w:hint="default"/>
      </w:rPr>
    </w:lvl>
    <w:lvl w:ilvl="8" w:tplc="95F0BAB4" w:tentative="1">
      <w:start w:val="1"/>
      <w:numFmt w:val="bullet"/>
      <w:lvlText w:val="•"/>
      <w:lvlJc w:val="left"/>
      <w:pPr>
        <w:tabs>
          <w:tab w:val="num" w:pos="6480"/>
        </w:tabs>
        <w:ind w:left="6480" w:hanging="360"/>
      </w:pPr>
      <w:rPr>
        <w:rFonts w:ascii="Arial" w:hAnsi="Arial" w:hint="default"/>
      </w:rPr>
    </w:lvl>
  </w:abstractNum>
  <w:abstractNum w:abstractNumId="25">
    <w:nsid w:val="413C699E"/>
    <w:multiLevelType w:val="hybridMultilevel"/>
    <w:tmpl w:val="C87854BC"/>
    <w:lvl w:ilvl="0" w:tplc="37B47408">
      <w:start w:val="1"/>
      <w:numFmt w:val="lowerLetter"/>
      <w:pStyle w:val="AlphabetOrderingList"/>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D245CA"/>
    <w:multiLevelType w:val="multilevel"/>
    <w:tmpl w:val="FABE01E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2130EBC"/>
    <w:multiLevelType w:val="hybridMultilevel"/>
    <w:tmpl w:val="FD204FAA"/>
    <w:lvl w:ilvl="0" w:tplc="64465CA4">
      <w:start w:val="1"/>
      <w:numFmt w:val="bullet"/>
      <w:pStyle w:val="Tablebullets"/>
      <w:lvlText w:val="›"/>
      <w:lvlJc w:val="left"/>
      <w:pPr>
        <w:ind w:left="720" w:hanging="360"/>
      </w:pPr>
      <w:rPr>
        <w:rFonts w:ascii="Arial Black" w:hAnsi="Arial Black"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5870448"/>
    <w:multiLevelType w:val="multilevel"/>
    <w:tmpl w:val="BA7E102C"/>
    <w:lvl w:ilvl="0">
      <w:start w:val="1"/>
      <w:numFmt w:val="decimal"/>
      <w:lvlText w:val="%1"/>
      <w:lvlJc w:val="left"/>
      <w:pPr>
        <w:ind w:left="360" w:hanging="360"/>
      </w:pPr>
      <w:rPr>
        <w:rFonts w:cs="Times New Roman" w:hint="default"/>
      </w:rPr>
    </w:lvl>
    <w:lvl w:ilvl="1">
      <w:start w:val="62"/>
      <w:numFmt w:val="bullet"/>
      <w:lvlText w:val="–"/>
      <w:lvlJc w:val="left"/>
      <w:pPr>
        <w:ind w:left="792" w:hanging="432"/>
      </w:pPr>
      <w:rPr>
        <w:rFonts w:ascii="Arial" w:hAnsi="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C040523"/>
    <w:multiLevelType w:val="hybridMultilevel"/>
    <w:tmpl w:val="5904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373F6D"/>
    <w:multiLevelType w:val="hybridMultilevel"/>
    <w:tmpl w:val="1518A96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1">
    <w:nsid w:val="5C514A75"/>
    <w:multiLevelType w:val="hybridMultilevel"/>
    <w:tmpl w:val="DE946E5C"/>
    <w:lvl w:ilvl="0" w:tplc="1780F72C">
      <w:start w:val="1"/>
      <w:numFmt w:val="lowerRoman"/>
      <w:pStyle w:val="romannumberinglist"/>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465BB2"/>
    <w:multiLevelType w:val="multilevel"/>
    <w:tmpl w:val="067630F8"/>
    <w:lvl w:ilvl="0">
      <w:start w:val="1"/>
      <w:numFmt w:val="bullet"/>
      <w:lvlText w:val="•"/>
      <w:lvlJc w:val="left"/>
      <w:pPr>
        <w:ind w:left="360" w:hanging="360"/>
      </w:pPr>
      <w:rPr>
        <w:rFonts w:ascii="Arial" w:hAnsi="Arial" w:hint="default"/>
      </w:rPr>
    </w:lvl>
    <w:lvl w:ilvl="1">
      <w:start w:val="62"/>
      <w:numFmt w:val="bullet"/>
      <w:lvlText w:val="–"/>
      <w:lvlJc w:val="left"/>
      <w:pPr>
        <w:ind w:left="792" w:hanging="432"/>
      </w:pPr>
      <w:rPr>
        <w:rFonts w:ascii="Arial" w:hAnsi="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1E319F9"/>
    <w:multiLevelType w:val="hybridMultilevel"/>
    <w:tmpl w:val="5498CB9E"/>
    <w:lvl w:ilvl="0" w:tplc="4B264950">
      <w:start w:val="1"/>
      <w:numFmt w:val="bullet"/>
      <w:lvlText w:val="•"/>
      <w:lvlJc w:val="left"/>
      <w:pPr>
        <w:ind w:left="360" w:hanging="360"/>
      </w:pPr>
      <w:rPr>
        <w:rFonts w:ascii="Arial" w:hAnsi="Aria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4">
    <w:nsid w:val="62005F02"/>
    <w:multiLevelType w:val="multilevel"/>
    <w:tmpl w:val="33745A20"/>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280"/>
        </w:tabs>
        <w:ind w:left="2280" w:hanging="720"/>
      </w:pPr>
      <w:rPr>
        <w:b w:val="0"/>
        <w:i w:val="0"/>
        <w:sz w:val="24"/>
        <w:szCs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48C2990"/>
    <w:multiLevelType w:val="hybridMultilevel"/>
    <w:tmpl w:val="84367A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658865CE"/>
    <w:multiLevelType w:val="hybridMultilevel"/>
    <w:tmpl w:val="99B092CE"/>
    <w:lvl w:ilvl="0" w:tplc="4B264950">
      <w:start w:val="1"/>
      <w:numFmt w:val="bullet"/>
      <w:lvlText w:val="•"/>
      <w:lvlJc w:val="left"/>
      <w:pPr>
        <w:tabs>
          <w:tab w:val="num" w:pos="720"/>
        </w:tabs>
        <w:ind w:left="720" w:hanging="360"/>
      </w:pPr>
      <w:rPr>
        <w:rFonts w:ascii="Arial" w:hAnsi="Arial" w:hint="default"/>
      </w:rPr>
    </w:lvl>
    <w:lvl w:ilvl="1" w:tplc="E2D6DE14">
      <w:start w:val="1983"/>
      <w:numFmt w:val="bullet"/>
      <w:lvlText w:val="–"/>
      <w:lvlJc w:val="left"/>
      <w:pPr>
        <w:tabs>
          <w:tab w:val="num" w:pos="1440"/>
        </w:tabs>
        <w:ind w:left="1440" w:hanging="360"/>
      </w:pPr>
      <w:rPr>
        <w:rFonts w:ascii="Arial" w:hAnsi="Arial" w:hint="default"/>
      </w:rPr>
    </w:lvl>
    <w:lvl w:ilvl="2" w:tplc="3F9CA650" w:tentative="1">
      <w:start w:val="1"/>
      <w:numFmt w:val="bullet"/>
      <w:lvlText w:val="•"/>
      <w:lvlJc w:val="left"/>
      <w:pPr>
        <w:tabs>
          <w:tab w:val="num" w:pos="2160"/>
        </w:tabs>
        <w:ind w:left="2160" w:hanging="360"/>
      </w:pPr>
      <w:rPr>
        <w:rFonts w:ascii="Arial" w:hAnsi="Arial" w:hint="default"/>
      </w:rPr>
    </w:lvl>
    <w:lvl w:ilvl="3" w:tplc="C38A18DA" w:tentative="1">
      <w:start w:val="1"/>
      <w:numFmt w:val="bullet"/>
      <w:lvlText w:val="•"/>
      <w:lvlJc w:val="left"/>
      <w:pPr>
        <w:tabs>
          <w:tab w:val="num" w:pos="2880"/>
        </w:tabs>
        <w:ind w:left="2880" w:hanging="360"/>
      </w:pPr>
      <w:rPr>
        <w:rFonts w:ascii="Arial" w:hAnsi="Arial" w:hint="default"/>
      </w:rPr>
    </w:lvl>
    <w:lvl w:ilvl="4" w:tplc="EBCE0612" w:tentative="1">
      <w:start w:val="1"/>
      <w:numFmt w:val="bullet"/>
      <w:lvlText w:val="•"/>
      <w:lvlJc w:val="left"/>
      <w:pPr>
        <w:tabs>
          <w:tab w:val="num" w:pos="3600"/>
        </w:tabs>
        <w:ind w:left="3600" w:hanging="360"/>
      </w:pPr>
      <w:rPr>
        <w:rFonts w:ascii="Arial" w:hAnsi="Arial" w:hint="default"/>
      </w:rPr>
    </w:lvl>
    <w:lvl w:ilvl="5" w:tplc="3A3C71A0" w:tentative="1">
      <w:start w:val="1"/>
      <w:numFmt w:val="bullet"/>
      <w:lvlText w:val="•"/>
      <w:lvlJc w:val="left"/>
      <w:pPr>
        <w:tabs>
          <w:tab w:val="num" w:pos="4320"/>
        </w:tabs>
        <w:ind w:left="4320" w:hanging="360"/>
      </w:pPr>
      <w:rPr>
        <w:rFonts w:ascii="Arial" w:hAnsi="Arial" w:hint="default"/>
      </w:rPr>
    </w:lvl>
    <w:lvl w:ilvl="6" w:tplc="89842052" w:tentative="1">
      <w:start w:val="1"/>
      <w:numFmt w:val="bullet"/>
      <w:lvlText w:val="•"/>
      <w:lvlJc w:val="left"/>
      <w:pPr>
        <w:tabs>
          <w:tab w:val="num" w:pos="5040"/>
        </w:tabs>
        <w:ind w:left="5040" w:hanging="360"/>
      </w:pPr>
      <w:rPr>
        <w:rFonts w:ascii="Arial" w:hAnsi="Arial" w:hint="default"/>
      </w:rPr>
    </w:lvl>
    <w:lvl w:ilvl="7" w:tplc="49BC467A" w:tentative="1">
      <w:start w:val="1"/>
      <w:numFmt w:val="bullet"/>
      <w:lvlText w:val="•"/>
      <w:lvlJc w:val="left"/>
      <w:pPr>
        <w:tabs>
          <w:tab w:val="num" w:pos="5760"/>
        </w:tabs>
        <w:ind w:left="5760" w:hanging="360"/>
      </w:pPr>
      <w:rPr>
        <w:rFonts w:ascii="Arial" w:hAnsi="Arial" w:hint="default"/>
      </w:rPr>
    </w:lvl>
    <w:lvl w:ilvl="8" w:tplc="4608FC22" w:tentative="1">
      <w:start w:val="1"/>
      <w:numFmt w:val="bullet"/>
      <w:lvlText w:val="•"/>
      <w:lvlJc w:val="left"/>
      <w:pPr>
        <w:tabs>
          <w:tab w:val="num" w:pos="6480"/>
        </w:tabs>
        <w:ind w:left="6480" w:hanging="360"/>
      </w:pPr>
      <w:rPr>
        <w:rFonts w:ascii="Arial" w:hAnsi="Arial" w:hint="default"/>
      </w:rPr>
    </w:lvl>
  </w:abstractNum>
  <w:abstractNum w:abstractNumId="37">
    <w:nsid w:val="689D1150"/>
    <w:multiLevelType w:val="hybridMultilevel"/>
    <w:tmpl w:val="6D361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C457BE"/>
    <w:multiLevelType w:val="hybridMultilevel"/>
    <w:tmpl w:val="CB82DF98"/>
    <w:lvl w:ilvl="0" w:tplc="F7E6E7CE">
      <w:numFmt w:val="bullet"/>
      <w:pStyle w:val="BulettedList"/>
      <w:lvlText w:val="•"/>
      <w:lvlJc w:val="left"/>
      <w:pPr>
        <w:ind w:left="1080" w:hanging="720"/>
      </w:pPr>
      <w:rPr>
        <w:rFonts w:ascii="Garamond" w:eastAsia="Calibr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C56A6"/>
    <w:multiLevelType w:val="multilevel"/>
    <w:tmpl w:val="39AA94F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C373FF8"/>
    <w:multiLevelType w:val="multilevel"/>
    <w:tmpl w:val="E8164AC6"/>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Arial" w:hAnsi="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1727FAB"/>
    <w:multiLevelType w:val="hybridMultilevel"/>
    <w:tmpl w:val="38A8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761A79"/>
    <w:multiLevelType w:val="hybridMultilevel"/>
    <w:tmpl w:val="6EE00C98"/>
    <w:lvl w:ilvl="0" w:tplc="63B0CE3E">
      <w:start w:val="1"/>
      <w:numFmt w:val="bullet"/>
      <w:lvlText w:val="•"/>
      <w:lvlJc w:val="left"/>
      <w:pPr>
        <w:tabs>
          <w:tab w:val="num" w:pos="720"/>
        </w:tabs>
        <w:ind w:left="720" w:hanging="360"/>
      </w:pPr>
      <w:rPr>
        <w:rFonts w:ascii="Arial" w:hAnsi="Arial" w:hint="default"/>
      </w:rPr>
    </w:lvl>
    <w:lvl w:ilvl="1" w:tplc="C9B6E07E" w:tentative="1">
      <w:start w:val="1"/>
      <w:numFmt w:val="bullet"/>
      <w:lvlText w:val="•"/>
      <w:lvlJc w:val="left"/>
      <w:pPr>
        <w:tabs>
          <w:tab w:val="num" w:pos="1440"/>
        </w:tabs>
        <w:ind w:left="1440" w:hanging="360"/>
      </w:pPr>
      <w:rPr>
        <w:rFonts w:ascii="Arial" w:hAnsi="Arial" w:hint="default"/>
      </w:rPr>
    </w:lvl>
    <w:lvl w:ilvl="2" w:tplc="DE1A0888" w:tentative="1">
      <w:start w:val="1"/>
      <w:numFmt w:val="bullet"/>
      <w:lvlText w:val="•"/>
      <w:lvlJc w:val="left"/>
      <w:pPr>
        <w:tabs>
          <w:tab w:val="num" w:pos="2160"/>
        </w:tabs>
        <w:ind w:left="2160" w:hanging="360"/>
      </w:pPr>
      <w:rPr>
        <w:rFonts w:ascii="Arial" w:hAnsi="Arial" w:hint="default"/>
      </w:rPr>
    </w:lvl>
    <w:lvl w:ilvl="3" w:tplc="AEE28F8C" w:tentative="1">
      <w:start w:val="1"/>
      <w:numFmt w:val="bullet"/>
      <w:lvlText w:val="•"/>
      <w:lvlJc w:val="left"/>
      <w:pPr>
        <w:tabs>
          <w:tab w:val="num" w:pos="2880"/>
        </w:tabs>
        <w:ind w:left="2880" w:hanging="360"/>
      </w:pPr>
      <w:rPr>
        <w:rFonts w:ascii="Arial" w:hAnsi="Arial" w:hint="default"/>
      </w:rPr>
    </w:lvl>
    <w:lvl w:ilvl="4" w:tplc="667E76F0" w:tentative="1">
      <w:start w:val="1"/>
      <w:numFmt w:val="bullet"/>
      <w:lvlText w:val="•"/>
      <w:lvlJc w:val="left"/>
      <w:pPr>
        <w:tabs>
          <w:tab w:val="num" w:pos="3600"/>
        </w:tabs>
        <w:ind w:left="3600" w:hanging="360"/>
      </w:pPr>
      <w:rPr>
        <w:rFonts w:ascii="Arial" w:hAnsi="Arial" w:hint="default"/>
      </w:rPr>
    </w:lvl>
    <w:lvl w:ilvl="5" w:tplc="685AD826" w:tentative="1">
      <w:start w:val="1"/>
      <w:numFmt w:val="bullet"/>
      <w:lvlText w:val="•"/>
      <w:lvlJc w:val="left"/>
      <w:pPr>
        <w:tabs>
          <w:tab w:val="num" w:pos="4320"/>
        </w:tabs>
        <w:ind w:left="4320" w:hanging="360"/>
      </w:pPr>
      <w:rPr>
        <w:rFonts w:ascii="Arial" w:hAnsi="Arial" w:hint="default"/>
      </w:rPr>
    </w:lvl>
    <w:lvl w:ilvl="6" w:tplc="BC78C974" w:tentative="1">
      <w:start w:val="1"/>
      <w:numFmt w:val="bullet"/>
      <w:lvlText w:val="•"/>
      <w:lvlJc w:val="left"/>
      <w:pPr>
        <w:tabs>
          <w:tab w:val="num" w:pos="5040"/>
        </w:tabs>
        <w:ind w:left="5040" w:hanging="360"/>
      </w:pPr>
      <w:rPr>
        <w:rFonts w:ascii="Arial" w:hAnsi="Arial" w:hint="default"/>
      </w:rPr>
    </w:lvl>
    <w:lvl w:ilvl="7" w:tplc="DBDE67EA" w:tentative="1">
      <w:start w:val="1"/>
      <w:numFmt w:val="bullet"/>
      <w:lvlText w:val="•"/>
      <w:lvlJc w:val="left"/>
      <w:pPr>
        <w:tabs>
          <w:tab w:val="num" w:pos="5760"/>
        </w:tabs>
        <w:ind w:left="5760" w:hanging="360"/>
      </w:pPr>
      <w:rPr>
        <w:rFonts w:ascii="Arial" w:hAnsi="Arial" w:hint="default"/>
      </w:rPr>
    </w:lvl>
    <w:lvl w:ilvl="8" w:tplc="DB9EBFD0" w:tentative="1">
      <w:start w:val="1"/>
      <w:numFmt w:val="bullet"/>
      <w:lvlText w:val="•"/>
      <w:lvlJc w:val="left"/>
      <w:pPr>
        <w:tabs>
          <w:tab w:val="num" w:pos="6480"/>
        </w:tabs>
        <w:ind w:left="6480" w:hanging="360"/>
      </w:pPr>
      <w:rPr>
        <w:rFonts w:ascii="Arial" w:hAnsi="Arial" w:hint="default"/>
      </w:rPr>
    </w:lvl>
  </w:abstractNum>
  <w:abstractNum w:abstractNumId="43">
    <w:nsid w:val="76A453AE"/>
    <w:multiLevelType w:val="hybridMultilevel"/>
    <w:tmpl w:val="118CAD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782B5FE4"/>
    <w:multiLevelType w:val="hybridMultilevel"/>
    <w:tmpl w:val="E294ED90"/>
    <w:lvl w:ilvl="0" w:tplc="901C1106">
      <w:start w:val="62"/>
      <w:numFmt w:val="bullet"/>
      <w:lvlText w:val="–"/>
      <w:lvlJc w:val="left"/>
      <w:pPr>
        <w:tabs>
          <w:tab w:val="num" w:pos="1440"/>
        </w:tabs>
        <w:ind w:left="1440" w:hanging="360"/>
      </w:pPr>
      <w:rPr>
        <w:rFonts w:ascii="Arial" w:hAnsi="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79783C79"/>
    <w:multiLevelType w:val="hybridMultilevel"/>
    <w:tmpl w:val="31BC68AC"/>
    <w:lvl w:ilvl="0" w:tplc="16729634">
      <w:start w:val="1"/>
      <w:numFmt w:val="upperLetter"/>
      <w:pStyle w:val="Component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BA31E7"/>
    <w:multiLevelType w:val="multilevel"/>
    <w:tmpl w:val="77C64E64"/>
    <w:lvl w:ilvl="0">
      <w:start w:val="1"/>
      <w:numFmt w:val="decimal"/>
      <w:lvlText w:val="%1."/>
      <w:lvlJc w:val="left"/>
      <w:pPr>
        <w:tabs>
          <w:tab w:val="num" w:pos="0"/>
        </w:tabs>
        <w:ind w:left="720" w:hanging="360"/>
      </w:pPr>
      <w:rPr>
        <w:rFonts w:cs="Times New Roman"/>
      </w:rPr>
    </w:lvl>
    <w:lvl w:ilvl="1">
      <w:start w:val="1"/>
      <w:numFmt w:val="decimal"/>
      <w:pStyle w:val="Sub-subHeadingGRM"/>
      <w:isLgl/>
      <w:lvlText w:val="%1.%2"/>
      <w:lvlJc w:val="left"/>
      <w:pPr>
        <w:tabs>
          <w:tab w:val="num" w:pos="0"/>
        </w:tabs>
        <w:ind w:left="2160" w:hanging="720"/>
      </w:pPr>
      <w:rPr>
        <w:rFonts w:cs="Times New Roman"/>
      </w:rPr>
    </w:lvl>
    <w:lvl w:ilvl="2">
      <w:start w:val="1"/>
      <w:numFmt w:val="decimal"/>
      <w:isLgl/>
      <w:lvlText w:val="%1.%2.%3"/>
      <w:lvlJc w:val="left"/>
      <w:pPr>
        <w:tabs>
          <w:tab w:val="num" w:pos="0"/>
        </w:tabs>
        <w:ind w:left="2160" w:hanging="720"/>
      </w:pPr>
      <w:rPr>
        <w:rFonts w:cs="Times New Roman"/>
      </w:rPr>
    </w:lvl>
    <w:lvl w:ilvl="3">
      <w:start w:val="1"/>
      <w:numFmt w:val="decimal"/>
      <w:isLgl/>
      <w:lvlText w:val="%1.%2.%3.%4"/>
      <w:lvlJc w:val="left"/>
      <w:pPr>
        <w:tabs>
          <w:tab w:val="num" w:pos="0"/>
        </w:tabs>
        <w:ind w:left="5040" w:hanging="1440"/>
      </w:pPr>
      <w:rPr>
        <w:rFonts w:cs="Times New Roman"/>
      </w:rPr>
    </w:lvl>
    <w:lvl w:ilvl="4">
      <w:start w:val="1"/>
      <w:numFmt w:val="decimal"/>
      <w:isLgl/>
      <w:lvlText w:val="%1.%2.%3.%4.%5"/>
      <w:lvlJc w:val="left"/>
      <w:pPr>
        <w:tabs>
          <w:tab w:val="num" w:pos="0"/>
        </w:tabs>
        <w:ind w:left="6120" w:hanging="1440"/>
      </w:pPr>
      <w:rPr>
        <w:rFonts w:cs="Times New Roman"/>
      </w:rPr>
    </w:lvl>
    <w:lvl w:ilvl="5">
      <w:start w:val="1"/>
      <w:numFmt w:val="decimal"/>
      <w:isLgl/>
      <w:lvlText w:val="%1.%2.%3.%4.%5.%6"/>
      <w:lvlJc w:val="left"/>
      <w:pPr>
        <w:tabs>
          <w:tab w:val="num" w:pos="0"/>
        </w:tabs>
        <w:ind w:left="7560" w:hanging="1800"/>
      </w:pPr>
      <w:rPr>
        <w:rFonts w:cs="Times New Roman"/>
      </w:rPr>
    </w:lvl>
    <w:lvl w:ilvl="6">
      <w:start w:val="1"/>
      <w:numFmt w:val="decimal"/>
      <w:isLgl/>
      <w:lvlText w:val="%1.%2.%3.%4.%5.%6.%7"/>
      <w:lvlJc w:val="left"/>
      <w:pPr>
        <w:tabs>
          <w:tab w:val="num" w:pos="0"/>
        </w:tabs>
        <w:ind w:left="9000" w:hanging="2160"/>
      </w:pPr>
      <w:rPr>
        <w:rFonts w:cs="Times New Roman"/>
      </w:rPr>
    </w:lvl>
    <w:lvl w:ilvl="7">
      <w:start w:val="1"/>
      <w:numFmt w:val="decimal"/>
      <w:isLgl/>
      <w:lvlText w:val="%1.%2.%3.%4.%5.%6.%7.%8"/>
      <w:lvlJc w:val="left"/>
      <w:pPr>
        <w:tabs>
          <w:tab w:val="num" w:pos="0"/>
        </w:tabs>
        <w:ind w:left="10440" w:hanging="2520"/>
      </w:pPr>
      <w:rPr>
        <w:rFonts w:cs="Times New Roman"/>
      </w:rPr>
    </w:lvl>
    <w:lvl w:ilvl="8">
      <w:start w:val="1"/>
      <w:numFmt w:val="decimal"/>
      <w:isLgl/>
      <w:lvlText w:val="%1.%2.%3.%4.%5.%6.%7.%8.%9"/>
      <w:lvlJc w:val="left"/>
      <w:pPr>
        <w:tabs>
          <w:tab w:val="num" w:pos="0"/>
        </w:tabs>
        <w:ind w:left="11880" w:hanging="2880"/>
      </w:pPr>
      <w:rPr>
        <w:rFonts w:cs="Times New Roman"/>
      </w:rPr>
    </w:lvl>
  </w:abstractNum>
  <w:num w:numId="1">
    <w:abstractNumId w:val="2"/>
  </w:num>
  <w:num w:numId="2">
    <w:abstractNumId w:val="23"/>
  </w:num>
  <w:num w:numId="3">
    <w:abstractNumId w:val="21"/>
  </w:num>
  <w:num w:numId="4">
    <w:abstractNumId w:val="38"/>
  </w:num>
  <w:num w:numId="5">
    <w:abstractNumId w:val="25"/>
  </w:num>
  <w:num w:numId="6">
    <w:abstractNumId w:val="31"/>
  </w:num>
  <w:num w:numId="7">
    <w:abstractNumId w:val="45"/>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num>
  <w:num w:numId="11">
    <w:abstractNumId w:val="27"/>
  </w:num>
  <w:num w:numId="12">
    <w:abstractNumId w:val="3"/>
  </w:num>
  <w:num w:numId="13">
    <w:abstractNumId w:val="5"/>
  </w:num>
  <w:num w:numId="14">
    <w:abstractNumId w:val="29"/>
  </w:num>
  <w:num w:numId="15">
    <w:abstractNumId w:val="4"/>
  </w:num>
  <w:num w:numId="16">
    <w:abstractNumId w:val="13"/>
  </w:num>
  <w:num w:numId="17">
    <w:abstractNumId w:val="9"/>
  </w:num>
  <w:num w:numId="18">
    <w:abstractNumId w:val="19"/>
  </w:num>
  <w:num w:numId="19">
    <w:abstractNumId w:val="10"/>
  </w:num>
  <w:num w:numId="20">
    <w:abstractNumId w:val="36"/>
  </w:num>
  <w:num w:numId="21">
    <w:abstractNumId w:val="0"/>
  </w:num>
  <w:num w:numId="22">
    <w:abstractNumId w:val="6"/>
  </w:num>
  <w:num w:numId="23">
    <w:abstractNumId w:val="12"/>
  </w:num>
  <w:num w:numId="24">
    <w:abstractNumId w:val="24"/>
  </w:num>
  <w:num w:numId="25">
    <w:abstractNumId w:val="26"/>
  </w:num>
  <w:num w:numId="26">
    <w:abstractNumId w:val="16"/>
  </w:num>
  <w:num w:numId="27">
    <w:abstractNumId w:val="43"/>
  </w:num>
  <w:num w:numId="28">
    <w:abstractNumId w:val="14"/>
  </w:num>
  <w:num w:numId="29">
    <w:abstractNumId w:val="44"/>
  </w:num>
  <w:num w:numId="30">
    <w:abstractNumId w:val="11"/>
  </w:num>
  <w:num w:numId="31">
    <w:abstractNumId w:val="40"/>
  </w:num>
  <w:num w:numId="32">
    <w:abstractNumId w:val="1"/>
  </w:num>
  <w:num w:numId="33">
    <w:abstractNumId w:val="42"/>
  </w:num>
  <w:num w:numId="34">
    <w:abstractNumId w:val="7"/>
  </w:num>
  <w:num w:numId="35">
    <w:abstractNumId w:val="28"/>
  </w:num>
  <w:num w:numId="36">
    <w:abstractNumId w:val="32"/>
  </w:num>
  <w:num w:numId="37">
    <w:abstractNumId w:val="20"/>
  </w:num>
  <w:num w:numId="38">
    <w:abstractNumId w:val="8"/>
  </w:num>
  <w:num w:numId="39">
    <w:abstractNumId w:val="18"/>
  </w:num>
  <w:num w:numId="40">
    <w:abstractNumId w:val="33"/>
  </w:num>
  <w:num w:numId="41">
    <w:abstractNumId w:val="17"/>
  </w:num>
  <w:num w:numId="42">
    <w:abstractNumId w:val="15"/>
  </w:num>
  <w:num w:numId="43">
    <w:abstractNumId w:val="37"/>
  </w:num>
  <w:num w:numId="44">
    <w:abstractNumId w:val="30"/>
  </w:num>
  <w:num w:numId="45">
    <w:abstractNumId w:val="35"/>
  </w:num>
  <w:num w:numId="46">
    <w:abstractNumId w:val="22"/>
  </w:num>
  <w:num w:numId="47">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0F"/>
    <w:rsid w:val="00001F9D"/>
    <w:rsid w:val="000025CA"/>
    <w:rsid w:val="00002792"/>
    <w:rsid w:val="00002946"/>
    <w:rsid w:val="00004494"/>
    <w:rsid w:val="00004FA2"/>
    <w:rsid w:val="00005486"/>
    <w:rsid w:val="0000614C"/>
    <w:rsid w:val="00006EFF"/>
    <w:rsid w:val="0001287F"/>
    <w:rsid w:val="00013982"/>
    <w:rsid w:val="00013C4C"/>
    <w:rsid w:val="00013E1E"/>
    <w:rsid w:val="00014BA2"/>
    <w:rsid w:val="00016533"/>
    <w:rsid w:val="00020449"/>
    <w:rsid w:val="000204C5"/>
    <w:rsid w:val="00021A84"/>
    <w:rsid w:val="0002328F"/>
    <w:rsid w:val="000235C4"/>
    <w:rsid w:val="000254B4"/>
    <w:rsid w:val="000339E3"/>
    <w:rsid w:val="00034DF9"/>
    <w:rsid w:val="0003589F"/>
    <w:rsid w:val="00037B23"/>
    <w:rsid w:val="00040D72"/>
    <w:rsid w:val="00040E0E"/>
    <w:rsid w:val="00041919"/>
    <w:rsid w:val="000454EF"/>
    <w:rsid w:val="0005128E"/>
    <w:rsid w:val="00051C34"/>
    <w:rsid w:val="00052828"/>
    <w:rsid w:val="00053954"/>
    <w:rsid w:val="00055F68"/>
    <w:rsid w:val="0005752A"/>
    <w:rsid w:val="00060212"/>
    <w:rsid w:val="00060C06"/>
    <w:rsid w:val="00063CE2"/>
    <w:rsid w:val="000676A0"/>
    <w:rsid w:val="000716D4"/>
    <w:rsid w:val="00072772"/>
    <w:rsid w:val="00072CF6"/>
    <w:rsid w:val="00075725"/>
    <w:rsid w:val="00077340"/>
    <w:rsid w:val="00082F9B"/>
    <w:rsid w:val="00087140"/>
    <w:rsid w:val="00090059"/>
    <w:rsid w:val="00090F49"/>
    <w:rsid w:val="000922D4"/>
    <w:rsid w:val="000A0EF4"/>
    <w:rsid w:val="000A2B83"/>
    <w:rsid w:val="000B07A2"/>
    <w:rsid w:val="000B18E4"/>
    <w:rsid w:val="000B7041"/>
    <w:rsid w:val="000C24AA"/>
    <w:rsid w:val="000C4418"/>
    <w:rsid w:val="000C4461"/>
    <w:rsid w:val="000C480E"/>
    <w:rsid w:val="000C5846"/>
    <w:rsid w:val="000C5DF5"/>
    <w:rsid w:val="000C61F5"/>
    <w:rsid w:val="000D1964"/>
    <w:rsid w:val="000D75A8"/>
    <w:rsid w:val="000D77DD"/>
    <w:rsid w:val="000E0554"/>
    <w:rsid w:val="000E1253"/>
    <w:rsid w:val="000E1A7A"/>
    <w:rsid w:val="000E3CBD"/>
    <w:rsid w:val="000E5087"/>
    <w:rsid w:val="000E69A4"/>
    <w:rsid w:val="000E7172"/>
    <w:rsid w:val="000F1210"/>
    <w:rsid w:val="000F3DC7"/>
    <w:rsid w:val="000F501B"/>
    <w:rsid w:val="000F7C73"/>
    <w:rsid w:val="00101276"/>
    <w:rsid w:val="00102DBC"/>
    <w:rsid w:val="00104D5C"/>
    <w:rsid w:val="00107667"/>
    <w:rsid w:val="00107894"/>
    <w:rsid w:val="001100E6"/>
    <w:rsid w:val="00111F23"/>
    <w:rsid w:val="00112416"/>
    <w:rsid w:val="001141E8"/>
    <w:rsid w:val="00115520"/>
    <w:rsid w:val="00117D9C"/>
    <w:rsid w:val="00121230"/>
    <w:rsid w:val="001238FF"/>
    <w:rsid w:val="001262C0"/>
    <w:rsid w:val="00131282"/>
    <w:rsid w:val="001316B8"/>
    <w:rsid w:val="001337ED"/>
    <w:rsid w:val="00134D1A"/>
    <w:rsid w:val="00135B2D"/>
    <w:rsid w:val="001408C3"/>
    <w:rsid w:val="00140A0A"/>
    <w:rsid w:val="00140ADA"/>
    <w:rsid w:val="00141F68"/>
    <w:rsid w:val="001427E5"/>
    <w:rsid w:val="00142BBE"/>
    <w:rsid w:val="00142CD0"/>
    <w:rsid w:val="00142DAE"/>
    <w:rsid w:val="00143500"/>
    <w:rsid w:val="001522A4"/>
    <w:rsid w:val="001524EE"/>
    <w:rsid w:val="00152F27"/>
    <w:rsid w:val="00155169"/>
    <w:rsid w:val="00156AAE"/>
    <w:rsid w:val="0016034C"/>
    <w:rsid w:val="00161DA4"/>
    <w:rsid w:val="00161DF7"/>
    <w:rsid w:val="00162620"/>
    <w:rsid w:val="001639B2"/>
    <w:rsid w:val="00165AA7"/>
    <w:rsid w:val="0017087B"/>
    <w:rsid w:val="001708EA"/>
    <w:rsid w:val="00170BA4"/>
    <w:rsid w:val="00170EDC"/>
    <w:rsid w:val="001715C9"/>
    <w:rsid w:val="00171C2B"/>
    <w:rsid w:val="001769F0"/>
    <w:rsid w:val="00177841"/>
    <w:rsid w:val="00181D25"/>
    <w:rsid w:val="00183CD8"/>
    <w:rsid w:val="00184629"/>
    <w:rsid w:val="00184795"/>
    <w:rsid w:val="001911B8"/>
    <w:rsid w:val="00191B96"/>
    <w:rsid w:val="00192304"/>
    <w:rsid w:val="001938C1"/>
    <w:rsid w:val="00195B80"/>
    <w:rsid w:val="001A066F"/>
    <w:rsid w:val="001A0E9C"/>
    <w:rsid w:val="001A1E39"/>
    <w:rsid w:val="001A2C5A"/>
    <w:rsid w:val="001A47DF"/>
    <w:rsid w:val="001A627E"/>
    <w:rsid w:val="001B32BF"/>
    <w:rsid w:val="001B3416"/>
    <w:rsid w:val="001B3447"/>
    <w:rsid w:val="001B3752"/>
    <w:rsid w:val="001B6001"/>
    <w:rsid w:val="001B78F7"/>
    <w:rsid w:val="001B793D"/>
    <w:rsid w:val="001B7D1D"/>
    <w:rsid w:val="001B7F3E"/>
    <w:rsid w:val="001C133B"/>
    <w:rsid w:val="001C2CC0"/>
    <w:rsid w:val="001C43ED"/>
    <w:rsid w:val="001C5128"/>
    <w:rsid w:val="001C553C"/>
    <w:rsid w:val="001C5C1D"/>
    <w:rsid w:val="001D06C3"/>
    <w:rsid w:val="001D30B4"/>
    <w:rsid w:val="001D3838"/>
    <w:rsid w:val="001D3FF8"/>
    <w:rsid w:val="001D5655"/>
    <w:rsid w:val="001D6F38"/>
    <w:rsid w:val="001D7BA1"/>
    <w:rsid w:val="001E16AF"/>
    <w:rsid w:val="001E1DE5"/>
    <w:rsid w:val="001E2541"/>
    <w:rsid w:val="001E25A2"/>
    <w:rsid w:val="001E2D2B"/>
    <w:rsid w:val="001E4C50"/>
    <w:rsid w:val="001E4CB3"/>
    <w:rsid w:val="001F2DAE"/>
    <w:rsid w:val="00200565"/>
    <w:rsid w:val="00202522"/>
    <w:rsid w:val="00202851"/>
    <w:rsid w:val="002050EA"/>
    <w:rsid w:val="0020580A"/>
    <w:rsid w:val="00205FB2"/>
    <w:rsid w:val="00212FCC"/>
    <w:rsid w:val="00214140"/>
    <w:rsid w:val="00214EE2"/>
    <w:rsid w:val="00220732"/>
    <w:rsid w:val="002211A0"/>
    <w:rsid w:val="00222D0D"/>
    <w:rsid w:val="00226630"/>
    <w:rsid w:val="00227EAE"/>
    <w:rsid w:val="002354B5"/>
    <w:rsid w:val="002366B9"/>
    <w:rsid w:val="00236ECC"/>
    <w:rsid w:val="00237910"/>
    <w:rsid w:val="002379D6"/>
    <w:rsid w:val="00240571"/>
    <w:rsid w:val="00240F1C"/>
    <w:rsid w:val="00241134"/>
    <w:rsid w:val="00242E8E"/>
    <w:rsid w:val="002432CA"/>
    <w:rsid w:val="00246B83"/>
    <w:rsid w:val="0025198B"/>
    <w:rsid w:val="00254385"/>
    <w:rsid w:val="0025480D"/>
    <w:rsid w:val="002557B2"/>
    <w:rsid w:val="002566D7"/>
    <w:rsid w:val="00264C93"/>
    <w:rsid w:val="00265047"/>
    <w:rsid w:val="002650EB"/>
    <w:rsid w:val="00271C57"/>
    <w:rsid w:val="002733C8"/>
    <w:rsid w:val="00273AA6"/>
    <w:rsid w:val="0027560F"/>
    <w:rsid w:val="00277CE4"/>
    <w:rsid w:val="00281EE6"/>
    <w:rsid w:val="00282559"/>
    <w:rsid w:val="00286E42"/>
    <w:rsid w:val="0029083B"/>
    <w:rsid w:val="0029230E"/>
    <w:rsid w:val="00295DB2"/>
    <w:rsid w:val="002966C5"/>
    <w:rsid w:val="00297F0A"/>
    <w:rsid w:val="002A0335"/>
    <w:rsid w:val="002A2744"/>
    <w:rsid w:val="002A3BFF"/>
    <w:rsid w:val="002A4378"/>
    <w:rsid w:val="002A70EA"/>
    <w:rsid w:val="002B1090"/>
    <w:rsid w:val="002B1704"/>
    <w:rsid w:val="002B1A12"/>
    <w:rsid w:val="002B22E5"/>
    <w:rsid w:val="002B2BF0"/>
    <w:rsid w:val="002B4304"/>
    <w:rsid w:val="002B67B4"/>
    <w:rsid w:val="002B76DC"/>
    <w:rsid w:val="002C0719"/>
    <w:rsid w:val="002C09EA"/>
    <w:rsid w:val="002C1B77"/>
    <w:rsid w:val="002C1C0C"/>
    <w:rsid w:val="002C28CA"/>
    <w:rsid w:val="002C2A66"/>
    <w:rsid w:val="002C3E00"/>
    <w:rsid w:val="002C49CD"/>
    <w:rsid w:val="002C4C0B"/>
    <w:rsid w:val="002C539B"/>
    <w:rsid w:val="002D0920"/>
    <w:rsid w:val="002D28CE"/>
    <w:rsid w:val="002D329F"/>
    <w:rsid w:val="002D3A96"/>
    <w:rsid w:val="002D469E"/>
    <w:rsid w:val="002D6E2A"/>
    <w:rsid w:val="002E2614"/>
    <w:rsid w:val="002E42CE"/>
    <w:rsid w:val="002E50C2"/>
    <w:rsid w:val="002E7501"/>
    <w:rsid w:val="002E7B60"/>
    <w:rsid w:val="002F132F"/>
    <w:rsid w:val="002F2288"/>
    <w:rsid w:val="002F2CD4"/>
    <w:rsid w:val="002F2D9B"/>
    <w:rsid w:val="002F4441"/>
    <w:rsid w:val="002F4A97"/>
    <w:rsid w:val="002F5350"/>
    <w:rsid w:val="002F7C8F"/>
    <w:rsid w:val="00300404"/>
    <w:rsid w:val="003010E7"/>
    <w:rsid w:val="0030257D"/>
    <w:rsid w:val="003036E8"/>
    <w:rsid w:val="00305306"/>
    <w:rsid w:val="0030574A"/>
    <w:rsid w:val="00310358"/>
    <w:rsid w:val="00311AD5"/>
    <w:rsid w:val="00313AEE"/>
    <w:rsid w:val="0031764B"/>
    <w:rsid w:val="00320A6F"/>
    <w:rsid w:val="00321C7E"/>
    <w:rsid w:val="00323E6A"/>
    <w:rsid w:val="00324000"/>
    <w:rsid w:val="0033179B"/>
    <w:rsid w:val="0033640D"/>
    <w:rsid w:val="0033736C"/>
    <w:rsid w:val="00341D87"/>
    <w:rsid w:val="003423A6"/>
    <w:rsid w:val="00343463"/>
    <w:rsid w:val="00343D08"/>
    <w:rsid w:val="00343EEE"/>
    <w:rsid w:val="00344E1C"/>
    <w:rsid w:val="00346B0D"/>
    <w:rsid w:val="003473D1"/>
    <w:rsid w:val="00347EEB"/>
    <w:rsid w:val="00353836"/>
    <w:rsid w:val="00355B1F"/>
    <w:rsid w:val="0035675A"/>
    <w:rsid w:val="00362F74"/>
    <w:rsid w:val="00364FBF"/>
    <w:rsid w:val="003653EE"/>
    <w:rsid w:val="0036572D"/>
    <w:rsid w:val="00370CA2"/>
    <w:rsid w:val="0037101B"/>
    <w:rsid w:val="00371740"/>
    <w:rsid w:val="00374B30"/>
    <w:rsid w:val="0037673A"/>
    <w:rsid w:val="003815CA"/>
    <w:rsid w:val="00381C86"/>
    <w:rsid w:val="003822FA"/>
    <w:rsid w:val="003860EA"/>
    <w:rsid w:val="00390169"/>
    <w:rsid w:val="00391683"/>
    <w:rsid w:val="0039296F"/>
    <w:rsid w:val="00393332"/>
    <w:rsid w:val="00393CA6"/>
    <w:rsid w:val="003947BB"/>
    <w:rsid w:val="003949C4"/>
    <w:rsid w:val="00395482"/>
    <w:rsid w:val="003963F8"/>
    <w:rsid w:val="00396788"/>
    <w:rsid w:val="003A16A0"/>
    <w:rsid w:val="003B0382"/>
    <w:rsid w:val="003B05BF"/>
    <w:rsid w:val="003B19BD"/>
    <w:rsid w:val="003B2898"/>
    <w:rsid w:val="003B31F8"/>
    <w:rsid w:val="003B327F"/>
    <w:rsid w:val="003B6807"/>
    <w:rsid w:val="003C09FB"/>
    <w:rsid w:val="003C3E6A"/>
    <w:rsid w:val="003D052E"/>
    <w:rsid w:val="003D100C"/>
    <w:rsid w:val="003D1E3A"/>
    <w:rsid w:val="003D2076"/>
    <w:rsid w:val="003D2D4A"/>
    <w:rsid w:val="003D63B4"/>
    <w:rsid w:val="003D79A2"/>
    <w:rsid w:val="003E063D"/>
    <w:rsid w:val="003E06C3"/>
    <w:rsid w:val="003E0C65"/>
    <w:rsid w:val="003E1431"/>
    <w:rsid w:val="003E15D9"/>
    <w:rsid w:val="003E1C28"/>
    <w:rsid w:val="003E3F80"/>
    <w:rsid w:val="003E45A7"/>
    <w:rsid w:val="003E46F9"/>
    <w:rsid w:val="003E537C"/>
    <w:rsid w:val="003E7263"/>
    <w:rsid w:val="003F03FA"/>
    <w:rsid w:val="003F133B"/>
    <w:rsid w:val="003F2010"/>
    <w:rsid w:val="003F2203"/>
    <w:rsid w:val="003F5937"/>
    <w:rsid w:val="00400C28"/>
    <w:rsid w:val="0040114E"/>
    <w:rsid w:val="00401562"/>
    <w:rsid w:val="004016DA"/>
    <w:rsid w:val="0040685D"/>
    <w:rsid w:val="00410E51"/>
    <w:rsid w:val="0041132E"/>
    <w:rsid w:val="00412B3C"/>
    <w:rsid w:val="0041568C"/>
    <w:rsid w:val="0042005C"/>
    <w:rsid w:val="0042282D"/>
    <w:rsid w:val="00426DFF"/>
    <w:rsid w:val="00427A7B"/>
    <w:rsid w:val="004325A0"/>
    <w:rsid w:val="00434827"/>
    <w:rsid w:val="00440899"/>
    <w:rsid w:val="00440D02"/>
    <w:rsid w:val="00444B1E"/>
    <w:rsid w:val="004451FD"/>
    <w:rsid w:val="00446F6B"/>
    <w:rsid w:val="00452822"/>
    <w:rsid w:val="0045377C"/>
    <w:rsid w:val="00454C4C"/>
    <w:rsid w:val="00457624"/>
    <w:rsid w:val="00460DDB"/>
    <w:rsid w:val="00460ED7"/>
    <w:rsid w:val="00460F5D"/>
    <w:rsid w:val="00461D0C"/>
    <w:rsid w:val="00463FE1"/>
    <w:rsid w:val="00465688"/>
    <w:rsid w:val="00471DE1"/>
    <w:rsid w:val="00472271"/>
    <w:rsid w:val="004728DA"/>
    <w:rsid w:val="00474909"/>
    <w:rsid w:val="00474B1B"/>
    <w:rsid w:val="00477760"/>
    <w:rsid w:val="0048012D"/>
    <w:rsid w:val="00481074"/>
    <w:rsid w:val="00482F24"/>
    <w:rsid w:val="004846C6"/>
    <w:rsid w:val="004849FA"/>
    <w:rsid w:val="0048596E"/>
    <w:rsid w:val="00485D43"/>
    <w:rsid w:val="00486393"/>
    <w:rsid w:val="00490878"/>
    <w:rsid w:val="00491901"/>
    <w:rsid w:val="004924D6"/>
    <w:rsid w:val="004936AB"/>
    <w:rsid w:val="00495D12"/>
    <w:rsid w:val="004A30FC"/>
    <w:rsid w:val="004A3FCD"/>
    <w:rsid w:val="004A6174"/>
    <w:rsid w:val="004A6862"/>
    <w:rsid w:val="004A7BA6"/>
    <w:rsid w:val="004B160E"/>
    <w:rsid w:val="004B24AF"/>
    <w:rsid w:val="004B34BB"/>
    <w:rsid w:val="004B405B"/>
    <w:rsid w:val="004B57BE"/>
    <w:rsid w:val="004B791B"/>
    <w:rsid w:val="004B7BF8"/>
    <w:rsid w:val="004C0782"/>
    <w:rsid w:val="004C2127"/>
    <w:rsid w:val="004C3C2B"/>
    <w:rsid w:val="004C5384"/>
    <w:rsid w:val="004C5B58"/>
    <w:rsid w:val="004C7108"/>
    <w:rsid w:val="004D07EE"/>
    <w:rsid w:val="004D1D2E"/>
    <w:rsid w:val="004D39B5"/>
    <w:rsid w:val="004D3B48"/>
    <w:rsid w:val="004D3CA2"/>
    <w:rsid w:val="004D52C4"/>
    <w:rsid w:val="004D5482"/>
    <w:rsid w:val="004D54C4"/>
    <w:rsid w:val="004D7223"/>
    <w:rsid w:val="004E05A7"/>
    <w:rsid w:val="004E20DF"/>
    <w:rsid w:val="004E21F6"/>
    <w:rsid w:val="004E3F4B"/>
    <w:rsid w:val="004E4D4E"/>
    <w:rsid w:val="004F142D"/>
    <w:rsid w:val="004F1B99"/>
    <w:rsid w:val="004F47C2"/>
    <w:rsid w:val="004F5931"/>
    <w:rsid w:val="004F60D7"/>
    <w:rsid w:val="004F633C"/>
    <w:rsid w:val="004F697B"/>
    <w:rsid w:val="004F75A3"/>
    <w:rsid w:val="004F777A"/>
    <w:rsid w:val="0050060A"/>
    <w:rsid w:val="005028AC"/>
    <w:rsid w:val="005035F1"/>
    <w:rsid w:val="00505381"/>
    <w:rsid w:val="00506D5E"/>
    <w:rsid w:val="00513170"/>
    <w:rsid w:val="005132C3"/>
    <w:rsid w:val="005138E5"/>
    <w:rsid w:val="00514102"/>
    <w:rsid w:val="00515080"/>
    <w:rsid w:val="00515E42"/>
    <w:rsid w:val="0051683B"/>
    <w:rsid w:val="00517856"/>
    <w:rsid w:val="00521F0E"/>
    <w:rsid w:val="005233BB"/>
    <w:rsid w:val="00523FE3"/>
    <w:rsid w:val="00524624"/>
    <w:rsid w:val="005257E4"/>
    <w:rsid w:val="00526474"/>
    <w:rsid w:val="00526C98"/>
    <w:rsid w:val="005360B7"/>
    <w:rsid w:val="005361A6"/>
    <w:rsid w:val="00544AD2"/>
    <w:rsid w:val="00544E5D"/>
    <w:rsid w:val="00545A22"/>
    <w:rsid w:val="005502A2"/>
    <w:rsid w:val="00550AA5"/>
    <w:rsid w:val="00552403"/>
    <w:rsid w:val="00552558"/>
    <w:rsid w:val="00553930"/>
    <w:rsid w:val="00557C8F"/>
    <w:rsid w:val="005636A9"/>
    <w:rsid w:val="005656FD"/>
    <w:rsid w:val="00566B63"/>
    <w:rsid w:val="00566B65"/>
    <w:rsid w:val="005708A5"/>
    <w:rsid w:val="00573F75"/>
    <w:rsid w:val="00580C93"/>
    <w:rsid w:val="005847A5"/>
    <w:rsid w:val="00586D9C"/>
    <w:rsid w:val="005870FD"/>
    <w:rsid w:val="00587F51"/>
    <w:rsid w:val="00591F82"/>
    <w:rsid w:val="00594C51"/>
    <w:rsid w:val="005951FC"/>
    <w:rsid w:val="00595DB0"/>
    <w:rsid w:val="00597821"/>
    <w:rsid w:val="00597A88"/>
    <w:rsid w:val="005A2B58"/>
    <w:rsid w:val="005A32AE"/>
    <w:rsid w:val="005A4AD6"/>
    <w:rsid w:val="005A7CEA"/>
    <w:rsid w:val="005A7E98"/>
    <w:rsid w:val="005B0438"/>
    <w:rsid w:val="005B093F"/>
    <w:rsid w:val="005B0955"/>
    <w:rsid w:val="005B22DA"/>
    <w:rsid w:val="005B5202"/>
    <w:rsid w:val="005B694F"/>
    <w:rsid w:val="005B7B3D"/>
    <w:rsid w:val="005C496B"/>
    <w:rsid w:val="005C572E"/>
    <w:rsid w:val="005C5B67"/>
    <w:rsid w:val="005C6605"/>
    <w:rsid w:val="005D17F0"/>
    <w:rsid w:val="005D1A8B"/>
    <w:rsid w:val="005D41FC"/>
    <w:rsid w:val="005D46D3"/>
    <w:rsid w:val="005D586D"/>
    <w:rsid w:val="005D6E1D"/>
    <w:rsid w:val="005D7977"/>
    <w:rsid w:val="005E0F73"/>
    <w:rsid w:val="005E1006"/>
    <w:rsid w:val="005E259F"/>
    <w:rsid w:val="005E2933"/>
    <w:rsid w:val="005E3B1B"/>
    <w:rsid w:val="005E4628"/>
    <w:rsid w:val="005E499E"/>
    <w:rsid w:val="005E5289"/>
    <w:rsid w:val="005E66BD"/>
    <w:rsid w:val="005E7786"/>
    <w:rsid w:val="005F0088"/>
    <w:rsid w:val="005F2DD3"/>
    <w:rsid w:val="005F37E4"/>
    <w:rsid w:val="005F5111"/>
    <w:rsid w:val="005F539D"/>
    <w:rsid w:val="00600950"/>
    <w:rsid w:val="00602422"/>
    <w:rsid w:val="0060744A"/>
    <w:rsid w:val="0061431D"/>
    <w:rsid w:val="00614343"/>
    <w:rsid w:val="00617F3F"/>
    <w:rsid w:val="00620544"/>
    <w:rsid w:val="00621D17"/>
    <w:rsid w:val="006221A8"/>
    <w:rsid w:val="00622247"/>
    <w:rsid w:val="00623528"/>
    <w:rsid w:val="00623ED2"/>
    <w:rsid w:val="0062636F"/>
    <w:rsid w:val="006263C5"/>
    <w:rsid w:val="00630150"/>
    <w:rsid w:val="00632128"/>
    <w:rsid w:val="00632E18"/>
    <w:rsid w:val="00633F61"/>
    <w:rsid w:val="00634BFF"/>
    <w:rsid w:val="00636C45"/>
    <w:rsid w:val="0064180F"/>
    <w:rsid w:val="00642B20"/>
    <w:rsid w:val="0064409B"/>
    <w:rsid w:val="006444A6"/>
    <w:rsid w:val="00645A0C"/>
    <w:rsid w:val="00651EDB"/>
    <w:rsid w:val="00653767"/>
    <w:rsid w:val="006552EA"/>
    <w:rsid w:val="00655FD4"/>
    <w:rsid w:val="00657F84"/>
    <w:rsid w:val="0066061A"/>
    <w:rsid w:val="00660AAC"/>
    <w:rsid w:val="00660C59"/>
    <w:rsid w:val="00665143"/>
    <w:rsid w:val="00665686"/>
    <w:rsid w:val="00666F5E"/>
    <w:rsid w:val="0066710E"/>
    <w:rsid w:val="0066753C"/>
    <w:rsid w:val="0067114A"/>
    <w:rsid w:val="00673A2C"/>
    <w:rsid w:val="00674D6B"/>
    <w:rsid w:val="00674E50"/>
    <w:rsid w:val="00676556"/>
    <w:rsid w:val="006802A8"/>
    <w:rsid w:val="006844EE"/>
    <w:rsid w:val="00684895"/>
    <w:rsid w:val="006857C1"/>
    <w:rsid w:val="00690C81"/>
    <w:rsid w:val="00692547"/>
    <w:rsid w:val="00695799"/>
    <w:rsid w:val="006A004A"/>
    <w:rsid w:val="006A0278"/>
    <w:rsid w:val="006A1C66"/>
    <w:rsid w:val="006A3033"/>
    <w:rsid w:val="006A3FE4"/>
    <w:rsid w:val="006A4392"/>
    <w:rsid w:val="006A6380"/>
    <w:rsid w:val="006A754A"/>
    <w:rsid w:val="006B010E"/>
    <w:rsid w:val="006B03C7"/>
    <w:rsid w:val="006B172D"/>
    <w:rsid w:val="006B27AB"/>
    <w:rsid w:val="006B35A6"/>
    <w:rsid w:val="006B3BBF"/>
    <w:rsid w:val="006B59B1"/>
    <w:rsid w:val="006B5DCF"/>
    <w:rsid w:val="006B6731"/>
    <w:rsid w:val="006B7C14"/>
    <w:rsid w:val="006C0495"/>
    <w:rsid w:val="006C1058"/>
    <w:rsid w:val="006C5506"/>
    <w:rsid w:val="006C5C51"/>
    <w:rsid w:val="006C64F5"/>
    <w:rsid w:val="006C7CF9"/>
    <w:rsid w:val="006D2451"/>
    <w:rsid w:val="006D321C"/>
    <w:rsid w:val="006D35C3"/>
    <w:rsid w:val="006D47E7"/>
    <w:rsid w:val="006D7CA5"/>
    <w:rsid w:val="006E1560"/>
    <w:rsid w:val="006E2EBF"/>
    <w:rsid w:val="006E3905"/>
    <w:rsid w:val="006E7C85"/>
    <w:rsid w:val="006F3A41"/>
    <w:rsid w:val="0070092E"/>
    <w:rsid w:val="00701C1B"/>
    <w:rsid w:val="007023B4"/>
    <w:rsid w:val="007050F3"/>
    <w:rsid w:val="00710EE4"/>
    <w:rsid w:val="007129E1"/>
    <w:rsid w:val="0071453B"/>
    <w:rsid w:val="007149D7"/>
    <w:rsid w:val="00715C55"/>
    <w:rsid w:val="00716285"/>
    <w:rsid w:val="0072264F"/>
    <w:rsid w:val="00723277"/>
    <w:rsid w:val="0072558E"/>
    <w:rsid w:val="00726F32"/>
    <w:rsid w:val="007306FF"/>
    <w:rsid w:val="007340FE"/>
    <w:rsid w:val="00734194"/>
    <w:rsid w:val="007356B7"/>
    <w:rsid w:val="00735835"/>
    <w:rsid w:val="00736DFC"/>
    <w:rsid w:val="00737BD8"/>
    <w:rsid w:val="00737F1C"/>
    <w:rsid w:val="00740EDB"/>
    <w:rsid w:val="00742551"/>
    <w:rsid w:val="00743C34"/>
    <w:rsid w:val="0074638F"/>
    <w:rsid w:val="007476C7"/>
    <w:rsid w:val="00750322"/>
    <w:rsid w:val="00750894"/>
    <w:rsid w:val="00750C22"/>
    <w:rsid w:val="007540A8"/>
    <w:rsid w:val="00754B93"/>
    <w:rsid w:val="00755B9C"/>
    <w:rsid w:val="0075632D"/>
    <w:rsid w:val="0076076F"/>
    <w:rsid w:val="00760D45"/>
    <w:rsid w:val="007611FA"/>
    <w:rsid w:val="007641E2"/>
    <w:rsid w:val="0076545F"/>
    <w:rsid w:val="007654C1"/>
    <w:rsid w:val="00771347"/>
    <w:rsid w:val="00773417"/>
    <w:rsid w:val="0077392A"/>
    <w:rsid w:val="007746C8"/>
    <w:rsid w:val="0077674C"/>
    <w:rsid w:val="00776898"/>
    <w:rsid w:val="00777070"/>
    <w:rsid w:val="007804FA"/>
    <w:rsid w:val="00784709"/>
    <w:rsid w:val="00784ACC"/>
    <w:rsid w:val="00786A6C"/>
    <w:rsid w:val="00786A7D"/>
    <w:rsid w:val="007876AB"/>
    <w:rsid w:val="00791AF5"/>
    <w:rsid w:val="00792346"/>
    <w:rsid w:val="00792B5D"/>
    <w:rsid w:val="00794DF9"/>
    <w:rsid w:val="007A0F2A"/>
    <w:rsid w:val="007A33CC"/>
    <w:rsid w:val="007A4FC9"/>
    <w:rsid w:val="007A4FEB"/>
    <w:rsid w:val="007A6524"/>
    <w:rsid w:val="007A7B57"/>
    <w:rsid w:val="007A7BEC"/>
    <w:rsid w:val="007B366F"/>
    <w:rsid w:val="007B5422"/>
    <w:rsid w:val="007C12A9"/>
    <w:rsid w:val="007C25BD"/>
    <w:rsid w:val="007C26F4"/>
    <w:rsid w:val="007C3013"/>
    <w:rsid w:val="007C3DA7"/>
    <w:rsid w:val="007C43F7"/>
    <w:rsid w:val="007C5FB3"/>
    <w:rsid w:val="007C6D6F"/>
    <w:rsid w:val="007D0F78"/>
    <w:rsid w:val="007D16D1"/>
    <w:rsid w:val="007D3ECA"/>
    <w:rsid w:val="007D45D7"/>
    <w:rsid w:val="007D5F57"/>
    <w:rsid w:val="007D60FB"/>
    <w:rsid w:val="007D65A8"/>
    <w:rsid w:val="007D6BE9"/>
    <w:rsid w:val="007E175F"/>
    <w:rsid w:val="007E2CEE"/>
    <w:rsid w:val="007E3419"/>
    <w:rsid w:val="007E38B5"/>
    <w:rsid w:val="007E3D92"/>
    <w:rsid w:val="007E6233"/>
    <w:rsid w:val="007F08B0"/>
    <w:rsid w:val="007F2BDB"/>
    <w:rsid w:val="007F2E53"/>
    <w:rsid w:val="007F2E8C"/>
    <w:rsid w:val="007F678F"/>
    <w:rsid w:val="007F6895"/>
    <w:rsid w:val="007F6C27"/>
    <w:rsid w:val="007F6DAD"/>
    <w:rsid w:val="007F75DB"/>
    <w:rsid w:val="008028F7"/>
    <w:rsid w:val="00803E40"/>
    <w:rsid w:val="00803F5E"/>
    <w:rsid w:val="00804E48"/>
    <w:rsid w:val="00805C24"/>
    <w:rsid w:val="008061F0"/>
    <w:rsid w:val="008076CA"/>
    <w:rsid w:val="0081071B"/>
    <w:rsid w:val="00813726"/>
    <w:rsid w:val="0081376A"/>
    <w:rsid w:val="008167F4"/>
    <w:rsid w:val="008175D1"/>
    <w:rsid w:val="00820287"/>
    <w:rsid w:val="00821429"/>
    <w:rsid w:val="008303A8"/>
    <w:rsid w:val="00831752"/>
    <w:rsid w:val="00831E85"/>
    <w:rsid w:val="00835AD1"/>
    <w:rsid w:val="00837471"/>
    <w:rsid w:val="00837F2C"/>
    <w:rsid w:val="008413EA"/>
    <w:rsid w:val="00841416"/>
    <w:rsid w:val="00841A20"/>
    <w:rsid w:val="0084232A"/>
    <w:rsid w:val="00843133"/>
    <w:rsid w:val="00845C42"/>
    <w:rsid w:val="00846435"/>
    <w:rsid w:val="00847E0C"/>
    <w:rsid w:val="00847E99"/>
    <w:rsid w:val="008504DF"/>
    <w:rsid w:val="00853223"/>
    <w:rsid w:val="00853395"/>
    <w:rsid w:val="00855168"/>
    <w:rsid w:val="00855E4D"/>
    <w:rsid w:val="00857386"/>
    <w:rsid w:val="00863916"/>
    <w:rsid w:val="0086593D"/>
    <w:rsid w:val="008659B1"/>
    <w:rsid w:val="008667AF"/>
    <w:rsid w:val="00870BA0"/>
    <w:rsid w:val="00871DAA"/>
    <w:rsid w:val="0087238C"/>
    <w:rsid w:val="008773C5"/>
    <w:rsid w:val="00877474"/>
    <w:rsid w:val="00877CA2"/>
    <w:rsid w:val="00881C82"/>
    <w:rsid w:val="008836C2"/>
    <w:rsid w:val="008838C3"/>
    <w:rsid w:val="00885135"/>
    <w:rsid w:val="00886E79"/>
    <w:rsid w:val="008873D9"/>
    <w:rsid w:val="00887F9F"/>
    <w:rsid w:val="008907F6"/>
    <w:rsid w:val="0089129C"/>
    <w:rsid w:val="0089163F"/>
    <w:rsid w:val="00892F1C"/>
    <w:rsid w:val="00894BF2"/>
    <w:rsid w:val="008956DA"/>
    <w:rsid w:val="008A0673"/>
    <w:rsid w:val="008A225F"/>
    <w:rsid w:val="008A7922"/>
    <w:rsid w:val="008B509E"/>
    <w:rsid w:val="008B554A"/>
    <w:rsid w:val="008B6E23"/>
    <w:rsid w:val="008B70A5"/>
    <w:rsid w:val="008C1105"/>
    <w:rsid w:val="008C29F0"/>
    <w:rsid w:val="008C3A9A"/>
    <w:rsid w:val="008C3BC8"/>
    <w:rsid w:val="008C439D"/>
    <w:rsid w:val="008C5129"/>
    <w:rsid w:val="008C53D2"/>
    <w:rsid w:val="008C5E1D"/>
    <w:rsid w:val="008D1A48"/>
    <w:rsid w:val="008D3475"/>
    <w:rsid w:val="008D4B17"/>
    <w:rsid w:val="008D5566"/>
    <w:rsid w:val="008E031E"/>
    <w:rsid w:val="008E21A9"/>
    <w:rsid w:val="008E311F"/>
    <w:rsid w:val="008E3A4C"/>
    <w:rsid w:val="008E5541"/>
    <w:rsid w:val="008E5E81"/>
    <w:rsid w:val="008F075A"/>
    <w:rsid w:val="008F0F0B"/>
    <w:rsid w:val="008F0FC4"/>
    <w:rsid w:val="008F1792"/>
    <w:rsid w:val="008F1BB7"/>
    <w:rsid w:val="008F250F"/>
    <w:rsid w:val="008F2611"/>
    <w:rsid w:val="008F3087"/>
    <w:rsid w:val="008F5D6C"/>
    <w:rsid w:val="00901646"/>
    <w:rsid w:val="00902225"/>
    <w:rsid w:val="0090486D"/>
    <w:rsid w:val="0090551C"/>
    <w:rsid w:val="00905691"/>
    <w:rsid w:val="009121D1"/>
    <w:rsid w:val="00913485"/>
    <w:rsid w:val="0091417A"/>
    <w:rsid w:val="00921483"/>
    <w:rsid w:val="00921529"/>
    <w:rsid w:val="0092306D"/>
    <w:rsid w:val="0092372D"/>
    <w:rsid w:val="009245EC"/>
    <w:rsid w:val="00925AA4"/>
    <w:rsid w:val="00926C7B"/>
    <w:rsid w:val="009270ED"/>
    <w:rsid w:val="00927C72"/>
    <w:rsid w:val="00932D4A"/>
    <w:rsid w:val="00934964"/>
    <w:rsid w:val="009369C9"/>
    <w:rsid w:val="00936D7F"/>
    <w:rsid w:val="00937E7F"/>
    <w:rsid w:val="00937ECB"/>
    <w:rsid w:val="00941ACB"/>
    <w:rsid w:val="00942509"/>
    <w:rsid w:val="0094251C"/>
    <w:rsid w:val="00942983"/>
    <w:rsid w:val="00942B9D"/>
    <w:rsid w:val="00944FA0"/>
    <w:rsid w:val="00945943"/>
    <w:rsid w:val="009478A8"/>
    <w:rsid w:val="00950598"/>
    <w:rsid w:val="00950C52"/>
    <w:rsid w:val="00951C43"/>
    <w:rsid w:val="00951C9D"/>
    <w:rsid w:val="00952E26"/>
    <w:rsid w:val="00953F69"/>
    <w:rsid w:val="0095421D"/>
    <w:rsid w:val="00955F7F"/>
    <w:rsid w:val="00957B9A"/>
    <w:rsid w:val="00960242"/>
    <w:rsid w:val="00963FF3"/>
    <w:rsid w:val="00965C54"/>
    <w:rsid w:val="00966130"/>
    <w:rsid w:val="00967984"/>
    <w:rsid w:val="00967B18"/>
    <w:rsid w:val="0097441C"/>
    <w:rsid w:val="00975361"/>
    <w:rsid w:val="00977372"/>
    <w:rsid w:val="00977645"/>
    <w:rsid w:val="00980485"/>
    <w:rsid w:val="009837C8"/>
    <w:rsid w:val="00984067"/>
    <w:rsid w:val="00984BB5"/>
    <w:rsid w:val="009854E4"/>
    <w:rsid w:val="00987E7F"/>
    <w:rsid w:val="009930D6"/>
    <w:rsid w:val="00993709"/>
    <w:rsid w:val="00994F52"/>
    <w:rsid w:val="009A13C5"/>
    <w:rsid w:val="009A2AE5"/>
    <w:rsid w:val="009A2BD1"/>
    <w:rsid w:val="009A49BF"/>
    <w:rsid w:val="009A53A8"/>
    <w:rsid w:val="009A5A97"/>
    <w:rsid w:val="009A5F8C"/>
    <w:rsid w:val="009A7A36"/>
    <w:rsid w:val="009B4B70"/>
    <w:rsid w:val="009B4C3A"/>
    <w:rsid w:val="009B6197"/>
    <w:rsid w:val="009B6786"/>
    <w:rsid w:val="009B7572"/>
    <w:rsid w:val="009C12A8"/>
    <w:rsid w:val="009C20F8"/>
    <w:rsid w:val="009C26E6"/>
    <w:rsid w:val="009C392B"/>
    <w:rsid w:val="009C397C"/>
    <w:rsid w:val="009C45C0"/>
    <w:rsid w:val="009C56FE"/>
    <w:rsid w:val="009C6C45"/>
    <w:rsid w:val="009D1563"/>
    <w:rsid w:val="009D229D"/>
    <w:rsid w:val="009D404D"/>
    <w:rsid w:val="009D5419"/>
    <w:rsid w:val="009D6887"/>
    <w:rsid w:val="009D6F5B"/>
    <w:rsid w:val="009E7E3D"/>
    <w:rsid w:val="009F0F25"/>
    <w:rsid w:val="009F1402"/>
    <w:rsid w:val="009F1793"/>
    <w:rsid w:val="009F2010"/>
    <w:rsid w:val="009F3E77"/>
    <w:rsid w:val="009F4423"/>
    <w:rsid w:val="009F4959"/>
    <w:rsid w:val="009F4A3B"/>
    <w:rsid w:val="009F5AB2"/>
    <w:rsid w:val="009F65C0"/>
    <w:rsid w:val="00A0008B"/>
    <w:rsid w:val="00A00FBD"/>
    <w:rsid w:val="00A02318"/>
    <w:rsid w:val="00A02486"/>
    <w:rsid w:val="00A046D5"/>
    <w:rsid w:val="00A105C4"/>
    <w:rsid w:val="00A150DD"/>
    <w:rsid w:val="00A171A4"/>
    <w:rsid w:val="00A17377"/>
    <w:rsid w:val="00A20891"/>
    <w:rsid w:val="00A2147E"/>
    <w:rsid w:val="00A21908"/>
    <w:rsid w:val="00A21FCE"/>
    <w:rsid w:val="00A23616"/>
    <w:rsid w:val="00A249C7"/>
    <w:rsid w:val="00A24DF9"/>
    <w:rsid w:val="00A275C8"/>
    <w:rsid w:val="00A31D95"/>
    <w:rsid w:val="00A321C4"/>
    <w:rsid w:val="00A32D89"/>
    <w:rsid w:val="00A32D8D"/>
    <w:rsid w:val="00A34305"/>
    <w:rsid w:val="00A35791"/>
    <w:rsid w:val="00A37673"/>
    <w:rsid w:val="00A37CED"/>
    <w:rsid w:val="00A40760"/>
    <w:rsid w:val="00A416E4"/>
    <w:rsid w:val="00A41C28"/>
    <w:rsid w:val="00A41E7A"/>
    <w:rsid w:val="00A43780"/>
    <w:rsid w:val="00A44143"/>
    <w:rsid w:val="00A44610"/>
    <w:rsid w:val="00A5375D"/>
    <w:rsid w:val="00A5644C"/>
    <w:rsid w:val="00A57844"/>
    <w:rsid w:val="00A57A4D"/>
    <w:rsid w:val="00A6164C"/>
    <w:rsid w:val="00A61C3F"/>
    <w:rsid w:val="00A62474"/>
    <w:rsid w:val="00A625D4"/>
    <w:rsid w:val="00A628A2"/>
    <w:rsid w:val="00A6318E"/>
    <w:rsid w:val="00A63306"/>
    <w:rsid w:val="00A64DCC"/>
    <w:rsid w:val="00A7042F"/>
    <w:rsid w:val="00A725F3"/>
    <w:rsid w:val="00A72D20"/>
    <w:rsid w:val="00A74CCA"/>
    <w:rsid w:val="00A75481"/>
    <w:rsid w:val="00A768D0"/>
    <w:rsid w:val="00A775F5"/>
    <w:rsid w:val="00A82538"/>
    <w:rsid w:val="00A833E1"/>
    <w:rsid w:val="00A83E28"/>
    <w:rsid w:val="00A85367"/>
    <w:rsid w:val="00A87325"/>
    <w:rsid w:val="00A92D65"/>
    <w:rsid w:val="00A9375F"/>
    <w:rsid w:val="00A938C1"/>
    <w:rsid w:val="00A95F27"/>
    <w:rsid w:val="00AA0DD5"/>
    <w:rsid w:val="00AA4115"/>
    <w:rsid w:val="00AA684E"/>
    <w:rsid w:val="00AA690A"/>
    <w:rsid w:val="00AA6D69"/>
    <w:rsid w:val="00AB1142"/>
    <w:rsid w:val="00AB1D11"/>
    <w:rsid w:val="00AB2C09"/>
    <w:rsid w:val="00AB654A"/>
    <w:rsid w:val="00AB769A"/>
    <w:rsid w:val="00AB7FB6"/>
    <w:rsid w:val="00AC3704"/>
    <w:rsid w:val="00AC3D6D"/>
    <w:rsid w:val="00AC4D86"/>
    <w:rsid w:val="00AC4E19"/>
    <w:rsid w:val="00AD0BA2"/>
    <w:rsid w:val="00AD1051"/>
    <w:rsid w:val="00AD198E"/>
    <w:rsid w:val="00AD3C71"/>
    <w:rsid w:val="00AD3FDF"/>
    <w:rsid w:val="00AD643F"/>
    <w:rsid w:val="00AE0660"/>
    <w:rsid w:val="00AE1C0A"/>
    <w:rsid w:val="00AE3B9F"/>
    <w:rsid w:val="00AF154E"/>
    <w:rsid w:val="00AF1D30"/>
    <w:rsid w:val="00B0009A"/>
    <w:rsid w:val="00B02D1A"/>
    <w:rsid w:val="00B042B6"/>
    <w:rsid w:val="00B05C78"/>
    <w:rsid w:val="00B101DA"/>
    <w:rsid w:val="00B10DDB"/>
    <w:rsid w:val="00B12976"/>
    <w:rsid w:val="00B135EA"/>
    <w:rsid w:val="00B14638"/>
    <w:rsid w:val="00B1487E"/>
    <w:rsid w:val="00B1766A"/>
    <w:rsid w:val="00B220E4"/>
    <w:rsid w:val="00B22829"/>
    <w:rsid w:val="00B22FA3"/>
    <w:rsid w:val="00B23D20"/>
    <w:rsid w:val="00B24747"/>
    <w:rsid w:val="00B25964"/>
    <w:rsid w:val="00B26CF4"/>
    <w:rsid w:val="00B31C98"/>
    <w:rsid w:val="00B34B3A"/>
    <w:rsid w:val="00B34F89"/>
    <w:rsid w:val="00B42B5A"/>
    <w:rsid w:val="00B437EB"/>
    <w:rsid w:val="00B465A5"/>
    <w:rsid w:val="00B46A76"/>
    <w:rsid w:val="00B47E47"/>
    <w:rsid w:val="00B50E67"/>
    <w:rsid w:val="00B52561"/>
    <w:rsid w:val="00B52B55"/>
    <w:rsid w:val="00B5438D"/>
    <w:rsid w:val="00B5659B"/>
    <w:rsid w:val="00B613A8"/>
    <w:rsid w:val="00B61D83"/>
    <w:rsid w:val="00B62DA0"/>
    <w:rsid w:val="00B64230"/>
    <w:rsid w:val="00B658C1"/>
    <w:rsid w:val="00B70D6E"/>
    <w:rsid w:val="00B714D4"/>
    <w:rsid w:val="00B72E15"/>
    <w:rsid w:val="00B750B0"/>
    <w:rsid w:val="00B81603"/>
    <w:rsid w:val="00B83229"/>
    <w:rsid w:val="00B86A49"/>
    <w:rsid w:val="00B87544"/>
    <w:rsid w:val="00B87ABB"/>
    <w:rsid w:val="00B9487D"/>
    <w:rsid w:val="00B95161"/>
    <w:rsid w:val="00BA1E28"/>
    <w:rsid w:val="00BA25D2"/>
    <w:rsid w:val="00BA2981"/>
    <w:rsid w:val="00BA3A2F"/>
    <w:rsid w:val="00BA5771"/>
    <w:rsid w:val="00BA6009"/>
    <w:rsid w:val="00BA7749"/>
    <w:rsid w:val="00BB0617"/>
    <w:rsid w:val="00BB0684"/>
    <w:rsid w:val="00BB11DE"/>
    <w:rsid w:val="00BB2552"/>
    <w:rsid w:val="00BB2596"/>
    <w:rsid w:val="00BB4B62"/>
    <w:rsid w:val="00BC341C"/>
    <w:rsid w:val="00BC3811"/>
    <w:rsid w:val="00BC5611"/>
    <w:rsid w:val="00BC57F9"/>
    <w:rsid w:val="00BC71D6"/>
    <w:rsid w:val="00BD242A"/>
    <w:rsid w:val="00BD3F67"/>
    <w:rsid w:val="00BE0B2E"/>
    <w:rsid w:val="00BE17EC"/>
    <w:rsid w:val="00BE4487"/>
    <w:rsid w:val="00BE644C"/>
    <w:rsid w:val="00BF0FCD"/>
    <w:rsid w:val="00BF5314"/>
    <w:rsid w:val="00BF69CA"/>
    <w:rsid w:val="00C00388"/>
    <w:rsid w:val="00C03ABF"/>
    <w:rsid w:val="00C05A8D"/>
    <w:rsid w:val="00C075C9"/>
    <w:rsid w:val="00C0786C"/>
    <w:rsid w:val="00C12542"/>
    <w:rsid w:val="00C126E8"/>
    <w:rsid w:val="00C13FF4"/>
    <w:rsid w:val="00C14B32"/>
    <w:rsid w:val="00C14B52"/>
    <w:rsid w:val="00C21E7A"/>
    <w:rsid w:val="00C252DF"/>
    <w:rsid w:val="00C25930"/>
    <w:rsid w:val="00C26715"/>
    <w:rsid w:val="00C31B5D"/>
    <w:rsid w:val="00C37AB2"/>
    <w:rsid w:val="00C40998"/>
    <w:rsid w:val="00C413AA"/>
    <w:rsid w:val="00C4171F"/>
    <w:rsid w:val="00C469AC"/>
    <w:rsid w:val="00C4771B"/>
    <w:rsid w:val="00C52581"/>
    <w:rsid w:val="00C53809"/>
    <w:rsid w:val="00C554DD"/>
    <w:rsid w:val="00C5587A"/>
    <w:rsid w:val="00C61244"/>
    <w:rsid w:val="00C622D5"/>
    <w:rsid w:val="00C635C4"/>
    <w:rsid w:val="00C64A3B"/>
    <w:rsid w:val="00C658F8"/>
    <w:rsid w:val="00C66773"/>
    <w:rsid w:val="00C71926"/>
    <w:rsid w:val="00C726CE"/>
    <w:rsid w:val="00C75139"/>
    <w:rsid w:val="00C768A6"/>
    <w:rsid w:val="00C76B65"/>
    <w:rsid w:val="00C7717B"/>
    <w:rsid w:val="00C77480"/>
    <w:rsid w:val="00C776A8"/>
    <w:rsid w:val="00C779B3"/>
    <w:rsid w:val="00C807B3"/>
    <w:rsid w:val="00C81782"/>
    <w:rsid w:val="00C82E2C"/>
    <w:rsid w:val="00C8637A"/>
    <w:rsid w:val="00C907A9"/>
    <w:rsid w:val="00C90E18"/>
    <w:rsid w:val="00C90FB4"/>
    <w:rsid w:val="00C91113"/>
    <w:rsid w:val="00C93651"/>
    <w:rsid w:val="00C93AF9"/>
    <w:rsid w:val="00C93DDA"/>
    <w:rsid w:val="00C948A8"/>
    <w:rsid w:val="00C95A9F"/>
    <w:rsid w:val="00C977AD"/>
    <w:rsid w:val="00CA26FF"/>
    <w:rsid w:val="00CA50BF"/>
    <w:rsid w:val="00CA7533"/>
    <w:rsid w:val="00CB1946"/>
    <w:rsid w:val="00CB2421"/>
    <w:rsid w:val="00CB27C2"/>
    <w:rsid w:val="00CB2DCB"/>
    <w:rsid w:val="00CB54B6"/>
    <w:rsid w:val="00CB73C7"/>
    <w:rsid w:val="00CC0CA4"/>
    <w:rsid w:val="00CC1A59"/>
    <w:rsid w:val="00CC1B13"/>
    <w:rsid w:val="00CC30EC"/>
    <w:rsid w:val="00CC50A4"/>
    <w:rsid w:val="00CC7031"/>
    <w:rsid w:val="00CD1BBE"/>
    <w:rsid w:val="00CD243B"/>
    <w:rsid w:val="00CD412A"/>
    <w:rsid w:val="00CD5C77"/>
    <w:rsid w:val="00CD629B"/>
    <w:rsid w:val="00CD62F9"/>
    <w:rsid w:val="00CD7F5A"/>
    <w:rsid w:val="00CE06D1"/>
    <w:rsid w:val="00CE2454"/>
    <w:rsid w:val="00CE29B9"/>
    <w:rsid w:val="00CE4351"/>
    <w:rsid w:val="00CE5B3E"/>
    <w:rsid w:val="00CE79E1"/>
    <w:rsid w:val="00CF0808"/>
    <w:rsid w:val="00CF0ED5"/>
    <w:rsid w:val="00CF174E"/>
    <w:rsid w:val="00CF3911"/>
    <w:rsid w:val="00CF3BDE"/>
    <w:rsid w:val="00CF4104"/>
    <w:rsid w:val="00CF4568"/>
    <w:rsid w:val="00CF46FE"/>
    <w:rsid w:val="00CF63E9"/>
    <w:rsid w:val="00CF693D"/>
    <w:rsid w:val="00CF6D1D"/>
    <w:rsid w:val="00D00196"/>
    <w:rsid w:val="00D01497"/>
    <w:rsid w:val="00D0192C"/>
    <w:rsid w:val="00D03657"/>
    <w:rsid w:val="00D03B92"/>
    <w:rsid w:val="00D03DEB"/>
    <w:rsid w:val="00D070B8"/>
    <w:rsid w:val="00D07F30"/>
    <w:rsid w:val="00D10670"/>
    <w:rsid w:val="00D1270F"/>
    <w:rsid w:val="00D13174"/>
    <w:rsid w:val="00D146B1"/>
    <w:rsid w:val="00D14EC1"/>
    <w:rsid w:val="00D1524F"/>
    <w:rsid w:val="00D15516"/>
    <w:rsid w:val="00D174C8"/>
    <w:rsid w:val="00D2206E"/>
    <w:rsid w:val="00D22167"/>
    <w:rsid w:val="00D221DE"/>
    <w:rsid w:val="00D226F6"/>
    <w:rsid w:val="00D23A51"/>
    <w:rsid w:val="00D241A7"/>
    <w:rsid w:val="00D253CB"/>
    <w:rsid w:val="00D27203"/>
    <w:rsid w:val="00D3098C"/>
    <w:rsid w:val="00D3129E"/>
    <w:rsid w:val="00D31432"/>
    <w:rsid w:val="00D31787"/>
    <w:rsid w:val="00D3222E"/>
    <w:rsid w:val="00D34F23"/>
    <w:rsid w:val="00D35BBC"/>
    <w:rsid w:val="00D3663C"/>
    <w:rsid w:val="00D36B0B"/>
    <w:rsid w:val="00D36CC5"/>
    <w:rsid w:val="00D37063"/>
    <w:rsid w:val="00D37A6B"/>
    <w:rsid w:val="00D37D01"/>
    <w:rsid w:val="00D4118F"/>
    <w:rsid w:val="00D5358E"/>
    <w:rsid w:val="00D53CEB"/>
    <w:rsid w:val="00D54BEC"/>
    <w:rsid w:val="00D60494"/>
    <w:rsid w:val="00D606F9"/>
    <w:rsid w:val="00D60CEE"/>
    <w:rsid w:val="00D62235"/>
    <w:rsid w:val="00D65971"/>
    <w:rsid w:val="00D668E9"/>
    <w:rsid w:val="00D66AA9"/>
    <w:rsid w:val="00D67C18"/>
    <w:rsid w:val="00D70582"/>
    <w:rsid w:val="00D710CC"/>
    <w:rsid w:val="00D72901"/>
    <w:rsid w:val="00D7555B"/>
    <w:rsid w:val="00D76663"/>
    <w:rsid w:val="00D77C7D"/>
    <w:rsid w:val="00D809A1"/>
    <w:rsid w:val="00D83ECF"/>
    <w:rsid w:val="00D84D2F"/>
    <w:rsid w:val="00D85E10"/>
    <w:rsid w:val="00D8736C"/>
    <w:rsid w:val="00D879C6"/>
    <w:rsid w:val="00D9424F"/>
    <w:rsid w:val="00D96555"/>
    <w:rsid w:val="00D9766F"/>
    <w:rsid w:val="00D9772D"/>
    <w:rsid w:val="00DA6755"/>
    <w:rsid w:val="00DA6BE8"/>
    <w:rsid w:val="00DB3956"/>
    <w:rsid w:val="00DB3C94"/>
    <w:rsid w:val="00DB4708"/>
    <w:rsid w:val="00DB5A52"/>
    <w:rsid w:val="00DB5BE2"/>
    <w:rsid w:val="00DC10D5"/>
    <w:rsid w:val="00DC15C2"/>
    <w:rsid w:val="00DC266A"/>
    <w:rsid w:val="00DC37EC"/>
    <w:rsid w:val="00DC4321"/>
    <w:rsid w:val="00DC55FE"/>
    <w:rsid w:val="00DC7623"/>
    <w:rsid w:val="00DC77F4"/>
    <w:rsid w:val="00DC7EF2"/>
    <w:rsid w:val="00DD03C8"/>
    <w:rsid w:val="00DD4068"/>
    <w:rsid w:val="00DD40B6"/>
    <w:rsid w:val="00DD4662"/>
    <w:rsid w:val="00DD59DE"/>
    <w:rsid w:val="00DE5203"/>
    <w:rsid w:val="00DF05D2"/>
    <w:rsid w:val="00DF10F7"/>
    <w:rsid w:val="00DF1517"/>
    <w:rsid w:val="00DF199F"/>
    <w:rsid w:val="00DF1E26"/>
    <w:rsid w:val="00DF5C5E"/>
    <w:rsid w:val="00DF68A9"/>
    <w:rsid w:val="00DF6A48"/>
    <w:rsid w:val="00DF7DC2"/>
    <w:rsid w:val="00E00672"/>
    <w:rsid w:val="00E041BD"/>
    <w:rsid w:val="00E04A86"/>
    <w:rsid w:val="00E04DD3"/>
    <w:rsid w:val="00E05078"/>
    <w:rsid w:val="00E117C3"/>
    <w:rsid w:val="00E12626"/>
    <w:rsid w:val="00E128AF"/>
    <w:rsid w:val="00E15D1C"/>
    <w:rsid w:val="00E17123"/>
    <w:rsid w:val="00E208A3"/>
    <w:rsid w:val="00E216C8"/>
    <w:rsid w:val="00E278C2"/>
    <w:rsid w:val="00E30BD2"/>
    <w:rsid w:val="00E33BCD"/>
    <w:rsid w:val="00E34298"/>
    <w:rsid w:val="00E37CED"/>
    <w:rsid w:val="00E40EC9"/>
    <w:rsid w:val="00E417CE"/>
    <w:rsid w:val="00E42D4D"/>
    <w:rsid w:val="00E43E88"/>
    <w:rsid w:val="00E45FD5"/>
    <w:rsid w:val="00E46EE4"/>
    <w:rsid w:val="00E50B9D"/>
    <w:rsid w:val="00E51AD6"/>
    <w:rsid w:val="00E5233D"/>
    <w:rsid w:val="00E5327E"/>
    <w:rsid w:val="00E55DF1"/>
    <w:rsid w:val="00E5633D"/>
    <w:rsid w:val="00E56869"/>
    <w:rsid w:val="00E57814"/>
    <w:rsid w:val="00E61885"/>
    <w:rsid w:val="00E66214"/>
    <w:rsid w:val="00E704A4"/>
    <w:rsid w:val="00E71C9C"/>
    <w:rsid w:val="00E74EE2"/>
    <w:rsid w:val="00E76053"/>
    <w:rsid w:val="00E760DF"/>
    <w:rsid w:val="00E77C44"/>
    <w:rsid w:val="00E81C56"/>
    <w:rsid w:val="00E82A2D"/>
    <w:rsid w:val="00E845C7"/>
    <w:rsid w:val="00E86182"/>
    <w:rsid w:val="00E90F63"/>
    <w:rsid w:val="00E911E9"/>
    <w:rsid w:val="00E927F1"/>
    <w:rsid w:val="00E92C06"/>
    <w:rsid w:val="00E94003"/>
    <w:rsid w:val="00E95140"/>
    <w:rsid w:val="00E968E1"/>
    <w:rsid w:val="00E97928"/>
    <w:rsid w:val="00EA13D1"/>
    <w:rsid w:val="00EA3C1C"/>
    <w:rsid w:val="00EA442C"/>
    <w:rsid w:val="00EA5BA2"/>
    <w:rsid w:val="00EA61FC"/>
    <w:rsid w:val="00EA6DA7"/>
    <w:rsid w:val="00EB2C6A"/>
    <w:rsid w:val="00EB48BA"/>
    <w:rsid w:val="00EB4CA1"/>
    <w:rsid w:val="00EB4D13"/>
    <w:rsid w:val="00EB6673"/>
    <w:rsid w:val="00EB773E"/>
    <w:rsid w:val="00EC239D"/>
    <w:rsid w:val="00EC289C"/>
    <w:rsid w:val="00EC304A"/>
    <w:rsid w:val="00EC7A02"/>
    <w:rsid w:val="00EC7BB4"/>
    <w:rsid w:val="00ED13B4"/>
    <w:rsid w:val="00ED1DF7"/>
    <w:rsid w:val="00ED4414"/>
    <w:rsid w:val="00ED5385"/>
    <w:rsid w:val="00ED5746"/>
    <w:rsid w:val="00ED5FC2"/>
    <w:rsid w:val="00ED7B1C"/>
    <w:rsid w:val="00ED7F68"/>
    <w:rsid w:val="00ED7F7E"/>
    <w:rsid w:val="00EE1BD8"/>
    <w:rsid w:val="00EE2037"/>
    <w:rsid w:val="00EE33DA"/>
    <w:rsid w:val="00EE5EA8"/>
    <w:rsid w:val="00EE6454"/>
    <w:rsid w:val="00EE6D8F"/>
    <w:rsid w:val="00EE6F79"/>
    <w:rsid w:val="00EF0B11"/>
    <w:rsid w:val="00EF1469"/>
    <w:rsid w:val="00EF1A5A"/>
    <w:rsid w:val="00EF1B66"/>
    <w:rsid w:val="00EF2598"/>
    <w:rsid w:val="00EF51BF"/>
    <w:rsid w:val="00F032A6"/>
    <w:rsid w:val="00F03CB4"/>
    <w:rsid w:val="00F04662"/>
    <w:rsid w:val="00F05870"/>
    <w:rsid w:val="00F059C3"/>
    <w:rsid w:val="00F05AD6"/>
    <w:rsid w:val="00F06313"/>
    <w:rsid w:val="00F07DAE"/>
    <w:rsid w:val="00F10002"/>
    <w:rsid w:val="00F103BC"/>
    <w:rsid w:val="00F104E2"/>
    <w:rsid w:val="00F10C85"/>
    <w:rsid w:val="00F10CF8"/>
    <w:rsid w:val="00F11245"/>
    <w:rsid w:val="00F11D5D"/>
    <w:rsid w:val="00F1405A"/>
    <w:rsid w:val="00F163A8"/>
    <w:rsid w:val="00F1682D"/>
    <w:rsid w:val="00F20190"/>
    <w:rsid w:val="00F201AA"/>
    <w:rsid w:val="00F20C30"/>
    <w:rsid w:val="00F22590"/>
    <w:rsid w:val="00F24284"/>
    <w:rsid w:val="00F2707C"/>
    <w:rsid w:val="00F27CEE"/>
    <w:rsid w:val="00F31E80"/>
    <w:rsid w:val="00F33454"/>
    <w:rsid w:val="00F3397D"/>
    <w:rsid w:val="00F34874"/>
    <w:rsid w:val="00F35432"/>
    <w:rsid w:val="00F378E2"/>
    <w:rsid w:val="00F42F42"/>
    <w:rsid w:val="00F43576"/>
    <w:rsid w:val="00F44742"/>
    <w:rsid w:val="00F47388"/>
    <w:rsid w:val="00F5205E"/>
    <w:rsid w:val="00F53378"/>
    <w:rsid w:val="00F53EE3"/>
    <w:rsid w:val="00F55D31"/>
    <w:rsid w:val="00F57BBB"/>
    <w:rsid w:val="00F60494"/>
    <w:rsid w:val="00F608B3"/>
    <w:rsid w:val="00F61BAC"/>
    <w:rsid w:val="00F61CA0"/>
    <w:rsid w:val="00F6234D"/>
    <w:rsid w:val="00F63654"/>
    <w:rsid w:val="00F67987"/>
    <w:rsid w:val="00F70254"/>
    <w:rsid w:val="00F702C3"/>
    <w:rsid w:val="00F70ED0"/>
    <w:rsid w:val="00F71514"/>
    <w:rsid w:val="00F71A40"/>
    <w:rsid w:val="00F72550"/>
    <w:rsid w:val="00F75387"/>
    <w:rsid w:val="00F81074"/>
    <w:rsid w:val="00F83D29"/>
    <w:rsid w:val="00F862EE"/>
    <w:rsid w:val="00F865F7"/>
    <w:rsid w:val="00F86AE4"/>
    <w:rsid w:val="00F874C6"/>
    <w:rsid w:val="00F90CC0"/>
    <w:rsid w:val="00F91A78"/>
    <w:rsid w:val="00F92082"/>
    <w:rsid w:val="00F946C9"/>
    <w:rsid w:val="00F974FF"/>
    <w:rsid w:val="00F97DCE"/>
    <w:rsid w:val="00FA0000"/>
    <w:rsid w:val="00FA0D49"/>
    <w:rsid w:val="00FA4DB6"/>
    <w:rsid w:val="00FA4FFF"/>
    <w:rsid w:val="00FA59A5"/>
    <w:rsid w:val="00FA7DE5"/>
    <w:rsid w:val="00FB0A3C"/>
    <w:rsid w:val="00FB1F0B"/>
    <w:rsid w:val="00FB1FF0"/>
    <w:rsid w:val="00FB29DE"/>
    <w:rsid w:val="00FB5CA7"/>
    <w:rsid w:val="00FB677D"/>
    <w:rsid w:val="00FB7333"/>
    <w:rsid w:val="00FB747B"/>
    <w:rsid w:val="00FC02B0"/>
    <w:rsid w:val="00FC0D8D"/>
    <w:rsid w:val="00FC403D"/>
    <w:rsid w:val="00FC502B"/>
    <w:rsid w:val="00FC5404"/>
    <w:rsid w:val="00FD0BFB"/>
    <w:rsid w:val="00FD60FE"/>
    <w:rsid w:val="00FD623F"/>
    <w:rsid w:val="00FD64E2"/>
    <w:rsid w:val="00FE096F"/>
    <w:rsid w:val="00FE35BD"/>
    <w:rsid w:val="00FE3879"/>
    <w:rsid w:val="00FE4062"/>
    <w:rsid w:val="00FE42C2"/>
    <w:rsid w:val="00FE447A"/>
    <w:rsid w:val="00FF0A7B"/>
    <w:rsid w:val="00FF1E44"/>
    <w:rsid w:val="00FF3B3B"/>
    <w:rsid w:val="00FF4A79"/>
    <w:rsid w:val="00FF620F"/>
    <w:rsid w:val="00FF663E"/>
    <w:rsid w:val="00FF74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00F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footer" w:uiPriority="99"/>
    <w:lsdException w:name="caption" w:locked="1" w:semiHidden="1" w:unhideWhenUsed="1" w:qFormat="1"/>
    <w:lsdException w:name="table of figures" w:uiPriority="99"/>
    <w:lsdException w:name="footnote reference" w:uiPriority="99"/>
    <w:lsdException w:name="annotation reference" w:uiPriority="99"/>
    <w:lsdException w:name="Title" w:locked="1" w:uiPriority="10" w:qFormat="1"/>
    <w:lsdException w:name="Default Paragraph Font" w:locked="1"/>
    <w:lsdException w:name="Body Text" w:qFormat="1"/>
    <w:lsdException w:name="Subtitle" w:locked="1"/>
    <w:lsdException w:name="Hyperlink" w:uiPriority="99"/>
    <w:lsdException w:name="Strong" w:locked="1"/>
    <w:lsdException w:name="Emphasis" w:locked="1" w:qFormat="1"/>
    <w:lsdException w:name="Normal (Web)" w:uiPriority="99"/>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E0C"/>
    <w:pPr>
      <w:spacing w:after="240" w:line="276" w:lineRule="auto"/>
      <w:jc w:val="both"/>
    </w:pPr>
    <w:rPr>
      <w:sz w:val="22"/>
      <w:szCs w:val="24"/>
      <w:lang w:val="en-GB"/>
    </w:rPr>
  </w:style>
  <w:style w:type="paragraph" w:styleId="Heading1">
    <w:name w:val="heading 1"/>
    <w:basedOn w:val="Normal"/>
    <w:next w:val="Normal"/>
    <w:link w:val="Heading1Char"/>
    <w:uiPriority w:val="9"/>
    <w:qFormat/>
    <w:locked/>
    <w:rsid w:val="00846435"/>
    <w:pPr>
      <w:keepNext/>
      <w:numPr>
        <w:numId w:val="1"/>
      </w:numPr>
      <w:spacing w:after="0" w:line="240" w:lineRule="auto"/>
      <w:outlineLvl w:val="0"/>
    </w:pPr>
    <w:rPr>
      <w:rFonts w:ascii="Arial" w:hAnsi="Arial" w:cs="Arial"/>
      <w:b/>
      <w:bCs/>
      <w:kern w:val="32"/>
    </w:rPr>
  </w:style>
  <w:style w:type="paragraph" w:styleId="Heading2">
    <w:name w:val="heading 2"/>
    <w:basedOn w:val="Normal"/>
    <w:next w:val="Normal"/>
    <w:link w:val="Heading2Char"/>
    <w:uiPriority w:val="9"/>
    <w:qFormat/>
    <w:locked/>
    <w:rsid w:val="00846435"/>
    <w:pPr>
      <w:keepNext/>
      <w:numPr>
        <w:ilvl w:val="1"/>
        <w:numId w:val="1"/>
      </w:numPr>
      <w:spacing w:before="240" w:after="60"/>
      <w:outlineLvl w:val="1"/>
    </w:pPr>
    <w:rPr>
      <w:rFonts w:ascii="Arial" w:hAnsi="Arial" w:cs="Arial"/>
      <w:b/>
      <w:bCs/>
      <w:iCs/>
      <w:szCs w:val="22"/>
    </w:rPr>
  </w:style>
  <w:style w:type="paragraph" w:styleId="Heading3">
    <w:name w:val="heading 3"/>
    <w:basedOn w:val="Normal"/>
    <w:next w:val="Normal"/>
    <w:link w:val="Heading3Char"/>
    <w:uiPriority w:val="9"/>
    <w:qFormat/>
    <w:locked/>
    <w:rsid w:val="00D72901"/>
    <w:pPr>
      <w:keepNext/>
      <w:numPr>
        <w:ilvl w:val="2"/>
        <w:numId w:val="3"/>
      </w:numPr>
      <w:spacing w:before="120" w:after="120"/>
      <w:ind w:left="709" w:hanging="709"/>
      <w:outlineLvl w:val="2"/>
    </w:pPr>
    <w:rPr>
      <w:rFonts w:asciiTheme="minorHAnsi" w:hAnsiTheme="minorHAnsi" w:cs="Arial"/>
      <w:bCs/>
      <w:color w:val="365F91" w:themeColor="accent1" w:themeShade="BF"/>
      <w:sz w:val="24"/>
      <w:szCs w:val="22"/>
    </w:rPr>
  </w:style>
  <w:style w:type="paragraph" w:styleId="Heading4">
    <w:name w:val="heading 4"/>
    <w:basedOn w:val="Normal"/>
    <w:next w:val="Normal"/>
    <w:link w:val="Heading4Char"/>
    <w:uiPriority w:val="9"/>
    <w:qFormat/>
    <w:locked/>
    <w:rsid w:val="00846435"/>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locked/>
    <w:rsid w:val="00846435"/>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locked/>
    <w:rsid w:val="00846435"/>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qFormat/>
    <w:locked/>
    <w:rsid w:val="00846435"/>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uiPriority w:val="9"/>
    <w:qFormat/>
    <w:locked/>
    <w:rsid w:val="00846435"/>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uiPriority w:val="9"/>
    <w:qFormat/>
    <w:locked/>
    <w:rsid w:val="00846435"/>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250F"/>
    <w:rPr>
      <w:color w:val="0000FF"/>
      <w:u w:val="single"/>
    </w:rPr>
  </w:style>
  <w:style w:type="paragraph" w:styleId="TOC1">
    <w:name w:val="toc 1"/>
    <w:basedOn w:val="Normal"/>
    <w:next w:val="Normal"/>
    <w:autoRedefine/>
    <w:uiPriority w:val="39"/>
    <w:rsid w:val="001E2541"/>
    <w:pPr>
      <w:tabs>
        <w:tab w:val="right" w:leader="dot" w:pos="9090"/>
      </w:tabs>
      <w:spacing w:before="240" w:after="40"/>
      <w:ind w:left="482" w:right="549" w:hanging="482"/>
    </w:pPr>
    <w:rPr>
      <w:rFonts w:eastAsia="SimSun"/>
      <w:b/>
      <w:sz w:val="28"/>
      <w:lang w:eastAsia="zh-CN"/>
    </w:rPr>
  </w:style>
  <w:style w:type="paragraph" w:styleId="TOC2">
    <w:name w:val="toc 2"/>
    <w:basedOn w:val="Normal"/>
    <w:next w:val="Normal"/>
    <w:autoRedefine/>
    <w:uiPriority w:val="39"/>
    <w:rsid w:val="00E37CED"/>
    <w:pPr>
      <w:tabs>
        <w:tab w:val="left" w:pos="1200"/>
        <w:tab w:val="right" w:leader="dot" w:pos="9090"/>
      </w:tabs>
      <w:spacing w:after="40"/>
      <w:ind w:left="567" w:right="549"/>
      <w:jc w:val="left"/>
    </w:pPr>
    <w:rPr>
      <w:rFonts w:eastAsia="SimSun"/>
      <w:lang w:eastAsia="zh-CN"/>
    </w:rPr>
  </w:style>
  <w:style w:type="paragraph" w:styleId="TOC3">
    <w:name w:val="toc 3"/>
    <w:basedOn w:val="Normal"/>
    <w:next w:val="Normal"/>
    <w:autoRedefine/>
    <w:uiPriority w:val="39"/>
    <w:rsid w:val="008F250F"/>
    <w:pPr>
      <w:tabs>
        <w:tab w:val="left" w:pos="1620"/>
        <w:tab w:val="right" w:leader="dot" w:pos="9600"/>
      </w:tabs>
      <w:spacing w:after="40"/>
      <w:ind w:left="1622" w:hanging="488"/>
    </w:pPr>
    <w:rPr>
      <w:rFonts w:eastAsia="SimSun"/>
      <w:lang w:eastAsia="zh-CN"/>
    </w:rPr>
  </w:style>
  <w:style w:type="paragraph" w:styleId="BalloonText">
    <w:name w:val="Balloon Text"/>
    <w:basedOn w:val="Normal"/>
    <w:link w:val="BalloonTextChar"/>
    <w:uiPriority w:val="99"/>
    <w:semiHidden/>
    <w:rsid w:val="00F71A40"/>
    <w:rPr>
      <w:rFonts w:ascii="Tahoma" w:hAnsi="Tahoma" w:cs="Tahoma"/>
      <w:sz w:val="16"/>
      <w:szCs w:val="16"/>
    </w:rPr>
  </w:style>
  <w:style w:type="character" w:styleId="CommentReference">
    <w:name w:val="annotation reference"/>
    <w:uiPriority w:val="99"/>
    <w:semiHidden/>
    <w:rsid w:val="00237910"/>
    <w:rPr>
      <w:sz w:val="16"/>
      <w:szCs w:val="16"/>
    </w:rPr>
  </w:style>
  <w:style w:type="paragraph" w:styleId="CommentText">
    <w:name w:val="annotation text"/>
    <w:basedOn w:val="Normal"/>
    <w:link w:val="CommentTextChar"/>
    <w:uiPriority w:val="99"/>
    <w:semiHidden/>
    <w:rsid w:val="00237910"/>
    <w:rPr>
      <w:sz w:val="20"/>
      <w:szCs w:val="20"/>
    </w:rPr>
  </w:style>
  <w:style w:type="paragraph" w:styleId="CommentSubject">
    <w:name w:val="annotation subject"/>
    <w:basedOn w:val="CommentText"/>
    <w:next w:val="CommentText"/>
    <w:link w:val="CommentSubjectChar"/>
    <w:uiPriority w:val="99"/>
    <w:semiHidden/>
    <w:rsid w:val="00237910"/>
    <w:rPr>
      <w:b/>
      <w:bCs/>
    </w:rPr>
  </w:style>
  <w:style w:type="table" w:styleId="TableGrid">
    <w:name w:val="Table Grid"/>
    <w:basedOn w:val="TableNormal"/>
    <w:uiPriority w:val="59"/>
    <w:locked/>
    <w:rsid w:val="00621D1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945943"/>
    <w:pPr>
      <w:spacing w:after="0" w:line="240" w:lineRule="auto"/>
      <w:jc w:val="left"/>
    </w:pPr>
    <w:rPr>
      <w:sz w:val="20"/>
      <w:szCs w:val="20"/>
      <w:lang w:eastAsia="en-US"/>
    </w:rPr>
  </w:style>
  <w:style w:type="character" w:customStyle="1" w:styleId="FootnoteTextChar">
    <w:name w:val="Footnote Text Char"/>
    <w:link w:val="FootnoteText"/>
    <w:rsid w:val="00945943"/>
    <w:rPr>
      <w:lang w:eastAsia="en-US"/>
    </w:rPr>
  </w:style>
  <w:style w:type="character" w:styleId="FootnoteReference">
    <w:name w:val="footnote reference"/>
    <w:uiPriority w:val="99"/>
    <w:unhideWhenUsed/>
    <w:rsid w:val="00945943"/>
    <w:rPr>
      <w:vertAlign w:val="superscript"/>
    </w:rPr>
  </w:style>
  <w:style w:type="paragraph" w:styleId="Footer">
    <w:name w:val="footer"/>
    <w:basedOn w:val="Normal"/>
    <w:link w:val="FooterChar"/>
    <w:uiPriority w:val="99"/>
    <w:unhideWhenUsed/>
    <w:rsid w:val="00945943"/>
    <w:pPr>
      <w:tabs>
        <w:tab w:val="center" w:pos="4513"/>
        <w:tab w:val="right" w:pos="9026"/>
      </w:tabs>
      <w:spacing w:after="0" w:line="240" w:lineRule="auto"/>
      <w:jc w:val="left"/>
    </w:pPr>
    <w:rPr>
      <w:szCs w:val="22"/>
      <w:lang w:eastAsia="en-US"/>
    </w:rPr>
  </w:style>
  <w:style w:type="character" w:customStyle="1" w:styleId="FooterChar">
    <w:name w:val="Footer Char"/>
    <w:link w:val="Footer"/>
    <w:uiPriority w:val="99"/>
    <w:rsid w:val="00945943"/>
    <w:rPr>
      <w:sz w:val="22"/>
      <w:szCs w:val="22"/>
      <w:lang w:eastAsia="en-US"/>
    </w:rPr>
  </w:style>
  <w:style w:type="paragraph" w:customStyle="1" w:styleId="Default">
    <w:name w:val="Default"/>
    <w:rsid w:val="00580C93"/>
    <w:pPr>
      <w:autoSpaceDE w:val="0"/>
      <w:autoSpaceDN w:val="0"/>
      <w:adjustRightInd w:val="0"/>
    </w:pPr>
    <w:rPr>
      <w:rFonts w:ascii="Georgia" w:hAnsi="Georgia" w:cs="Georgia"/>
      <w:color w:val="000000"/>
      <w:sz w:val="24"/>
      <w:szCs w:val="24"/>
      <w:lang w:eastAsia="en-US"/>
    </w:rPr>
  </w:style>
  <w:style w:type="paragraph" w:customStyle="1" w:styleId="Style1">
    <w:name w:val="Style1"/>
    <w:basedOn w:val="Heading1"/>
    <w:link w:val="Style1Char"/>
    <w:rsid w:val="009F1402"/>
    <w:pPr>
      <w:spacing w:before="120" w:after="360" w:line="276" w:lineRule="auto"/>
    </w:pPr>
    <w:rPr>
      <w:rFonts w:ascii="Garamond" w:hAnsi="Garamond" w:cs="Calibri"/>
      <w:smallCaps/>
      <w:sz w:val="46"/>
      <w:szCs w:val="46"/>
    </w:rPr>
  </w:style>
  <w:style w:type="paragraph" w:styleId="Title">
    <w:name w:val="Title"/>
    <w:basedOn w:val="Normal"/>
    <w:next w:val="Normal"/>
    <w:link w:val="TitleChar"/>
    <w:uiPriority w:val="10"/>
    <w:qFormat/>
    <w:locked/>
    <w:rsid w:val="006C64F5"/>
    <w:pPr>
      <w:spacing w:before="240" w:after="60"/>
      <w:jc w:val="center"/>
      <w:outlineLvl w:val="0"/>
    </w:pPr>
    <w:rPr>
      <w:rFonts w:ascii="Cambria" w:eastAsia="Times New Roman" w:hAnsi="Cambria"/>
      <w:b/>
      <w:bCs/>
      <w:kern w:val="28"/>
      <w:sz w:val="32"/>
      <w:szCs w:val="32"/>
    </w:rPr>
  </w:style>
  <w:style w:type="character" w:customStyle="1" w:styleId="Heading1Char">
    <w:name w:val="Heading 1 Char"/>
    <w:link w:val="Heading1"/>
    <w:uiPriority w:val="9"/>
    <w:rsid w:val="009F1402"/>
    <w:rPr>
      <w:rFonts w:ascii="Arial" w:hAnsi="Arial" w:cs="Arial"/>
      <w:b/>
      <w:bCs/>
      <w:kern w:val="32"/>
      <w:sz w:val="22"/>
      <w:szCs w:val="24"/>
      <w:lang w:val="en-GB"/>
    </w:rPr>
  </w:style>
  <w:style w:type="character" w:customStyle="1" w:styleId="Style1Char">
    <w:name w:val="Style1 Char"/>
    <w:link w:val="Style1"/>
    <w:rsid w:val="009F1402"/>
    <w:rPr>
      <w:rFonts w:ascii="Garamond" w:hAnsi="Garamond" w:cs="Calibri"/>
      <w:b/>
      <w:bCs/>
      <w:smallCaps/>
      <w:kern w:val="32"/>
      <w:sz w:val="46"/>
      <w:szCs w:val="46"/>
      <w:lang w:val="en-GB"/>
    </w:rPr>
  </w:style>
  <w:style w:type="character" w:customStyle="1" w:styleId="TitleChar">
    <w:name w:val="Title Char"/>
    <w:link w:val="Title"/>
    <w:uiPriority w:val="10"/>
    <w:rsid w:val="006C64F5"/>
    <w:rPr>
      <w:rFonts w:ascii="Cambria" w:eastAsia="Times New Roman" w:hAnsi="Cambria" w:cs="Times New Roman"/>
      <w:b/>
      <w:bCs/>
      <w:kern w:val="28"/>
      <w:sz w:val="32"/>
      <w:szCs w:val="32"/>
    </w:rPr>
  </w:style>
  <w:style w:type="paragraph" w:customStyle="1" w:styleId="HeadingGRM">
    <w:name w:val="Heading GRM"/>
    <w:basedOn w:val="Heading1"/>
    <w:next w:val="Normal"/>
    <w:link w:val="HeadingGRMChar"/>
    <w:qFormat/>
    <w:rsid w:val="00295DB2"/>
    <w:pPr>
      <w:numPr>
        <w:numId w:val="0"/>
      </w:numPr>
      <w:spacing w:before="480" w:after="360" w:line="276" w:lineRule="auto"/>
      <w:jc w:val="left"/>
    </w:pPr>
    <w:rPr>
      <w:rFonts w:ascii="Calibri" w:hAnsi="Calibri"/>
      <w:sz w:val="36"/>
    </w:rPr>
  </w:style>
  <w:style w:type="paragraph" w:customStyle="1" w:styleId="Sub-HeadingGRM">
    <w:name w:val="Sub-Heading GRM"/>
    <w:basedOn w:val="Normal"/>
    <w:next w:val="Normal"/>
    <w:link w:val="Sub-HeadingGRMChar"/>
    <w:rsid w:val="00544AD2"/>
    <w:pPr>
      <w:keepNext/>
      <w:tabs>
        <w:tab w:val="left" w:pos="900"/>
      </w:tabs>
      <w:spacing w:before="40"/>
      <w:jc w:val="left"/>
      <w:outlineLvl w:val="1"/>
    </w:pPr>
    <w:rPr>
      <w:rFonts w:cs="Arial"/>
      <w:b/>
      <w:bCs/>
      <w:iCs/>
      <w:sz w:val="32"/>
      <w:szCs w:val="32"/>
    </w:rPr>
  </w:style>
  <w:style w:type="character" w:customStyle="1" w:styleId="HeadingGRMChar">
    <w:name w:val="Heading GRM Char"/>
    <w:link w:val="HeadingGRM"/>
    <w:rsid w:val="00295DB2"/>
    <w:rPr>
      <w:rFonts w:ascii="Calibri" w:hAnsi="Calibri" w:cs="Arial"/>
      <w:b/>
      <w:bCs/>
      <w:kern w:val="32"/>
      <w:sz w:val="36"/>
      <w:szCs w:val="24"/>
      <w:lang w:val="en-AU" w:eastAsia="en-AU"/>
    </w:rPr>
  </w:style>
  <w:style w:type="paragraph" w:customStyle="1" w:styleId="Sub-Heading2GRM">
    <w:name w:val="Sub-Heading 2 GRM"/>
    <w:basedOn w:val="Heading3"/>
    <w:link w:val="Sub-Heading2GRMChar"/>
    <w:rsid w:val="00A44143"/>
    <w:pPr>
      <w:numPr>
        <w:ilvl w:val="0"/>
        <w:numId w:val="0"/>
      </w:numPr>
      <w:spacing w:before="0" w:after="240"/>
    </w:pPr>
    <w:rPr>
      <w:rFonts w:ascii="Garamond" w:hAnsi="Garamond"/>
      <w:b/>
      <w:sz w:val="28"/>
      <w:szCs w:val="32"/>
    </w:rPr>
  </w:style>
  <w:style w:type="character" w:customStyle="1" w:styleId="Sub-HeadingGRMChar">
    <w:name w:val="Sub-Heading GRM Char"/>
    <w:link w:val="Sub-HeadingGRM"/>
    <w:rsid w:val="004D7223"/>
    <w:rPr>
      <w:rFonts w:ascii="Garamond" w:hAnsi="Garamond" w:cs="Arial"/>
      <w:b/>
      <w:bCs/>
      <w:iCs/>
      <w:sz w:val="32"/>
      <w:szCs w:val="32"/>
      <w:lang w:val="en-AU" w:eastAsia="en-AU"/>
    </w:rPr>
  </w:style>
  <w:style w:type="paragraph" w:styleId="Header">
    <w:name w:val="header"/>
    <w:basedOn w:val="Normal"/>
    <w:link w:val="HeaderChar"/>
    <w:rsid w:val="001B7D1D"/>
    <w:pPr>
      <w:tabs>
        <w:tab w:val="center" w:pos="4153"/>
        <w:tab w:val="right" w:pos="8306"/>
      </w:tabs>
    </w:pPr>
    <w:rPr>
      <w:rFonts w:eastAsia="SimSun"/>
      <w:lang w:eastAsia="zh-CN"/>
    </w:rPr>
  </w:style>
  <w:style w:type="character" w:customStyle="1" w:styleId="Heading3Char">
    <w:name w:val="Heading 3 Char"/>
    <w:link w:val="Heading3"/>
    <w:uiPriority w:val="9"/>
    <w:rsid w:val="00D72901"/>
    <w:rPr>
      <w:rFonts w:asciiTheme="minorHAnsi" w:hAnsiTheme="minorHAnsi" w:cs="Arial"/>
      <w:bCs/>
      <w:color w:val="365F91" w:themeColor="accent1" w:themeShade="BF"/>
      <w:sz w:val="24"/>
      <w:szCs w:val="22"/>
      <w:lang w:val="en-GB"/>
    </w:rPr>
  </w:style>
  <w:style w:type="character" w:customStyle="1" w:styleId="Sub-Heading2GRMChar">
    <w:name w:val="Sub-Heading 2 GRM Char"/>
    <w:link w:val="Sub-Heading2GRM"/>
    <w:rsid w:val="00A44143"/>
    <w:rPr>
      <w:rFonts w:ascii="Garamond" w:hAnsi="Garamond" w:cs="Arial"/>
      <w:b/>
      <w:bCs/>
      <w:sz w:val="28"/>
      <w:szCs w:val="32"/>
    </w:rPr>
  </w:style>
  <w:style w:type="character" w:customStyle="1" w:styleId="HeaderChar">
    <w:name w:val="Header Char"/>
    <w:link w:val="Header"/>
    <w:rsid w:val="001B7D1D"/>
    <w:rPr>
      <w:rFonts w:ascii="Garamond" w:eastAsia="SimSun" w:hAnsi="Garamond"/>
      <w:sz w:val="24"/>
      <w:szCs w:val="24"/>
      <w:lang w:eastAsia="zh-CN"/>
    </w:rPr>
  </w:style>
  <w:style w:type="paragraph" w:customStyle="1" w:styleId="BlueHeadingindent">
    <w:name w:val="Blue Heading indent"/>
    <w:basedOn w:val="Normal"/>
    <w:rsid w:val="001B7D1D"/>
    <w:pPr>
      <w:tabs>
        <w:tab w:val="left" w:pos="2340"/>
      </w:tabs>
    </w:pPr>
    <w:rPr>
      <w:rFonts w:ascii="Helvetica" w:eastAsia="Times New Roman" w:hAnsi="Helvetica"/>
      <w:smallCaps/>
      <w:color w:val="004071"/>
      <w:sz w:val="48"/>
      <w:szCs w:val="48"/>
      <w:lang w:eastAsia="en-US"/>
    </w:rPr>
  </w:style>
  <w:style w:type="character" w:styleId="PageNumber">
    <w:name w:val="page number"/>
    <w:rsid w:val="001B7D1D"/>
    <w:rPr>
      <w:rFonts w:cs="Times New Roman"/>
    </w:rPr>
  </w:style>
  <w:style w:type="paragraph" w:customStyle="1" w:styleId="Style16ptBoldCenteredAfter0pt">
    <w:name w:val="Style 16 pt Bold Centered After:  0 pt"/>
    <w:basedOn w:val="Normal"/>
    <w:rsid w:val="001B7D1D"/>
    <w:pPr>
      <w:spacing w:line="240" w:lineRule="auto"/>
      <w:jc w:val="center"/>
    </w:pPr>
    <w:rPr>
      <w:rFonts w:cs="Garamond"/>
      <w:b/>
      <w:bCs/>
      <w:sz w:val="40"/>
      <w:szCs w:val="40"/>
      <w:lang w:eastAsia="en-US"/>
    </w:rPr>
  </w:style>
  <w:style w:type="paragraph" w:customStyle="1" w:styleId="PageTitleGRM">
    <w:name w:val="Page Title GRM"/>
    <w:basedOn w:val="Style1"/>
    <w:next w:val="Normal"/>
    <w:link w:val="PageTitleGRMChar"/>
    <w:qFormat/>
    <w:rsid w:val="00F22590"/>
    <w:pPr>
      <w:numPr>
        <w:numId w:val="0"/>
      </w:numPr>
      <w:jc w:val="left"/>
    </w:pPr>
    <w:rPr>
      <w:rFonts w:ascii="Calibri" w:hAnsi="Calibri"/>
      <w:color w:val="1F497D"/>
      <w:sz w:val="36"/>
    </w:rPr>
  </w:style>
  <w:style w:type="paragraph" w:styleId="ListParagraph">
    <w:name w:val="List Paragraph"/>
    <w:basedOn w:val="Normal"/>
    <w:link w:val="ListParagraphChar"/>
    <w:uiPriority w:val="34"/>
    <w:qFormat/>
    <w:rsid w:val="00D253CB"/>
    <w:pPr>
      <w:ind w:left="720"/>
      <w:contextualSpacing/>
    </w:pPr>
  </w:style>
  <w:style w:type="character" w:customStyle="1" w:styleId="PageTitleGRMChar">
    <w:name w:val="Page Title GRM Char"/>
    <w:link w:val="PageTitleGRM"/>
    <w:rsid w:val="00F22590"/>
    <w:rPr>
      <w:rFonts w:ascii="Calibri" w:hAnsi="Calibri" w:cs="Calibri"/>
      <w:b/>
      <w:bCs/>
      <w:smallCaps/>
      <w:color w:val="1F497D"/>
      <w:kern w:val="32"/>
      <w:sz w:val="36"/>
      <w:szCs w:val="46"/>
      <w:lang w:val="en-AU" w:eastAsia="en-AU"/>
    </w:rPr>
  </w:style>
  <w:style w:type="character" w:customStyle="1" w:styleId="ListParagraphChar">
    <w:name w:val="List Paragraph Char"/>
    <w:link w:val="ListParagraph"/>
    <w:uiPriority w:val="34"/>
    <w:rsid w:val="00D253CB"/>
    <w:rPr>
      <w:rFonts w:ascii="Garamond" w:hAnsi="Garamond"/>
      <w:sz w:val="24"/>
      <w:szCs w:val="24"/>
    </w:rPr>
  </w:style>
  <w:style w:type="paragraph" w:customStyle="1" w:styleId="Sub-Heading3GRM">
    <w:name w:val="Sub-Heading 3 GRM"/>
    <w:basedOn w:val="Heading4"/>
    <w:link w:val="Sub-Heading3GRMChar"/>
    <w:rsid w:val="00264C93"/>
    <w:pPr>
      <w:numPr>
        <w:ilvl w:val="0"/>
        <w:numId w:val="2"/>
      </w:numPr>
      <w:spacing w:before="40" w:after="240"/>
      <w:jc w:val="left"/>
    </w:pPr>
    <w:rPr>
      <w:rFonts w:ascii="Garamond" w:eastAsia="Times New Roman" w:hAnsi="Garamond"/>
      <w:lang w:eastAsia="en-US"/>
    </w:rPr>
  </w:style>
  <w:style w:type="paragraph" w:styleId="TOC4">
    <w:name w:val="toc 4"/>
    <w:basedOn w:val="Normal"/>
    <w:next w:val="Normal"/>
    <w:autoRedefine/>
    <w:uiPriority w:val="39"/>
    <w:locked/>
    <w:rsid w:val="00BB0684"/>
    <w:pPr>
      <w:tabs>
        <w:tab w:val="left" w:pos="2127"/>
        <w:tab w:val="right" w:leader="dot" w:pos="9639"/>
      </w:tabs>
      <w:spacing w:before="80" w:after="40"/>
      <w:ind w:left="1559"/>
    </w:pPr>
  </w:style>
  <w:style w:type="character" w:customStyle="1" w:styleId="Heading4Char">
    <w:name w:val="Heading 4 Char"/>
    <w:link w:val="Heading4"/>
    <w:uiPriority w:val="9"/>
    <w:rsid w:val="00264C93"/>
    <w:rPr>
      <w:rFonts w:ascii="Times New Roman" w:hAnsi="Times New Roman"/>
      <w:b/>
      <w:bCs/>
      <w:sz w:val="28"/>
      <w:szCs w:val="28"/>
      <w:lang w:val="en-GB"/>
    </w:rPr>
  </w:style>
  <w:style w:type="character" w:customStyle="1" w:styleId="Sub-Heading3GRMChar">
    <w:name w:val="Sub-Heading 3 GRM Char"/>
    <w:link w:val="Sub-Heading3GRM"/>
    <w:rsid w:val="00264C93"/>
    <w:rPr>
      <w:rFonts w:ascii="Garamond" w:eastAsia="Times New Roman" w:hAnsi="Garamond"/>
      <w:b/>
      <w:bCs/>
      <w:sz w:val="28"/>
      <w:szCs w:val="28"/>
      <w:lang w:val="en-GB" w:eastAsia="en-US"/>
    </w:rPr>
  </w:style>
  <w:style w:type="paragraph" w:customStyle="1" w:styleId="Sub-Heading4GRM">
    <w:name w:val="Sub-Heading 4 GRM"/>
    <w:basedOn w:val="Normal"/>
    <w:link w:val="Sub-Heading4GRMChar"/>
    <w:rsid w:val="00837471"/>
    <w:pPr>
      <w:spacing w:after="160"/>
    </w:pPr>
    <w:rPr>
      <w:rFonts w:eastAsia="Times New Roman" w:cs="Calibri"/>
      <w:b/>
    </w:rPr>
  </w:style>
  <w:style w:type="paragraph" w:styleId="TOC5">
    <w:name w:val="toc 5"/>
    <w:basedOn w:val="Normal"/>
    <w:next w:val="Normal"/>
    <w:autoRedefine/>
    <w:uiPriority w:val="39"/>
    <w:locked/>
    <w:rsid w:val="00344E1C"/>
    <w:pPr>
      <w:tabs>
        <w:tab w:val="right" w:leader="dot" w:pos="9498"/>
      </w:tabs>
      <w:spacing w:after="40"/>
      <w:ind w:left="2126"/>
      <w:jc w:val="left"/>
    </w:pPr>
  </w:style>
  <w:style w:type="character" w:customStyle="1" w:styleId="Sub-Heading4GRMChar">
    <w:name w:val="Sub-Heading 4 GRM Char"/>
    <w:link w:val="Sub-Heading4GRM"/>
    <w:rsid w:val="00837471"/>
    <w:rPr>
      <w:rFonts w:ascii="Garamond" w:eastAsia="Times New Roman" w:hAnsi="Garamond" w:cs="Calibri"/>
      <w:b/>
      <w:sz w:val="24"/>
      <w:szCs w:val="24"/>
    </w:rPr>
  </w:style>
  <w:style w:type="paragraph" w:customStyle="1" w:styleId="TableTitleGRM">
    <w:name w:val="Table Title GRM"/>
    <w:basedOn w:val="Normal"/>
    <w:link w:val="TableTitleGRMChar"/>
    <w:qFormat/>
    <w:rsid w:val="00013E1E"/>
    <w:pPr>
      <w:keepNext/>
      <w:tabs>
        <w:tab w:val="num" w:pos="993"/>
      </w:tabs>
      <w:spacing w:before="80"/>
      <w:jc w:val="center"/>
    </w:pPr>
    <w:rPr>
      <w:rFonts w:eastAsia="Times New Roman"/>
      <w:b/>
    </w:rPr>
  </w:style>
  <w:style w:type="table" w:customStyle="1" w:styleId="TableGrid1">
    <w:name w:val="Table Grid1"/>
    <w:basedOn w:val="TableNormal"/>
    <w:next w:val="TableGrid"/>
    <w:uiPriority w:val="59"/>
    <w:rsid w:val="00444B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itleGRMChar">
    <w:name w:val="Table Title GRM Char"/>
    <w:link w:val="TableTitleGRM"/>
    <w:rsid w:val="00013E1E"/>
    <w:rPr>
      <w:rFonts w:ascii="Garamond" w:eastAsia="Times New Roman" w:hAnsi="Garamond"/>
      <w:b/>
      <w:sz w:val="24"/>
      <w:szCs w:val="24"/>
      <w:lang w:val="en-AU" w:eastAsia="en-AU"/>
    </w:rPr>
  </w:style>
  <w:style w:type="character" w:customStyle="1" w:styleId="Heading2Char">
    <w:name w:val="Heading 2 Char"/>
    <w:link w:val="Heading2"/>
    <w:uiPriority w:val="9"/>
    <w:rsid w:val="00D4118F"/>
    <w:rPr>
      <w:rFonts w:ascii="Arial" w:hAnsi="Arial" w:cs="Arial"/>
      <w:b/>
      <w:bCs/>
      <w:iCs/>
      <w:sz w:val="22"/>
      <w:szCs w:val="22"/>
      <w:lang w:val="en-GB"/>
    </w:rPr>
  </w:style>
  <w:style w:type="character" w:customStyle="1" w:styleId="Heading5Char">
    <w:name w:val="Heading 5 Char"/>
    <w:link w:val="Heading5"/>
    <w:uiPriority w:val="9"/>
    <w:rsid w:val="00D4118F"/>
    <w:rPr>
      <w:b/>
      <w:bCs/>
      <w:i/>
      <w:iCs/>
      <w:sz w:val="26"/>
      <w:szCs w:val="26"/>
      <w:lang w:val="en-GB"/>
    </w:rPr>
  </w:style>
  <w:style w:type="character" w:customStyle="1" w:styleId="Heading6Char">
    <w:name w:val="Heading 6 Char"/>
    <w:link w:val="Heading6"/>
    <w:uiPriority w:val="9"/>
    <w:rsid w:val="00D4118F"/>
    <w:rPr>
      <w:rFonts w:ascii="Times New Roman" w:hAnsi="Times New Roman"/>
      <w:b/>
      <w:bCs/>
      <w:sz w:val="22"/>
      <w:szCs w:val="22"/>
      <w:lang w:val="en-GB"/>
    </w:rPr>
  </w:style>
  <w:style w:type="character" w:customStyle="1" w:styleId="Heading7Char">
    <w:name w:val="Heading 7 Char"/>
    <w:link w:val="Heading7"/>
    <w:uiPriority w:val="9"/>
    <w:rsid w:val="00D4118F"/>
    <w:rPr>
      <w:rFonts w:ascii="Times New Roman" w:hAnsi="Times New Roman"/>
      <w:sz w:val="22"/>
      <w:szCs w:val="24"/>
      <w:lang w:val="en-GB"/>
    </w:rPr>
  </w:style>
  <w:style w:type="character" w:customStyle="1" w:styleId="Heading8Char">
    <w:name w:val="Heading 8 Char"/>
    <w:link w:val="Heading8"/>
    <w:uiPriority w:val="9"/>
    <w:rsid w:val="00D4118F"/>
    <w:rPr>
      <w:rFonts w:ascii="Times New Roman" w:hAnsi="Times New Roman"/>
      <w:i/>
      <w:iCs/>
      <w:sz w:val="22"/>
      <w:szCs w:val="24"/>
      <w:lang w:val="en-GB"/>
    </w:rPr>
  </w:style>
  <w:style w:type="character" w:customStyle="1" w:styleId="Heading9Char">
    <w:name w:val="Heading 9 Char"/>
    <w:link w:val="Heading9"/>
    <w:uiPriority w:val="9"/>
    <w:rsid w:val="00D4118F"/>
    <w:rPr>
      <w:rFonts w:ascii="Arial" w:hAnsi="Arial" w:cs="Arial"/>
      <w:sz w:val="22"/>
      <w:szCs w:val="22"/>
      <w:lang w:val="en-GB"/>
    </w:rPr>
  </w:style>
  <w:style w:type="table" w:styleId="MediumGrid1-Accent1">
    <w:name w:val="Medium Grid 1 Accent 1"/>
    <w:basedOn w:val="TableNormal"/>
    <w:uiPriority w:val="67"/>
    <w:rsid w:val="00D4118F"/>
    <w:rPr>
      <w:sz w:val="22"/>
      <w:szCs w:val="22"/>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D4118F"/>
    <w:rPr>
      <w:sz w:val="22"/>
      <w:szCs w:val="22"/>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alloonTextChar">
    <w:name w:val="Balloon Text Char"/>
    <w:link w:val="BalloonText"/>
    <w:uiPriority w:val="99"/>
    <w:semiHidden/>
    <w:rsid w:val="00D4118F"/>
    <w:rPr>
      <w:rFonts w:ascii="Tahoma" w:hAnsi="Tahoma" w:cs="Tahoma"/>
      <w:sz w:val="16"/>
      <w:szCs w:val="16"/>
    </w:rPr>
  </w:style>
  <w:style w:type="character" w:customStyle="1" w:styleId="CommentTextChar">
    <w:name w:val="Comment Text Char"/>
    <w:link w:val="CommentText"/>
    <w:uiPriority w:val="99"/>
    <w:semiHidden/>
    <w:rsid w:val="00D4118F"/>
    <w:rPr>
      <w:rFonts w:ascii="Garamond" w:hAnsi="Garamond"/>
    </w:rPr>
  </w:style>
  <w:style w:type="character" w:customStyle="1" w:styleId="CommentSubjectChar">
    <w:name w:val="Comment Subject Char"/>
    <w:link w:val="CommentSubject"/>
    <w:uiPriority w:val="99"/>
    <w:semiHidden/>
    <w:rsid w:val="00D4118F"/>
    <w:rPr>
      <w:rFonts w:ascii="Garamond" w:hAnsi="Garamond"/>
      <w:b/>
      <w:bCs/>
    </w:rPr>
  </w:style>
  <w:style w:type="paragraph" w:styleId="TOC6">
    <w:name w:val="toc 6"/>
    <w:basedOn w:val="Normal"/>
    <w:next w:val="Normal"/>
    <w:autoRedefine/>
    <w:uiPriority w:val="39"/>
    <w:unhideWhenUsed/>
    <w:locked/>
    <w:rsid w:val="002379D6"/>
    <w:pPr>
      <w:spacing w:after="100"/>
      <w:ind w:left="1100"/>
      <w:jc w:val="left"/>
    </w:pPr>
    <w:rPr>
      <w:rFonts w:eastAsia="Times New Roman"/>
      <w:szCs w:val="22"/>
    </w:rPr>
  </w:style>
  <w:style w:type="paragraph" w:styleId="TOC7">
    <w:name w:val="toc 7"/>
    <w:basedOn w:val="Normal"/>
    <w:next w:val="Normal"/>
    <w:autoRedefine/>
    <w:uiPriority w:val="39"/>
    <w:unhideWhenUsed/>
    <w:locked/>
    <w:rsid w:val="002379D6"/>
    <w:pPr>
      <w:spacing w:after="100"/>
      <w:ind w:left="1320"/>
      <w:jc w:val="left"/>
    </w:pPr>
    <w:rPr>
      <w:rFonts w:eastAsia="Times New Roman"/>
      <w:szCs w:val="22"/>
    </w:rPr>
  </w:style>
  <w:style w:type="paragraph" w:styleId="TOC8">
    <w:name w:val="toc 8"/>
    <w:basedOn w:val="Normal"/>
    <w:next w:val="Normal"/>
    <w:autoRedefine/>
    <w:uiPriority w:val="39"/>
    <w:unhideWhenUsed/>
    <w:locked/>
    <w:rsid w:val="002379D6"/>
    <w:pPr>
      <w:spacing w:after="100"/>
      <w:ind w:left="1540"/>
      <w:jc w:val="left"/>
    </w:pPr>
    <w:rPr>
      <w:rFonts w:eastAsia="Times New Roman"/>
      <w:szCs w:val="22"/>
    </w:rPr>
  </w:style>
  <w:style w:type="paragraph" w:styleId="TOC9">
    <w:name w:val="toc 9"/>
    <w:basedOn w:val="Normal"/>
    <w:next w:val="Normal"/>
    <w:autoRedefine/>
    <w:uiPriority w:val="39"/>
    <w:unhideWhenUsed/>
    <w:locked/>
    <w:rsid w:val="002379D6"/>
    <w:pPr>
      <w:spacing w:after="100"/>
      <w:ind w:left="1760"/>
      <w:jc w:val="left"/>
    </w:pPr>
    <w:rPr>
      <w:rFonts w:eastAsia="Times New Roman"/>
      <w:szCs w:val="22"/>
    </w:rPr>
  </w:style>
  <w:style w:type="paragraph" w:customStyle="1" w:styleId="BulettedList">
    <w:name w:val="Buletted List"/>
    <w:basedOn w:val="Normal"/>
    <w:link w:val="BulettedListChar"/>
    <w:qFormat/>
    <w:rsid w:val="00F35432"/>
    <w:pPr>
      <w:numPr>
        <w:numId w:val="4"/>
      </w:numPr>
      <w:contextualSpacing/>
    </w:pPr>
  </w:style>
  <w:style w:type="paragraph" w:styleId="Caption">
    <w:name w:val="caption"/>
    <w:basedOn w:val="Normal"/>
    <w:next w:val="Normal"/>
    <w:qFormat/>
    <w:locked/>
    <w:rsid w:val="00013E1E"/>
    <w:pPr>
      <w:spacing w:after="120" w:line="240" w:lineRule="auto"/>
      <w:jc w:val="center"/>
    </w:pPr>
    <w:rPr>
      <w:rFonts w:eastAsia="Times New Roman"/>
      <w:b/>
      <w:bCs/>
      <w:szCs w:val="20"/>
    </w:rPr>
  </w:style>
  <w:style w:type="character" w:customStyle="1" w:styleId="BulettedListChar">
    <w:name w:val="Buletted List Char"/>
    <w:link w:val="BulettedList"/>
    <w:rsid w:val="00F35432"/>
    <w:rPr>
      <w:sz w:val="22"/>
      <w:szCs w:val="24"/>
      <w:lang w:val="en-GB"/>
    </w:rPr>
  </w:style>
  <w:style w:type="paragraph" w:customStyle="1" w:styleId="FigureTitle">
    <w:name w:val="Figure Title"/>
    <w:basedOn w:val="TableTitleGRM"/>
    <w:next w:val="Normal"/>
    <w:link w:val="FigureTitleChar"/>
    <w:qFormat/>
    <w:rsid w:val="002B1704"/>
  </w:style>
  <w:style w:type="paragraph" w:customStyle="1" w:styleId="AlphabetOrderingList">
    <w:name w:val="Alphabet Ordering List"/>
    <w:basedOn w:val="BulettedList"/>
    <w:link w:val="AlphabetOrderingListChar"/>
    <w:qFormat/>
    <w:rsid w:val="004D52C4"/>
    <w:pPr>
      <w:numPr>
        <w:numId w:val="5"/>
      </w:numPr>
      <w:ind w:left="720" w:hanging="360"/>
    </w:pPr>
  </w:style>
  <w:style w:type="character" w:customStyle="1" w:styleId="FigureTitleChar">
    <w:name w:val="Figure Title Char"/>
    <w:basedOn w:val="TableTitleGRMChar"/>
    <w:link w:val="FigureTitle"/>
    <w:rsid w:val="002B1704"/>
    <w:rPr>
      <w:rFonts w:ascii="Garamond" w:eastAsia="Times New Roman" w:hAnsi="Garamond"/>
      <w:b/>
      <w:sz w:val="24"/>
      <w:szCs w:val="24"/>
      <w:lang w:val="en-AU" w:eastAsia="en-AU"/>
    </w:rPr>
  </w:style>
  <w:style w:type="paragraph" w:customStyle="1" w:styleId="romannumberinglist">
    <w:name w:val="roman numbering list"/>
    <w:basedOn w:val="AlphabetOrderingList"/>
    <w:link w:val="romannumberinglistChar"/>
    <w:qFormat/>
    <w:rsid w:val="00950598"/>
    <w:pPr>
      <w:numPr>
        <w:numId w:val="6"/>
      </w:numPr>
    </w:pPr>
  </w:style>
  <w:style w:type="character" w:customStyle="1" w:styleId="AlphabetOrderingListChar">
    <w:name w:val="Alphabet Ordering List Char"/>
    <w:basedOn w:val="BulettedListChar"/>
    <w:link w:val="AlphabetOrderingList"/>
    <w:rsid w:val="004D52C4"/>
    <w:rPr>
      <w:sz w:val="22"/>
      <w:szCs w:val="24"/>
      <w:lang w:val="en-GB"/>
    </w:rPr>
  </w:style>
  <w:style w:type="paragraph" w:customStyle="1" w:styleId="ComponentNumbering">
    <w:name w:val="Component Numbering"/>
    <w:basedOn w:val="Normal"/>
    <w:link w:val="ComponentNumberingChar"/>
    <w:qFormat/>
    <w:rsid w:val="00950598"/>
    <w:pPr>
      <w:numPr>
        <w:numId w:val="7"/>
      </w:numPr>
      <w:ind w:left="360"/>
    </w:pPr>
    <w:rPr>
      <w:b/>
    </w:rPr>
  </w:style>
  <w:style w:type="character" w:customStyle="1" w:styleId="romannumberinglistChar">
    <w:name w:val="roman numbering list Char"/>
    <w:basedOn w:val="AlphabetOrderingListChar"/>
    <w:link w:val="romannumberinglist"/>
    <w:rsid w:val="00950598"/>
    <w:rPr>
      <w:sz w:val="22"/>
      <w:szCs w:val="24"/>
      <w:lang w:val="en-GB"/>
    </w:rPr>
  </w:style>
  <w:style w:type="character" w:styleId="Emphasis">
    <w:name w:val="Emphasis"/>
    <w:qFormat/>
    <w:locked/>
    <w:rsid w:val="00FD0BFB"/>
    <w:rPr>
      <w:i/>
      <w:iCs/>
    </w:rPr>
  </w:style>
  <w:style w:type="character" w:customStyle="1" w:styleId="ComponentNumberingChar">
    <w:name w:val="Component Numbering Char"/>
    <w:link w:val="ComponentNumbering"/>
    <w:rsid w:val="00950598"/>
    <w:rPr>
      <w:b/>
      <w:sz w:val="22"/>
      <w:szCs w:val="24"/>
      <w:lang w:val="en-GB"/>
    </w:rPr>
  </w:style>
  <w:style w:type="paragraph" w:customStyle="1" w:styleId="Objectives">
    <w:name w:val="Objectives"/>
    <w:basedOn w:val="Normal"/>
    <w:link w:val="ObjectivesChar"/>
    <w:qFormat/>
    <w:rsid w:val="009F65C0"/>
    <w:pPr>
      <w:shd w:val="clear" w:color="auto" w:fill="1F497D"/>
    </w:pPr>
    <w:rPr>
      <w:b/>
      <w:color w:val="FFFFFF"/>
    </w:rPr>
  </w:style>
  <w:style w:type="paragraph" w:customStyle="1" w:styleId="Sub-subHeadingGRM">
    <w:name w:val="Sub-sub Heading GRM"/>
    <w:basedOn w:val="Normal"/>
    <w:rsid w:val="00642B20"/>
    <w:pPr>
      <w:keepNext/>
      <w:numPr>
        <w:ilvl w:val="1"/>
        <w:numId w:val="8"/>
      </w:numPr>
      <w:tabs>
        <w:tab w:val="left" w:pos="567"/>
      </w:tabs>
      <w:spacing w:before="40"/>
      <w:jc w:val="left"/>
      <w:outlineLvl w:val="1"/>
    </w:pPr>
    <w:rPr>
      <w:rFonts w:eastAsia="Times New Roman"/>
      <w:b/>
      <w:bCs/>
      <w:iCs/>
      <w:sz w:val="32"/>
      <w:szCs w:val="32"/>
    </w:rPr>
  </w:style>
  <w:style w:type="character" w:customStyle="1" w:styleId="ObjectivesChar">
    <w:name w:val="Objectives Char"/>
    <w:link w:val="Objectives"/>
    <w:rsid w:val="009F65C0"/>
    <w:rPr>
      <w:rFonts w:ascii="Garamond" w:hAnsi="Garamond"/>
      <w:b/>
      <w:color w:val="FFFFFF"/>
      <w:sz w:val="24"/>
      <w:szCs w:val="24"/>
      <w:shd w:val="clear" w:color="auto" w:fill="1F497D"/>
      <w:lang w:val="en-AU" w:eastAsia="en-AU"/>
    </w:rPr>
  </w:style>
  <w:style w:type="paragraph" w:styleId="TOCHeading">
    <w:name w:val="TOC Heading"/>
    <w:basedOn w:val="Heading1"/>
    <w:next w:val="Normal"/>
    <w:uiPriority w:val="39"/>
    <w:semiHidden/>
    <w:unhideWhenUsed/>
    <w:qFormat/>
    <w:rsid w:val="008B509E"/>
    <w:pPr>
      <w:keepLines/>
      <w:numPr>
        <w:numId w:val="0"/>
      </w:numPr>
      <w:spacing w:before="480" w:line="276" w:lineRule="auto"/>
      <w:jc w:val="left"/>
      <w:outlineLvl w:val="9"/>
    </w:pPr>
    <w:rPr>
      <w:rFonts w:ascii="Cambria" w:eastAsia="MS Gothic" w:hAnsi="Cambria" w:cs="Times New Roman"/>
      <w:color w:val="365F91"/>
      <w:kern w:val="0"/>
      <w:sz w:val="28"/>
      <w:szCs w:val="28"/>
      <w:lang w:val="en-US" w:eastAsia="ja-JP"/>
    </w:rPr>
  </w:style>
  <w:style w:type="paragraph" w:customStyle="1" w:styleId="BulletedStructure">
    <w:name w:val="Bulleted Structure"/>
    <w:basedOn w:val="BulettedList"/>
    <w:link w:val="BulletedStructureChar"/>
    <w:qFormat/>
    <w:rsid w:val="007D5F57"/>
    <w:pPr>
      <w:ind w:left="360"/>
    </w:pPr>
    <w:rPr>
      <w:b/>
    </w:rPr>
  </w:style>
  <w:style w:type="paragraph" w:styleId="TableofFigures">
    <w:name w:val="table of figures"/>
    <w:basedOn w:val="Normal"/>
    <w:next w:val="Normal"/>
    <w:uiPriority w:val="99"/>
    <w:rsid w:val="007D5F57"/>
  </w:style>
  <w:style w:type="paragraph" w:customStyle="1" w:styleId="StyleSub-HeadingGRMText2Before12pt">
    <w:name w:val="Style Sub-Heading GRM + Text 2 Before:  12 pt"/>
    <w:basedOn w:val="Sub-HeadingGRM"/>
    <w:rsid w:val="00D37063"/>
    <w:pPr>
      <w:spacing w:before="360"/>
    </w:pPr>
    <w:rPr>
      <w:rFonts w:eastAsia="Times New Roman" w:cs="Times New Roman"/>
      <w:iCs w:val="0"/>
      <w:color w:val="548DD4"/>
      <w:szCs w:val="20"/>
    </w:rPr>
  </w:style>
  <w:style w:type="character" w:customStyle="1" w:styleId="BulletedStructureChar">
    <w:name w:val="Bulleted Structure Char"/>
    <w:link w:val="BulletedStructure"/>
    <w:rsid w:val="007D5F57"/>
    <w:rPr>
      <w:b/>
      <w:sz w:val="22"/>
      <w:szCs w:val="24"/>
      <w:lang w:val="en-GB"/>
    </w:rPr>
  </w:style>
  <w:style w:type="character" w:customStyle="1" w:styleId="FootnoteTextChar1">
    <w:name w:val="Footnote Text Char1"/>
    <w:rsid w:val="00F63654"/>
    <w:rPr>
      <w:rFonts w:ascii="Calibri" w:eastAsia="Calibri" w:hAnsi="Calibri"/>
      <w:lang w:val="en-AU" w:eastAsia="en-US" w:bidi="ar-SA"/>
    </w:rPr>
  </w:style>
  <w:style w:type="paragraph" w:customStyle="1" w:styleId="POMHeading3">
    <w:name w:val="POM Heading 3"/>
    <w:basedOn w:val="Heading3"/>
    <w:next w:val="Normal"/>
    <w:autoRedefine/>
    <w:rsid w:val="00F63654"/>
    <w:pPr>
      <w:numPr>
        <w:ilvl w:val="0"/>
        <w:numId w:val="0"/>
      </w:numPr>
      <w:spacing w:line="240" w:lineRule="auto"/>
      <w:ind w:left="720" w:hanging="720"/>
    </w:pPr>
    <w:rPr>
      <w:rFonts w:ascii="Calibri" w:eastAsia="Times New Roman" w:hAnsi="Calibri" w:cs="Calibri"/>
      <w:smallCaps/>
      <w:color w:val="004071"/>
      <w:sz w:val="28"/>
      <w:szCs w:val="28"/>
    </w:rPr>
  </w:style>
  <w:style w:type="paragraph" w:customStyle="1" w:styleId="CONLevela">
    <w:name w:val=".CON  Level  (a)"/>
    <w:basedOn w:val="Normal"/>
    <w:next w:val="Normal"/>
    <w:link w:val="CONLevelaChar"/>
    <w:rsid w:val="00F63654"/>
    <w:pPr>
      <w:numPr>
        <w:ilvl w:val="2"/>
        <w:numId w:val="9"/>
      </w:numPr>
      <w:spacing w:before="240" w:after="0" w:line="240" w:lineRule="auto"/>
      <w:jc w:val="left"/>
      <w:outlineLvl w:val="3"/>
    </w:pPr>
    <w:rPr>
      <w:rFonts w:ascii="Times New Roman" w:eastAsia="Times New Roman" w:hAnsi="Times New Roman"/>
      <w:sz w:val="24"/>
      <w:szCs w:val="22"/>
      <w:lang w:eastAsia="en-US"/>
    </w:rPr>
  </w:style>
  <w:style w:type="paragraph" w:customStyle="1" w:styleId="CONLeveli">
    <w:name w:val=".CON  Level  (i)"/>
    <w:basedOn w:val="Normal"/>
    <w:next w:val="Normal"/>
    <w:rsid w:val="00F63654"/>
    <w:pPr>
      <w:numPr>
        <w:ilvl w:val="3"/>
        <w:numId w:val="9"/>
      </w:numPr>
      <w:spacing w:before="240" w:after="0" w:line="240" w:lineRule="auto"/>
      <w:jc w:val="left"/>
      <w:outlineLvl w:val="4"/>
    </w:pPr>
    <w:rPr>
      <w:rFonts w:ascii="Times New Roman" w:eastAsia="Times New Roman" w:hAnsi="Times New Roman"/>
      <w:sz w:val="24"/>
      <w:szCs w:val="22"/>
      <w:lang w:eastAsia="en-US"/>
    </w:rPr>
  </w:style>
  <w:style w:type="paragraph" w:customStyle="1" w:styleId="CONLevel1">
    <w:name w:val=".CON  Level   1."/>
    <w:basedOn w:val="Normal"/>
    <w:next w:val="Normal"/>
    <w:rsid w:val="00F63654"/>
    <w:pPr>
      <w:keepNext/>
      <w:numPr>
        <w:numId w:val="9"/>
      </w:numPr>
      <w:spacing w:before="240" w:after="0" w:line="240" w:lineRule="auto"/>
      <w:ind w:right="1701"/>
      <w:jc w:val="left"/>
      <w:outlineLvl w:val="1"/>
    </w:pPr>
    <w:rPr>
      <w:rFonts w:ascii="Times New Roman" w:eastAsia="Times New Roman" w:hAnsi="Times New Roman"/>
      <w:b/>
      <w:sz w:val="24"/>
      <w:szCs w:val="22"/>
      <w:lang w:eastAsia="en-US"/>
    </w:rPr>
  </w:style>
  <w:style w:type="paragraph" w:customStyle="1" w:styleId="CONLevel11">
    <w:name w:val=".CON  Level   1.1"/>
    <w:basedOn w:val="Normal"/>
    <w:next w:val="Normal"/>
    <w:rsid w:val="00F63654"/>
    <w:pPr>
      <w:numPr>
        <w:ilvl w:val="1"/>
        <w:numId w:val="9"/>
      </w:numPr>
      <w:spacing w:before="240" w:after="0" w:line="240" w:lineRule="auto"/>
      <w:jc w:val="left"/>
      <w:outlineLvl w:val="2"/>
    </w:pPr>
    <w:rPr>
      <w:rFonts w:ascii="Times New Roman" w:eastAsia="Times New Roman" w:hAnsi="Times New Roman"/>
      <w:sz w:val="24"/>
      <w:szCs w:val="22"/>
      <w:lang w:eastAsia="en-US"/>
    </w:rPr>
  </w:style>
  <w:style w:type="paragraph" w:customStyle="1" w:styleId="CONLevelA0">
    <w:name w:val=".CON  Level (A)"/>
    <w:basedOn w:val="Normal"/>
    <w:next w:val="Normal"/>
    <w:rsid w:val="00F63654"/>
    <w:pPr>
      <w:numPr>
        <w:ilvl w:val="4"/>
        <w:numId w:val="9"/>
      </w:numPr>
      <w:spacing w:before="240" w:after="0" w:line="240" w:lineRule="auto"/>
      <w:jc w:val="left"/>
      <w:outlineLvl w:val="5"/>
    </w:pPr>
    <w:rPr>
      <w:rFonts w:ascii="Times New Roman" w:eastAsia="Times New Roman" w:hAnsi="Times New Roman"/>
      <w:sz w:val="24"/>
      <w:szCs w:val="22"/>
      <w:lang w:eastAsia="en-US"/>
    </w:rPr>
  </w:style>
  <w:style w:type="paragraph" w:customStyle="1" w:styleId="CONLevelI0">
    <w:name w:val=".CON  Level (I)"/>
    <w:basedOn w:val="Normal"/>
    <w:next w:val="Normal"/>
    <w:rsid w:val="00F63654"/>
    <w:pPr>
      <w:numPr>
        <w:ilvl w:val="5"/>
        <w:numId w:val="9"/>
      </w:numPr>
      <w:spacing w:before="240" w:after="0" w:line="240" w:lineRule="auto"/>
      <w:jc w:val="left"/>
      <w:outlineLvl w:val="6"/>
    </w:pPr>
    <w:rPr>
      <w:rFonts w:ascii="Times New Roman" w:eastAsia="Times New Roman" w:hAnsi="Times New Roman"/>
      <w:sz w:val="24"/>
      <w:szCs w:val="22"/>
      <w:lang w:eastAsia="en-US"/>
    </w:rPr>
  </w:style>
  <w:style w:type="character" w:customStyle="1" w:styleId="CONLevelaChar">
    <w:name w:val=".CON  Level  (a) Char"/>
    <w:link w:val="CONLevela"/>
    <w:locked/>
    <w:rsid w:val="00F63654"/>
    <w:rPr>
      <w:rFonts w:ascii="Times New Roman" w:eastAsia="Times New Roman" w:hAnsi="Times New Roman"/>
      <w:sz w:val="24"/>
      <w:szCs w:val="22"/>
      <w:lang w:val="en-GB" w:eastAsia="en-US"/>
    </w:rPr>
  </w:style>
  <w:style w:type="paragraph" w:styleId="EndnoteText">
    <w:name w:val="endnote text"/>
    <w:basedOn w:val="Normal"/>
    <w:link w:val="EndnoteTextChar"/>
    <w:rsid w:val="0094251C"/>
    <w:pPr>
      <w:spacing w:after="0" w:line="240" w:lineRule="auto"/>
    </w:pPr>
    <w:rPr>
      <w:sz w:val="20"/>
      <w:szCs w:val="20"/>
    </w:rPr>
  </w:style>
  <w:style w:type="character" w:customStyle="1" w:styleId="EndnoteTextChar">
    <w:name w:val="Endnote Text Char"/>
    <w:basedOn w:val="DefaultParagraphFont"/>
    <w:link w:val="EndnoteText"/>
    <w:rsid w:val="0094251C"/>
  </w:style>
  <w:style w:type="character" w:styleId="EndnoteReference">
    <w:name w:val="endnote reference"/>
    <w:basedOn w:val="DefaultParagraphFont"/>
    <w:rsid w:val="0094251C"/>
    <w:rPr>
      <w:vertAlign w:val="superscript"/>
    </w:rPr>
  </w:style>
  <w:style w:type="table" w:styleId="TableSimple1">
    <w:name w:val="Table Simple 1"/>
    <w:basedOn w:val="TableNormal"/>
    <w:rsid w:val="00566B63"/>
    <w:pPr>
      <w:spacing w:after="240" w:line="276"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
    <w:name w:val="Body Text"/>
    <w:basedOn w:val="Normal"/>
    <w:link w:val="BodyTextChar"/>
    <w:qFormat/>
    <w:rsid w:val="00F67987"/>
    <w:pPr>
      <w:spacing w:after="120" w:line="320" w:lineRule="atLeast"/>
      <w:jc w:val="left"/>
    </w:pPr>
    <w:rPr>
      <w:rFonts w:ascii="Arial" w:eastAsia="Times New Roman" w:hAnsi="Arial"/>
      <w:sz w:val="20"/>
      <w:lang w:eastAsia="ja-JP" w:bidi="en-US"/>
    </w:rPr>
  </w:style>
  <w:style w:type="character" w:customStyle="1" w:styleId="BodyTextChar">
    <w:name w:val="Body Text Char"/>
    <w:basedOn w:val="DefaultParagraphFont"/>
    <w:link w:val="BodyText"/>
    <w:rsid w:val="00F67987"/>
    <w:rPr>
      <w:rFonts w:ascii="Arial" w:eastAsia="Times New Roman" w:hAnsi="Arial"/>
      <w:szCs w:val="24"/>
      <w:lang w:eastAsia="ja-JP" w:bidi="en-US"/>
    </w:rPr>
  </w:style>
  <w:style w:type="paragraph" w:customStyle="1" w:styleId="Tabletext">
    <w:name w:val="Table text"/>
    <w:uiPriority w:val="99"/>
    <w:rsid w:val="00F67987"/>
    <w:pPr>
      <w:spacing w:before="48" w:after="48" w:line="220" w:lineRule="exact"/>
    </w:pPr>
    <w:rPr>
      <w:rFonts w:ascii="Arial" w:eastAsia="Times New Roman" w:hAnsi="Arial"/>
      <w:sz w:val="16"/>
      <w:lang w:val="en-GB" w:eastAsia="en-US"/>
    </w:rPr>
  </w:style>
  <w:style w:type="paragraph" w:customStyle="1" w:styleId="Tablebullets">
    <w:name w:val="Table bullets"/>
    <w:basedOn w:val="Tabletext"/>
    <w:qFormat/>
    <w:rsid w:val="00F67987"/>
    <w:pPr>
      <w:numPr>
        <w:numId w:val="11"/>
      </w:numPr>
      <w:spacing w:before="0" w:after="0" w:line="240" w:lineRule="atLeast"/>
    </w:pPr>
  </w:style>
  <w:style w:type="paragraph" w:styleId="NormalWeb">
    <w:name w:val="Normal (Web)"/>
    <w:basedOn w:val="Normal"/>
    <w:uiPriority w:val="99"/>
    <w:unhideWhenUsed/>
    <w:rsid w:val="00566B65"/>
    <w:pPr>
      <w:spacing w:before="100" w:beforeAutospacing="1" w:after="100" w:afterAutospacing="1" w:line="240" w:lineRule="auto"/>
      <w:jc w:val="left"/>
    </w:pPr>
    <w:rPr>
      <w:rFonts w:ascii="Times New Roman" w:eastAsia="Times New Roman" w:hAnsi="Times New Roman"/>
      <w:sz w:val="24"/>
      <w:lang w:eastAsia="en-GB"/>
    </w:rPr>
  </w:style>
  <w:style w:type="paragraph" w:styleId="Revision">
    <w:name w:val="Revision"/>
    <w:hidden/>
    <w:uiPriority w:val="99"/>
    <w:semiHidden/>
    <w:rsid w:val="00AD0BA2"/>
    <w:rPr>
      <w:sz w:val="22"/>
      <w:szCs w:val="24"/>
      <w:lang w:val="en-GB"/>
    </w:rPr>
  </w:style>
  <w:style w:type="table" w:customStyle="1" w:styleId="TableGrid2">
    <w:name w:val="Table Grid2"/>
    <w:basedOn w:val="TableNormal"/>
    <w:next w:val="TableGrid"/>
    <w:uiPriority w:val="59"/>
    <w:rsid w:val="00240F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E2933"/>
    <w:rPr>
      <w:rFonts w:asciiTheme="minorHAnsi" w:eastAsiaTheme="minorHAnsi" w:hAnsiTheme="minorHAnsi" w:cstheme="minorBidi"/>
      <w:sz w:val="22"/>
      <w:szCs w:val="2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lsdException w:name="footer" w:uiPriority="99"/>
    <w:lsdException w:name="caption" w:locked="1" w:semiHidden="1" w:unhideWhenUsed="1" w:qFormat="1"/>
    <w:lsdException w:name="table of figures" w:uiPriority="99"/>
    <w:lsdException w:name="footnote reference" w:uiPriority="99"/>
    <w:lsdException w:name="annotation reference" w:uiPriority="99"/>
    <w:lsdException w:name="Title" w:locked="1" w:uiPriority="10" w:qFormat="1"/>
    <w:lsdException w:name="Default Paragraph Font" w:locked="1"/>
    <w:lsdException w:name="Body Text" w:qFormat="1"/>
    <w:lsdException w:name="Subtitle" w:locked="1"/>
    <w:lsdException w:name="Hyperlink" w:uiPriority="99"/>
    <w:lsdException w:name="Strong" w:locked="1"/>
    <w:lsdException w:name="Emphasis" w:locked="1" w:qFormat="1"/>
    <w:lsdException w:name="Normal (Web)" w:uiPriority="99"/>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E0C"/>
    <w:pPr>
      <w:spacing w:after="240" w:line="276" w:lineRule="auto"/>
      <w:jc w:val="both"/>
    </w:pPr>
    <w:rPr>
      <w:sz w:val="22"/>
      <w:szCs w:val="24"/>
      <w:lang w:val="en-GB"/>
    </w:rPr>
  </w:style>
  <w:style w:type="paragraph" w:styleId="Heading1">
    <w:name w:val="heading 1"/>
    <w:basedOn w:val="Normal"/>
    <w:next w:val="Normal"/>
    <w:link w:val="Heading1Char"/>
    <w:uiPriority w:val="9"/>
    <w:qFormat/>
    <w:locked/>
    <w:rsid w:val="00846435"/>
    <w:pPr>
      <w:keepNext/>
      <w:numPr>
        <w:numId w:val="1"/>
      </w:numPr>
      <w:spacing w:after="0" w:line="240" w:lineRule="auto"/>
      <w:outlineLvl w:val="0"/>
    </w:pPr>
    <w:rPr>
      <w:rFonts w:ascii="Arial" w:hAnsi="Arial" w:cs="Arial"/>
      <w:b/>
      <w:bCs/>
      <w:kern w:val="32"/>
    </w:rPr>
  </w:style>
  <w:style w:type="paragraph" w:styleId="Heading2">
    <w:name w:val="heading 2"/>
    <w:basedOn w:val="Normal"/>
    <w:next w:val="Normal"/>
    <w:link w:val="Heading2Char"/>
    <w:uiPriority w:val="9"/>
    <w:qFormat/>
    <w:locked/>
    <w:rsid w:val="00846435"/>
    <w:pPr>
      <w:keepNext/>
      <w:numPr>
        <w:ilvl w:val="1"/>
        <w:numId w:val="1"/>
      </w:numPr>
      <w:spacing w:before="240" w:after="60"/>
      <w:outlineLvl w:val="1"/>
    </w:pPr>
    <w:rPr>
      <w:rFonts w:ascii="Arial" w:hAnsi="Arial" w:cs="Arial"/>
      <w:b/>
      <w:bCs/>
      <w:iCs/>
      <w:szCs w:val="22"/>
    </w:rPr>
  </w:style>
  <w:style w:type="paragraph" w:styleId="Heading3">
    <w:name w:val="heading 3"/>
    <w:basedOn w:val="Normal"/>
    <w:next w:val="Normal"/>
    <w:link w:val="Heading3Char"/>
    <w:uiPriority w:val="9"/>
    <w:qFormat/>
    <w:locked/>
    <w:rsid w:val="00D72901"/>
    <w:pPr>
      <w:keepNext/>
      <w:numPr>
        <w:ilvl w:val="2"/>
        <w:numId w:val="3"/>
      </w:numPr>
      <w:spacing w:before="120" w:after="120"/>
      <w:ind w:left="709" w:hanging="709"/>
      <w:outlineLvl w:val="2"/>
    </w:pPr>
    <w:rPr>
      <w:rFonts w:asciiTheme="minorHAnsi" w:hAnsiTheme="minorHAnsi" w:cs="Arial"/>
      <w:bCs/>
      <w:color w:val="365F91" w:themeColor="accent1" w:themeShade="BF"/>
      <w:sz w:val="24"/>
      <w:szCs w:val="22"/>
    </w:rPr>
  </w:style>
  <w:style w:type="paragraph" w:styleId="Heading4">
    <w:name w:val="heading 4"/>
    <w:basedOn w:val="Normal"/>
    <w:next w:val="Normal"/>
    <w:link w:val="Heading4Char"/>
    <w:uiPriority w:val="9"/>
    <w:qFormat/>
    <w:locked/>
    <w:rsid w:val="00846435"/>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locked/>
    <w:rsid w:val="00846435"/>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locked/>
    <w:rsid w:val="00846435"/>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
    <w:qFormat/>
    <w:locked/>
    <w:rsid w:val="00846435"/>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uiPriority w:val="9"/>
    <w:qFormat/>
    <w:locked/>
    <w:rsid w:val="00846435"/>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uiPriority w:val="9"/>
    <w:qFormat/>
    <w:locked/>
    <w:rsid w:val="00846435"/>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250F"/>
    <w:rPr>
      <w:color w:val="0000FF"/>
      <w:u w:val="single"/>
    </w:rPr>
  </w:style>
  <w:style w:type="paragraph" w:styleId="TOC1">
    <w:name w:val="toc 1"/>
    <w:basedOn w:val="Normal"/>
    <w:next w:val="Normal"/>
    <w:autoRedefine/>
    <w:uiPriority w:val="39"/>
    <w:rsid w:val="001E2541"/>
    <w:pPr>
      <w:tabs>
        <w:tab w:val="right" w:leader="dot" w:pos="9090"/>
      </w:tabs>
      <w:spacing w:before="240" w:after="40"/>
      <w:ind w:left="482" w:right="549" w:hanging="482"/>
    </w:pPr>
    <w:rPr>
      <w:rFonts w:eastAsia="SimSun"/>
      <w:b/>
      <w:sz w:val="28"/>
      <w:lang w:eastAsia="zh-CN"/>
    </w:rPr>
  </w:style>
  <w:style w:type="paragraph" w:styleId="TOC2">
    <w:name w:val="toc 2"/>
    <w:basedOn w:val="Normal"/>
    <w:next w:val="Normal"/>
    <w:autoRedefine/>
    <w:uiPriority w:val="39"/>
    <w:rsid w:val="00E37CED"/>
    <w:pPr>
      <w:tabs>
        <w:tab w:val="left" w:pos="1200"/>
        <w:tab w:val="right" w:leader="dot" w:pos="9090"/>
      </w:tabs>
      <w:spacing w:after="40"/>
      <w:ind w:left="567" w:right="549"/>
      <w:jc w:val="left"/>
    </w:pPr>
    <w:rPr>
      <w:rFonts w:eastAsia="SimSun"/>
      <w:lang w:eastAsia="zh-CN"/>
    </w:rPr>
  </w:style>
  <w:style w:type="paragraph" w:styleId="TOC3">
    <w:name w:val="toc 3"/>
    <w:basedOn w:val="Normal"/>
    <w:next w:val="Normal"/>
    <w:autoRedefine/>
    <w:uiPriority w:val="39"/>
    <w:rsid w:val="008F250F"/>
    <w:pPr>
      <w:tabs>
        <w:tab w:val="left" w:pos="1620"/>
        <w:tab w:val="right" w:leader="dot" w:pos="9600"/>
      </w:tabs>
      <w:spacing w:after="40"/>
      <w:ind w:left="1622" w:hanging="488"/>
    </w:pPr>
    <w:rPr>
      <w:rFonts w:eastAsia="SimSun"/>
      <w:lang w:eastAsia="zh-CN"/>
    </w:rPr>
  </w:style>
  <w:style w:type="paragraph" w:styleId="BalloonText">
    <w:name w:val="Balloon Text"/>
    <w:basedOn w:val="Normal"/>
    <w:link w:val="BalloonTextChar"/>
    <w:uiPriority w:val="99"/>
    <w:semiHidden/>
    <w:rsid w:val="00F71A40"/>
    <w:rPr>
      <w:rFonts w:ascii="Tahoma" w:hAnsi="Tahoma" w:cs="Tahoma"/>
      <w:sz w:val="16"/>
      <w:szCs w:val="16"/>
    </w:rPr>
  </w:style>
  <w:style w:type="character" w:styleId="CommentReference">
    <w:name w:val="annotation reference"/>
    <w:uiPriority w:val="99"/>
    <w:semiHidden/>
    <w:rsid w:val="00237910"/>
    <w:rPr>
      <w:sz w:val="16"/>
      <w:szCs w:val="16"/>
    </w:rPr>
  </w:style>
  <w:style w:type="paragraph" w:styleId="CommentText">
    <w:name w:val="annotation text"/>
    <w:basedOn w:val="Normal"/>
    <w:link w:val="CommentTextChar"/>
    <w:uiPriority w:val="99"/>
    <w:semiHidden/>
    <w:rsid w:val="00237910"/>
    <w:rPr>
      <w:sz w:val="20"/>
      <w:szCs w:val="20"/>
    </w:rPr>
  </w:style>
  <w:style w:type="paragraph" w:styleId="CommentSubject">
    <w:name w:val="annotation subject"/>
    <w:basedOn w:val="CommentText"/>
    <w:next w:val="CommentText"/>
    <w:link w:val="CommentSubjectChar"/>
    <w:uiPriority w:val="99"/>
    <w:semiHidden/>
    <w:rsid w:val="00237910"/>
    <w:rPr>
      <w:b/>
      <w:bCs/>
    </w:rPr>
  </w:style>
  <w:style w:type="table" w:styleId="TableGrid">
    <w:name w:val="Table Grid"/>
    <w:basedOn w:val="TableNormal"/>
    <w:uiPriority w:val="59"/>
    <w:locked/>
    <w:rsid w:val="00621D1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945943"/>
    <w:pPr>
      <w:spacing w:after="0" w:line="240" w:lineRule="auto"/>
      <w:jc w:val="left"/>
    </w:pPr>
    <w:rPr>
      <w:sz w:val="20"/>
      <w:szCs w:val="20"/>
      <w:lang w:eastAsia="en-US"/>
    </w:rPr>
  </w:style>
  <w:style w:type="character" w:customStyle="1" w:styleId="FootnoteTextChar">
    <w:name w:val="Footnote Text Char"/>
    <w:link w:val="FootnoteText"/>
    <w:rsid w:val="00945943"/>
    <w:rPr>
      <w:lang w:eastAsia="en-US"/>
    </w:rPr>
  </w:style>
  <w:style w:type="character" w:styleId="FootnoteReference">
    <w:name w:val="footnote reference"/>
    <w:uiPriority w:val="99"/>
    <w:unhideWhenUsed/>
    <w:rsid w:val="00945943"/>
    <w:rPr>
      <w:vertAlign w:val="superscript"/>
    </w:rPr>
  </w:style>
  <w:style w:type="paragraph" w:styleId="Footer">
    <w:name w:val="footer"/>
    <w:basedOn w:val="Normal"/>
    <w:link w:val="FooterChar"/>
    <w:uiPriority w:val="99"/>
    <w:unhideWhenUsed/>
    <w:rsid w:val="00945943"/>
    <w:pPr>
      <w:tabs>
        <w:tab w:val="center" w:pos="4513"/>
        <w:tab w:val="right" w:pos="9026"/>
      </w:tabs>
      <w:spacing w:after="0" w:line="240" w:lineRule="auto"/>
      <w:jc w:val="left"/>
    </w:pPr>
    <w:rPr>
      <w:szCs w:val="22"/>
      <w:lang w:eastAsia="en-US"/>
    </w:rPr>
  </w:style>
  <w:style w:type="character" w:customStyle="1" w:styleId="FooterChar">
    <w:name w:val="Footer Char"/>
    <w:link w:val="Footer"/>
    <w:uiPriority w:val="99"/>
    <w:rsid w:val="00945943"/>
    <w:rPr>
      <w:sz w:val="22"/>
      <w:szCs w:val="22"/>
      <w:lang w:eastAsia="en-US"/>
    </w:rPr>
  </w:style>
  <w:style w:type="paragraph" w:customStyle="1" w:styleId="Default">
    <w:name w:val="Default"/>
    <w:rsid w:val="00580C93"/>
    <w:pPr>
      <w:autoSpaceDE w:val="0"/>
      <w:autoSpaceDN w:val="0"/>
      <w:adjustRightInd w:val="0"/>
    </w:pPr>
    <w:rPr>
      <w:rFonts w:ascii="Georgia" w:hAnsi="Georgia" w:cs="Georgia"/>
      <w:color w:val="000000"/>
      <w:sz w:val="24"/>
      <w:szCs w:val="24"/>
      <w:lang w:eastAsia="en-US"/>
    </w:rPr>
  </w:style>
  <w:style w:type="paragraph" w:customStyle="1" w:styleId="Style1">
    <w:name w:val="Style1"/>
    <w:basedOn w:val="Heading1"/>
    <w:link w:val="Style1Char"/>
    <w:rsid w:val="009F1402"/>
    <w:pPr>
      <w:spacing w:before="120" w:after="360" w:line="276" w:lineRule="auto"/>
    </w:pPr>
    <w:rPr>
      <w:rFonts w:ascii="Garamond" w:hAnsi="Garamond" w:cs="Calibri"/>
      <w:smallCaps/>
      <w:sz w:val="46"/>
      <w:szCs w:val="46"/>
    </w:rPr>
  </w:style>
  <w:style w:type="paragraph" w:styleId="Title">
    <w:name w:val="Title"/>
    <w:basedOn w:val="Normal"/>
    <w:next w:val="Normal"/>
    <w:link w:val="TitleChar"/>
    <w:uiPriority w:val="10"/>
    <w:qFormat/>
    <w:locked/>
    <w:rsid w:val="006C64F5"/>
    <w:pPr>
      <w:spacing w:before="240" w:after="60"/>
      <w:jc w:val="center"/>
      <w:outlineLvl w:val="0"/>
    </w:pPr>
    <w:rPr>
      <w:rFonts w:ascii="Cambria" w:eastAsia="Times New Roman" w:hAnsi="Cambria"/>
      <w:b/>
      <w:bCs/>
      <w:kern w:val="28"/>
      <w:sz w:val="32"/>
      <w:szCs w:val="32"/>
    </w:rPr>
  </w:style>
  <w:style w:type="character" w:customStyle="1" w:styleId="Heading1Char">
    <w:name w:val="Heading 1 Char"/>
    <w:link w:val="Heading1"/>
    <w:uiPriority w:val="9"/>
    <w:rsid w:val="009F1402"/>
    <w:rPr>
      <w:rFonts w:ascii="Arial" w:hAnsi="Arial" w:cs="Arial"/>
      <w:b/>
      <w:bCs/>
      <w:kern w:val="32"/>
      <w:sz w:val="22"/>
      <w:szCs w:val="24"/>
      <w:lang w:val="en-GB"/>
    </w:rPr>
  </w:style>
  <w:style w:type="character" w:customStyle="1" w:styleId="Style1Char">
    <w:name w:val="Style1 Char"/>
    <w:link w:val="Style1"/>
    <w:rsid w:val="009F1402"/>
    <w:rPr>
      <w:rFonts w:ascii="Garamond" w:hAnsi="Garamond" w:cs="Calibri"/>
      <w:b/>
      <w:bCs/>
      <w:smallCaps/>
      <w:kern w:val="32"/>
      <w:sz w:val="46"/>
      <w:szCs w:val="46"/>
      <w:lang w:val="en-GB"/>
    </w:rPr>
  </w:style>
  <w:style w:type="character" w:customStyle="1" w:styleId="TitleChar">
    <w:name w:val="Title Char"/>
    <w:link w:val="Title"/>
    <w:uiPriority w:val="10"/>
    <w:rsid w:val="006C64F5"/>
    <w:rPr>
      <w:rFonts w:ascii="Cambria" w:eastAsia="Times New Roman" w:hAnsi="Cambria" w:cs="Times New Roman"/>
      <w:b/>
      <w:bCs/>
      <w:kern w:val="28"/>
      <w:sz w:val="32"/>
      <w:szCs w:val="32"/>
    </w:rPr>
  </w:style>
  <w:style w:type="paragraph" w:customStyle="1" w:styleId="HeadingGRM">
    <w:name w:val="Heading GRM"/>
    <w:basedOn w:val="Heading1"/>
    <w:next w:val="Normal"/>
    <w:link w:val="HeadingGRMChar"/>
    <w:qFormat/>
    <w:rsid w:val="00295DB2"/>
    <w:pPr>
      <w:numPr>
        <w:numId w:val="0"/>
      </w:numPr>
      <w:spacing w:before="480" w:after="360" w:line="276" w:lineRule="auto"/>
      <w:jc w:val="left"/>
    </w:pPr>
    <w:rPr>
      <w:rFonts w:ascii="Calibri" w:hAnsi="Calibri"/>
      <w:sz w:val="36"/>
    </w:rPr>
  </w:style>
  <w:style w:type="paragraph" w:customStyle="1" w:styleId="Sub-HeadingGRM">
    <w:name w:val="Sub-Heading GRM"/>
    <w:basedOn w:val="Normal"/>
    <w:next w:val="Normal"/>
    <w:link w:val="Sub-HeadingGRMChar"/>
    <w:rsid w:val="00544AD2"/>
    <w:pPr>
      <w:keepNext/>
      <w:tabs>
        <w:tab w:val="left" w:pos="900"/>
      </w:tabs>
      <w:spacing w:before="40"/>
      <w:jc w:val="left"/>
      <w:outlineLvl w:val="1"/>
    </w:pPr>
    <w:rPr>
      <w:rFonts w:cs="Arial"/>
      <w:b/>
      <w:bCs/>
      <w:iCs/>
      <w:sz w:val="32"/>
      <w:szCs w:val="32"/>
    </w:rPr>
  </w:style>
  <w:style w:type="character" w:customStyle="1" w:styleId="HeadingGRMChar">
    <w:name w:val="Heading GRM Char"/>
    <w:link w:val="HeadingGRM"/>
    <w:rsid w:val="00295DB2"/>
    <w:rPr>
      <w:rFonts w:ascii="Calibri" w:hAnsi="Calibri" w:cs="Arial"/>
      <w:b/>
      <w:bCs/>
      <w:kern w:val="32"/>
      <w:sz w:val="36"/>
      <w:szCs w:val="24"/>
      <w:lang w:val="en-AU" w:eastAsia="en-AU"/>
    </w:rPr>
  </w:style>
  <w:style w:type="paragraph" w:customStyle="1" w:styleId="Sub-Heading2GRM">
    <w:name w:val="Sub-Heading 2 GRM"/>
    <w:basedOn w:val="Heading3"/>
    <w:link w:val="Sub-Heading2GRMChar"/>
    <w:rsid w:val="00A44143"/>
    <w:pPr>
      <w:numPr>
        <w:ilvl w:val="0"/>
        <w:numId w:val="0"/>
      </w:numPr>
      <w:spacing w:before="0" w:after="240"/>
    </w:pPr>
    <w:rPr>
      <w:rFonts w:ascii="Garamond" w:hAnsi="Garamond"/>
      <w:b/>
      <w:sz w:val="28"/>
      <w:szCs w:val="32"/>
    </w:rPr>
  </w:style>
  <w:style w:type="character" w:customStyle="1" w:styleId="Sub-HeadingGRMChar">
    <w:name w:val="Sub-Heading GRM Char"/>
    <w:link w:val="Sub-HeadingGRM"/>
    <w:rsid w:val="004D7223"/>
    <w:rPr>
      <w:rFonts w:ascii="Garamond" w:hAnsi="Garamond" w:cs="Arial"/>
      <w:b/>
      <w:bCs/>
      <w:iCs/>
      <w:sz w:val="32"/>
      <w:szCs w:val="32"/>
      <w:lang w:val="en-AU" w:eastAsia="en-AU"/>
    </w:rPr>
  </w:style>
  <w:style w:type="paragraph" w:styleId="Header">
    <w:name w:val="header"/>
    <w:basedOn w:val="Normal"/>
    <w:link w:val="HeaderChar"/>
    <w:rsid w:val="001B7D1D"/>
    <w:pPr>
      <w:tabs>
        <w:tab w:val="center" w:pos="4153"/>
        <w:tab w:val="right" w:pos="8306"/>
      </w:tabs>
    </w:pPr>
    <w:rPr>
      <w:rFonts w:eastAsia="SimSun"/>
      <w:lang w:eastAsia="zh-CN"/>
    </w:rPr>
  </w:style>
  <w:style w:type="character" w:customStyle="1" w:styleId="Heading3Char">
    <w:name w:val="Heading 3 Char"/>
    <w:link w:val="Heading3"/>
    <w:uiPriority w:val="9"/>
    <w:rsid w:val="00D72901"/>
    <w:rPr>
      <w:rFonts w:asciiTheme="minorHAnsi" w:hAnsiTheme="minorHAnsi" w:cs="Arial"/>
      <w:bCs/>
      <w:color w:val="365F91" w:themeColor="accent1" w:themeShade="BF"/>
      <w:sz w:val="24"/>
      <w:szCs w:val="22"/>
      <w:lang w:val="en-GB"/>
    </w:rPr>
  </w:style>
  <w:style w:type="character" w:customStyle="1" w:styleId="Sub-Heading2GRMChar">
    <w:name w:val="Sub-Heading 2 GRM Char"/>
    <w:link w:val="Sub-Heading2GRM"/>
    <w:rsid w:val="00A44143"/>
    <w:rPr>
      <w:rFonts w:ascii="Garamond" w:hAnsi="Garamond" w:cs="Arial"/>
      <w:b/>
      <w:bCs/>
      <w:sz w:val="28"/>
      <w:szCs w:val="32"/>
    </w:rPr>
  </w:style>
  <w:style w:type="character" w:customStyle="1" w:styleId="HeaderChar">
    <w:name w:val="Header Char"/>
    <w:link w:val="Header"/>
    <w:rsid w:val="001B7D1D"/>
    <w:rPr>
      <w:rFonts w:ascii="Garamond" w:eastAsia="SimSun" w:hAnsi="Garamond"/>
      <w:sz w:val="24"/>
      <w:szCs w:val="24"/>
      <w:lang w:eastAsia="zh-CN"/>
    </w:rPr>
  </w:style>
  <w:style w:type="paragraph" w:customStyle="1" w:styleId="BlueHeadingindent">
    <w:name w:val="Blue Heading indent"/>
    <w:basedOn w:val="Normal"/>
    <w:rsid w:val="001B7D1D"/>
    <w:pPr>
      <w:tabs>
        <w:tab w:val="left" w:pos="2340"/>
      </w:tabs>
    </w:pPr>
    <w:rPr>
      <w:rFonts w:ascii="Helvetica" w:eastAsia="Times New Roman" w:hAnsi="Helvetica"/>
      <w:smallCaps/>
      <w:color w:val="004071"/>
      <w:sz w:val="48"/>
      <w:szCs w:val="48"/>
      <w:lang w:eastAsia="en-US"/>
    </w:rPr>
  </w:style>
  <w:style w:type="character" w:styleId="PageNumber">
    <w:name w:val="page number"/>
    <w:rsid w:val="001B7D1D"/>
    <w:rPr>
      <w:rFonts w:cs="Times New Roman"/>
    </w:rPr>
  </w:style>
  <w:style w:type="paragraph" w:customStyle="1" w:styleId="Style16ptBoldCenteredAfter0pt">
    <w:name w:val="Style 16 pt Bold Centered After:  0 pt"/>
    <w:basedOn w:val="Normal"/>
    <w:rsid w:val="001B7D1D"/>
    <w:pPr>
      <w:spacing w:line="240" w:lineRule="auto"/>
      <w:jc w:val="center"/>
    </w:pPr>
    <w:rPr>
      <w:rFonts w:cs="Garamond"/>
      <w:b/>
      <w:bCs/>
      <w:sz w:val="40"/>
      <w:szCs w:val="40"/>
      <w:lang w:eastAsia="en-US"/>
    </w:rPr>
  </w:style>
  <w:style w:type="paragraph" w:customStyle="1" w:styleId="PageTitleGRM">
    <w:name w:val="Page Title GRM"/>
    <w:basedOn w:val="Style1"/>
    <w:next w:val="Normal"/>
    <w:link w:val="PageTitleGRMChar"/>
    <w:qFormat/>
    <w:rsid w:val="00F22590"/>
    <w:pPr>
      <w:numPr>
        <w:numId w:val="0"/>
      </w:numPr>
      <w:jc w:val="left"/>
    </w:pPr>
    <w:rPr>
      <w:rFonts w:ascii="Calibri" w:hAnsi="Calibri"/>
      <w:color w:val="1F497D"/>
      <w:sz w:val="36"/>
    </w:rPr>
  </w:style>
  <w:style w:type="paragraph" w:styleId="ListParagraph">
    <w:name w:val="List Paragraph"/>
    <w:basedOn w:val="Normal"/>
    <w:link w:val="ListParagraphChar"/>
    <w:uiPriority w:val="34"/>
    <w:qFormat/>
    <w:rsid w:val="00D253CB"/>
    <w:pPr>
      <w:ind w:left="720"/>
      <w:contextualSpacing/>
    </w:pPr>
  </w:style>
  <w:style w:type="character" w:customStyle="1" w:styleId="PageTitleGRMChar">
    <w:name w:val="Page Title GRM Char"/>
    <w:link w:val="PageTitleGRM"/>
    <w:rsid w:val="00F22590"/>
    <w:rPr>
      <w:rFonts w:ascii="Calibri" w:hAnsi="Calibri" w:cs="Calibri"/>
      <w:b/>
      <w:bCs/>
      <w:smallCaps/>
      <w:color w:val="1F497D"/>
      <w:kern w:val="32"/>
      <w:sz w:val="36"/>
      <w:szCs w:val="46"/>
      <w:lang w:val="en-AU" w:eastAsia="en-AU"/>
    </w:rPr>
  </w:style>
  <w:style w:type="character" w:customStyle="1" w:styleId="ListParagraphChar">
    <w:name w:val="List Paragraph Char"/>
    <w:link w:val="ListParagraph"/>
    <w:uiPriority w:val="34"/>
    <w:rsid w:val="00D253CB"/>
    <w:rPr>
      <w:rFonts w:ascii="Garamond" w:hAnsi="Garamond"/>
      <w:sz w:val="24"/>
      <w:szCs w:val="24"/>
    </w:rPr>
  </w:style>
  <w:style w:type="paragraph" w:customStyle="1" w:styleId="Sub-Heading3GRM">
    <w:name w:val="Sub-Heading 3 GRM"/>
    <w:basedOn w:val="Heading4"/>
    <w:link w:val="Sub-Heading3GRMChar"/>
    <w:rsid w:val="00264C93"/>
    <w:pPr>
      <w:numPr>
        <w:ilvl w:val="0"/>
        <w:numId w:val="2"/>
      </w:numPr>
      <w:spacing w:before="40" w:after="240"/>
      <w:jc w:val="left"/>
    </w:pPr>
    <w:rPr>
      <w:rFonts w:ascii="Garamond" w:eastAsia="Times New Roman" w:hAnsi="Garamond"/>
      <w:lang w:eastAsia="en-US"/>
    </w:rPr>
  </w:style>
  <w:style w:type="paragraph" w:styleId="TOC4">
    <w:name w:val="toc 4"/>
    <w:basedOn w:val="Normal"/>
    <w:next w:val="Normal"/>
    <w:autoRedefine/>
    <w:uiPriority w:val="39"/>
    <w:locked/>
    <w:rsid w:val="00BB0684"/>
    <w:pPr>
      <w:tabs>
        <w:tab w:val="left" w:pos="2127"/>
        <w:tab w:val="right" w:leader="dot" w:pos="9639"/>
      </w:tabs>
      <w:spacing w:before="80" w:after="40"/>
      <w:ind w:left="1559"/>
    </w:pPr>
  </w:style>
  <w:style w:type="character" w:customStyle="1" w:styleId="Heading4Char">
    <w:name w:val="Heading 4 Char"/>
    <w:link w:val="Heading4"/>
    <w:uiPriority w:val="9"/>
    <w:rsid w:val="00264C93"/>
    <w:rPr>
      <w:rFonts w:ascii="Times New Roman" w:hAnsi="Times New Roman"/>
      <w:b/>
      <w:bCs/>
      <w:sz w:val="28"/>
      <w:szCs w:val="28"/>
      <w:lang w:val="en-GB"/>
    </w:rPr>
  </w:style>
  <w:style w:type="character" w:customStyle="1" w:styleId="Sub-Heading3GRMChar">
    <w:name w:val="Sub-Heading 3 GRM Char"/>
    <w:link w:val="Sub-Heading3GRM"/>
    <w:rsid w:val="00264C93"/>
    <w:rPr>
      <w:rFonts w:ascii="Garamond" w:eastAsia="Times New Roman" w:hAnsi="Garamond"/>
      <w:b/>
      <w:bCs/>
      <w:sz w:val="28"/>
      <w:szCs w:val="28"/>
      <w:lang w:val="en-GB" w:eastAsia="en-US"/>
    </w:rPr>
  </w:style>
  <w:style w:type="paragraph" w:customStyle="1" w:styleId="Sub-Heading4GRM">
    <w:name w:val="Sub-Heading 4 GRM"/>
    <w:basedOn w:val="Normal"/>
    <w:link w:val="Sub-Heading4GRMChar"/>
    <w:rsid w:val="00837471"/>
    <w:pPr>
      <w:spacing w:after="160"/>
    </w:pPr>
    <w:rPr>
      <w:rFonts w:eastAsia="Times New Roman" w:cs="Calibri"/>
      <w:b/>
    </w:rPr>
  </w:style>
  <w:style w:type="paragraph" w:styleId="TOC5">
    <w:name w:val="toc 5"/>
    <w:basedOn w:val="Normal"/>
    <w:next w:val="Normal"/>
    <w:autoRedefine/>
    <w:uiPriority w:val="39"/>
    <w:locked/>
    <w:rsid w:val="00344E1C"/>
    <w:pPr>
      <w:tabs>
        <w:tab w:val="right" w:leader="dot" w:pos="9498"/>
      </w:tabs>
      <w:spacing w:after="40"/>
      <w:ind w:left="2126"/>
      <w:jc w:val="left"/>
    </w:pPr>
  </w:style>
  <w:style w:type="character" w:customStyle="1" w:styleId="Sub-Heading4GRMChar">
    <w:name w:val="Sub-Heading 4 GRM Char"/>
    <w:link w:val="Sub-Heading4GRM"/>
    <w:rsid w:val="00837471"/>
    <w:rPr>
      <w:rFonts w:ascii="Garamond" w:eastAsia="Times New Roman" w:hAnsi="Garamond" w:cs="Calibri"/>
      <w:b/>
      <w:sz w:val="24"/>
      <w:szCs w:val="24"/>
    </w:rPr>
  </w:style>
  <w:style w:type="paragraph" w:customStyle="1" w:styleId="TableTitleGRM">
    <w:name w:val="Table Title GRM"/>
    <w:basedOn w:val="Normal"/>
    <w:link w:val="TableTitleGRMChar"/>
    <w:qFormat/>
    <w:rsid w:val="00013E1E"/>
    <w:pPr>
      <w:keepNext/>
      <w:tabs>
        <w:tab w:val="num" w:pos="993"/>
      </w:tabs>
      <w:spacing w:before="80"/>
      <w:jc w:val="center"/>
    </w:pPr>
    <w:rPr>
      <w:rFonts w:eastAsia="Times New Roman"/>
      <w:b/>
    </w:rPr>
  </w:style>
  <w:style w:type="table" w:customStyle="1" w:styleId="TableGrid1">
    <w:name w:val="Table Grid1"/>
    <w:basedOn w:val="TableNormal"/>
    <w:next w:val="TableGrid"/>
    <w:uiPriority w:val="59"/>
    <w:rsid w:val="00444B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itleGRMChar">
    <w:name w:val="Table Title GRM Char"/>
    <w:link w:val="TableTitleGRM"/>
    <w:rsid w:val="00013E1E"/>
    <w:rPr>
      <w:rFonts w:ascii="Garamond" w:eastAsia="Times New Roman" w:hAnsi="Garamond"/>
      <w:b/>
      <w:sz w:val="24"/>
      <w:szCs w:val="24"/>
      <w:lang w:val="en-AU" w:eastAsia="en-AU"/>
    </w:rPr>
  </w:style>
  <w:style w:type="character" w:customStyle="1" w:styleId="Heading2Char">
    <w:name w:val="Heading 2 Char"/>
    <w:link w:val="Heading2"/>
    <w:uiPriority w:val="9"/>
    <w:rsid w:val="00D4118F"/>
    <w:rPr>
      <w:rFonts w:ascii="Arial" w:hAnsi="Arial" w:cs="Arial"/>
      <w:b/>
      <w:bCs/>
      <w:iCs/>
      <w:sz w:val="22"/>
      <w:szCs w:val="22"/>
      <w:lang w:val="en-GB"/>
    </w:rPr>
  </w:style>
  <w:style w:type="character" w:customStyle="1" w:styleId="Heading5Char">
    <w:name w:val="Heading 5 Char"/>
    <w:link w:val="Heading5"/>
    <w:uiPriority w:val="9"/>
    <w:rsid w:val="00D4118F"/>
    <w:rPr>
      <w:b/>
      <w:bCs/>
      <w:i/>
      <w:iCs/>
      <w:sz w:val="26"/>
      <w:szCs w:val="26"/>
      <w:lang w:val="en-GB"/>
    </w:rPr>
  </w:style>
  <w:style w:type="character" w:customStyle="1" w:styleId="Heading6Char">
    <w:name w:val="Heading 6 Char"/>
    <w:link w:val="Heading6"/>
    <w:uiPriority w:val="9"/>
    <w:rsid w:val="00D4118F"/>
    <w:rPr>
      <w:rFonts w:ascii="Times New Roman" w:hAnsi="Times New Roman"/>
      <w:b/>
      <w:bCs/>
      <w:sz w:val="22"/>
      <w:szCs w:val="22"/>
      <w:lang w:val="en-GB"/>
    </w:rPr>
  </w:style>
  <w:style w:type="character" w:customStyle="1" w:styleId="Heading7Char">
    <w:name w:val="Heading 7 Char"/>
    <w:link w:val="Heading7"/>
    <w:uiPriority w:val="9"/>
    <w:rsid w:val="00D4118F"/>
    <w:rPr>
      <w:rFonts w:ascii="Times New Roman" w:hAnsi="Times New Roman"/>
      <w:sz w:val="22"/>
      <w:szCs w:val="24"/>
      <w:lang w:val="en-GB"/>
    </w:rPr>
  </w:style>
  <w:style w:type="character" w:customStyle="1" w:styleId="Heading8Char">
    <w:name w:val="Heading 8 Char"/>
    <w:link w:val="Heading8"/>
    <w:uiPriority w:val="9"/>
    <w:rsid w:val="00D4118F"/>
    <w:rPr>
      <w:rFonts w:ascii="Times New Roman" w:hAnsi="Times New Roman"/>
      <w:i/>
      <w:iCs/>
      <w:sz w:val="22"/>
      <w:szCs w:val="24"/>
      <w:lang w:val="en-GB"/>
    </w:rPr>
  </w:style>
  <w:style w:type="character" w:customStyle="1" w:styleId="Heading9Char">
    <w:name w:val="Heading 9 Char"/>
    <w:link w:val="Heading9"/>
    <w:uiPriority w:val="9"/>
    <w:rsid w:val="00D4118F"/>
    <w:rPr>
      <w:rFonts w:ascii="Arial" w:hAnsi="Arial" w:cs="Arial"/>
      <w:sz w:val="22"/>
      <w:szCs w:val="22"/>
      <w:lang w:val="en-GB"/>
    </w:rPr>
  </w:style>
  <w:style w:type="table" w:styleId="MediumGrid1-Accent1">
    <w:name w:val="Medium Grid 1 Accent 1"/>
    <w:basedOn w:val="TableNormal"/>
    <w:uiPriority w:val="67"/>
    <w:rsid w:val="00D4118F"/>
    <w:rPr>
      <w:sz w:val="22"/>
      <w:szCs w:val="22"/>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D4118F"/>
    <w:rPr>
      <w:sz w:val="22"/>
      <w:szCs w:val="22"/>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alloonTextChar">
    <w:name w:val="Balloon Text Char"/>
    <w:link w:val="BalloonText"/>
    <w:uiPriority w:val="99"/>
    <w:semiHidden/>
    <w:rsid w:val="00D4118F"/>
    <w:rPr>
      <w:rFonts w:ascii="Tahoma" w:hAnsi="Tahoma" w:cs="Tahoma"/>
      <w:sz w:val="16"/>
      <w:szCs w:val="16"/>
    </w:rPr>
  </w:style>
  <w:style w:type="character" w:customStyle="1" w:styleId="CommentTextChar">
    <w:name w:val="Comment Text Char"/>
    <w:link w:val="CommentText"/>
    <w:uiPriority w:val="99"/>
    <w:semiHidden/>
    <w:rsid w:val="00D4118F"/>
    <w:rPr>
      <w:rFonts w:ascii="Garamond" w:hAnsi="Garamond"/>
    </w:rPr>
  </w:style>
  <w:style w:type="character" w:customStyle="1" w:styleId="CommentSubjectChar">
    <w:name w:val="Comment Subject Char"/>
    <w:link w:val="CommentSubject"/>
    <w:uiPriority w:val="99"/>
    <w:semiHidden/>
    <w:rsid w:val="00D4118F"/>
    <w:rPr>
      <w:rFonts w:ascii="Garamond" w:hAnsi="Garamond"/>
      <w:b/>
      <w:bCs/>
    </w:rPr>
  </w:style>
  <w:style w:type="paragraph" w:styleId="TOC6">
    <w:name w:val="toc 6"/>
    <w:basedOn w:val="Normal"/>
    <w:next w:val="Normal"/>
    <w:autoRedefine/>
    <w:uiPriority w:val="39"/>
    <w:unhideWhenUsed/>
    <w:locked/>
    <w:rsid w:val="002379D6"/>
    <w:pPr>
      <w:spacing w:after="100"/>
      <w:ind w:left="1100"/>
      <w:jc w:val="left"/>
    </w:pPr>
    <w:rPr>
      <w:rFonts w:eastAsia="Times New Roman"/>
      <w:szCs w:val="22"/>
    </w:rPr>
  </w:style>
  <w:style w:type="paragraph" w:styleId="TOC7">
    <w:name w:val="toc 7"/>
    <w:basedOn w:val="Normal"/>
    <w:next w:val="Normal"/>
    <w:autoRedefine/>
    <w:uiPriority w:val="39"/>
    <w:unhideWhenUsed/>
    <w:locked/>
    <w:rsid w:val="002379D6"/>
    <w:pPr>
      <w:spacing w:after="100"/>
      <w:ind w:left="1320"/>
      <w:jc w:val="left"/>
    </w:pPr>
    <w:rPr>
      <w:rFonts w:eastAsia="Times New Roman"/>
      <w:szCs w:val="22"/>
    </w:rPr>
  </w:style>
  <w:style w:type="paragraph" w:styleId="TOC8">
    <w:name w:val="toc 8"/>
    <w:basedOn w:val="Normal"/>
    <w:next w:val="Normal"/>
    <w:autoRedefine/>
    <w:uiPriority w:val="39"/>
    <w:unhideWhenUsed/>
    <w:locked/>
    <w:rsid w:val="002379D6"/>
    <w:pPr>
      <w:spacing w:after="100"/>
      <w:ind w:left="1540"/>
      <w:jc w:val="left"/>
    </w:pPr>
    <w:rPr>
      <w:rFonts w:eastAsia="Times New Roman"/>
      <w:szCs w:val="22"/>
    </w:rPr>
  </w:style>
  <w:style w:type="paragraph" w:styleId="TOC9">
    <w:name w:val="toc 9"/>
    <w:basedOn w:val="Normal"/>
    <w:next w:val="Normal"/>
    <w:autoRedefine/>
    <w:uiPriority w:val="39"/>
    <w:unhideWhenUsed/>
    <w:locked/>
    <w:rsid w:val="002379D6"/>
    <w:pPr>
      <w:spacing w:after="100"/>
      <w:ind w:left="1760"/>
      <w:jc w:val="left"/>
    </w:pPr>
    <w:rPr>
      <w:rFonts w:eastAsia="Times New Roman"/>
      <w:szCs w:val="22"/>
    </w:rPr>
  </w:style>
  <w:style w:type="paragraph" w:customStyle="1" w:styleId="BulettedList">
    <w:name w:val="Buletted List"/>
    <w:basedOn w:val="Normal"/>
    <w:link w:val="BulettedListChar"/>
    <w:qFormat/>
    <w:rsid w:val="00F35432"/>
    <w:pPr>
      <w:numPr>
        <w:numId w:val="4"/>
      </w:numPr>
      <w:contextualSpacing/>
    </w:pPr>
  </w:style>
  <w:style w:type="paragraph" w:styleId="Caption">
    <w:name w:val="caption"/>
    <w:basedOn w:val="Normal"/>
    <w:next w:val="Normal"/>
    <w:qFormat/>
    <w:locked/>
    <w:rsid w:val="00013E1E"/>
    <w:pPr>
      <w:spacing w:after="120" w:line="240" w:lineRule="auto"/>
      <w:jc w:val="center"/>
    </w:pPr>
    <w:rPr>
      <w:rFonts w:eastAsia="Times New Roman"/>
      <w:b/>
      <w:bCs/>
      <w:szCs w:val="20"/>
    </w:rPr>
  </w:style>
  <w:style w:type="character" w:customStyle="1" w:styleId="BulettedListChar">
    <w:name w:val="Buletted List Char"/>
    <w:link w:val="BulettedList"/>
    <w:rsid w:val="00F35432"/>
    <w:rPr>
      <w:sz w:val="22"/>
      <w:szCs w:val="24"/>
      <w:lang w:val="en-GB"/>
    </w:rPr>
  </w:style>
  <w:style w:type="paragraph" w:customStyle="1" w:styleId="FigureTitle">
    <w:name w:val="Figure Title"/>
    <w:basedOn w:val="TableTitleGRM"/>
    <w:next w:val="Normal"/>
    <w:link w:val="FigureTitleChar"/>
    <w:qFormat/>
    <w:rsid w:val="002B1704"/>
  </w:style>
  <w:style w:type="paragraph" w:customStyle="1" w:styleId="AlphabetOrderingList">
    <w:name w:val="Alphabet Ordering List"/>
    <w:basedOn w:val="BulettedList"/>
    <w:link w:val="AlphabetOrderingListChar"/>
    <w:qFormat/>
    <w:rsid w:val="004D52C4"/>
    <w:pPr>
      <w:numPr>
        <w:numId w:val="5"/>
      </w:numPr>
      <w:ind w:left="720" w:hanging="360"/>
    </w:pPr>
  </w:style>
  <w:style w:type="character" w:customStyle="1" w:styleId="FigureTitleChar">
    <w:name w:val="Figure Title Char"/>
    <w:basedOn w:val="TableTitleGRMChar"/>
    <w:link w:val="FigureTitle"/>
    <w:rsid w:val="002B1704"/>
    <w:rPr>
      <w:rFonts w:ascii="Garamond" w:eastAsia="Times New Roman" w:hAnsi="Garamond"/>
      <w:b/>
      <w:sz w:val="24"/>
      <w:szCs w:val="24"/>
      <w:lang w:val="en-AU" w:eastAsia="en-AU"/>
    </w:rPr>
  </w:style>
  <w:style w:type="paragraph" w:customStyle="1" w:styleId="romannumberinglist">
    <w:name w:val="roman numbering list"/>
    <w:basedOn w:val="AlphabetOrderingList"/>
    <w:link w:val="romannumberinglistChar"/>
    <w:qFormat/>
    <w:rsid w:val="00950598"/>
    <w:pPr>
      <w:numPr>
        <w:numId w:val="6"/>
      </w:numPr>
    </w:pPr>
  </w:style>
  <w:style w:type="character" w:customStyle="1" w:styleId="AlphabetOrderingListChar">
    <w:name w:val="Alphabet Ordering List Char"/>
    <w:basedOn w:val="BulettedListChar"/>
    <w:link w:val="AlphabetOrderingList"/>
    <w:rsid w:val="004D52C4"/>
    <w:rPr>
      <w:sz w:val="22"/>
      <w:szCs w:val="24"/>
      <w:lang w:val="en-GB"/>
    </w:rPr>
  </w:style>
  <w:style w:type="paragraph" w:customStyle="1" w:styleId="ComponentNumbering">
    <w:name w:val="Component Numbering"/>
    <w:basedOn w:val="Normal"/>
    <w:link w:val="ComponentNumberingChar"/>
    <w:qFormat/>
    <w:rsid w:val="00950598"/>
    <w:pPr>
      <w:numPr>
        <w:numId w:val="7"/>
      </w:numPr>
      <w:ind w:left="360"/>
    </w:pPr>
    <w:rPr>
      <w:b/>
    </w:rPr>
  </w:style>
  <w:style w:type="character" w:customStyle="1" w:styleId="romannumberinglistChar">
    <w:name w:val="roman numbering list Char"/>
    <w:basedOn w:val="AlphabetOrderingListChar"/>
    <w:link w:val="romannumberinglist"/>
    <w:rsid w:val="00950598"/>
    <w:rPr>
      <w:sz w:val="22"/>
      <w:szCs w:val="24"/>
      <w:lang w:val="en-GB"/>
    </w:rPr>
  </w:style>
  <w:style w:type="character" w:styleId="Emphasis">
    <w:name w:val="Emphasis"/>
    <w:qFormat/>
    <w:locked/>
    <w:rsid w:val="00FD0BFB"/>
    <w:rPr>
      <w:i/>
      <w:iCs/>
    </w:rPr>
  </w:style>
  <w:style w:type="character" w:customStyle="1" w:styleId="ComponentNumberingChar">
    <w:name w:val="Component Numbering Char"/>
    <w:link w:val="ComponentNumbering"/>
    <w:rsid w:val="00950598"/>
    <w:rPr>
      <w:b/>
      <w:sz w:val="22"/>
      <w:szCs w:val="24"/>
      <w:lang w:val="en-GB"/>
    </w:rPr>
  </w:style>
  <w:style w:type="paragraph" w:customStyle="1" w:styleId="Objectives">
    <w:name w:val="Objectives"/>
    <w:basedOn w:val="Normal"/>
    <w:link w:val="ObjectivesChar"/>
    <w:qFormat/>
    <w:rsid w:val="009F65C0"/>
    <w:pPr>
      <w:shd w:val="clear" w:color="auto" w:fill="1F497D"/>
    </w:pPr>
    <w:rPr>
      <w:b/>
      <w:color w:val="FFFFFF"/>
    </w:rPr>
  </w:style>
  <w:style w:type="paragraph" w:customStyle="1" w:styleId="Sub-subHeadingGRM">
    <w:name w:val="Sub-sub Heading GRM"/>
    <w:basedOn w:val="Normal"/>
    <w:rsid w:val="00642B20"/>
    <w:pPr>
      <w:keepNext/>
      <w:numPr>
        <w:ilvl w:val="1"/>
        <w:numId w:val="8"/>
      </w:numPr>
      <w:tabs>
        <w:tab w:val="left" w:pos="567"/>
      </w:tabs>
      <w:spacing w:before="40"/>
      <w:jc w:val="left"/>
      <w:outlineLvl w:val="1"/>
    </w:pPr>
    <w:rPr>
      <w:rFonts w:eastAsia="Times New Roman"/>
      <w:b/>
      <w:bCs/>
      <w:iCs/>
      <w:sz w:val="32"/>
      <w:szCs w:val="32"/>
    </w:rPr>
  </w:style>
  <w:style w:type="character" w:customStyle="1" w:styleId="ObjectivesChar">
    <w:name w:val="Objectives Char"/>
    <w:link w:val="Objectives"/>
    <w:rsid w:val="009F65C0"/>
    <w:rPr>
      <w:rFonts w:ascii="Garamond" w:hAnsi="Garamond"/>
      <w:b/>
      <w:color w:val="FFFFFF"/>
      <w:sz w:val="24"/>
      <w:szCs w:val="24"/>
      <w:shd w:val="clear" w:color="auto" w:fill="1F497D"/>
      <w:lang w:val="en-AU" w:eastAsia="en-AU"/>
    </w:rPr>
  </w:style>
  <w:style w:type="paragraph" w:styleId="TOCHeading">
    <w:name w:val="TOC Heading"/>
    <w:basedOn w:val="Heading1"/>
    <w:next w:val="Normal"/>
    <w:uiPriority w:val="39"/>
    <w:semiHidden/>
    <w:unhideWhenUsed/>
    <w:qFormat/>
    <w:rsid w:val="008B509E"/>
    <w:pPr>
      <w:keepLines/>
      <w:numPr>
        <w:numId w:val="0"/>
      </w:numPr>
      <w:spacing w:before="480" w:line="276" w:lineRule="auto"/>
      <w:jc w:val="left"/>
      <w:outlineLvl w:val="9"/>
    </w:pPr>
    <w:rPr>
      <w:rFonts w:ascii="Cambria" w:eastAsia="MS Gothic" w:hAnsi="Cambria" w:cs="Times New Roman"/>
      <w:color w:val="365F91"/>
      <w:kern w:val="0"/>
      <w:sz w:val="28"/>
      <w:szCs w:val="28"/>
      <w:lang w:val="en-US" w:eastAsia="ja-JP"/>
    </w:rPr>
  </w:style>
  <w:style w:type="paragraph" w:customStyle="1" w:styleId="BulletedStructure">
    <w:name w:val="Bulleted Structure"/>
    <w:basedOn w:val="BulettedList"/>
    <w:link w:val="BulletedStructureChar"/>
    <w:qFormat/>
    <w:rsid w:val="007D5F57"/>
    <w:pPr>
      <w:ind w:left="360"/>
    </w:pPr>
    <w:rPr>
      <w:b/>
    </w:rPr>
  </w:style>
  <w:style w:type="paragraph" w:styleId="TableofFigures">
    <w:name w:val="table of figures"/>
    <w:basedOn w:val="Normal"/>
    <w:next w:val="Normal"/>
    <w:uiPriority w:val="99"/>
    <w:rsid w:val="007D5F57"/>
  </w:style>
  <w:style w:type="paragraph" w:customStyle="1" w:styleId="StyleSub-HeadingGRMText2Before12pt">
    <w:name w:val="Style Sub-Heading GRM + Text 2 Before:  12 pt"/>
    <w:basedOn w:val="Sub-HeadingGRM"/>
    <w:rsid w:val="00D37063"/>
    <w:pPr>
      <w:spacing w:before="360"/>
    </w:pPr>
    <w:rPr>
      <w:rFonts w:eastAsia="Times New Roman" w:cs="Times New Roman"/>
      <w:iCs w:val="0"/>
      <w:color w:val="548DD4"/>
      <w:szCs w:val="20"/>
    </w:rPr>
  </w:style>
  <w:style w:type="character" w:customStyle="1" w:styleId="BulletedStructureChar">
    <w:name w:val="Bulleted Structure Char"/>
    <w:link w:val="BulletedStructure"/>
    <w:rsid w:val="007D5F57"/>
    <w:rPr>
      <w:b/>
      <w:sz w:val="22"/>
      <w:szCs w:val="24"/>
      <w:lang w:val="en-GB"/>
    </w:rPr>
  </w:style>
  <w:style w:type="character" w:customStyle="1" w:styleId="FootnoteTextChar1">
    <w:name w:val="Footnote Text Char1"/>
    <w:rsid w:val="00F63654"/>
    <w:rPr>
      <w:rFonts w:ascii="Calibri" w:eastAsia="Calibri" w:hAnsi="Calibri"/>
      <w:lang w:val="en-AU" w:eastAsia="en-US" w:bidi="ar-SA"/>
    </w:rPr>
  </w:style>
  <w:style w:type="paragraph" w:customStyle="1" w:styleId="POMHeading3">
    <w:name w:val="POM Heading 3"/>
    <w:basedOn w:val="Heading3"/>
    <w:next w:val="Normal"/>
    <w:autoRedefine/>
    <w:rsid w:val="00F63654"/>
    <w:pPr>
      <w:numPr>
        <w:ilvl w:val="0"/>
        <w:numId w:val="0"/>
      </w:numPr>
      <w:spacing w:line="240" w:lineRule="auto"/>
      <w:ind w:left="720" w:hanging="720"/>
    </w:pPr>
    <w:rPr>
      <w:rFonts w:ascii="Calibri" w:eastAsia="Times New Roman" w:hAnsi="Calibri" w:cs="Calibri"/>
      <w:smallCaps/>
      <w:color w:val="004071"/>
      <w:sz w:val="28"/>
      <w:szCs w:val="28"/>
    </w:rPr>
  </w:style>
  <w:style w:type="paragraph" w:customStyle="1" w:styleId="CONLevela">
    <w:name w:val=".CON  Level  (a)"/>
    <w:basedOn w:val="Normal"/>
    <w:next w:val="Normal"/>
    <w:link w:val="CONLevelaChar"/>
    <w:rsid w:val="00F63654"/>
    <w:pPr>
      <w:numPr>
        <w:ilvl w:val="2"/>
        <w:numId w:val="9"/>
      </w:numPr>
      <w:spacing w:before="240" w:after="0" w:line="240" w:lineRule="auto"/>
      <w:jc w:val="left"/>
      <w:outlineLvl w:val="3"/>
    </w:pPr>
    <w:rPr>
      <w:rFonts w:ascii="Times New Roman" w:eastAsia="Times New Roman" w:hAnsi="Times New Roman"/>
      <w:sz w:val="24"/>
      <w:szCs w:val="22"/>
      <w:lang w:eastAsia="en-US"/>
    </w:rPr>
  </w:style>
  <w:style w:type="paragraph" w:customStyle="1" w:styleId="CONLeveli">
    <w:name w:val=".CON  Level  (i)"/>
    <w:basedOn w:val="Normal"/>
    <w:next w:val="Normal"/>
    <w:rsid w:val="00F63654"/>
    <w:pPr>
      <w:numPr>
        <w:ilvl w:val="3"/>
        <w:numId w:val="9"/>
      </w:numPr>
      <w:spacing w:before="240" w:after="0" w:line="240" w:lineRule="auto"/>
      <w:jc w:val="left"/>
      <w:outlineLvl w:val="4"/>
    </w:pPr>
    <w:rPr>
      <w:rFonts w:ascii="Times New Roman" w:eastAsia="Times New Roman" w:hAnsi="Times New Roman"/>
      <w:sz w:val="24"/>
      <w:szCs w:val="22"/>
      <w:lang w:eastAsia="en-US"/>
    </w:rPr>
  </w:style>
  <w:style w:type="paragraph" w:customStyle="1" w:styleId="CONLevel1">
    <w:name w:val=".CON  Level   1."/>
    <w:basedOn w:val="Normal"/>
    <w:next w:val="Normal"/>
    <w:rsid w:val="00F63654"/>
    <w:pPr>
      <w:keepNext/>
      <w:numPr>
        <w:numId w:val="9"/>
      </w:numPr>
      <w:spacing w:before="240" w:after="0" w:line="240" w:lineRule="auto"/>
      <w:ind w:right="1701"/>
      <w:jc w:val="left"/>
      <w:outlineLvl w:val="1"/>
    </w:pPr>
    <w:rPr>
      <w:rFonts w:ascii="Times New Roman" w:eastAsia="Times New Roman" w:hAnsi="Times New Roman"/>
      <w:b/>
      <w:sz w:val="24"/>
      <w:szCs w:val="22"/>
      <w:lang w:eastAsia="en-US"/>
    </w:rPr>
  </w:style>
  <w:style w:type="paragraph" w:customStyle="1" w:styleId="CONLevel11">
    <w:name w:val=".CON  Level   1.1"/>
    <w:basedOn w:val="Normal"/>
    <w:next w:val="Normal"/>
    <w:rsid w:val="00F63654"/>
    <w:pPr>
      <w:numPr>
        <w:ilvl w:val="1"/>
        <w:numId w:val="9"/>
      </w:numPr>
      <w:spacing w:before="240" w:after="0" w:line="240" w:lineRule="auto"/>
      <w:jc w:val="left"/>
      <w:outlineLvl w:val="2"/>
    </w:pPr>
    <w:rPr>
      <w:rFonts w:ascii="Times New Roman" w:eastAsia="Times New Roman" w:hAnsi="Times New Roman"/>
      <w:sz w:val="24"/>
      <w:szCs w:val="22"/>
      <w:lang w:eastAsia="en-US"/>
    </w:rPr>
  </w:style>
  <w:style w:type="paragraph" w:customStyle="1" w:styleId="CONLevelA0">
    <w:name w:val=".CON  Level (A)"/>
    <w:basedOn w:val="Normal"/>
    <w:next w:val="Normal"/>
    <w:rsid w:val="00F63654"/>
    <w:pPr>
      <w:numPr>
        <w:ilvl w:val="4"/>
        <w:numId w:val="9"/>
      </w:numPr>
      <w:spacing w:before="240" w:after="0" w:line="240" w:lineRule="auto"/>
      <w:jc w:val="left"/>
      <w:outlineLvl w:val="5"/>
    </w:pPr>
    <w:rPr>
      <w:rFonts w:ascii="Times New Roman" w:eastAsia="Times New Roman" w:hAnsi="Times New Roman"/>
      <w:sz w:val="24"/>
      <w:szCs w:val="22"/>
      <w:lang w:eastAsia="en-US"/>
    </w:rPr>
  </w:style>
  <w:style w:type="paragraph" w:customStyle="1" w:styleId="CONLevelI0">
    <w:name w:val=".CON  Level (I)"/>
    <w:basedOn w:val="Normal"/>
    <w:next w:val="Normal"/>
    <w:rsid w:val="00F63654"/>
    <w:pPr>
      <w:numPr>
        <w:ilvl w:val="5"/>
        <w:numId w:val="9"/>
      </w:numPr>
      <w:spacing w:before="240" w:after="0" w:line="240" w:lineRule="auto"/>
      <w:jc w:val="left"/>
      <w:outlineLvl w:val="6"/>
    </w:pPr>
    <w:rPr>
      <w:rFonts w:ascii="Times New Roman" w:eastAsia="Times New Roman" w:hAnsi="Times New Roman"/>
      <w:sz w:val="24"/>
      <w:szCs w:val="22"/>
      <w:lang w:eastAsia="en-US"/>
    </w:rPr>
  </w:style>
  <w:style w:type="character" w:customStyle="1" w:styleId="CONLevelaChar">
    <w:name w:val=".CON  Level  (a) Char"/>
    <w:link w:val="CONLevela"/>
    <w:locked/>
    <w:rsid w:val="00F63654"/>
    <w:rPr>
      <w:rFonts w:ascii="Times New Roman" w:eastAsia="Times New Roman" w:hAnsi="Times New Roman"/>
      <w:sz w:val="24"/>
      <w:szCs w:val="22"/>
      <w:lang w:val="en-GB" w:eastAsia="en-US"/>
    </w:rPr>
  </w:style>
  <w:style w:type="paragraph" w:styleId="EndnoteText">
    <w:name w:val="endnote text"/>
    <w:basedOn w:val="Normal"/>
    <w:link w:val="EndnoteTextChar"/>
    <w:rsid w:val="0094251C"/>
    <w:pPr>
      <w:spacing w:after="0" w:line="240" w:lineRule="auto"/>
    </w:pPr>
    <w:rPr>
      <w:sz w:val="20"/>
      <w:szCs w:val="20"/>
    </w:rPr>
  </w:style>
  <w:style w:type="character" w:customStyle="1" w:styleId="EndnoteTextChar">
    <w:name w:val="Endnote Text Char"/>
    <w:basedOn w:val="DefaultParagraphFont"/>
    <w:link w:val="EndnoteText"/>
    <w:rsid w:val="0094251C"/>
  </w:style>
  <w:style w:type="character" w:styleId="EndnoteReference">
    <w:name w:val="endnote reference"/>
    <w:basedOn w:val="DefaultParagraphFont"/>
    <w:rsid w:val="0094251C"/>
    <w:rPr>
      <w:vertAlign w:val="superscript"/>
    </w:rPr>
  </w:style>
  <w:style w:type="table" w:styleId="TableSimple1">
    <w:name w:val="Table Simple 1"/>
    <w:basedOn w:val="TableNormal"/>
    <w:rsid w:val="00566B63"/>
    <w:pPr>
      <w:spacing w:after="240" w:line="276"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
    <w:name w:val="Body Text"/>
    <w:basedOn w:val="Normal"/>
    <w:link w:val="BodyTextChar"/>
    <w:qFormat/>
    <w:rsid w:val="00F67987"/>
    <w:pPr>
      <w:spacing w:after="120" w:line="320" w:lineRule="atLeast"/>
      <w:jc w:val="left"/>
    </w:pPr>
    <w:rPr>
      <w:rFonts w:ascii="Arial" w:eastAsia="Times New Roman" w:hAnsi="Arial"/>
      <w:sz w:val="20"/>
      <w:lang w:eastAsia="ja-JP" w:bidi="en-US"/>
    </w:rPr>
  </w:style>
  <w:style w:type="character" w:customStyle="1" w:styleId="BodyTextChar">
    <w:name w:val="Body Text Char"/>
    <w:basedOn w:val="DefaultParagraphFont"/>
    <w:link w:val="BodyText"/>
    <w:rsid w:val="00F67987"/>
    <w:rPr>
      <w:rFonts w:ascii="Arial" w:eastAsia="Times New Roman" w:hAnsi="Arial"/>
      <w:szCs w:val="24"/>
      <w:lang w:eastAsia="ja-JP" w:bidi="en-US"/>
    </w:rPr>
  </w:style>
  <w:style w:type="paragraph" w:customStyle="1" w:styleId="Tabletext">
    <w:name w:val="Table text"/>
    <w:uiPriority w:val="99"/>
    <w:rsid w:val="00F67987"/>
    <w:pPr>
      <w:spacing w:before="48" w:after="48" w:line="220" w:lineRule="exact"/>
    </w:pPr>
    <w:rPr>
      <w:rFonts w:ascii="Arial" w:eastAsia="Times New Roman" w:hAnsi="Arial"/>
      <w:sz w:val="16"/>
      <w:lang w:val="en-GB" w:eastAsia="en-US"/>
    </w:rPr>
  </w:style>
  <w:style w:type="paragraph" w:customStyle="1" w:styleId="Tablebullets">
    <w:name w:val="Table bullets"/>
    <w:basedOn w:val="Tabletext"/>
    <w:qFormat/>
    <w:rsid w:val="00F67987"/>
    <w:pPr>
      <w:numPr>
        <w:numId w:val="11"/>
      </w:numPr>
      <w:spacing w:before="0" w:after="0" w:line="240" w:lineRule="atLeast"/>
    </w:pPr>
  </w:style>
  <w:style w:type="paragraph" w:styleId="NormalWeb">
    <w:name w:val="Normal (Web)"/>
    <w:basedOn w:val="Normal"/>
    <w:uiPriority w:val="99"/>
    <w:unhideWhenUsed/>
    <w:rsid w:val="00566B65"/>
    <w:pPr>
      <w:spacing w:before="100" w:beforeAutospacing="1" w:after="100" w:afterAutospacing="1" w:line="240" w:lineRule="auto"/>
      <w:jc w:val="left"/>
    </w:pPr>
    <w:rPr>
      <w:rFonts w:ascii="Times New Roman" w:eastAsia="Times New Roman" w:hAnsi="Times New Roman"/>
      <w:sz w:val="24"/>
      <w:lang w:eastAsia="en-GB"/>
    </w:rPr>
  </w:style>
  <w:style w:type="paragraph" w:styleId="Revision">
    <w:name w:val="Revision"/>
    <w:hidden/>
    <w:uiPriority w:val="99"/>
    <w:semiHidden/>
    <w:rsid w:val="00AD0BA2"/>
    <w:rPr>
      <w:sz w:val="22"/>
      <w:szCs w:val="24"/>
      <w:lang w:val="en-GB"/>
    </w:rPr>
  </w:style>
  <w:style w:type="table" w:customStyle="1" w:styleId="TableGrid2">
    <w:name w:val="Table Grid2"/>
    <w:basedOn w:val="TableNormal"/>
    <w:next w:val="TableGrid"/>
    <w:uiPriority w:val="59"/>
    <w:rsid w:val="00240F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E2933"/>
    <w:rPr>
      <w:rFonts w:asciiTheme="minorHAnsi" w:eastAsiaTheme="minorHAnsi" w:hAnsiTheme="minorHAnsi" w:cstheme="minorBidi"/>
      <w:sz w:val="22"/>
      <w:szCs w:val="2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7531">
      <w:bodyDiv w:val="1"/>
      <w:marLeft w:val="0"/>
      <w:marRight w:val="0"/>
      <w:marTop w:val="0"/>
      <w:marBottom w:val="0"/>
      <w:divBdr>
        <w:top w:val="none" w:sz="0" w:space="0" w:color="auto"/>
        <w:left w:val="none" w:sz="0" w:space="0" w:color="auto"/>
        <w:bottom w:val="none" w:sz="0" w:space="0" w:color="auto"/>
        <w:right w:val="none" w:sz="0" w:space="0" w:color="auto"/>
      </w:divBdr>
    </w:div>
    <w:div w:id="50546119">
      <w:bodyDiv w:val="1"/>
      <w:marLeft w:val="0"/>
      <w:marRight w:val="0"/>
      <w:marTop w:val="0"/>
      <w:marBottom w:val="0"/>
      <w:divBdr>
        <w:top w:val="none" w:sz="0" w:space="0" w:color="auto"/>
        <w:left w:val="none" w:sz="0" w:space="0" w:color="auto"/>
        <w:bottom w:val="none" w:sz="0" w:space="0" w:color="auto"/>
        <w:right w:val="none" w:sz="0" w:space="0" w:color="auto"/>
      </w:divBdr>
    </w:div>
    <w:div w:id="88235503">
      <w:bodyDiv w:val="1"/>
      <w:marLeft w:val="0"/>
      <w:marRight w:val="0"/>
      <w:marTop w:val="0"/>
      <w:marBottom w:val="0"/>
      <w:divBdr>
        <w:top w:val="none" w:sz="0" w:space="0" w:color="auto"/>
        <w:left w:val="none" w:sz="0" w:space="0" w:color="auto"/>
        <w:bottom w:val="none" w:sz="0" w:space="0" w:color="auto"/>
        <w:right w:val="none" w:sz="0" w:space="0" w:color="auto"/>
      </w:divBdr>
    </w:div>
    <w:div w:id="95028114">
      <w:bodyDiv w:val="1"/>
      <w:marLeft w:val="0"/>
      <w:marRight w:val="0"/>
      <w:marTop w:val="0"/>
      <w:marBottom w:val="0"/>
      <w:divBdr>
        <w:top w:val="none" w:sz="0" w:space="0" w:color="auto"/>
        <w:left w:val="none" w:sz="0" w:space="0" w:color="auto"/>
        <w:bottom w:val="none" w:sz="0" w:space="0" w:color="auto"/>
        <w:right w:val="none" w:sz="0" w:space="0" w:color="auto"/>
      </w:divBdr>
    </w:div>
    <w:div w:id="161432979">
      <w:bodyDiv w:val="1"/>
      <w:marLeft w:val="0"/>
      <w:marRight w:val="0"/>
      <w:marTop w:val="0"/>
      <w:marBottom w:val="0"/>
      <w:divBdr>
        <w:top w:val="none" w:sz="0" w:space="0" w:color="auto"/>
        <w:left w:val="none" w:sz="0" w:space="0" w:color="auto"/>
        <w:bottom w:val="none" w:sz="0" w:space="0" w:color="auto"/>
        <w:right w:val="none" w:sz="0" w:space="0" w:color="auto"/>
      </w:divBdr>
    </w:div>
    <w:div w:id="196238835">
      <w:bodyDiv w:val="1"/>
      <w:marLeft w:val="0"/>
      <w:marRight w:val="0"/>
      <w:marTop w:val="0"/>
      <w:marBottom w:val="0"/>
      <w:divBdr>
        <w:top w:val="none" w:sz="0" w:space="0" w:color="auto"/>
        <w:left w:val="none" w:sz="0" w:space="0" w:color="auto"/>
        <w:bottom w:val="none" w:sz="0" w:space="0" w:color="auto"/>
        <w:right w:val="none" w:sz="0" w:space="0" w:color="auto"/>
      </w:divBdr>
    </w:div>
    <w:div w:id="332495457">
      <w:bodyDiv w:val="1"/>
      <w:marLeft w:val="0"/>
      <w:marRight w:val="0"/>
      <w:marTop w:val="0"/>
      <w:marBottom w:val="0"/>
      <w:divBdr>
        <w:top w:val="none" w:sz="0" w:space="0" w:color="auto"/>
        <w:left w:val="none" w:sz="0" w:space="0" w:color="auto"/>
        <w:bottom w:val="none" w:sz="0" w:space="0" w:color="auto"/>
        <w:right w:val="none" w:sz="0" w:space="0" w:color="auto"/>
      </w:divBdr>
    </w:div>
    <w:div w:id="342321447">
      <w:bodyDiv w:val="1"/>
      <w:marLeft w:val="0"/>
      <w:marRight w:val="0"/>
      <w:marTop w:val="0"/>
      <w:marBottom w:val="0"/>
      <w:divBdr>
        <w:top w:val="none" w:sz="0" w:space="0" w:color="auto"/>
        <w:left w:val="none" w:sz="0" w:space="0" w:color="auto"/>
        <w:bottom w:val="none" w:sz="0" w:space="0" w:color="auto"/>
        <w:right w:val="none" w:sz="0" w:space="0" w:color="auto"/>
      </w:divBdr>
    </w:div>
    <w:div w:id="381557575">
      <w:bodyDiv w:val="1"/>
      <w:marLeft w:val="0"/>
      <w:marRight w:val="0"/>
      <w:marTop w:val="0"/>
      <w:marBottom w:val="0"/>
      <w:divBdr>
        <w:top w:val="none" w:sz="0" w:space="0" w:color="auto"/>
        <w:left w:val="none" w:sz="0" w:space="0" w:color="auto"/>
        <w:bottom w:val="none" w:sz="0" w:space="0" w:color="auto"/>
        <w:right w:val="none" w:sz="0" w:space="0" w:color="auto"/>
      </w:divBdr>
    </w:div>
    <w:div w:id="384724385">
      <w:bodyDiv w:val="1"/>
      <w:marLeft w:val="0"/>
      <w:marRight w:val="0"/>
      <w:marTop w:val="0"/>
      <w:marBottom w:val="0"/>
      <w:divBdr>
        <w:top w:val="none" w:sz="0" w:space="0" w:color="auto"/>
        <w:left w:val="none" w:sz="0" w:space="0" w:color="auto"/>
        <w:bottom w:val="none" w:sz="0" w:space="0" w:color="auto"/>
        <w:right w:val="none" w:sz="0" w:space="0" w:color="auto"/>
      </w:divBdr>
    </w:div>
    <w:div w:id="408845786">
      <w:bodyDiv w:val="1"/>
      <w:marLeft w:val="0"/>
      <w:marRight w:val="0"/>
      <w:marTop w:val="0"/>
      <w:marBottom w:val="0"/>
      <w:divBdr>
        <w:top w:val="none" w:sz="0" w:space="0" w:color="auto"/>
        <w:left w:val="none" w:sz="0" w:space="0" w:color="auto"/>
        <w:bottom w:val="none" w:sz="0" w:space="0" w:color="auto"/>
        <w:right w:val="none" w:sz="0" w:space="0" w:color="auto"/>
      </w:divBdr>
    </w:div>
    <w:div w:id="421031957">
      <w:bodyDiv w:val="1"/>
      <w:marLeft w:val="0"/>
      <w:marRight w:val="0"/>
      <w:marTop w:val="0"/>
      <w:marBottom w:val="0"/>
      <w:divBdr>
        <w:top w:val="none" w:sz="0" w:space="0" w:color="auto"/>
        <w:left w:val="none" w:sz="0" w:space="0" w:color="auto"/>
        <w:bottom w:val="none" w:sz="0" w:space="0" w:color="auto"/>
        <w:right w:val="none" w:sz="0" w:space="0" w:color="auto"/>
      </w:divBdr>
    </w:div>
    <w:div w:id="428737689">
      <w:bodyDiv w:val="1"/>
      <w:marLeft w:val="0"/>
      <w:marRight w:val="0"/>
      <w:marTop w:val="0"/>
      <w:marBottom w:val="0"/>
      <w:divBdr>
        <w:top w:val="none" w:sz="0" w:space="0" w:color="auto"/>
        <w:left w:val="none" w:sz="0" w:space="0" w:color="auto"/>
        <w:bottom w:val="none" w:sz="0" w:space="0" w:color="auto"/>
        <w:right w:val="none" w:sz="0" w:space="0" w:color="auto"/>
      </w:divBdr>
    </w:div>
    <w:div w:id="431166919">
      <w:bodyDiv w:val="1"/>
      <w:marLeft w:val="0"/>
      <w:marRight w:val="0"/>
      <w:marTop w:val="0"/>
      <w:marBottom w:val="0"/>
      <w:divBdr>
        <w:top w:val="none" w:sz="0" w:space="0" w:color="auto"/>
        <w:left w:val="none" w:sz="0" w:space="0" w:color="auto"/>
        <w:bottom w:val="none" w:sz="0" w:space="0" w:color="auto"/>
        <w:right w:val="none" w:sz="0" w:space="0" w:color="auto"/>
      </w:divBdr>
    </w:div>
    <w:div w:id="433745763">
      <w:bodyDiv w:val="1"/>
      <w:marLeft w:val="0"/>
      <w:marRight w:val="0"/>
      <w:marTop w:val="0"/>
      <w:marBottom w:val="0"/>
      <w:divBdr>
        <w:top w:val="none" w:sz="0" w:space="0" w:color="auto"/>
        <w:left w:val="none" w:sz="0" w:space="0" w:color="auto"/>
        <w:bottom w:val="none" w:sz="0" w:space="0" w:color="auto"/>
        <w:right w:val="none" w:sz="0" w:space="0" w:color="auto"/>
      </w:divBdr>
    </w:div>
    <w:div w:id="446196498">
      <w:bodyDiv w:val="1"/>
      <w:marLeft w:val="0"/>
      <w:marRight w:val="0"/>
      <w:marTop w:val="0"/>
      <w:marBottom w:val="0"/>
      <w:divBdr>
        <w:top w:val="none" w:sz="0" w:space="0" w:color="auto"/>
        <w:left w:val="none" w:sz="0" w:space="0" w:color="auto"/>
        <w:bottom w:val="none" w:sz="0" w:space="0" w:color="auto"/>
        <w:right w:val="none" w:sz="0" w:space="0" w:color="auto"/>
      </w:divBdr>
    </w:div>
    <w:div w:id="497622555">
      <w:bodyDiv w:val="1"/>
      <w:marLeft w:val="0"/>
      <w:marRight w:val="0"/>
      <w:marTop w:val="0"/>
      <w:marBottom w:val="0"/>
      <w:divBdr>
        <w:top w:val="none" w:sz="0" w:space="0" w:color="auto"/>
        <w:left w:val="none" w:sz="0" w:space="0" w:color="auto"/>
        <w:bottom w:val="none" w:sz="0" w:space="0" w:color="auto"/>
        <w:right w:val="none" w:sz="0" w:space="0" w:color="auto"/>
      </w:divBdr>
    </w:div>
    <w:div w:id="508494379">
      <w:bodyDiv w:val="1"/>
      <w:marLeft w:val="0"/>
      <w:marRight w:val="0"/>
      <w:marTop w:val="0"/>
      <w:marBottom w:val="0"/>
      <w:divBdr>
        <w:top w:val="none" w:sz="0" w:space="0" w:color="auto"/>
        <w:left w:val="none" w:sz="0" w:space="0" w:color="auto"/>
        <w:bottom w:val="none" w:sz="0" w:space="0" w:color="auto"/>
        <w:right w:val="none" w:sz="0" w:space="0" w:color="auto"/>
      </w:divBdr>
    </w:div>
    <w:div w:id="516390124">
      <w:bodyDiv w:val="1"/>
      <w:marLeft w:val="0"/>
      <w:marRight w:val="0"/>
      <w:marTop w:val="0"/>
      <w:marBottom w:val="0"/>
      <w:divBdr>
        <w:top w:val="none" w:sz="0" w:space="0" w:color="auto"/>
        <w:left w:val="none" w:sz="0" w:space="0" w:color="auto"/>
        <w:bottom w:val="none" w:sz="0" w:space="0" w:color="auto"/>
        <w:right w:val="none" w:sz="0" w:space="0" w:color="auto"/>
      </w:divBdr>
      <w:divsChild>
        <w:div w:id="1623806295">
          <w:marLeft w:val="547"/>
          <w:marRight w:val="0"/>
          <w:marTop w:val="86"/>
          <w:marBottom w:val="0"/>
          <w:divBdr>
            <w:top w:val="none" w:sz="0" w:space="0" w:color="auto"/>
            <w:left w:val="none" w:sz="0" w:space="0" w:color="auto"/>
            <w:bottom w:val="none" w:sz="0" w:space="0" w:color="auto"/>
            <w:right w:val="none" w:sz="0" w:space="0" w:color="auto"/>
          </w:divBdr>
        </w:div>
        <w:div w:id="1452280672">
          <w:marLeft w:val="547"/>
          <w:marRight w:val="0"/>
          <w:marTop w:val="86"/>
          <w:marBottom w:val="0"/>
          <w:divBdr>
            <w:top w:val="none" w:sz="0" w:space="0" w:color="auto"/>
            <w:left w:val="none" w:sz="0" w:space="0" w:color="auto"/>
            <w:bottom w:val="none" w:sz="0" w:space="0" w:color="auto"/>
            <w:right w:val="none" w:sz="0" w:space="0" w:color="auto"/>
          </w:divBdr>
        </w:div>
        <w:div w:id="1567767425">
          <w:marLeft w:val="1166"/>
          <w:marRight w:val="0"/>
          <w:marTop w:val="77"/>
          <w:marBottom w:val="0"/>
          <w:divBdr>
            <w:top w:val="none" w:sz="0" w:space="0" w:color="auto"/>
            <w:left w:val="none" w:sz="0" w:space="0" w:color="auto"/>
            <w:bottom w:val="none" w:sz="0" w:space="0" w:color="auto"/>
            <w:right w:val="none" w:sz="0" w:space="0" w:color="auto"/>
          </w:divBdr>
        </w:div>
        <w:div w:id="1721782705">
          <w:marLeft w:val="1166"/>
          <w:marRight w:val="0"/>
          <w:marTop w:val="77"/>
          <w:marBottom w:val="0"/>
          <w:divBdr>
            <w:top w:val="none" w:sz="0" w:space="0" w:color="auto"/>
            <w:left w:val="none" w:sz="0" w:space="0" w:color="auto"/>
            <w:bottom w:val="none" w:sz="0" w:space="0" w:color="auto"/>
            <w:right w:val="none" w:sz="0" w:space="0" w:color="auto"/>
          </w:divBdr>
        </w:div>
        <w:div w:id="394360396">
          <w:marLeft w:val="1166"/>
          <w:marRight w:val="0"/>
          <w:marTop w:val="77"/>
          <w:marBottom w:val="0"/>
          <w:divBdr>
            <w:top w:val="none" w:sz="0" w:space="0" w:color="auto"/>
            <w:left w:val="none" w:sz="0" w:space="0" w:color="auto"/>
            <w:bottom w:val="none" w:sz="0" w:space="0" w:color="auto"/>
            <w:right w:val="none" w:sz="0" w:space="0" w:color="auto"/>
          </w:divBdr>
        </w:div>
        <w:div w:id="184515107">
          <w:marLeft w:val="1166"/>
          <w:marRight w:val="0"/>
          <w:marTop w:val="77"/>
          <w:marBottom w:val="0"/>
          <w:divBdr>
            <w:top w:val="none" w:sz="0" w:space="0" w:color="auto"/>
            <w:left w:val="none" w:sz="0" w:space="0" w:color="auto"/>
            <w:bottom w:val="none" w:sz="0" w:space="0" w:color="auto"/>
            <w:right w:val="none" w:sz="0" w:space="0" w:color="auto"/>
          </w:divBdr>
        </w:div>
        <w:div w:id="213276919">
          <w:marLeft w:val="1166"/>
          <w:marRight w:val="0"/>
          <w:marTop w:val="77"/>
          <w:marBottom w:val="0"/>
          <w:divBdr>
            <w:top w:val="none" w:sz="0" w:space="0" w:color="auto"/>
            <w:left w:val="none" w:sz="0" w:space="0" w:color="auto"/>
            <w:bottom w:val="none" w:sz="0" w:space="0" w:color="auto"/>
            <w:right w:val="none" w:sz="0" w:space="0" w:color="auto"/>
          </w:divBdr>
        </w:div>
        <w:div w:id="904754543">
          <w:marLeft w:val="547"/>
          <w:marRight w:val="0"/>
          <w:marTop w:val="86"/>
          <w:marBottom w:val="0"/>
          <w:divBdr>
            <w:top w:val="none" w:sz="0" w:space="0" w:color="auto"/>
            <w:left w:val="none" w:sz="0" w:space="0" w:color="auto"/>
            <w:bottom w:val="none" w:sz="0" w:space="0" w:color="auto"/>
            <w:right w:val="none" w:sz="0" w:space="0" w:color="auto"/>
          </w:divBdr>
        </w:div>
        <w:div w:id="1791707436">
          <w:marLeft w:val="1166"/>
          <w:marRight w:val="0"/>
          <w:marTop w:val="77"/>
          <w:marBottom w:val="0"/>
          <w:divBdr>
            <w:top w:val="none" w:sz="0" w:space="0" w:color="auto"/>
            <w:left w:val="none" w:sz="0" w:space="0" w:color="auto"/>
            <w:bottom w:val="none" w:sz="0" w:space="0" w:color="auto"/>
            <w:right w:val="none" w:sz="0" w:space="0" w:color="auto"/>
          </w:divBdr>
        </w:div>
        <w:div w:id="1756898337">
          <w:marLeft w:val="1166"/>
          <w:marRight w:val="0"/>
          <w:marTop w:val="77"/>
          <w:marBottom w:val="0"/>
          <w:divBdr>
            <w:top w:val="none" w:sz="0" w:space="0" w:color="auto"/>
            <w:left w:val="none" w:sz="0" w:space="0" w:color="auto"/>
            <w:bottom w:val="none" w:sz="0" w:space="0" w:color="auto"/>
            <w:right w:val="none" w:sz="0" w:space="0" w:color="auto"/>
          </w:divBdr>
        </w:div>
      </w:divsChild>
    </w:div>
    <w:div w:id="550731186">
      <w:bodyDiv w:val="1"/>
      <w:marLeft w:val="0"/>
      <w:marRight w:val="0"/>
      <w:marTop w:val="0"/>
      <w:marBottom w:val="0"/>
      <w:divBdr>
        <w:top w:val="none" w:sz="0" w:space="0" w:color="auto"/>
        <w:left w:val="none" w:sz="0" w:space="0" w:color="auto"/>
        <w:bottom w:val="none" w:sz="0" w:space="0" w:color="auto"/>
        <w:right w:val="none" w:sz="0" w:space="0" w:color="auto"/>
      </w:divBdr>
    </w:div>
    <w:div w:id="565923009">
      <w:bodyDiv w:val="1"/>
      <w:marLeft w:val="0"/>
      <w:marRight w:val="0"/>
      <w:marTop w:val="0"/>
      <w:marBottom w:val="0"/>
      <w:divBdr>
        <w:top w:val="none" w:sz="0" w:space="0" w:color="auto"/>
        <w:left w:val="none" w:sz="0" w:space="0" w:color="auto"/>
        <w:bottom w:val="none" w:sz="0" w:space="0" w:color="auto"/>
        <w:right w:val="none" w:sz="0" w:space="0" w:color="auto"/>
      </w:divBdr>
    </w:div>
    <w:div w:id="636833855">
      <w:bodyDiv w:val="1"/>
      <w:marLeft w:val="0"/>
      <w:marRight w:val="0"/>
      <w:marTop w:val="0"/>
      <w:marBottom w:val="0"/>
      <w:divBdr>
        <w:top w:val="none" w:sz="0" w:space="0" w:color="auto"/>
        <w:left w:val="none" w:sz="0" w:space="0" w:color="auto"/>
        <w:bottom w:val="none" w:sz="0" w:space="0" w:color="auto"/>
        <w:right w:val="none" w:sz="0" w:space="0" w:color="auto"/>
      </w:divBdr>
    </w:div>
    <w:div w:id="642782320">
      <w:bodyDiv w:val="1"/>
      <w:marLeft w:val="0"/>
      <w:marRight w:val="0"/>
      <w:marTop w:val="0"/>
      <w:marBottom w:val="0"/>
      <w:divBdr>
        <w:top w:val="none" w:sz="0" w:space="0" w:color="auto"/>
        <w:left w:val="none" w:sz="0" w:space="0" w:color="auto"/>
        <w:bottom w:val="none" w:sz="0" w:space="0" w:color="auto"/>
        <w:right w:val="none" w:sz="0" w:space="0" w:color="auto"/>
      </w:divBdr>
    </w:div>
    <w:div w:id="642808429">
      <w:bodyDiv w:val="1"/>
      <w:marLeft w:val="0"/>
      <w:marRight w:val="0"/>
      <w:marTop w:val="0"/>
      <w:marBottom w:val="0"/>
      <w:divBdr>
        <w:top w:val="none" w:sz="0" w:space="0" w:color="auto"/>
        <w:left w:val="none" w:sz="0" w:space="0" w:color="auto"/>
        <w:bottom w:val="none" w:sz="0" w:space="0" w:color="auto"/>
        <w:right w:val="none" w:sz="0" w:space="0" w:color="auto"/>
      </w:divBdr>
    </w:div>
    <w:div w:id="643892387">
      <w:bodyDiv w:val="1"/>
      <w:marLeft w:val="0"/>
      <w:marRight w:val="0"/>
      <w:marTop w:val="0"/>
      <w:marBottom w:val="0"/>
      <w:divBdr>
        <w:top w:val="none" w:sz="0" w:space="0" w:color="auto"/>
        <w:left w:val="none" w:sz="0" w:space="0" w:color="auto"/>
        <w:bottom w:val="none" w:sz="0" w:space="0" w:color="auto"/>
        <w:right w:val="none" w:sz="0" w:space="0" w:color="auto"/>
      </w:divBdr>
    </w:div>
    <w:div w:id="672876558">
      <w:bodyDiv w:val="1"/>
      <w:marLeft w:val="0"/>
      <w:marRight w:val="0"/>
      <w:marTop w:val="0"/>
      <w:marBottom w:val="0"/>
      <w:divBdr>
        <w:top w:val="none" w:sz="0" w:space="0" w:color="auto"/>
        <w:left w:val="none" w:sz="0" w:space="0" w:color="auto"/>
        <w:bottom w:val="none" w:sz="0" w:space="0" w:color="auto"/>
        <w:right w:val="none" w:sz="0" w:space="0" w:color="auto"/>
      </w:divBdr>
    </w:div>
    <w:div w:id="711003139">
      <w:bodyDiv w:val="1"/>
      <w:marLeft w:val="0"/>
      <w:marRight w:val="0"/>
      <w:marTop w:val="0"/>
      <w:marBottom w:val="0"/>
      <w:divBdr>
        <w:top w:val="none" w:sz="0" w:space="0" w:color="auto"/>
        <w:left w:val="none" w:sz="0" w:space="0" w:color="auto"/>
        <w:bottom w:val="none" w:sz="0" w:space="0" w:color="auto"/>
        <w:right w:val="none" w:sz="0" w:space="0" w:color="auto"/>
      </w:divBdr>
    </w:div>
    <w:div w:id="769854222">
      <w:bodyDiv w:val="1"/>
      <w:marLeft w:val="0"/>
      <w:marRight w:val="0"/>
      <w:marTop w:val="0"/>
      <w:marBottom w:val="0"/>
      <w:divBdr>
        <w:top w:val="none" w:sz="0" w:space="0" w:color="auto"/>
        <w:left w:val="none" w:sz="0" w:space="0" w:color="auto"/>
        <w:bottom w:val="none" w:sz="0" w:space="0" w:color="auto"/>
        <w:right w:val="none" w:sz="0" w:space="0" w:color="auto"/>
      </w:divBdr>
    </w:div>
    <w:div w:id="794952628">
      <w:bodyDiv w:val="1"/>
      <w:marLeft w:val="0"/>
      <w:marRight w:val="0"/>
      <w:marTop w:val="0"/>
      <w:marBottom w:val="0"/>
      <w:divBdr>
        <w:top w:val="none" w:sz="0" w:space="0" w:color="auto"/>
        <w:left w:val="none" w:sz="0" w:space="0" w:color="auto"/>
        <w:bottom w:val="none" w:sz="0" w:space="0" w:color="auto"/>
        <w:right w:val="none" w:sz="0" w:space="0" w:color="auto"/>
      </w:divBdr>
      <w:divsChild>
        <w:div w:id="323240402">
          <w:marLeft w:val="0"/>
          <w:marRight w:val="0"/>
          <w:marTop w:val="0"/>
          <w:marBottom w:val="0"/>
          <w:divBdr>
            <w:top w:val="none" w:sz="0" w:space="0" w:color="auto"/>
            <w:left w:val="none" w:sz="0" w:space="0" w:color="auto"/>
            <w:bottom w:val="none" w:sz="0" w:space="0" w:color="auto"/>
            <w:right w:val="none" w:sz="0" w:space="0" w:color="auto"/>
          </w:divBdr>
          <w:divsChild>
            <w:div w:id="808865267">
              <w:marLeft w:val="2985"/>
              <w:marRight w:val="0"/>
              <w:marTop w:val="0"/>
              <w:marBottom w:val="0"/>
              <w:divBdr>
                <w:top w:val="none" w:sz="0" w:space="0" w:color="auto"/>
                <w:left w:val="none" w:sz="0" w:space="0" w:color="auto"/>
                <w:bottom w:val="none" w:sz="0" w:space="0" w:color="auto"/>
                <w:right w:val="none" w:sz="0" w:space="0" w:color="auto"/>
              </w:divBdr>
              <w:divsChild>
                <w:div w:id="916746212">
                  <w:marLeft w:val="0"/>
                  <w:marRight w:val="0"/>
                  <w:marTop w:val="0"/>
                  <w:marBottom w:val="0"/>
                  <w:divBdr>
                    <w:top w:val="none" w:sz="0" w:space="0" w:color="auto"/>
                    <w:left w:val="none" w:sz="0" w:space="0" w:color="auto"/>
                    <w:bottom w:val="none" w:sz="0" w:space="0" w:color="auto"/>
                    <w:right w:val="none" w:sz="0" w:space="0" w:color="auto"/>
                  </w:divBdr>
                  <w:divsChild>
                    <w:div w:id="17042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12536">
      <w:bodyDiv w:val="1"/>
      <w:marLeft w:val="0"/>
      <w:marRight w:val="0"/>
      <w:marTop w:val="0"/>
      <w:marBottom w:val="0"/>
      <w:divBdr>
        <w:top w:val="none" w:sz="0" w:space="0" w:color="auto"/>
        <w:left w:val="none" w:sz="0" w:space="0" w:color="auto"/>
        <w:bottom w:val="none" w:sz="0" w:space="0" w:color="auto"/>
        <w:right w:val="none" w:sz="0" w:space="0" w:color="auto"/>
      </w:divBdr>
      <w:divsChild>
        <w:div w:id="1656687480">
          <w:marLeft w:val="547"/>
          <w:marRight w:val="0"/>
          <w:marTop w:val="86"/>
          <w:marBottom w:val="0"/>
          <w:divBdr>
            <w:top w:val="none" w:sz="0" w:space="0" w:color="auto"/>
            <w:left w:val="none" w:sz="0" w:space="0" w:color="auto"/>
            <w:bottom w:val="none" w:sz="0" w:space="0" w:color="auto"/>
            <w:right w:val="none" w:sz="0" w:space="0" w:color="auto"/>
          </w:divBdr>
        </w:div>
        <w:div w:id="806169477">
          <w:marLeft w:val="1166"/>
          <w:marRight w:val="0"/>
          <w:marTop w:val="77"/>
          <w:marBottom w:val="0"/>
          <w:divBdr>
            <w:top w:val="none" w:sz="0" w:space="0" w:color="auto"/>
            <w:left w:val="none" w:sz="0" w:space="0" w:color="auto"/>
            <w:bottom w:val="none" w:sz="0" w:space="0" w:color="auto"/>
            <w:right w:val="none" w:sz="0" w:space="0" w:color="auto"/>
          </w:divBdr>
        </w:div>
        <w:div w:id="1012341520">
          <w:marLeft w:val="1166"/>
          <w:marRight w:val="0"/>
          <w:marTop w:val="77"/>
          <w:marBottom w:val="0"/>
          <w:divBdr>
            <w:top w:val="none" w:sz="0" w:space="0" w:color="auto"/>
            <w:left w:val="none" w:sz="0" w:space="0" w:color="auto"/>
            <w:bottom w:val="none" w:sz="0" w:space="0" w:color="auto"/>
            <w:right w:val="none" w:sz="0" w:space="0" w:color="auto"/>
          </w:divBdr>
        </w:div>
        <w:div w:id="1600135662">
          <w:marLeft w:val="1166"/>
          <w:marRight w:val="0"/>
          <w:marTop w:val="77"/>
          <w:marBottom w:val="0"/>
          <w:divBdr>
            <w:top w:val="none" w:sz="0" w:space="0" w:color="auto"/>
            <w:left w:val="none" w:sz="0" w:space="0" w:color="auto"/>
            <w:bottom w:val="none" w:sz="0" w:space="0" w:color="auto"/>
            <w:right w:val="none" w:sz="0" w:space="0" w:color="auto"/>
          </w:divBdr>
        </w:div>
        <w:div w:id="1395814253">
          <w:marLeft w:val="547"/>
          <w:marRight w:val="0"/>
          <w:marTop w:val="86"/>
          <w:marBottom w:val="0"/>
          <w:divBdr>
            <w:top w:val="none" w:sz="0" w:space="0" w:color="auto"/>
            <w:left w:val="none" w:sz="0" w:space="0" w:color="auto"/>
            <w:bottom w:val="none" w:sz="0" w:space="0" w:color="auto"/>
            <w:right w:val="none" w:sz="0" w:space="0" w:color="auto"/>
          </w:divBdr>
        </w:div>
        <w:div w:id="1510827483">
          <w:marLeft w:val="547"/>
          <w:marRight w:val="0"/>
          <w:marTop w:val="86"/>
          <w:marBottom w:val="0"/>
          <w:divBdr>
            <w:top w:val="none" w:sz="0" w:space="0" w:color="auto"/>
            <w:left w:val="none" w:sz="0" w:space="0" w:color="auto"/>
            <w:bottom w:val="none" w:sz="0" w:space="0" w:color="auto"/>
            <w:right w:val="none" w:sz="0" w:space="0" w:color="auto"/>
          </w:divBdr>
        </w:div>
      </w:divsChild>
    </w:div>
    <w:div w:id="830022840">
      <w:bodyDiv w:val="1"/>
      <w:marLeft w:val="0"/>
      <w:marRight w:val="0"/>
      <w:marTop w:val="0"/>
      <w:marBottom w:val="0"/>
      <w:divBdr>
        <w:top w:val="none" w:sz="0" w:space="0" w:color="auto"/>
        <w:left w:val="none" w:sz="0" w:space="0" w:color="auto"/>
        <w:bottom w:val="none" w:sz="0" w:space="0" w:color="auto"/>
        <w:right w:val="none" w:sz="0" w:space="0" w:color="auto"/>
      </w:divBdr>
    </w:div>
    <w:div w:id="965698345">
      <w:bodyDiv w:val="1"/>
      <w:marLeft w:val="0"/>
      <w:marRight w:val="0"/>
      <w:marTop w:val="0"/>
      <w:marBottom w:val="0"/>
      <w:divBdr>
        <w:top w:val="none" w:sz="0" w:space="0" w:color="auto"/>
        <w:left w:val="none" w:sz="0" w:space="0" w:color="auto"/>
        <w:bottom w:val="none" w:sz="0" w:space="0" w:color="auto"/>
        <w:right w:val="none" w:sz="0" w:space="0" w:color="auto"/>
      </w:divBdr>
      <w:divsChild>
        <w:div w:id="1154906670">
          <w:marLeft w:val="547"/>
          <w:marRight w:val="0"/>
          <w:marTop w:val="86"/>
          <w:marBottom w:val="0"/>
          <w:divBdr>
            <w:top w:val="none" w:sz="0" w:space="0" w:color="auto"/>
            <w:left w:val="none" w:sz="0" w:space="0" w:color="auto"/>
            <w:bottom w:val="none" w:sz="0" w:space="0" w:color="auto"/>
            <w:right w:val="none" w:sz="0" w:space="0" w:color="auto"/>
          </w:divBdr>
        </w:div>
        <w:div w:id="1461924716">
          <w:marLeft w:val="547"/>
          <w:marRight w:val="0"/>
          <w:marTop w:val="86"/>
          <w:marBottom w:val="0"/>
          <w:divBdr>
            <w:top w:val="none" w:sz="0" w:space="0" w:color="auto"/>
            <w:left w:val="none" w:sz="0" w:space="0" w:color="auto"/>
            <w:bottom w:val="none" w:sz="0" w:space="0" w:color="auto"/>
            <w:right w:val="none" w:sz="0" w:space="0" w:color="auto"/>
          </w:divBdr>
        </w:div>
        <w:div w:id="2054689820">
          <w:marLeft w:val="1166"/>
          <w:marRight w:val="0"/>
          <w:marTop w:val="77"/>
          <w:marBottom w:val="0"/>
          <w:divBdr>
            <w:top w:val="none" w:sz="0" w:space="0" w:color="auto"/>
            <w:left w:val="none" w:sz="0" w:space="0" w:color="auto"/>
            <w:bottom w:val="none" w:sz="0" w:space="0" w:color="auto"/>
            <w:right w:val="none" w:sz="0" w:space="0" w:color="auto"/>
          </w:divBdr>
        </w:div>
        <w:div w:id="586034044">
          <w:marLeft w:val="1166"/>
          <w:marRight w:val="0"/>
          <w:marTop w:val="77"/>
          <w:marBottom w:val="0"/>
          <w:divBdr>
            <w:top w:val="none" w:sz="0" w:space="0" w:color="auto"/>
            <w:left w:val="none" w:sz="0" w:space="0" w:color="auto"/>
            <w:bottom w:val="none" w:sz="0" w:space="0" w:color="auto"/>
            <w:right w:val="none" w:sz="0" w:space="0" w:color="auto"/>
          </w:divBdr>
        </w:div>
      </w:divsChild>
    </w:div>
    <w:div w:id="977804522">
      <w:bodyDiv w:val="1"/>
      <w:marLeft w:val="0"/>
      <w:marRight w:val="0"/>
      <w:marTop w:val="0"/>
      <w:marBottom w:val="0"/>
      <w:divBdr>
        <w:top w:val="none" w:sz="0" w:space="0" w:color="auto"/>
        <w:left w:val="none" w:sz="0" w:space="0" w:color="auto"/>
        <w:bottom w:val="none" w:sz="0" w:space="0" w:color="auto"/>
        <w:right w:val="none" w:sz="0" w:space="0" w:color="auto"/>
      </w:divBdr>
    </w:div>
    <w:div w:id="1037975440">
      <w:bodyDiv w:val="1"/>
      <w:marLeft w:val="0"/>
      <w:marRight w:val="0"/>
      <w:marTop w:val="0"/>
      <w:marBottom w:val="0"/>
      <w:divBdr>
        <w:top w:val="none" w:sz="0" w:space="0" w:color="auto"/>
        <w:left w:val="none" w:sz="0" w:space="0" w:color="auto"/>
        <w:bottom w:val="none" w:sz="0" w:space="0" w:color="auto"/>
        <w:right w:val="none" w:sz="0" w:space="0" w:color="auto"/>
      </w:divBdr>
    </w:div>
    <w:div w:id="1108695454">
      <w:bodyDiv w:val="1"/>
      <w:marLeft w:val="0"/>
      <w:marRight w:val="0"/>
      <w:marTop w:val="0"/>
      <w:marBottom w:val="0"/>
      <w:divBdr>
        <w:top w:val="none" w:sz="0" w:space="0" w:color="auto"/>
        <w:left w:val="none" w:sz="0" w:space="0" w:color="auto"/>
        <w:bottom w:val="none" w:sz="0" w:space="0" w:color="auto"/>
        <w:right w:val="none" w:sz="0" w:space="0" w:color="auto"/>
      </w:divBdr>
    </w:div>
    <w:div w:id="1136097093">
      <w:bodyDiv w:val="1"/>
      <w:marLeft w:val="0"/>
      <w:marRight w:val="0"/>
      <w:marTop w:val="0"/>
      <w:marBottom w:val="0"/>
      <w:divBdr>
        <w:top w:val="none" w:sz="0" w:space="0" w:color="auto"/>
        <w:left w:val="none" w:sz="0" w:space="0" w:color="auto"/>
        <w:bottom w:val="none" w:sz="0" w:space="0" w:color="auto"/>
        <w:right w:val="none" w:sz="0" w:space="0" w:color="auto"/>
      </w:divBdr>
    </w:div>
    <w:div w:id="1147435703">
      <w:bodyDiv w:val="1"/>
      <w:marLeft w:val="0"/>
      <w:marRight w:val="0"/>
      <w:marTop w:val="0"/>
      <w:marBottom w:val="0"/>
      <w:divBdr>
        <w:top w:val="none" w:sz="0" w:space="0" w:color="auto"/>
        <w:left w:val="none" w:sz="0" w:space="0" w:color="auto"/>
        <w:bottom w:val="none" w:sz="0" w:space="0" w:color="auto"/>
        <w:right w:val="none" w:sz="0" w:space="0" w:color="auto"/>
      </w:divBdr>
      <w:divsChild>
        <w:div w:id="2050909450">
          <w:marLeft w:val="446"/>
          <w:marRight w:val="0"/>
          <w:marTop w:val="0"/>
          <w:marBottom w:val="0"/>
          <w:divBdr>
            <w:top w:val="none" w:sz="0" w:space="0" w:color="auto"/>
            <w:left w:val="none" w:sz="0" w:space="0" w:color="auto"/>
            <w:bottom w:val="none" w:sz="0" w:space="0" w:color="auto"/>
            <w:right w:val="none" w:sz="0" w:space="0" w:color="auto"/>
          </w:divBdr>
        </w:div>
        <w:div w:id="1898931653">
          <w:marLeft w:val="446"/>
          <w:marRight w:val="0"/>
          <w:marTop w:val="0"/>
          <w:marBottom w:val="0"/>
          <w:divBdr>
            <w:top w:val="none" w:sz="0" w:space="0" w:color="auto"/>
            <w:left w:val="none" w:sz="0" w:space="0" w:color="auto"/>
            <w:bottom w:val="none" w:sz="0" w:space="0" w:color="auto"/>
            <w:right w:val="none" w:sz="0" w:space="0" w:color="auto"/>
          </w:divBdr>
        </w:div>
        <w:div w:id="1078094468">
          <w:marLeft w:val="446"/>
          <w:marRight w:val="0"/>
          <w:marTop w:val="0"/>
          <w:marBottom w:val="0"/>
          <w:divBdr>
            <w:top w:val="none" w:sz="0" w:space="0" w:color="auto"/>
            <w:left w:val="none" w:sz="0" w:space="0" w:color="auto"/>
            <w:bottom w:val="none" w:sz="0" w:space="0" w:color="auto"/>
            <w:right w:val="none" w:sz="0" w:space="0" w:color="auto"/>
          </w:divBdr>
        </w:div>
        <w:div w:id="1963146736">
          <w:marLeft w:val="446"/>
          <w:marRight w:val="0"/>
          <w:marTop w:val="0"/>
          <w:marBottom w:val="0"/>
          <w:divBdr>
            <w:top w:val="none" w:sz="0" w:space="0" w:color="auto"/>
            <w:left w:val="none" w:sz="0" w:space="0" w:color="auto"/>
            <w:bottom w:val="none" w:sz="0" w:space="0" w:color="auto"/>
            <w:right w:val="none" w:sz="0" w:space="0" w:color="auto"/>
          </w:divBdr>
        </w:div>
        <w:div w:id="386035700">
          <w:marLeft w:val="446"/>
          <w:marRight w:val="0"/>
          <w:marTop w:val="0"/>
          <w:marBottom w:val="0"/>
          <w:divBdr>
            <w:top w:val="none" w:sz="0" w:space="0" w:color="auto"/>
            <w:left w:val="none" w:sz="0" w:space="0" w:color="auto"/>
            <w:bottom w:val="none" w:sz="0" w:space="0" w:color="auto"/>
            <w:right w:val="none" w:sz="0" w:space="0" w:color="auto"/>
          </w:divBdr>
        </w:div>
        <w:div w:id="1336956908">
          <w:marLeft w:val="446"/>
          <w:marRight w:val="0"/>
          <w:marTop w:val="0"/>
          <w:marBottom w:val="0"/>
          <w:divBdr>
            <w:top w:val="none" w:sz="0" w:space="0" w:color="auto"/>
            <w:left w:val="none" w:sz="0" w:space="0" w:color="auto"/>
            <w:bottom w:val="none" w:sz="0" w:space="0" w:color="auto"/>
            <w:right w:val="none" w:sz="0" w:space="0" w:color="auto"/>
          </w:divBdr>
        </w:div>
        <w:div w:id="639462728">
          <w:marLeft w:val="446"/>
          <w:marRight w:val="0"/>
          <w:marTop w:val="0"/>
          <w:marBottom w:val="0"/>
          <w:divBdr>
            <w:top w:val="none" w:sz="0" w:space="0" w:color="auto"/>
            <w:left w:val="none" w:sz="0" w:space="0" w:color="auto"/>
            <w:bottom w:val="none" w:sz="0" w:space="0" w:color="auto"/>
            <w:right w:val="none" w:sz="0" w:space="0" w:color="auto"/>
          </w:divBdr>
        </w:div>
        <w:div w:id="477692481">
          <w:marLeft w:val="446"/>
          <w:marRight w:val="0"/>
          <w:marTop w:val="0"/>
          <w:marBottom w:val="0"/>
          <w:divBdr>
            <w:top w:val="none" w:sz="0" w:space="0" w:color="auto"/>
            <w:left w:val="none" w:sz="0" w:space="0" w:color="auto"/>
            <w:bottom w:val="none" w:sz="0" w:space="0" w:color="auto"/>
            <w:right w:val="none" w:sz="0" w:space="0" w:color="auto"/>
          </w:divBdr>
        </w:div>
        <w:div w:id="1942445716">
          <w:marLeft w:val="446"/>
          <w:marRight w:val="0"/>
          <w:marTop w:val="0"/>
          <w:marBottom w:val="0"/>
          <w:divBdr>
            <w:top w:val="none" w:sz="0" w:space="0" w:color="auto"/>
            <w:left w:val="none" w:sz="0" w:space="0" w:color="auto"/>
            <w:bottom w:val="none" w:sz="0" w:space="0" w:color="auto"/>
            <w:right w:val="none" w:sz="0" w:space="0" w:color="auto"/>
          </w:divBdr>
        </w:div>
      </w:divsChild>
    </w:div>
    <w:div w:id="1241527452">
      <w:bodyDiv w:val="1"/>
      <w:marLeft w:val="0"/>
      <w:marRight w:val="0"/>
      <w:marTop w:val="0"/>
      <w:marBottom w:val="0"/>
      <w:divBdr>
        <w:top w:val="none" w:sz="0" w:space="0" w:color="auto"/>
        <w:left w:val="none" w:sz="0" w:space="0" w:color="auto"/>
        <w:bottom w:val="none" w:sz="0" w:space="0" w:color="auto"/>
        <w:right w:val="none" w:sz="0" w:space="0" w:color="auto"/>
      </w:divBdr>
    </w:div>
    <w:div w:id="1333290847">
      <w:bodyDiv w:val="1"/>
      <w:marLeft w:val="0"/>
      <w:marRight w:val="0"/>
      <w:marTop w:val="0"/>
      <w:marBottom w:val="0"/>
      <w:divBdr>
        <w:top w:val="none" w:sz="0" w:space="0" w:color="auto"/>
        <w:left w:val="none" w:sz="0" w:space="0" w:color="auto"/>
        <w:bottom w:val="none" w:sz="0" w:space="0" w:color="auto"/>
        <w:right w:val="none" w:sz="0" w:space="0" w:color="auto"/>
      </w:divBdr>
    </w:div>
    <w:div w:id="1345018146">
      <w:bodyDiv w:val="1"/>
      <w:marLeft w:val="0"/>
      <w:marRight w:val="0"/>
      <w:marTop w:val="0"/>
      <w:marBottom w:val="0"/>
      <w:divBdr>
        <w:top w:val="none" w:sz="0" w:space="0" w:color="auto"/>
        <w:left w:val="none" w:sz="0" w:space="0" w:color="auto"/>
        <w:bottom w:val="none" w:sz="0" w:space="0" w:color="auto"/>
        <w:right w:val="none" w:sz="0" w:space="0" w:color="auto"/>
      </w:divBdr>
    </w:div>
    <w:div w:id="1361005428">
      <w:bodyDiv w:val="1"/>
      <w:marLeft w:val="0"/>
      <w:marRight w:val="0"/>
      <w:marTop w:val="0"/>
      <w:marBottom w:val="0"/>
      <w:divBdr>
        <w:top w:val="none" w:sz="0" w:space="0" w:color="auto"/>
        <w:left w:val="none" w:sz="0" w:space="0" w:color="auto"/>
        <w:bottom w:val="none" w:sz="0" w:space="0" w:color="auto"/>
        <w:right w:val="none" w:sz="0" w:space="0" w:color="auto"/>
      </w:divBdr>
    </w:div>
    <w:div w:id="1401244483">
      <w:bodyDiv w:val="1"/>
      <w:marLeft w:val="0"/>
      <w:marRight w:val="0"/>
      <w:marTop w:val="0"/>
      <w:marBottom w:val="0"/>
      <w:divBdr>
        <w:top w:val="none" w:sz="0" w:space="0" w:color="auto"/>
        <w:left w:val="none" w:sz="0" w:space="0" w:color="auto"/>
        <w:bottom w:val="none" w:sz="0" w:space="0" w:color="auto"/>
        <w:right w:val="none" w:sz="0" w:space="0" w:color="auto"/>
      </w:divBdr>
    </w:div>
    <w:div w:id="1468930240">
      <w:bodyDiv w:val="1"/>
      <w:marLeft w:val="0"/>
      <w:marRight w:val="0"/>
      <w:marTop w:val="0"/>
      <w:marBottom w:val="0"/>
      <w:divBdr>
        <w:top w:val="none" w:sz="0" w:space="0" w:color="auto"/>
        <w:left w:val="none" w:sz="0" w:space="0" w:color="auto"/>
        <w:bottom w:val="none" w:sz="0" w:space="0" w:color="auto"/>
        <w:right w:val="none" w:sz="0" w:space="0" w:color="auto"/>
      </w:divBdr>
    </w:div>
    <w:div w:id="1471896388">
      <w:bodyDiv w:val="1"/>
      <w:marLeft w:val="0"/>
      <w:marRight w:val="0"/>
      <w:marTop w:val="0"/>
      <w:marBottom w:val="0"/>
      <w:divBdr>
        <w:top w:val="none" w:sz="0" w:space="0" w:color="auto"/>
        <w:left w:val="none" w:sz="0" w:space="0" w:color="auto"/>
        <w:bottom w:val="none" w:sz="0" w:space="0" w:color="auto"/>
        <w:right w:val="none" w:sz="0" w:space="0" w:color="auto"/>
      </w:divBdr>
    </w:div>
    <w:div w:id="1519201531">
      <w:bodyDiv w:val="1"/>
      <w:marLeft w:val="0"/>
      <w:marRight w:val="0"/>
      <w:marTop w:val="0"/>
      <w:marBottom w:val="0"/>
      <w:divBdr>
        <w:top w:val="none" w:sz="0" w:space="0" w:color="auto"/>
        <w:left w:val="none" w:sz="0" w:space="0" w:color="auto"/>
        <w:bottom w:val="none" w:sz="0" w:space="0" w:color="auto"/>
        <w:right w:val="none" w:sz="0" w:space="0" w:color="auto"/>
      </w:divBdr>
    </w:div>
    <w:div w:id="1533808269">
      <w:bodyDiv w:val="1"/>
      <w:marLeft w:val="0"/>
      <w:marRight w:val="0"/>
      <w:marTop w:val="0"/>
      <w:marBottom w:val="0"/>
      <w:divBdr>
        <w:top w:val="none" w:sz="0" w:space="0" w:color="auto"/>
        <w:left w:val="none" w:sz="0" w:space="0" w:color="auto"/>
        <w:bottom w:val="none" w:sz="0" w:space="0" w:color="auto"/>
        <w:right w:val="none" w:sz="0" w:space="0" w:color="auto"/>
      </w:divBdr>
    </w:div>
    <w:div w:id="1598442728">
      <w:bodyDiv w:val="1"/>
      <w:marLeft w:val="0"/>
      <w:marRight w:val="0"/>
      <w:marTop w:val="0"/>
      <w:marBottom w:val="0"/>
      <w:divBdr>
        <w:top w:val="none" w:sz="0" w:space="0" w:color="auto"/>
        <w:left w:val="none" w:sz="0" w:space="0" w:color="auto"/>
        <w:bottom w:val="none" w:sz="0" w:space="0" w:color="auto"/>
        <w:right w:val="none" w:sz="0" w:space="0" w:color="auto"/>
      </w:divBdr>
    </w:div>
    <w:div w:id="1600596499">
      <w:bodyDiv w:val="1"/>
      <w:marLeft w:val="0"/>
      <w:marRight w:val="0"/>
      <w:marTop w:val="0"/>
      <w:marBottom w:val="0"/>
      <w:divBdr>
        <w:top w:val="none" w:sz="0" w:space="0" w:color="auto"/>
        <w:left w:val="none" w:sz="0" w:space="0" w:color="auto"/>
        <w:bottom w:val="none" w:sz="0" w:space="0" w:color="auto"/>
        <w:right w:val="none" w:sz="0" w:space="0" w:color="auto"/>
      </w:divBdr>
    </w:div>
    <w:div w:id="1629781406">
      <w:bodyDiv w:val="1"/>
      <w:marLeft w:val="0"/>
      <w:marRight w:val="0"/>
      <w:marTop w:val="0"/>
      <w:marBottom w:val="0"/>
      <w:divBdr>
        <w:top w:val="none" w:sz="0" w:space="0" w:color="auto"/>
        <w:left w:val="none" w:sz="0" w:space="0" w:color="auto"/>
        <w:bottom w:val="none" w:sz="0" w:space="0" w:color="auto"/>
        <w:right w:val="none" w:sz="0" w:space="0" w:color="auto"/>
      </w:divBdr>
    </w:div>
    <w:div w:id="1761564856">
      <w:bodyDiv w:val="1"/>
      <w:marLeft w:val="0"/>
      <w:marRight w:val="0"/>
      <w:marTop w:val="0"/>
      <w:marBottom w:val="0"/>
      <w:divBdr>
        <w:top w:val="none" w:sz="0" w:space="0" w:color="auto"/>
        <w:left w:val="none" w:sz="0" w:space="0" w:color="auto"/>
        <w:bottom w:val="none" w:sz="0" w:space="0" w:color="auto"/>
        <w:right w:val="none" w:sz="0" w:space="0" w:color="auto"/>
      </w:divBdr>
    </w:div>
    <w:div w:id="1794712830">
      <w:bodyDiv w:val="1"/>
      <w:marLeft w:val="0"/>
      <w:marRight w:val="0"/>
      <w:marTop w:val="0"/>
      <w:marBottom w:val="0"/>
      <w:divBdr>
        <w:top w:val="none" w:sz="0" w:space="0" w:color="auto"/>
        <w:left w:val="none" w:sz="0" w:space="0" w:color="auto"/>
        <w:bottom w:val="none" w:sz="0" w:space="0" w:color="auto"/>
        <w:right w:val="none" w:sz="0" w:space="0" w:color="auto"/>
      </w:divBdr>
    </w:div>
    <w:div w:id="1812550182">
      <w:bodyDiv w:val="1"/>
      <w:marLeft w:val="0"/>
      <w:marRight w:val="0"/>
      <w:marTop w:val="0"/>
      <w:marBottom w:val="0"/>
      <w:divBdr>
        <w:top w:val="none" w:sz="0" w:space="0" w:color="auto"/>
        <w:left w:val="none" w:sz="0" w:space="0" w:color="auto"/>
        <w:bottom w:val="none" w:sz="0" w:space="0" w:color="auto"/>
        <w:right w:val="none" w:sz="0" w:space="0" w:color="auto"/>
      </w:divBdr>
      <w:divsChild>
        <w:div w:id="2051106237">
          <w:marLeft w:val="547"/>
          <w:marRight w:val="0"/>
          <w:marTop w:val="86"/>
          <w:marBottom w:val="0"/>
          <w:divBdr>
            <w:top w:val="none" w:sz="0" w:space="0" w:color="auto"/>
            <w:left w:val="none" w:sz="0" w:space="0" w:color="auto"/>
            <w:bottom w:val="none" w:sz="0" w:space="0" w:color="auto"/>
            <w:right w:val="none" w:sz="0" w:space="0" w:color="auto"/>
          </w:divBdr>
        </w:div>
        <w:div w:id="174347991">
          <w:marLeft w:val="547"/>
          <w:marRight w:val="0"/>
          <w:marTop w:val="86"/>
          <w:marBottom w:val="0"/>
          <w:divBdr>
            <w:top w:val="none" w:sz="0" w:space="0" w:color="auto"/>
            <w:left w:val="none" w:sz="0" w:space="0" w:color="auto"/>
            <w:bottom w:val="none" w:sz="0" w:space="0" w:color="auto"/>
            <w:right w:val="none" w:sz="0" w:space="0" w:color="auto"/>
          </w:divBdr>
        </w:div>
        <w:div w:id="1761875990">
          <w:marLeft w:val="547"/>
          <w:marRight w:val="0"/>
          <w:marTop w:val="86"/>
          <w:marBottom w:val="0"/>
          <w:divBdr>
            <w:top w:val="none" w:sz="0" w:space="0" w:color="auto"/>
            <w:left w:val="none" w:sz="0" w:space="0" w:color="auto"/>
            <w:bottom w:val="none" w:sz="0" w:space="0" w:color="auto"/>
            <w:right w:val="none" w:sz="0" w:space="0" w:color="auto"/>
          </w:divBdr>
        </w:div>
        <w:div w:id="1527329207">
          <w:marLeft w:val="547"/>
          <w:marRight w:val="0"/>
          <w:marTop w:val="86"/>
          <w:marBottom w:val="0"/>
          <w:divBdr>
            <w:top w:val="none" w:sz="0" w:space="0" w:color="auto"/>
            <w:left w:val="none" w:sz="0" w:space="0" w:color="auto"/>
            <w:bottom w:val="none" w:sz="0" w:space="0" w:color="auto"/>
            <w:right w:val="none" w:sz="0" w:space="0" w:color="auto"/>
          </w:divBdr>
        </w:div>
        <w:div w:id="801384796">
          <w:marLeft w:val="547"/>
          <w:marRight w:val="0"/>
          <w:marTop w:val="86"/>
          <w:marBottom w:val="0"/>
          <w:divBdr>
            <w:top w:val="none" w:sz="0" w:space="0" w:color="auto"/>
            <w:left w:val="none" w:sz="0" w:space="0" w:color="auto"/>
            <w:bottom w:val="none" w:sz="0" w:space="0" w:color="auto"/>
            <w:right w:val="none" w:sz="0" w:space="0" w:color="auto"/>
          </w:divBdr>
        </w:div>
        <w:div w:id="1552231903">
          <w:marLeft w:val="547"/>
          <w:marRight w:val="0"/>
          <w:marTop w:val="86"/>
          <w:marBottom w:val="0"/>
          <w:divBdr>
            <w:top w:val="none" w:sz="0" w:space="0" w:color="auto"/>
            <w:left w:val="none" w:sz="0" w:space="0" w:color="auto"/>
            <w:bottom w:val="none" w:sz="0" w:space="0" w:color="auto"/>
            <w:right w:val="none" w:sz="0" w:space="0" w:color="auto"/>
          </w:divBdr>
        </w:div>
      </w:divsChild>
    </w:div>
    <w:div w:id="1857427169">
      <w:bodyDiv w:val="1"/>
      <w:marLeft w:val="0"/>
      <w:marRight w:val="0"/>
      <w:marTop w:val="0"/>
      <w:marBottom w:val="0"/>
      <w:divBdr>
        <w:top w:val="none" w:sz="0" w:space="0" w:color="auto"/>
        <w:left w:val="none" w:sz="0" w:space="0" w:color="auto"/>
        <w:bottom w:val="none" w:sz="0" w:space="0" w:color="auto"/>
        <w:right w:val="none" w:sz="0" w:space="0" w:color="auto"/>
      </w:divBdr>
    </w:div>
    <w:div w:id="1868905066">
      <w:bodyDiv w:val="1"/>
      <w:marLeft w:val="0"/>
      <w:marRight w:val="0"/>
      <w:marTop w:val="0"/>
      <w:marBottom w:val="0"/>
      <w:divBdr>
        <w:top w:val="none" w:sz="0" w:space="0" w:color="auto"/>
        <w:left w:val="none" w:sz="0" w:space="0" w:color="auto"/>
        <w:bottom w:val="none" w:sz="0" w:space="0" w:color="auto"/>
        <w:right w:val="none" w:sz="0" w:space="0" w:color="auto"/>
      </w:divBdr>
    </w:div>
    <w:div w:id="1963268920">
      <w:bodyDiv w:val="1"/>
      <w:marLeft w:val="0"/>
      <w:marRight w:val="0"/>
      <w:marTop w:val="0"/>
      <w:marBottom w:val="0"/>
      <w:divBdr>
        <w:top w:val="none" w:sz="0" w:space="0" w:color="auto"/>
        <w:left w:val="none" w:sz="0" w:space="0" w:color="auto"/>
        <w:bottom w:val="none" w:sz="0" w:space="0" w:color="auto"/>
        <w:right w:val="none" w:sz="0" w:space="0" w:color="auto"/>
      </w:divBdr>
    </w:div>
    <w:div w:id="1971742854">
      <w:bodyDiv w:val="1"/>
      <w:marLeft w:val="0"/>
      <w:marRight w:val="0"/>
      <w:marTop w:val="0"/>
      <w:marBottom w:val="0"/>
      <w:divBdr>
        <w:top w:val="none" w:sz="0" w:space="0" w:color="auto"/>
        <w:left w:val="none" w:sz="0" w:space="0" w:color="auto"/>
        <w:bottom w:val="none" w:sz="0" w:space="0" w:color="auto"/>
        <w:right w:val="none" w:sz="0" w:space="0" w:color="auto"/>
      </w:divBdr>
    </w:div>
    <w:div w:id="1994405594">
      <w:bodyDiv w:val="1"/>
      <w:marLeft w:val="0"/>
      <w:marRight w:val="0"/>
      <w:marTop w:val="0"/>
      <w:marBottom w:val="0"/>
      <w:divBdr>
        <w:top w:val="none" w:sz="0" w:space="0" w:color="auto"/>
        <w:left w:val="none" w:sz="0" w:space="0" w:color="auto"/>
        <w:bottom w:val="none" w:sz="0" w:space="0" w:color="auto"/>
        <w:right w:val="none" w:sz="0" w:space="0" w:color="auto"/>
      </w:divBdr>
    </w:div>
    <w:div w:id="1999838860">
      <w:bodyDiv w:val="1"/>
      <w:marLeft w:val="0"/>
      <w:marRight w:val="0"/>
      <w:marTop w:val="0"/>
      <w:marBottom w:val="0"/>
      <w:divBdr>
        <w:top w:val="none" w:sz="0" w:space="0" w:color="auto"/>
        <w:left w:val="none" w:sz="0" w:space="0" w:color="auto"/>
        <w:bottom w:val="none" w:sz="0" w:space="0" w:color="auto"/>
        <w:right w:val="none" w:sz="0" w:space="0" w:color="auto"/>
      </w:divBdr>
    </w:div>
    <w:div w:id="2006935773">
      <w:bodyDiv w:val="1"/>
      <w:marLeft w:val="0"/>
      <w:marRight w:val="0"/>
      <w:marTop w:val="0"/>
      <w:marBottom w:val="0"/>
      <w:divBdr>
        <w:top w:val="none" w:sz="0" w:space="0" w:color="auto"/>
        <w:left w:val="none" w:sz="0" w:space="0" w:color="auto"/>
        <w:bottom w:val="none" w:sz="0" w:space="0" w:color="auto"/>
        <w:right w:val="none" w:sz="0" w:space="0" w:color="auto"/>
      </w:divBdr>
    </w:div>
    <w:div w:id="2042510492">
      <w:bodyDiv w:val="1"/>
      <w:marLeft w:val="0"/>
      <w:marRight w:val="0"/>
      <w:marTop w:val="0"/>
      <w:marBottom w:val="0"/>
      <w:divBdr>
        <w:top w:val="none" w:sz="0" w:space="0" w:color="auto"/>
        <w:left w:val="none" w:sz="0" w:space="0" w:color="auto"/>
        <w:bottom w:val="none" w:sz="0" w:space="0" w:color="auto"/>
        <w:right w:val="none" w:sz="0" w:space="0" w:color="auto"/>
      </w:divBdr>
    </w:div>
    <w:div w:id="2065792380">
      <w:bodyDiv w:val="1"/>
      <w:marLeft w:val="0"/>
      <w:marRight w:val="0"/>
      <w:marTop w:val="0"/>
      <w:marBottom w:val="0"/>
      <w:divBdr>
        <w:top w:val="none" w:sz="0" w:space="0" w:color="auto"/>
        <w:left w:val="none" w:sz="0" w:space="0" w:color="auto"/>
        <w:bottom w:val="none" w:sz="0" w:space="0" w:color="auto"/>
        <w:right w:val="none" w:sz="0" w:space="0" w:color="auto"/>
      </w:divBdr>
    </w:div>
    <w:div w:id="2074768389">
      <w:bodyDiv w:val="1"/>
      <w:marLeft w:val="0"/>
      <w:marRight w:val="0"/>
      <w:marTop w:val="0"/>
      <w:marBottom w:val="0"/>
      <w:divBdr>
        <w:top w:val="none" w:sz="0" w:space="0" w:color="auto"/>
        <w:left w:val="none" w:sz="0" w:space="0" w:color="auto"/>
        <w:bottom w:val="none" w:sz="0" w:space="0" w:color="auto"/>
        <w:right w:val="none" w:sz="0" w:space="0" w:color="auto"/>
      </w:divBdr>
    </w:div>
    <w:div w:id="2080863494">
      <w:bodyDiv w:val="1"/>
      <w:marLeft w:val="0"/>
      <w:marRight w:val="0"/>
      <w:marTop w:val="0"/>
      <w:marBottom w:val="0"/>
      <w:divBdr>
        <w:top w:val="none" w:sz="0" w:space="0" w:color="auto"/>
        <w:left w:val="none" w:sz="0" w:space="0" w:color="auto"/>
        <w:bottom w:val="none" w:sz="0" w:space="0" w:color="auto"/>
        <w:right w:val="none" w:sz="0" w:space="0" w:color="auto"/>
      </w:divBdr>
      <w:divsChild>
        <w:div w:id="1703478711">
          <w:marLeft w:val="547"/>
          <w:marRight w:val="0"/>
          <w:marTop w:val="86"/>
          <w:marBottom w:val="0"/>
          <w:divBdr>
            <w:top w:val="none" w:sz="0" w:space="0" w:color="auto"/>
            <w:left w:val="none" w:sz="0" w:space="0" w:color="auto"/>
            <w:bottom w:val="none" w:sz="0" w:space="0" w:color="auto"/>
            <w:right w:val="none" w:sz="0" w:space="0" w:color="auto"/>
          </w:divBdr>
        </w:div>
        <w:div w:id="1797140340">
          <w:marLeft w:val="547"/>
          <w:marRight w:val="0"/>
          <w:marTop w:val="86"/>
          <w:marBottom w:val="0"/>
          <w:divBdr>
            <w:top w:val="none" w:sz="0" w:space="0" w:color="auto"/>
            <w:left w:val="none" w:sz="0" w:space="0" w:color="auto"/>
            <w:bottom w:val="none" w:sz="0" w:space="0" w:color="auto"/>
            <w:right w:val="none" w:sz="0" w:space="0" w:color="auto"/>
          </w:divBdr>
        </w:div>
        <w:div w:id="1466048084">
          <w:marLeft w:val="547"/>
          <w:marRight w:val="0"/>
          <w:marTop w:val="86"/>
          <w:marBottom w:val="0"/>
          <w:divBdr>
            <w:top w:val="none" w:sz="0" w:space="0" w:color="auto"/>
            <w:left w:val="none" w:sz="0" w:space="0" w:color="auto"/>
            <w:bottom w:val="none" w:sz="0" w:space="0" w:color="auto"/>
            <w:right w:val="none" w:sz="0" w:space="0" w:color="auto"/>
          </w:divBdr>
        </w:div>
        <w:div w:id="1243223041">
          <w:marLeft w:val="547"/>
          <w:marRight w:val="0"/>
          <w:marTop w:val="86"/>
          <w:marBottom w:val="0"/>
          <w:divBdr>
            <w:top w:val="none" w:sz="0" w:space="0" w:color="auto"/>
            <w:left w:val="none" w:sz="0" w:space="0" w:color="auto"/>
            <w:bottom w:val="none" w:sz="0" w:space="0" w:color="auto"/>
            <w:right w:val="none" w:sz="0" w:space="0" w:color="auto"/>
          </w:divBdr>
        </w:div>
        <w:div w:id="343827640">
          <w:marLeft w:val="547"/>
          <w:marRight w:val="0"/>
          <w:marTop w:val="86"/>
          <w:marBottom w:val="0"/>
          <w:divBdr>
            <w:top w:val="none" w:sz="0" w:space="0" w:color="auto"/>
            <w:left w:val="none" w:sz="0" w:space="0" w:color="auto"/>
            <w:bottom w:val="none" w:sz="0" w:space="0" w:color="auto"/>
            <w:right w:val="none" w:sz="0" w:space="0" w:color="auto"/>
          </w:divBdr>
        </w:div>
      </w:divsChild>
    </w:div>
    <w:div w:id="2136286101">
      <w:bodyDiv w:val="1"/>
      <w:marLeft w:val="0"/>
      <w:marRight w:val="0"/>
      <w:marTop w:val="0"/>
      <w:marBottom w:val="0"/>
      <w:divBdr>
        <w:top w:val="none" w:sz="0" w:space="0" w:color="auto"/>
        <w:left w:val="none" w:sz="0" w:space="0" w:color="auto"/>
        <w:bottom w:val="none" w:sz="0" w:space="0" w:color="auto"/>
        <w:right w:val="none" w:sz="0" w:space="0" w:color="auto"/>
      </w:divBdr>
    </w:div>
    <w:div w:id="21398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5.xml"/><Relationship Id="rId39" Type="http://schemas.openxmlformats.org/officeDocument/2006/relationships/footer" Target="footer18.xml"/><Relationship Id="rId21" Type="http://schemas.openxmlformats.org/officeDocument/2006/relationships/footer" Target="footer8.xml"/><Relationship Id="rId34" Type="http://schemas.openxmlformats.org/officeDocument/2006/relationships/header" Target="header8.xml"/><Relationship Id="rId42"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3.xml"/><Relationship Id="rId29" Type="http://schemas.openxmlformats.org/officeDocument/2006/relationships/footer" Target="foot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footer" Target="footer17.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9.xml"/><Relationship Id="rId10" Type="http://schemas.openxmlformats.org/officeDocument/2006/relationships/image" Target="media/image2.jpeg"/><Relationship Id="rId19" Type="http://schemas.openxmlformats.org/officeDocument/2006/relationships/footer" Target="footer7.xml"/><Relationship Id="rId31" Type="http://schemas.openxmlformats.org/officeDocument/2006/relationships/footer" Target="footer14.xml"/><Relationship Id="rId44"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header" Target="header7.xml"/><Relationship Id="rId35" Type="http://schemas.openxmlformats.org/officeDocument/2006/relationships/footer" Target="footer16.xml"/><Relationship Id="rId43"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image" Target="media/image3.emf"/><Relationship Id="rId38"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39BBE-C223-4FAE-9537-80A1DF17E32A}"/>
</file>

<file path=customXml/itemProps2.xml><?xml version="1.0" encoding="utf-8"?>
<ds:datastoreItem xmlns:ds="http://schemas.openxmlformats.org/officeDocument/2006/customXml" ds:itemID="{220273F9-D3EA-4F18-A0D1-BF0962D6B92C}"/>
</file>

<file path=customXml/itemProps3.xml><?xml version="1.0" encoding="utf-8"?>
<ds:datastoreItem xmlns:ds="http://schemas.openxmlformats.org/officeDocument/2006/customXml" ds:itemID="{D3889583-915C-4AA1-AED1-CC452E1E3B64}"/>
</file>

<file path=customXml/itemProps4.xml><?xml version="1.0" encoding="utf-8"?>
<ds:datastoreItem xmlns:ds="http://schemas.openxmlformats.org/officeDocument/2006/customXml" ds:itemID="{A0B5DF7C-9066-40E3-B2C4-F7DD438DBB01}"/>
</file>

<file path=docProps/app.xml><?xml version="1.0" encoding="utf-8"?>
<Properties xmlns="http://schemas.openxmlformats.org/officeDocument/2006/extended-properties" xmlns:vt="http://schemas.openxmlformats.org/officeDocument/2006/docPropsVTypes">
  <Template>Normal.dotm</Template>
  <TotalTime>9</TotalTime>
  <Pages>47</Pages>
  <Words>11171</Words>
  <Characters>65324</Characters>
  <Application>Microsoft Office Word</Application>
  <DocSecurity>0</DocSecurity>
  <Lines>544</Lines>
  <Paragraphs>152</Paragraphs>
  <ScaleCrop>false</ScaleCrop>
  <HeadingPairs>
    <vt:vector size="2" baseType="variant">
      <vt:variant>
        <vt:lpstr>Title</vt:lpstr>
      </vt:variant>
      <vt:variant>
        <vt:i4>1</vt:i4>
      </vt:variant>
    </vt:vector>
  </HeadingPairs>
  <TitlesOfParts>
    <vt:vector size="1" baseType="lpstr">
      <vt:lpstr>Performance Oversight and Monitoring Plan</vt:lpstr>
    </vt:vector>
  </TitlesOfParts>
  <Company/>
  <LinksUpToDate>false</LinksUpToDate>
  <CharactersWithSpaces>76343</CharactersWithSpaces>
  <SharedDoc>false</SharedDoc>
  <HLinks>
    <vt:vector size="588" baseType="variant">
      <vt:variant>
        <vt:i4>1900593</vt:i4>
      </vt:variant>
      <vt:variant>
        <vt:i4>590</vt:i4>
      </vt:variant>
      <vt:variant>
        <vt:i4>0</vt:i4>
      </vt:variant>
      <vt:variant>
        <vt:i4>5</vt:i4>
      </vt:variant>
      <vt:variant>
        <vt:lpwstr/>
      </vt:variant>
      <vt:variant>
        <vt:lpwstr>_Toc328737986</vt:lpwstr>
      </vt:variant>
      <vt:variant>
        <vt:i4>1900593</vt:i4>
      </vt:variant>
      <vt:variant>
        <vt:i4>584</vt:i4>
      </vt:variant>
      <vt:variant>
        <vt:i4>0</vt:i4>
      </vt:variant>
      <vt:variant>
        <vt:i4>5</vt:i4>
      </vt:variant>
      <vt:variant>
        <vt:lpwstr/>
      </vt:variant>
      <vt:variant>
        <vt:lpwstr>_Toc328737985</vt:lpwstr>
      </vt:variant>
      <vt:variant>
        <vt:i4>1900593</vt:i4>
      </vt:variant>
      <vt:variant>
        <vt:i4>578</vt:i4>
      </vt:variant>
      <vt:variant>
        <vt:i4>0</vt:i4>
      </vt:variant>
      <vt:variant>
        <vt:i4>5</vt:i4>
      </vt:variant>
      <vt:variant>
        <vt:lpwstr/>
      </vt:variant>
      <vt:variant>
        <vt:lpwstr>_Toc328737984</vt:lpwstr>
      </vt:variant>
      <vt:variant>
        <vt:i4>1900593</vt:i4>
      </vt:variant>
      <vt:variant>
        <vt:i4>569</vt:i4>
      </vt:variant>
      <vt:variant>
        <vt:i4>0</vt:i4>
      </vt:variant>
      <vt:variant>
        <vt:i4>5</vt:i4>
      </vt:variant>
      <vt:variant>
        <vt:lpwstr/>
      </vt:variant>
      <vt:variant>
        <vt:lpwstr>_Toc328737983</vt:lpwstr>
      </vt:variant>
      <vt:variant>
        <vt:i4>1900593</vt:i4>
      </vt:variant>
      <vt:variant>
        <vt:i4>563</vt:i4>
      </vt:variant>
      <vt:variant>
        <vt:i4>0</vt:i4>
      </vt:variant>
      <vt:variant>
        <vt:i4>5</vt:i4>
      </vt:variant>
      <vt:variant>
        <vt:lpwstr/>
      </vt:variant>
      <vt:variant>
        <vt:lpwstr>_Toc328737982</vt:lpwstr>
      </vt:variant>
      <vt:variant>
        <vt:i4>1900593</vt:i4>
      </vt:variant>
      <vt:variant>
        <vt:i4>557</vt:i4>
      </vt:variant>
      <vt:variant>
        <vt:i4>0</vt:i4>
      </vt:variant>
      <vt:variant>
        <vt:i4>5</vt:i4>
      </vt:variant>
      <vt:variant>
        <vt:lpwstr/>
      </vt:variant>
      <vt:variant>
        <vt:lpwstr>_Toc328737981</vt:lpwstr>
      </vt:variant>
      <vt:variant>
        <vt:i4>1900593</vt:i4>
      </vt:variant>
      <vt:variant>
        <vt:i4>551</vt:i4>
      </vt:variant>
      <vt:variant>
        <vt:i4>0</vt:i4>
      </vt:variant>
      <vt:variant>
        <vt:i4>5</vt:i4>
      </vt:variant>
      <vt:variant>
        <vt:lpwstr/>
      </vt:variant>
      <vt:variant>
        <vt:lpwstr>_Toc328737980</vt:lpwstr>
      </vt:variant>
      <vt:variant>
        <vt:i4>1179697</vt:i4>
      </vt:variant>
      <vt:variant>
        <vt:i4>545</vt:i4>
      </vt:variant>
      <vt:variant>
        <vt:i4>0</vt:i4>
      </vt:variant>
      <vt:variant>
        <vt:i4>5</vt:i4>
      </vt:variant>
      <vt:variant>
        <vt:lpwstr/>
      </vt:variant>
      <vt:variant>
        <vt:lpwstr>_Toc328737979</vt:lpwstr>
      </vt:variant>
      <vt:variant>
        <vt:i4>1179697</vt:i4>
      </vt:variant>
      <vt:variant>
        <vt:i4>539</vt:i4>
      </vt:variant>
      <vt:variant>
        <vt:i4>0</vt:i4>
      </vt:variant>
      <vt:variant>
        <vt:i4>5</vt:i4>
      </vt:variant>
      <vt:variant>
        <vt:lpwstr/>
      </vt:variant>
      <vt:variant>
        <vt:lpwstr>_Toc328737978</vt:lpwstr>
      </vt:variant>
      <vt:variant>
        <vt:i4>1179697</vt:i4>
      </vt:variant>
      <vt:variant>
        <vt:i4>533</vt:i4>
      </vt:variant>
      <vt:variant>
        <vt:i4>0</vt:i4>
      </vt:variant>
      <vt:variant>
        <vt:i4>5</vt:i4>
      </vt:variant>
      <vt:variant>
        <vt:lpwstr/>
      </vt:variant>
      <vt:variant>
        <vt:lpwstr>_Toc328737977</vt:lpwstr>
      </vt:variant>
      <vt:variant>
        <vt:i4>1179697</vt:i4>
      </vt:variant>
      <vt:variant>
        <vt:i4>527</vt:i4>
      </vt:variant>
      <vt:variant>
        <vt:i4>0</vt:i4>
      </vt:variant>
      <vt:variant>
        <vt:i4>5</vt:i4>
      </vt:variant>
      <vt:variant>
        <vt:lpwstr/>
      </vt:variant>
      <vt:variant>
        <vt:lpwstr>_Toc328737976</vt:lpwstr>
      </vt:variant>
      <vt:variant>
        <vt:i4>1179697</vt:i4>
      </vt:variant>
      <vt:variant>
        <vt:i4>521</vt:i4>
      </vt:variant>
      <vt:variant>
        <vt:i4>0</vt:i4>
      </vt:variant>
      <vt:variant>
        <vt:i4>5</vt:i4>
      </vt:variant>
      <vt:variant>
        <vt:lpwstr/>
      </vt:variant>
      <vt:variant>
        <vt:lpwstr>_Toc328737975</vt:lpwstr>
      </vt:variant>
      <vt:variant>
        <vt:i4>1179697</vt:i4>
      </vt:variant>
      <vt:variant>
        <vt:i4>515</vt:i4>
      </vt:variant>
      <vt:variant>
        <vt:i4>0</vt:i4>
      </vt:variant>
      <vt:variant>
        <vt:i4>5</vt:i4>
      </vt:variant>
      <vt:variant>
        <vt:lpwstr/>
      </vt:variant>
      <vt:variant>
        <vt:lpwstr>_Toc328737974</vt:lpwstr>
      </vt:variant>
      <vt:variant>
        <vt:i4>1179697</vt:i4>
      </vt:variant>
      <vt:variant>
        <vt:i4>509</vt:i4>
      </vt:variant>
      <vt:variant>
        <vt:i4>0</vt:i4>
      </vt:variant>
      <vt:variant>
        <vt:i4>5</vt:i4>
      </vt:variant>
      <vt:variant>
        <vt:lpwstr/>
      </vt:variant>
      <vt:variant>
        <vt:lpwstr>_Toc328737973</vt:lpwstr>
      </vt:variant>
      <vt:variant>
        <vt:i4>1179697</vt:i4>
      </vt:variant>
      <vt:variant>
        <vt:i4>503</vt:i4>
      </vt:variant>
      <vt:variant>
        <vt:i4>0</vt:i4>
      </vt:variant>
      <vt:variant>
        <vt:i4>5</vt:i4>
      </vt:variant>
      <vt:variant>
        <vt:lpwstr/>
      </vt:variant>
      <vt:variant>
        <vt:lpwstr>_Toc328737972</vt:lpwstr>
      </vt:variant>
      <vt:variant>
        <vt:i4>1179697</vt:i4>
      </vt:variant>
      <vt:variant>
        <vt:i4>497</vt:i4>
      </vt:variant>
      <vt:variant>
        <vt:i4>0</vt:i4>
      </vt:variant>
      <vt:variant>
        <vt:i4>5</vt:i4>
      </vt:variant>
      <vt:variant>
        <vt:lpwstr/>
      </vt:variant>
      <vt:variant>
        <vt:lpwstr>_Toc328737971</vt:lpwstr>
      </vt:variant>
      <vt:variant>
        <vt:i4>1179697</vt:i4>
      </vt:variant>
      <vt:variant>
        <vt:i4>491</vt:i4>
      </vt:variant>
      <vt:variant>
        <vt:i4>0</vt:i4>
      </vt:variant>
      <vt:variant>
        <vt:i4>5</vt:i4>
      </vt:variant>
      <vt:variant>
        <vt:lpwstr/>
      </vt:variant>
      <vt:variant>
        <vt:lpwstr>_Toc328737970</vt:lpwstr>
      </vt:variant>
      <vt:variant>
        <vt:i4>1245233</vt:i4>
      </vt:variant>
      <vt:variant>
        <vt:i4>485</vt:i4>
      </vt:variant>
      <vt:variant>
        <vt:i4>0</vt:i4>
      </vt:variant>
      <vt:variant>
        <vt:i4>5</vt:i4>
      </vt:variant>
      <vt:variant>
        <vt:lpwstr/>
      </vt:variant>
      <vt:variant>
        <vt:lpwstr>_Toc328737969</vt:lpwstr>
      </vt:variant>
      <vt:variant>
        <vt:i4>1245233</vt:i4>
      </vt:variant>
      <vt:variant>
        <vt:i4>479</vt:i4>
      </vt:variant>
      <vt:variant>
        <vt:i4>0</vt:i4>
      </vt:variant>
      <vt:variant>
        <vt:i4>5</vt:i4>
      </vt:variant>
      <vt:variant>
        <vt:lpwstr/>
      </vt:variant>
      <vt:variant>
        <vt:lpwstr>_Toc328737968</vt:lpwstr>
      </vt:variant>
      <vt:variant>
        <vt:i4>1245233</vt:i4>
      </vt:variant>
      <vt:variant>
        <vt:i4>473</vt:i4>
      </vt:variant>
      <vt:variant>
        <vt:i4>0</vt:i4>
      </vt:variant>
      <vt:variant>
        <vt:i4>5</vt:i4>
      </vt:variant>
      <vt:variant>
        <vt:lpwstr/>
      </vt:variant>
      <vt:variant>
        <vt:lpwstr>_Toc328737967</vt:lpwstr>
      </vt:variant>
      <vt:variant>
        <vt:i4>1245233</vt:i4>
      </vt:variant>
      <vt:variant>
        <vt:i4>467</vt:i4>
      </vt:variant>
      <vt:variant>
        <vt:i4>0</vt:i4>
      </vt:variant>
      <vt:variant>
        <vt:i4>5</vt:i4>
      </vt:variant>
      <vt:variant>
        <vt:lpwstr/>
      </vt:variant>
      <vt:variant>
        <vt:lpwstr>_Toc328737966</vt:lpwstr>
      </vt:variant>
      <vt:variant>
        <vt:i4>1245233</vt:i4>
      </vt:variant>
      <vt:variant>
        <vt:i4>461</vt:i4>
      </vt:variant>
      <vt:variant>
        <vt:i4>0</vt:i4>
      </vt:variant>
      <vt:variant>
        <vt:i4>5</vt:i4>
      </vt:variant>
      <vt:variant>
        <vt:lpwstr/>
      </vt:variant>
      <vt:variant>
        <vt:lpwstr>_Toc328737965</vt:lpwstr>
      </vt:variant>
      <vt:variant>
        <vt:i4>1245233</vt:i4>
      </vt:variant>
      <vt:variant>
        <vt:i4>455</vt:i4>
      </vt:variant>
      <vt:variant>
        <vt:i4>0</vt:i4>
      </vt:variant>
      <vt:variant>
        <vt:i4>5</vt:i4>
      </vt:variant>
      <vt:variant>
        <vt:lpwstr/>
      </vt:variant>
      <vt:variant>
        <vt:lpwstr>_Toc328737964</vt:lpwstr>
      </vt:variant>
      <vt:variant>
        <vt:i4>1245233</vt:i4>
      </vt:variant>
      <vt:variant>
        <vt:i4>449</vt:i4>
      </vt:variant>
      <vt:variant>
        <vt:i4>0</vt:i4>
      </vt:variant>
      <vt:variant>
        <vt:i4>5</vt:i4>
      </vt:variant>
      <vt:variant>
        <vt:lpwstr/>
      </vt:variant>
      <vt:variant>
        <vt:lpwstr>_Toc328737963</vt:lpwstr>
      </vt:variant>
      <vt:variant>
        <vt:i4>1245233</vt:i4>
      </vt:variant>
      <vt:variant>
        <vt:i4>443</vt:i4>
      </vt:variant>
      <vt:variant>
        <vt:i4>0</vt:i4>
      </vt:variant>
      <vt:variant>
        <vt:i4>5</vt:i4>
      </vt:variant>
      <vt:variant>
        <vt:lpwstr/>
      </vt:variant>
      <vt:variant>
        <vt:lpwstr>_Toc328737962</vt:lpwstr>
      </vt:variant>
      <vt:variant>
        <vt:i4>1245233</vt:i4>
      </vt:variant>
      <vt:variant>
        <vt:i4>437</vt:i4>
      </vt:variant>
      <vt:variant>
        <vt:i4>0</vt:i4>
      </vt:variant>
      <vt:variant>
        <vt:i4>5</vt:i4>
      </vt:variant>
      <vt:variant>
        <vt:lpwstr/>
      </vt:variant>
      <vt:variant>
        <vt:lpwstr>_Toc328737961</vt:lpwstr>
      </vt:variant>
      <vt:variant>
        <vt:i4>1245233</vt:i4>
      </vt:variant>
      <vt:variant>
        <vt:i4>431</vt:i4>
      </vt:variant>
      <vt:variant>
        <vt:i4>0</vt:i4>
      </vt:variant>
      <vt:variant>
        <vt:i4>5</vt:i4>
      </vt:variant>
      <vt:variant>
        <vt:lpwstr/>
      </vt:variant>
      <vt:variant>
        <vt:lpwstr>_Toc328737960</vt:lpwstr>
      </vt:variant>
      <vt:variant>
        <vt:i4>1048625</vt:i4>
      </vt:variant>
      <vt:variant>
        <vt:i4>425</vt:i4>
      </vt:variant>
      <vt:variant>
        <vt:i4>0</vt:i4>
      </vt:variant>
      <vt:variant>
        <vt:i4>5</vt:i4>
      </vt:variant>
      <vt:variant>
        <vt:lpwstr/>
      </vt:variant>
      <vt:variant>
        <vt:lpwstr>_Toc328737959</vt:lpwstr>
      </vt:variant>
      <vt:variant>
        <vt:i4>1048625</vt:i4>
      </vt:variant>
      <vt:variant>
        <vt:i4>419</vt:i4>
      </vt:variant>
      <vt:variant>
        <vt:i4>0</vt:i4>
      </vt:variant>
      <vt:variant>
        <vt:i4>5</vt:i4>
      </vt:variant>
      <vt:variant>
        <vt:lpwstr/>
      </vt:variant>
      <vt:variant>
        <vt:lpwstr>_Toc328737958</vt:lpwstr>
      </vt:variant>
      <vt:variant>
        <vt:i4>1048625</vt:i4>
      </vt:variant>
      <vt:variant>
        <vt:i4>413</vt:i4>
      </vt:variant>
      <vt:variant>
        <vt:i4>0</vt:i4>
      </vt:variant>
      <vt:variant>
        <vt:i4>5</vt:i4>
      </vt:variant>
      <vt:variant>
        <vt:lpwstr/>
      </vt:variant>
      <vt:variant>
        <vt:lpwstr>_Toc328737957</vt:lpwstr>
      </vt:variant>
      <vt:variant>
        <vt:i4>1179703</vt:i4>
      </vt:variant>
      <vt:variant>
        <vt:i4>404</vt:i4>
      </vt:variant>
      <vt:variant>
        <vt:i4>0</vt:i4>
      </vt:variant>
      <vt:variant>
        <vt:i4>5</vt:i4>
      </vt:variant>
      <vt:variant>
        <vt:lpwstr/>
      </vt:variant>
      <vt:variant>
        <vt:lpwstr>_Toc328750906</vt:lpwstr>
      </vt:variant>
      <vt:variant>
        <vt:i4>1179703</vt:i4>
      </vt:variant>
      <vt:variant>
        <vt:i4>398</vt:i4>
      </vt:variant>
      <vt:variant>
        <vt:i4>0</vt:i4>
      </vt:variant>
      <vt:variant>
        <vt:i4>5</vt:i4>
      </vt:variant>
      <vt:variant>
        <vt:lpwstr/>
      </vt:variant>
      <vt:variant>
        <vt:lpwstr>_Toc328750905</vt:lpwstr>
      </vt:variant>
      <vt:variant>
        <vt:i4>1179703</vt:i4>
      </vt:variant>
      <vt:variant>
        <vt:i4>392</vt:i4>
      </vt:variant>
      <vt:variant>
        <vt:i4>0</vt:i4>
      </vt:variant>
      <vt:variant>
        <vt:i4>5</vt:i4>
      </vt:variant>
      <vt:variant>
        <vt:lpwstr/>
      </vt:variant>
      <vt:variant>
        <vt:lpwstr>_Toc328750904</vt:lpwstr>
      </vt:variant>
      <vt:variant>
        <vt:i4>1179703</vt:i4>
      </vt:variant>
      <vt:variant>
        <vt:i4>386</vt:i4>
      </vt:variant>
      <vt:variant>
        <vt:i4>0</vt:i4>
      </vt:variant>
      <vt:variant>
        <vt:i4>5</vt:i4>
      </vt:variant>
      <vt:variant>
        <vt:lpwstr/>
      </vt:variant>
      <vt:variant>
        <vt:lpwstr>_Toc328750903</vt:lpwstr>
      </vt:variant>
      <vt:variant>
        <vt:i4>1179703</vt:i4>
      </vt:variant>
      <vt:variant>
        <vt:i4>380</vt:i4>
      </vt:variant>
      <vt:variant>
        <vt:i4>0</vt:i4>
      </vt:variant>
      <vt:variant>
        <vt:i4>5</vt:i4>
      </vt:variant>
      <vt:variant>
        <vt:lpwstr/>
      </vt:variant>
      <vt:variant>
        <vt:lpwstr>_Toc328750902</vt:lpwstr>
      </vt:variant>
      <vt:variant>
        <vt:i4>1179703</vt:i4>
      </vt:variant>
      <vt:variant>
        <vt:i4>374</vt:i4>
      </vt:variant>
      <vt:variant>
        <vt:i4>0</vt:i4>
      </vt:variant>
      <vt:variant>
        <vt:i4>5</vt:i4>
      </vt:variant>
      <vt:variant>
        <vt:lpwstr/>
      </vt:variant>
      <vt:variant>
        <vt:lpwstr>_Toc328750901</vt:lpwstr>
      </vt:variant>
      <vt:variant>
        <vt:i4>1179703</vt:i4>
      </vt:variant>
      <vt:variant>
        <vt:i4>368</vt:i4>
      </vt:variant>
      <vt:variant>
        <vt:i4>0</vt:i4>
      </vt:variant>
      <vt:variant>
        <vt:i4>5</vt:i4>
      </vt:variant>
      <vt:variant>
        <vt:lpwstr/>
      </vt:variant>
      <vt:variant>
        <vt:lpwstr>_Toc328750900</vt:lpwstr>
      </vt:variant>
      <vt:variant>
        <vt:i4>1769526</vt:i4>
      </vt:variant>
      <vt:variant>
        <vt:i4>362</vt:i4>
      </vt:variant>
      <vt:variant>
        <vt:i4>0</vt:i4>
      </vt:variant>
      <vt:variant>
        <vt:i4>5</vt:i4>
      </vt:variant>
      <vt:variant>
        <vt:lpwstr/>
      </vt:variant>
      <vt:variant>
        <vt:lpwstr>_Toc328750899</vt:lpwstr>
      </vt:variant>
      <vt:variant>
        <vt:i4>1769526</vt:i4>
      </vt:variant>
      <vt:variant>
        <vt:i4>356</vt:i4>
      </vt:variant>
      <vt:variant>
        <vt:i4>0</vt:i4>
      </vt:variant>
      <vt:variant>
        <vt:i4>5</vt:i4>
      </vt:variant>
      <vt:variant>
        <vt:lpwstr/>
      </vt:variant>
      <vt:variant>
        <vt:lpwstr>_Toc328750898</vt:lpwstr>
      </vt:variant>
      <vt:variant>
        <vt:i4>1769526</vt:i4>
      </vt:variant>
      <vt:variant>
        <vt:i4>350</vt:i4>
      </vt:variant>
      <vt:variant>
        <vt:i4>0</vt:i4>
      </vt:variant>
      <vt:variant>
        <vt:i4>5</vt:i4>
      </vt:variant>
      <vt:variant>
        <vt:lpwstr/>
      </vt:variant>
      <vt:variant>
        <vt:lpwstr>_Toc328750897</vt:lpwstr>
      </vt:variant>
      <vt:variant>
        <vt:i4>1769526</vt:i4>
      </vt:variant>
      <vt:variant>
        <vt:i4>344</vt:i4>
      </vt:variant>
      <vt:variant>
        <vt:i4>0</vt:i4>
      </vt:variant>
      <vt:variant>
        <vt:i4>5</vt:i4>
      </vt:variant>
      <vt:variant>
        <vt:lpwstr/>
      </vt:variant>
      <vt:variant>
        <vt:lpwstr>_Toc328750896</vt:lpwstr>
      </vt:variant>
      <vt:variant>
        <vt:i4>1769526</vt:i4>
      </vt:variant>
      <vt:variant>
        <vt:i4>338</vt:i4>
      </vt:variant>
      <vt:variant>
        <vt:i4>0</vt:i4>
      </vt:variant>
      <vt:variant>
        <vt:i4>5</vt:i4>
      </vt:variant>
      <vt:variant>
        <vt:lpwstr/>
      </vt:variant>
      <vt:variant>
        <vt:lpwstr>_Toc328750895</vt:lpwstr>
      </vt:variant>
      <vt:variant>
        <vt:i4>1769526</vt:i4>
      </vt:variant>
      <vt:variant>
        <vt:i4>332</vt:i4>
      </vt:variant>
      <vt:variant>
        <vt:i4>0</vt:i4>
      </vt:variant>
      <vt:variant>
        <vt:i4>5</vt:i4>
      </vt:variant>
      <vt:variant>
        <vt:lpwstr/>
      </vt:variant>
      <vt:variant>
        <vt:lpwstr>_Toc328750894</vt:lpwstr>
      </vt:variant>
      <vt:variant>
        <vt:i4>1769526</vt:i4>
      </vt:variant>
      <vt:variant>
        <vt:i4>326</vt:i4>
      </vt:variant>
      <vt:variant>
        <vt:i4>0</vt:i4>
      </vt:variant>
      <vt:variant>
        <vt:i4>5</vt:i4>
      </vt:variant>
      <vt:variant>
        <vt:lpwstr/>
      </vt:variant>
      <vt:variant>
        <vt:lpwstr>_Toc328750893</vt:lpwstr>
      </vt:variant>
      <vt:variant>
        <vt:i4>1769526</vt:i4>
      </vt:variant>
      <vt:variant>
        <vt:i4>320</vt:i4>
      </vt:variant>
      <vt:variant>
        <vt:i4>0</vt:i4>
      </vt:variant>
      <vt:variant>
        <vt:i4>5</vt:i4>
      </vt:variant>
      <vt:variant>
        <vt:lpwstr/>
      </vt:variant>
      <vt:variant>
        <vt:lpwstr>_Toc328750892</vt:lpwstr>
      </vt:variant>
      <vt:variant>
        <vt:i4>1769526</vt:i4>
      </vt:variant>
      <vt:variant>
        <vt:i4>314</vt:i4>
      </vt:variant>
      <vt:variant>
        <vt:i4>0</vt:i4>
      </vt:variant>
      <vt:variant>
        <vt:i4>5</vt:i4>
      </vt:variant>
      <vt:variant>
        <vt:lpwstr/>
      </vt:variant>
      <vt:variant>
        <vt:lpwstr>_Toc328750891</vt:lpwstr>
      </vt:variant>
      <vt:variant>
        <vt:i4>1769526</vt:i4>
      </vt:variant>
      <vt:variant>
        <vt:i4>308</vt:i4>
      </vt:variant>
      <vt:variant>
        <vt:i4>0</vt:i4>
      </vt:variant>
      <vt:variant>
        <vt:i4>5</vt:i4>
      </vt:variant>
      <vt:variant>
        <vt:lpwstr/>
      </vt:variant>
      <vt:variant>
        <vt:lpwstr>_Toc328750890</vt:lpwstr>
      </vt:variant>
      <vt:variant>
        <vt:i4>1703990</vt:i4>
      </vt:variant>
      <vt:variant>
        <vt:i4>302</vt:i4>
      </vt:variant>
      <vt:variant>
        <vt:i4>0</vt:i4>
      </vt:variant>
      <vt:variant>
        <vt:i4>5</vt:i4>
      </vt:variant>
      <vt:variant>
        <vt:lpwstr/>
      </vt:variant>
      <vt:variant>
        <vt:lpwstr>_Toc328750889</vt:lpwstr>
      </vt:variant>
      <vt:variant>
        <vt:i4>1703990</vt:i4>
      </vt:variant>
      <vt:variant>
        <vt:i4>296</vt:i4>
      </vt:variant>
      <vt:variant>
        <vt:i4>0</vt:i4>
      </vt:variant>
      <vt:variant>
        <vt:i4>5</vt:i4>
      </vt:variant>
      <vt:variant>
        <vt:lpwstr/>
      </vt:variant>
      <vt:variant>
        <vt:lpwstr>_Toc328750888</vt:lpwstr>
      </vt:variant>
      <vt:variant>
        <vt:i4>1703990</vt:i4>
      </vt:variant>
      <vt:variant>
        <vt:i4>290</vt:i4>
      </vt:variant>
      <vt:variant>
        <vt:i4>0</vt:i4>
      </vt:variant>
      <vt:variant>
        <vt:i4>5</vt:i4>
      </vt:variant>
      <vt:variant>
        <vt:lpwstr/>
      </vt:variant>
      <vt:variant>
        <vt:lpwstr>_Toc328750887</vt:lpwstr>
      </vt:variant>
      <vt:variant>
        <vt:i4>1703990</vt:i4>
      </vt:variant>
      <vt:variant>
        <vt:i4>284</vt:i4>
      </vt:variant>
      <vt:variant>
        <vt:i4>0</vt:i4>
      </vt:variant>
      <vt:variant>
        <vt:i4>5</vt:i4>
      </vt:variant>
      <vt:variant>
        <vt:lpwstr/>
      </vt:variant>
      <vt:variant>
        <vt:lpwstr>_Toc328750886</vt:lpwstr>
      </vt:variant>
      <vt:variant>
        <vt:i4>1703990</vt:i4>
      </vt:variant>
      <vt:variant>
        <vt:i4>278</vt:i4>
      </vt:variant>
      <vt:variant>
        <vt:i4>0</vt:i4>
      </vt:variant>
      <vt:variant>
        <vt:i4>5</vt:i4>
      </vt:variant>
      <vt:variant>
        <vt:lpwstr/>
      </vt:variant>
      <vt:variant>
        <vt:lpwstr>_Toc328750885</vt:lpwstr>
      </vt:variant>
      <vt:variant>
        <vt:i4>1703990</vt:i4>
      </vt:variant>
      <vt:variant>
        <vt:i4>272</vt:i4>
      </vt:variant>
      <vt:variant>
        <vt:i4>0</vt:i4>
      </vt:variant>
      <vt:variant>
        <vt:i4>5</vt:i4>
      </vt:variant>
      <vt:variant>
        <vt:lpwstr/>
      </vt:variant>
      <vt:variant>
        <vt:lpwstr>_Toc328750884</vt:lpwstr>
      </vt:variant>
      <vt:variant>
        <vt:i4>1703990</vt:i4>
      </vt:variant>
      <vt:variant>
        <vt:i4>266</vt:i4>
      </vt:variant>
      <vt:variant>
        <vt:i4>0</vt:i4>
      </vt:variant>
      <vt:variant>
        <vt:i4>5</vt:i4>
      </vt:variant>
      <vt:variant>
        <vt:lpwstr/>
      </vt:variant>
      <vt:variant>
        <vt:lpwstr>_Toc328750883</vt:lpwstr>
      </vt:variant>
      <vt:variant>
        <vt:i4>1703990</vt:i4>
      </vt:variant>
      <vt:variant>
        <vt:i4>260</vt:i4>
      </vt:variant>
      <vt:variant>
        <vt:i4>0</vt:i4>
      </vt:variant>
      <vt:variant>
        <vt:i4>5</vt:i4>
      </vt:variant>
      <vt:variant>
        <vt:lpwstr/>
      </vt:variant>
      <vt:variant>
        <vt:lpwstr>_Toc328750882</vt:lpwstr>
      </vt:variant>
      <vt:variant>
        <vt:i4>1703990</vt:i4>
      </vt:variant>
      <vt:variant>
        <vt:i4>254</vt:i4>
      </vt:variant>
      <vt:variant>
        <vt:i4>0</vt:i4>
      </vt:variant>
      <vt:variant>
        <vt:i4>5</vt:i4>
      </vt:variant>
      <vt:variant>
        <vt:lpwstr/>
      </vt:variant>
      <vt:variant>
        <vt:lpwstr>_Toc328750881</vt:lpwstr>
      </vt:variant>
      <vt:variant>
        <vt:i4>1703990</vt:i4>
      </vt:variant>
      <vt:variant>
        <vt:i4>248</vt:i4>
      </vt:variant>
      <vt:variant>
        <vt:i4>0</vt:i4>
      </vt:variant>
      <vt:variant>
        <vt:i4>5</vt:i4>
      </vt:variant>
      <vt:variant>
        <vt:lpwstr/>
      </vt:variant>
      <vt:variant>
        <vt:lpwstr>_Toc328750880</vt:lpwstr>
      </vt:variant>
      <vt:variant>
        <vt:i4>1376310</vt:i4>
      </vt:variant>
      <vt:variant>
        <vt:i4>242</vt:i4>
      </vt:variant>
      <vt:variant>
        <vt:i4>0</vt:i4>
      </vt:variant>
      <vt:variant>
        <vt:i4>5</vt:i4>
      </vt:variant>
      <vt:variant>
        <vt:lpwstr/>
      </vt:variant>
      <vt:variant>
        <vt:lpwstr>_Toc328750879</vt:lpwstr>
      </vt:variant>
      <vt:variant>
        <vt:i4>1376310</vt:i4>
      </vt:variant>
      <vt:variant>
        <vt:i4>236</vt:i4>
      </vt:variant>
      <vt:variant>
        <vt:i4>0</vt:i4>
      </vt:variant>
      <vt:variant>
        <vt:i4>5</vt:i4>
      </vt:variant>
      <vt:variant>
        <vt:lpwstr/>
      </vt:variant>
      <vt:variant>
        <vt:lpwstr>_Toc328750878</vt:lpwstr>
      </vt:variant>
      <vt:variant>
        <vt:i4>1376310</vt:i4>
      </vt:variant>
      <vt:variant>
        <vt:i4>230</vt:i4>
      </vt:variant>
      <vt:variant>
        <vt:i4>0</vt:i4>
      </vt:variant>
      <vt:variant>
        <vt:i4>5</vt:i4>
      </vt:variant>
      <vt:variant>
        <vt:lpwstr/>
      </vt:variant>
      <vt:variant>
        <vt:lpwstr>_Toc328750877</vt:lpwstr>
      </vt:variant>
      <vt:variant>
        <vt:i4>1376310</vt:i4>
      </vt:variant>
      <vt:variant>
        <vt:i4>224</vt:i4>
      </vt:variant>
      <vt:variant>
        <vt:i4>0</vt:i4>
      </vt:variant>
      <vt:variant>
        <vt:i4>5</vt:i4>
      </vt:variant>
      <vt:variant>
        <vt:lpwstr/>
      </vt:variant>
      <vt:variant>
        <vt:lpwstr>_Toc328750876</vt:lpwstr>
      </vt:variant>
      <vt:variant>
        <vt:i4>1376310</vt:i4>
      </vt:variant>
      <vt:variant>
        <vt:i4>218</vt:i4>
      </vt:variant>
      <vt:variant>
        <vt:i4>0</vt:i4>
      </vt:variant>
      <vt:variant>
        <vt:i4>5</vt:i4>
      </vt:variant>
      <vt:variant>
        <vt:lpwstr/>
      </vt:variant>
      <vt:variant>
        <vt:lpwstr>_Toc328750875</vt:lpwstr>
      </vt:variant>
      <vt:variant>
        <vt:i4>1376310</vt:i4>
      </vt:variant>
      <vt:variant>
        <vt:i4>212</vt:i4>
      </vt:variant>
      <vt:variant>
        <vt:i4>0</vt:i4>
      </vt:variant>
      <vt:variant>
        <vt:i4>5</vt:i4>
      </vt:variant>
      <vt:variant>
        <vt:lpwstr/>
      </vt:variant>
      <vt:variant>
        <vt:lpwstr>_Toc328750874</vt:lpwstr>
      </vt:variant>
      <vt:variant>
        <vt:i4>1376310</vt:i4>
      </vt:variant>
      <vt:variant>
        <vt:i4>206</vt:i4>
      </vt:variant>
      <vt:variant>
        <vt:i4>0</vt:i4>
      </vt:variant>
      <vt:variant>
        <vt:i4>5</vt:i4>
      </vt:variant>
      <vt:variant>
        <vt:lpwstr/>
      </vt:variant>
      <vt:variant>
        <vt:lpwstr>_Toc328750873</vt:lpwstr>
      </vt:variant>
      <vt:variant>
        <vt:i4>1376310</vt:i4>
      </vt:variant>
      <vt:variant>
        <vt:i4>200</vt:i4>
      </vt:variant>
      <vt:variant>
        <vt:i4>0</vt:i4>
      </vt:variant>
      <vt:variant>
        <vt:i4>5</vt:i4>
      </vt:variant>
      <vt:variant>
        <vt:lpwstr/>
      </vt:variant>
      <vt:variant>
        <vt:lpwstr>_Toc328750872</vt:lpwstr>
      </vt:variant>
      <vt:variant>
        <vt:i4>1376310</vt:i4>
      </vt:variant>
      <vt:variant>
        <vt:i4>194</vt:i4>
      </vt:variant>
      <vt:variant>
        <vt:i4>0</vt:i4>
      </vt:variant>
      <vt:variant>
        <vt:i4>5</vt:i4>
      </vt:variant>
      <vt:variant>
        <vt:lpwstr/>
      </vt:variant>
      <vt:variant>
        <vt:lpwstr>_Toc328750871</vt:lpwstr>
      </vt:variant>
      <vt:variant>
        <vt:i4>1376310</vt:i4>
      </vt:variant>
      <vt:variant>
        <vt:i4>188</vt:i4>
      </vt:variant>
      <vt:variant>
        <vt:i4>0</vt:i4>
      </vt:variant>
      <vt:variant>
        <vt:i4>5</vt:i4>
      </vt:variant>
      <vt:variant>
        <vt:lpwstr/>
      </vt:variant>
      <vt:variant>
        <vt:lpwstr>_Toc328750870</vt:lpwstr>
      </vt:variant>
      <vt:variant>
        <vt:i4>1310774</vt:i4>
      </vt:variant>
      <vt:variant>
        <vt:i4>182</vt:i4>
      </vt:variant>
      <vt:variant>
        <vt:i4>0</vt:i4>
      </vt:variant>
      <vt:variant>
        <vt:i4>5</vt:i4>
      </vt:variant>
      <vt:variant>
        <vt:lpwstr/>
      </vt:variant>
      <vt:variant>
        <vt:lpwstr>_Toc328750869</vt:lpwstr>
      </vt:variant>
      <vt:variant>
        <vt:i4>1310774</vt:i4>
      </vt:variant>
      <vt:variant>
        <vt:i4>176</vt:i4>
      </vt:variant>
      <vt:variant>
        <vt:i4>0</vt:i4>
      </vt:variant>
      <vt:variant>
        <vt:i4>5</vt:i4>
      </vt:variant>
      <vt:variant>
        <vt:lpwstr/>
      </vt:variant>
      <vt:variant>
        <vt:lpwstr>_Toc328750868</vt:lpwstr>
      </vt:variant>
      <vt:variant>
        <vt:i4>1310774</vt:i4>
      </vt:variant>
      <vt:variant>
        <vt:i4>170</vt:i4>
      </vt:variant>
      <vt:variant>
        <vt:i4>0</vt:i4>
      </vt:variant>
      <vt:variant>
        <vt:i4>5</vt:i4>
      </vt:variant>
      <vt:variant>
        <vt:lpwstr/>
      </vt:variant>
      <vt:variant>
        <vt:lpwstr>_Toc328750867</vt:lpwstr>
      </vt:variant>
      <vt:variant>
        <vt:i4>1310774</vt:i4>
      </vt:variant>
      <vt:variant>
        <vt:i4>164</vt:i4>
      </vt:variant>
      <vt:variant>
        <vt:i4>0</vt:i4>
      </vt:variant>
      <vt:variant>
        <vt:i4>5</vt:i4>
      </vt:variant>
      <vt:variant>
        <vt:lpwstr/>
      </vt:variant>
      <vt:variant>
        <vt:lpwstr>_Toc328750866</vt:lpwstr>
      </vt:variant>
      <vt:variant>
        <vt:i4>1310774</vt:i4>
      </vt:variant>
      <vt:variant>
        <vt:i4>158</vt:i4>
      </vt:variant>
      <vt:variant>
        <vt:i4>0</vt:i4>
      </vt:variant>
      <vt:variant>
        <vt:i4>5</vt:i4>
      </vt:variant>
      <vt:variant>
        <vt:lpwstr/>
      </vt:variant>
      <vt:variant>
        <vt:lpwstr>_Toc328750865</vt:lpwstr>
      </vt:variant>
      <vt:variant>
        <vt:i4>1310774</vt:i4>
      </vt:variant>
      <vt:variant>
        <vt:i4>152</vt:i4>
      </vt:variant>
      <vt:variant>
        <vt:i4>0</vt:i4>
      </vt:variant>
      <vt:variant>
        <vt:i4>5</vt:i4>
      </vt:variant>
      <vt:variant>
        <vt:lpwstr/>
      </vt:variant>
      <vt:variant>
        <vt:lpwstr>_Toc328750864</vt:lpwstr>
      </vt:variant>
      <vt:variant>
        <vt:i4>1310774</vt:i4>
      </vt:variant>
      <vt:variant>
        <vt:i4>146</vt:i4>
      </vt:variant>
      <vt:variant>
        <vt:i4>0</vt:i4>
      </vt:variant>
      <vt:variant>
        <vt:i4>5</vt:i4>
      </vt:variant>
      <vt:variant>
        <vt:lpwstr/>
      </vt:variant>
      <vt:variant>
        <vt:lpwstr>_Toc328750863</vt:lpwstr>
      </vt:variant>
      <vt:variant>
        <vt:i4>1310774</vt:i4>
      </vt:variant>
      <vt:variant>
        <vt:i4>140</vt:i4>
      </vt:variant>
      <vt:variant>
        <vt:i4>0</vt:i4>
      </vt:variant>
      <vt:variant>
        <vt:i4>5</vt:i4>
      </vt:variant>
      <vt:variant>
        <vt:lpwstr/>
      </vt:variant>
      <vt:variant>
        <vt:lpwstr>_Toc328750862</vt:lpwstr>
      </vt:variant>
      <vt:variant>
        <vt:i4>1310774</vt:i4>
      </vt:variant>
      <vt:variant>
        <vt:i4>134</vt:i4>
      </vt:variant>
      <vt:variant>
        <vt:i4>0</vt:i4>
      </vt:variant>
      <vt:variant>
        <vt:i4>5</vt:i4>
      </vt:variant>
      <vt:variant>
        <vt:lpwstr/>
      </vt:variant>
      <vt:variant>
        <vt:lpwstr>_Toc328750861</vt:lpwstr>
      </vt:variant>
      <vt:variant>
        <vt:i4>1310774</vt:i4>
      </vt:variant>
      <vt:variant>
        <vt:i4>128</vt:i4>
      </vt:variant>
      <vt:variant>
        <vt:i4>0</vt:i4>
      </vt:variant>
      <vt:variant>
        <vt:i4>5</vt:i4>
      </vt:variant>
      <vt:variant>
        <vt:lpwstr/>
      </vt:variant>
      <vt:variant>
        <vt:lpwstr>_Toc328750860</vt:lpwstr>
      </vt:variant>
      <vt:variant>
        <vt:i4>1507382</vt:i4>
      </vt:variant>
      <vt:variant>
        <vt:i4>122</vt:i4>
      </vt:variant>
      <vt:variant>
        <vt:i4>0</vt:i4>
      </vt:variant>
      <vt:variant>
        <vt:i4>5</vt:i4>
      </vt:variant>
      <vt:variant>
        <vt:lpwstr/>
      </vt:variant>
      <vt:variant>
        <vt:lpwstr>_Toc328750859</vt:lpwstr>
      </vt:variant>
      <vt:variant>
        <vt:i4>1507382</vt:i4>
      </vt:variant>
      <vt:variant>
        <vt:i4>116</vt:i4>
      </vt:variant>
      <vt:variant>
        <vt:i4>0</vt:i4>
      </vt:variant>
      <vt:variant>
        <vt:i4>5</vt:i4>
      </vt:variant>
      <vt:variant>
        <vt:lpwstr/>
      </vt:variant>
      <vt:variant>
        <vt:lpwstr>_Toc328750858</vt:lpwstr>
      </vt:variant>
      <vt:variant>
        <vt:i4>1507382</vt:i4>
      </vt:variant>
      <vt:variant>
        <vt:i4>110</vt:i4>
      </vt:variant>
      <vt:variant>
        <vt:i4>0</vt:i4>
      </vt:variant>
      <vt:variant>
        <vt:i4>5</vt:i4>
      </vt:variant>
      <vt:variant>
        <vt:lpwstr/>
      </vt:variant>
      <vt:variant>
        <vt:lpwstr>_Toc328750857</vt:lpwstr>
      </vt:variant>
      <vt:variant>
        <vt:i4>1507382</vt:i4>
      </vt:variant>
      <vt:variant>
        <vt:i4>104</vt:i4>
      </vt:variant>
      <vt:variant>
        <vt:i4>0</vt:i4>
      </vt:variant>
      <vt:variant>
        <vt:i4>5</vt:i4>
      </vt:variant>
      <vt:variant>
        <vt:lpwstr/>
      </vt:variant>
      <vt:variant>
        <vt:lpwstr>_Toc328750856</vt:lpwstr>
      </vt:variant>
      <vt:variant>
        <vt:i4>1507382</vt:i4>
      </vt:variant>
      <vt:variant>
        <vt:i4>98</vt:i4>
      </vt:variant>
      <vt:variant>
        <vt:i4>0</vt:i4>
      </vt:variant>
      <vt:variant>
        <vt:i4>5</vt:i4>
      </vt:variant>
      <vt:variant>
        <vt:lpwstr/>
      </vt:variant>
      <vt:variant>
        <vt:lpwstr>_Toc328750855</vt:lpwstr>
      </vt:variant>
      <vt:variant>
        <vt:i4>1507382</vt:i4>
      </vt:variant>
      <vt:variant>
        <vt:i4>92</vt:i4>
      </vt:variant>
      <vt:variant>
        <vt:i4>0</vt:i4>
      </vt:variant>
      <vt:variant>
        <vt:i4>5</vt:i4>
      </vt:variant>
      <vt:variant>
        <vt:lpwstr/>
      </vt:variant>
      <vt:variant>
        <vt:lpwstr>_Toc328750854</vt:lpwstr>
      </vt:variant>
      <vt:variant>
        <vt:i4>1507382</vt:i4>
      </vt:variant>
      <vt:variant>
        <vt:i4>86</vt:i4>
      </vt:variant>
      <vt:variant>
        <vt:i4>0</vt:i4>
      </vt:variant>
      <vt:variant>
        <vt:i4>5</vt:i4>
      </vt:variant>
      <vt:variant>
        <vt:lpwstr/>
      </vt:variant>
      <vt:variant>
        <vt:lpwstr>_Toc328750853</vt:lpwstr>
      </vt:variant>
      <vt:variant>
        <vt:i4>1507382</vt:i4>
      </vt:variant>
      <vt:variant>
        <vt:i4>80</vt:i4>
      </vt:variant>
      <vt:variant>
        <vt:i4>0</vt:i4>
      </vt:variant>
      <vt:variant>
        <vt:i4>5</vt:i4>
      </vt:variant>
      <vt:variant>
        <vt:lpwstr/>
      </vt:variant>
      <vt:variant>
        <vt:lpwstr>_Toc328750852</vt:lpwstr>
      </vt:variant>
      <vt:variant>
        <vt:i4>1507382</vt:i4>
      </vt:variant>
      <vt:variant>
        <vt:i4>74</vt:i4>
      </vt:variant>
      <vt:variant>
        <vt:i4>0</vt:i4>
      </vt:variant>
      <vt:variant>
        <vt:i4>5</vt:i4>
      </vt:variant>
      <vt:variant>
        <vt:lpwstr/>
      </vt:variant>
      <vt:variant>
        <vt:lpwstr>_Toc328750851</vt:lpwstr>
      </vt:variant>
      <vt:variant>
        <vt:i4>1507382</vt:i4>
      </vt:variant>
      <vt:variant>
        <vt:i4>68</vt:i4>
      </vt:variant>
      <vt:variant>
        <vt:i4>0</vt:i4>
      </vt:variant>
      <vt:variant>
        <vt:i4>5</vt:i4>
      </vt:variant>
      <vt:variant>
        <vt:lpwstr/>
      </vt:variant>
      <vt:variant>
        <vt:lpwstr>_Toc328750850</vt:lpwstr>
      </vt:variant>
      <vt:variant>
        <vt:i4>1441846</vt:i4>
      </vt:variant>
      <vt:variant>
        <vt:i4>62</vt:i4>
      </vt:variant>
      <vt:variant>
        <vt:i4>0</vt:i4>
      </vt:variant>
      <vt:variant>
        <vt:i4>5</vt:i4>
      </vt:variant>
      <vt:variant>
        <vt:lpwstr/>
      </vt:variant>
      <vt:variant>
        <vt:lpwstr>_Toc328750849</vt:lpwstr>
      </vt:variant>
      <vt:variant>
        <vt:i4>1441846</vt:i4>
      </vt:variant>
      <vt:variant>
        <vt:i4>56</vt:i4>
      </vt:variant>
      <vt:variant>
        <vt:i4>0</vt:i4>
      </vt:variant>
      <vt:variant>
        <vt:i4>5</vt:i4>
      </vt:variant>
      <vt:variant>
        <vt:lpwstr/>
      </vt:variant>
      <vt:variant>
        <vt:lpwstr>_Toc328750848</vt:lpwstr>
      </vt:variant>
      <vt:variant>
        <vt:i4>1441846</vt:i4>
      </vt:variant>
      <vt:variant>
        <vt:i4>50</vt:i4>
      </vt:variant>
      <vt:variant>
        <vt:i4>0</vt:i4>
      </vt:variant>
      <vt:variant>
        <vt:i4>5</vt:i4>
      </vt:variant>
      <vt:variant>
        <vt:lpwstr/>
      </vt:variant>
      <vt:variant>
        <vt:lpwstr>_Toc328750847</vt:lpwstr>
      </vt:variant>
      <vt:variant>
        <vt:i4>1441846</vt:i4>
      </vt:variant>
      <vt:variant>
        <vt:i4>44</vt:i4>
      </vt:variant>
      <vt:variant>
        <vt:i4>0</vt:i4>
      </vt:variant>
      <vt:variant>
        <vt:i4>5</vt:i4>
      </vt:variant>
      <vt:variant>
        <vt:lpwstr/>
      </vt:variant>
      <vt:variant>
        <vt:lpwstr>_Toc328750846</vt:lpwstr>
      </vt:variant>
      <vt:variant>
        <vt:i4>1441846</vt:i4>
      </vt:variant>
      <vt:variant>
        <vt:i4>38</vt:i4>
      </vt:variant>
      <vt:variant>
        <vt:i4>0</vt:i4>
      </vt:variant>
      <vt:variant>
        <vt:i4>5</vt:i4>
      </vt:variant>
      <vt:variant>
        <vt:lpwstr/>
      </vt:variant>
      <vt:variant>
        <vt:lpwstr>_Toc328750845</vt:lpwstr>
      </vt:variant>
      <vt:variant>
        <vt:i4>1441846</vt:i4>
      </vt:variant>
      <vt:variant>
        <vt:i4>32</vt:i4>
      </vt:variant>
      <vt:variant>
        <vt:i4>0</vt:i4>
      </vt:variant>
      <vt:variant>
        <vt:i4>5</vt:i4>
      </vt:variant>
      <vt:variant>
        <vt:lpwstr/>
      </vt:variant>
      <vt:variant>
        <vt:lpwstr>_Toc328750844</vt:lpwstr>
      </vt:variant>
      <vt:variant>
        <vt:i4>1441846</vt:i4>
      </vt:variant>
      <vt:variant>
        <vt:i4>26</vt:i4>
      </vt:variant>
      <vt:variant>
        <vt:i4>0</vt:i4>
      </vt:variant>
      <vt:variant>
        <vt:i4>5</vt:i4>
      </vt:variant>
      <vt:variant>
        <vt:lpwstr/>
      </vt:variant>
      <vt:variant>
        <vt:lpwstr>_Toc328750843</vt:lpwstr>
      </vt:variant>
      <vt:variant>
        <vt:i4>1441846</vt:i4>
      </vt:variant>
      <vt:variant>
        <vt:i4>20</vt:i4>
      </vt:variant>
      <vt:variant>
        <vt:i4>0</vt:i4>
      </vt:variant>
      <vt:variant>
        <vt:i4>5</vt:i4>
      </vt:variant>
      <vt:variant>
        <vt:lpwstr/>
      </vt:variant>
      <vt:variant>
        <vt:lpwstr>_Toc328750842</vt:lpwstr>
      </vt:variant>
      <vt:variant>
        <vt:i4>1441846</vt:i4>
      </vt:variant>
      <vt:variant>
        <vt:i4>14</vt:i4>
      </vt:variant>
      <vt:variant>
        <vt:i4>0</vt:i4>
      </vt:variant>
      <vt:variant>
        <vt:i4>5</vt:i4>
      </vt:variant>
      <vt:variant>
        <vt:lpwstr/>
      </vt:variant>
      <vt:variant>
        <vt:lpwstr>_Toc328750841</vt:lpwstr>
      </vt:variant>
      <vt:variant>
        <vt:i4>1441846</vt:i4>
      </vt:variant>
      <vt:variant>
        <vt:i4>8</vt:i4>
      </vt:variant>
      <vt:variant>
        <vt:i4>0</vt:i4>
      </vt:variant>
      <vt:variant>
        <vt:i4>5</vt:i4>
      </vt:variant>
      <vt:variant>
        <vt:lpwstr/>
      </vt:variant>
      <vt:variant>
        <vt:lpwstr>_Toc328750840</vt:lpwstr>
      </vt:variant>
      <vt:variant>
        <vt:i4>1114166</vt:i4>
      </vt:variant>
      <vt:variant>
        <vt:i4>2</vt:i4>
      </vt:variant>
      <vt:variant>
        <vt:i4>0</vt:i4>
      </vt:variant>
      <vt:variant>
        <vt:i4>5</vt:i4>
      </vt:variant>
      <vt:variant>
        <vt:lpwstr/>
      </vt:variant>
      <vt:variant>
        <vt:lpwstr>_Toc328750839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Oversight and Monitoring Plan</dc:title>
  <dc:creator>John Rostron</dc:creator>
  <cp:lastModifiedBy>Dewi Nurcahyani</cp:lastModifiedBy>
  <cp:revision>5</cp:revision>
  <cp:lastPrinted>2013-01-04T01:37:00Z</cp:lastPrinted>
  <dcterms:created xsi:type="dcterms:W3CDTF">2013-03-06T04:30:00Z</dcterms:created>
  <dcterms:modified xsi:type="dcterms:W3CDTF">2013-09-09T06:53:00Z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31800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