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97627564"/>
        <w:docPartObj>
          <w:docPartGallery w:val="Cover Pages"/>
          <w:docPartUnique/>
        </w:docPartObj>
      </w:sdtPr>
      <w:sdtEndPr>
        <w:rPr>
          <w:rFonts w:asciiTheme="minorHAnsi" w:hAnsiTheme="minorHAnsi" w:cstheme="minorHAnsi"/>
        </w:rPr>
      </w:sdtEndPr>
      <w:sdtContent>
        <w:bookmarkStart w:id="0" w:name="_GoBack" w:displacedByCustomXml="prev"/>
        <w:bookmarkEnd w:id="0" w:displacedByCustomXml="prev"/>
        <w:p w:rsidR="00033642" w:rsidRDefault="00033642">
          <w:r>
            <w:rPr>
              <w:noProof/>
              <w:lang w:eastAsia="en-AU"/>
            </w:rPr>
            <mc:AlternateContent>
              <mc:Choice Requires="wps">
                <w:drawing>
                  <wp:anchor distT="0" distB="0" distL="114300" distR="114300" simplePos="0" relativeHeight="251717632" behindDoc="0" locked="0" layoutInCell="1" allowOverlap="1" wp14:anchorId="7C38751B" wp14:editId="1CF17BA1">
                    <wp:simplePos x="0" y="0"/>
                    <wp:positionH relativeFrom="page">
                      <wp:posOffset>151130</wp:posOffset>
                    </wp:positionH>
                    <wp:positionV relativeFrom="page">
                      <wp:posOffset>213995</wp:posOffset>
                    </wp:positionV>
                    <wp:extent cx="5216525" cy="10261600"/>
                    <wp:effectExtent l="0" t="0" r="3175" b="381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525" cy="10261600"/>
                            </a:xfrm>
                            <a:prstGeom prst="rect">
                              <a:avLst/>
                            </a:prstGeom>
                            <a:solidFill>
                              <a:srgbClr val="E2C4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6FD1" w:rsidRPr="00B26171" w:rsidRDefault="00926FD1" w:rsidP="00033642">
                                <w:pPr>
                                  <w:pStyle w:val="Title"/>
                                  <w:pBdr>
                                    <w:bottom w:val="none" w:sz="0" w:space="0" w:color="auto"/>
                                  </w:pBdr>
                                  <w:jc w:val="right"/>
                                  <w:rPr>
                                    <w:caps/>
                                    <w:color w:val="4F81BD" w:themeColor="accent1"/>
                                    <w:sz w:val="40"/>
                                    <w:szCs w:val="72"/>
                                  </w:rPr>
                                </w:pPr>
                                <w:r w:rsidRPr="00B26171">
                                  <w:rPr>
                                    <w:caps/>
                                    <w:color w:val="4F81BD" w:themeColor="accent1"/>
                                    <w:sz w:val="40"/>
                                    <w:szCs w:val="72"/>
                                  </w:rPr>
                                  <w:t>Report 1: 2015 ECONOMIC MODELLING OF INTERNATIONAL ACTION UNDER A NEW GLOBAL CLIMATE CHANGE AGREEMENT</w:t>
                                </w:r>
                              </w:p>
                              <w:p w:rsidR="00926FD1" w:rsidRPr="00B26171" w:rsidRDefault="00926FD1" w:rsidP="00033642">
                                <w:pPr>
                                  <w:spacing w:before="240"/>
                                  <w:ind w:left="720"/>
                                  <w:jc w:val="right"/>
                                  <w:rPr>
                                    <w:color w:val="4F81BD" w:themeColor="accent1"/>
                                  </w:rPr>
                                </w:pPr>
                              </w:p>
                              <w:p w:rsidR="00926FD1" w:rsidRPr="00B26171" w:rsidRDefault="00926FD1" w:rsidP="00033642">
                                <w:pPr>
                                  <w:spacing w:before="240"/>
                                  <w:ind w:left="1008"/>
                                  <w:jc w:val="right"/>
                                  <w:rPr>
                                    <w:color w:val="4F81BD" w:themeColor="accent1"/>
                                    <w:sz w:val="28"/>
                                    <w:szCs w:val="21"/>
                                  </w:rPr>
                                </w:pPr>
                                <w:r w:rsidRPr="003568E5">
                                  <w:rPr>
                                    <w:color w:val="4F81BD" w:themeColor="accent1"/>
                                    <w:sz w:val="28"/>
                                    <w:szCs w:val="21"/>
                                  </w:rPr>
                                  <w:t>McKibbin Software Group</w:t>
                                </w:r>
                              </w:p>
                              <w:p w:rsidR="00926FD1" w:rsidRPr="00B26171" w:rsidRDefault="00926FD1" w:rsidP="00033642">
                                <w:pPr>
                                  <w:spacing w:before="240"/>
                                  <w:ind w:left="1008"/>
                                  <w:jc w:val="right"/>
                                  <w:rPr>
                                    <w:b/>
                                    <w:color w:val="4F81BD" w:themeColor="accent1"/>
                                    <w:sz w:val="36"/>
                                  </w:rPr>
                                </w:pPr>
                                <w:r>
                                  <w:rPr>
                                    <w:b/>
                                    <w:color w:val="4F81BD" w:themeColor="accent1"/>
                                    <w:sz w:val="28"/>
                                    <w:szCs w:val="21"/>
                                  </w:rPr>
                                  <w:t>20</w:t>
                                </w:r>
                                <w:r w:rsidRPr="00B26171">
                                  <w:rPr>
                                    <w:b/>
                                    <w:color w:val="4F81BD" w:themeColor="accent1"/>
                                    <w:sz w:val="28"/>
                                    <w:szCs w:val="21"/>
                                  </w:rPr>
                                  <w:t xml:space="preserve"> August 2015</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31" o:spid="_x0000_s1026" style="position:absolute;margin-left:11.9pt;margin-top:16.85pt;width:410.75pt;height:808pt;z-index:251717632;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" fillcolor="#e2c4a6" stroked="f" strokeweight="2pt">
                    <v:path arrowok="t"/>
                    <v:textbox inset="21.6pt,1in,21.6pt">
                      <w:txbxContent>
                        <w:p w:rsidR="00926FD1" w:rsidRPr="00B26171" w:rsidRDefault="00926FD1" w:rsidP="00033642">
                          <w:pPr>
                            <w:pStyle w:val="Title"/>
                            <w:pBdr>
                              <w:bottom w:val="none" w:sz="0" w:space="0" w:color="auto"/>
                            </w:pBdr>
                            <w:jc w:val="right"/>
                            <w:rPr>
                              <w:caps/>
                              <w:color w:val="4F81BD" w:themeColor="accent1"/>
                              <w:sz w:val="40"/>
                              <w:szCs w:val="72"/>
                            </w:rPr>
                          </w:pPr>
                          <w:r w:rsidRPr="00B26171">
                            <w:rPr>
                              <w:caps/>
                              <w:color w:val="4F81BD" w:themeColor="accent1"/>
                              <w:sz w:val="40"/>
                              <w:szCs w:val="72"/>
                            </w:rPr>
                            <w:t>Report 1: 2015 ECONOMIC MODELLING OF INTERNATIONAL ACTION UNDER A NEW GLOBAL CLIMATE CHANGE AGREEMENT</w:t>
                          </w:r>
                        </w:p>
                        <w:p w:rsidR="00926FD1" w:rsidRPr="00B26171" w:rsidRDefault="00926FD1" w:rsidP="00033642">
                          <w:pPr>
                            <w:spacing w:before="240"/>
                            <w:ind w:left="720"/>
                            <w:jc w:val="right"/>
                            <w:rPr>
                              <w:color w:val="4F81BD" w:themeColor="accent1"/>
                            </w:rPr>
                          </w:pPr>
                        </w:p>
                        <w:p w:rsidR="00926FD1" w:rsidRPr="00B26171" w:rsidRDefault="00926FD1" w:rsidP="00033642">
                          <w:pPr>
                            <w:spacing w:before="240"/>
                            <w:ind w:left="1008"/>
                            <w:jc w:val="right"/>
                            <w:rPr>
                              <w:color w:val="4F81BD" w:themeColor="accent1"/>
                              <w:sz w:val="28"/>
                              <w:szCs w:val="21"/>
                            </w:rPr>
                          </w:pPr>
                          <w:r w:rsidRPr="003568E5">
                            <w:rPr>
                              <w:color w:val="4F81BD" w:themeColor="accent1"/>
                              <w:sz w:val="28"/>
                              <w:szCs w:val="21"/>
                            </w:rPr>
                            <w:t>McKibbin Software Group</w:t>
                          </w:r>
                        </w:p>
                        <w:p w:rsidR="00926FD1" w:rsidRPr="00B26171" w:rsidRDefault="00926FD1" w:rsidP="00033642">
                          <w:pPr>
                            <w:spacing w:before="240"/>
                            <w:ind w:left="1008"/>
                            <w:jc w:val="right"/>
                            <w:rPr>
                              <w:b/>
                              <w:color w:val="4F81BD" w:themeColor="accent1"/>
                              <w:sz w:val="36"/>
                            </w:rPr>
                          </w:pPr>
                          <w:r>
                            <w:rPr>
                              <w:b/>
                              <w:color w:val="4F81BD" w:themeColor="accent1"/>
                              <w:sz w:val="28"/>
                              <w:szCs w:val="21"/>
                            </w:rPr>
                            <w:t>20</w:t>
                          </w:r>
                          <w:r w:rsidRPr="00B26171">
                            <w:rPr>
                              <w:b/>
                              <w:color w:val="4F81BD" w:themeColor="accent1"/>
                              <w:sz w:val="28"/>
                              <w:szCs w:val="21"/>
                            </w:rPr>
                            <w:t xml:space="preserve"> August 2015</w:t>
                          </w:r>
                        </w:p>
                      </w:txbxContent>
                    </v:textbox>
                    <w10:wrap anchorx="page" anchory="page"/>
                  </v:rect>
                </w:pict>
              </mc:Fallback>
            </mc:AlternateContent>
          </w:r>
          <w:r>
            <w:rPr>
              <w:noProof/>
              <w:lang w:eastAsia="en-AU"/>
            </w:rPr>
            <mc:AlternateContent>
              <mc:Choice Requires="wps">
                <w:drawing>
                  <wp:anchor distT="0" distB="0" distL="114300" distR="114300" simplePos="0" relativeHeight="251714560" behindDoc="0" locked="0" layoutInCell="1" allowOverlap="1" wp14:anchorId="77209BD6" wp14:editId="39076478">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6FD1" w:rsidRDefault="00926FD1">
                                <w:pPr>
                                  <w:pStyle w:val="Title"/>
                                  <w:pBdr>
                                    <w:bottom w:val="none" w:sz="0" w:space="0" w:color="auto"/>
                                  </w:pBdr>
                                  <w:jc w:val="right"/>
                                  <w:rPr>
                                    <w:caps/>
                                    <w:color w:val="FFFFFF" w:themeColor="background1"/>
                                    <w:sz w:val="72"/>
                                    <w:szCs w:val="72"/>
                                  </w:rPr>
                                </w:pPr>
                                <w:r>
                                  <w:rPr>
                                    <w:caps/>
                                    <w:color w:val="FFFFFF" w:themeColor="background1"/>
                                    <w:sz w:val="40"/>
                                    <w:szCs w:val="40"/>
                                    <w:lang w:val="en-AU"/>
                                  </w:rPr>
                                  <w:t>Report 1: 2015 ECONOMIC MODELLING OF INTERNATIONAL ACTION UNDER A NEW GLOBAL CLIMATE CHANGE AGREEMENT</w:t>
                                </w:r>
                              </w:p>
                              <w:p w:rsidR="00926FD1" w:rsidRDefault="00926FD1">
                                <w:pPr>
                                  <w:spacing w:before="240"/>
                                  <w:ind w:left="720"/>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7" style="position:absolute;margin-left:0;margin-top:0;width:422.3pt;height:760.3pt;z-index:25171456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7GTmgIAAII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" fillcolor="#4f81bd [3204]" stroked="f" strokeweight="2pt">
                    <v:path arrowok="t"/>
                    <v:textbox inset="21.6pt,1in,21.6pt">
                      <w:txbxContent>
                        <w:p w:rsidR="00926FD1" w:rsidRDefault="00926FD1">
                          <w:pPr>
                            <w:pStyle w:val="Title"/>
                            <w:pBdr>
                              <w:bottom w:val="none" w:sz="0" w:space="0" w:color="auto"/>
                            </w:pBdr>
                            <w:jc w:val="right"/>
                            <w:rPr>
                              <w:caps/>
                              <w:color w:val="FFFFFF" w:themeColor="background1"/>
                              <w:sz w:val="72"/>
                              <w:szCs w:val="72"/>
                            </w:rPr>
                          </w:pPr>
                          <w:r>
                            <w:rPr>
                              <w:caps/>
                              <w:color w:val="FFFFFF" w:themeColor="background1"/>
                              <w:sz w:val="40"/>
                              <w:szCs w:val="40"/>
                              <w:lang w:val="en-AU"/>
                            </w:rPr>
                            <w:t>Report 1: 2015 ECONOMIC MODELLING OF INTERNATIONAL ACTION UNDER A NEW GLOBAL CLIMATE CHANGE AGREEMENT</w:t>
                          </w:r>
                        </w:p>
                        <w:p w:rsidR="00926FD1" w:rsidRDefault="00926FD1">
                          <w:pPr>
                            <w:spacing w:before="240"/>
                            <w:ind w:left="720"/>
                            <w:jc w:val="right"/>
                            <w:rPr>
                              <w:color w:val="FFFFFF" w:themeColor="background1"/>
                            </w:rPr>
                          </w:pPr>
                        </w:p>
                      </w:txbxContent>
                    </v:textbox>
                    <w10:wrap anchorx="page" anchory="page"/>
                  </v:rect>
                </w:pict>
              </mc:Fallback>
            </mc:AlternateContent>
          </w:r>
          <w:r>
            <w:rPr>
              <w:noProof/>
              <w:lang w:eastAsia="en-AU"/>
            </w:rPr>
            <mc:AlternateContent>
              <mc:Choice Requires="wps">
                <w:drawing>
                  <wp:anchor distT="0" distB="0" distL="114300" distR="114300" simplePos="0" relativeHeight="251715584" behindDoc="0" locked="0" layoutInCell="1" allowOverlap="1" wp14:anchorId="6BA60F81" wp14:editId="5CADC5BE">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66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6FD1" w:rsidRPr="00B26171" w:rsidRDefault="00926FD1">
                                <w:pPr>
                                  <w:pStyle w:val="Subtitle"/>
                                  <w:rPr>
                                    <w:b/>
                                    <w:color w:val="1F497D" w:themeColor="text2"/>
                                    <w:sz w:val="40"/>
                                    <w:szCs w:val="40"/>
                                  </w:rPr>
                                </w:pPr>
                                <w:r w:rsidRPr="00B26171">
                                  <w:rPr>
                                    <w:b/>
                                    <w:sz w:val="40"/>
                                    <w:szCs w:val="40"/>
                                  </w:rPr>
                                  <w:t>FINAL REPORT</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8" style="position:absolute;margin-left:0;margin-top:0;width:148.1pt;height:760.3pt;z-index:25171558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" fillcolor="#630" stroked="f" strokeweight="2pt">
                    <v:path arrowok="t"/>
                    <v:textbox inset="14.4pt,,14.4pt">
                      <w:txbxContent>
                        <w:p w:rsidR="00926FD1" w:rsidRPr="00B26171" w:rsidRDefault="00926FD1">
                          <w:pPr>
                            <w:pStyle w:val="Subtitle"/>
                            <w:rPr>
                              <w:b/>
                              <w:color w:val="1F497D" w:themeColor="text2"/>
                              <w:sz w:val="40"/>
                              <w:szCs w:val="40"/>
                            </w:rPr>
                          </w:pPr>
                          <w:r w:rsidRPr="00B26171">
                            <w:rPr>
                              <w:b/>
                              <w:sz w:val="40"/>
                              <w:szCs w:val="40"/>
                            </w:rPr>
                            <w:t>FINAL REPORT</w:t>
                          </w:r>
                        </w:p>
                      </w:txbxContent>
                    </v:textbox>
                    <w10:wrap anchorx="page" anchory="page"/>
                  </v:rect>
                </w:pict>
              </mc:Fallback>
            </mc:AlternateContent>
          </w:r>
        </w:p>
        <w:p w:rsidR="00033642" w:rsidRDefault="00033642"/>
        <w:p w:rsidR="00033642" w:rsidRDefault="00033642">
          <w:pPr>
            <w:rPr>
              <w:rFonts w:asciiTheme="minorHAnsi" w:hAnsiTheme="minorHAnsi" w:cstheme="minorHAnsi"/>
            </w:rPr>
          </w:pPr>
          <w:r>
            <w:rPr>
              <w:rFonts w:asciiTheme="minorHAnsi" w:hAnsiTheme="minorHAnsi" w:cstheme="minorHAnsi"/>
            </w:rPr>
            <w:br w:type="page"/>
          </w:r>
        </w:p>
      </w:sdtContent>
    </w:sdt>
    <w:p w:rsidR="00841F6C" w:rsidRDefault="00543863" w:rsidP="00A56E0E">
      <w:pPr>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This</w:t>
      </w:r>
      <w:r w:rsidRPr="0068292C">
        <w:rPr>
          <w:rFonts w:asciiTheme="minorHAnsi" w:hAnsiTheme="minorHAnsi" w:cstheme="minorHAnsi"/>
          <w:color w:val="000000" w:themeColor="text1"/>
          <w:sz w:val="22"/>
        </w:rPr>
        <w:t xml:space="preserve"> report presents </w:t>
      </w:r>
      <w:r>
        <w:rPr>
          <w:rFonts w:asciiTheme="minorHAnsi" w:hAnsiTheme="minorHAnsi" w:cstheme="minorHAnsi"/>
          <w:color w:val="000000" w:themeColor="text1"/>
          <w:sz w:val="22"/>
        </w:rPr>
        <w:t>an assessment of the</w:t>
      </w:r>
      <w:r w:rsidRPr="0068292C">
        <w:rPr>
          <w:rFonts w:asciiTheme="minorHAnsi" w:hAnsiTheme="minorHAnsi" w:cstheme="minorHAnsi"/>
          <w:color w:val="000000" w:themeColor="text1"/>
          <w:sz w:val="22"/>
        </w:rPr>
        <w:t xml:space="preserve"> economic impacts </w:t>
      </w:r>
      <w:r w:rsidR="00841F6C">
        <w:rPr>
          <w:rFonts w:asciiTheme="minorHAnsi" w:hAnsiTheme="minorHAnsi" w:cstheme="minorHAnsi"/>
          <w:color w:val="000000" w:themeColor="text1"/>
          <w:sz w:val="22"/>
        </w:rPr>
        <w:t xml:space="preserve">on Australia and the world </w:t>
      </w:r>
      <w:r w:rsidRPr="0068292C">
        <w:rPr>
          <w:rFonts w:asciiTheme="minorHAnsi" w:hAnsiTheme="minorHAnsi" w:cstheme="minorHAnsi"/>
          <w:color w:val="000000" w:themeColor="text1"/>
          <w:sz w:val="22"/>
        </w:rPr>
        <w:t>of</w:t>
      </w:r>
      <w:r w:rsidR="00495383">
        <w:rPr>
          <w:rFonts w:asciiTheme="minorHAnsi" w:hAnsiTheme="minorHAnsi" w:cstheme="minorHAnsi"/>
          <w:color w:val="000000" w:themeColor="text1"/>
          <w:sz w:val="22"/>
        </w:rPr>
        <w:t xml:space="preserve"> known and expected</w:t>
      </w:r>
      <w:r w:rsidRPr="0068292C">
        <w:rPr>
          <w:rFonts w:asciiTheme="minorHAnsi" w:hAnsiTheme="minorHAnsi" w:cstheme="minorHAnsi"/>
          <w:color w:val="000000" w:themeColor="text1"/>
          <w:sz w:val="22"/>
        </w:rPr>
        <w:t xml:space="preserve"> international climate change action</w:t>
      </w:r>
      <w:r>
        <w:rPr>
          <w:rFonts w:asciiTheme="minorHAnsi" w:hAnsiTheme="minorHAnsi" w:cstheme="minorHAnsi"/>
          <w:color w:val="000000" w:themeColor="text1"/>
          <w:sz w:val="22"/>
        </w:rPr>
        <w:t xml:space="preserve"> under the </w:t>
      </w:r>
      <w:r w:rsidR="00841F6C">
        <w:rPr>
          <w:rFonts w:asciiTheme="minorHAnsi" w:hAnsiTheme="minorHAnsi" w:cstheme="minorHAnsi"/>
          <w:color w:val="000000" w:themeColor="text1"/>
          <w:sz w:val="22"/>
        </w:rPr>
        <w:t xml:space="preserve">forthcoming </w:t>
      </w:r>
      <w:r>
        <w:rPr>
          <w:rFonts w:asciiTheme="minorHAnsi" w:hAnsiTheme="minorHAnsi" w:cstheme="minorHAnsi"/>
          <w:color w:val="000000" w:themeColor="text1"/>
          <w:sz w:val="22"/>
        </w:rPr>
        <w:t>Paris agreement</w:t>
      </w:r>
      <w:r w:rsidRPr="0068292C">
        <w:rPr>
          <w:rFonts w:asciiTheme="minorHAnsi" w:hAnsiTheme="minorHAnsi" w:cstheme="minorHAnsi"/>
          <w:color w:val="000000" w:themeColor="text1"/>
          <w:sz w:val="22"/>
        </w:rPr>
        <w:t xml:space="preserve">. </w:t>
      </w:r>
      <w:r w:rsidR="00A42D6E">
        <w:rPr>
          <w:rFonts w:asciiTheme="minorHAnsi" w:hAnsiTheme="minorHAnsi" w:cstheme="minorHAnsi"/>
          <w:color w:val="000000" w:themeColor="text1"/>
          <w:sz w:val="22"/>
        </w:rPr>
        <w:t xml:space="preserve">A </w:t>
      </w:r>
      <w:r w:rsidR="008736A7">
        <w:rPr>
          <w:rFonts w:asciiTheme="minorHAnsi" w:hAnsiTheme="minorHAnsi" w:cstheme="minorHAnsi"/>
          <w:color w:val="000000" w:themeColor="text1"/>
          <w:sz w:val="22"/>
        </w:rPr>
        <w:t xml:space="preserve">second </w:t>
      </w:r>
      <w:r w:rsidR="00A42D6E">
        <w:rPr>
          <w:rFonts w:asciiTheme="minorHAnsi" w:hAnsiTheme="minorHAnsi" w:cstheme="minorHAnsi"/>
          <w:color w:val="000000" w:themeColor="text1"/>
          <w:sz w:val="22"/>
        </w:rPr>
        <w:t>report</w:t>
      </w:r>
      <w:r w:rsidR="008736A7">
        <w:rPr>
          <w:rFonts w:asciiTheme="minorHAnsi" w:hAnsiTheme="minorHAnsi" w:cstheme="minorHAnsi"/>
          <w:color w:val="000000" w:themeColor="text1"/>
          <w:sz w:val="22"/>
        </w:rPr>
        <w:t xml:space="preserve"> (Report 2)</w:t>
      </w:r>
      <w:r w:rsidR="00C247B5">
        <w:rPr>
          <w:rFonts w:asciiTheme="minorHAnsi" w:hAnsiTheme="minorHAnsi" w:cstheme="minorHAnsi"/>
          <w:color w:val="000000" w:themeColor="text1"/>
          <w:sz w:val="22"/>
        </w:rPr>
        <w:t xml:space="preserve"> </w:t>
      </w:r>
      <w:r w:rsidR="00C247B5">
        <w:rPr>
          <w:rFonts w:asciiTheme="minorHAnsi" w:hAnsiTheme="minorHAnsi" w:cstheme="minorHAnsi"/>
          <w:i/>
          <w:color w:val="000000" w:themeColor="text1"/>
          <w:sz w:val="22"/>
        </w:rPr>
        <w:t>Economic Modelling of Australian Action Under a New Global Climate Change Agreement</w:t>
      </w:r>
      <w:r w:rsidR="00C247B5">
        <w:rPr>
          <w:rFonts w:asciiTheme="minorHAnsi" w:hAnsiTheme="minorHAnsi" w:cstheme="minorHAnsi"/>
          <w:color w:val="000000" w:themeColor="text1"/>
          <w:sz w:val="22"/>
        </w:rPr>
        <w:t xml:space="preserve"> </w:t>
      </w:r>
      <w:r w:rsidR="00A42D6E">
        <w:rPr>
          <w:rFonts w:asciiTheme="minorHAnsi" w:hAnsiTheme="minorHAnsi" w:cstheme="minorHAnsi"/>
          <w:color w:val="000000" w:themeColor="text1"/>
          <w:sz w:val="22"/>
        </w:rPr>
        <w:t xml:space="preserve">addresses </w:t>
      </w:r>
      <w:r w:rsidR="00841F6C">
        <w:rPr>
          <w:rFonts w:asciiTheme="minorHAnsi" w:hAnsiTheme="minorHAnsi" w:cstheme="minorHAnsi"/>
          <w:color w:val="000000" w:themeColor="text1"/>
          <w:sz w:val="22"/>
        </w:rPr>
        <w:t xml:space="preserve">the impacts of potential additional emissions reductions by Australia. </w:t>
      </w:r>
    </w:p>
    <w:p w:rsidR="00841F6C" w:rsidRDefault="00841F6C" w:rsidP="00A56E0E">
      <w:pPr>
        <w:rPr>
          <w:rFonts w:asciiTheme="minorHAnsi" w:hAnsiTheme="minorHAnsi" w:cstheme="minorHAnsi"/>
          <w:color w:val="000000" w:themeColor="text1"/>
          <w:sz w:val="22"/>
        </w:rPr>
      </w:pPr>
    </w:p>
    <w:p w:rsidR="00A56E0E" w:rsidRPr="00A56E0E" w:rsidRDefault="00495383" w:rsidP="00A56E0E">
      <w:pPr>
        <w:rPr>
          <w:rFonts w:asciiTheme="minorHAnsi" w:hAnsiTheme="minorHAnsi" w:cstheme="minorHAnsi"/>
          <w:color w:val="000000" w:themeColor="text1"/>
          <w:sz w:val="22"/>
        </w:rPr>
      </w:pPr>
      <w:r>
        <w:rPr>
          <w:rFonts w:asciiTheme="minorHAnsi" w:hAnsiTheme="minorHAnsi" w:cstheme="minorHAnsi"/>
          <w:color w:val="000000" w:themeColor="text1"/>
          <w:sz w:val="22"/>
        </w:rPr>
        <w:t>This report</w:t>
      </w:r>
      <w:r w:rsidR="00543863">
        <w:rPr>
          <w:rFonts w:asciiTheme="minorHAnsi" w:hAnsiTheme="minorHAnsi" w:cstheme="minorHAnsi"/>
          <w:color w:val="000000" w:themeColor="text1"/>
          <w:sz w:val="22"/>
        </w:rPr>
        <w:t xml:space="preserve"> has </w:t>
      </w:r>
      <w:r w:rsidR="00A7230E" w:rsidRPr="0068292C">
        <w:rPr>
          <w:rFonts w:asciiTheme="minorHAnsi" w:hAnsiTheme="minorHAnsi" w:cstheme="minorHAnsi"/>
          <w:color w:val="000000" w:themeColor="text1"/>
          <w:sz w:val="22"/>
        </w:rPr>
        <w:t xml:space="preserve">been prepared by </w:t>
      </w:r>
      <w:r w:rsidR="000540A7">
        <w:rPr>
          <w:rFonts w:asciiTheme="minorHAnsi" w:hAnsiTheme="minorHAnsi" w:cstheme="minorHAnsi"/>
          <w:color w:val="000000" w:themeColor="text1"/>
          <w:sz w:val="22"/>
        </w:rPr>
        <w:t xml:space="preserve">Professor Warwick J. McKibbin, Director of Research, McKibbin Software Group Pty Ltd </w:t>
      </w:r>
      <w:r w:rsidR="001F3F8B">
        <w:rPr>
          <w:rFonts w:asciiTheme="minorHAnsi" w:hAnsiTheme="minorHAnsi" w:cstheme="minorHAnsi"/>
          <w:color w:val="000000" w:themeColor="text1"/>
          <w:sz w:val="22"/>
        </w:rPr>
        <w:t xml:space="preserve">in consultation with </w:t>
      </w:r>
      <w:r w:rsidR="00E84FDC">
        <w:rPr>
          <w:rFonts w:asciiTheme="minorHAnsi" w:hAnsiTheme="minorHAnsi" w:cstheme="minorHAnsi"/>
          <w:color w:val="000000" w:themeColor="text1"/>
          <w:sz w:val="22"/>
        </w:rPr>
        <w:t>the Department of Foreign Affairs and Trade</w:t>
      </w:r>
      <w:r>
        <w:rPr>
          <w:rFonts w:asciiTheme="minorHAnsi" w:hAnsiTheme="minorHAnsi" w:cstheme="minorHAnsi"/>
          <w:color w:val="000000" w:themeColor="text1"/>
          <w:sz w:val="22"/>
        </w:rPr>
        <w:t>.</w:t>
      </w:r>
      <w:r w:rsidR="00A56E0E">
        <w:rPr>
          <w:rFonts w:asciiTheme="minorHAnsi" w:hAnsiTheme="minorHAnsi" w:cstheme="minorHAnsi"/>
          <w:color w:val="000000" w:themeColor="text1"/>
          <w:sz w:val="22"/>
        </w:rPr>
        <w:t xml:space="preserve"> </w:t>
      </w:r>
    </w:p>
    <w:p w:rsidR="0068292C" w:rsidRDefault="0068292C">
      <w:pPr>
        <w:rPr>
          <w:rFonts w:asciiTheme="minorHAnsi" w:hAnsiTheme="minorHAnsi" w:cstheme="minorHAnsi"/>
          <w:color w:val="000000" w:themeColor="text1"/>
          <w:sz w:val="22"/>
        </w:rPr>
      </w:pPr>
    </w:p>
    <w:p w:rsidR="00C11F09" w:rsidRDefault="00F65CAF">
      <w:pPr>
        <w:rPr>
          <w:rFonts w:asciiTheme="minorHAnsi" w:hAnsiTheme="minorHAnsi" w:cstheme="minorHAnsi"/>
          <w:b/>
          <w:color w:val="0070C0"/>
          <w:sz w:val="40"/>
        </w:rPr>
      </w:pPr>
      <w:r>
        <w:rPr>
          <w:rFonts w:asciiTheme="minorHAnsi" w:hAnsiTheme="minorHAnsi" w:cstheme="minorHAnsi"/>
          <w:color w:val="000000" w:themeColor="text1"/>
          <w:sz w:val="22"/>
        </w:rPr>
        <w:t>All prices are in real United States dollars unless otherwise indicated.</w:t>
      </w:r>
      <w:r w:rsidR="00C11F09">
        <w:rPr>
          <w:rFonts w:asciiTheme="minorHAnsi" w:hAnsiTheme="minorHAnsi" w:cstheme="minorHAnsi"/>
          <w:b/>
          <w:color w:val="0070C0"/>
          <w:sz w:val="40"/>
        </w:rPr>
        <w:br w:type="page"/>
      </w:r>
    </w:p>
    <w:p w:rsidR="00A5091B" w:rsidRPr="00C32F93" w:rsidRDefault="00A5091B" w:rsidP="00A5091B">
      <w:pPr>
        <w:rPr>
          <w:rFonts w:asciiTheme="minorHAnsi" w:hAnsiTheme="minorHAnsi" w:cstheme="minorHAnsi"/>
          <w:b/>
          <w:color w:val="996633"/>
          <w:sz w:val="40"/>
        </w:rPr>
      </w:pPr>
      <w:r w:rsidRPr="00C32F93">
        <w:rPr>
          <w:rFonts w:asciiTheme="minorHAnsi" w:hAnsiTheme="minorHAnsi" w:cstheme="minorHAnsi"/>
          <w:b/>
          <w:color w:val="996633"/>
          <w:sz w:val="40"/>
        </w:rPr>
        <w:lastRenderedPageBreak/>
        <w:t>Contents</w:t>
      </w:r>
      <w:r w:rsidR="00C247B5" w:rsidRPr="00C32F93">
        <w:rPr>
          <w:rFonts w:asciiTheme="minorHAnsi" w:hAnsiTheme="minorHAnsi" w:cstheme="minorHAnsi"/>
          <w:b/>
          <w:color w:val="996633"/>
          <w:sz w:val="40"/>
        </w:rPr>
        <w:t xml:space="preserve"> </w:t>
      </w:r>
    </w:p>
    <w:p w:rsidR="00A5091B" w:rsidRPr="00A34DAA" w:rsidRDefault="00A5091B" w:rsidP="00A5091B">
      <w:pPr>
        <w:rPr>
          <w:rFonts w:asciiTheme="minorHAnsi" w:hAnsiTheme="minorHAnsi" w:cstheme="minorHAnsi"/>
          <w:b/>
          <w:color w:val="0070C0"/>
          <w:sz w:val="28"/>
        </w:rPr>
      </w:pPr>
    </w:p>
    <w:p w:rsidR="00A5091B" w:rsidRPr="00BF39AB" w:rsidRDefault="00A5091B" w:rsidP="00A5091B">
      <w:pPr>
        <w:spacing w:line="360" w:lineRule="auto"/>
        <w:rPr>
          <w:rFonts w:asciiTheme="minorHAnsi" w:hAnsiTheme="minorHAnsi" w:cstheme="minorHAnsi"/>
          <w:b/>
          <w:color w:val="4F81BD" w:themeColor="accent1"/>
          <w:sz w:val="30"/>
          <w:szCs w:val="30"/>
          <w:u w:val="single" w:color="996633"/>
        </w:rPr>
      </w:pPr>
      <w:r w:rsidRPr="00BF39AB">
        <w:rPr>
          <w:rFonts w:asciiTheme="minorHAnsi" w:hAnsiTheme="minorHAnsi" w:cstheme="minorHAnsi"/>
          <w:b/>
          <w:color w:val="4F81BD" w:themeColor="accent1"/>
          <w:sz w:val="30"/>
          <w:szCs w:val="30"/>
          <w:u w:val="single" w:color="996633"/>
        </w:rPr>
        <w:t>Executive S</w:t>
      </w:r>
      <w:r w:rsidR="002413B2" w:rsidRPr="00BF39AB">
        <w:rPr>
          <w:rFonts w:asciiTheme="minorHAnsi" w:hAnsiTheme="minorHAnsi" w:cstheme="minorHAnsi"/>
          <w:b/>
          <w:color w:val="4F81BD" w:themeColor="accent1"/>
          <w:sz w:val="30"/>
          <w:szCs w:val="30"/>
          <w:u w:val="single" w:color="996633"/>
        </w:rPr>
        <w:t>ummary</w:t>
      </w:r>
      <w:r w:rsidR="002413B2" w:rsidRPr="00BF39AB">
        <w:rPr>
          <w:rFonts w:asciiTheme="minorHAnsi" w:hAnsiTheme="minorHAnsi" w:cstheme="minorHAnsi"/>
          <w:b/>
          <w:color w:val="4F81BD" w:themeColor="accent1"/>
          <w:sz w:val="30"/>
          <w:szCs w:val="30"/>
          <w:u w:val="single" w:color="996633"/>
        </w:rPr>
        <w:tab/>
      </w:r>
      <w:r w:rsidR="002413B2" w:rsidRPr="00BF39AB">
        <w:rPr>
          <w:rFonts w:asciiTheme="minorHAnsi" w:hAnsiTheme="minorHAnsi" w:cstheme="minorHAnsi"/>
          <w:b/>
          <w:color w:val="4F81BD" w:themeColor="accent1"/>
          <w:sz w:val="30"/>
          <w:szCs w:val="30"/>
          <w:u w:val="single" w:color="996633"/>
        </w:rPr>
        <w:tab/>
      </w:r>
      <w:r w:rsidR="002413B2" w:rsidRPr="00BF39AB">
        <w:rPr>
          <w:rFonts w:asciiTheme="minorHAnsi" w:hAnsiTheme="minorHAnsi" w:cstheme="minorHAnsi"/>
          <w:b/>
          <w:color w:val="4F81BD" w:themeColor="accent1"/>
          <w:sz w:val="30"/>
          <w:szCs w:val="30"/>
          <w:u w:val="single" w:color="996633"/>
        </w:rPr>
        <w:tab/>
      </w:r>
      <w:r w:rsidR="002413B2" w:rsidRPr="00BF39AB">
        <w:rPr>
          <w:rFonts w:asciiTheme="minorHAnsi" w:hAnsiTheme="minorHAnsi" w:cstheme="minorHAnsi"/>
          <w:b/>
          <w:color w:val="4F81BD" w:themeColor="accent1"/>
          <w:sz w:val="30"/>
          <w:szCs w:val="30"/>
          <w:u w:val="single" w:color="996633"/>
        </w:rPr>
        <w:tab/>
        <w:t xml:space="preserve"> </w:t>
      </w:r>
      <w:r w:rsidR="002413B2" w:rsidRPr="00BF39AB">
        <w:rPr>
          <w:rFonts w:asciiTheme="minorHAnsi" w:hAnsiTheme="minorHAnsi" w:cstheme="minorHAnsi"/>
          <w:b/>
          <w:color w:val="4F81BD" w:themeColor="accent1"/>
          <w:sz w:val="30"/>
          <w:szCs w:val="30"/>
          <w:u w:val="single" w:color="996633"/>
        </w:rPr>
        <w:tab/>
      </w:r>
      <w:r w:rsidR="002413B2" w:rsidRPr="00BF39AB">
        <w:rPr>
          <w:rFonts w:asciiTheme="minorHAnsi" w:hAnsiTheme="minorHAnsi" w:cstheme="minorHAnsi"/>
          <w:b/>
          <w:color w:val="4F81BD" w:themeColor="accent1"/>
          <w:sz w:val="30"/>
          <w:szCs w:val="30"/>
          <w:u w:val="single" w:color="996633"/>
        </w:rPr>
        <w:tab/>
        <w:t xml:space="preserve"> </w:t>
      </w:r>
      <w:r w:rsidR="002413B2" w:rsidRPr="00BF39AB">
        <w:rPr>
          <w:rFonts w:asciiTheme="minorHAnsi" w:hAnsiTheme="minorHAnsi" w:cstheme="minorHAnsi"/>
          <w:b/>
          <w:color w:val="4F81BD" w:themeColor="accent1"/>
          <w:sz w:val="30"/>
          <w:szCs w:val="30"/>
          <w:u w:val="single" w:color="996633"/>
        </w:rPr>
        <w:tab/>
        <w:t xml:space="preserve">             </w:t>
      </w:r>
      <w:r w:rsidR="00926FD1">
        <w:rPr>
          <w:rFonts w:asciiTheme="minorHAnsi" w:hAnsiTheme="minorHAnsi" w:cstheme="minorHAnsi"/>
          <w:b/>
          <w:color w:val="4F81BD" w:themeColor="accent1"/>
          <w:sz w:val="30"/>
          <w:szCs w:val="30"/>
          <w:u w:val="single" w:color="996633"/>
        </w:rPr>
        <w:t>5</w:t>
      </w:r>
      <w:r w:rsidRPr="00BF39AB">
        <w:rPr>
          <w:rFonts w:asciiTheme="minorHAnsi" w:hAnsiTheme="minorHAnsi" w:cstheme="minorHAnsi"/>
          <w:b/>
          <w:color w:val="4F81BD" w:themeColor="accent1"/>
          <w:sz w:val="30"/>
          <w:szCs w:val="30"/>
          <w:u w:val="single" w:color="996633"/>
        </w:rPr>
        <w:t xml:space="preserve">     </w:t>
      </w:r>
    </w:p>
    <w:p w:rsidR="00A5091B" w:rsidRPr="00BF39AB" w:rsidRDefault="00A5091B" w:rsidP="00363ED0">
      <w:pPr>
        <w:spacing w:after="180"/>
        <w:ind w:left="357"/>
        <w:rPr>
          <w:rFonts w:asciiTheme="minorHAnsi" w:hAnsiTheme="minorHAnsi" w:cstheme="minorHAnsi"/>
          <w:b/>
          <w:color w:val="4F81BD" w:themeColor="accent1"/>
          <w:sz w:val="30"/>
          <w:szCs w:val="30"/>
          <w:u w:val="single" w:color="996633"/>
        </w:rPr>
      </w:pPr>
      <w:r w:rsidRPr="00BF39AB">
        <w:rPr>
          <w:rFonts w:asciiTheme="minorHAnsi" w:hAnsiTheme="minorHAnsi" w:cstheme="minorHAnsi"/>
          <w:b/>
          <w:color w:val="4F81BD" w:themeColor="accent1"/>
          <w:sz w:val="30"/>
          <w:szCs w:val="30"/>
          <w:u w:val="single" w:color="996633"/>
        </w:rPr>
        <w:t>In</w:t>
      </w:r>
      <w:r w:rsidR="002413B2" w:rsidRPr="00BF39AB">
        <w:rPr>
          <w:rFonts w:asciiTheme="minorHAnsi" w:hAnsiTheme="minorHAnsi" w:cstheme="minorHAnsi"/>
          <w:b/>
          <w:color w:val="4F81BD" w:themeColor="accent1"/>
          <w:sz w:val="30"/>
          <w:szCs w:val="30"/>
          <w:u w:val="single" w:color="996633"/>
        </w:rPr>
        <w:t>troduction and context</w:t>
      </w:r>
      <w:r w:rsidR="002413B2" w:rsidRPr="00BF39AB">
        <w:rPr>
          <w:rFonts w:asciiTheme="minorHAnsi" w:hAnsiTheme="minorHAnsi" w:cstheme="minorHAnsi"/>
          <w:b/>
          <w:color w:val="4F81BD" w:themeColor="accent1"/>
          <w:sz w:val="30"/>
          <w:szCs w:val="30"/>
          <w:u w:val="single" w:color="996633"/>
        </w:rPr>
        <w:tab/>
      </w:r>
      <w:r w:rsidR="002413B2" w:rsidRPr="00BF39AB">
        <w:rPr>
          <w:rFonts w:asciiTheme="minorHAnsi" w:hAnsiTheme="minorHAnsi" w:cstheme="minorHAnsi"/>
          <w:b/>
          <w:color w:val="4F81BD" w:themeColor="accent1"/>
          <w:sz w:val="30"/>
          <w:szCs w:val="30"/>
          <w:u w:val="single" w:color="996633"/>
        </w:rPr>
        <w:tab/>
      </w:r>
      <w:r w:rsidR="002413B2" w:rsidRPr="00BF39AB">
        <w:rPr>
          <w:rFonts w:asciiTheme="minorHAnsi" w:hAnsiTheme="minorHAnsi" w:cstheme="minorHAnsi"/>
          <w:b/>
          <w:color w:val="4F81BD" w:themeColor="accent1"/>
          <w:sz w:val="30"/>
          <w:szCs w:val="30"/>
          <w:u w:val="single" w:color="996633"/>
        </w:rPr>
        <w:tab/>
      </w:r>
      <w:r w:rsidR="00363ED0" w:rsidRPr="00BF39AB">
        <w:rPr>
          <w:rFonts w:asciiTheme="minorHAnsi" w:hAnsiTheme="minorHAnsi" w:cstheme="minorHAnsi"/>
          <w:b/>
          <w:color w:val="4F81BD" w:themeColor="accent1"/>
          <w:sz w:val="30"/>
          <w:szCs w:val="30"/>
          <w:u w:val="single" w:color="996633"/>
        </w:rPr>
        <w:tab/>
      </w:r>
      <w:r w:rsidR="002413B2" w:rsidRPr="00BF39AB">
        <w:rPr>
          <w:rFonts w:asciiTheme="minorHAnsi" w:hAnsiTheme="minorHAnsi" w:cstheme="minorHAnsi"/>
          <w:b/>
          <w:color w:val="4F81BD" w:themeColor="accent1"/>
          <w:sz w:val="30"/>
          <w:szCs w:val="30"/>
          <w:u w:val="single" w:color="996633"/>
        </w:rPr>
        <w:tab/>
      </w:r>
      <w:r w:rsidR="002413B2" w:rsidRPr="00BF39AB">
        <w:rPr>
          <w:rFonts w:asciiTheme="minorHAnsi" w:hAnsiTheme="minorHAnsi" w:cstheme="minorHAnsi"/>
          <w:b/>
          <w:color w:val="4F81BD" w:themeColor="accent1"/>
          <w:sz w:val="30"/>
          <w:szCs w:val="30"/>
          <w:u w:val="single" w:color="996633"/>
        </w:rPr>
        <w:tab/>
        <w:t xml:space="preserve"> </w:t>
      </w:r>
      <w:r w:rsidR="002413B2" w:rsidRPr="00BF39AB">
        <w:rPr>
          <w:rFonts w:asciiTheme="minorHAnsi" w:hAnsiTheme="minorHAnsi" w:cstheme="minorHAnsi"/>
          <w:b/>
          <w:color w:val="4F81BD" w:themeColor="accent1"/>
          <w:sz w:val="30"/>
          <w:szCs w:val="30"/>
          <w:u w:val="single" w:color="996633"/>
        </w:rPr>
        <w:tab/>
        <w:t xml:space="preserve">  </w:t>
      </w:r>
      <w:r w:rsidR="00926FD1">
        <w:rPr>
          <w:rFonts w:asciiTheme="minorHAnsi" w:hAnsiTheme="minorHAnsi" w:cstheme="minorHAnsi"/>
          <w:b/>
          <w:color w:val="4F81BD" w:themeColor="accent1"/>
          <w:sz w:val="30"/>
          <w:szCs w:val="30"/>
          <w:u w:val="single" w:color="996633"/>
        </w:rPr>
        <w:t>6</w:t>
      </w:r>
    </w:p>
    <w:p w:rsidR="00A5091B" w:rsidRPr="00BF39AB" w:rsidRDefault="00A5091B" w:rsidP="00363ED0">
      <w:pPr>
        <w:spacing w:after="180"/>
        <w:ind w:left="357"/>
        <w:rPr>
          <w:rFonts w:asciiTheme="minorHAnsi" w:hAnsiTheme="minorHAnsi" w:cstheme="minorHAnsi"/>
          <w:b/>
          <w:color w:val="4F81BD" w:themeColor="accent1"/>
          <w:sz w:val="30"/>
          <w:szCs w:val="30"/>
          <w:u w:val="single" w:color="996633"/>
        </w:rPr>
      </w:pPr>
      <w:r w:rsidRPr="00BF39AB">
        <w:rPr>
          <w:rFonts w:asciiTheme="minorHAnsi" w:hAnsiTheme="minorHAnsi" w:cstheme="minorHAnsi"/>
          <w:b/>
          <w:color w:val="4F81BD" w:themeColor="accent1"/>
          <w:sz w:val="30"/>
          <w:szCs w:val="30"/>
          <w:u w:val="single" w:color="996633"/>
        </w:rPr>
        <w:t>Key assumpti</w:t>
      </w:r>
      <w:r w:rsidR="00CA5AD0" w:rsidRPr="00BF39AB">
        <w:rPr>
          <w:rFonts w:asciiTheme="minorHAnsi" w:hAnsiTheme="minorHAnsi" w:cstheme="minorHAnsi"/>
          <w:b/>
          <w:color w:val="4F81BD" w:themeColor="accent1"/>
          <w:sz w:val="30"/>
          <w:szCs w:val="30"/>
          <w:u w:val="single" w:color="996633"/>
        </w:rPr>
        <w:t>ons and methodology</w:t>
      </w:r>
      <w:r w:rsidR="00CA5AD0" w:rsidRPr="00BF39AB">
        <w:rPr>
          <w:rFonts w:asciiTheme="minorHAnsi" w:hAnsiTheme="minorHAnsi" w:cstheme="minorHAnsi"/>
          <w:b/>
          <w:color w:val="4F81BD" w:themeColor="accent1"/>
          <w:sz w:val="30"/>
          <w:szCs w:val="30"/>
          <w:u w:val="single" w:color="996633"/>
        </w:rPr>
        <w:tab/>
      </w:r>
      <w:r w:rsidR="00CA5AD0" w:rsidRPr="00BF39AB">
        <w:rPr>
          <w:rFonts w:asciiTheme="minorHAnsi" w:hAnsiTheme="minorHAnsi" w:cstheme="minorHAnsi"/>
          <w:b/>
          <w:color w:val="4F81BD" w:themeColor="accent1"/>
          <w:sz w:val="30"/>
          <w:szCs w:val="30"/>
          <w:u w:val="single" w:color="996633"/>
        </w:rPr>
        <w:tab/>
      </w:r>
      <w:r w:rsidR="00CA5AD0" w:rsidRPr="00BF39AB">
        <w:rPr>
          <w:rFonts w:asciiTheme="minorHAnsi" w:hAnsiTheme="minorHAnsi" w:cstheme="minorHAnsi"/>
          <w:b/>
          <w:color w:val="4F81BD" w:themeColor="accent1"/>
          <w:sz w:val="30"/>
          <w:szCs w:val="30"/>
          <w:u w:val="single" w:color="996633"/>
        </w:rPr>
        <w:tab/>
        <w:t xml:space="preserve">   </w:t>
      </w:r>
      <w:r w:rsidR="00363ED0" w:rsidRPr="00BF39AB">
        <w:rPr>
          <w:rFonts w:asciiTheme="minorHAnsi" w:hAnsiTheme="minorHAnsi" w:cstheme="minorHAnsi"/>
          <w:b/>
          <w:color w:val="4F81BD" w:themeColor="accent1"/>
          <w:sz w:val="30"/>
          <w:szCs w:val="30"/>
          <w:u w:val="single" w:color="996633"/>
        </w:rPr>
        <w:tab/>
      </w:r>
      <w:r w:rsidR="00CA5AD0" w:rsidRPr="00BF39AB">
        <w:rPr>
          <w:rFonts w:asciiTheme="minorHAnsi" w:hAnsiTheme="minorHAnsi" w:cstheme="minorHAnsi"/>
          <w:b/>
          <w:color w:val="4F81BD" w:themeColor="accent1"/>
          <w:sz w:val="30"/>
          <w:szCs w:val="30"/>
          <w:u w:val="single" w:color="996633"/>
        </w:rPr>
        <w:tab/>
        <w:t xml:space="preserve"> </w:t>
      </w:r>
      <w:r w:rsidR="008A4177" w:rsidRPr="00BF39AB">
        <w:rPr>
          <w:rFonts w:asciiTheme="minorHAnsi" w:hAnsiTheme="minorHAnsi" w:cstheme="minorHAnsi"/>
          <w:b/>
          <w:color w:val="4F81BD" w:themeColor="accent1"/>
          <w:sz w:val="30"/>
          <w:szCs w:val="30"/>
          <w:u w:val="single" w:color="996633"/>
        </w:rPr>
        <w:t xml:space="preserve"> </w:t>
      </w:r>
      <w:r w:rsidR="00926FD1">
        <w:rPr>
          <w:rFonts w:asciiTheme="minorHAnsi" w:hAnsiTheme="minorHAnsi" w:cstheme="minorHAnsi"/>
          <w:b/>
          <w:color w:val="4F81BD" w:themeColor="accent1"/>
          <w:sz w:val="30"/>
          <w:szCs w:val="30"/>
          <w:u w:val="single" w:color="996633"/>
        </w:rPr>
        <w:t>8</w:t>
      </w:r>
    </w:p>
    <w:p w:rsidR="00A5091B" w:rsidRPr="00BF39AB" w:rsidRDefault="00CA5AD0" w:rsidP="00A5091B">
      <w:pPr>
        <w:spacing w:line="336" w:lineRule="auto"/>
        <w:ind w:firstLine="720"/>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Approach to modelling</w:t>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t xml:space="preserve">  </w:t>
      </w:r>
      <w:r w:rsidR="00926FD1">
        <w:rPr>
          <w:rFonts w:asciiTheme="minorHAnsi" w:hAnsiTheme="minorHAnsi" w:cstheme="minorHAnsi"/>
          <w:color w:val="4F81BD" w:themeColor="accent1"/>
          <w:sz w:val="30"/>
          <w:szCs w:val="30"/>
          <w:u w:color="0070C0"/>
        </w:rPr>
        <w:t>8</w:t>
      </w:r>
    </w:p>
    <w:p w:rsidR="00A5091B" w:rsidRPr="00BF39AB" w:rsidRDefault="00682EDB" w:rsidP="00BF7A32">
      <w:pPr>
        <w:ind w:firstLine="720"/>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Assumptions and implementation</w:t>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t>1</w:t>
      </w:r>
      <w:r w:rsidR="00926FD1">
        <w:rPr>
          <w:rFonts w:asciiTheme="minorHAnsi" w:hAnsiTheme="minorHAnsi" w:cstheme="minorHAnsi"/>
          <w:color w:val="4F81BD" w:themeColor="accent1"/>
          <w:sz w:val="30"/>
          <w:szCs w:val="30"/>
          <w:u w:color="0070C0"/>
        </w:rPr>
        <w:t>1</w:t>
      </w:r>
    </w:p>
    <w:p w:rsidR="00A5091B" w:rsidRPr="00BF39AB" w:rsidRDefault="00A5091B" w:rsidP="00A5091B">
      <w:pPr>
        <w:ind w:left="1134"/>
        <w:rPr>
          <w:rFonts w:asciiTheme="minorHAnsi" w:hAnsiTheme="minorHAnsi" w:cstheme="minorHAnsi"/>
          <w:color w:val="4F81BD" w:themeColor="accent1"/>
          <w:position w:val="16"/>
        </w:rPr>
      </w:pPr>
      <w:r w:rsidRPr="00BF39AB">
        <w:rPr>
          <w:rFonts w:asciiTheme="minorHAnsi" w:hAnsiTheme="minorHAnsi" w:cstheme="minorHAnsi"/>
          <w:color w:val="4F81BD" w:themeColor="accent1"/>
          <w:position w:val="16"/>
        </w:rPr>
        <w:t>Australia</w:t>
      </w:r>
      <w:r w:rsidRPr="00BF39AB">
        <w:rPr>
          <w:rFonts w:asciiTheme="minorHAnsi" w:hAnsiTheme="minorHAnsi" w:cstheme="minorHAnsi"/>
          <w:color w:val="4F81BD" w:themeColor="accent1"/>
          <w:position w:val="16"/>
        </w:rPr>
        <w:tab/>
      </w:r>
      <w:r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 xml:space="preserve"> 1</w:t>
      </w:r>
      <w:r w:rsidR="00926FD1">
        <w:rPr>
          <w:rFonts w:asciiTheme="minorHAnsi" w:hAnsiTheme="minorHAnsi" w:cstheme="minorHAnsi"/>
          <w:color w:val="4F81BD" w:themeColor="accent1"/>
          <w:position w:val="16"/>
        </w:rPr>
        <w:t>1</w:t>
      </w:r>
    </w:p>
    <w:p w:rsidR="00A5091B" w:rsidRPr="00BF39AB" w:rsidRDefault="00A5091B" w:rsidP="00A5091B">
      <w:pPr>
        <w:ind w:left="1134"/>
        <w:rPr>
          <w:rFonts w:asciiTheme="minorHAnsi" w:hAnsiTheme="minorHAnsi" w:cstheme="minorHAnsi"/>
          <w:color w:val="4F81BD" w:themeColor="accent1"/>
          <w:position w:val="16"/>
        </w:rPr>
      </w:pPr>
      <w:r w:rsidRPr="00BF39AB">
        <w:rPr>
          <w:rFonts w:asciiTheme="minorHAnsi" w:hAnsiTheme="minorHAnsi" w:cstheme="minorHAnsi"/>
          <w:color w:val="4F81BD" w:themeColor="accent1"/>
          <w:position w:val="16"/>
        </w:rPr>
        <w:t>United States</w:t>
      </w:r>
      <w:r w:rsidRPr="00BF39AB">
        <w:rPr>
          <w:rFonts w:asciiTheme="minorHAnsi" w:hAnsiTheme="minorHAnsi" w:cstheme="minorHAnsi"/>
          <w:color w:val="4F81BD" w:themeColor="accent1"/>
          <w:position w:val="16"/>
        </w:rPr>
        <w:tab/>
      </w:r>
      <w:r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t xml:space="preserve"> </w:t>
      </w:r>
      <w:r w:rsidR="00926FD1">
        <w:rPr>
          <w:rFonts w:asciiTheme="minorHAnsi" w:hAnsiTheme="minorHAnsi" w:cstheme="minorHAnsi"/>
          <w:color w:val="4F81BD" w:themeColor="accent1"/>
          <w:position w:val="16"/>
        </w:rPr>
        <w:t>12</w:t>
      </w:r>
    </w:p>
    <w:p w:rsidR="00A5091B" w:rsidRPr="00BF39AB" w:rsidRDefault="00A5091B" w:rsidP="00A5091B">
      <w:pPr>
        <w:ind w:left="1134"/>
        <w:rPr>
          <w:rFonts w:asciiTheme="minorHAnsi" w:hAnsiTheme="minorHAnsi" w:cstheme="minorHAnsi"/>
          <w:color w:val="4F81BD" w:themeColor="accent1"/>
          <w:position w:val="16"/>
        </w:rPr>
      </w:pPr>
      <w:r w:rsidRPr="00BF39AB">
        <w:rPr>
          <w:rFonts w:asciiTheme="minorHAnsi" w:hAnsiTheme="minorHAnsi" w:cstheme="minorHAnsi"/>
          <w:color w:val="4F81BD" w:themeColor="accent1"/>
          <w:position w:val="16"/>
        </w:rPr>
        <w:t>China</w:t>
      </w:r>
      <w:r w:rsidRPr="00BF39AB">
        <w:rPr>
          <w:rFonts w:asciiTheme="minorHAnsi" w:hAnsiTheme="minorHAnsi" w:cstheme="minorHAnsi"/>
          <w:color w:val="4F81BD" w:themeColor="accent1"/>
          <w:position w:val="16"/>
        </w:rPr>
        <w:tab/>
      </w:r>
      <w:r w:rsidRPr="00BF39AB">
        <w:rPr>
          <w:rFonts w:asciiTheme="minorHAnsi" w:hAnsiTheme="minorHAnsi" w:cstheme="minorHAnsi"/>
          <w:color w:val="4F81BD" w:themeColor="accent1"/>
          <w:position w:val="16"/>
        </w:rPr>
        <w:tab/>
      </w:r>
      <w:r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t xml:space="preserve"> 1</w:t>
      </w:r>
      <w:r w:rsidR="00926FD1">
        <w:rPr>
          <w:rFonts w:asciiTheme="minorHAnsi" w:hAnsiTheme="minorHAnsi" w:cstheme="minorHAnsi"/>
          <w:color w:val="4F81BD" w:themeColor="accent1"/>
          <w:position w:val="16"/>
        </w:rPr>
        <w:t>3</w:t>
      </w:r>
    </w:p>
    <w:p w:rsidR="00A5091B" w:rsidRPr="00BF39AB" w:rsidRDefault="00A5091B" w:rsidP="00A5091B">
      <w:pPr>
        <w:ind w:left="1134"/>
        <w:rPr>
          <w:rFonts w:asciiTheme="minorHAnsi" w:hAnsiTheme="minorHAnsi" w:cstheme="minorHAnsi"/>
          <w:color w:val="4F81BD" w:themeColor="accent1"/>
          <w:position w:val="16"/>
        </w:rPr>
      </w:pPr>
      <w:r w:rsidRPr="00BF39AB">
        <w:rPr>
          <w:rFonts w:asciiTheme="minorHAnsi" w:hAnsiTheme="minorHAnsi" w:cstheme="minorHAnsi"/>
          <w:color w:val="4F81BD" w:themeColor="accent1"/>
          <w:position w:val="16"/>
        </w:rPr>
        <w:t>Japan</w:t>
      </w:r>
      <w:r w:rsidRPr="00BF39AB">
        <w:rPr>
          <w:rFonts w:asciiTheme="minorHAnsi" w:hAnsiTheme="minorHAnsi" w:cstheme="minorHAnsi"/>
          <w:color w:val="4F81BD" w:themeColor="accent1"/>
          <w:position w:val="16"/>
        </w:rPr>
        <w:tab/>
      </w:r>
      <w:r w:rsidRPr="00BF39AB">
        <w:rPr>
          <w:rFonts w:asciiTheme="minorHAnsi" w:hAnsiTheme="minorHAnsi" w:cstheme="minorHAnsi"/>
          <w:color w:val="4F81BD" w:themeColor="accent1"/>
          <w:position w:val="16"/>
        </w:rPr>
        <w:tab/>
      </w:r>
      <w:r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t xml:space="preserve"> </w:t>
      </w:r>
      <w:r w:rsidR="00926FD1">
        <w:rPr>
          <w:rFonts w:asciiTheme="minorHAnsi" w:hAnsiTheme="minorHAnsi" w:cstheme="minorHAnsi"/>
          <w:color w:val="4F81BD" w:themeColor="accent1"/>
          <w:position w:val="16"/>
        </w:rPr>
        <w:t>13</w:t>
      </w:r>
    </w:p>
    <w:p w:rsidR="00A5091B" w:rsidRPr="00BF39AB" w:rsidRDefault="00A5091B" w:rsidP="00A5091B">
      <w:pPr>
        <w:ind w:left="1134"/>
        <w:rPr>
          <w:rFonts w:asciiTheme="minorHAnsi" w:hAnsiTheme="minorHAnsi" w:cstheme="minorHAnsi"/>
          <w:color w:val="4F81BD" w:themeColor="accent1"/>
          <w:position w:val="16"/>
        </w:rPr>
      </w:pPr>
      <w:r w:rsidRPr="00BF39AB">
        <w:rPr>
          <w:rFonts w:asciiTheme="minorHAnsi" w:hAnsiTheme="minorHAnsi" w:cstheme="minorHAnsi"/>
          <w:color w:val="4F81BD" w:themeColor="accent1"/>
          <w:position w:val="16"/>
        </w:rPr>
        <w:t>European Union</w:t>
      </w:r>
      <w:r w:rsidRPr="00BF39AB">
        <w:rPr>
          <w:rFonts w:asciiTheme="minorHAnsi" w:hAnsiTheme="minorHAnsi" w:cstheme="minorHAnsi"/>
          <w:color w:val="4F81BD" w:themeColor="accent1"/>
          <w:position w:val="16"/>
        </w:rPr>
        <w:tab/>
      </w:r>
      <w:r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t xml:space="preserve"> </w:t>
      </w:r>
      <w:r w:rsidR="00926FD1">
        <w:rPr>
          <w:rFonts w:asciiTheme="minorHAnsi" w:hAnsiTheme="minorHAnsi" w:cstheme="minorHAnsi"/>
          <w:color w:val="4F81BD" w:themeColor="accent1"/>
          <w:position w:val="16"/>
        </w:rPr>
        <w:t>14</w:t>
      </w:r>
    </w:p>
    <w:p w:rsidR="00A5091B" w:rsidRPr="00BF39AB" w:rsidRDefault="00A5091B" w:rsidP="00A5091B">
      <w:pPr>
        <w:ind w:left="1134"/>
        <w:rPr>
          <w:rFonts w:asciiTheme="minorHAnsi" w:hAnsiTheme="minorHAnsi" w:cstheme="minorHAnsi"/>
          <w:color w:val="4F81BD" w:themeColor="accent1"/>
          <w:position w:val="16"/>
        </w:rPr>
      </w:pPr>
      <w:r w:rsidRPr="00BF39AB">
        <w:rPr>
          <w:rFonts w:asciiTheme="minorHAnsi" w:hAnsiTheme="minorHAnsi" w:cstheme="minorHAnsi"/>
          <w:color w:val="4F81BD" w:themeColor="accent1"/>
          <w:position w:val="16"/>
        </w:rPr>
        <w:t xml:space="preserve">Canada </w:t>
      </w:r>
      <w:r w:rsidR="00153FC0" w:rsidRPr="00BF39AB">
        <w:rPr>
          <w:rFonts w:asciiTheme="minorHAnsi" w:hAnsiTheme="minorHAnsi" w:cstheme="minorHAnsi"/>
          <w:color w:val="4F81BD" w:themeColor="accent1"/>
          <w:position w:val="16"/>
        </w:rPr>
        <w:t>and</w:t>
      </w:r>
      <w:r w:rsidRPr="00BF39AB">
        <w:rPr>
          <w:rFonts w:asciiTheme="minorHAnsi" w:hAnsiTheme="minorHAnsi" w:cstheme="minorHAnsi"/>
          <w:color w:val="4F81BD" w:themeColor="accent1"/>
          <w:position w:val="16"/>
        </w:rPr>
        <w:t xml:space="preserve"> New Zealand</w:t>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r>
      <w:r w:rsidR="008A4177" w:rsidRPr="00BF39AB">
        <w:rPr>
          <w:rFonts w:asciiTheme="minorHAnsi" w:hAnsiTheme="minorHAnsi" w:cstheme="minorHAnsi"/>
          <w:color w:val="4F81BD" w:themeColor="accent1"/>
          <w:position w:val="16"/>
        </w:rPr>
        <w:tab/>
        <w:t xml:space="preserve"> </w:t>
      </w:r>
      <w:r w:rsidR="00926FD1">
        <w:rPr>
          <w:rFonts w:asciiTheme="minorHAnsi" w:hAnsiTheme="minorHAnsi" w:cstheme="minorHAnsi"/>
          <w:color w:val="4F81BD" w:themeColor="accent1"/>
          <w:position w:val="16"/>
        </w:rPr>
        <w:t>15</w:t>
      </w:r>
    </w:p>
    <w:p w:rsidR="00A5091B" w:rsidRPr="00BF39AB" w:rsidRDefault="00153FC0" w:rsidP="00363ED0">
      <w:pPr>
        <w:spacing w:after="180"/>
        <w:ind w:left="357"/>
        <w:rPr>
          <w:rFonts w:asciiTheme="minorHAnsi" w:hAnsiTheme="minorHAnsi" w:cstheme="minorHAnsi"/>
          <w:b/>
          <w:color w:val="4F81BD" w:themeColor="accent1"/>
          <w:sz w:val="30"/>
          <w:szCs w:val="30"/>
          <w:u w:val="single" w:color="996633"/>
        </w:rPr>
      </w:pPr>
      <w:r w:rsidRPr="00BF39AB">
        <w:rPr>
          <w:rFonts w:asciiTheme="minorHAnsi" w:hAnsiTheme="minorHAnsi" w:cstheme="minorHAnsi"/>
          <w:b/>
          <w:color w:val="4F81BD" w:themeColor="accent1"/>
          <w:sz w:val="30"/>
          <w:szCs w:val="30"/>
          <w:u w:val="single" w:color="996633"/>
        </w:rPr>
        <w:t>M</w:t>
      </w:r>
      <w:r w:rsidR="00CA5AD0" w:rsidRPr="00BF39AB">
        <w:rPr>
          <w:rFonts w:asciiTheme="minorHAnsi" w:hAnsiTheme="minorHAnsi" w:cstheme="minorHAnsi"/>
          <w:b/>
          <w:color w:val="4F81BD" w:themeColor="accent1"/>
          <w:sz w:val="30"/>
          <w:szCs w:val="30"/>
          <w:u w:val="single" w:color="996633"/>
        </w:rPr>
        <w:t>odelling results</w:t>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00CA5AD0" w:rsidRPr="00BF39AB">
        <w:rPr>
          <w:rFonts w:asciiTheme="minorHAnsi" w:hAnsiTheme="minorHAnsi" w:cstheme="minorHAnsi"/>
          <w:b/>
          <w:color w:val="4F81BD" w:themeColor="accent1"/>
          <w:sz w:val="30"/>
          <w:szCs w:val="30"/>
          <w:u w:val="single" w:color="996633"/>
        </w:rPr>
        <w:tab/>
      </w:r>
      <w:r w:rsidR="00CA5AD0" w:rsidRPr="00BF39AB">
        <w:rPr>
          <w:rFonts w:asciiTheme="minorHAnsi" w:hAnsiTheme="minorHAnsi" w:cstheme="minorHAnsi"/>
          <w:b/>
          <w:color w:val="4F81BD" w:themeColor="accent1"/>
          <w:sz w:val="30"/>
          <w:szCs w:val="30"/>
          <w:u w:val="single" w:color="996633"/>
        </w:rPr>
        <w:tab/>
      </w:r>
      <w:r w:rsidR="00CA5AD0" w:rsidRPr="00BF39AB">
        <w:rPr>
          <w:rFonts w:asciiTheme="minorHAnsi" w:hAnsiTheme="minorHAnsi" w:cstheme="minorHAnsi"/>
          <w:b/>
          <w:color w:val="4F81BD" w:themeColor="accent1"/>
          <w:sz w:val="30"/>
          <w:szCs w:val="30"/>
          <w:u w:val="single" w:color="996633"/>
        </w:rPr>
        <w:tab/>
      </w:r>
      <w:r w:rsidR="00CA5AD0"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 xml:space="preserve">    </w:t>
      </w:r>
      <w:r w:rsidR="00363ED0"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 xml:space="preserve">      </w:t>
      </w:r>
      <w:r w:rsidRPr="00BF39AB">
        <w:rPr>
          <w:rFonts w:asciiTheme="minorHAnsi" w:hAnsiTheme="minorHAnsi" w:cstheme="minorHAnsi"/>
          <w:b/>
          <w:color w:val="4F81BD" w:themeColor="accent1"/>
          <w:sz w:val="30"/>
          <w:szCs w:val="30"/>
          <w:u w:val="single" w:color="996633"/>
        </w:rPr>
        <w:tab/>
      </w:r>
      <w:r w:rsidR="00926FD1">
        <w:rPr>
          <w:rFonts w:asciiTheme="minorHAnsi" w:hAnsiTheme="minorHAnsi" w:cstheme="minorHAnsi"/>
          <w:b/>
          <w:color w:val="4F81BD" w:themeColor="accent1"/>
          <w:sz w:val="30"/>
          <w:szCs w:val="30"/>
          <w:u w:val="single" w:color="996633"/>
        </w:rPr>
        <w:t>17</w:t>
      </w:r>
    </w:p>
    <w:p w:rsidR="00A5091B" w:rsidRPr="00BF39AB" w:rsidRDefault="003374BA" w:rsidP="00363ED0">
      <w:pPr>
        <w:spacing w:line="336" w:lineRule="auto"/>
        <w:ind w:firstLine="720"/>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 xml:space="preserve">Impacts </w:t>
      </w:r>
      <w:r w:rsidR="0024421E" w:rsidRPr="00BF39AB">
        <w:rPr>
          <w:rFonts w:asciiTheme="minorHAnsi" w:hAnsiTheme="minorHAnsi" w:cstheme="minorHAnsi"/>
          <w:color w:val="4F81BD" w:themeColor="accent1"/>
          <w:sz w:val="30"/>
          <w:szCs w:val="30"/>
          <w:u w:color="0070C0"/>
        </w:rPr>
        <w:t>on the global economy and Australia</w:t>
      </w:r>
      <w:r w:rsidRPr="00BF39AB">
        <w:rPr>
          <w:rFonts w:asciiTheme="minorHAnsi" w:hAnsiTheme="minorHAnsi" w:cstheme="minorHAnsi"/>
          <w:color w:val="4F81BD" w:themeColor="accent1"/>
          <w:sz w:val="30"/>
          <w:szCs w:val="30"/>
          <w:u w:color="0070C0"/>
        </w:rPr>
        <w:t xml:space="preserve"> </w:t>
      </w:r>
      <w:r w:rsidR="00A5091B"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 xml:space="preserve">          </w:t>
      </w:r>
      <w:r w:rsidR="00153FC0" w:rsidRPr="00BF39AB">
        <w:rPr>
          <w:rFonts w:asciiTheme="minorHAnsi" w:hAnsiTheme="minorHAnsi" w:cstheme="minorHAnsi"/>
          <w:color w:val="4F81BD" w:themeColor="accent1"/>
          <w:sz w:val="30"/>
          <w:szCs w:val="30"/>
          <w:u w:color="0070C0"/>
        </w:rPr>
        <w:tab/>
      </w:r>
      <w:r w:rsidR="00926FD1">
        <w:rPr>
          <w:rFonts w:asciiTheme="minorHAnsi" w:hAnsiTheme="minorHAnsi" w:cstheme="minorHAnsi"/>
          <w:color w:val="4F81BD" w:themeColor="accent1"/>
          <w:sz w:val="30"/>
          <w:szCs w:val="30"/>
          <w:u w:color="0070C0"/>
        </w:rPr>
        <w:t>17</w:t>
      </w:r>
    </w:p>
    <w:p w:rsidR="00A5091B" w:rsidRPr="00BF39AB" w:rsidRDefault="00A5091B" w:rsidP="00363ED0">
      <w:pPr>
        <w:spacing w:line="336" w:lineRule="auto"/>
        <w:ind w:firstLine="720"/>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 xml:space="preserve">Impacts on key countries </w:t>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926FD1">
        <w:rPr>
          <w:rFonts w:asciiTheme="minorHAnsi" w:hAnsiTheme="minorHAnsi" w:cstheme="minorHAnsi"/>
          <w:color w:val="4F81BD" w:themeColor="accent1"/>
          <w:sz w:val="30"/>
          <w:szCs w:val="30"/>
          <w:u w:color="0070C0"/>
        </w:rPr>
        <w:t>22</w:t>
      </w:r>
    </w:p>
    <w:p w:rsidR="00A5091B" w:rsidRPr="00BF39AB" w:rsidRDefault="00A5091B" w:rsidP="00363ED0">
      <w:pPr>
        <w:spacing w:line="336" w:lineRule="auto"/>
        <w:ind w:firstLine="720"/>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Impacts on emissions</w:t>
      </w:r>
      <w:r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CA5AD0" w:rsidRPr="00BF39AB">
        <w:rPr>
          <w:rFonts w:asciiTheme="minorHAnsi" w:hAnsiTheme="minorHAnsi" w:cstheme="minorHAnsi"/>
          <w:color w:val="4F81BD" w:themeColor="accent1"/>
          <w:sz w:val="30"/>
          <w:szCs w:val="30"/>
          <w:u w:color="0070C0"/>
        </w:rPr>
        <w:tab/>
      </w:r>
      <w:r w:rsidR="00B75733" w:rsidRPr="00BF39AB">
        <w:rPr>
          <w:rFonts w:asciiTheme="minorHAnsi" w:hAnsiTheme="minorHAnsi" w:cstheme="minorHAnsi"/>
          <w:color w:val="4F81BD" w:themeColor="accent1"/>
          <w:sz w:val="30"/>
          <w:szCs w:val="30"/>
          <w:u w:color="0070C0"/>
        </w:rPr>
        <w:t>2</w:t>
      </w:r>
      <w:r w:rsidR="00926FD1">
        <w:rPr>
          <w:rFonts w:asciiTheme="minorHAnsi" w:hAnsiTheme="minorHAnsi" w:cstheme="minorHAnsi"/>
          <w:color w:val="4F81BD" w:themeColor="accent1"/>
          <w:sz w:val="30"/>
          <w:szCs w:val="30"/>
          <w:u w:color="0070C0"/>
        </w:rPr>
        <w:t>4</w:t>
      </w:r>
    </w:p>
    <w:p w:rsidR="00A5091B" w:rsidRPr="00BF39AB" w:rsidRDefault="0024421E" w:rsidP="00363ED0">
      <w:pPr>
        <w:spacing w:after="180"/>
        <w:ind w:left="357"/>
        <w:rPr>
          <w:rFonts w:asciiTheme="minorHAnsi" w:hAnsiTheme="minorHAnsi" w:cstheme="minorHAnsi"/>
          <w:b/>
          <w:color w:val="4F81BD" w:themeColor="accent1"/>
          <w:sz w:val="30"/>
          <w:szCs w:val="30"/>
          <w:u w:val="single" w:color="996633"/>
        </w:rPr>
      </w:pPr>
      <w:r w:rsidRPr="00BF39AB">
        <w:rPr>
          <w:rFonts w:asciiTheme="minorHAnsi" w:hAnsiTheme="minorHAnsi" w:cstheme="minorHAnsi"/>
          <w:b/>
          <w:color w:val="4F81BD" w:themeColor="accent1"/>
          <w:sz w:val="30"/>
          <w:szCs w:val="30"/>
          <w:u w:color="0070C0"/>
        </w:rPr>
        <w:t>Sensitivity testing and comparability to other modelling</w:t>
      </w:r>
      <w:r w:rsidRPr="00BF39AB">
        <w:rPr>
          <w:rFonts w:asciiTheme="minorHAnsi" w:hAnsiTheme="minorHAnsi" w:cstheme="minorHAnsi"/>
          <w:b/>
          <w:color w:val="4F81BD" w:themeColor="accent1"/>
          <w:sz w:val="30"/>
          <w:szCs w:val="30"/>
          <w:u w:val="single" w:color="0070C0"/>
        </w:rPr>
        <w:t xml:space="preserve"> </w:t>
      </w:r>
      <w:r w:rsidRPr="00BF39AB">
        <w:rPr>
          <w:rFonts w:asciiTheme="minorHAnsi" w:hAnsiTheme="minorHAnsi" w:cstheme="minorHAnsi"/>
          <w:b/>
          <w:color w:val="4F81BD" w:themeColor="accent1"/>
          <w:sz w:val="30"/>
          <w:szCs w:val="30"/>
          <w:u w:val="single" w:color="996633"/>
        </w:rPr>
        <w:t>exercises</w:t>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00B75733" w:rsidRPr="00BF39AB">
        <w:rPr>
          <w:rFonts w:asciiTheme="minorHAnsi" w:hAnsiTheme="minorHAnsi" w:cstheme="minorHAnsi"/>
          <w:b/>
          <w:color w:val="4F81BD" w:themeColor="accent1"/>
          <w:sz w:val="30"/>
          <w:szCs w:val="30"/>
          <w:u w:val="single" w:color="996633"/>
        </w:rPr>
        <w:tab/>
      </w:r>
      <w:r w:rsidR="00B75733" w:rsidRPr="00BF39AB">
        <w:rPr>
          <w:rFonts w:asciiTheme="minorHAnsi" w:hAnsiTheme="minorHAnsi" w:cstheme="minorHAnsi"/>
          <w:b/>
          <w:color w:val="4F81BD" w:themeColor="accent1"/>
          <w:sz w:val="30"/>
          <w:szCs w:val="30"/>
          <w:u w:val="single" w:color="996633"/>
        </w:rPr>
        <w:tab/>
      </w:r>
      <w:r w:rsidR="00B75733"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 xml:space="preserve">          </w:t>
      </w:r>
      <w:r w:rsidR="00153FC0" w:rsidRPr="00BF39AB">
        <w:rPr>
          <w:rFonts w:asciiTheme="minorHAnsi" w:hAnsiTheme="minorHAnsi" w:cstheme="minorHAnsi"/>
          <w:b/>
          <w:color w:val="4F81BD" w:themeColor="accent1"/>
          <w:sz w:val="30"/>
          <w:szCs w:val="30"/>
          <w:u w:val="single" w:color="996633"/>
        </w:rPr>
        <w:tab/>
      </w:r>
      <w:r w:rsidR="00B75733" w:rsidRPr="00BF39AB">
        <w:rPr>
          <w:rFonts w:asciiTheme="minorHAnsi" w:hAnsiTheme="minorHAnsi" w:cstheme="minorHAnsi"/>
          <w:b/>
          <w:color w:val="4F81BD" w:themeColor="accent1"/>
          <w:sz w:val="30"/>
          <w:szCs w:val="30"/>
          <w:u w:val="single" w:color="996633"/>
        </w:rPr>
        <w:t>2</w:t>
      </w:r>
      <w:r w:rsidR="00926FD1">
        <w:rPr>
          <w:rFonts w:asciiTheme="minorHAnsi" w:hAnsiTheme="minorHAnsi" w:cstheme="minorHAnsi"/>
          <w:b/>
          <w:color w:val="4F81BD" w:themeColor="accent1"/>
          <w:sz w:val="30"/>
          <w:szCs w:val="30"/>
          <w:u w:val="single" w:color="996633"/>
        </w:rPr>
        <w:t>5</w:t>
      </w:r>
    </w:p>
    <w:p w:rsidR="00A5091B" w:rsidRPr="00BF39AB" w:rsidRDefault="00A5091B" w:rsidP="00363ED0">
      <w:pPr>
        <w:spacing w:line="336" w:lineRule="auto"/>
        <w:ind w:firstLine="720"/>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Sensitivity testing</w:t>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008A4177" w:rsidRPr="00BF39AB">
        <w:rPr>
          <w:rFonts w:asciiTheme="minorHAnsi" w:hAnsiTheme="minorHAnsi" w:cstheme="minorHAnsi"/>
          <w:color w:val="4F81BD" w:themeColor="accent1"/>
          <w:sz w:val="30"/>
          <w:szCs w:val="30"/>
          <w:u w:color="0070C0"/>
        </w:rPr>
        <w:t xml:space="preserve">          </w:t>
      </w:r>
      <w:r w:rsidR="00153FC0" w:rsidRPr="00BF39AB">
        <w:rPr>
          <w:rFonts w:asciiTheme="minorHAnsi" w:hAnsiTheme="minorHAnsi" w:cstheme="minorHAnsi"/>
          <w:color w:val="4F81BD" w:themeColor="accent1"/>
          <w:sz w:val="30"/>
          <w:szCs w:val="30"/>
          <w:u w:color="0070C0"/>
        </w:rPr>
        <w:tab/>
      </w:r>
      <w:r w:rsidR="00B75733" w:rsidRPr="00BF39AB">
        <w:rPr>
          <w:rFonts w:asciiTheme="minorHAnsi" w:hAnsiTheme="minorHAnsi" w:cstheme="minorHAnsi"/>
          <w:color w:val="4F81BD" w:themeColor="accent1"/>
          <w:sz w:val="30"/>
          <w:szCs w:val="30"/>
          <w:u w:color="0070C0"/>
        </w:rPr>
        <w:t>2</w:t>
      </w:r>
      <w:r w:rsidR="00926FD1">
        <w:rPr>
          <w:rFonts w:asciiTheme="minorHAnsi" w:hAnsiTheme="minorHAnsi" w:cstheme="minorHAnsi"/>
          <w:color w:val="4F81BD" w:themeColor="accent1"/>
          <w:sz w:val="30"/>
          <w:szCs w:val="30"/>
          <w:u w:color="0070C0"/>
        </w:rPr>
        <w:t>5</w:t>
      </w:r>
    </w:p>
    <w:p w:rsidR="00A5091B" w:rsidRPr="00BF39AB" w:rsidRDefault="00A5091B" w:rsidP="00363ED0">
      <w:pPr>
        <w:spacing w:line="336" w:lineRule="auto"/>
        <w:ind w:firstLine="720"/>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Comparison to other modelling exercises</w:t>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Pr="00BF39AB">
        <w:rPr>
          <w:rFonts w:asciiTheme="minorHAnsi" w:hAnsiTheme="minorHAnsi" w:cstheme="minorHAnsi"/>
          <w:color w:val="4F81BD" w:themeColor="accent1"/>
          <w:sz w:val="30"/>
          <w:szCs w:val="30"/>
          <w:u w:color="0070C0"/>
        </w:rPr>
        <w:tab/>
      </w:r>
      <w:r w:rsidR="00B70E26" w:rsidRPr="00BF39AB">
        <w:rPr>
          <w:rFonts w:asciiTheme="minorHAnsi" w:hAnsiTheme="minorHAnsi" w:cstheme="minorHAnsi"/>
          <w:color w:val="4F81BD" w:themeColor="accent1"/>
          <w:sz w:val="30"/>
          <w:szCs w:val="30"/>
          <w:u w:color="0070C0"/>
        </w:rPr>
        <w:t xml:space="preserve">          </w:t>
      </w:r>
      <w:r w:rsidR="00153FC0" w:rsidRPr="00BF39AB">
        <w:rPr>
          <w:rFonts w:asciiTheme="minorHAnsi" w:hAnsiTheme="minorHAnsi" w:cstheme="minorHAnsi"/>
          <w:color w:val="4F81BD" w:themeColor="accent1"/>
          <w:sz w:val="30"/>
          <w:szCs w:val="30"/>
          <w:u w:color="0070C0"/>
        </w:rPr>
        <w:tab/>
      </w:r>
      <w:r w:rsidR="00926FD1">
        <w:rPr>
          <w:rFonts w:asciiTheme="minorHAnsi" w:hAnsiTheme="minorHAnsi" w:cstheme="minorHAnsi"/>
          <w:color w:val="4F81BD" w:themeColor="accent1"/>
          <w:sz w:val="30"/>
          <w:szCs w:val="30"/>
          <w:u w:color="0070C0"/>
        </w:rPr>
        <w:t>25</w:t>
      </w:r>
    </w:p>
    <w:p w:rsidR="00A5091B" w:rsidRPr="00BF39AB" w:rsidRDefault="00A5091B" w:rsidP="008A4177">
      <w:pPr>
        <w:spacing w:line="360" w:lineRule="auto"/>
        <w:rPr>
          <w:rFonts w:asciiTheme="minorHAnsi" w:hAnsiTheme="minorHAnsi" w:cstheme="minorHAnsi"/>
          <w:b/>
          <w:color w:val="4F81BD" w:themeColor="accent1"/>
          <w:sz w:val="30"/>
          <w:szCs w:val="30"/>
          <w:u w:val="single" w:color="996633"/>
        </w:rPr>
      </w:pPr>
      <w:r w:rsidRPr="00BF39AB">
        <w:rPr>
          <w:rFonts w:asciiTheme="minorHAnsi" w:hAnsiTheme="minorHAnsi" w:cstheme="minorHAnsi"/>
          <w:b/>
          <w:color w:val="4F81BD" w:themeColor="accent1"/>
          <w:sz w:val="30"/>
          <w:szCs w:val="30"/>
          <w:u w:val="single" w:color="996633"/>
        </w:rPr>
        <w:t>Conclusions</w:t>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ab/>
        <w:t xml:space="preserve">          </w:t>
      </w:r>
      <w:r w:rsidR="00153FC0" w:rsidRPr="00BF39AB">
        <w:rPr>
          <w:rFonts w:asciiTheme="minorHAnsi" w:hAnsiTheme="minorHAnsi" w:cstheme="minorHAnsi"/>
          <w:b/>
          <w:color w:val="4F81BD" w:themeColor="accent1"/>
          <w:sz w:val="30"/>
          <w:szCs w:val="30"/>
          <w:u w:val="single" w:color="996633"/>
        </w:rPr>
        <w:tab/>
      </w:r>
      <w:r w:rsidR="00926FD1">
        <w:rPr>
          <w:rFonts w:asciiTheme="minorHAnsi" w:hAnsiTheme="minorHAnsi" w:cstheme="minorHAnsi"/>
          <w:b/>
          <w:color w:val="4F81BD" w:themeColor="accent1"/>
          <w:sz w:val="30"/>
          <w:szCs w:val="30"/>
          <w:u w:val="single" w:color="996633"/>
        </w:rPr>
        <w:t>27</w:t>
      </w:r>
    </w:p>
    <w:p w:rsidR="00A5091B" w:rsidRPr="00BF39AB" w:rsidRDefault="00B75733" w:rsidP="00A5091B">
      <w:pPr>
        <w:spacing w:line="360" w:lineRule="auto"/>
        <w:rPr>
          <w:rFonts w:asciiTheme="minorHAnsi" w:hAnsiTheme="minorHAnsi" w:cstheme="minorHAnsi"/>
          <w:b/>
          <w:color w:val="4F81BD" w:themeColor="accent1"/>
          <w:sz w:val="30"/>
          <w:szCs w:val="30"/>
          <w:u w:val="single" w:color="996633"/>
        </w:rPr>
      </w:pPr>
      <w:r w:rsidRPr="00BF39AB">
        <w:rPr>
          <w:rFonts w:asciiTheme="minorHAnsi" w:hAnsiTheme="minorHAnsi" w:cstheme="minorHAnsi"/>
          <w:b/>
          <w:color w:val="4F81BD" w:themeColor="accent1"/>
          <w:sz w:val="30"/>
          <w:szCs w:val="30"/>
          <w:u w:val="single" w:color="996633"/>
        </w:rPr>
        <w:t>Appendices</w:t>
      </w:r>
      <w:r w:rsidR="008A4177" w:rsidRPr="00BF39AB">
        <w:rPr>
          <w:rFonts w:asciiTheme="minorHAnsi" w:hAnsiTheme="minorHAnsi" w:cstheme="minorHAnsi"/>
          <w:b/>
          <w:color w:val="4F81BD" w:themeColor="accent1"/>
          <w:sz w:val="30"/>
          <w:szCs w:val="30"/>
          <w:u w:val="single" w:color="996633"/>
        </w:rPr>
        <w:t xml:space="preserve"> </w:t>
      </w:r>
      <w:r w:rsidR="008A4177"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ab/>
      </w:r>
      <w:r w:rsidR="008A4177" w:rsidRPr="00BF39AB">
        <w:rPr>
          <w:rFonts w:asciiTheme="minorHAnsi" w:hAnsiTheme="minorHAnsi" w:cstheme="minorHAnsi"/>
          <w:b/>
          <w:color w:val="4F81BD" w:themeColor="accent1"/>
          <w:sz w:val="30"/>
          <w:szCs w:val="30"/>
          <w:u w:val="single" w:color="996633"/>
        </w:rPr>
        <w:tab/>
        <w:t xml:space="preserve">          </w:t>
      </w:r>
      <w:r w:rsidR="00153FC0" w:rsidRPr="00BF39AB">
        <w:rPr>
          <w:rFonts w:asciiTheme="minorHAnsi" w:hAnsiTheme="minorHAnsi" w:cstheme="minorHAnsi"/>
          <w:b/>
          <w:color w:val="4F81BD" w:themeColor="accent1"/>
          <w:sz w:val="30"/>
          <w:szCs w:val="30"/>
          <w:u w:val="single" w:color="996633"/>
        </w:rPr>
        <w:tab/>
      </w:r>
      <w:r w:rsidR="00926FD1">
        <w:rPr>
          <w:rFonts w:asciiTheme="minorHAnsi" w:hAnsiTheme="minorHAnsi" w:cstheme="minorHAnsi"/>
          <w:b/>
          <w:color w:val="4F81BD" w:themeColor="accent1"/>
          <w:sz w:val="30"/>
          <w:szCs w:val="30"/>
          <w:u w:val="single" w:color="996633"/>
        </w:rPr>
        <w:t>28</w:t>
      </w:r>
    </w:p>
    <w:p w:rsidR="00A5091B" w:rsidRPr="00BF39AB" w:rsidRDefault="00A5091B" w:rsidP="00A5091B">
      <w:pPr>
        <w:pStyle w:val="ListParagraph"/>
        <w:numPr>
          <w:ilvl w:val="0"/>
          <w:numId w:val="33"/>
        </w:numPr>
        <w:spacing w:line="336" w:lineRule="auto"/>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Anno</w:t>
      </w:r>
      <w:r w:rsidR="00B75733" w:rsidRPr="00BF39AB">
        <w:rPr>
          <w:rFonts w:asciiTheme="minorHAnsi" w:hAnsiTheme="minorHAnsi" w:cstheme="minorHAnsi"/>
          <w:color w:val="4F81BD" w:themeColor="accent1"/>
          <w:sz w:val="30"/>
          <w:szCs w:val="30"/>
          <w:u w:color="0070C0"/>
        </w:rPr>
        <w:t xml:space="preserve">unced and submitted </w:t>
      </w:r>
      <w:r w:rsidR="00D91C9E">
        <w:rPr>
          <w:rFonts w:asciiTheme="minorHAnsi" w:hAnsiTheme="minorHAnsi" w:cstheme="minorHAnsi"/>
          <w:color w:val="4F81BD" w:themeColor="accent1"/>
          <w:sz w:val="30"/>
          <w:szCs w:val="30"/>
          <w:u w:color="0070C0"/>
        </w:rPr>
        <w:t>post-2020 targets</w:t>
      </w:r>
      <w:r w:rsidR="00B75733" w:rsidRPr="00BF39AB">
        <w:rPr>
          <w:rFonts w:asciiTheme="minorHAnsi" w:hAnsiTheme="minorHAnsi" w:cstheme="minorHAnsi"/>
          <w:color w:val="4F81BD" w:themeColor="accent1"/>
          <w:sz w:val="30"/>
          <w:szCs w:val="30"/>
          <w:u w:color="0070C0"/>
        </w:rPr>
        <w:tab/>
      </w:r>
      <w:r w:rsidR="00B75733" w:rsidRPr="00BF39AB">
        <w:rPr>
          <w:rFonts w:asciiTheme="minorHAnsi" w:hAnsiTheme="minorHAnsi" w:cstheme="minorHAnsi"/>
          <w:color w:val="4F81BD" w:themeColor="accent1"/>
          <w:sz w:val="30"/>
          <w:szCs w:val="30"/>
          <w:u w:color="0070C0"/>
        </w:rPr>
        <w:tab/>
      </w:r>
      <w:r w:rsidR="00B70E26" w:rsidRPr="00BF39AB">
        <w:rPr>
          <w:rFonts w:asciiTheme="minorHAnsi" w:hAnsiTheme="minorHAnsi" w:cstheme="minorHAnsi"/>
          <w:color w:val="4F81BD" w:themeColor="accent1"/>
          <w:sz w:val="30"/>
          <w:szCs w:val="30"/>
          <w:u w:color="0070C0"/>
        </w:rPr>
        <w:t xml:space="preserve">          </w:t>
      </w:r>
      <w:r w:rsidR="00153FC0" w:rsidRPr="00BF39AB">
        <w:rPr>
          <w:rFonts w:asciiTheme="minorHAnsi" w:hAnsiTheme="minorHAnsi" w:cstheme="minorHAnsi"/>
          <w:color w:val="4F81BD" w:themeColor="accent1"/>
          <w:sz w:val="30"/>
          <w:szCs w:val="30"/>
          <w:u w:color="0070C0"/>
        </w:rPr>
        <w:tab/>
      </w:r>
      <w:r w:rsidR="00926FD1">
        <w:rPr>
          <w:rFonts w:asciiTheme="minorHAnsi" w:hAnsiTheme="minorHAnsi" w:cstheme="minorHAnsi"/>
          <w:color w:val="4F81BD" w:themeColor="accent1"/>
          <w:sz w:val="30"/>
          <w:szCs w:val="30"/>
          <w:u w:color="0070C0"/>
        </w:rPr>
        <w:t>28</w:t>
      </w:r>
    </w:p>
    <w:p w:rsidR="0024421E" w:rsidRPr="00BF39AB" w:rsidRDefault="0024421E" w:rsidP="0024421E">
      <w:pPr>
        <w:pStyle w:val="ListParagraph"/>
        <w:numPr>
          <w:ilvl w:val="0"/>
          <w:numId w:val="33"/>
        </w:numPr>
        <w:spacing w:line="336" w:lineRule="auto"/>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Technical spec</w:t>
      </w:r>
      <w:r w:rsidR="00926FD1">
        <w:rPr>
          <w:rFonts w:asciiTheme="minorHAnsi" w:hAnsiTheme="minorHAnsi" w:cstheme="minorHAnsi"/>
          <w:color w:val="4F81BD" w:themeColor="accent1"/>
          <w:sz w:val="30"/>
          <w:szCs w:val="30"/>
          <w:u w:color="0070C0"/>
        </w:rPr>
        <w:t>ifications and assumptions</w:t>
      </w:r>
      <w:r w:rsidR="00926FD1">
        <w:rPr>
          <w:rFonts w:asciiTheme="minorHAnsi" w:hAnsiTheme="minorHAnsi" w:cstheme="minorHAnsi"/>
          <w:color w:val="4F81BD" w:themeColor="accent1"/>
          <w:sz w:val="30"/>
          <w:szCs w:val="30"/>
          <w:u w:color="0070C0"/>
        </w:rPr>
        <w:tab/>
      </w:r>
      <w:r w:rsidR="00926FD1">
        <w:rPr>
          <w:rFonts w:asciiTheme="minorHAnsi" w:hAnsiTheme="minorHAnsi" w:cstheme="minorHAnsi"/>
          <w:color w:val="4F81BD" w:themeColor="accent1"/>
          <w:sz w:val="30"/>
          <w:szCs w:val="30"/>
          <w:u w:color="0070C0"/>
        </w:rPr>
        <w:tab/>
      </w:r>
      <w:r w:rsidR="00926FD1">
        <w:rPr>
          <w:rFonts w:asciiTheme="minorHAnsi" w:hAnsiTheme="minorHAnsi" w:cstheme="minorHAnsi"/>
          <w:color w:val="4F81BD" w:themeColor="accent1"/>
          <w:sz w:val="30"/>
          <w:szCs w:val="30"/>
          <w:u w:color="0070C0"/>
        </w:rPr>
        <w:tab/>
      </w:r>
      <w:r w:rsidR="00926FD1">
        <w:rPr>
          <w:rFonts w:asciiTheme="minorHAnsi" w:hAnsiTheme="minorHAnsi" w:cstheme="minorHAnsi"/>
          <w:color w:val="4F81BD" w:themeColor="accent1"/>
          <w:sz w:val="30"/>
          <w:szCs w:val="30"/>
          <w:u w:color="0070C0"/>
        </w:rPr>
        <w:tab/>
        <w:t>30</w:t>
      </w:r>
    </w:p>
    <w:p w:rsidR="00A5091B" w:rsidRPr="00BF39AB" w:rsidRDefault="0024421E" w:rsidP="0024421E">
      <w:pPr>
        <w:pStyle w:val="ListParagraph"/>
        <w:numPr>
          <w:ilvl w:val="0"/>
          <w:numId w:val="33"/>
        </w:numPr>
        <w:spacing w:before="240" w:line="336" w:lineRule="auto"/>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Economic impacts on key countries</w:t>
      </w:r>
      <w:r w:rsidRPr="00BF39AB">
        <w:rPr>
          <w:rFonts w:asciiTheme="minorHAnsi" w:hAnsiTheme="minorHAnsi" w:cstheme="minorHAnsi"/>
          <w:color w:val="4F81BD" w:themeColor="accent1"/>
          <w:sz w:val="30"/>
          <w:szCs w:val="30"/>
          <w:u w:color="0070C0"/>
        </w:rPr>
        <w:tab/>
      </w:r>
      <w:r w:rsidR="00B75733" w:rsidRPr="00BF39AB">
        <w:rPr>
          <w:rFonts w:asciiTheme="minorHAnsi" w:hAnsiTheme="minorHAnsi" w:cstheme="minorHAnsi"/>
          <w:color w:val="4F81BD" w:themeColor="accent1"/>
          <w:sz w:val="30"/>
          <w:szCs w:val="30"/>
          <w:u w:color="0070C0"/>
        </w:rPr>
        <w:tab/>
      </w:r>
      <w:r w:rsidR="00B75733" w:rsidRPr="00BF39AB">
        <w:rPr>
          <w:rFonts w:asciiTheme="minorHAnsi" w:hAnsiTheme="minorHAnsi" w:cstheme="minorHAnsi"/>
          <w:color w:val="4F81BD" w:themeColor="accent1"/>
          <w:sz w:val="30"/>
          <w:szCs w:val="30"/>
          <w:u w:color="0070C0"/>
        </w:rPr>
        <w:tab/>
      </w:r>
      <w:r w:rsidR="00B75733" w:rsidRPr="00BF39AB">
        <w:rPr>
          <w:rFonts w:asciiTheme="minorHAnsi" w:hAnsiTheme="minorHAnsi" w:cstheme="minorHAnsi"/>
          <w:color w:val="4F81BD" w:themeColor="accent1"/>
          <w:sz w:val="30"/>
          <w:szCs w:val="30"/>
          <w:u w:color="0070C0"/>
        </w:rPr>
        <w:tab/>
      </w:r>
      <w:r w:rsidR="00B70E26" w:rsidRPr="00BF39AB">
        <w:rPr>
          <w:rFonts w:asciiTheme="minorHAnsi" w:hAnsiTheme="minorHAnsi" w:cstheme="minorHAnsi"/>
          <w:color w:val="4F81BD" w:themeColor="accent1"/>
          <w:sz w:val="30"/>
          <w:szCs w:val="30"/>
          <w:u w:color="0070C0"/>
        </w:rPr>
        <w:t xml:space="preserve">          </w:t>
      </w:r>
      <w:r w:rsidR="00153FC0" w:rsidRPr="00BF39AB">
        <w:rPr>
          <w:rFonts w:asciiTheme="minorHAnsi" w:hAnsiTheme="minorHAnsi" w:cstheme="minorHAnsi"/>
          <w:color w:val="4F81BD" w:themeColor="accent1"/>
          <w:sz w:val="30"/>
          <w:szCs w:val="30"/>
          <w:u w:color="0070C0"/>
        </w:rPr>
        <w:tab/>
      </w:r>
      <w:r w:rsidR="00B70E26" w:rsidRPr="00BF39AB">
        <w:rPr>
          <w:rFonts w:asciiTheme="minorHAnsi" w:hAnsiTheme="minorHAnsi" w:cstheme="minorHAnsi"/>
          <w:color w:val="4F81BD" w:themeColor="accent1"/>
          <w:sz w:val="30"/>
          <w:szCs w:val="30"/>
          <w:u w:color="0070C0"/>
        </w:rPr>
        <w:t>3</w:t>
      </w:r>
      <w:r w:rsidR="00926FD1">
        <w:rPr>
          <w:rFonts w:asciiTheme="minorHAnsi" w:hAnsiTheme="minorHAnsi" w:cstheme="minorHAnsi"/>
          <w:color w:val="4F81BD" w:themeColor="accent1"/>
          <w:sz w:val="30"/>
          <w:szCs w:val="30"/>
          <w:u w:color="0070C0"/>
        </w:rPr>
        <w:t>6</w:t>
      </w:r>
    </w:p>
    <w:p w:rsidR="0024421E" w:rsidRPr="00BF39AB" w:rsidRDefault="00926FD1" w:rsidP="0024421E">
      <w:pPr>
        <w:pStyle w:val="ListParagraph"/>
        <w:numPr>
          <w:ilvl w:val="0"/>
          <w:numId w:val="33"/>
        </w:numPr>
        <w:spacing w:line="336" w:lineRule="auto"/>
        <w:rPr>
          <w:rFonts w:asciiTheme="minorHAnsi" w:hAnsiTheme="minorHAnsi" w:cstheme="minorHAnsi"/>
          <w:color w:val="4F81BD" w:themeColor="accent1"/>
          <w:sz w:val="30"/>
          <w:szCs w:val="30"/>
          <w:u w:color="0070C0"/>
        </w:rPr>
      </w:pPr>
      <w:r>
        <w:rPr>
          <w:rFonts w:asciiTheme="minorHAnsi" w:hAnsiTheme="minorHAnsi" w:cstheme="minorHAnsi"/>
          <w:color w:val="4F81BD" w:themeColor="accent1"/>
          <w:sz w:val="30"/>
          <w:szCs w:val="30"/>
          <w:u w:color="0070C0"/>
        </w:rPr>
        <w:t>Sensitivity testing</w:t>
      </w:r>
      <w:r>
        <w:rPr>
          <w:rFonts w:asciiTheme="minorHAnsi" w:hAnsiTheme="minorHAnsi" w:cstheme="minorHAnsi"/>
          <w:color w:val="4F81BD" w:themeColor="accent1"/>
          <w:sz w:val="30"/>
          <w:szCs w:val="30"/>
          <w:u w:color="0070C0"/>
        </w:rPr>
        <w:tab/>
      </w:r>
      <w:r>
        <w:rPr>
          <w:rFonts w:asciiTheme="minorHAnsi" w:hAnsiTheme="minorHAnsi" w:cstheme="minorHAnsi"/>
          <w:color w:val="4F81BD" w:themeColor="accent1"/>
          <w:sz w:val="30"/>
          <w:szCs w:val="30"/>
          <w:u w:color="0070C0"/>
        </w:rPr>
        <w:tab/>
      </w:r>
      <w:r>
        <w:rPr>
          <w:rFonts w:asciiTheme="minorHAnsi" w:hAnsiTheme="minorHAnsi" w:cstheme="minorHAnsi"/>
          <w:color w:val="4F81BD" w:themeColor="accent1"/>
          <w:sz w:val="30"/>
          <w:szCs w:val="30"/>
          <w:u w:color="0070C0"/>
        </w:rPr>
        <w:tab/>
      </w:r>
      <w:r>
        <w:rPr>
          <w:rFonts w:asciiTheme="minorHAnsi" w:hAnsiTheme="minorHAnsi" w:cstheme="minorHAnsi"/>
          <w:color w:val="4F81BD" w:themeColor="accent1"/>
          <w:sz w:val="30"/>
          <w:szCs w:val="30"/>
          <w:u w:color="0070C0"/>
        </w:rPr>
        <w:tab/>
      </w:r>
      <w:r>
        <w:rPr>
          <w:rFonts w:asciiTheme="minorHAnsi" w:hAnsiTheme="minorHAnsi" w:cstheme="minorHAnsi"/>
          <w:color w:val="4F81BD" w:themeColor="accent1"/>
          <w:sz w:val="30"/>
          <w:szCs w:val="30"/>
          <w:u w:color="0070C0"/>
        </w:rPr>
        <w:tab/>
      </w:r>
      <w:r>
        <w:rPr>
          <w:rFonts w:asciiTheme="minorHAnsi" w:hAnsiTheme="minorHAnsi" w:cstheme="minorHAnsi"/>
          <w:color w:val="4F81BD" w:themeColor="accent1"/>
          <w:sz w:val="30"/>
          <w:szCs w:val="30"/>
          <w:u w:color="0070C0"/>
        </w:rPr>
        <w:tab/>
      </w:r>
      <w:r>
        <w:rPr>
          <w:rFonts w:asciiTheme="minorHAnsi" w:hAnsiTheme="minorHAnsi" w:cstheme="minorHAnsi"/>
          <w:color w:val="4F81BD" w:themeColor="accent1"/>
          <w:sz w:val="30"/>
          <w:szCs w:val="30"/>
          <w:u w:color="0070C0"/>
        </w:rPr>
        <w:tab/>
      </w:r>
      <w:r>
        <w:rPr>
          <w:rFonts w:asciiTheme="minorHAnsi" w:hAnsiTheme="minorHAnsi" w:cstheme="minorHAnsi"/>
          <w:color w:val="4F81BD" w:themeColor="accent1"/>
          <w:sz w:val="30"/>
          <w:szCs w:val="30"/>
          <w:u w:color="0070C0"/>
        </w:rPr>
        <w:tab/>
        <w:t>48</w:t>
      </w:r>
    </w:p>
    <w:p w:rsidR="00B90C1C" w:rsidRPr="00BF39AB" w:rsidRDefault="00A5091B" w:rsidP="002413B2">
      <w:pPr>
        <w:pStyle w:val="ListParagraph"/>
        <w:numPr>
          <w:ilvl w:val="0"/>
          <w:numId w:val="33"/>
        </w:numPr>
        <w:spacing w:line="336" w:lineRule="auto"/>
        <w:rPr>
          <w:rFonts w:asciiTheme="minorHAnsi" w:hAnsiTheme="minorHAnsi" w:cstheme="minorHAnsi"/>
          <w:color w:val="4F81BD" w:themeColor="accent1"/>
          <w:sz w:val="30"/>
          <w:szCs w:val="30"/>
          <w:u w:color="0070C0"/>
        </w:rPr>
      </w:pPr>
      <w:r w:rsidRPr="00BF39AB">
        <w:rPr>
          <w:rFonts w:asciiTheme="minorHAnsi" w:hAnsiTheme="minorHAnsi" w:cstheme="minorHAnsi"/>
          <w:color w:val="4F81BD" w:themeColor="accent1"/>
          <w:sz w:val="30"/>
          <w:szCs w:val="30"/>
          <w:u w:color="0070C0"/>
        </w:rPr>
        <w:t>Trade statistics</w:t>
      </w:r>
      <w:r w:rsidRPr="00BF39AB">
        <w:rPr>
          <w:rFonts w:asciiTheme="minorHAnsi" w:hAnsiTheme="minorHAnsi" w:cstheme="minorHAnsi"/>
          <w:color w:val="4F81BD" w:themeColor="accent1"/>
          <w:sz w:val="30"/>
          <w:szCs w:val="30"/>
          <w:u w:color="0070C0"/>
        </w:rPr>
        <w:tab/>
      </w:r>
      <w:r w:rsidR="00B90C1C" w:rsidRPr="00BF39AB">
        <w:rPr>
          <w:rFonts w:asciiTheme="minorHAnsi" w:hAnsiTheme="minorHAnsi" w:cstheme="minorHAnsi"/>
          <w:color w:val="4F81BD" w:themeColor="accent1"/>
          <w:sz w:val="30"/>
          <w:szCs w:val="30"/>
          <w:u w:color="0070C0"/>
        </w:rPr>
        <w:tab/>
      </w:r>
      <w:r w:rsidR="00B90C1C" w:rsidRPr="00BF39AB">
        <w:rPr>
          <w:rFonts w:asciiTheme="minorHAnsi" w:hAnsiTheme="minorHAnsi" w:cstheme="minorHAnsi"/>
          <w:color w:val="4F81BD" w:themeColor="accent1"/>
          <w:sz w:val="30"/>
          <w:szCs w:val="30"/>
          <w:u w:color="0070C0"/>
        </w:rPr>
        <w:tab/>
      </w:r>
      <w:r w:rsidR="00B90C1C" w:rsidRPr="00BF39AB">
        <w:rPr>
          <w:rFonts w:asciiTheme="minorHAnsi" w:hAnsiTheme="minorHAnsi" w:cstheme="minorHAnsi"/>
          <w:color w:val="4F81BD" w:themeColor="accent1"/>
          <w:sz w:val="30"/>
          <w:szCs w:val="30"/>
          <w:u w:color="0070C0"/>
        </w:rPr>
        <w:tab/>
      </w:r>
      <w:r w:rsidR="00B90C1C" w:rsidRPr="00BF39AB">
        <w:rPr>
          <w:rFonts w:asciiTheme="minorHAnsi" w:hAnsiTheme="minorHAnsi" w:cstheme="minorHAnsi"/>
          <w:color w:val="4F81BD" w:themeColor="accent1"/>
          <w:sz w:val="30"/>
          <w:szCs w:val="30"/>
          <w:u w:color="0070C0"/>
        </w:rPr>
        <w:tab/>
      </w:r>
      <w:r w:rsidR="00B75733" w:rsidRPr="00BF39AB">
        <w:rPr>
          <w:rFonts w:asciiTheme="minorHAnsi" w:hAnsiTheme="minorHAnsi" w:cstheme="minorHAnsi"/>
          <w:color w:val="4F81BD" w:themeColor="accent1"/>
          <w:sz w:val="30"/>
          <w:szCs w:val="30"/>
          <w:u w:color="0070C0"/>
        </w:rPr>
        <w:tab/>
      </w:r>
      <w:r w:rsidR="00B75733" w:rsidRPr="00BF39AB">
        <w:rPr>
          <w:rFonts w:asciiTheme="minorHAnsi" w:hAnsiTheme="minorHAnsi" w:cstheme="minorHAnsi"/>
          <w:color w:val="4F81BD" w:themeColor="accent1"/>
          <w:sz w:val="30"/>
          <w:szCs w:val="30"/>
          <w:u w:color="0070C0"/>
        </w:rPr>
        <w:tab/>
      </w:r>
      <w:r w:rsidR="00B90C1C" w:rsidRPr="00BF39AB">
        <w:rPr>
          <w:rFonts w:asciiTheme="minorHAnsi" w:hAnsiTheme="minorHAnsi" w:cstheme="minorHAnsi"/>
          <w:color w:val="4F81BD" w:themeColor="accent1"/>
          <w:sz w:val="30"/>
          <w:szCs w:val="30"/>
          <w:u w:color="0070C0"/>
        </w:rPr>
        <w:tab/>
      </w:r>
      <w:r w:rsidR="00153FC0" w:rsidRPr="00BF39AB">
        <w:rPr>
          <w:rFonts w:asciiTheme="minorHAnsi" w:hAnsiTheme="minorHAnsi" w:cstheme="minorHAnsi"/>
          <w:color w:val="4F81BD" w:themeColor="accent1"/>
          <w:sz w:val="30"/>
          <w:szCs w:val="30"/>
          <w:u w:color="0070C0"/>
        </w:rPr>
        <w:t>5</w:t>
      </w:r>
      <w:r w:rsidR="00926FD1">
        <w:rPr>
          <w:rFonts w:asciiTheme="minorHAnsi" w:hAnsiTheme="minorHAnsi" w:cstheme="minorHAnsi"/>
          <w:color w:val="4F81BD" w:themeColor="accent1"/>
          <w:sz w:val="30"/>
          <w:szCs w:val="30"/>
          <w:u w:color="0070C0"/>
        </w:rPr>
        <w:t>3</w:t>
      </w:r>
    </w:p>
    <w:p w:rsidR="00185F08" w:rsidRPr="00BF39AB" w:rsidRDefault="00C247B5" w:rsidP="00BF7A32">
      <w:pPr>
        <w:spacing w:line="360" w:lineRule="auto"/>
        <w:rPr>
          <w:rFonts w:asciiTheme="minorHAnsi" w:hAnsiTheme="minorHAnsi" w:cstheme="minorHAnsi"/>
          <w:b/>
          <w:color w:val="4F81BD" w:themeColor="accent1"/>
          <w:sz w:val="32"/>
          <w:u w:color="996633"/>
        </w:rPr>
      </w:pPr>
      <w:r w:rsidRPr="00BF39AB">
        <w:rPr>
          <w:rFonts w:asciiTheme="minorHAnsi" w:hAnsiTheme="minorHAnsi" w:cstheme="minorHAnsi"/>
          <w:b/>
          <w:noProof/>
          <w:color w:val="4F81BD" w:themeColor="accent1"/>
          <w:sz w:val="30"/>
          <w:szCs w:val="30"/>
          <w:u w:val="single" w:color="996633"/>
          <w:lang w:eastAsia="en-AU"/>
        </w:rPr>
        <mc:AlternateContent>
          <mc:Choice Requires="wps">
            <w:drawing>
              <wp:anchor distT="0" distB="0" distL="114300" distR="114300" simplePos="0" relativeHeight="251741184" behindDoc="0" locked="0" layoutInCell="1" allowOverlap="1" wp14:anchorId="4B91F95E" wp14:editId="3A186E6E">
                <wp:simplePos x="0" y="0"/>
                <wp:positionH relativeFrom="column">
                  <wp:posOffset>5560695</wp:posOffset>
                </wp:positionH>
                <wp:positionV relativeFrom="page">
                  <wp:posOffset>10012045</wp:posOffset>
                </wp:positionV>
                <wp:extent cx="565150" cy="381000"/>
                <wp:effectExtent l="0" t="0" r="254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37.85pt;margin-top:788.35pt;width:44.5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" fillcolor="white [3212]" strokecolor="white [3212]" strokeweight="2pt">
                <v:path arrowok="t"/>
                <w10:wrap anchory="page"/>
              </v:rect>
            </w:pict>
          </mc:Fallback>
        </mc:AlternateContent>
      </w:r>
      <w:r w:rsidRPr="00BF39AB">
        <w:rPr>
          <w:rFonts w:asciiTheme="minorHAnsi" w:hAnsiTheme="minorHAnsi" w:cstheme="minorHAnsi"/>
          <w:b/>
          <w:color w:val="4F81BD" w:themeColor="accent1"/>
          <w:sz w:val="30"/>
          <w:szCs w:val="30"/>
          <w:u w:val="single" w:color="996633"/>
        </w:rPr>
        <w:t>References</w:t>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ab/>
      </w:r>
      <w:r w:rsidR="00B81743" w:rsidRPr="00BF39AB">
        <w:rPr>
          <w:rFonts w:asciiTheme="minorHAnsi" w:hAnsiTheme="minorHAnsi" w:cstheme="minorHAnsi"/>
          <w:b/>
          <w:color w:val="4F81BD" w:themeColor="accent1"/>
          <w:sz w:val="30"/>
          <w:szCs w:val="30"/>
          <w:u w:val="single" w:color="996633"/>
        </w:rPr>
        <w:tab/>
      </w:r>
      <w:r w:rsidRPr="00BF39AB">
        <w:rPr>
          <w:rFonts w:asciiTheme="minorHAnsi" w:hAnsiTheme="minorHAnsi" w:cstheme="minorHAnsi"/>
          <w:b/>
          <w:color w:val="4F81BD" w:themeColor="accent1"/>
          <w:sz w:val="30"/>
          <w:szCs w:val="30"/>
          <w:u w:val="single" w:color="996633"/>
        </w:rPr>
        <w:t xml:space="preserve">          </w:t>
      </w:r>
      <w:r w:rsidR="00153FC0" w:rsidRPr="00BF39AB">
        <w:rPr>
          <w:rFonts w:asciiTheme="minorHAnsi" w:hAnsiTheme="minorHAnsi" w:cstheme="minorHAnsi"/>
          <w:b/>
          <w:color w:val="4F81BD" w:themeColor="accent1"/>
          <w:sz w:val="30"/>
          <w:szCs w:val="30"/>
          <w:u w:val="single" w:color="996633"/>
        </w:rPr>
        <w:t>5</w:t>
      </w:r>
      <w:r w:rsidR="00926FD1">
        <w:rPr>
          <w:rFonts w:asciiTheme="minorHAnsi" w:hAnsiTheme="minorHAnsi" w:cstheme="minorHAnsi"/>
          <w:b/>
          <w:color w:val="4F81BD" w:themeColor="accent1"/>
          <w:sz w:val="30"/>
          <w:szCs w:val="30"/>
          <w:u w:val="single" w:color="996633"/>
        </w:rPr>
        <w:t>4</w:t>
      </w:r>
    </w:p>
    <w:p w:rsidR="0002329B" w:rsidRDefault="00117DFA">
      <w:pPr>
        <w:rPr>
          <w:rFonts w:asciiTheme="minorHAnsi" w:hAnsiTheme="minorHAnsi" w:cstheme="minorHAnsi"/>
          <w:b/>
          <w:color w:val="996633"/>
          <w:sz w:val="40"/>
        </w:rPr>
      </w:pPr>
      <w:r w:rsidRPr="00BF39AB">
        <w:rPr>
          <w:rFonts w:asciiTheme="minorHAnsi" w:hAnsiTheme="minorHAnsi" w:cstheme="minorHAnsi"/>
          <w:b/>
          <w:noProof/>
          <w:color w:val="4F81BD" w:themeColor="accent1"/>
          <w:sz w:val="30"/>
          <w:szCs w:val="30"/>
          <w:u w:val="single" w:color="996633"/>
          <w:lang w:eastAsia="en-AU"/>
        </w:rPr>
        <mc:AlternateContent>
          <mc:Choice Requires="wps">
            <w:drawing>
              <wp:anchor distT="0" distB="0" distL="114300" distR="114300" simplePos="0" relativeHeight="251723776" behindDoc="0" locked="0" layoutInCell="1" allowOverlap="1" wp14:anchorId="31F8147C" wp14:editId="1536B7E9">
                <wp:simplePos x="0" y="0"/>
                <wp:positionH relativeFrom="column">
                  <wp:posOffset>5560695</wp:posOffset>
                </wp:positionH>
                <wp:positionV relativeFrom="page">
                  <wp:posOffset>10022346</wp:posOffset>
                </wp:positionV>
                <wp:extent cx="565150" cy="381000"/>
                <wp:effectExtent l="0" t="0" r="2540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437.85pt;margin-top:789.15pt;width:44.5pt;height:3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" fillcolor="white [3212]" strokecolor="white [3212]" strokeweight="2pt">
                <v:path arrowok="t"/>
                <w10:wrap anchory="page"/>
              </v:rect>
            </w:pict>
          </mc:Fallback>
        </mc:AlternateContent>
      </w:r>
      <w:r w:rsidR="002413B2">
        <w:rPr>
          <w:rFonts w:asciiTheme="minorHAnsi" w:hAnsiTheme="minorHAnsi" w:cstheme="minorHAnsi"/>
          <w:noProof/>
          <w:color w:val="000000" w:themeColor="text1"/>
          <w:sz w:val="22"/>
          <w:lang w:eastAsia="en-AU"/>
        </w:rPr>
        <mc:AlternateContent>
          <mc:Choice Requires="wps">
            <w:drawing>
              <wp:anchor distT="0" distB="0" distL="114300" distR="114300" simplePos="0" relativeHeight="251725824" behindDoc="0" locked="0" layoutInCell="1" allowOverlap="1" wp14:anchorId="58A660CE" wp14:editId="01DC92D6">
                <wp:simplePos x="0" y="0"/>
                <wp:positionH relativeFrom="column">
                  <wp:posOffset>5561330</wp:posOffset>
                </wp:positionH>
                <wp:positionV relativeFrom="page">
                  <wp:posOffset>10050145</wp:posOffset>
                </wp:positionV>
                <wp:extent cx="565150" cy="381000"/>
                <wp:effectExtent l="0" t="0" r="2540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437.9pt;margin-top:791.35pt;width:44.5pt;height:3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" fillcolor="white [3212]" strokecolor="white [3212]" strokeweight="2pt">
                <v:path arrowok="t"/>
                <w10:wrap anchory="page"/>
              </v:rect>
            </w:pict>
          </mc:Fallback>
        </mc:AlternateContent>
      </w:r>
      <w:r w:rsidR="00B90C1C">
        <w:rPr>
          <w:rFonts w:asciiTheme="minorHAnsi" w:hAnsiTheme="minorHAnsi" w:cstheme="minorHAnsi"/>
          <w:b/>
          <w:color w:val="0070C0"/>
          <w:sz w:val="40"/>
        </w:rPr>
        <w:br w:type="page"/>
      </w:r>
      <w:r w:rsidR="0002329B" w:rsidRPr="0002329B">
        <w:rPr>
          <w:rFonts w:asciiTheme="minorHAnsi" w:hAnsiTheme="minorHAnsi" w:cstheme="minorHAnsi"/>
          <w:b/>
          <w:color w:val="996633"/>
          <w:sz w:val="40"/>
        </w:rPr>
        <w:lastRenderedPageBreak/>
        <w:t>List of Tables</w:t>
      </w:r>
      <w:r w:rsidR="0002329B">
        <w:rPr>
          <w:rFonts w:asciiTheme="minorHAnsi" w:hAnsiTheme="minorHAnsi" w:cstheme="minorHAnsi"/>
          <w:b/>
          <w:color w:val="996633"/>
          <w:sz w:val="40"/>
        </w:rPr>
        <w:t xml:space="preserve"> and Figures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368"/>
      </w:tblGrid>
      <w:tr w:rsidR="00C52436" w:rsidRPr="00C52436" w:rsidTr="00C52436">
        <w:tc>
          <w:tcPr>
            <w:tcW w:w="7938" w:type="dxa"/>
          </w:tcPr>
          <w:p w:rsidR="00C52436" w:rsidRPr="00C52436" w:rsidRDefault="00C52436" w:rsidP="00C52436">
            <w:pPr>
              <w:pStyle w:val="NormalWeb"/>
              <w:spacing w:before="0" w:beforeAutospacing="0" w:after="0" w:afterAutospacing="0"/>
              <w:rPr>
                <w:rFonts w:asciiTheme="minorHAnsi" w:hAnsiTheme="minorHAnsi"/>
                <w:color w:val="4F81BD" w:themeColor="accent1"/>
                <w:sz w:val="20"/>
              </w:rPr>
            </w:pPr>
            <w:r w:rsidRPr="00C52436">
              <w:rPr>
                <w:rFonts w:asciiTheme="minorHAnsi" w:hAnsiTheme="minorHAnsi"/>
                <w:b/>
                <w:color w:val="4F81BD" w:themeColor="accent1"/>
                <w:sz w:val="20"/>
              </w:rPr>
              <w:t>Table 1:</w:t>
            </w:r>
            <w:r w:rsidRPr="00C52436">
              <w:rPr>
                <w:rFonts w:asciiTheme="minorHAnsi" w:hAnsiTheme="minorHAnsi"/>
                <w:color w:val="4F81BD" w:themeColor="accent1"/>
                <w:sz w:val="20"/>
              </w:rPr>
              <w:t xml:space="preserve"> Summary of climate targets in the Current Policies and Paris Scenarios</w:t>
            </w:r>
          </w:p>
        </w:tc>
        <w:tc>
          <w:tcPr>
            <w:tcW w:w="368" w:type="dxa"/>
            <w:vAlign w:val="bottom"/>
          </w:tcPr>
          <w:p w:rsidR="00C52436" w:rsidRPr="00C52436" w:rsidRDefault="00926FD1" w:rsidP="00C52436">
            <w:pPr>
              <w:pStyle w:val="NormalWeb"/>
              <w:spacing w:before="0" w:beforeAutospacing="0" w:after="0" w:afterAutospacing="0"/>
              <w:jc w:val="right"/>
              <w:rPr>
                <w:rFonts w:asciiTheme="minorHAnsi" w:hAnsiTheme="minorHAnsi"/>
                <w:color w:val="4F81BD" w:themeColor="accent1"/>
                <w:sz w:val="20"/>
              </w:rPr>
            </w:pPr>
            <w:r>
              <w:rPr>
                <w:rFonts w:asciiTheme="minorHAnsi" w:hAnsiTheme="minorHAnsi"/>
                <w:color w:val="4F81BD" w:themeColor="accent1"/>
                <w:sz w:val="20"/>
              </w:rPr>
              <w:t>9</w:t>
            </w:r>
          </w:p>
        </w:tc>
      </w:tr>
      <w:tr w:rsidR="00C52436" w:rsidRPr="00C52436" w:rsidTr="00C52436">
        <w:tc>
          <w:tcPr>
            <w:tcW w:w="7938" w:type="dxa"/>
          </w:tcPr>
          <w:p w:rsidR="00C52436" w:rsidRPr="00C52436" w:rsidRDefault="00C52436" w:rsidP="00C52436">
            <w:pPr>
              <w:pStyle w:val="NormalWeb"/>
              <w:spacing w:before="0" w:beforeAutospacing="0" w:after="0" w:afterAutospacing="0"/>
              <w:rPr>
                <w:rFonts w:asciiTheme="minorHAnsi" w:hAnsiTheme="minorHAnsi"/>
                <w:b/>
                <w:color w:val="4F81BD" w:themeColor="accent1"/>
                <w:sz w:val="20"/>
              </w:rPr>
            </w:pPr>
            <w:r w:rsidRPr="00C52436">
              <w:rPr>
                <w:rFonts w:asciiTheme="minorHAnsi" w:hAnsiTheme="minorHAnsi"/>
                <w:b/>
                <w:color w:val="4F81BD" w:themeColor="accent1"/>
                <w:sz w:val="20"/>
              </w:rPr>
              <w:t xml:space="preserve">Table 2: </w:t>
            </w:r>
            <w:r w:rsidRPr="00C52436">
              <w:rPr>
                <w:rFonts w:asciiTheme="minorHAnsi" w:hAnsiTheme="minorHAnsi"/>
                <w:color w:val="4F81BD" w:themeColor="accent1"/>
                <w:sz w:val="20"/>
              </w:rPr>
              <w:t>Regions and sectors</w:t>
            </w:r>
          </w:p>
        </w:tc>
        <w:tc>
          <w:tcPr>
            <w:tcW w:w="368" w:type="dxa"/>
            <w:vAlign w:val="bottom"/>
          </w:tcPr>
          <w:p w:rsidR="00C52436" w:rsidRPr="00C52436" w:rsidRDefault="00926FD1" w:rsidP="00C52436">
            <w:pPr>
              <w:pStyle w:val="NormalWeb"/>
              <w:spacing w:before="0" w:beforeAutospacing="0" w:after="0" w:afterAutospacing="0"/>
              <w:jc w:val="right"/>
              <w:rPr>
                <w:rFonts w:asciiTheme="minorHAnsi" w:hAnsiTheme="minorHAnsi"/>
                <w:color w:val="4F81BD" w:themeColor="accent1"/>
                <w:sz w:val="20"/>
              </w:rPr>
            </w:pPr>
            <w:r>
              <w:rPr>
                <w:rFonts w:asciiTheme="minorHAnsi" w:hAnsiTheme="minorHAnsi"/>
                <w:color w:val="4F81BD" w:themeColor="accent1"/>
                <w:sz w:val="20"/>
              </w:rPr>
              <w:t>10</w:t>
            </w:r>
          </w:p>
        </w:tc>
      </w:tr>
      <w:tr w:rsidR="00C52436" w:rsidRPr="00C52436" w:rsidTr="00C52436">
        <w:tc>
          <w:tcPr>
            <w:tcW w:w="7938" w:type="dxa"/>
          </w:tcPr>
          <w:p w:rsidR="00C52436" w:rsidRPr="00C52436" w:rsidRDefault="00C52436" w:rsidP="00C52436">
            <w:pPr>
              <w:pStyle w:val="ListParagraph"/>
              <w:ind w:left="0"/>
              <w:contextualSpacing w:val="0"/>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Table 3: </w:t>
            </w:r>
            <w:r w:rsidRPr="00C52436">
              <w:rPr>
                <w:rFonts w:asciiTheme="minorHAnsi" w:hAnsiTheme="minorHAnsi" w:cstheme="minorHAnsi"/>
                <w:color w:val="4F81BD" w:themeColor="accent1"/>
                <w:sz w:val="20"/>
              </w:rPr>
              <w:t>Target impacts on GDP and GNI, key countries, 2030 (percentage deviation)</w:t>
            </w:r>
          </w:p>
        </w:tc>
        <w:tc>
          <w:tcPr>
            <w:tcW w:w="368" w:type="dxa"/>
            <w:vAlign w:val="bottom"/>
          </w:tcPr>
          <w:p w:rsidR="00C52436" w:rsidRPr="00C52436" w:rsidRDefault="00C52436" w:rsidP="00926FD1">
            <w:pPr>
              <w:pStyle w:val="ListParagraph"/>
              <w:ind w:left="0"/>
              <w:contextualSpacing w:val="0"/>
              <w:jc w:val="right"/>
              <w:rPr>
                <w:rFonts w:asciiTheme="minorHAnsi" w:hAnsiTheme="minorHAnsi" w:cstheme="minorHAnsi"/>
                <w:color w:val="4F81BD" w:themeColor="accent1"/>
                <w:sz w:val="20"/>
              </w:rPr>
            </w:pPr>
            <w:r w:rsidRPr="00C52436">
              <w:rPr>
                <w:rFonts w:asciiTheme="minorHAnsi" w:hAnsiTheme="minorHAnsi" w:cstheme="minorHAnsi"/>
                <w:color w:val="4F81BD" w:themeColor="accent1"/>
                <w:sz w:val="20"/>
              </w:rPr>
              <w:t>2</w:t>
            </w:r>
            <w:r w:rsidR="00926FD1">
              <w:rPr>
                <w:rFonts w:asciiTheme="minorHAnsi" w:hAnsiTheme="minorHAnsi" w:cstheme="minorHAnsi"/>
                <w:color w:val="4F81BD" w:themeColor="accent1"/>
                <w:sz w:val="20"/>
              </w:rPr>
              <w:t>3</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Table A-1:</w:t>
            </w:r>
            <w:r w:rsidRPr="00C52436">
              <w:rPr>
                <w:rFonts w:asciiTheme="minorHAnsi" w:hAnsiTheme="minorHAnsi" w:cstheme="minorHAnsi"/>
                <w:color w:val="4F81BD" w:themeColor="accent1"/>
                <w:sz w:val="20"/>
              </w:rPr>
              <w:t xml:space="preserve"> Parties that have submitted post-2020 targets to the UNFCCC as at 11 August 2015.</w:t>
            </w:r>
          </w:p>
        </w:tc>
        <w:tc>
          <w:tcPr>
            <w:tcW w:w="368" w:type="dxa"/>
            <w:vAlign w:val="bottom"/>
          </w:tcPr>
          <w:p w:rsidR="00C52436" w:rsidRPr="00C52436" w:rsidRDefault="00C52436" w:rsidP="00926FD1">
            <w:pPr>
              <w:jc w:val="right"/>
              <w:rPr>
                <w:rFonts w:asciiTheme="minorHAnsi" w:hAnsiTheme="minorHAnsi" w:cstheme="minorHAnsi"/>
                <w:color w:val="4F81BD" w:themeColor="accent1"/>
                <w:sz w:val="20"/>
              </w:rPr>
            </w:pPr>
            <w:r w:rsidRPr="00C52436">
              <w:rPr>
                <w:rFonts w:asciiTheme="minorHAnsi" w:hAnsiTheme="minorHAnsi" w:cstheme="minorHAnsi"/>
                <w:color w:val="4F81BD" w:themeColor="accent1"/>
                <w:sz w:val="20"/>
              </w:rPr>
              <w:t>2</w:t>
            </w:r>
            <w:r w:rsidR="00926FD1">
              <w:rPr>
                <w:rFonts w:asciiTheme="minorHAnsi" w:hAnsiTheme="minorHAnsi" w:cstheme="minorHAnsi"/>
                <w:color w:val="4F81BD" w:themeColor="accent1"/>
                <w:sz w:val="20"/>
              </w:rPr>
              <w:t>8</w:t>
            </w:r>
          </w:p>
        </w:tc>
      </w:tr>
      <w:tr w:rsidR="00C52436" w:rsidRPr="00C52436" w:rsidTr="00C52436">
        <w:tc>
          <w:tcPr>
            <w:tcW w:w="7938" w:type="dxa"/>
          </w:tcPr>
          <w:p w:rsidR="00C52436" w:rsidRPr="00C52436" w:rsidRDefault="00C52436" w:rsidP="00DD6B28">
            <w:pPr>
              <w:pStyle w:val="ListParagraph"/>
              <w:ind w:left="0"/>
              <w:contextualSpacing w:val="0"/>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Table B-1:</w:t>
            </w:r>
            <w:r w:rsidRPr="00C52436">
              <w:rPr>
                <w:rFonts w:asciiTheme="minorHAnsi" w:hAnsiTheme="minorHAnsi" w:cstheme="minorHAnsi"/>
                <w:color w:val="4F81BD" w:themeColor="accent1"/>
                <w:sz w:val="20"/>
              </w:rPr>
              <w:t xml:space="preserve"> Regional groupings in G-cubed model version E123</w:t>
            </w:r>
          </w:p>
        </w:tc>
        <w:tc>
          <w:tcPr>
            <w:tcW w:w="368" w:type="dxa"/>
            <w:vAlign w:val="bottom"/>
          </w:tcPr>
          <w:p w:rsidR="00C52436" w:rsidRPr="00C52436" w:rsidRDefault="00C52436" w:rsidP="00926FD1">
            <w:pPr>
              <w:pStyle w:val="ListParagraph"/>
              <w:ind w:left="0"/>
              <w:contextualSpacing w:val="0"/>
              <w:jc w:val="right"/>
              <w:rPr>
                <w:rFonts w:asciiTheme="minorHAnsi" w:hAnsiTheme="minorHAnsi" w:cstheme="minorHAnsi"/>
                <w:color w:val="4F81BD" w:themeColor="accent1"/>
                <w:sz w:val="20"/>
              </w:rPr>
            </w:pPr>
            <w:r w:rsidRPr="00C52436">
              <w:rPr>
                <w:rFonts w:asciiTheme="minorHAnsi" w:hAnsiTheme="minorHAnsi" w:cstheme="minorHAnsi"/>
                <w:color w:val="4F81BD" w:themeColor="accent1"/>
                <w:sz w:val="20"/>
              </w:rPr>
              <w:t>3</w:t>
            </w:r>
            <w:r w:rsidR="00926FD1">
              <w:rPr>
                <w:rFonts w:asciiTheme="minorHAnsi" w:hAnsiTheme="minorHAnsi" w:cstheme="minorHAnsi"/>
                <w:color w:val="4F81BD" w:themeColor="accent1"/>
                <w:sz w:val="20"/>
              </w:rPr>
              <w:t>2</w:t>
            </w:r>
          </w:p>
        </w:tc>
      </w:tr>
      <w:tr w:rsidR="00C52436" w:rsidRPr="00C52436" w:rsidTr="00C52436">
        <w:tc>
          <w:tcPr>
            <w:tcW w:w="7938" w:type="dxa"/>
          </w:tcPr>
          <w:p w:rsidR="00C52436" w:rsidRPr="00C52436" w:rsidRDefault="00C52436" w:rsidP="00C52436">
            <w:pPr>
              <w:pStyle w:val="ListParagraph"/>
              <w:ind w:left="0"/>
              <w:contextualSpacing w:val="0"/>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Table B-2:</w:t>
            </w:r>
            <w:r w:rsidRPr="00C52436">
              <w:rPr>
                <w:rFonts w:asciiTheme="minorHAnsi" w:hAnsiTheme="minorHAnsi" w:cstheme="minorHAnsi"/>
                <w:color w:val="4F81BD" w:themeColor="accent1"/>
                <w:sz w:val="20"/>
              </w:rPr>
              <w:t xml:space="preserve"> G-cubed sector mappings to International Standard Industrial Classification of All Economic Activities Revision 3.1 </w:t>
            </w:r>
          </w:p>
        </w:tc>
        <w:tc>
          <w:tcPr>
            <w:tcW w:w="368" w:type="dxa"/>
            <w:vAlign w:val="bottom"/>
          </w:tcPr>
          <w:p w:rsidR="00C52436" w:rsidRPr="00C52436" w:rsidRDefault="00C52436" w:rsidP="00926FD1">
            <w:pPr>
              <w:pStyle w:val="ListParagraph"/>
              <w:ind w:left="0"/>
              <w:contextualSpacing w:val="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3</w:t>
            </w:r>
            <w:r w:rsidR="00926FD1">
              <w:rPr>
                <w:rFonts w:asciiTheme="minorHAnsi" w:hAnsiTheme="minorHAnsi" w:cstheme="minorHAnsi"/>
                <w:color w:val="4F81BD" w:themeColor="accent1"/>
                <w:sz w:val="20"/>
              </w:rPr>
              <w:t>2</w:t>
            </w:r>
          </w:p>
        </w:tc>
      </w:tr>
      <w:tr w:rsidR="00C52436" w:rsidRPr="00C52436" w:rsidTr="00C52436">
        <w:tc>
          <w:tcPr>
            <w:tcW w:w="7938" w:type="dxa"/>
          </w:tcPr>
          <w:p w:rsidR="00C52436" w:rsidRPr="00C52436" w:rsidRDefault="00C52436" w:rsidP="00C52436">
            <w:pPr>
              <w:pStyle w:val="TableText"/>
              <w:spacing w:before="0" w:after="0" w:line="240" w:lineRule="auto"/>
              <w:rPr>
                <w:rFonts w:asciiTheme="minorHAnsi" w:hAnsiTheme="minorHAnsi" w:cstheme="minorHAnsi"/>
                <w:color w:val="4F81BD" w:themeColor="accent1"/>
              </w:rPr>
            </w:pPr>
            <w:r w:rsidRPr="00C52436">
              <w:rPr>
                <w:rFonts w:asciiTheme="minorHAnsi" w:hAnsiTheme="minorHAnsi" w:cstheme="minorHAnsi"/>
                <w:b/>
                <w:color w:val="4F81BD" w:themeColor="accent1"/>
              </w:rPr>
              <w:t>Table B-3:</w:t>
            </w:r>
            <w:r w:rsidRPr="00C52436">
              <w:rPr>
                <w:rFonts w:asciiTheme="minorHAnsi" w:hAnsiTheme="minorHAnsi" w:cstheme="minorHAnsi"/>
                <w:color w:val="4F81BD" w:themeColor="accent1"/>
              </w:rPr>
              <w:t xml:space="preserve"> Technical characteristics of G-cubed model version E123</w:t>
            </w:r>
          </w:p>
        </w:tc>
        <w:tc>
          <w:tcPr>
            <w:tcW w:w="368" w:type="dxa"/>
            <w:vAlign w:val="bottom"/>
          </w:tcPr>
          <w:p w:rsidR="00C52436" w:rsidRPr="00C52436" w:rsidRDefault="00C52436" w:rsidP="00926FD1">
            <w:pPr>
              <w:pStyle w:val="TableText"/>
              <w:spacing w:before="0" w:after="0" w:line="240" w:lineRule="auto"/>
              <w:jc w:val="right"/>
              <w:rPr>
                <w:rFonts w:asciiTheme="minorHAnsi" w:hAnsiTheme="minorHAnsi" w:cstheme="minorHAnsi"/>
                <w:color w:val="4F81BD" w:themeColor="accent1"/>
              </w:rPr>
            </w:pPr>
            <w:r>
              <w:rPr>
                <w:rFonts w:asciiTheme="minorHAnsi" w:hAnsiTheme="minorHAnsi" w:cstheme="minorHAnsi"/>
                <w:color w:val="4F81BD" w:themeColor="accent1"/>
              </w:rPr>
              <w:t>3</w:t>
            </w:r>
            <w:r w:rsidR="00926FD1">
              <w:rPr>
                <w:rFonts w:asciiTheme="minorHAnsi" w:hAnsiTheme="minorHAnsi" w:cstheme="minorHAnsi"/>
                <w:color w:val="4F81BD" w:themeColor="accent1"/>
              </w:rPr>
              <w:t>4</w:t>
            </w:r>
          </w:p>
        </w:tc>
      </w:tr>
      <w:tr w:rsidR="00C52436" w:rsidRPr="00C52436" w:rsidTr="00C52436">
        <w:tc>
          <w:tcPr>
            <w:tcW w:w="7938" w:type="dxa"/>
          </w:tcPr>
          <w:p w:rsidR="00C52436" w:rsidRPr="00C52436" w:rsidRDefault="00C52436" w:rsidP="00C52436">
            <w:pPr>
              <w:pStyle w:val="TableText"/>
              <w:spacing w:before="0" w:after="0" w:line="240" w:lineRule="auto"/>
              <w:rPr>
                <w:rFonts w:asciiTheme="minorHAnsi" w:hAnsiTheme="minorHAnsi" w:cstheme="minorHAnsi"/>
                <w:color w:val="4F81BD" w:themeColor="accent1"/>
              </w:rPr>
            </w:pPr>
            <w:r w:rsidRPr="00C52436">
              <w:rPr>
                <w:rFonts w:asciiTheme="minorHAnsi" w:hAnsiTheme="minorHAnsi" w:cstheme="minorHAnsi"/>
                <w:b/>
                <w:color w:val="4F81BD" w:themeColor="accent1"/>
              </w:rPr>
              <w:t>Table B-4:</w:t>
            </w:r>
            <w:r w:rsidRPr="00C52436">
              <w:rPr>
                <w:rFonts w:asciiTheme="minorHAnsi" w:hAnsiTheme="minorHAnsi" w:cstheme="minorHAnsi"/>
                <w:color w:val="4F81BD" w:themeColor="accent1"/>
              </w:rPr>
              <w:t xml:space="preserve"> Modelling assumptions: macroeconomic parameters and emissions</w:t>
            </w:r>
          </w:p>
        </w:tc>
        <w:tc>
          <w:tcPr>
            <w:tcW w:w="368" w:type="dxa"/>
            <w:vAlign w:val="bottom"/>
          </w:tcPr>
          <w:p w:rsidR="00C52436" w:rsidRPr="00C52436" w:rsidRDefault="00C52436" w:rsidP="00926FD1">
            <w:pPr>
              <w:pStyle w:val="TableText"/>
              <w:spacing w:before="0" w:after="0" w:line="240" w:lineRule="auto"/>
              <w:jc w:val="right"/>
              <w:rPr>
                <w:rFonts w:asciiTheme="minorHAnsi" w:hAnsiTheme="minorHAnsi" w:cstheme="minorHAnsi"/>
                <w:color w:val="4F81BD" w:themeColor="accent1"/>
              </w:rPr>
            </w:pPr>
            <w:r>
              <w:rPr>
                <w:rFonts w:asciiTheme="minorHAnsi" w:hAnsiTheme="minorHAnsi" w:cstheme="minorHAnsi"/>
                <w:color w:val="4F81BD" w:themeColor="accent1"/>
              </w:rPr>
              <w:t>3</w:t>
            </w:r>
            <w:r w:rsidR="00926FD1">
              <w:rPr>
                <w:rFonts w:asciiTheme="minorHAnsi" w:hAnsiTheme="minorHAnsi" w:cstheme="minorHAnsi"/>
                <w:color w:val="4F81BD" w:themeColor="accent1"/>
              </w:rPr>
              <w:t>5</w:t>
            </w:r>
          </w:p>
        </w:tc>
      </w:tr>
      <w:tr w:rsidR="00C52436" w:rsidRPr="00C52436" w:rsidTr="00C52436">
        <w:tc>
          <w:tcPr>
            <w:tcW w:w="7938" w:type="dxa"/>
          </w:tcPr>
          <w:p w:rsidR="00C52436" w:rsidRPr="00C52436" w:rsidRDefault="00C52436" w:rsidP="00C52436">
            <w:pPr>
              <w:rPr>
                <w:rFonts w:asciiTheme="minorHAnsi" w:hAnsiTheme="minorHAnsi" w:cstheme="minorHAnsi"/>
                <w:b/>
                <w:color w:val="4F81BD" w:themeColor="accent1"/>
                <w:sz w:val="20"/>
              </w:rPr>
            </w:pPr>
            <w:r w:rsidRPr="00C52436">
              <w:rPr>
                <w:rFonts w:asciiTheme="minorHAnsi" w:hAnsiTheme="minorHAnsi" w:cstheme="minorHAnsi"/>
                <w:b/>
                <w:color w:val="4F81BD" w:themeColor="accent1"/>
                <w:sz w:val="20"/>
              </w:rPr>
              <w:t xml:space="preserve">Table E-1: </w:t>
            </w:r>
            <w:r w:rsidRPr="00C52436">
              <w:rPr>
                <w:rFonts w:asciiTheme="minorHAnsi" w:hAnsiTheme="minorHAnsi" w:cstheme="minorHAnsi"/>
                <w:color w:val="4F81BD" w:themeColor="accent1"/>
                <w:sz w:val="20"/>
              </w:rPr>
              <w:t>AUSTRALIA'S TOP 10 GOODS &amp; SERVICES EXPORTS, 2014</w:t>
            </w:r>
          </w:p>
        </w:tc>
        <w:tc>
          <w:tcPr>
            <w:tcW w:w="368" w:type="dxa"/>
            <w:vAlign w:val="bottom"/>
          </w:tcPr>
          <w:p w:rsidR="00C52436" w:rsidRPr="00C52436" w:rsidRDefault="00C52436" w:rsidP="00926FD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5</w:t>
            </w:r>
            <w:r w:rsidR="00926FD1">
              <w:rPr>
                <w:rFonts w:asciiTheme="minorHAnsi" w:hAnsiTheme="minorHAnsi" w:cstheme="minorHAnsi"/>
                <w:color w:val="4F81BD" w:themeColor="accent1"/>
                <w:sz w:val="20"/>
              </w:rPr>
              <w:t>3</w:t>
            </w:r>
          </w:p>
        </w:tc>
      </w:tr>
      <w:tr w:rsidR="00C52436" w:rsidRPr="00C52436" w:rsidTr="00C52436">
        <w:tc>
          <w:tcPr>
            <w:tcW w:w="7938" w:type="dxa"/>
          </w:tcPr>
          <w:p w:rsidR="00C52436" w:rsidRPr="00C52436" w:rsidRDefault="00C52436" w:rsidP="00F65CAF">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Table E-2: </w:t>
            </w:r>
            <w:r w:rsidRPr="00C52436">
              <w:rPr>
                <w:rFonts w:asciiTheme="minorHAnsi" w:hAnsiTheme="minorHAnsi" w:cstheme="minorHAnsi"/>
                <w:color w:val="4F81BD" w:themeColor="accent1"/>
                <w:sz w:val="20"/>
              </w:rPr>
              <w:t>AUSTRALIA'S TOP 10 GOODS &amp; SERVICES IMPORTS, 2014</w:t>
            </w:r>
          </w:p>
        </w:tc>
        <w:tc>
          <w:tcPr>
            <w:tcW w:w="368" w:type="dxa"/>
            <w:vAlign w:val="bottom"/>
          </w:tcPr>
          <w:p w:rsidR="00C52436" w:rsidRPr="00C52436" w:rsidRDefault="00C52436" w:rsidP="00926FD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5</w:t>
            </w:r>
            <w:r w:rsidR="00926FD1">
              <w:rPr>
                <w:rFonts w:asciiTheme="minorHAnsi" w:hAnsiTheme="minorHAnsi" w:cstheme="minorHAnsi"/>
                <w:color w:val="4F81BD" w:themeColor="accent1"/>
                <w:sz w:val="20"/>
              </w:rPr>
              <w:t>3</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rPr>
            </w:pPr>
          </w:p>
        </w:tc>
        <w:tc>
          <w:tcPr>
            <w:tcW w:w="368" w:type="dxa"/>
            <w:vAlign w:val="bottom"/>
          </w:tcPr>
          <w:p w:rsidR="00C52436" w:rsidRPr="00C52436" w:rsidRDefault="00C52436" w:rsidP="00C52436">
            <w:pPr>
              <w:jc w:val="right"/>
              <w:rPr>
                <w:rFonts w:asciiTheme="minorHAnsi" w:hAnsiTheme="minorHAnsi" w:cstheme="minorHAnsi"/>
                <w:color w:val="4F81BD" w:themeColor="accent1"/>
              </w:rPr>
            </w:pP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vertAlign w:val="subscript"/>
              </w:rPr>
            </w:pPr>
            <w:r w:rsidRPr="00C52436">
              <w:rPr>
                <w:rFonts w:asciiTheme="minorHAnsi" w:hAnsiTheme="minorHAnsi" w:cstheme="minorHAnsi"/>
                <w:b/>
                <w:color w:val="4F81BD" w:themeColor="accent1"/>
                <w:sz w:val="20"/>
              </w:rPr>
              <w:t>Figure 1:</w:t>
            </w:r>
            <w:r w:rsidRPr="00C52436">
              <w:rPr>
                <w:rFonts w:asciiTheme="minorHAnsi" w:hAnsiTheme="minorHAnsi" w:cstheme="minorHAnsi"/>
                <w:color w:val="4F81BD" w:themeColor="accent1"/>
                <w:sz w:val="20"/>
              </w:rPr>
              <w:t xml:space="preserve"> Australian energy sector emissions, Current Policies and Paris Scenarios, 2000 to 2030, (Mt CO</w:t>
            </w:r>
            <w:r w:rsidRPr="00C52436">
              <w:rPr>
                <w:rFonts w:asciiTheme="minorHAnsi" w:hAnsiTheme="minorHAnsi" w:cstheme="minorHAnsi"/>
                <w:color w:val="4F81BD" w:themeColor="accent1"/>
                <w:sz w:val="20"/>
                <w:vertAlign w:val="subscript"/>
              </w:rPr>
              <w:t>2</w:t>
            </w:r>
            <w:r w:rsidRPr="00C52436">
              <w:rPr>
                <w:rFonts w:asciiTheme="minorHAnsi" w:hAnsiTheme="minorHAnsi" w:cstheme="minorHAnsi"/>
                <w:color w:val="4F81BD" w:themeColor="accent1"/>
                <w:sz w:val="20"/>
              </w:rPr>
              <w:t>-e)</w:t>
            </w:r>
          </w:p>
        </w:tc>
        <w:tc>
          <w:tcPr>
            <w:tcW w:w="368" w:type="dxa"/>
            <w:vAlign w:val="bottom"/>
          </w:tcPr>
          <w:p w:rsidR="00C52436" w:rsidRPr="00C52436" w:rsidRDefault="00C52436" w:rsidP="00926FD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926FD1">
              <w:rPr>
                <w:rFonts w:asciiTheme="minorHAnsi" w:hAnsiTheme="minorHAnsi" w:cstheme="minorHAnsi"/>
                <w:color w:val="4F81BD" w:themeColor="accent1"/>
                <w:sz w:val="20"/>
              </w:rPr>
              <w:t>2</w:t>
            </w:r>
          </w:p>
        </w:tc>
      </w:tr>
      <w:tr w:rsidR="00C52436" w:rsidRPr="00C52436" w:rsidTr="00C52436">
        <w:tc>
          <w:tcPr>
            <w:tcW w:w="7938" w:type="dxa"/>
          </w:tcPr>
          <w:p w:rsidR="00C52436" w:rsidRPr="00C52436" w:rsidRDefault="00C52436" w:rsidP="00DD6B28">
            <w:pPr>
              <w:pStyle w:val="ListParagraph"/>
              <w:ind w:left="0"/>
              <w:contextualSpacing w:val="0"/>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Figure 2a:</w:t>
            </w:r>
            <w:r w:rsidRPr="00C52436">
              <w:rPr>
                <w:rFonts w:asciiTheme="minorHAnsi" w:hAnsiTheme="minorHAnsi" w:cstheme="minorHAnsi"/>
                <w:color w:val="4F81BD" w:themeColor="accent1"/>
                <w:sz w:val="20"/>
              </w:rPr>
              <w:t xml:space="preserve"> Impacts of international action on Australian output, 2030 (percentage deviation in value) </w:t>
            </w:r>
          </w:p>
        </w:tc>
        <w:tc>
          <w:tcPr>
            <w:tcW w:w="368" w:type="dxa"/>
            <w:vAlign w:val="bottom"/>
          </w:tcPr>
          <w:p w:rsidR="00C52436" w:rsidRPr="00C52436" w:rsidRDefault="00C52436" w:rsidP="00926FD1">
            <w:pPr>
              <w:pStyle w:val="ListParagraph"/>
              <w:ind w:left="0"/>
              <w:contextualSpacing w:val="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926FD1">
              <w:rPr>
                <w:rFonts w:asciiTheme="minorHAnsi" w:hAnsiTheme="minorHAnsi" w:cstheme="minorHAnsi"/>
                <w:color w:val="4F81BD" w:themeColor="accent1"/>
                <w:sz w:val="20"/>
              </w:rPr>
              <w:t>8</w:t>
            </w:r>
          </w:p>
        </w:tc>
      </w:tr>
      <w:tr w:rsidR="00C52436" w:rsidRPr="00C52436" w:rsidTr="00C52436">
        <w:tc>
          <w:tcPr>
            <w:tcW w:w="7938" w:type="dxa"/>
          </w:tcPr>
          <w:p w:rsidR="00C52436" w:rsidRPr="00C52436" w:rsidRDefault="00C52436" w:rsidP="00DD6B28">
            <w:pPr>
              <w:pStyle w:val="ListParagraph"/>
              <w:ind w:left="0"/>
              <w:contextualSpacing w:val="0"/>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Figure 2b:</w:t>
            </w:r>
            <w:r w:rsidRPr="00C52436">
              <w:rPr>
                <w:rFonts w:asciiTheme="minorHAnsi" w:hAnsiTheme="minorHAnsi" w:cstheme="minorHAnsi"/>
                <w:color w:val="4F81BD" w:themeColor="accent1"/>
                <w:sz w:val="20"/>
              </w:rPr>
              <w:t xml:space="preserve"> Impacts of international action on Australian exports, 2030 (percentage deviation in value) </w:t>
            </w:r>
          </w:p>
        </w:tc>
        <w:tc>
          <w:tcPr>
            <w:tcW w:w="368" w:type="dxa"/>
            <w:vAlign w:val="bottom"/>
          </w:tcPr>
          <w:p w:rsidR="00C52436" w:rsidRPr="00C52436" w:rsidRDefault="00C52436" w:rsidP="00926FD1">
            <w:pPr>
              <w:pStyle w:val="ListParagraph"/>
              <w:ind w:left="0"/>
              <w:contextualSpacing w:val="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926FD1">
              <w:rPr>
                <w:rFonts w:asciiTheme="minorHAnsi" w:hAnsiTheme="minorHAnsi" w:cstheme="minorHAnsi"/>
                <w:color w:val="4F81BD" w:themeColor="accent1"/>
                <w:sz w:val="20"/>
              </w:rPr>
              <w:t>9</w:t>
            </w:r>
          </w:p>
        </w:tc>
      </w:tr>
      <w:tr w:rsidR="00C52436" w:rsidRPr="00C52436" w:rsidTr="00C52436">
        <w:tc>
          <w:tcPr>
            <w:tcW w:w="7938" w:type="dxa"/>
          </w:tcPr>
          <w:p w:rsidR="00C52436" w:rsidRPr="00C52436" w:rsidRDefault="00C52436" w:rsidP="00DD6B28">
            <w:pPr>
              <w:pStyle w:val="ListParagraph"/>
              <w:ind w:left="0"/>
              <w:contextualSpacing w:val="0"/>
              <w:rPr>
                <w:rFonts w:asciiTheme="minorHAnsi" w:hAnsiTheme="minorHAnsi" w:cstheme="minorHAnsi"/>
                <w:b/>
                <w:color w:val="4F81BD" w:themeColor="accent1"/>
                <w:sz w:val="20"/>
              </w:rPr>
            </w:pPr>
            <w:r w:rsidRPr="00C52436">
              <w:rPr>
                <w:rFonts w:asciiTheme="minorHAnsi" w:hAnsiTheme="minorHAnsi" w:cstheme="minorHAnsi"/>
                <w:b/>
                <w:color w:val="4F81BD" w:themeColor="accent1"/>
                <w:sz w:val="20"/>
              </w:rPr>
              <w:t xml:space="preserve">Figure 3: </w:t>
            </w:r>
            <w:r w:rsidRPr="00C52436">
              <w:rPr>
                <w:rFonts w:asciiTheme="minorHAnsi" w:hAnsiTheme="minorHAnsi" w:cstheme="minorHAnsi"/>
                <w:color w:val="4F81BD" w:themeColor="accent1"/>
                <w:sz w:val="20"/>
              </w:rPr>
              <w:t>Impact on GDP 2030 of post-2020 action: key countries</w:t>
            </w:r>
          </w:p>
        </w:tc>
        <w:tc>
          <w:tcPr>
            <w:tcW w:w="368" w:type="dxa"/>
            <w:vAlign w:val="bottom"/>
          </w:tcPr>
          <w:p w:rsidR="00C52436" w:rsidRPr="00C52436" w:rsidRDefault="00C52436" w:rsidP="00926FD1">
            <w:pPr>
              <w:pStyle w:val="ListParagraph"/>
              <w:ind w:left="0"/>
              <w:contextualSpacing w:val="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926FD1">
              <w:rPr>
                <w:rFonts w:asciiTheme="minorHAnsi" w:hAnsiTheme="minorHAnsi" w:cstheme="minorHAnsi"/>
                <w:color w:val="4F81BD" w:themeColor="accent1"/>
                <w:sz w:val="20"/>
              </w:rPr>
              <w:t>1</w:t>
            </w:r>
          </w:p>
        </w:tc>
      </w:tr>
      <w:tr w:rsidR="00C52436" w:rsidRPr="00C52436" w:rsidTr="00C52436">
        <w:tc>
          <w:tcPr>
            <w:tcW w:w="7938" w:type="dxa"/>
          </w:tcPr>
          <w:p w:rsidR="00C52436" w:rsidRPr="00C52436" w:rsidRDefault="00C52436" w:rsidP="00DD6B28">
            <w:pPr>
              <w:pStyle w:val="ListParagraph"/>
              <w:ind w:left="0"/>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Figure 4:</w:t>
            </w:r>
            <w:r w:rsidRPr="00C52436">
              <w:rPr>
                <w:rFonts w:asciiTheme="minorHAnsi" w:hAnsiTheme="minorHAnsi" w:cstheme="minorHAnsi"/>
                <w:color w:val="4F81BD" w:themeColor="accent1"/>
                <w:sz w:val="20"/>
              </w:rPr>
              <w:t xml:space="preserve"> Impact on emissions of post-2020 action: key countries </w:t>
            </w:r>
          </w:p>
        </w:tc>
        <w:tc>
          <w:tcPr>
            <w:tcW w:w="368" w:type="dxa"/>
            <w:vAlign w:val="bottom"/>
          </w:tcPr>
          <w:p w:rsidR="00C52436" w:rsidRPr="00C52436" w:rsidRDefault="00C52436" w:rsidP="00926FD1">
            <w:pPr>
              <w:pStyle w:val="ListParagraph"/>
              <w:ind w:left="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926FD1">
              <w:rPr>
                <w:rFonts w:asciiTheme="minorHAnsi" w:hAnsiTheme="minorHAnsi" w:cstheme="minorHAnsi"/>
                <w:color w:val="4F81BD" w:themeColor="accent1"/>
                <w:sz w:val="20"/>
              </w:rPr>
              <w:t>2</w:t>
            </w:r>
          </w:p>
        </w:tc>
      </w:tr>
      <w:tr w:rsidR="00C52436" w:rsidRPr="00C52436" w:rsidTr="00C52436">
        <w:tc>
          <w:tcPr>
            <w:tcW w:w="7938" w:type="dxa"/>
          </w:tcPr>
          <w:p w:rsidR="00C52436" w:rsidRPr="00C52436" w:rsidRDefault="00C52436" w:rsidP="00DD6B28">
            <w:pPr>
              <w:pStyle w:val="PlainText"/>
              <w:rPr>
                <w:rFonts w:asciiTheme="minorHAnsi" w:hAnsiTheme="minorHAnsi" w:cstheme="minorHAnsi"/>
                <w:color w:val="4F81BD" w:themeColor="accent1"/>
                <w:sz w:val="20"/>
                <w:szCs w:val="24"/>
              </w:rPr>
            </w:pPr>
            <w:r w:rsidRPr="00C52436">
              <w:rPr>
                <w:rFonts w:asciiTheme="minorHAnsi" w:hAnsiTheme="minorHAnsi" w:cstheme="minorHAnsi"/>
                <w:b/>
                <w:color w:val="4F81BD" w:themeColor="accent1"/>
                <w:sz w:val="20"/>
                <w:szCs w:val="24"/>
                <w:lang w:val="en-GB"/>
              </w:rPr>
              <w:t xml:space="preserve">Figure B-1: </w:t>
            </w:r>
            <w:r w:rsidRPr="00C52436">
              <w:rPr>
                <w:rFonts w:asciiTheme="minorHAnsi" w:hAnsiTheme="minorHAnsi" w:cstheme="minorHAnsi"/>
                <w:color w:val="4F81BD" w:themeColor="accent1"/>
                <w:sz w:val="20"/>
                <w:szCs w:val="24"/>
              </w:rPr>
              <w:t>G-cubed model version E123</w:t>
            </w:r>
          </w:p>
        </w:tc>
        <w:tc>
          <w:tcPr>
            <w:tcW w:w="368" w:type="dxa"/>
            <w:vAlign w:val="bottom"/>
          </w:tcPr>
          <w:p w:rsidR="00C52436" w:rsidRPr="00C52436" w:rsidRDefault="00C52436" w:rsidP="00926FD1">
            <w:pPr>
              <w:pStyle w:val="PlainText"/>
              <w:jc w:val="right"/>
              <w:rPr>
                <w:rFonts w:asciiTheme="minorHAnsi" w:hAnsiTheme="minorHAnsi" w:cstheme="minorHAnsi"/>
                <w:color w:val="4F81BD" w:themeColor="accent1"/>
                <w:sz w:val="20"/>
                <w:szCs w:val="24"/>
                <w:lang w:val="en-GB"/>
              </w:rPr>
            </w:pPr>
            <w:r>
              <w:rPr>
                <w:rFonts w:asciiTheme="minorHAnsi" w:hAnsiTheme="minorHAnsi" w:cstheme="minorHAnsi"/>
                <w:color w:val="4F81BD" w:themeColor="accent1"/>
                <w:sz w:val="20"/>
                <w:szCs w:val="24"/>
                <w:lang w:val="en-GB"/>
              </w:rPr>
              <w:t>3</w:t>
            </w:r>
            <w:r w:rsidR="00926FD1">
              <w:rPr>
                <w:rFonts w:asciiTheme="minorHAnsi" w:hAnsiTheme="minorHAnsi" w:cstheme="minorHAnsi"/>
                <w:color w:val="4F81BD" w:themeColor="accent1"/>
                <w:sz w:val="20"/>
                <w:szCs w:val="24"/>
                <w:lang w:val="en-GB"/>
              </w:rPr>
              <w:t>1</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C-1: </w:t>
            </w:r>
            <w:r w:rsidRPr="00C52436">
              <w:rPr>
                <w:rFonts w:asciiTheme="minorHAnsi" w:hAnsiTheme="minorHAnsi" w:cstheme="minorHAnsi"/>
                <w:color w:val="4F81BD" w:themeColor="accent1"/>
                <w:sz w:val="20"/>
              </w:rPr>
              <w:t>Australia:</w:t>
            </w:r>
            <w:r w:rsidRPr="00C52436">
              <w:rPr>
                <w:rFonts w:asciiTheme="minorHAnsi" w:hAnsiTheme="minorHAnsi" w:cstheme="minorHAnsi"/>
                <w:b/>
                <w:color w:val="4F81BD" w:themeColor="accent1"/>
                <w:sz w:val="20"/>
              </w:rPr>
              <w:t xml:space="preserve"> </w:t>
            </w:r>
            <w:r w:rsidRPr="00C52436">
              <w:rPr>
                <w:rFonts w:asciiTheme="minorHAnsi" w:hAnsiTheme="minorHAnsi" w:cstheme="minorHAnsi"/>
                <w:color w:val="4F81BD" w:themeColor="accent1"/>
                <w:sz w:val="20"/>
              </w:rPr>
              <w:t>Key indicators under Paris Scenario –</w:t>
            </w:r>
            <w:r w:rsidRPr="00C52436">
              <w:rPr>
                <w:color w:val="4F81BD" w:themeColor="accent1"/>
                <w:sz w:val="20"/>
              </w:rPr>
              <w:t xml:space="preserve"> </w:t>
            </w:r>
            <w:r w:rsidRPr="00C52436">
              <w:rPr>
                <w:rFonts w:asciiTheme="minorHAnsi" w:hAnsiTheme="minorHAnsi" w:cstheme="minorHAnsi"/>
                <w:color w:val="4F81BD" w:themeColor="accent1"/>
                <w:sz w:val="20"/>
              </w:rPr>
              <w:t>Real GDP, consumption, investment and trade balance, 2030 (percentage deviation from Current Policies Scenario)</w:t>
            </w:r>
          </w:p>
        </w:tc>
        <w:tc>
          <w:tcPr>
            <w:tcW w:w="368" w:type="dxa"/>
            <w:vAlign w:val="bottom"/>
          </w:tcPr>
          <w:p w:rsidR="00C52436" w:rsidRPr="00C52436" w:rsidRDefault="00C52436" w:rsidP="00926FD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3</w:t>
            </w:r>
            <w:r w:rsidR="00926FD1">
              <w:rPr>
                <w:rFonts w:asciiTheme="minorHAnsi" w:hAnsiTheme="minorHAnsi" w:cstheme="minorHAnsi"/>
                <w:color w:val="4F81BD" w:themeColor="accent1"/>
                <w:sz w:val="20"/>
              </w:rPr>
              <w:t>6</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C-2: </w:t>
            </w:r>
            <w:r w:rsidRPr="00C52436">
              <w:rPr>
                <w:rFonts w:asciiTheme="minorHAnsi" w:hAnsiTheme="minorHAnsi" w:cstheme="minorHAnsi"/>
                <w:color w:val="4F81BD" w:themeColor="accent1"/>
                <w:sz w:val="20"/>
              </w:rPr>
              <w:t>Australia: Impacts of Paris Scenario, 2030 (percentage deviation from Current Policies Scenario)</w:t>
            </w:r>
          </w:p>
        </w:tc>
        <w:tc>
          <w:tcPr>
            <w:tcW w:w="368" w:type="dxa"/>
            <w:vAlign w:val="bottom"/>
          </w:tcPr>
          <w:p w:rsidR="00C52436" w:rsidRPr="00C52436" w:rsidRDefault="00C52436" w:rsidP="00926FD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3</w:t>
            </w:r>
            <w:r w:rsidR="00926FD1">
              <w:rPr>
                <w:rFonts w:asciiTheme="minorHAnsi" w:hAnsiTheme="minorHAnsi" w:cstheme="minorHAnsi"/>
                <w:color w:val="4F81BD" w:themeColor="accent1"/>
                <w:sz w:val="20"/>
              </w:rPr>
              <w:t>7</w:t>
            </w:r>
          </w:p>
        </w:tc>
      </w:tr>
      <w:tr w:rsidR="00C52436" w:rsidRPr="00C52436" w:rsidTr="00C52436">
        <w:tc>
          <w:tcPr>
            <w:tcW w:w="7938" w:type="dxa"/>
          </w:tcPr>
          <w:p w:rsidR="00C52436" w:rsidRPr="00C52436" w:rsidRDefault="00C52436" w:rsidP="00DD6B28">
            <w:pPr>
              <w:rPr>
                <w:rFonts w:asciiTheme="minorHAnsi" w:hAnsiTheme="minorHAnsi" w:cstheme="minorHAnsi"/>
                <w:b/>
                <w:color w:val="4F81BD" w:themeColor="accent1"/>
                <w:sz w:val="20"/>
              </w:rPr>
            </w:pPr>
            <w:r w:rsidRPr="00C52436">
              <w:rPr>
                <w:rFonts w:asciiTheme="minorHAnsi" w:hAnsiTheme="minorHAnsi" w:cstheme="minorHAnsi"/>
                <w:b/>
                <w:color w:val="4F81BD" w:themeColor="accent1"/>
                <w:sz w:val="20"/>
              </w:rPr>
              <w:t xml:space="preserve">Figure C-3: </w:t>
            </w:r>
            <w:r w:rsidRPr="00C52436">
              <w:rPr>
                <w:rFonts w:asciiTheme="minorHAnsi" w:hAnsiTheme="minorHAnsi" w:cstheme="minorHAnsi"/>
                <w:color w:val="4F81BD" w:themeColor="accent1"/>
                <w:sz w:val="20"/>
              </w:rPr>
              <w:t>United States: Key indicators under Paris Scenario –</w:t>
            </w:r>
            <w:r w:rsidRPr="00C52436">
              <w:rPr>
                <w:color w:val="4F81BD" w:themeColor="accent1"/>
                <w:sz w:val="20"/>
              </w:rPr>
              <w:t xml:space="preserve"> </w:t>
            </w:r>
            <w:r w:rsidRPr="00C52436">
              <w:rPr>
                <w:rFonts w:asciiTheme="minorHAnsi" w:hAnsiTheme="minorHAnsi" w:cstheme="minorHAnsi"/>
                <w:color w:val="4F81BD" w:themeColor="accent1"/>
                <w:sz w:val="20"/>
              </w:rPr>
              <w:t>Real GDP, consumption, investment and trade balance, 2030 (percentage deviation from Current Policies Scenario)</w:t>
            </w:r>
            <w:r w:rsidRPr="00C52436">
              <w:rPr>
                <w:rFonts w:asciiTheme="minorHAnsi" w:hAnsiTheme="minorHAnsi" w:cstheme="minorHAnsi"/>
                <w:b/>
                <w:color w:val="4F81BD" w:themeColor="accent1"/>
                <w:sz w:val="20"/>
              </w:rPr>
              <w:t xml:space="preserve"> </w:t>
            </w:r>
          </w:p>
        </w:tc>
        <w:tc>
          <w:tcPr>
            <w:tcW w:w="368" w:type="dxa"/>
            <w:vAlign w:val="bottom"/>
          </w:tcPr>
          <w:p w:rsidR="00C52436" w:rsidRPr="00C52436" w:rsidRDefault="00C52436" w:rsidP="00926FD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3</w:t>
            </w:r>
            <w:r w:rsidR="00926FD1">
              <w:rPr>
                <w:rFonts w:asciiTheme="minorHAnsi" w:hAnsiTheme="minorHAnsi" w:cstheme="minorHAnsi"/>
                <w:color w:val="4F81BD" w:themeColor="accent1"/>
                <w:sz w:val="20"/>
              </w:rPr>
              <w:t>8</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C-4: </w:t>
            </w:r>
            <w:r w:rsidRPr="00C52436">
              <w:rPr>
                <w:rFonts w:asciiTheme="minorHAnsi" w:hAnsiTheme="minorHAnsi" w:cstheme="minorHAnsi"/>
                <w:color w:val="4F81BD" w:themeColor="accent1"/>
                <w:sz w:val="20"/>
              </w:rPr>
              <w:t>United States: Impacts of Paris Scenario, 2030 (percentage deviation from Current Policies Scenario)</w:t>
            </w:r>
          </w:p>
        </w:tc>
        <w:tc>
          <w:tcPr>
            <w:tcW w:w="368" w:type="dxa"/>
            <w:vAlign w:val="bottom"/>
          </w:tcPr>
          <w:p w:rsidR="00C52436" w:rsidRPr="00C52436" w:rsidRDefault="006747DE" w:rsidP="00926FD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39</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C-5: </w:t>
            </w:r>
            <w:r w:rsidRPr="00C52436">
              <w:rPr>
                <w:rFonts w:asciiTheme="minorHAnsi" w:hAnsiTheme="minorHAnsi" w:cstheme="minorHAnsi"/>
                <w:color w:val="4F81BD" w:themeColor="accent1"/>
                <w:sz w:val="20"/>
              </w:rPr>
              <w:t>China: Key indicators under Paris Scenario –</w:t>
            </w:r>
            <w:r w:rsidRPr="00C52436">
              <w:rPr>
                <w:color w:val="4F81BD" w:themeColor="accent1"/>
                <w:sz w:val="20"/>
              </w:rPr>
              <w:t xml:space="preserve"> </w:t>
            </w:r>
            <w:r w:rsidRPr="00C52436">
              <w:rPr>
                <w:rFonts w:asciiTheme="minorHAnsi" w:hAnsiTheme="minorHAnsi" w:cstheme="minorHAnsi"/>
                <w:color w:val="4F81BD" w:themeColor="accent1"/>
                <w:sz w:val="20"/>
              </w:rPr>
              <w:t>Real GDP, consumption, investment and trade balance, 2030 (percentage deviation from Current Policies Scenario)</w:t>
            </w:r>
          </w:p>
        </w:tc>
        <w:tc>
          <w:tcPr>
            <w:tcW w:w="368" w:type="dxa"/>
            <w:vAlign w:val="bottom"/>
          </w:tcPr>
          <w:p w:rsidR="00C52436" w:rsidRPr="00C52436" w:rsidRDefault="006747DE" w:rsidP="00C52436">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40</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C-6: </w:t>
            </w:r>
            <w:r w:rsidRPr="00C52436">
              <w:rPr>
                <w:rFonts w:asciiTheme="minorHAnsi" w:hAnsiTheme="minorHAnsi" w:cstheme="minorHAnsi"/>
                <w:color w:val="4F81BD" w:themeColor="accent1"/>
                <w:sz w:val="20"/>
              </w:rPr>
              <w:t>China: Impacts of Paris Scenario, 2030 (percentage deviation from Current Policies Scenario)</w:t>
            </w:r>
          </w:p>
        </w:tc>
        <w:tc>
          <w:tcPr>
            <w:tcW w:w="368" w:type="dxa"/>
            <w:vAlign w:val="bottom"/>
          </w:tcPr>
          <w:p w:rsidR="00C52436" w:rsidRPr="00C52436" w:rsidRDefault="00C52436"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4</w:t>
            </w:r>
            <w:r w:rsidR="006747DE">
              <w:rPr>
                <w:rFonts w:asciiTheme="minorHAnsi" w:hAnsiTheme="minorHAnsi" w:cstheme="minorHAnsi"/>
                <w:color w:val="4F81BD" w:themeColor="accent1"/>
                <w:sz w:val="20"/>
              </w:rPr>
              <w:t>1</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C-7: </w:t>
            </w:r>
            <w:r w:rsidRPr="00C52436">
              <w:rPr>
                <w:rFonts w:asciiTheme="minorHAnsi" w:hAnsiTheme="minorHAnsi" w:cstheme="minorHAnsi"/>
                <w:color w:val="4F81BD" w:themeColor="accent1"/>
                <w:sz w:val="20"/>
              </w:rPr>
              <w:t>Japan: Key indicators under Paris Scenario –</w:t>
            </w:r>
            <w:r w:rsidRPr="00C52436">
              <w:rPr>
                <w:color w:val="4F81BD" w:themeColor="accent1"/>
                <w:sz w:val="20"/>
              </w:rPr>
              <w:t xml:space="preserve"> </w:t>
            </w:r>
            <w:r w:rsidRPr="00C52436">
              <w:rPr>
                <w:rFonts w:asciiTheme="minorHAnsi" w:hAnsiTheme="minorHAnsi" w:cstheme="minorHAnsi"/>
                <w:color w:val="4F81BD" w:themeColor="accent1"/>
                <w:sz w:val="20"/>
              </w:rPr>
              <w:t>Real GDP, consumption, investment and trade balance, 2030 (percentage deviation from Current Policies Scenario)</w:t>
            </w:r>
          </w:p>
        </w:tc>
        <w:tc>
          <w:tcPr>
            <w:tcW w:w="368" w:type="dxa"/>
            <w:vAlign w:val="bottom"/>
          </w:tcPr>
          <w:p w:rsidR="00C52436" w:rsidRPr="00C52436" w:rsidRDefault="00C52436"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4</w:t>
            </w:r>
            <w:r w:rsidR="006747DE">
              <w:rPr>
                <w:rFonts w:asciiTheme="minorHAnsi" w:hAnsiTheme="minorHAnsi" w:cstheme="minorHAnsi"/>
                <w:color w:val="4F81BD" w:themeColor="accent1"/>
                <w:sz w:val="20"/>
              </w:rPr>
              <w:t>2</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C-8: </w:t>
            </w:r>
            <w:r w:rsidRPr="00C52436">
              <w:rPr>
                <w:rFonts w:asciiTheme="minorHAnsi" w:hAnsiTheme="minorHAnsi" w:cstheme="minorHAnsi"/>
                <w:color w:val="4F81BD" w:themeColor="accent1"/>
                <w:sz w:val="20"/>
              </w:rPr>
              <w:t>Japan: Impacts of Paris Scenario, 2030 (percentage deviation from Current Policies Scenario)</w:t>
            </w:r>
          </w:p>
        </w:tc>
        <w:tc>
          <w:tcPr>
            <w:tcW w:w="368" w:type="dxa"/>
            <w:vAlign w:val="bottom"/>
          </w:tcPr>
          <w:p w:rsidR="00C52436" w:rsidRPr="00C52436" w:rsidRDefault="00C52436"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4</w:t>
            </w:r>
            <w:r w:rsidR="006747DE">
              <w:rPr>
                <w:rFonts w:asciiTheme="minorHAnsi" w:hAnsiTheme="minorHAnsi" w:cstheme="minorHAnsi"/>
                <w:color w:val="4F81BD" w:themeColor="accent1"/>
                <w:sz w:val="20"/>
              </w:rPr>
              <w:t>3</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C-9: </w:t>
            </w:r>
            <w:r w:rsidRPr="00C52436">
              <w:rPr>
                <w:rFonts w:asciiTheme="minorHAnsi" w:hAnsiTheme="minorHAnsi" w:cstheme="minorHAnsi"/>
                <w:color w:val="4F81BD" w:themeColor="accent1"/>
                <w:sz w:val="20"/>
              </w:rPr>
              <w:t>European Union:</w:t>
            </w:r>
            <w:r w:rsidRPr="00C52436">
              <w:rPr>
                <w:rFonts w:asciiTheme="minorHAnsi" w:hAnsiTheme="minorHAnsi" w:cstheme="minorHAnsi"/>
                <w:b/>
                <w:color w:val="4F81BD" w:themeColor="accent1"/>
                <w:sz w:val="20"/>
              </w:rPr>
              <w:t xml:space="preserve"> </w:t>
            </w:r>
            <w:r w:rsidRPr="00C52436">
              <w:rPr>
                <w:rFonts w:asciiTheme="minorHAnsi" w:hAnsiTheme="minorHAnsi" w:cstheme="minorHAnsi"/>
                <w:color w:val="4F81BD" w:themeColor="accent1"/>
                <w:sz w:val="20"/>
              </w:rPr>
              <w:t>Key indicators under Paris Scenario –</w:t>
            </w:r>
            <w:r w:rsidRPr="00C52436">
              <w:rPr>
                <w:color w:val="4F81BD" w:themeColor="accent1"/>
                <w:sz w:val="20"/>
              </w:rPr>
              <w:t xml:space="preserve"> </w:t>
            </w:r>
            <w:r w:rsidRPr="00C52436">
              <w:rPr>
                <w:rFonts w:asciiTheme="minorHAnsi" w:hAnsiTheme="minorHAnsi" w:cstheme="minorHAnsi"/>
                <w:color w:val="4F81BD" w:themeColor="accent1"/>
                <w:sz w:val="20"/>
              </w:rPr>
              <w:t>Real GDP, consumption, investment and trade balance, 2030 (percentage deviation from Current Policies Scenario)</w:t>
            </w:r>
          </w:p>
        </w:tc>
        <w:tc>
          <w:tcPr>
            <w:tcW w:w="368" w:type="dxa"/>
            <w:vAlign w:val="bottom"/>
          </w:tcPr>
          <w:p w:rsidR="00C52436" w:rsidRPr="00C52436" w:rsidRDefault="00C52436"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4</w:t>
            </w:r>
            <w:r w:rsidR="006747DE">
              <w:rPr>
                <w:rFonts w:asciiTheme="minorHAnsi" w:hAnsiTheme="minorHAnsi" w:cstheme="minorHAnsi"/>
                <w:color w:val="4F81BD" w:themeColor="accent1"/>
                <w:sz w:val="20"/>
              </w:rPr>
              <w:t>4</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C-10: </w:t>
            </w:r>
            <w:r w:rsidRPr="00C52436">
              <w:rPr>
                <w:rFonts w:asciiTheme="minorHAnsi" w:hAnsiTheme="minorHAnsi" w:cstheme="minorHAnsi"/>
                <w:color w:val="4F81BD" w:themeColor="accent1"/>
                <w:sz w:val="20"/>
              </w:rPr>
              <w:t>European Union:</w:t>
            </w:r>
            <w:r w:rsidRPr="00C52436">
              <w:rPr>
                <w:rFonts w:asciiTheme="minorHAnsi" w:hAnsiTheme="minorHAnsi" w:cstheme="minorHAnsi"/>
                <w:b/>
                <w:color w:val="4F81BD" w:themeColor="accent1"/>
                <w:sz w:val="20"/>
              </w:rPr>
              <w:t xml:space="preserve"> </w:t>
            </w:r>
            <w:r w:rsidRPr="00C52436">
              <w:rPr>
                <w:rFonts w:asciiTheme="minorHAnsi" w:hAnsiTheme="minorHAnsi" w:cstheme="minorHAnsi"/>
                <w:color w:val="4F81BD" w:themeColor="accent1"/>
                <w:sz w:val="20"/>
              </w:rPr>
              <w:t>Impacts of Paris Scenario, 2030 (percentage deviation from Current Policies Scenario)</w:t>
            </w:r>
          </w:p>
        </w:tc>
        <w:tc>
          <w:tcPr>
            <w:tcW w:w="368" w:type="dxa"/>
            <w:vAlign w:val="bottom"/>
          </w:tcPr>
          <w:p w:rsidR="00C52436" w:rsidRPr="00C52436" w:rsidRDefault="00C52436"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4</w:t>
            </w:r>
            <w:r w:rsidR="006747DE">
              <w:rPr>
                <w:rFonts w:asciiTheme="minorHAnsi" w:hAnsiTheme="minorHAnsi" w:cstheme="minorHAnsi"/>
                <w:color w:val="4F81BD" w:themeColor="accent1"/>
                <w:sz w:val="20"/>
              </w:rPr>
              <w:t>5</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C-11: </w:t>
            </w:r>
            <w:r w:rsidRPr="00C52436">
              <w:rPr>
                <w:rFonts w:asciiTheme="minorHAnsi" w:hAnsiTheme="minorHAnsi" w:cstheme="minorHAnsi"/>
                <w:color w:val="4F81BD" w:themeColor="accent1"/>
                <w:sz w:val="20"/>
              </w:rPr>
              <w:t>Canada: Key indicators under Paris Scenario –</w:t>
            </w:r>
            <w:r w:rsidRPr="00C52436">
              <w:rPr>
                <w:color w:val="4F81BD" w:themeColor="accent1"/>
                <w:sz w:val="20"/>
              </w:rPr>
              <w:t xml:space="preserve"> </w:t>
            </w:r>
            <w:r w:rsidRPr="00C52436">
              <w:rPr>
                <w:rFonts w:asciiTheme="minorHAnsi" w:hAnsiTheme="minorHAnsi" w:cstheme="minorHAnsi"/>
                <w:color w:val="4F81BD" w:themeColor="accent1"/>
                <w:sz w:val="20"/>
              </w:rPr>
              <w:t>Real GDP, consumption, investment and trade balance, 2030 (percentage deviation from Current Policies Scenario)</w:t>
            </w:r>
          </w:p>
        </w:tc>
        <w:tc>
          <w:tcPr>
            <w:tcW w:w="368" w:type="dxa"/>
            <w:vAlign w:val="bottom"/>
          </w:tcPr>
          <w:p w:rsidR="00C52436" w:rsidRPr="00C52436" w:rsidRDefault="00C52436"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4</w:t>
            </w:r>
            <w:r w:rsidR="006747DE">
              <w:rPr>
                <w:rFonts w:asciiTheme="minorHAnsi" w:hAnsiTheme="minorHAnsi" w:cstheme="minorHAnsi"/>
                <w:color w:val="4F81BD" w:themeColor="accent1"/>
                <w:sz w:val="20"/>
              </w:rPr>
              <w:t>6</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C-12: </w:t>
            </w:r>
            <w:r w:rsidRPr="00C52436">
              <w:rPr>
                <w:rFonts w:asciiTheme="minorHAnsi" w:hAnsiTheme="minorHAnsi" w:cstheme="minorHAnsi"/>
                <w:color w:val="4F81BD" w:themeColor="accent1"/>
                <w:sz w:val="20"/>
              </w:rPr>
              <w:t>Canada: Impacts of Paris Scenario, 2030 (percentage deviation from Current Policies Scenario)</w:t>
            </w:r>
          </w:p>
        </w:tc>
        <w:tc>
          <w:tcPr>
            <w:tcW w:w="368" w:type="dxa"/>
            <w:vAlign w:val="bottom"/>
          </w:tcPr>
          <w:p w:rsidR="00C52436" w:rsidRPr="00C52436" w:rsidRDefault="00C52436"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4</w:t>
            </w:r>
            <w:r w:rsidR="006747DE">
              <w:rPr>
                <w:rFonts w:asciiTheme="minorHAnsi" w:hAnsiTheme="minorHAnsi" w:cstheme="minorHAnsi"/>
                <w:color w:val="4F81BD" w:themeColor="accent1"/>
                <w:sz w:val="20"/>
              </w:rPr>
              <w:t>7</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Figure D-1:</w:t>
            </w:r>
            <w:r w:rsidRPr="00C52436">
              <w:rPr>
                <w:rFonts w:asciiTheme="minorHAnsi" w:hAnsiTheme="minorHAnsi" w:cstheme="minorHAnsi"/>
                <w:color w:val="4F81BD" w:themeColor="accent1"/>
                <w:sz w:val="20"/>
              </w:rPr>
              <w:t xml:space="preserve"> United States: Macroeconomic impacts, Technology and Policy Mix Scenario and Paris Scenario, 2030 (percentage deviation from Current Policies Scenario)</w:t>
            </w:r>
          </w:p>
        </w:tc>
        <w:tc>
          <w:tcPr>
            <w:tcW w:w="368" w:type="dxa"/>
            <w:vAlign w:val="bottom"/>
          </w:tcPr>
          <w:p w:rsidR="00C52436" w:rsidRPr="00C52436" w:rsidRDefault="00F65CAF"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4</w:t>
            </w:r>
            <w:r w:rsidR="006747DE">
              <w:rPr>
                <w:rFonts w:asciiTheme="minorHAnsi" w:hAnsiTheme="minorHAnsi" w:cstheme="minorHAnsi"/>
                <w:color w:val="4F81BD" w:themeColor="accent1"/>
                <w:sz w:val="20"/>
              </w:rPr>
              <w:t>9</w:t>
            </w:r>
          </w:p>
        </w:tc>
      </w:tr>
      <w:tr w:rsidR="00C52436" w:rsidRPr="00C52436" w:rsidTr="00C52436">
        <w:tc>
          <w:tcPr>
            <w:tcW w:w="7938" w:type="dxa"/>
          </w:tcPr>
          <w:p w:rsidR="00C52436" w:rsidRPr="00C52436" w:rsidRDefault="00C52436" w:rsidP="00DD6B28">
            <w:pPr>
              <w:rPr>
                <w:noProof/>
                <w:color w:val="4F81BD" w:themeColor="accent1"/>
                <w:sz w:val="20"/>
                <w:lang w:eastAsia="en-AU"/>
              </w:rPr>
            </w:pPr>
            <w:r w:rsidRPr="00C52436">
              <w:rPr>
                <w:rFonts w:asciiTheme="minorHAnsi" w:hAnsiTheme="minorHAnsi" w:cstheme="minorHAnsi"/>
                <w:b/>
                <w:color w:val="4F81BD" w:themeColor="accent1"/>
                <w:sz w:val="20"/>
              </w:rPr>
              <w:t>Figure D-2:</w:t>
            </w:r>
            <w:r w:rsidRPr="00C52436">
              <w:rPr>
                <w:rFonts w:asciiTheme="minorHAnsi" w:hAnsiTheme="minorHAnsi" w:cstheme="minorHAnsi"/>
                <w:color w:val="4F81BD" w:themeColor="accent1"/>
                <w:sz w:val="20"/>
              </w:rPr>
              <w:t xml:space="preserve"> Australia: Macroeconomic impacts, Technology and Policy Mix Scenario and Paris Scenario, 2030 (percentage deviation from Current Policies Scenario)</w:t>
            </w:r>
            <w:r w:rsidRPr="00C52436">
              <w:rPr>
                <w:noProof/>
                <w:color w:val="4F81BD" w:themeColor="accent1"/>
                <w:sz w:val="20"/>
                <w:lang w:eastAsia="en-AU"/>
              </w:rPr>
              <w:t xml:space="preserve">  </w:t>
            </w:r>
          </w:p>
        </w:tc>
        <w:tc>
          <w:tcPr>
            <w:tcW w:w="368" w:type="dxa"/>
            <w:vAlign w:val="bottom"/>
          </w:tcPr>
          <w:p w:rsidR="00C52436" w:rsidRPr="00C52436" w:rsidRDefault="006747DE" w:rsidP="00F65CAF">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50</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 xml:space="preserve">Figure D-3: </w:t>
            </w:r>
            <w:r w:rsidRPr="00C52436">
              <w:rPr>
                <w:rFonts w:asciiTheme="minorHAnsi" w:hAnsiTheme="minorHAnsi" w:cstheme="minorHAnsi"/>
                <w:color w:val="4F81BD" w:themeColor="accent1"/>
                <w:sz w:val="20"/>
              </w:rPr>
              <w:t>Australia:</w:t>
            </w:r>
            <w:r w:rsidRPr="00C52436">
              <w:rPr>
                <w:rFonts w:asciiTheme="minorHAnsi" w:hAnsiTheme="minorHAnsi" w:cstheme="minorHAnsi"/>
                <w:b/>
                <w:color w:val="4F81BD" w:themeColor="accent1"/>
                <w:sz w:val="20"/>
              </w:rPr>
              <w:t xml:space="preserve"> </w:t>
            </w:r>
            <w:r w:rsidRPr="00C52436">
              <w:rPr>
                <w:rFonts w:asciiTheme="minorHAnsi" w:hAnsiTheme="minorHAnsi" w:cstheme="minorHAnsi"/>
                <w:color w:val="4F81BD" w:themeColor="accent1"/>
                <w:sz w:val="20"/>
              </w:rPr>
              <w:t>Macroeconomic impacts, Policy Uncertainty Scenario and Paris Scenario, 2030 (percentage deviation from Current Policies Scenario)</w:t>
            </w:r>
          </w:p>
        </w:tc>
        <w:tc>
          <w:tcPr>
            <w:tcW w:w="368" w:type="dxa"/>
            <w:vAlign w:val="bottom"/>
          </w:tcPr>
          <w:p w:rsidR="00C52436" w:rsidRPr="00C52436" w:rsidRDefault="00C52436"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5</w:t>
            </w:r>
            <w:r w:rsidR="006747DE">
              <w:rPr>
                <w:rFonts w:asciiTheme="minorHAnsi" w:hAnsiTheme="minorHAnsi" w:cstheme="minorHAnsi"/>
                <w:color w:val="4F81BD" w:themeColor="accent1"/>
                <w:sz w:val="20"/>
              </w:rPr>
              <w:t>1</w:t>
            </w:r>
          </w:p>
        </w:tc>
      </w:tr>
      <w:tr w:rsidR="00C52436" w:rsidRPr="00C52436" w:rsidTr="00C52436">
        <w:tc>
          <w:tcPr>
            <w:tcW w:w="7938" w:type="dxa"/>
          </w:tcPr>
          <w:p w:rsidR="00C52436" w:rsidRPr="00C52436" w:rsidRDefault="00C52436" w:rsidP="00DD6B28">
            <w:pPr>
              <w:rPr>
                <w:rFonts w:asciiTheme="minorHAnsi" w:hAnsiTheme="minorHAnsi" w:cstheme="minorHAnsi"/>
                <w:color w:val="4F81BD" w:themeColor="accent1"/>
                <w:sz w:val="20"/>
              </w:rPr>
            </w:pPr>
            <w:r w:rsidRPr="00C52436">
              <w:rPr>
                <w:rFonts w:asciiTheme="minorHAnsi" w:hAnsiTheme="minorHAnsi" w:cstheme="minorHAnsi"/>
                <w:b/>
                <w:color w:val="4F81BD" w:themeColor="accent1"/>
                <w:sz w:val="20"/>
              </w:rPr>
              <w:t>Figure D-4:</w:t>
            </w:r>
            <w:r w:rsidRPr="00C52436">
              <w:rPr>
                <w:rFonts w:asciiTheme="minorHAnsi" w:hAnsiTheme="minorHAnsi" w:cstheme="minorHAnsi"/>
                <w:color w:val="4F81BD" w:themeColor="accent1"/>
                <w:sz w:val="20"/>
              </w:rPr>
              <w:t xml:space="preserve"> Australia: Sectoral impacts, Policy Uncertainty Scenario and Paris Scenario, 2030 (percentage deviation from Current Policies Scenario)</w:t>
            </w:r>
          </w:p>
        </w:tc>
        <w:tc>
          <w:tcPr>
            <w:tcW w:w="368" w:type="dxa"/>
            <w:vAlign w:val="bottom"/>
          </w:tcPr>
          <w:p w:rsidR="00C52436" w:rsidRPr="00C52436" w:rsidRDefault="00C52436" w:rsidP="006747DE">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5</w:t>
            </w:r>
            <w:r w:rsidR="006747DE">
              <w:rPr>
                <w:rFonts w:asciiTheme="minorHAnsi" w:hAnsiTheme="minorHAnsi" w:cstheme="minorHAnsi"/>
                <w:color w:val="4F81BD" w:themeColor="accent1"/>
                <w:sz w:val="20"/>
              </w:rPr>
              <w:t>2</w:t>
            </w:r>
          </w:p>
        </w:tc>
      </w:tr>
    </w:tbl>
    <w:p w:rsidR="00B11C0D" w:rsidRPr="00C32F93" w:rsidRDefault="00B11C0D" w:rsidP="00277F84">
      <w:pPr>
        <w:spacing w:after="360"/>
        <w:rPr>
          <w:rFonts w:asciiTheme="minorHAnsi" w:hAnsiTheme="minorHAnsi" w:cstheme="minorHAnsi"/>
          <w:b/>
          <w:color w:val="996633"/>
          <w:sz w:val="40"/>
        </w:rPr>
      </w:pPr>
      <w:r w:rsidRPr="00C32F93">
        <w:rPr>
          <w:rFonts w:asciiTheme="minorHAnsi" w:hAnsiTheme="minorHAnsi" w:cstheme="minorHAnsi"/>
          <w:b/>
          <w:color w:val="996633"/>
          <w:sz w:val="40"/>
        </w:rPr>
        <w:lastRenderedPageBreak/>
        <w:t>Executive Summary</w:t>
      </w:r>
    </w:p>
    <w:p w:rsidR="00CD0924"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3"/>
          <w:szCs w:val="23"/>
        </w:rPr>
      </w:pPr>
      <w:r w:rsidRPr="00B26171">
        <w:rPr>
          <w:rFonts w:ascii="Calibri" w:hAnsi="Calibri" w:cs="Calibri"/>
          <w:b/>
          <w:bCs/>
          <w:color w:val="4F81BD" w:themeColor="accent1"/>
          <w:sz w:val="23"/>
          <w:szCs w:val="23"/>
        </w:rPr>
        <w:t xml:space="preserve">Post-2020 commitments anticipated under </w:t>
      </w:r>
      <w:r w:rsidR="003B6E18" w:rsidRPr="00B26171">
        <w:rPr>
          <w:rFonts w:ascii="Calibri" w:hAnsi="Calibri" w:cs="Calibri"/>
          <w:b/>
          <w:bCs/>
          <w:color w:val="4F81BD" w:themeColor="accent1"/>
          <w:sz w:val="23"/>
          <w:szCs w:val="23"/>
        </w:rPr>
        <w:t xml:space="preserve">a </w:t>
      </w:r>
      <w:r w:rsidRPr="00B26171">
        <w:rPr>
          <w:rFonts w:ascii="Calibri" w:hAnsi="Calibri" w:cs="Calibri"/>
          <w:b/>
          <w:bCs/>
          <w:color w:val="4F81BD" w:themeColor="accent1"/>
          <w:sz w:val="23"/>
          <w:szCs w:val="23"/>
        </w:rPr>
        <w:t>new global agreement result in slower economic growth in Australia, with GDP 0.16</w:t>
      </w:r>
      <w:r w:rsidR="00182A42" w:rsidRPr="00B26171">
        <w:rPr>
          <w:rFonts w:ascii="Calibri" w:hAnsi="Calibri" w:cs="Calibri"/>
          <w:b/>
          <w:bCs/>
          <w:color w:val="4F81BD" w:themeColor="accent1"/>
          <w:sz w:val="23"/>
          <w:szCs w:val="23"/>
        </w:rPr>
        <w:t xml:space="preserve"> per cent</w:t>
      </w:r>
      <w:r w:rsidRPr="00B26171">
        <w:rPr>
          <w:rFonts w:ascii="Calibri" w:hAnsi="Calibri" w:cs="Calibri"/>
          <w:b/>
          <w:bCs/>
          <w:color w:val="4F81BD" w:themeColor="accent1"/>
          <w:sz w:val="23"/>
          <w:szCs w:val="23"/>
        </w:rPr>
        <w:t xml:space="preserve"> lower in 2030 than it would be under current policies. </w:t>
      </w:r>
      <w:r w:rsidRPr="00B26171">
        <w:rPr>
          <w:rFonts w:ascii="Calibri" w:hAnsi="Calibri" w:cs="Calibri"/>
          <w:bCs/>
          <w:color w:val="4F81BD" w:themeColor="accent1"/>
          <w:sz w:val="23"/>
          <w:szCs w:val="23"/>
        </w:rPr>
        <w:t xml:space="preserve">The </w:t>
      </w:r>
      <w:r w:rsidR="002373DD" w:rsidRPr="00B26171">
        <w:rPr>
          <w:rFonts w:ascii="Calibri" w:hAnsi="Calibri" w:cs="Calibri"/>
          <w:bCs/>
          <w:color w:val="4F81BD" w:themeColor="accent1"/>
          <w:sz w:val="23"/>
          <w:szCs w:val="23"/>
        </w:rPr>
        <w:t xml:space="preserve">modelling </w:t>
      </w:r>
      <w:r w:rsidRPr="00B26171">
        <w:rPr>
          <w:rFonts w:ascii="Calibri" w:hAnsi="Calibri" w:cs="Calibri"/>
          <w:bCs/>
          <w:color w:val="4F81BD" w:themeColor="accent1"/>
          <w:sz w:val="23"/>
          <w:szCs w:val="23"/>
        </w:rPr>
        <w:t xml:space="preserve">does not account for potential new Australian policies or </w:t>
      </w:r>
      <w:r w:rsidR="00971415" w:rsidRPr="00B26171">
        <w:rPr>
          <w:rFonts w:ascii="Calibri" w:hAnsi="Calibri" w:cs="Calibri"/>
          <w:bCs/>
          <w:color w:val="4F81BD" w:themeColor="accent1"/>
          <w:sz w:val="23"/>
          <w:szCs w:val="23"/>
        </w:rPr>
        <w:t xml:space="preserve">a </w:t>
      </w:r>
      <w:r w:rsidRPr="00B26171">
        <w:rPr>
          <w:rFonts w:ascii="Calibri" w:hAnsi="Calibri" w:cs="Calibri"/>
          <w:bCs/>
          <w:color w:val="4F81BD" w:themeColor="accent1"/>
          <w:sz w:val="23"/>
          <w:szCs w:val="23"/>
        </w:rPr>
        <w:t>post-2020 target.</w:t>
      </w:r>
      <w:r w:rsidR="00CD0924" w:rsidRPr="00B26171">
        <w:rPr>
          <w:rFonts w:ascii="Calibri" w:hAnsi="Calibri" w:cs="Calibri"/>
          <w:bCs/>
          <w:color w:val="4F81BD" w:themeColor="accent1"/>
          <w:sz w:val="23"/>
          <w:szCs w:val="23"/>
        </w:rPr>
        <w:t xml:space="preserve"> </w:t>
      </w: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Theme="minorHAnsi" w:hAnsiTheme="minorHAnsi" w:cstheme="minorHAnsi"/>
          <w:color w:val="4F81BD" w:themeColor="accent1"/>
          <w:sz w:val="23"/>
          <w:szCs w:val="23"/>
        </w:rPr>
      </w:pP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Calibri" w:hAnsi="Calibri" w:cs="Calibri"/>
          <w:color w:val="4F81BD" w:themeColor="accent1"/>
          <w:sz w:val="23"/>
          <w:szCs w:val="23"/>
        </w:rPr>
      </w:pPr>
      <w:r w:rsidRPr="00B26171">
        <w:rPr>
          <w:rFonts w:ascii="Calibri" w:hAnsi="Calibri" w:cs="Calibri"/>
          <w:b/>
          <w:bCs/>
          <w:color w:val="4F81BD" w:themeColor="accent1"/>
          <w:sz w:val="23"/>
          <w:szCs w:val="23"/>
        </w:rPr>
        <w:t>Post-2020 commitments see global emissions 10</w:t>
      </w:r>
      <w:r w:rsidR="00182A42" w:rsidRPr="00B26171">
        <w:rPr>
          <w:rFonts w:ascii="Calibri" w:hAnsi="Calibri" w:cs="Calibri"/>
          <w:b/>
          <w:bCs/>
          <w:color w:val="4F81BD" w:themeColor="accent1"/>
          <w:sz w:val="23"/>
          <w:szCs w:val="23"/>
        </w:rPr>
        <w:t xml:space="preserve"> per cent</w:t>
      </w:r>
      <w:r w:rsidRPr="00B26171">
        <w:rPr>
          <w:rFonts w:ascii="Calibri" w:hAnsi="Calibri" w:cs="Calibri"/>
          <w:b/>
          <w:bCs/>
          <w:color w:val="4F81BD" w:themeColor="accent1"/>
          <w:sz w:val="23"/>
          <w:szCs w:val="23"/>
        </w:rPr>
        <w:t xml:space="preserve"> lower in 2030 than under current policies, and global coal output falls. </w:t>
      </w:r>
      <w:r w:rsidRPr="00B26171">
        <w:rPr>
          <w:rFonts w:ascii="Calibri" w:hAnsi="Calibri" w:cs="Calibri"/>
          <w:color w:val="4F81BD" w:themeColor="accent1"/>
          <w:sz w:val="23"/>
          <w:szCs w:val="23"/>
        </w:rPr>
        <w:t>Global economic growth slows by 0.02 percentage points per year, resulting in the global economy being 0.20</w:t>
      </w:r>
      <w:r w:rsidR="00182A42" w:rsidRPr="00B26171">
        <w:rPr>
          <w:rFonts w:ascii="Calibri" w:hAnsi="Calibri" w:cs="Calibri"/>
          <w:color w:val="4F81BD" w:themeColor="accent1"/>
          <w:sz w:val="23"/>
          <w:szCs w:val="23"/>
        </w:rPr>
        <w:t xml:space="preserve"> per cent</w:t>
      </w:r>
      <w:r w:rsidRPr="00B26171">
        <w:rPr>
          <w:rFonts w:ascii="Calibri" w:hAnsi="Calibri" w:cs="Calibri"/>
          <w:color w:val="4F81BD" w:themeColor="accent1"/>
          <w:sz w:val="23"/>
          <w:szCs w:val="23"/>
        </w:rPr>
        <w:t xml:space="preserve"> smaller in 2030 than under current policies. The value of global coal </w:t>
      </w:r>
      <w:r w:rsidR="00322A2C" w:rsidRPr="00B26171">
        <w:rPr>
          <w:rFonts w:ascii="Calibri" w:hAnsi="Calibri" w:cs="Calibri"/>
          <w:color w:val="4F81BD" w:themeColor="accent1"/>
          <w:sz w:val="23"/>
          <w:szCs w:val="23"/>
        </w:rPr>
        <w:t xml:space="preserve">output </w:t>
      </w:r>
      <w:r w:rsidRPr="00B26171">
        <w:rPr>
          <w:rFonts w:ascii="Calibri" w:hAnsi="Calibri" w:cs="Calibri"/>
          <w:color w:val="4F81BD" w:themeColor="accent1"/>
          <w:sz w:val="23"/>
          <w:szCs w:val="23"/>
        </w:rPr>
        <w:t xml:space="preserve">falls by around </w:t>
      </w:r>
      <w:r w:rsidR="00322A2C" w:rsidRPr="00B26171">
        <w:rPr>
          <w:rFonts w:ascii="Calibri" w:hAnsi="Calibri" w:cs="Calibri"/>
          <w:color w:val="4F81BD" w:themeColor="accent1"/>
          <w:sz w:val="23"/>
          <w:szCs w:val="23"/>
        </w:rPr>
        <w:t>5</w:t>
      </w:r>
      <w:r w:rsidR="00182A42" w:rsidRPr="00B26171">
        <w:rPr>
          <w:rFonts w:ascii="Calibri" w:hAnsi="Calibri" w:cs="Calibri"/>
          <w:color w:val="4F81BD" w:themeColor="accent1"/>
          <w:sz w:val="23"/>
          <w:szCs w:val="23"/>
        </w:rPr>
        <w:t xml:space="preserve"> per cent</w:t>
      </w:r>
      <w:r w:rsidRPr="00B26171">
        <w:rPr>
          <w:rFonts w:ascii="Calibri" w:hAnsi="Calibri" w:cs="Calibri"/>
          <w:color w:val="4F81BD" w:themeColor="accent1"/>
          <w:sz w:val="23"/>
          <w:szCs w:val="23"/>
        </w:rPr>
        <w:t xml:space="preserve"> from </w:t>
      </w:r>
      <w:r w:rsidR="00322A2C" w:rsidRPr="00B26171">
        <w:rPr>
          <w:rFonts w:ascii="Calibri" w:hAnsi="Calibri" w:cs="Calibri"/>
          <w:color w:val="4F81BD" w:themeColor="accent1"/>
          <w:sz w:val="23"/>
          <w:szCs w:val="23"/>
        </w:rPr>
        <w:t>2020 to 2030</w:t>
      </w:r>
      <w:r w:rsidRPr="00B26171">
        <w:rPr>
          <w:rFonts w:ascii="Calibri" w:hAnsi="Calibri" w:cs="Calibri"/>
          <w:color w:val="4F81BD" w:themeColor="accent1"/>
          <w:sz w:val="23"/>
          <w:szCs w:val="23"/>
        </w:rPr>
        <w:t>, compared to rising 1</w:t>
      </w:r>
      <w:r w:rsidR="00322A2C" w:rsidRPr="00B26171">
        <w:rPr>
          <w:rFonts w:ascii="Calibri" w:hAnsi="Calibri" w:cs="Calibri"/>
          <w:color w:val="4F81BD" w:themeColor="accent1"/>
          <w:sz w:val="23"/>
          <w:szCs w:val="23"/>
        </w:rPr>
        <w:t>2</w:t>
      </w:r>
      <w:r w:rsidR="00182A42" w:rsidRPr="00B26171">
        <w:rPr>
          <w:rFonts w:ascii="Calibri" w:hAnsi="Calibri" w:cs="Calibri"/>
          <w:color w:val="4F81BD" w:themeColor="accent1"/>
          <w:sz w:val="23"/>
          <w:szCs w:val="23"/>
        </w:rPr>
        <w:t xml:space="preserve"> per cent</w:t>
      </w:r>
      <w:r w:rsidRPr="00B26171">
        <w:rPr>
          <w:rFonts w:ascii="Calibri" w:hAnsi="Calibri" w:cs="Calibri"/>
          <w:color w:val="4F81BD" w:themeColor="accent1"/>
          <w:sz w:val="23"/>
          <w:szCs w:val="23"/>
        </w:rPr>
        <w:t xml:space="preserve"> without new commitments. </w:t>
      </w:r>
      <w:r w:rsidR="001B622C" w:rsidRPr="00B26171">
        <w:rPr>
          <w:rFonts w:ascii="Calibri" w:hAnsi="Calibri" w:cs="Calibri"/>
          <w:color w:val="4F81BD" w:themeColor="accent1"/>
          <w:sz w:val="23"/>
          <w:szCs w:val="23"/>
        </w:rPr>
        <w:t>Coal continues to make up a significant share of global energy output.</w:t>
      </w: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Theme="minorHAnsi" w:hAnsiTheme="minorHAnsi" w:cstheme="minorHAnsi"/>
          <w:color w:val="4F81BD" w:themeColor="accent1"/>
          <w:sz w:val="23"/>
          <w:szCs w:val="23"/>
        </w:rPr>
      </w:pP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3"/>
          <w:szCs w:val="23"/>
        </w:rPr>
      </w:pPr>
      <w:r w:rsidRPr="00B26171">
        <w:rPr>
          <w:rFonts w:ascii="Calibri" w:hAnsi="Calibri" w:cs="Calibri"/>
          <w:b/>
          <w:bCs/>
          <w:color w:val="4F81BD" w:themeColor="accent1"/>
          <w:sz w:val="23"/>
          <w:szCs w:val="23"/>
        </w:rPr>
        <w:t xml:space="preserve">Shifts in world demand </w:t>
      </w:r>
      <w:r w:rsidR="00971415" w:rsidRPr="00B26171">
        <w:rPr>
          <w:rFonts w:ascii="Calibri" w:hAnsi="Calibri" w:cs="Calibri"/>
          <w:b/>
          <w:bCs/>
          <w:color w:val="4F81BD" w:themeColor="accent1"/>
          <w:sz w:val="23"/>
          <w:szCs w:val="23"/>
        </w:rPr>
        <w:t xml:space="preserve">have negative impacts </w:t>
      </w:r>
      <w:r w:rsidRPr="00B26171">
        <w:rPr>
          <w:rFonts w:ascii="Calibri" w:hAnsi="Calibri" w:cs="Calibri"/>
          <w:b/>
          <w:bCs/>
          <w:color w:val="4F81BD" w:themeColor="accent1"/>
          <w:sz w:val="23"/>
          <w:szCs w:val="23"/>
        </w:rPr>
        <w:t xml:space="preserve">on Australian fossil fuel based sectors.  </w:t>
      </w: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Calibri" w:hAnsi="Calibri" w:cs="Calibri"/>
          <w:color w:val="4F81BD" w:themeColor="accent1"/>
          <w:sz w:val="23"/>
          <w:szCs w:val="23"/>
        </w:rPr>
      </w:pPr>
      <w:r w:rsidRPr="00B26171">
        <w:rPr>
          <w:rFonts w:ascii="Calibri" w:hAnsi="Calibri" w:cs="Calibri"/>
          <w:color w:val="4F81BD" w:themeColor="accent1"/>
          <w:sz w:val="23"/>
          <w:szCs w:val="23"/>
        </w:rPr>
        <w:t>Australian coal output and exports are both 8</w:t>
      </w:r>
      <w:r w:rsidR="00182A42" w:rsidRPr="00B26171">
        <w:rPr>
          <w:rFonts w:ascii="Calibri" w:hAnsi="Calibri" w:cs="Calibri"/>
          <w:color w:val="4F81BD" w:themeColor="accent1"/>
          <w:sz w:val="23"/>
          <w:szCs w:val="23"/>
        </w:rPr>
        <w:t xml:space="preserve"> per cent</w:t>
      </w:r>
      <w:r w:rsidRPr="00B26171">
        <w:rPr>
          <w:rFonts w:ascii="Calibri" w:hAnsi="Calibri" w:cs="Calibri"/>
          <w:color w:val="4F81BD" w:themeColor="accent1"/>
          <w:sz w:val="23"/>
          <w:szCs w:val="23"/>
        </w:rPr>
        <w:t xml:space="preserve"> lower in 2030 than under current policies, and oil and gas sector exports are around 0.5</w:t>
      </w:r>
      <w:r w:rsidR="00182A42" w:rsidRPr="00B26171">
        <w:rPr>
          <w:rFonts w:ascii="Calibri" w:hAnsi="Calibri" w:cs="Calibri"/>
          <w:color w:val="4F81BD" w:themeColor="accent1"/>
          <w:sz w:val="23"/>
          <w:szCs w:val="23"/>
        </w:rPr>
        <w:t xml:space="preserve"> per cent</w:t>
      </w:r>
      <w:r w:rsidRPr="00B26171">
        <w:rPr>
          <w:rFonts w:ascii="Calibri" w:hAnsi="Calibri" w:cs="Calibri"/>
          <w:color w:val="4F81BD" w:themeColor="accent1"/>
          <w:sz w:val="23"/>
          <w:szCs w:val="23"/>
        </w:rPr>
        <w:t xml:space="preserve"> lower than otherwise. Investment shifts away from fossil fuels, with real investment in fossil fuel sectors 0.9</w:t>
      </w:r>
      <w:r w:rsidR="00182A42" w:rsidRPr="00B26171">
        <w:rPr>
          <w:rFonts w:ascii="Calibri" w:hAnsi="Calibri" w:cs="Calibri"/>
          <w:color w:val="4F81BD" w:themeColor="accent1"/>
          <w:sz w:val="23"/>
          <w:szCs w:val="23"/>
        </w:rPr>
        <w:t> per cent</w:t>
      </w:r>
      <w:r w:rsidRPr="00B26171">
        <w:rPr>
          <w:rFonts w:ascii="Calibri" w:hAnsi="Calibri" w:cs="Calibri"/>
          <w:color w:val="4F81BD" w:themeColor="accent1"/>
          <w:sz w:val="23"/>
          <w:szCs w:val="23"/>
        </w:rPr>
        <w:t xml:space="preserve"> lower by 2030</w:t>
      </w:r>
      <w:r w:rsidR="00322A2C" w:rsidRPr="00B26171">
        <w:rPr>
          <w:rFonts w:ascii="Calibri" w:hAnsi="Calibri" w:cs="Calibri"/>
          <w:color w:val="4F81BD" w:themeColor="accent1"/>
          <w:sz w:val="23"/>
          <w:szCs w:val="23"/>
        </w:rPr>
        <w:t xml:space="preserve"> </w:t>
      </w:r>
      <w:r w:rsidRPr="00B26171">
        <w:rPr>
          <w:rFonts w:ascii="Calibri" w:hAnsi="Calibri" w:cs="Calibri"/>
          <w:color w:val="4F81BD" w:themeColor="accent1"/>
          <w:sz w:val="23"/>
          <w:szCs w:val="23"/>
        </w:rPr>
        <w:t xml:space="preserve">than </w:t>
      </w:r>
      <w:r w:rsidR="00FF46A9" w:rsidRPr="00B26171">
        <w:rPr>
          <w:rFonts w:ascii="Calibri" w:hAnsi="Calibri" w:cs="Calibri"/>
          <w:color w:val="4F81BD" w:themeColor="accent1"/>
          <w:sz w:val="23"/>
          <w:szCs w:val="23"/>
        </w:rPr>
        <w:t>under current policies</w:t>
      </w:r>
      <w:r w:rsidRPr="00B26171">
        <w:rPr>
          <w:rFonts w:ascii="Calibri" w:hAnsi="Calibri" w:cs="Calibri"/>
          <w:color w:val="4F81BD" w:themeColor="accent1"/>
          <w:sz w:val="23"/>
          <w:szCs w:val="23"/>
        </w:rPr>
        <w:t xml:space="preserve">. </w:t>
      </w: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Calibri" w:hAnsi="Calibri" w:cs="Calibri"/>
          <w:color w:val="4F81BD" w:themeColor="accent1"/>
          <w:sz w:val="23"/>
          <w:szCs w:val="23"/>
        </w:rPr>
      </w:pP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color w:val="4F81BD" w:themeColor="accent1"/>
          <w:sz w:val="23"/>
          <w:szCs w:val="23"/>
        </w:rPr>
      </w:pPr>
      <w:r w:rsidRPr="00B26171">
        <w:rPr>
          <w:rFonts w:ascii="Calibri" w:hAnsi="Calibri" w:cs="Calibri"/>
          <w:b/>
          <w:bCs/>
          <w:color w:val="4F81BD" w:themeColor="accent1"/>
          <w:sz w:val="23"/>
          <w:szCs w:val="23"/>
        </w:rPr>
        <w:t xml:space="preserve">But stronger global action provides modest benefits to </w:t>
      </w:r>
      <w:r w:rsidR="00FF46A9" w:rsidRPr="00B26171">
        <w:rPr>
          <w:rFonts w:ascii="Calibri" w:hAnsi="Calibri" w:cs="Calibri"/>
          <w:b/>
          <w:bCs/>
          <w:color w:val="4F81BD" w:themeColor="accent1"/>
          <w:sz w:val="23"/>
          <w:szCs w:val="23"/>
        </w:rPr>
        <w:t xml:space="preserve">many </w:t>
      </w:r>
      <w:r w:rsidR="00971415" w:rsidRPr="00B26171">
        <w:rPr>
          <w:rFonts w:ascii="Calibri" w:hAnsi="Calibri" w:cs="Calibri"/>
          <w:b/>
          <w:bCs/>
          <w:color w:val="4F81BD" w:themeColor="accent1"/>
          <w:sz w:val="23"/>
          <w:szCs w:val="23"/>
        </w:rPr>
        <w:t xml:space="preserve">Australian </w:t>
      </w:r>
      <w:r w:rsidRPr="00B26171">
        <w:rPr>
          <w:rFonts w:ascii="Calibri" w:hAnsi="Calibri" w:cs="Calibri"/>
          <w:b/>
          <w:bCs/>
          <w:color w:val="4F81BD" w:themeColor="accent1"/>
          <w:sz w:val="23"/>
          <w:szCs w:val="23"/>
        </w:rPr>
        <w:t>export sectors.</w:t>
      </w:r>
      <w:r w:rsidRPr="00B26171">
        <w:rPr>
          <w:color w:val="4F81BD" w:themeColor="accent1"/>
          <w:sz w:val="23"/>
          <w:szCs w:val="23"/>
        </w:rPr>
        <w:t xml:space="preserve"> </w:t>
      </w: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Calibri" w:hAnsi="Calibri" w:cs="Calibri"/>
          <w:color w:val="4F81BD" w:themeColor="accent1"/>
          <w:sz w:val="23"/>
          <w:szCs w:val="23"/>
        </w:rPr>
      </w:pPr>
      <w:r w:rsidRPr="00B26171">
        <w:rPr>
          <w:rFonts w:ascii="Calibri" w:hAnsi="Calibri" w:cs="Calibri"/>
          <w:color w:val="4F81BD" w:themeColor="accent1"/>
          <w:sz w:val="23"/>
          <w:szCs w:val="23"/>
        </w:rPr>
        <w:t xml:space="preserve">The value of exports from all other </w:t>
      </w:r>
      <w:r w:rsidR="00971415" w:rsidRPr="00B26171">
        <w:rPr>
          <w:rFonts w:ascii="Calibri" w:hAnsi="Calibri" w:cs="Calibri"/>
          <w:color w:val="4F81BD" w:themeColor="accent1"/>
          <w:sz w:val="23"/>
          <w:szCs w:val="23"/>
        </w:rPr>
        <w:t xml:space="preserve">Australian </w:t>
      </w:r>
      <w:r w:rsidRPr="00B26171">
        <w:rPr>
          <w:rFonts w:ascii="Calibri" w:hAnsi="Calibri" w:cs="Calibri"/>
          <w:color w:val="4F81BD" w:themeColor="accent1"/>
          <w:sz w:val="23"/>
          <w:szCs w:val="23"/>
        </w:rPr>
        <w:t>sectors, accounting for more than 80</w:t>
      </w:r>
      <w:r w:rsidR="00182A42" w:rsidRPr="00B26171">
        <w:rPr>
          <w:rFonts w:ascii="Calibri" w:hAnsi="Calibri" w:cs="Calibri"/>
          <w:color w:val="4F81BD" w:themeColor="accent1"/>
          <w:sz w:val="23"/>
          <w:szCs w:val="23"/>
        </w:rPr>
        <w:t> per cent</w:t>
      </w:r>
      <w:r w:rsidRPr="00B26171">
        <w:rPr>
          <w:rFonts w:ascii="Calibri" w:hAnsi="Calibri" w:cs="Calibri"/>
          <w:color w:val="4F81BD" w:themeColor="accent1"/>
          <w:sz w:val="23"/>
          <w:szCs w:val="23"/>
        </w:rPr>
        <w:t xml:space="preserve"> of exports, increases modestly with new international commitments:  up to 1</w:t>
      </w:r>
      <w:r w:rsidR="00182A42" w:rsidRPr="00B26171">
        <w:rPr>
          <w:rFonts w:ascii="Calibri" w:hAnsi="Calibri" w:cs="Calibri"/>
          <w:color w:val="4F81BD" w:themeColor="accent1"/>
          <w:sz w:val="23"/>
          <w:szCs w:val="23"/>
        </w:rPr>
        <w:t> per cent</w:t>
      </w:r>
      <w:r w:rsidRPr="00B26171">
        <w:rPr>
          <w:rFonts w:ascii="Calibri" w:hAnsi="Calibri" w:cs="Calibri"/>
          <w:color w:val="4F81BD" w:themeColor="accent1"/>
          <w:sz w:val="23"/>
          <w:szCs w:val="23"/>
        </w:rPr>
        <w:t xml:space="preserve"> in exports from mining, </w:t>
      </w:r>
      <w:r w:rsidR="00153FC0" w:rsidRPr="00B26171">
        <w:rPr>
          <w:rFonts w:ascii="Calibri" w:hAnsi="Calibri" w:cs="Calibri"/>
          <w:color w:val="4F81BD" w:themeColor="accent1"/>
          <w:sz w:val="23"/>
          <w:szCs w:val="23"/>
        </w:rPr>
        <w:t xml:space="preserve">durable goods </w:t>
      </w:r>
      <w:r w:rsidRPr="00B26171">
        <w:rPr>
          <w:rFonts w:ascii="Calibri" w:hAnsi="Calibri" w:cs="Calibri"/>
          <w:color w:val="4F81BD" w:themeColor="accent1"/>
          <w:sz w:val="23"/>
          <w:szCs w:val="23"/>
        </w:rPr>
        <w:t>manufacturing and agriculture, and increases in exports of 1</w:t>
      </w:r>
      <w:r w:rsidR="00182A42" w:rsidRPr="00B26171">
        <w:rPr>
          <w:rFonts w:ascii="Calibri" w:hAnsi="Calibri" w:cs="Calibri"/>
          <w:color w:val="4F81BD" w:themeColor="accent1"/>
          <w:sz w:val="23"/>
          <w:szCs w:val="23"/>
        </w:rPr>
        <w:t xml:space="preserve"> to </w:t>
      </w:r>
      <w:r w:rsidRPr="00B26171">
        <w:rPr>
          <w:rFonts w:ascii="Calibri" w:hAnsi="Calibri" w:cs="Calibri"/>
          <w:color w:val="4F81BD" w:themeColor="accent1"/>
          <w:sz w:val="23"/>
          <w:szCs w:val="23"/>
        </w:rPr>
        <w:t>2</w:t>
      </w:r>
      <w:r w:rsidR="00182A42" w:rsidRPr="00B26171">
        <w:rPr>
          <w:rFonts w:ascii="Calibri" w:hAnsi="Calibri" w:cs="Calibri"/>
          <w:color w:val="4F81BD" w:themeColor="accent1"/>
          <w:sz w:val="23"/>
          <w:szCs w:val="23"/>
        </w:rPr>
        <w:t> per cent</w:t>
      </w:r>
      <w:r w:rsidRPr="00B26171">
        <w:rPr>
          <w:rFonts w:ascii="Calibri" w:hAnsi="Calibri" w:cs="Calibri"/>
          <w:color w:val="4F81BD" w:themeColor="accent1"/>
          <w:sz w:val="23"/>
          <w:szCs w:val="23"/>
        </w:rPr>
        <w:t xml:space="preserve"> from </w:t>
      </w:r>
      <w:r w:rsidR="00153FC0" w:rsidRPr="00B26171">
        <w:rPr>
          <w:rFonts w:ascii="Calibri" w:hAnsi="Calibri" w:cs="Calibri"/>
          <w:color w:val="4F81BD" w:themeColor="accent1"/>
          <w:sz w:val="23"/>
          <w:szCs w:val="23"/>
        </w:rPr>
        <w:t>non-durable manufacturing</w:t>
      </w:r>
      <w:r w:rsidRPr="00B26171">
        <w:rPr>
          <w:rFonts w:ascii="Calibri" w:hAnsi="Calibri" w:cs="Calibri"/>
          <w:color w:val="4F81BD" w:themeColor="accent1"/>
          <w:sz w:val="23"/>
          <w:szCs w:val="23"/>
        </w:rPr>
        <w:t xml:space="preserve">, transport, and services. These small gains across a broad base offset </w:t>
      </w:r>
      <w:r w:rsidR="006F1E85" w:rsidRPr="00B26171">
        <w:rPr>
          <w:rFonts w:ascii="Calibri" w:hAnsi="Calibri" w:cs="Calibri"/>
          <w:color w:val="4F81BD" w:themeColor="accent1"/>
          <w:sz w:val="23"/>
          <w:szCs w:val="23"/>
        </w:rPr>
        <w:t xml:space="preserve">all of </w:t>
      </w:r>
      <w:r w:rsidRPr="00B26171">
        <w:rPr>
          <w:rFonts w:ascii="Calibri" w:hAnsi="Calibri" w:cs="Calibri"/>
          <w:color w:val="4F81BD" w:themeColor="accent1"/>
          <w:sz w:val="23"/>
          <w:szCs w:val="23"/>
        </w:rPr>
        <w:t>the negative impacts on coal, gas and oil extraction. The domestic trade balance improves overall due to a depreciation of the Australian dollar.</w:t>
      </w: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3"/>
          <w:szCs w:val="23"/>
        </w:rPr>
      </w:pP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3"/>
          <w:szCs w:val="23"/>
        </w:rPr>
      </w:pPr>
      <w:r w:rsidRPr="00B26171">
        <w:rPr>
          <w:rFonts w:ascii="Calibri" w:hAnsi="Calibri" w:cs="Calibri"/>
          <w:b/>
          <w:bCs/>
          <w:color w:val="4F81BD" w:themeColor="accent1"/>
          <w:sz w:val="23"/>
          <w:szCs w:val="23"/>
        </w:rPr>
        <w:t xml:space="preserve">Impact on Australian emissions is </w:t>
      </w:r>
      <w:r w:rsidR="00CD0924" w:rsidRPr="00B26171">
        <w:rPr>
          <w:rFonts w:ascii="Calibri" w:hAnsi="Calibri" w:cs="Calibri"/>
          <w:b/>
          <w:bCs/>
          <w:color w:val="4F81BD" w:themeColor="accent1"/>
          <w:sz w:val="23"/>
          <w:szCs w:val="23"/>
        </w:rPr>
        <w:t xml:space="preserve">limited, </w:t>
      </w:r>
      <w:r w:rsidRPr="00B26171">
        <w:rPr>
          <w:rFonts w:ascii="Calibri" w:hAnsi="Calibri" w:cs="Calibri"/>
          <w:b/>
          <w:bCs/>
          <w:color w:val="4F81BD" w:themeColor="accent1"/>
          <w:sz w:val="23"/>
          <w:szCs w:val="23"/>
        </w:rPr>
        <w:t xml:space="preserve">in the absence of new Australian policies. </w:t>
      </w:r>
      <w:r w:rsidRPr="00B26171">
        <w:rPr>
          <w:rFonts w:ascii="Calibri" w:hAnsi="Calibri" w:cs="Calibri"/>
          <w:color w:val="4F81BD" w:themeColor="accent1"/>
          <w:sz w:val="23"/>
          <w:szCs w:val="23"/>
        </w:rPr>
        <w:t xml:space="preserve">Australian emissions </w:t>
      </w:r>
      <w:r w:rsidR="00DD6B28">
        <w:rPr>
          <w:rFonts w:ascii="Calibri" w:hAnsi="Calibri" w:cs="Calibri"/>
          <w:color w:val="4F81BD" w:themeColor="accent1"/>
          <w:sz w:val="23"/>
          <w:szCs w:val="23"/>
        </w:rPr>
        <w:t xml:space="preserve">in 2030 </w:t>
      </w:r>
      <w:r w:rsidRPr="00B26171">
        <w:rPr>
          <w:rFonts w:ascii="Calibri" w:hAnsi="Calibri" w:cs="Calibri"/>
          <w:color w:val="4F81BD" w:themeColor="accent1"/>
          <w:sz w:val="23"/>
          <w:szCs w:val="23"/>
        </w:rPr>
        <w:t>are 0.2</w:t>
      </w:r>
      <w:r w:rsidR="00182A42" w:rsidRPr="00B26171">
        <w:rPr>
          <w:rFonts w:ascii="Calibri" w:hAnsi="Calibri" w:cs="Calibri"/>
          <w:color w:val="4F81BD" w:themeColor="accent1"/>
          <w:sz w:val="23"/>
          <w:szCs w:val="23"/>
        </w:rPr>
        <w:t> per cent</w:t>
      </w:r>
      <w:r w:rsidRPr="00B26171">
        <w:rPr>
          <w:rFonts w:ascii="Calibri" w:hAnsi="Calibri" w:cs="Calibri"/>
          <w:color w:val="4F81BD" w:themeColor="accent1"/>
          <w:sz w:val="23"/>
          <w:szCs w:val="23"/>
        </w:rPr>
        <w:t xml:space="preserve"> lower </w:t>
      </w:r>
      <w:r w:rsidR="00DD6B28">
        <w:rPr>
          <w:rFonts w:ascii="Calibri" w:hAnsi="Calibri" w:cs="Calibri"/>
          <w:color w:val="4F81BD" w:themeColor="accent1"/>
          <w:sz w:val="23"/>
          <w:szCs w:val="23"/>
        </w:rPr>
        <w:t xml:space="preserve">than they would be </w:t>
      </w:r>
      <w:r w:rsidRPr="00B26171">
        <w:rPr>
          <w:rFonts w:ascii="Calibri" w:hAnsi="Calibri" w:cs="Calibri"/>
          <w:color w:val="4F81BD" w:themeColor="accent1"/>
          <w:sz w:val="23"/>
          <w:szCs w:val="23"/>
        </w:rPr>
        <w:t xml:space="preserve">in </w:t>
      </w:r>
      <w:r w:rsidR="00DD6B28">
        <w:rPr>
          <w:rFonts w:ascii="Calibri" w:hAnsi="Calibri" w:cs="Calibri"/>
          <w:color w:val="4F81BD" w:themeColor="accent1"/>
          <w:sz w:val="23"/>
          <w:szCs w:val="23"/>
        </w:rPr>
        <w:t xml:space="preserve">the absence </w:t>
      </w:r>
      <w:r w:rsidRPr="00B26171">
        <w:rPr>
          <w:rFonts w:ascii="Calibri" w:hAnsi="Calibri" w:cs="Calibri"/>
          <w:color w:val="4F81BD" w:themeColor="accent1"/>
          <w:sz w:val="23"/>
          <w:szCs w:val="23"/>
        </w:rPr>
        <w:t xml:space="preserve">of other countries’ commitments. This </w:t>
      </w:r>
      <w:r w:rsidR="002A60AB">
        <w:rPr>
          <w:rFonts w:ascii="Calibri" w:hAnsi="Calibri" w:cs="Calibri"/>
          <w:color w:val="4F81BD" w:themeColor="accent1"/>
          <w:sz w:val="23"/>
          <w:szCs w:val="23"/>
        </w:rPr>
        <w:t>compares</w:t>
      </w:r>
      <w:r w:rsidR="002A60AB" w:rsidRPr="00B26171">
        <w:rPr>
          <w:rFonts w:ascii="Calibri" w:hAnsi="Calibri" w:cs="Calibri"/>
          <w:color w:val="4F81BD" w:themeColor="accent1"/>
          <w:sz w:val="23"/>
          <w:szCs w:val="23"/>
        </w:rPr>
        <w:t xml:space="preserve"> </w:t>
      </w:r>
      <w:r w:rsidRPr="00B26171">
        <w:rPr>
          <w:rFonts w:ascii="Calibri" w:hAnsi="Calibri" w:cs="Calibri"/>
          <w:color w:val="4F81BD" w:themeColor="accent1"/>
          <w:sz w:val="23"/>
          <w:szCs w:val="23"/>
        </w:rPr>
        <w:t>with average OECD emissions being around 20</w:t>
      </w:r>
      <w:r w:rsidR="00182A42" w:rsidRPr="00B26171">
        <w:rPr>
          <w:rFonts w:ascii="Calibri" w:hAnsi="Calibri" w:cs="Calibri"/>
          <w:color w:val="4F81BD" w:themeColor="accent1"/>
          <w:sz w:val="23"/>
          <w:szCs w:val="23"/>
        </w:rPr>
        <w:t> per cent</w:t>
      </w:r>
      <w:r w:rsidRPr="00B26171">
        <w:rPr>
          <w:rFonts w:ascii="Calibri" w:hAnsi="Calibri" w:cs="Calibri"/>
          <w:color w:val="4F81BD" w:themeColor="accent1"/>
          <w:sz w:val="23"/>
          <w:szCs w:val="23"/>
        </w:rPr>
        <w:t xml:space="preserve"> lower.</w:t>
      </w: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3"/>
          <w:szCs w:val="23"/>
        </w:rPr>
      </w:pPr>
    </w:p>
    <w:p w:rsidR="008762A5" w:rsidRPr="00B26171" w:rsidRDefault="008762A5" w:rsidP="00B26171">
      <w:pPr>
        <w:pBdr>
          <w:top w:val="single" w:sz="18" w:space="1" w:color="996633"/>
          <w:left w:val="single" w:sz="18" w:space="4" w:color="996633"/>
          <w:bottom w:val="single" w:sz="18" w:space="1" w:color="996633"/>
          <w:right w:val="single" w:sz="18" w:space="4" w:color="996633"/>
        </w:pBdr>
        <w:jc w:val="both"/>
        <w:rPr>
          <w:rFonts w:asciiTheme="minorHAnsi" w:hAnsiTheme="minorHAnsi" w:cstheme="minorHAnsi"/>
          <w:color w:val="4F81BD" w:themeColor="accent1"/>
          <w:sz w:val="23"/>
          <w:szCs w:val="23"/>
        </w:rPr>
      </w:pPr>
      <w:r w:rsidRPr="00B26171">
        <w:rPr>
          <w:rFonts w:ascii="Calibri" w:hAnsi="Calibri" w:cs="Calibri"/>
          <w:b/>
          <w:bCs/>
          <w:color w:val="4F81BD" w:themeColor="accent1"/>
          <w:sz w:val="23"/>
          <w:szCs w:val="23"/>
        </w:rPr>
        <w:t xml:space="preserve">Economic impacts across countries are not closely related to levels of </w:t>
      </w:r>
      <w:r w:rsidR="006F53F7" w:rsidRPr="00B26171">
        <w:rPr>
          <w:rFonts w:ascii="Calibri" w:hAnsi="Calibri" w:cs="Calibri"/>
          <w:b/>
          <w:bCs/>
          <w:color w:val="4F81BD" w:themeColor="accent1"/>
          <w:sz w:val="23"/>
          <w:szCs w:val="23"/>
        </w:rPr>
        <w:t>effort</w:t>
      </w:r>
      <w:r w:rsidRPr="00B26171">
        <w:rPr>
          <w:rFonts w:ascii="Calibri" w:hAnsi="Calibri" w:cs="Calibri"/>
          <w:b/>
          <w:bCs/>
          <w:color w:val="4F81BD" w:themeColor="accent1"/>
          <w:sz w:val="23"/>
          <w:szCs w:val="23"/>
        </w:rPr>
        <w:t xml:space="preserve">. </w:t>
      </w:r>
      <w:r w:rsidRPr="00B26171">
        <w:rPr>
          <w:rFonts w:ascii="Calibri" w:hAnsi="Calibri" w:cs="Calibri"/>
          <w:color w:val="4F81BD" w:themeColor="accent1"/>
          <w:sz w:val="23"/>
          <w:szCs w:val="23"/>
        </w:rPr>
        <w:t xml:space="preserve">The modelling </w:t>
      </w:r>
      <w:r w:rsidR="006F53F7" w:rsidRPr="00B26171">
        <w:rPr>
          <w:rFonts w:ascii="Calibri" w:hAnsi="Calibri" w:cs="Calibri"/>
          <w:color w:val="4F81BD" w:themeColor="accent1"/>
          <w:sz w:val="23"/>
          <w:szCs w:val="23"/>
        </w:rPr>
        <w:t xml:space="preserve">finds </w:t>
      </w:r>
      <w:r w:rsidRPr="00B26171">
        <w:rPr>
          <w:rFonts w:ascii="Calibri" w:hAnsi="Calibri" w:cs="Calibri"/>
          <w:color w:val="4F81BD" w:themeColor="accent1"/>
          <w:sz w:val="23"/>
          <w:szCs w:val="23"/>
        </w:rPr>
        <w:t xml:space="preserve">that economic impacts are </w:t>
      </w:r>
      <w:r w:rsidR="00971415" w:rsidRPr="00B26171">
        <w:rPr>
          <w:rFonts w:ascii="Calibri" w:hAnsi="Calibri" w:cs="Calibri"/>
          <w:color w:val="4F81BD" w:themeColor="accent1"/>
          <w:sz w:val="23"/>
          <w:szCs w:val="23"/>
        </w:rPr>
        <w:t xml:space="preserve">primarily determined </w:t>
      </w:r>
      <w:r w:rsidRPr="00B26171">
        <w:rPr>
          <w:rFonts w:ascii="Calibri" w:hAnsi="Calibri" w:cs="Calibri"/>
          <w:color w:val="4F81BD" w:themeColor="accent1"/>
          <w:sz w:val="23"/>
          <w:szCs w:val="23"/>
        </w:rPr>
        <w:t xml:space="preserve">by policies, economic circumstances and trade </w:t>
      </w:r>
      <w:r w:rsidR="00971415" w:rsidRPr="00B26171">
        <w:rPr>
          <w:rFonts w:ascii="Calibri" w:hAnsi="Calibri" w:cs="Calibri"/>
          <w:color w:val="4F81BD" w:themeColor="accent1"/>
          <w:sz w:val="23"/>
          <w:szCs w:val="23"/>
        </w:rPr>
        <w:t xml:space="preserve">effects </w:t>
      </w:r>
      <w:r w:rsidRPr="00B26171">
        <w:rPr>
          <w:rFonts w:ascii="Calibri" w:hAnsi="Calibri" w:cs="Calibri"/>
          <w:color w:val="4F81BD" w:themeColor="accent1"/>
          <w:sz w:val="23"/>
          <w:szCs w:val="23"/>
        </w:rPr>
        <w:t xml:space="preserve">rather than </w:t>
      </w:r>
      <w:r w:rsidR="00971415" w:rsidRPr="00B26171">
        <w:rPr>
          <w:rFonts w:ascii="Calibri" w:hAnsi="Calibri" w:cs="Calibri"/>
          <w:color w:val="4F81BD" w:themeColor="accent1"/>
          <w:sz w:val="23"/>
          <w:szCs w:val="23"/>
        </w:rPr>
        <w:t xml:space="preserve">country </w:t>
      </w:r>
      <w:r w:rsidRPr="00B26171">
        <w:rPr>
          <w:rFonts w:ascii="Calibri" w:hAnsi="Calibri" w:cs="Calibri"/>
          <w:color w:val="4F81BD" w:themeColor="accent1"/>
          <w:sz w:val="23"/>
          <w:szCs w:val="23"/>
        </w:rPr>
        <w:t>target levels.</w:t>
      </w:r>
    </w:p>
    <w:p w:rsidR="008762A5" w:rsidRPr="00335D2D" w:rsidRDefault="008762A5" w:rsidP="00B26171">
      <w:pPr>
        <w:pBdr>
          <w:top w:val="single" w:sz="18" w:space="1" w:color="996633"/>
          <w:left w:val="single" w:sz="18" w:space="4" w:color="996633"/>
          <w:bottom w:val="single" w:sz="18" w:space="1" w:color="996633"/>
          <w:right w:val="single" w:sz="18" w:space="4" w:color="996633"/>
        </w:pBdr>
      </w:pPr>
    </w:p>
    <w:p w:rsidR="006B554F" w:rsidRPr="00B46257" w:rsidRDefault="006B554F" w:rsidP="006B554F">
      <w:pPr>
        <w:rPr>
          <w:rFonts w:asciiTheme="minorHAnsi" w:hAnsiTheme="minorHAnsi" w:cstheme="minorHAnsi"/>
          <w:sz w:val="16"/>
        </w:rPr>
      </w:pPr>
    </w:p>
    <w:p w:rsidR="00B11C0D" w:rsidRPr="00335D2D" w:rsidRDefault="00B11C0D" w:rsidP="00B11C0D">
      <w:pPr>
        <w:rPr>
          <w:rFonts w:asciiTheme="minorHAnsi" w:hAnsiTheme="minorHAnsi" w:cstheme="minorHAnsi"/>
        </w:rPr>
      </w:pPr>
    </w:p>
    <w:p w:rsidR="00B11C0D" w:rsidRPr="00335D2D" w:rsidRDefault="00B11C0D" w:rsidP="00B11C0D">
      <w:pPr>
        <w:rPr>
          <w:rFonts w:asciiTheme="minorHAnsi" w:hAnsiTheme="minorHAnsi" w:cstheme="minorHAnsi"/>
        </w:rPr>
      </w:pPr>
    </w:p>
    <w:p w:rsidR="003374BA" w:rsidRPr="00C32F93" w:rsidRDefault="00D418B0" w:rsidP="003374BA">
      <w:pPr>
        <w:rPr>
          <w:rFonts w:asciiTheme="minorHAnsi" w:hAnsiTheme="minorHAnsi" w:cstheme="minorHAnsi"/>
          <w:b/>
          <w:color w:val="996633"/>
          <w:sz w:val="40"/>
        </w:rPr>
      </w:pPr>
      <w:r>
        <w:rPr>
          <w:rFonts w:asciiTheme="minorHAnsi" w:hAnsiTheme="minorHAnsi" w:cstheme="minorHAnsi"/>
          <w:b/>
          <w:noProof/>
          <w:color w:val="000000" w:themeColor="text1"/>
          <w:sz w:val="32"/>
          <w:lang w:eastAsia="en-AU"/>
        </w:rPr>
        <mc:AlternateContent>
          <mc:Choice Requires="wps">
            <w:drawing>
              <wp:anchor distT="0" distB="0" distL="114300" distR="114300" simplePos="0" relativeHeight="251684864" behindDoc="0" locked="0" layoutInCell="1" allowOverlap="1" wp14:anchorId="05F9C09C" wp14:editId="595EE23C">
                <wp:simplePos x="0" y="0"/>
                <wp:positionH relativeFrom="column">
                  <wp:posOffset>5558790</wp:posOffset>
                </wp:positionH>
                <wp:positionV relativeFrom="page">
                  <wp:posOffset>9947910</wp:posOffset>
                </wp:positionV>
                <wp:extent cx="565150" cy="381635"/>
                <wp:effectExtent l="0" t="0" r="2540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816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37.7pt;margin-top:783.3pt;width:44.5pt;height:3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" fillcolor="white [3212]" strokecolor="white [3212]" strokeweight="2pt">
                <v:path arrowok="t"/>
                <w10:wrap anchory="page"/>
              </v:rect>
            </w:pict>
          </mc:Fallback>
        </mc:AlternateContent>
      </w:r>
      <w:r>
        <w:rPr>
          <w:rFonts w:asciiTheme="minorHAnsi" w:hAnsiTheme="minorHAnsi" w:cstheme="minorHAnsi"/>
          <w:noProof/>
          <w:lang w:eastAsia="en-AU"/>
        </w:rPr>
        <mc:AlternateContent>
          <mc:Choice Requires="wps">
            <w:drawing>
              <wp:anchor distT="0" distB="0" distL="114300" distR="114300" simplePos="0" relativeHeight="251664384" behindDoc="0" locked="0" layoutInCell="1" allowOverlap="1" wp14:anchorId="281A062A" wp14:editId="096B3A73">
                <wp:simplePos x="0" y="0"/>
                <wp:positionH relativeFrom="column">
                  <wp:posOffset>9525</wp:posOffset>
                </wp:positionH>
                <wp:positionV relativeFrom="paragraph">
                  <wp:posOffset>6494780</wp:posOffset>
                </wp:positionV>
                <wp:extent cx="5191125" cy="14763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76375"/>
                        </a:xfrm>
                        <a:prstGeom prst="rect">
                          <a:avLst/>
                        </a:prstGeom>
                        <a:ln>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926FD1" w:rsidRDefault="00926FD1" w:rsidP="00301D7E">
                            <w:pPr>
                              <w:rPr>
                                <w:rFonts w:asciiTheme="minorHAnsi" w:hAnsiTheme="minorHAnsi" w:cstheme="minorHAnsi"/>
                              </w:rPr>
                            </w:pPr>
                            <w:r>
                              <w:rPr>
                                <w:rFonts w:asciiTheme="minorHAnsi" w:hAnsiTheme="minorHAnsi" w:cstheme="minorHAnsi"/>
                                <w:b/>
                              </w:rPr>
                              <w:t>Contact information</w:t>
                            </w:r>
                          </w:p>
                          <w:p w:rsidR="00926FD1" w:rsidRDefault="00926FD1" w:rsidP="00301D7E"/>
                          <w:p w:rsidR="00926FD1" w:rsidRPr="00CD4768" w:rsidRDefault="00926FD1" w:rsidP="00301D7E">
                            <w:pPr>
                              <w:rPr>
                                <w:rFonts w:asciiTheme="minorHAnsi" w:hAnsiTheme="minorHAnsi" w:cstheme="minorHAnsi"/>
                              </w:rPr>
                            </w:pPr>
                            <w:r w:rsidRPr="00CD4768">
                              <w:rPr>
                                <w:rFonts w:asciiTheme="minorHAnsi" w:hAnsiTheme="minorHAnsi" w:cstheme="minorHAnsi"/>
                              </w:rPr>
                              <w:t>Dougal McInnes</w:t>
                            </w:r>
                          </w:p>
                          <w:p w:rsidR="00926FD1" w:rsidRPr="00CD4768" w:rsidRDefault="00926FD1" w:rsidP="00301D7E">
                            <w:pPr>
                              <w:rPr>
                                <w:rFonts w:asciiTheme="minorHAnsi" w:hAnsiTheme="minorHAnsi" w:cstheme="minorHAnsi"/>
                              </w:rPr>
                            </w:pPr>
                            <w:r w:rsidRPr="00CD4768">
                              <w:rPr>
                                <w:rFonts w:asciiTheme="minorHAnsi" w:hAnsiTheme="minorHAnsi" w:cstheme="minorHAnsi"/>
                              </w:rPr>
                              <w:t>Director, Climate Analytics and Partnerships</w:t>
                            </w:r>
                          </w:p>
                          <w:p w:rsidR="00926FD1" w:rsidRPr="00CD4768" w:rsidRDefault="00926FD1" w:rsidP="00301D7E">
                            <w:pPr>
                              <w:rPr>
                                <w:rFonts w:asciiTheme="minorHAnsi" w:hAnsiTheme="minorHAnsi" w:cstheme="minorHAnsi"/>
                              </w:rPr>
                            </w:pPr>
                            <w:r w:rsidRPr="00CD4768">
                              <w:rPr>
                                <w:rFonts w:asciiTheme="minorHAnsi" w:hAnsiTheme="minorHAnsi" w:cstheme="minorHAnsi"/>
                              </w:rPr>
                              <w:t>Department of Foreign Affairs and Trade</w:t>
                            </w:r>
                          </w:p>
                          <w:p w:rsidR="00926FD1" w:rsidRPr="00CD4768" w:rsidRDefault="00926FD1" w:rsidP="00301D7E">
                            <w:pPr>
                              <w:rPr>
                                <w:rFonts w:asciiTheme="minorHAnsi" w:hAnsiTheme="minorHAnsi" w:cstheme="minorHAnsi"/>
                                <w:u w:val="single"/>
                              </w:rPr>
                            </w:pPr>
                            <w:r w:rsidRPr="00CD4768">
                              <w:rPr>
                                <w:rFonts w:asciiTheme="minorHAnsi" w:hAnsiTheme="minorHAnsi" w:cstheme="minorHAnsi"/>
                              </w:rPr>
                              <w:t>(02) 6178 5197</w:t>
                            </w:r>
                            <w:r>
                              <w:rPr>
                                <w:rFonts w:asciiTheme="minorHAnsi" w:hAnsiTheme="minorHAnsi" w:cstheme="minorHAnsi"/>
                              </w:rPr>
                              <w:t xml:space="preserve"> or </w:t>
                            </w:r>
                            <w:r w:rsidRPr="00CD4768">
                              <w:rPr>
                                <w:rFonts w:asciiTheme="minorHAnsi" w:hAnsiTheme="minorHAnsi" w:cstheme="minorHAnsi"/>
                                <w:u w:val="single"/>
                              </w:rPr>
                              <w:t>dougal.mcinnes@dfat.gov.au</w:t>
                            </w:r>
                          </w:p>
                        </w:txbxContent>
                      </wps:txbx>
                      <wps:bodyPr rot="0" vert="horz" wrap="square" lIns="144000" tIns="108000" rIns="144000" bIns="108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75pt;margin-top:511.4pt;width:408.75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" fillcolor="white [3201]" strokecolor="#7f7f7f [1612]" strokeweight="2pt">
                <v:textbox inset="4mm,3mm,4mm,3mm">
                  <w:txbxContent>
                    <w:p w:rsidR="00926FD1" w:rsidRDefault="00926FD1" w:rsidP="00301D7E">
                      <w:pPr>
                        <w:rPr>
                          <w:rFonts w:asciiTheme="minorHAnsi" w:hAnsiTheme="minorHAnsi" w:cstheme="minorHAnsi"/>
                        </w:rPr>
                      </w:pPr>
                      <w:r>
                        <w:rPr>
                          <w:rFonts w:asciiTheme="minorHAnsi" w:hAnsiTheme="minorHAnsi" w:cstheme="minorHAnsi"/>
                          <w:b/>
                        </w:rPr>
                        <w:t>Contact information</w:t>
                      </w:r>
                    </w:p>
                    <w:p w:rsidR="00926FD1" w:rsidRDefault="00926FD1" w:rsidP="00301D7E"/>
                    <w:p w:rsidR="00926FD1" w:rsidRPr="00CD4768" w:rsidRDefault="00926FD1" w:rsidP="00301D7E">
                      <w:pPr>
                        <w:rPr>
                          <w:rFonts w:asciiTheme="minorHAnsi" w:hAnsiTheme="minorHAnsi" w:cstheme="minorHAnsi"/>
                        </w:rPr>
                      </w:pPr>
                      <w:r w:rsidRPr="00CD4768">
                        <w:rPr>
                          <w:rFonts w:asciiTheme="minorHAnsi" w:hAnsiTheme="minorHAnsi" w:cstheme="minorHAnsi"/>
                        </w:rPr>
                        <w:t>Dougal McInnes</w:t>
                      </w:r>
                    </w:p>
                    <w:p w:rsidR="00926FD1" w:rsidRPr="00CD4768" w:rsidRDefault="00926FD1" w:rsidP="00301D7E">
                      <w:pPr>
                        <w:rPr>
                          <w:rFonts w:asciiTheme="minorHAnsi" w:hAnsiTheme="minorHAnsi" w:cstheme="minorHAnsi"/>
                        </w:rPr>
                      </w:pPr>
                      <w:r w:rsidRPr="00CD4768">
                        <w:rPr>
                          <w:rFonts w:asciiTheme="minorHAnsi" w:hAnsiTheme="minorHAnsi" w:cstheme="minorHAnsi"/>
                        </w:rPr>
                        <w:t>Director, Climate Analytics and Partnerships</w:t>
                      </w:r>
                    </w:p>
                    <w:p w:rsidR="00926FD1" w:rsidRPr="00CD4768" w:rsidRDefault="00926FD1" w:rsidP="00301D7E">
                      <w:pPr>
                        <w:rPr>
                          <w:rFonts w:asciiTheme="minorHAnsi" w:hAnsiTheme="minorHAnsi" w:cstheme="minorHAnsi"/>
                        </w:rPr>
                      </w:pPr>
                      <w:r w:rsidRPr="00CD4768">
                        <w:rPr>
                          <w:rFonts w:asciiTheme="minorHAnsi" w:hAnsiTheme="minorHAnsi" w:cstheme="minorHAnsi"/>
                        </w:rPr>
                        <w:t>Department of Foreign Affairs and Trade</w:t>
                      </w:r>
                    </w:p>
                    <w:p w:rsidR="00926FD1" w:rsidRPr="00CD4768" w:rsidRDefault="00926FD1" w:rsidP="00301D7E">
                      <w:pPr>
                        <w:rPr>
                          <w:rFonts w:asciiTheme="minorHAnsi" w:hAnsiTheme="minorHAnsi" w:cstheme="minorHAnsi"/>
                          <w:u w:val="single"/>
                        </w:rPr>
                      </w:pPr>
                      <w:r w:rsidRPr="00CD4768">
                        <w:rPr>
                          <w:rFonts w:asciiTheme="minorHAnsi" w:hAnsiTheme="minorHAnsi" w:cstheme="minorHAnsi"/>
                        </w:rPr>
                        <w:t>(02) 6178 5197</w:t>
                      </w:r>
                      <w:r>
                        <w:rPr>
                          <w:rFonts w:asciiTheme="minorHAnsi" w:hAnsiTheme="minorHAnsi" w:cstheme="minorHAnsi"/>
                        </w:rPr>
                        <w:t xml:space="preserve"> or </w:t>
                      </w:r>
                      <w:r w:rsidRPr="00CD4768">
                        <w:rPr>
                          <w:rFonts w:asciiTheme="minorHAnsi" w:hAnsiTheme="minorHAnsi" w:cstheme="minorHAnsi"/>
                          <w:u w:val="single"/>
                        </w:rPr>
                        <w:t>dougal.mcinnes@dfat.gov.au</w:t>
                      </w:r>
                    </w:p>
                  </w:txbxContent>
                </v:textbox>
              </v:shape>
            </w:pict>
          </mc:Fallback>
        </mc:AlternateContent>
      </w:r>
      <w:r w:rsidR="00B11C0D" w:rsidRPr="00335D2D">
        <w:rPr>
          <w:rFonts w:asciiTheme="minorHAnsi" w:hAnsiTheme="minorHAnsi" w:cstheme="minorHAnsi"/>
          <w:b/>
          <w:color w:val="0070C0"/>
          <w:sz w:val="40"/>
        </w:rPr>
        <w:br w:type="page"/>
      </w:r>
      <w:r w:rsidR="003374BA" w:rsidRPr="00C32F93">
        <w:rPr>
          <w:rFonts w:asciiTheme="minorHAnsi" w:hAnsiTheme="minorHAnsi" w:cstheme="minorHAnsi"/>
          <w:b/>
          <w:color w:val="996633"/>
          <w:sz w:val="40"/>
        </w:rPr>
        <w:lastRenderedPageBreak/>
        <w:t>Introduction and context</w:t>
      </w:r>
    </w:p>
    <w:p w:rsidR="003374BA" w:rsidRDefault="003374BA" w:rsidP="003374BA">
      <w:pPr>
        <w:rPr>
          <w:rFonts w:asciiTheme="minorHAnsi" w:hAnsiTheme="minorHAnsi" w:cstheme="minorHAnsi"/>
        </w:rPr>
      </w:pPr>
    </w:p>
    <w:p w:rsidR="003374BA" w:rsidRPr="00CD4768" w:rsidRDefault="003374BA" w:rsidP="003374BA">
      <w:pPr>
        <w:rPr>
          <w:rFonts w:asciiTheme="minorHAnsi" w:hAnsiTheme="minorHAnsi" w:cstheme="minorHAnsi"/>
          <w:sz w:val="32"/>
        </w:rPr>
      </w:pPr>
      <w:r>
        <w:rPr>
          <w:rFonts w:asciiTheme="minorHAnsi" w:hAnsiTheme="minorHAnsi" w:cstheme="minorHAnsi"/>
          <w:noProof/>
          <w:lang w:eastAsia="en-AU"/>
        </w:rPr>
        <mc:AlternateContent>
          <mc:Choice Requires="wps">
            <w:drawing>
              <wp:anchor distT="0" distB="0" distL="114300" distR="114300" simplePos="0" relativeHeight="251736064" behindDoc="0" locked="0" layoutInCell="1" allowOverlap="1" wp14:anchorId="71AE024D" wp14:editId="3B9B2A7A">
                <wp:simplePos x="0" y="0"/>
                <wp:positionH relativeFrom="column">
                  <wp:posOffset>13771</wp:posOffset>
                </wp:positionH>
                <wp:positionV relativeFrom="paragraph">
                  <wp:posOffset>63883</wp:posOffset>
                </wp:positionV>
                <wp:extent cx="5200650" cy="1587260"/>
                <wp:effectExtent l="0" t="0" r="19050" b="133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587260"/>
                        </a:xfrm>
                        <a:prstGeom prst="rect">
                          <a:avLst/>
                        </a:prstGeom>
                        <a:ln>
                          <a:solidFill>
                            <a:srgbClr val="996633"/>
                          </a:solidFill>
                          <a:headEnd/>
                          <a:tailEnd/>
                        </a:ln>
                      </wps:spPr>
                      <wps:style>
                        <a:lnRef idx="2">
                          <a:schemeClr val="accent1"/>
                        </a:lnRef>
                        <a:fillRef idx="1">
                          <a:schemeClr val="lt1"/>
                        </a:fillRef>
                        <a:effectRef idx="0">
                          <a:schemeClr val="accent1"/>
                        </a:effectRef>
                        <a:fontRef idx="minor">
                          <a:schemeClr val="dk1"/>
                        </a:fontRef>
                      </wps:style>
                      <wps:txbx>
                        <w:txbxContent>
                          <w:p w:rsidR="00926FD1" w:rsidRPr="00B26171" w:rsidRDefault="00926FD1" w:rsidP="003374BA">
                            <w:p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DFAT COMMISSIONED ECONOMIC MODELLING WITH TWO OBJECTIVES:</w:t>
                            </w:r>
                          </w:p>
                          <w:p w:rsidR="00926FD1" w:rsidRPr="00B26171" w:rsidRDefault="00926FD1" w:rsidP="003374BA">
                            <w:pPr>
                              <w:pStyle w:val="ListParagraph"/>
                              <w:numPr>
                                <w:ilvl w:val="0"/>
                                <w:numId w:val="8"/>
                              </w:num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ASSESS THE IMPACT on THE us, china, JAPAN, EUROPE and the world OF COLLECTIVE international POST-2020 CLIMATE CHANGE TARGETS AND POLICIES; AND</w:t>
                            </w:r>
                          </w:p>
                          <w:p w:rsidR="00926FD1" w:rsidRPr="00B26171" w:rsidRDefault="00926FD1" w:rsidP="003374BA">
                            <w:pPr>
                              <w:pStyle w:val="ListParagraph"/>
                              <w:numPr>
                                <w:ilvl w:val="0"/>
                                <w:numId w:val="8"/>
                              </w:num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ASSESS THE IMPACT on australia OF international action by THOSE COUNTRIES AND OTHERS in the absence of additional commitments or policies by AUSTRALIA.</w:t>
                            </w:r>
                          </w:p>
                        </w:txbxContent>
                      </wps:txbx>
                      <wps:bodyPr rot="0" vert="horz" wrap="square" lIns="144000" tIns="108000" rIns="144000" bIns="10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pt;margin-top:5.05pt;width:409.5pt;height: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" fillcolor="white [3201]" strokecolor="#963" strokeweight="2pt">
                <v:textbox inset="4mm,3mm,4mm,3mm">
                  <w:txbxContent>
                    <w:p w:rsidR="00926FD1" w:rsidRPr="00B26171" w:rsidRDefault="00926FD1" w:rsidP="003374BA">
                      <w:p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DFAT COMMISSIONED ECONOMIC MODELLING WITH TWO OBJECTIVES:</w:t>
                      </w:r>
                    </w:p>
                    <w:p w:rsidR="00926FD1" w:rsidRPr="00B26171" w:rsidRDefault="00926FD1" w:rsidP="003374BA">
                      <w:pPr>
                        <w:pStyle w:val="ListParagraph"/>
                        <w:numPr>
                          <w:ilvl w:val="0"/>
                          <w:numId w:val="8"/>
                        </w:num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ASSESS THE IMPACT on THE us, china, JAPAN, EUROPE and the world OF COLLECTIVE international POST-2020 CLIMATE CHANGE TARGETS AND POLICIES; AND</w:t>
                      </w:r>
                    </w:p>
                    <w:p w:rsidR="00926FD1" w:rsidRPr="00B26171" w:rsidRDefault="00926FD1" w:rsidP="003374BA">
                      <w:pPr>
                        <w:pStyle w:val="ListParagraph"/>
                        <w:numPr>
                          <w:ilvl w:val="0"/>
                          <w:numId w:val="8"/>
                        </w:num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ASSESS THE IMPACT on australia OF international action by THOSE COUNTRIES AND OTHERS in the absence of additional commitments or policies by AUSTRALIA.</w:t>
                      </w:r>
                    </w:p>
                  </w:txbxContent>
                </v:textbox>
                <w10:wrap type="topAndBottom"/>
              </v:shape>
            </w:pict>
          </mc:Fallback>
        </mc:AlternateContent>
      </w:r>
      <w:r>
        <w:rPr>
          <w:rFonts w:asciiTheme="minorHAnsi" w:hAnsiTheme="minorHAnsi" w:cstheme="minorHAnsi"/>
        </w:rPr>
        <w:t xml:space="preserve"> </w:t>
      </w:r>
    </w:p>
    <w:p w:rsidR="003374BA" w:rsidRPr="00BF39AB" w:rsidRDefault="003374BA" w:rsidP="003374BA">
      <w:pPr>
        <w:pStyle w:val="ListParagraph"/>
        <w:spacing w:line="360" w:lineRule="auto"/>
        <w:ind w:left="0"/>
        <w:rPr>
          <w:rFonts w:asciiTheme="minorHAnsi" w:hAnsiTheme="minorHAnsi" w:cstheme="minorHAnsi"/>
          <w:b/>
          <w:color w:val="996633"/>
        </w:rPr>
      </w:pPr>
      <w:r w:rsidRPr="00BF39AB">
        <w:rPr>
          <w:rFonts w:asciiTheme="minorHAnsi" w:hAnsiTheme="minorHAnsi" w:cstheme="minorHAnsi"/>
          <w:b/>
          <w:color w:val="996633"/>
        </w:rPr>
        <w:t>A new global agreement</w:t>
      </w:r>
    </w:p>
    <w:p w:rsidR="003374BA" w:rsidRPr="006347BB" w:rsidRDefault="003374BA" w:rsidP="00BF7A32">
      <w:pPr>
        <w:pStyle w:val="TableText"/>
        <w:spacing w:after="100" w:afterAutospacing="1"/>
        <w:rPr>
          <w:rFonts w:asciiTheme="minorHAnsi" w:hAnsiTheme="minorHAnsi" w:cstheme="minorHAnsi"/>
        </w:rPr>
      </w:pPr>
      <w:r w:rsidRPr="006347BB">
        <w:rPr>
          <w:rFonts w:asciiTheme="minorHAnsi" w:hAnsiTheme="minorHAnsi" w:cstheme="minorHAnsi"/>
          <w:sz w:val="24"/>
        </w:rPr>
        <w:t xml:space="preserve">Parties to the United Nations have agreed under the Framework Convention on Climate Change to negotiate a new global agreement with all countries taking action in the period after 2020 to reduce greenhouse gas emissions. These nationally determined emission reduction targets will form the core of this new agreement. </w:t>
      </w:r>
    </w:p>
    <w:p w:rsidR="003374BA" w:rsidRPr="00BF39AB" w:rsidRDefault="003374BA" w:rsidP="003374BA">
      <w:pPr>
        <w:pStyle w:val="ListParagraph"/>
        <w:spacing w:line="360" w:lineRule="auto"/>
        <w:ind w:left="0"/>
        <w:rPr>
          <w:rFonts w:asciiTheme="minorHAnsi" w:hAnsiTheme="minorHAnsi" w:cstheme="minorHAnsi"/>
          <w:b/>
          <w:color w:val="996633"/>
        </w:rPr>
      </w:pPr>
      <w:r w:rsidRPr="00BF39AB">
        <w:rPr>
          <w:rFonts w:asciiTheme="minorHAnsi" w:hAnsiTheme="minorHAnsi" w:cstheme="minorHAnsi"/>
          <w:b/>
          <w:color w:val="996633"/>
        </w:rPr>
        <w:t>Countries are taking action</w:t>
      </w:r>
    </w:p>
    <w:p w:rsidR="003374BA" w:rsidRPr="006347BB" w:rsidRDefault="00C247B5" w:rsidP="00BF7A32">
      <w:pPr>
        <w:pStyle w:val="TableText"/>
        <w:spacing w:after="100" w:afterAutospacing="1"/>
        <w:rPr>
          <w:rFonts w:asciiTheme="minorHAnsi" w:hAnsiTheme="minorHAnsi" w:cstheme="minorHAnsi"/>
        </w:rPr>
      </w:pPr>
      <w:r w:rsidRPr="006347BB">
        <w:rPr>
          <w:rFonts w:asciiTheme="minorHAnsi" w:hAnsiTheme="minorHAnsi" w:cstheme="minorHAnsi"/>
          <w:sz w:val="24"/>
        </w:rPr>
        <w:t>At the time of modelling, c</w:t>
      </w:r>
      <w:r w:rsidR="003374BA" w:rsidRPr="006347BB">
        <w:rPr>
          <w:rFonts w:asciiTheme="minorHAnsi" w:hAnsiTheme="minorHAnsi" w:cstheme="minorHAnsi"/>
          <w:sz w:val="24"/>
        </w:rPr>
        <w:t xml:space="preserve">ountries that </w:t>
      </w:r>
      <w:r w:rsidRPr="006347BB">
        <w:rPr>
          <w:rFonts w:asciiTheme="minorHAnsi" w:hAnsiTheme="minorHAnsi" w:cstheme="minorHAnsi"/>
          <w:sz w:val="24"/>
        </w:rPr>
        <w:t xml:space="preserve">had </w:t>
      </w:r>
      <w:r w:rsidR="003374BA" w:rsidRPr="006347BB">
        <w:rPr>
          <w:rFonts w:asciiTheme="minorHAnsi" w:hAnsiTheme="minorHAnsi" w:cstheme="minorHAnsi"/>
          <w:sz w:val="24"/>
        </w:rPr>
        <w:t>already announced post-2020 targets include</w:t>
      </w:r>
      <w:r w:rsidRPr="006347BB">
        <w:rPr>
          <w:rFonts w:asciiTheme="minorHAnsi" w:hAnsiTheme="minorHAnsi" w:cstheme="minorHAnsi"/>
          <w:sz w:val="24"/>
        </w:rPr>
        <w:t>d</w:t>
      </w:r>
      <w:r w:rsidR="003374BA" w:rsidRPr="006347BB">
        <w:rPr>
          <w:rFonts w:asciiTheme="minorHAnsi" w:hAnsiTheme="minorHAnsi" w:cstheme="minorHAnsi"/>
          <w:sz w:val="24"/>
        </w:rPr>
        <w:t xml:space="preserve"> the United States, China and the European Union. </w:t>
      </w:r>
      <w:r w:rsidR="004650A6" w:rsidRPr="006347BB">
        <w:rPr>
          <w:rFonts w:asciiTheme="minorHAnsi" w:hAnsiTheme="minorHAnsi" w:cstheme="minorHAnsi"/>
          <w:sz w:val="24"/>
        </w:rPr>
        <w:t>The countries that had announced post-2020 targets accounted for more than half of global emissions, more than 60 per cent of global economic activity, and around half of Australia’s trade in goods and services.</w:t>
      </w:r>
      <w:r w:rsidR="004650A6" w:rsidRPr="00AF2688">
        <w:rPr>
          <w:vertAlign w:val="superscript"/>
        </w:rPr>
        <w:footnoteReference w:id="1"/>
      </w:r>
    </w:p>
    <w:p w:rsidR="003374BA" w:rsidRPr="00BF39AB" w:rsidRDefault="003374BA" w:rsidP="003374BA">
      <w:pPr>
        <w:pStyle w:val="ListParagraph"/>
        <w:spacing w:line="360" w:lineRule="auto"/>
        <w:ind w:left="0"/>
        <w:rPr>
          <w:rFonts w:asciiTheme="minorHAnsi" w:hAnsiTheme="minorHAnsi" w:cstheme="minorHAnsi"/>
          <w:b/>
          <w:color w:val="996633"/>
        </w:rPr>
      </w:pPr>
      <w:r w:rsidRPr="00BF39AB">
        <w:rPr>
          <w:rFonts w:asciiTheme="minorHAnsi" w:hAnsiTheme="minorHAnsi" w:cstheme="minorHAnsi"/>
          <w:b/>
          <w:color w:val="996633"/>
        </w:rPr>
        <w:t xml:space="preserve">Economic modelling </w:t>
      </w:r>
      <w:r w:rsidR="00971415" w:rsidRPr="00BF39AB">
        <w:rPr>
          <w:rFonts w:asciiTheme="minorHAnsi" w:hAnsiTheme="minorHAnsi" w:cstheme="minorHAnsi"/>
          <w:b/>
          <w:color w:val="996633"/>
        </w:rPr>
        <w:t xml:space="preserve">to </w:t>
      </w:r>
      <w:r w:rsidRPr="00BF39AB">
        <w:rPr>
          <w:rFonts w:asciiTheme="minorHAnsi" w:hAnsiTheme="minorHAnsi" w:cstheme="minorHAnsi"/>
          <w:b/>
          <w:color w:val="996633"/>
        </w:rPr>
        <w:t xml:space="preserve">help assess the impact </w:t>
      </w:r>
      <w:r w:rsidR="00971415" w:rsidRPr="00BF39AB">
        <w:rPr>
          <w:rFonts w:asciiTheme="minorHAnsi" w:hAnsiTheme="minorHAnsi" w:cstheme="minorHAnsi"/>
          <w:b/>
          <w:color w:val="996633"/>
        </w:rPr>
        <w:t>of post-2020 commitments</w:t>
      </w:r>
    </w:p>
    <w:p w:rsidR="003374BA" w:rsidRPr="006347BB" w:rsidRDefault="003374BA" w:rsidP="00BF7A32">
      <w:pPr>
        <w:pStyle w:val="TableText"/>
        <w:spacing w:after="100" w:afterAutospacing="1"/>
        <w:rPr>
          <w:rFonts w:asciiTheme="minorHAnsi" w:hAnsiTheme="minorHAnsi" w:cstheme="minorHAnsi"/>
        </w:rPr>
      </w:pPr>
      <w:r w:rsidRPr="006347BB">
        <w:rPr>
          <w:rFonts w:asciiTheme="minorHAnsi" w:hAnsiTheme="minorHAnsi" w:cstheme="minorHAnsi"/>
          <w:sz w:val="24"/>
        </w:rPr>
        <w:t>International climate action plays an increasingly significant role in shaping challenges and opportunities for growth. Because effective responses to climate change must be global, understanding other countries’ actions is a key consideration in Australia’s target setting process</w:t>
      </w:r>
      <w:r w:rsidR="00971415">
        <w:rPr>
          <w:rFonts w:asciiTheme="minorHAnsi" w:hAnsiTheme="minorHAnsi" w:cstheme="minorHAnsi"/>
          <w:sz w:val="24"/>
        </w:rPr>
        <w:t>.</w:t>
      </w:r>
    </w:p>
    <w:p w:rsidR="003374BA" w:rsidRDefault="003374BA" w:rsidP="00AF2688">
      <w:pPr>
        <w:rPr>
          <w:rFonts w:asciiTheme="minorHAnsi" w:hAnsiTheme="minorHAnsi" w:cstheme="minorHAnsi"/>
        </w:rPr>
      </w:pPr>
      <w:r>
        <w:rPr>
          <w:rFonts w:asciiTheme="minorHAnsi" w:hAnsiTheme="minorHAnsi" w:cstheme="minorHAnsi"/>
        </w:rPr>
        <w:t>T</w:t>
      </w:r>
      <w:r w:rsidRPr="00335D2D">
        <w:rPr>
          <w:rFonts w:asciiTheme="minorHAnsi" w:hAnsiTheme="minorHAnsi" w:cstheme="minorHAnsi"/>
        </w:rPr>
        <w:t>o assess the</w:t>
      </w:r>
      <w:r>
        <w:rPr>
          <w:rFonts w:asciiTheme="minorHAnsi" w:hAnsiTheme="minorHAnsi" w:cstheme="minorHAnsi"/>
        </w:rPr>
        <w:t xml:space="preserve"> </w:t>
      </w:r>
      <w:r w:rsidRPr="00335D2D">
        <w:rPr>
          <w:rFonts w:asciiTheme="minorHAnsi" w:hAnsiTheme="minorHAnsi" w:cstheme="minorHAnsi"/>
        </w:rPr>
        <w:t xml:space="preserve">impact of </w:t>
      </w:r>
      <w:r>
        <w:rPr>
          <w:rFonts w:asciiTheme="minorHAnsi" w:hAnsiTheme="minorHAnsi" w:cstheme="minorHAnsi"/>
        </w:rPr>
        <w:t>the new global agreement</w:t>
      </w:r>
      <w:r w:rsidRPr="00335D2D">
        <w:rPr>
          <w:rFonts w:asciiTheme="minorHAnsi" w:hAnsiTheme="minorHAnsi" w:cstheme="minorHAnsi"/>
        </w:rPr>
        <w:t xml:space="preserve"> </w:t>
      </w:r>
      <w:r>
        <w:rPr>
          <w:rFonts w:asciiTheme="minorHAnsi" w:hAnsiTheme="minorHAnsi" w:cstheme="minorHAnsi"/>
        </w:rPr>
        <w:t>on</w:t>
      </w:r>
      <w:r w:rsidRPr="00335D2D">
        <w:rPr>
          <w:rFonts w:asciiTheme="minorHAnsi" w:hAnsiTheme="minorHAnsi" w:cstheme="minorHAnsi"/>
        </w:rPr>
        <w:t xml:space="preserve"> key markets </w:t>
      </w:r>
      <w:r>
        <w:rPr>
          <w:rFonts w:asciiTheme="minorHAnsi" w:hAnsiTheme="minorHAnsi" w:cstheme="minorHAnsi"/>
        </w:rPr>
        <w:t>in</w:t>
      </w:r>
      <w:r w:rsidRPr="00335D2D">
        <w:rPr>
          <w:rFonts w:asciiTheme="minorHAnsi" w:hAnsiTheme="minorHAnsi" w:cstheme="minorHAnsi"/>
        </w:rPr>
        <w:t xml:space="preserve"> </w:t>
      </w:r>
      <w:r>
        <w:rPr>
          <w:rFonts w:asciiTheme="minorHAnsi" w:hAnsiTheme="minorHAnsi" w:cstheme="minorHAnsi"/>
        </w:rPr>
        <w:t>the global</w:t>
      </w:r>
      <w:r w:rsidRPr="00335D2D">
        <w:rPr>
          <w:rFonts w:asciiTheme="minorHAnsi" w:hAnsiTheme="minorHAnsi" w:cstheme="minorHAnsi"/>
        </w:rPr>
        <w:t xml:space="preserve"> </w:t>
      </w:r>
      <w:r>
        <w:rPr>
          <w:rFonts w:asciiTheme="minorHAnsi" w:hAnsiTheme="minorHAnsi" w:cstheme="minorHAnsi"/>
        </w:rPr>
        <w:t xml:space="preserve">and domestic </w:t>
      </w:r>
      <w:r w:rsidRPr="00335D2D">
        <w:rPr>
          <w:rFonts w:asciiTheme="minorHAnsi" w:hAnsiTheme="minorHAnsi" w:cstheme="minorHAnsi"/>
        </w:rPr>
        <w:t>economy</w:t>
      </w:r>
      <w:r>
        <w:rPr>
          <w:rFonts w:asciiTheme="minorHAnsi" w:hAnsiTheme="minorHAnsi" w:cstheme="minorHAnsi"/>
        </w:rPr>
        <w:t>, DFAT commissioned McKibbin Software Group Pty Ltd to undertake economic modelling of key countries’ post-2020 targets, with two objectives:</w:t>
      </w:r>
    </w:p>
    <w:p w:rsidR="003374BA" w:rsidRPr="00652768" w:rsidRDefault="003374BA" w:rsidP="00F65CAF">
      <w:pPr>
        <w:pStyle w:val="ListParagraph"/>
        <w:numPr>
          <w:ilvl w:val="0"/>
          <w:numId w:val="8"/>
        </w:numPr>
        <w:rPr>
          <w:rFonts w:asciiTheme="minorHAnsi" w:hAnsiTheme="minorHAnsi" w:cstheme="minorHAnsi"/>
        </w:rPr>
      </w:pPr>
      <w:r w:rsidRPr="00652768">
        <w:rPr>
          <w:rFonts w:asciiTheme="minorHAnsi" w:hAnsiTheme="minorHAnsi" w:cstheme="minorHAnsi"/>
        </w:rPr>
        <w:t>Assess the impact on the US, China, Japan, E</w:t>
      </w:r>
      <w:r w:rsidRPr="00387CDE">
        <w:rPr>
          <w:rFonts w:asciiTheme="minorHAnsi" w:hAnsiTheme="minorHAnsi" w:cstheme="minorHAnsi"/>
        </w:rPr>
        <w:t xml:space="preserve">urope and the </w:t>
      </w:r>
      <w:r w:rsidR="00C247B5" w:rsidRPr="00387CDE">
        <w:rPr>
          <w:rFonts w:asciiTheme="minorHAnsi" w:hAnsiTheme="minorHAnsi" w:cstheme="minorHAnsi"/>
        </w:rPr>
        <w:t>w</w:t>
      </w:r>
      <w:r w:rsidR="00C247B5" w:rsidRPr="00652768">
        <w:rPr>
          <w:rFonts w:asciiTheme="minorHAnsi" w:hAnsiTheme="minorHAnsi" w:cstheme="minorHAnsi"/>
        </w:rPr>
        <w:t xml:space="preserve">orld </w:t>
      </w:r>
      <w:r w:rsidRPr="00652768">
        <w:rPr>
          <w:rFonts w:asciiTheme="minorHAnsi" w:hAnsiTheme="minorHAnsi" w:cstheme="minorHAnsi"/>
        </w:rPr>
        <w:t>of collective international post-2020 climate change targets and policies; and</w:t>
      </w:r>
    </w:p>
    <w:p w:rsidR="003374BA" w:rsidRPr="00652768" w:rsidRDefault="003374BA" w:rsidP="00F65CAF">
      <w:pPr>
        <w:pStyle w:val="ListParagraph"/>
        <w:numPr>
          <w:ilvl w:val="0"/>
          <w:numId w:val="8"/>
        </w:numPr>
        <w:spacing w:after="120"/>
        <w:ind w:left="714" w:hanging="357"/>
        <w:contextualSpacing w:val="0"/>
        <w:rPr>
          <w:rFonts w:asciiTheme="minorHAnsi" w:hAnsiTheme="minorHAnsi" w:cstheme="minorHAnsi"/>
        </w:rPr>
      </w:pPr>
      <w:r w:rsidRPr="00387CDE">
        <w:rPr>
          <w:rFonts w:asciiTheme="minorHAnsi" w:hAnsiTheme="minorHAnsi" w:cstheme="minorHAnsi"/>
        </w:rPr>
        <w:t>Assess the impact on A</w:t>
      </w:r>
      <w:r w:rsidRPr="00652768">
        <w:rPr>
          <w:rFonts w:asciiTheme="minorHAnsi" w:hAnsiTheme="minorHAnsi" w:cstheme="minorHAnsi"/>
        </w:rPr>
        <w:t>ustralia of international action by those countries and others, in the absence of additio</w:t>
      </w:r>
      <w:r w:rsidRPr="00387CDE">
        <w:rPr>
          <w:rFonts w:asciiTheme="minorHAnsi" w:hAnsiTheme="minorHAnsi" w:cstheme="minorHAnsi"/>
        </w:rPr>
        <w:t>nal commitments or policies by A</w:t>
      </w:r>
      <w:r w:rsidRPr="00652768">
        <w:rPr>
          <w:rFonts w:asciiTheme="minorHAnsi" w:hAnsiTheme="minorHAnsi" w:cstheme="minorHAnsi"/>
        </w:rPr>
        <w:t>ustralia.</w:t>
      </w:r>
    </w:p>
    <w:p w:rsidR="003374BA" w:rsidRDefault="003374BA" w:rsidP="00BF7A32">
      <w:pPr>
        <w:spacing w:before="120" w:after="100" w:afterAutospacing="1" w:line="280" w:lineRule="exact"/>
        <w:rPr>
          <w:rFonts w:asciiTheme="minorHAnsi" w:hAnsiTheme="minorHAnsi" w:cstheme="minorHAnsi"/>
        </w:rPr>
      </w:pPr>
      <w:r>
        <w:rPr>
          <w:rFonts w:asciiTheme="minorHAnsi" w:hAnsiTheme="minorHAnsi" w:cstheme="minorHAnsi"/>
        </w:rPr>
        <w:t xml:space="preserve">This modelling project is different to previous modelling undertaken in Australia because it assesses countries’ announced post-2020 targets and policies rather than </w:t>
      </w:r>
      <w:r>
        <w:rPr>
          <w:rFonts w:asciiTheme="minorHAnsi" w:hAnsiTheme="minorHAnsi" w:cstheme="minorHAnsi"/>
        </w:rPr>
        <w:lastRenderedPageBreak/>
        <w:t>assess</w:t>
      </w:r>
      <w:r w:rsidR="004D4597">
        <w:rPr>
          <w:rFonts w:asciiTheme="minorHAnsi" w:hAnsiTheme="minorHAnsi" w:cstheme="minorHAnsi"/>
        </w:rPr>
        <w:t>ing</w:t>
      </w:r>
      <w:r>
        <w:rPr>
          <w:rFonts w:asciiTheme="minorHAnsi" w:hAnsiTheme="minorHAnsi" w:cstheme="minorHAnsi"/>
        </w:rPr>
        <w:t xml:space="preserve"> climate action in line with a long term goal. The model used has been selected for its sophisticated representation of trade flows and macroeconomic processes with sectoral disaggregation. No sectoral or scientific models are used, in line with the project’s focus on impacts relating to foreign trade, capital flows, investment and economic growth.</w:t>
      </w:r>
      <w:r w:rsidRPr="00913EBD">
        <w:rPr>
          <w:rFonts w:asciiTheme="minorHAnsi" w:hAnsiTheme="minorHAnsi" w:cstheme="minorHAnsi"/>
        </w:rPr>
        <w:t xml:space="preserve"> </w:t>
      </w:r>
    </w:p>
    <w:p w:rsidR="003374BA" w:rsidRPr="00BF39AB" w:rsidRDefault="003374BA" w:rsidP="00BF7A32">
      <w:pPr>
        <w:spacing w:after="120"/>
        <w:rPr>
          <w:rFonts w:asciiTheme="minorHAnsi" w:hAnsiTheme="minorHAnsi" w:cstheme="minorHAnsi"/>
          <w:i/>
          <w:color w:val="996633"/>
        </w:rPr>
      </w:pPr>
      <w:r w:rsidRPr="00BF39AB">
        <w:rPr>
          <w:rFonts w:asciiTheme="minorHAnsi" w:hAnsiTheme="minorHAnsi" w:cstheme="minorHAnsi"/>
          <w:i/>
          <w:color w:val="996633"/>
        </w:rPr>
        <w:t>Scope and Limitations</w:t>
      </w:r>
    </w:p>
    <w:p w:rsidR="003374BA" w:rsidRDefault="003374BA" w:rsidP="00BF7A32">
      <w:pPr>
        <w:spacing w:before="120" w:after="100" w:afterAutospacing="1" w:line="280" w:lineRule="exact"/>
        <w:rPr>
          <w:rFonts w:asciiTheme="minorHAnsi" w:hAnsiTheme="minorHAnsi" w:cstheme="minorHAnsi"/>
        </w:rPr>
      </w:pPr>
      <w:r w:rsidRPr="00CD4768">
        <w:rPr>
          <w:rFonts w:asciiTheme="minorHAnsi" w:hAnsiTheme="minorHAnsi" w:cstheme="minorHAnsi"/>
        </w:rPr>
        <w:t xml:space="preserve">The modelling can help </w:t>
      </w:r>
      <w:r>
        <w:rPr>
          <w:rFonts w:asciiTheme="minorHAnsi" w:hAnsiTheme="minorHAnsi" w:cstheme="minorHAnsi"/>
        </w:rPr>
        <w:t>explain</w:t>
      </w:r>
      <w:r w:rsidRPr="00335D2D">
        <w:rPr>
          <w:rFonts w:asciiTheme="minorHAnsi" w:hAnsiTheme="minorHAnsi" w:cstheme="minorHAnsi"/>
        </w:rPr>
        <w:t xml:space="preserve"> the </w:t>
      </w:r>
      <w:r>
        <w:rPr>
          <w:rFonts w:asciiTheme="minorHAnsi" w:hAnsiTheme="minorHAnsi" w:cstheme="minorHAnsi"/>
        </w:rPr>
        <w:t>international</w:t>
      </w:r>
      <w:r w:rsidRPr="00335D2D">
        <w:rPr>
          <w:rFonts w:asciiTheme="minorHAnsi" w:hAnsiTheme="minorHAnsi" w:cstheme="minorHAnsi"/>
        </w:rPr>
        <w:t xml:space="preserve"> </w:t>
      </w:r>
      <w:r>
        <w:rPr>
          <w:rFonts w:asciiTheme="minorHAnsi" w:hAnsiTheme="minorHAnsi" w:cstheme="minorHAnsi"/>
        </w:rPr>
        <w:t xml:space="preserve">economic </w:t>
      </w:r>
      <w:r w:rsidRPr="00335D2D">
        <w:rPr>
          <w:rFonts w:asciiTheme="minorHAnsi" w:hAnsiTheme="minorHAnsi" w:cstheme="minorHAnsi"/>
        </w:rPr>
        <w:t xml:space="preserve">context </w:t>
      </w:r>
      <w:r>
        <w:rPr>
          <w:rFonts w:asciiTheme="minorHAnsi" w:hAnsiTheme="minorHAnsi" w:cstheme="minorHAnsi"/>
        </w:rPr>
        <w:t xml:space="preserve">of post-2020 climate change action. However there are other factors that could be considered in target setting that are not addressed in this </w:t>
      </w:r>
      <w:r w:rsidR="003343C9">
        <w:rPr>
          <w:rFonts w:asciiTheme="minorHAnsi" w:hAnsiTheme="minorHAnsi" w:cstheme="minorHAnsi"/>
        </w:rPr>
        <w:t>modelling</w:t>
      </w:r>
      <w:r>
        <w:rPr>
          <w:rFonts w:asciiTheme="minorHAnsi" w:hAnsiTheme="minorHAnsi" w:cstheme="minorHAnsi"/>
        </w:rPr>
        <w:t xml:space="preserve">, including the economic advantages of avoided climate damages or </w:t>
      </w:r>
      <w:r w:rsidR="00971415">
        <w:rPr>
          <w:rFonts w:asciiTheme="minorHAnsi" w:hAnsiTheme="minorHAnsi" w:cstheme="minorHAnsi"/>
        </w:rPr>
        <w:t xml:space="preserve">potential </w:t>
      </w:r>
      <w:r>
        <w:rPr>
          <w:rFonts w:asciiTheme="minorHAnsi" w:hAnsiTheme="minorHAnsi" w:cstheme="minorHAnsi"/>
        </w:rPr>
        <w:t>long-term targets and economic transition</w:t>
      </w:r>
      <w:r w:rsidR="00971415">
        <w:rPr>
          <w:rFonts w:asciiTheme="minorHAnsi" w:hAnsiTheme="minorHAnsi" w:cstheme="minorHAnsi"/>
        </w:rPr>
        <w:t>s</w:t>
      </w:r>
      <w:r>
        <w:rPr>
          <w:rFonts w:asciiTheme="minorHAnsi" w:hAnsiTheme="minorHAnsi" w:cstheme="minorHAnsi"/>
        </w:rPr>
        <w:t xml:space="preserve"> beyond 2030.</w:t>
      </w:r>
    </w:p>
    <w:p w:rsidR="00FF46A9" w:rsidRPr="00B82A09" w:rsidRDefault="00FF46A9" w:rsidP="00FF46A9">
      <w:pPr>
        <w:spacing w:before="120" w:after="100" w:afterAutospacing="1" w:line="280" w:lineRule="exact"/>
        <w:rPr>
          <w:rFonts w:asciiTheme="minorHAnsi" w:hAnsiTheme="minorHAnsi" w:cstheme="minorHAnsi"/>
        </w:rPr>
      </w:pPr>
      <w:r>
        <w:rPr>
          <w:rFonts w:asciiTheme="minorHAnsi" w:hAnsiTheme="minorHAnsi" w:cstheme="minorHAnsi"/>
        </w:rPr>
        <w:t xml:space="preserve">The project focuses on the targets and policies adopted by the United States, China, Japan and the European Union. In the model used, Canada and New Zealand are grouped together, and the rest of the world is grouped into large economic regions. Japan and Canada announced their targets after the modelling was completed. Their announced targets were more ambitious than assumed in the modelling. </w:t>
      </w:r>
    </w:p>
    <w:p w:rsidR="003374BA" w:rsidRDefault="003374BA" w:rsidP="00BF7A32">
      <w:pPr>
        <w:spacing w:before="120" w:after="100" w:afterAutospacing="1" w:line="280" w:lineRule="exact"/>
        <w:rPr>
          <w:rFonts w:asciiTheme="minorHAnsi" w:hAnsiTheme="minorHAnsi" w:cstheme="minorHAnsi"/>
        </w:rPr>
      </w:pPr>
      <w:r>
        <w:rPr>
          <w:rFonts w:asciiTheme="minorHAnsi" w:hAnsiTheme="minorHAnsi" w:cstheme="minorHAnsi"/>
        </w:rPr>
        <w:t>There is considerable uncertainty in the assumptions used</w:t>
      </w:r>
      <w:r w:rsidR="00FF46A9">
        <w:rPr>
          <w:rFonts w:asciiTheme="minorHAnsi" w:hAnsiTheme="minorHAnsi" w:cstheme="minorHAnsi"/>
        </w:rPr>
        <w:t xml:space="preserve"> in the modelling</w:t>
      </w:r>
      <w:r>
        <w:rPr>
          <w:rFonts w:asciiTheme="minorHAnsi" w:hAnsiTheme="minorHAnsi" w:cstheme="minorHAnsi"/>
        </w:rPr>
        <w:t>.</w:t>
      </w:r>
      <w:r w:rsidRPr="005025AD">
        <w:rPr>
          <w:rFonts w:asciiTheme="minorHAnsi" w:hAnsiTheme="minorHAnsi" w:cstheme="minorHAnsi"/>
        </w:rPr>
        <w:t xml:space="preserve"> </w:t>
      </w:r>
      <w:r w:rsidRPr="00335D2D">
        <w:rPr>
          <w:rFonts w:asciiTheme="minorHAnsi" w:hAnsiTheme="minorHAnsi" w:cstheme="minorHAnsi"/>
        </w:rPr>
        <w:t xml:space="preserve">Given the difficulty of predicting future economic conditions and countries’ actions, all results should be understood to be an expected outcome with a relatively large band of uncertainty around the point estimates. The estimates should be treated as indicative of the orders of magnitude of </w:t>
      </w:r>
      <w:r>
        <w:rPr>
          <w:rFonts w:asciiTheme="minorHAnsi" w:hAnsiTheme="minorHAnsi" w:cstheme="minorHAnsi"/>
        </w:rPr>
        <w:t>policy impacts and the likely relative size of impacts across sectors and countries,</w:t>
      </w:r>
      <w:r w:rsidRPr="00335D2D">
        <w:rPr>
          <w:rFonts w:asciiTheme="minorHAnsi" w:hAnsiTheme="minorHAnsi" w:cstheme="minorHAnsi"/>
        </w:rPr>
        <w:t xml:space="preserve"> and should be </w:t>
      </w:r>
      <w:r>
        <w:rPr>
          <w:rFonts w:asciiTheme="minorHAnsi" w:hAnsiTheme="minorHAnsi" w:cstheme="minorHAnsi"/>
        </w:rPr>
        <w:t>used</w:t>
      </w:r>
      <w:r w:rsidRPr="00335D2D">
        <w:rPr>
          <w:rFonts w:asciiTheme="minorHAnsi" w:hAnsiTheme="minorHAnsi" w:cstheme="minorHAnsi"/>
        </w:rPr>
        <w:t xml:space="preserve"> with caution.</w:t>
      </w:r>
    </w:p>
    <w:p w:rsidR="001F3F8B" w:rsidRPr="001F3F8B" w:rsidRDefault="001F3F8B" w:rsidP="00BF7A32">
      <w:pPr>
        <w:spacing w:before="120" w:after="100" w:afterAutospacing="1" w:line="280" w:lineRule="exact"/>
        <w:rPr>
          <w:rFonts w:asciiTheme="minorHAnsi" w:hAnsiTheme="minorHAnsi" w:cstheme="minorHAnsi"/>
        </w:rPr>
      </w:pPr>
      <w:r>
        <w:rPr>
          <w:rFonts w:asciiTheme="minorHAnsi" w:hAnsiTheme="minorHAnsi" w:cstheme="minorHAnsi"/>
        </w:rPr>
        <w:t xml:space="preserve">The </w:t>
      </w:r>
      <w:r w:rsidR="003754CF">
        <w:rPr>
          <w:rFonts w:asciiTheme="minorHAnsi" w:hAnsiTheme="minorHAnsi" w:cstheme="minorHAnsi"/>
        </w:rPr>
        <w:t>model accounts for energy sector carbon dioxide (CO</w:t>
      </w:r>
      <w:r w:rsidR="003754CF" w:rsidRPr="004C2372">
        <w:rPr>
          <w:rFonts w:asciiTheme="minorHAnsi" w:hAnsiTheme="minorHAnsi" w:cstheme="minorHAnsi"/>
          <w:vertAlign w:val="subscript"/>
        </w:rPr>
        <w:t>2</w:t>
      </w:r>
      <w:r w:rsidR="003754CF">
        <w:rPr>
          <w:rFonts w:asciiTheme="minorHAnsi" w:hAnsiTheme="minorHAnsi" w:cstheme="minorHAnsi"/>
        </w:rPr>
        <w:t xml:space="preserve">) </w:t>
      </w:r>
      <w:r>
        <w:rPr>
          <w:rFonts w:asciiTheme="minorHAnsi" w:hAnsiTheme="minorHAnsi" w:cstheme="minorHAnsi"/>
        </w:rPr>
        <w:t xml:space="preserve">emissions </w:t>
      </w:r>
      <w:r w:rsidR="003754CF">
        <w:rPr>
          <w:rFonts w:asciiTheme="minorHAnsi" w:hAnsiTheme="minorHAnsi" w:cstheme="minorHAnsi"/>
        </w:rPr>
        <w:t>– specifically, emissions from fuel combustion</w:t>
      </w:r>
      <w:r>
        <w:rPr>
          <w:rFonts w:asciiTheme="minorHAnsi" w:hAnsiTheme="minorHAnsi" w:cstheme="minorHAnsi"/>
        </w:rPr>
        <w:t xml:space="preserve">. </w:t>
      </w:r>
      <w:r w:rsidR="00EB0511">
        <w:rPr>
          <w:rFonts w:asciiTheme="minorHAnsi" w:hAnsiTheme="minorHAnsi" w:cstheme="minorHAnsi"/>
        </w:rPr>
        <w:t xml:space="preserve">Australian emissions </w:t>
      </w:r>
      <w:r w:rsidR="0028622F">
        <w:rPr>
          <w:rFonts w:asciiTheme="minorHAnsi" w:hAnsiTheme="minorHAnsi" w:cstheme="minorHAnsi"/>
        </w:rPr>
        <w:t xml:space="preserve">in 2020 </w:t>
      </w:r>
      <w:r w:rsidR="00EB0511">
        <w:rPr>
          <w:rFonts w:asciiTheme="minorHAnsi" w:hAnsiTheme="minorHAnsi" w:cstheme="minorHAnsi"/>
        </w:rPr>
        <w:t>under the ‘</w:t>
      </w:r>
      <w:r>
        <w:rPr>
          <w:rFonts w:asciiTheme="minorHAnsi" w:hAnsiTheme="minorHAnsi" w:cstheme="minorHAnsi"/>
        </w:rPr>
        <w:t>Current Polic</w:t>
      </w:r>
      <w:r w:rsidR="00EB0511">
        <w:rPr>
          <w:rFonts w:asciiTheme="minorHAnsi" w:hAnsiTheme="minorHAnsi" w:cstheme="minorHAnsi"/>
        </w:rPr>
        <w:t>ies’ Scenario</w:t>
      </w:r>
      <w:r>
        <w:rPr>
          <w:rFonts w:asciiTheme="minorHAnsi" w:hAnsiTheme="minorHAnsi" w:cstheme="minorHAnsi"/>
        </w:rPr>
        <w:t xml:space="preserve"> </w:t>
      </w:r>
      <w:r w:rsidR="00E91322">
        <w:rPr>
          <w:rFonts w:asciiTheme="minorHAnsi" w:hAnsiTheme="minorHAnsi" w:cstheme="minorHAnsi"/>
        </w:rPr>
        <w:t xml:space="preserve">(described in the following section) </w:t>
      </w:r>
      <w:r>
        <w:rPr>
          <w:rFonts w:asciiTheme="minorHAnsi" w:hAnsiTheme="minorHAnsi" w:cstheme="minorHAnsi"/>
        </w:rPr>
        <w:t xml:space="preserve">are </w:t>
      </w:r>
      <w:r w:rsidR="00125237">
        <w:rPr>
          <w:rFonts w:asciiTheme="minorHAnsi" w:hAnsiTheme="minorHAnsi" w:cstheme="minorHAnsi"/>
        </w:rPr>
        <w:t>derived</w:t>
      </w:r>
      <w:r>
        <w:rPr>
          <w:rFonts w:asciiTheme="minorHAnsi" w:hAnsiTheme="minorHAnsi" w:cstheme="minorHAnsi"/>
        </w:rPr>
        <w:t xml:space="preserve"> from the Australian Government’s emissions projections</w:t>
      </w:r>
      <w:r w:rsidR="00EB0511">
        <w:rPr>
          <w:rFonts w:asciiTheme="minorHAnsi" w:hAnsiTheme="minorHAnsi" w:cstheme="minorHAnsi"/>
        </w:rPr>
        <w:t xml:space="preserve"> </w:t>
      </w:r>
      <w:r w:rsidR="00EB0511">
        <w:rPr>
          <w:rFonts w:asciiTheme="minorHAnsi" w:hAnsiTheme="minorHAnsi"/>
        </w:rPr>
        <w:t>(Department of the Environment, 2015)</w:t>
      </w:r>
      <w:r>
        <w:rPr>
          <w:rFonts w:asciiTheme="minorHAnsi" w:hAnsiTheme="minorHAnsi" w:cstheme="minorHAnsi"/>
        </w:rPr>
        <w:t xml:space="preserve"> on the assumption that </w:t>
      </w:r>
      <w:r w:rsidR="00EB0511">
        <w:rPr>
          <w:rFonts w:asciiTheme="minorHAnsi" w:hAnsiTheme="minorHAnsi" w:cstheme="minorHAnsi"/>
        </w:rPr>
        <w:t xml:space="preserve">emissions in </w:t>
      </w:r>
      <w:r>
        <w:rPr>
          <w:rFonts w:asciiTheme="minorHAnsi" w:hAnsiTheme="minorHAnsi" w:cstheme="minorHAnsi"/>
        </w:rPr>
        <w:t>both the energy and non-energy sector</w:t>
      </w:r>
      <w:r w:rsidR="00EB0511">
        <w:rPr>
          <w:rFonts w:asciiTheme="minorHAnsi" w:hAnsiTheme="minorHAnsi" w:cstheme="minorHAnsi"/>
        </w:rPr>
        <w:t>s</w:t>
      </w:r>
      <w:r>
        <w:rPr>
          <w:rFonts w:asciiTheme="minorHAnsi" w:hAnsiTheme="minorHAnsi" w:cstheme="minorHAnsi"/>
        </w:rPr>
        <w:t xml:space="preserve"> </w:t>
      </w:r>
      <w:r w:rsidR="00EB0511">
        <w:rPr>
          <w:rFonts w:asciiTheme="minorHAnsi" w:hAnsiTheme="minorHAnsi" w:cstheme="minorHAnsi"/>
        </w:rPr>
        <w:t xml:space="preserve">are </w:t>
      </w:r>
      <w:r w:rsidR="00E91322">
        <w:rPr>
          <w:rFonts w:asciiTheme="minorHAnsi" w:hAnsiTheme="minorHAnsi" w:cstheme="minorHAnsi"/>
        </w:rPr>
        <w:t>5 </w:t>
      </w:r>
      <w:r>
        <w:rPr>
          <w:rFonts w:asciiTheme="minorHAnsi" w:hAnsiTheme="minorHAnsi" w:cstheme="minorHAnsi"/>
        </w:rPr>
        <w:t xml:space="preserve">per cent below </w:t>
      </w:r>
      <w:r w:rsidR="00EB0511">
        <w:rPr>
          <w:rFonts w:asciiTheme="minorHAnsi" w:hAnsiTheme="minorHAnsi" w:cstheme="minorHAnsi"/>
        </w:rPr>
        <w:t xml:space="preserve">their </w:t>
      </w:r>
      <w:r>
        <w:rPr>
          <w:rFonts w:asciiTheme="minorHAnsi" w:hAnsiTheme="minorHAnsi" w:cstheme="minorHAnsi"/>
        </w:rPr>
        <w:t>2000 levels.</w:t>
      </w:r>
    </w:p>
    <w:p w:rsidR="00B82A09" w:rsidRDefault="00B82A09" w:rsidP="003374BA">
      <w:pPr>
        <w:rPr>
          <w:rFonts w:asciiTheme="minorHAnsi" w:hAnsiTheme="minorHAnsi" w:cstheme="minorHAnsi"/>
          <w:b/>
        </w:rPr>
      </w:pPr>
    </w:p>
    <w:p w:rsidR="00C11F09" w:rsidRDefault="00C11F09">
      <w:pPr>
        <w:rPr>
          <w:rFonts w:asciiTheme="minorHAnsi" w:hAnsiTheme="minorHAnsi" w:cstheme="minorHAnsi"/>
          <w:b/>
        </w:rPr>
      </w:pPr>
      <w:r>
        <w:rPr>
          <w:rFonts w:asciiTheme="minorHAnsi" w:hAnsiTheme="minorHAnsi" w:cstheme="minorHAnsi"/>
          <w:b/>
        </w:rPr>
        <w:br w:type="page"/>
      </w:r>
    </w:p>
    <w:p w:rsidR="003374BA" w:rsidRPr="00C32F93" w:rsidRDefault="003374BA" w:rsidP="003374BA">
      <w:pPr>
        <w:rPr>
          <w:rFonts w:asciiTheme="minorHAnsi" w:hAnsiTheme="minorHAnsi" w:cstheme="minorHAnsi"/>
          <w:b/>
          <w:color w:val="996633"/>
          <w:sz w:val="40"/>
        </w:rPr>
      </w:pPr>
      <w:r w:rsidRPr="00C32F93">
        <w:rPr>
          <w:rFonts w:asciiTheme="minorHAnsi" w:hAnsiTheme="minorHAnsi" w:cstheme="minorHAnsi"/>
          <w:b/>
          <w:color w:val="996633"/>
          <w:sz w:val="40"/>
        </w:rPr>
        <w:lastRenderedPageBreak/>
        <w:t>Key assumptions and methodology</w:t>
      </w:r>
    </w:p>
    <w:p w:rsidR="003374BA" w:rsidRDefault="003374BA" w:rsidP="003374BA">
      <w:pPr>
        <w:rPr>
          <w:rFonts w:asciiTheme="minorHAnsi" w:hAnsiTheme="minorHAnsi" w:cstheme="minorHAnsi"/>
        </w:rPr>
      </w:pPr>
      <w:r>
        <w:rPr>
          <w:rFonts w:asciiTheme="minorHAnsi" w:hAnsiTheme="minorHAnsi" w:cstheme="minorHAnsi"/>
          <w:noProof/>
          <w:lang w:eastAsia="en-AU"/>
        </w:rPr>
        <mc:AlternateContent>
          <mc:Choice Requires="wps">
            <w:drawing>
              <wp:anchor distT="0" distB="0" distL="114300" distR="114300" simplePos="0" relativeHeight="251734016" behindDoc="0" locked="0" layoutInCell="1" allowOverlap="1" wp14:anchorId="49C5BB1A" wp14:editId="41A7B0C2">
                <wp:simplePos x="0" y="0"/>
                <wp:positionH relativeFrom="column">
                  <wp:posOffset>9525</wp:posOffset>
                </wp:positionH>
                <wp:positionV relativeFrom="paragraph">
                  <wp:posOffset>252095</wp:posOffset>
                </wp:positionV>
                <wp:extent cx="5200650" cy="1257300"/>
                <wp:effectExtent l="0" t="0" r="19050" b="1905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257300"/>
                        </a:xfrm>
                        <a:prstGeom prst="rect">
                          <a:avLst/>
                        </a:prstGeom>
                        <a:ln>
                          <a:solidFill>
                            <a:srgbClr val="996633"/>
                          </a:solidFill>
                          <a:headEnd/>
                          <a:tailEnd/>
                        </a:ln>
                      </wps:spPr>
                      <wps:style>
                        <a:lnRef idx="2">
                          <a:schemeClr val="accent1"/>
                        </a:lnRef>
                        <a:fillRef idx="1">
                          <a:schemeClr val="lt1"/>
                        </a:fillRef>
                        <a:effectRef idx="0">
                          <a:schemeClr val="accent1"/>
                        </a:effectRef>
                        <a:fontRef idx="minor">
                          <a:schemeClr val="dk1"/>
                        </a:fontRef>
                      </wps:style>
                      <wps:txbx>
                        <w:txbxContent>
                          <w:p w:rsidR="00926FD1" w:rsidRPr="00B26171" w:rsidRDefault="00926FD1" w:rsidP="003374BA">
                            <w:p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 xml:space="preserve">two modelling scenarios capture the economy under current Policies and Additional post-2020 Policies. </w:t>
                            </w:r>
                          </w:p>
                          <w:p w:rsidR="00926FD1" w:rsidRPr="00B26171" w:rsidRDefault="00926FD1" w:rsidP="008A6DEF">
                            <w:p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 xml:space="preserve">climate targets are modelled using a sectoral approach which includes A mix of policy measures including regulations, standards and market-based incentives. </w:t>
                            </w:r>
                          </w:p>
                        </w:txbxContent>
                      </wps:txbx>
                      <wps:bodyPr rot="0" vert="horz" wrap="square" lIns="144000" tIns="108000" rIns="144000" bIns="10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5pt;margin-top:19.85pt;width:409.5pt;height: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" fillcolor="white [3201]" strokecolor="#963" strokeweight="2pt">
                <v:textbox inset="4mm,3mm,4mm,3mm">
                  <w:txbxContent>
                    <w:p w:rsidR="00926FD1" w:rsidRPr="00B26171" w:rsidRDefault="00926FD1" w:rsidP="003374BA">
                      <w:p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 xml:space="preserve">two modelling scenarios capture the economy under current Policies and Additional post-2020 Policies. </w:t>
                      </w:r>
                    </w:p>
                    <w:p w:rsidR="00926FD1" w:rsidRPr="00B26171" w:rsidRDefault="00926FD1" w:rsidP="008A6DEF">
                      <w:pPr>
                        <w:spacing w:line="276" w:lineRule="auto"/>
                        <w:rPr>
                          <w:rFonts w:asciiTheme="minorHAnsi" w:hAnsiTheme="minorHAnsi" w:cstheme="minorHAnsi"/>
                          <w:caps/>
                          <w:color w:val="4F81BD" w:themeColor="accent1"/>
                          <w:sz w:val="22"/>
                        </w:rPr>
                      </w:pPr>
                      <w:r w:rsidRPr="00B26171">
                        <w:rPr>
                          <w:rFonts w:asciiTheme="minorHAnsi" w:hAnsiTheme="minorHAnsi" w:cstheme="minorHAnsi"/>
                          <w:caps/>
                          <w:color w:val="4F81BD" w:themeColor="accent1"/>
                          <w:sz w:val="22"/>
                        </w:rPr>
                        <w:t xml:space="preserve">climate targets are modelled using a sectoral approach which includes A mix of policy measures including regulations, standards and market-based incentives. </w:t>
                      </w:r>
                    </w:p>
                  </w:txbxContent>
                </v:textbox>
                <w10:wrap type="topAndBottom"/>
              </v:shape>
            </w:pict>
          </mc:Fallback>
        </mc:AlternateContent>
      </w:r>
    </w:p>
    <w:p w:rsidR="003374BA" w:rsidRPr="00CD4768" w:rsidRDefault="003374BA" w:rsidP="003374BA">
      <w:pPr>
        <w:rPr>
          <w:rFonts w:asciiTheme="minorHAnsi" w:hAnsiTheme="minorHAnsi" w:cstheme="minorHAnsi"/>
          <w:sz w:val="32"/>
        </w:rPr>
      </w:pPr>
      <w:r>
        <w:rPr>
          <w:rFonts w:asciiTheme="minorHAnsi" w:hAnsiTheme="minorHAnsi" w:cstheme="minorHAnsi"/>
        </w:rPr>
        <w:t xml:space="preserve"> </w:t>
      </w:r>
    </w:p>
    <w:p w:rsidR="003374BA" w:rsidRPr="006D0332" w:rsidRDefault="003374BA" w:rsidP="003374BA">
      <w:pPr>
        <w:pStyle w:val="ListParagraph"/>
        <w:spacing w:line="360" w:lineRule="auto"/>
        <w:ind w:left="0"/>
        <w:rPr>
          <w:rFonts w:asciiTheme="minorHAnsi" w:hAnsiTheme="minorHAnsi" w:cstheme="minorHAnsi"/>
          <w:b/>
          <w:color w:val="996633"/>
          <w:u w:val="single"/>
        </w:rPr>
      </w:pPr>
      <w:r w:rsidRPr="006D0332">
        <w:rPr>
          <w:rFonts w:asciiTheme="minorHAnsi" w:hAnsiTheme="minorHAnsi" w:cstheme="minorHAnsi"/>
          <w:b/>
          <w:color w:val="996633"/>
          <w:u w:val="single"/>
        </w:rPr>
        <w:t>Approach to modelling</w:t>
      </w:r>
    </w:p>
    <w:p w:rsidR="003374BA" w:rsidRPr="00A57C2D" w:rsidRDefault="003374BA" w:rsidP="00BF7A32">
      <w:pPr>
        <w:pStyle w:val="NormalWeb"/>
        <w:spacing w:before="120" w:beforeAutospacing="0" w:line="280" w:lineRule="exact"/>
        <w:rPr>
          <w:rFonts w:asciiTheme="minorHAnsi" w:hAnsiTheme="minorHAnsi"/>
        </w:rPr>
      </w:pPr>
      <w:r w:rsidRPr="00A57C2D">
        <w:rPr>
          <w:rFonts w:asciiTheme="minorHAnsi" w:hAnsiTheme="minorHAnsi"/>
        </w:rPr>
        <w:t>To assess the economic impacts of post-2020 targe</w:t>
      </w:r>
      <w:r>
        <w:rPr>
          <w:rFonts w:asciiTheme="minorHAnsi" w:hAnsiTheme="minorHAnsi"/>
        </w:rPr>
        <w:t xml:space="preserve">ts two scenarios are modelled – </w:t>
      </w:r>
      <w:r w:rsidR="00FF46A9">
        <w:rPr>
          <w:rFonts w:asciiTheme="minorHAnsi" w:hAnsiTheme="minorHAnsi"/>
        </w:rPr>
        <w:t>a</w:t>
      </w:r>
      <w:r w:rsidR="00FF46A9" w:rsidRPr="00A57C2D">
        <w:rPr>
          <w:rFonts w:asciiTheme="minorHAnsi" w:hAnsiTheme="minorHAnsi"/>
        </w:rPr>
        <w:t xml:space="preserve"> </w:t>
      </w:r>
      <w:r>
        <w:rPr>
          <w:rFonts w:asciiTheme="minorHAnsi" w:hAnsiTheme="minorHAnsi"/>
        </w:rPr>
        <w:t>‘</w:t>
      </w:r>
      <w:r w:rsidRPr="00A57C2D">
        <w:rPr>
          <w:rFonts w:asciiTheme="minorHAnsi" w:hAnsiTheme="minorHAnsi"/>
        </w:rPr>
        <w:t>Current Policies</w:t>
      </w:r>
      <w:r>
        <w:rPr>
          <w:rFonts w:asciiTheme="minorHAnsi" w:hAnsiTheme="minorHAnsi"/>
        </w:rPr>
        <w:t>’</w:t>
      </w:r>
      <w:r w:rsidRPr="00A57C2D">
        <w:rPr>
          <w:rFonts w:asciiTheme="minorHAnsi" w:hAnsiTheme="minorHAnsi"/>
        </w:rPr>
        <w:t xml:space="preserve"> Scenario and </w:t>
      </w:r>
      <w:r w:rsidR="00FF46A9">
        <w:rPr>
          <w:rFonts w:asciiTheme="minorHAnsi" w:hAnsiTheme="minorHAnsi"/>
        </w:rPr>
        <w:t xml:space="preserve">a </w:t>
      </w:r>
      <w:r w:rsidR="0093453E">
        <w:rPr>
          <w:rFonts w:asciiTheme="minorHAnsi" w:hAnsiTheme="minorHAnsi"/>
        </w:rPr>
        <w:t>‘</w:t>
      </w:r>
      <w:r w:rsidR="008A1F97">
        <w:rPr>
          <w:rFonts w:asciiTheme="minorHAnsi" w:hAnsiTheme="minorHAnsi"/>
        </w:rPr>
        <w:t>Paris</w:t>
      </w:r>
      <w:r w:rsidR="0093453E">
        <w:rPr>
          <w:rFonts w:asciiTheme="minorHAnsi" w:hAnsiTheme="minorHAnsi"/>
        </w:rPr>
        <w:t>’</w:t>
      </w:r>
      <w:r w:rsidR="008A1F97">
        <w:rPr>
          <w:rFonts w:asciiTheme="minorHAnsi" w:hAnsiTheme="minorHAnsi"/>
        </w:rPr>
        <w:t xml:space="preserve"> Scenario</w:t>
      </w:r>
      <w:r w:rsidRPr="00A57C2D">
        <w:rPr>
          <w:rFonts w:asciiTheme="minorHAnsi" w:hAnsiTheme="minorHAnsi"/>
        </w:rPr>
        <w:t>.</w:t>
      </w:r>
    </w:p>
    <w:p w:rsidR="003374BA" w:rsidRPr="00BF39AB" w:rsidRDefault="008A1F97" w:rsidP="00BF7A32">
      <w:pPr>
        <w:pStyle w:val="NormalWeb"/>
        <w:spacing w:before="0" w:beforeAutospacing="0" w:after="120" w:afterAutospacing="0"/>
        <w:rPr>
          <w:rFonts w:asciiTheme="minorHAnsi" w:hAnsiTheme="minorHAnsi"/>
          <w:i/>
          <w:color w:val="996633"/>
        </w:rPr>
      </w:pPr>
      <w:r w:rsidRPr="00BF39AB">
        <w:rPr>
          <w:rFonts w:asciiTheme="minorHAnsi" w:hAnsiTheme="minorHAnsi"/>
          <w:i/>
          <w:color w:val="996633"/>
        </w:rPr>
        <w:t>Current Policies Scenario</w:t>
      </w:r>
    </w:p>
    <w:p w:rsidR="00690E20" w:rsidRDefault="007D0F9C" w:rsidP="00BF7A32">
      <w:pPr>
        <w:pStyle w:val="NormalWeb"/>
        <w:spacing w:before="120" w:beforeAutospacing="0" w:line="280" w:lineRule="exact"/>
        <w:rPr>
          <w:rFonts w:asciiTheme="minorHAnsi" w:hAnsiTheme="minorHAnsi"/>
        </w:rPr>
      </w:pPr>
      <w:r>
        <w:rPr>
          <w:rFonts w:asciiTheme="minorHAnsi" w:hAnsiTheme="minorHAnsi"/>
        </w:rPr>
        <w:t>G</w:t>
      </w:r>
      <w:r w:rsidR="003374BA" w:rsidRPr="00A57C2D">
        <w:rPr>
          <w:rFonts w:asciiTheme="minorHAnsi" w:hAnsiTheme="minorHAnsi"/>
        </w:rPr>
        <w:t xml:space="preserve">lobal climate action that </w:t>
      </w:r>
      <w:r w:rsidR="004D4597">
        <w:rPr>
          <w:rFonts w:asciiTheme="minorHAnsi" w:hAnsiTheme="minorHAnsi"/>
        </w:rPr>
        <w:t>wa</w:t>
      </w:r>
      <w:r w:rsidR="003374BA" w:rsidRPr="00A57C2D">
        <w:rPr>
          <w:rFonts w:asciiTheme="minorHAnsi" w:hAnsiTheme="minorHAnsi"/>
        </w:rPr>
        <w:t xml:space="preserve">s already </w:t>
      </w:r>
      <w:r w:rsidR="004D4597">
        <w:rPr>
          <w:rFonts w:asciiTheme="minorHAnsi" w:hAnsiTheme="minorHAnsi"/>
        </w:rPr>
        <w:t xml:space="preserve">announced and implemented in 2014 </w:t>
      </w:r>
      <w:r w:rsidR="003374BA" w:rsidRPr="00A57C2D">
        <w:rPr>
          <w:rFonts w:asciiTheme="minorHAnsi" w:hAnsiTheme="minorHAnsi"/>
        </w:rPr>
        <w:t>forms the</w:t>
      </w:r>
      <w:r w:rsidR="003374BA">
        <w:rPr>
          <w:rFonts w:asciiTheme="minorHAnsi" w:hAnsiTheme="minorHAnsi"/>
        </w:rPr>
        <w:t xml:space="preserve"> basis of the</w:t>
      </w:r>
      <w:r w:rsidR="003374BA" w:rsidRPr="00A57C2D">
        <w:rPr>
          <w:rFonts w:asciiTheme="minorHAnsi" w:hAnsiTheme="minorHAnsi"/>
        </w:rPr>
        <w:t xml:space="preserve"> Current Policies Scenario</w:t>
      </w:r>
      <w:r w:rsidR="00FF46A9">
        <w:rPr>
          <w:rFonts w:asciiTheme="minorHAnsi" w:hAnsiTheme="minorHAnsi"/>
        </w:rPr>
        <w:t>. The scenario</w:t>
      </w:r>
      <w:r>
        <w:rPr>
          <w:rFonts w:asciiTheme="minorHAnsi" w:hAnsiTheme="minorHAnsi"/>
        </w:rPr>
        <w:t xml:space="preserve"> develops </w:t>
      </w:r>
      <w:r w:rsidR="00690E20">
        <w:rPr>
          <w:rFonts w:asciiTheme="minorHAnsi" w:hAnsiTheme="minorHAnsi"/>
        </w:rPr>
        <w:t xml:space="preserve">a </w:t>
      </w:r>
      <w:r w:rsidR="003374BA" w:rsidRPr="00A57C2D">
        <w:rPr>
          <w:rFonts w:asciiTheme="minorHAnsi" w:hAnsiTheme="minorHAnsi"/>
        </w:rPr>
        <w:t xml:space="preserve">projection of the global economy consistent with official </w:t>
      </w:r>
      <w:r w:rsidR="003374BA">
        <w:rPr>
          <w:rFonts w:asciiTheme="minorHAnsi" w:hAnsiTheme="minorHAnsi"/>
        </w:rPr>
        <w:t xml:space="preserve">Commonwealth </w:t>
      </w:r>
      <w:r w:rsidR="003374BA" w:rsidRPr="00A57C2D">
        <w:rPr>
          <w:rFonts w:asciiTheme="minorHAnsi" w:hAnsiTheme="minorHAnsi"/>
        </w:rPr>
        <w:t>Treasury</w:t>
      </w:r>
      <w:r w:rsidR="003374BA">
        <w:rPr>
          <w:rFonts w:asciiTheme="minorHAnsi" w:hAnsiTheme="minorHAnsi"/>
        </w:rPr>
        <w:t xml:space="preserve"> and international agency</w:t>
      </w:r>
      <w:r w:rsidR="003374BA" w:rsidRPr="00A57C2D">
        <w:rPr>
          <w:rFonts w:asciiTheme="minorHAnsi" w:hAnsiTheme="minorHAnsi"/>
        </w:rPr>
        <w:t xml:space="preserve"> forecasts </w:t>
      </w:r>
      <w:r>
        <w:rPr>
          <w:rFonts w:asciiTheme="minorHAnsi" w:hAnsiTheme="minorHAnsi"/>
        </w:rPr>
        <w:t xml:space="preserve">in relation to </w:t>
      </w:r>
      <w:r w:rsidR="003374BA" w:rsidRPr="00A57C2D">
        <w:rPr>
          <w:rFonts w:asciiTheme="minorHAnsi" w:hAnsiTheme="minorHAnsi"/>
        </w:rPr>
        <w:t xml:space="preserve">population growth by </w:t>
      </w:r>
      <w:r w:rsidR="00690E20">
        <w:rPr>
          <w:rFonts w:asciiTheme="minorHAnsi" w:hAnsiTheme="minorHAnsi"/>
        </w:rPr>
        <w:t xml:space="preserve">each </w:t>
      </w:r>
      <w:r w:rsidR="003374BA" w:rsidRPr="00A57C2D">
        <w:rPr>
          <w:rFonts w:asciiTheme="minorHAnsi" w:hAnsiTheme="minorHAnsi"/>
        </w:rPr>
        <w:t xml:space="preserve">country, productivity growth </w:t>
      </w:r>
      <w:r>
        <w:rPr>
          <w:rFonts w:asciiTheme="minorHAnsi" w:hAnsiTheme="minorHAnsi"/>
        </w:rPr>
        <w:t xml:space="preserve">in each </w:t>
      </w:r>
      <w:r w:rsidR="003374BA" w:rsidRPr="00A57C2D">
        <w:rPr>
          <w:rFonts w:asciiTheme="minorHAnsi" w:hAnsiTheme="minorHAnsi"/>
        </w:rPr>
        <w:t>sector by country, and existing macroeconomic settings in each country or region.</w:t>
      </w:r>
      <w:r w:rsidR="003374BA">
        <w:rPr>
          <w:rFonts w:asciiTheme="minorHAnsi" w:hAnsiTheme="minorHAnsi"/>
        </w:rPr>
        <w:t xml:space="preserve"> </w:t>
      </w:r>
      <w:r w:rsidR="001F3F8B">
        <w:rPr>
          <w:rFonts w:asciiTheme="minorHAnsi" w:hAnsiTheme="minorHAnsi"/>
        </w:rPr>
        <w:t>Countries</w:t>
      </w:r>
      <w:r w:rsidR="00EB0511">
        <w:rPr>
          <w:rFonts w:asciiTheme="minorHAnsi" w:hAnsiTheme="minorHAnsi"/>
        </w:rPr>
        <w:t>’</w:t>
      </w:r>
      <w:r w:rsidR="001F3F8B">
        <w:rPr>
          <w:rFonts w:asciiTheme="minorHAnsi" w:hAnsiTheme="minorHAnsi"/>
        </w:rPr>
        <w:t xml:space="preserve"> 2020 targets</w:t>
      </w:r>
      <w:r w:rsidR="00690E20">
        <w:rPr>
          <w:rFonts w:asciiTheme="minorHAnsi" w:hAnsiTheme="minorHAnsi"/>
        </w:rPr>
        <w:t xml:space="preserve"> are also </w:t>
      </w:r>
      <w:r w:rsidR="003374BA">
        <w:rPr>
          <w:rFonts w:asciiTheme="minorHAnsi" w:hAnsiTheme="minorHAnsi"/>
        </w:rPr>
        <w:t>incorporated</w:t>
      </w:r>
      <w:r w:rsidR="003374BA" w:rsidRPr="005376C4">
        <w:rPr>
          <w:rFonts w:asciiTheme="minorHAnsi" w:hAnsiTheme="minorHAnsi"/>
        </w:rPr>
        <w:t xml:space="preserve"> (</w:t>
      </w:r>
      <w:r w:rsidR="003374BA" w:rsidRPr="00BF7A32">
        <w:rPr>
          <w:rFonts w:asciiTheme="minorHAnsi" w:hAnsiTheme="minorHAnsi"/>
        </w:rPr>
        <w:t>Table 1</w:t>
      </w:r>
      <w:r w:rsidR="003374BA" w:rsidRPr="005376C4">
        <w:rPr>
          <w:rFonts w:asciiTheme="minorHAnsi" w:hAnsiTheme="minorHAnsi"/>
        </w:rPr>
        <w:t>).</w:t>
      </w:r>
      <w:r w:rsidR="003374BA">
        <w:rPr>
          <w:rFonts w:asciiTheme="minorHAnsi" w:hAnsiTheme="minorHAnsi"/>
        </w:rPr>
        <w:t xml:space="preserve"> </w:t>
      </w:r>
    </w:p>
    <w:p w:rsidR="004D4597" w:rsidRDefault="004D4597" w:rsidP="00BF7A32">
      <w:pPr>
        <w:pStyle w:val="NormalWeb"/>
        <w:spacing w:before="120" w:beforeAutospacing="0" w:line="280" w:lineRule="exact"/>
        <w:rPr>
          <w:rFonts w:asciiTheme="minorHAnsi" w:hAnsiTheme="minorHAnsi"/>
        </w:rPr>
      </w:pPr>
      <w:r>
        <w:rPr>
          <w:rFonts w:asciiTheme="minorHAnsi" w:hAnsiTheme="minorHAnsi"/>
        </w:rPr>
        <w:t xml:space="preserve">The emissions trajectories </w:t>
      </w:r>
      <w:r w:rsidR="003374BA" w:rsidRPr="00A57C2D">
        <w:rPr>
          <w:rFonts w:asciiTheme="minorHAnsi" w:hAnsiTheme="minorHAnsi"/>
        </w:rPr>
        <w:t>are</w:t>
      </w:r>
      <w:r w:rsidR="003374BA">
        <w:rPr>
          <w:rFonts w:asciiTheme="minorHAnsi" w:hAnsiTheme="minorHAnsi"/>
        </w:rPr>
        <w:t xml:space="preserve"> </w:t>
      </w:r>
      <w:r w:rsidR="003374BA" w:rsidRPr="00A57C2D">
        <w:rPr>
          <w:rFonts w:asciiTheme="minorHAnsi" w:hAnsiTheme="minorHAnsi"/>
        </w:rPr>
        <w:t>consistent with</w:t>
      </w:r>
      <w:r w:rsidR="003374BA">
        <w:rPr>
          <w:rFonts w:asciiTheme="minorHAnsi" w:hAnsiTheme="minorHAnsi"/>
        </w:rPr>
        <w:t xml:space="preserve"> </w:t>
      </w:r>
      <w:r w:rsidR="003374BA" w:rsidRPr="00A57C2D">
        <w:rPr>
          <w:rFonts w:asciiTheme="minorHAnsi" w:hAnsiTheme="minorHAnsi"/>
        </w:rPr>
        <w:t>emissions</w:t>
      </w:r>
      <w:r w:rsidR="003374BA">
        <w:rPr>
          <w:rFonts w:asciiTheme="minorHAnsi" w:hAnsiTheme="minorHAnsi"/>
        </w:rPr>
        <w:t xml:space="preserve"> </w:t>
      </w:r>
      <w:r w:rsidR="003374BA" w:rsidRPr="00A57C2D">
        <w:rPr>
          <w:rFonts w:asciiTheme="minorHAnsi" w:hAnsiTheme="minorHAnsi"/>
        </w:rPr>
        <w:t>projections</w:t>
      </w:r>
      <w:r w:rsidR="003374BA">
        <w:rPr>
          <w:rFonts w:asciiTheme="minorHAnsi" w:hAnsiTheme="minorHAnsi"/>
        </w:rPr>
        <w:t xml:space="preserve"> </w:t>
      </w:r>
      <w:r w:rsidR="003374BA" w:rsidRPr="00A57C2D">
        <w:rPr>
          <w:rFonts w:asciiTheme="minorHAnsi" w:hAnsiTheme="minorHAnsi"/>
        </w:rPr>
        <w:t>from the International Energy Agency (</w:t>
      </w:r>
      <w:r w:rsidR="000B0EDE">
        <w:rPr>
          <w:rFonts w:asciiTheme="minorHAnsi" w:hAnsiTheme="minorHAnsi"/>
        </w:rPr>
        <w:t>2015</w:t>
      </w:r>
      <w:r w:rsidR="003374BA" w:rsidRPr="00A57C2D">
        <w:rPr>
          <w:rFonts w:asciiTheme="minorHAnsi" w:hAnsiTheme="minorHAnsi"/>
        </w:rPr>
        <w:t>)</w:t>
      </w:r>
      <w:r w:rsidR="00F65CAF">
        <w:rPr>
          <w:rFonts w:asciiTheme="minorHAnsi" w:hAnsiTheme="minorHAnsi"/>
        </w:rPr>
        <w:t xml:space="preserve"> and</w:t>
      </w:r>
      <w:r w:rsidR="003374BA" w:rsidRPr="00A57C2D">
        <w:rPr>
          <w:rFonts w:asciiTheme="minorHAnsi" w:hAnsiTheme="minorHAnsi"/>
        </w:rPr>
        <w:t xml:space="preserve"> the US</w:t>
      </w:r>
      <w:r w:rsidR="003374BA">
        <w:rPr>
          <w:rFonts w:asciiTheme="minorHAnsi" w:hAnsiTheme="minorHAnsi"/>
        </w:rPr>
        <w:t xml:space="preserve"> </w:t>
      </w:r>
      <w:r w:rsidR="003374BA" w:rsidRPr="00A57C2D">
        <w:rPr>
          <w:rFonts w:asciiTheme="minorHAnsi" w:hAnsiTheme="minorHAnsi"/>
        </w:rPr>
        <w:t>Energy Information Administration (</w:t>
      </w:r>
      <w:r w:rsidR="000B0EDE">
        <w:rPr>
          <w:rFonts w:asciiTheme="minorHAnsi" w:hAnsiTheme="minorHAnsi"/>
        </w:rPr>
        <w:t>2015</w:t>
      </w:r>
      <w:r w:rsidR="003374BA" w:rsidRPr="00A57C2D">
        <w:rPr>
          <w:rFonts w:asciiTheme="minorHAnsi" w:hAnsiTheme="minorHAnsi"/>
        </w:rPr>
        <w:t>)</w:t>
      </w:r>
      <w:r w:rsidR="001F3F8B">
        <w:rPr>
          <w:rFonts w:asciiTheme="minorHAnsi" w:hAnsiTheme="minorHAnsi"/>
        </w:rPr>
        <w:t xml:space="preserve">. Energy emissions for Australia are </w:t>
      </w:r>
      <w:r w:rsidR="00125237">
        <w:rPr>
          <w:rFonts w:asciiTheme="minorHAnsi" w:hAnsiTheme="minorHAnsi"/>
        </w:rPr>
        <w:t>derived</w:t>
      </w:r>
      <w:r w:rsidR="001F3F8B">
        <w:rPr>
          <w:rFonts w:asciiTheme="minorHAnsi" w:hAnsiTheme="minorHAnsi"/>
        </w:rPr>
        <w:t xml:space="preserve"> from </w:t>
      </w:r>
      <w:r>
        <w:rPr>
          <w:rFonts w:asciiTheme="minorHAnsi" w:hAnsiTheme="minorHAnsi"/>
        </w:rPr>
        <w:t>the Australian Government’s most recent emissions projections (Department of the Environment, 2015)</w:t>
      </w:r>
      <w:r w:rsidR="003374BA" w:rsidRPr="00A57C2D">
        <w:rPr>
          <w:rFonts w:asciiTheme="minorHAnsi" w:hAnsiTheme="minorHAnsi"/>
        </w:rPr>
        <w:t xml:space="preserve">. </w:t>
      </w:r>
    </w:p>
    <w:p w:rsidR="003374BA" w:rsidRPr="00BF39AB" w:rsidRDefault="008A1F97" w:rsidP="00BF7A32">
      <w:pPr>
        <w:pStyle w:val="NormalWeb"/>
        <w:spacing w:before="0" w:beforeAutospacing="0" w:after="120" w:afterAutospacing="0"/>
        <w:rPr>
          <w:rFonts w:asciiTheme="minorHAnsi" w:hAnsiTheme="minorHAnsi"/>
          <w:i/>
          <w:color w:val="996633"/>
        </w:rPr>
      </w:pPr>
      <w:r w:rsidRPr="00BF39AB">
        <w:rPr>
          <w:rFonts w:asciiTheme="minorHAnsi" w:hAnsiTheme="minorHAnsi"/>
          <w:i/>
          <w:color w:val="996633"/>
        </w:rPr>
        <w:t>Paris Scenario</w:t>
      </w:r>
    </w:p>
    <w:p w:rsidR="003374BA" w:rsidRPr="00A57C2D" w:rsidRDefault="003374BA" w:rsidP="00BF7A32">
      <w:pPr>
        <w:pStyle w:val="NormalWeb"/>
        <w:spacing w:before="0" w:beforeAutospacing="0"/>
        <w:rPr>
          <w:rFonts w:asciiTheme="minorHAnsi" w:hAnsiTheme="minorHAnsi"/>
        </w:rPr>
      </w:pPr>
      <w:r w:rsidRPr="00A57C2D">
        <w:rPr>
          <w:rFonts w:asciiTheme="minorHAnsi" w:hAnsiTheme="minorHAnsi"/>
        </w:rPr>
        <w:t xml:space="preserve">The Current Policies Scenario is the starting point for evaluating the impact of policy changes </w:t>
      </w:r>
      <w:r>
        <w:rPr>
          <w:rFonts w:asciiTheme="minorHAnsi" w:hAnsiTheme="minorHAnsi"/>
        </w:rPr>
        <w:t xml:space="preserve">associated with </w:t>
      </w:r>
      <w:r w:rsidRPr="00A57C2D">
        <w:rPr>
          <w:rFonts w:asciiTheme="minorHAnsi" w:hAnsiTheme="minorHAnsi"/>
        </w:rPr>
        <w:t xml:space="preserve">the </w:t>
      </w:r>
      <w:r>
        <w:rPr>
          <w:rFonts w:asciiTheme="minorHAnsi" w:hAnsiTheme="minorHAnsi"/>
        </w:rPr>
        <w:t xml:space="preserve">commitments made </w:t>
      </w:r>
      <w:r w:rsidR="004D4597">
        <w:rPr>
          <w:rFonts w:asciiTheme="minorHAnsi" w:hAnsiTheme="minorHAnsi"/>
        </w:rPr>
        <w:t xml:space="preserve">by countries </w:t>
      </w:r>
      <w:r>
        <w:rPr>
          <w:rFonts w:asciiTheme="minorHAnsi" w:hAnsiTheme="minorHAnsi"/>
        </w:rPr>
        <w:t xml:space="preserve">under the new global agreement that is due to be finalised in </w:t>
      </w:r>
      <w:r w:rsidRPr="00A57C2D">
        <w:rPr>
          <w:rFonts w:asciiTheme="minorHAnsi" w:hAnsiTheme="minorHAnsi"/>
        </w:rPr>
        <w:t xml:space="preserve">Paris </w:t>
      </w:r>
      <w:r>
        <w:rPr>
          <w:rFonts w:asciiTheme="minorHAnsi" w:hAnsiTheme="minorHAnsi"/>
        </w:rPr>
        <w:t>in December 2015</w:t>
      </w:r>
      <w:r w:rsidRPr="00A57C2D">
        <w:rPr>
          <w:rFonts w:asciiTheme="minorHAnsi" w:hAnsiTheme="minorHAnsi"/>
        </w:rPr>
        <w:t>.</w:t>
      </w:r>
      <w:r w:rsidR="00FF46A9">
        <w:rPr>
          <w:rFonts w:asciiTheme="minorHAnsi" w:hAnsiTheme="minorHAnsi"/>
        </w:rPr>
        <w:t xml:space="preserve"> These new commitments are captured under the Paris Scenario.</w:t>
      </w:r>
      <w:r w:rsidRPr="00A57C2D">
        <w:rPr>
          <w:rFonts w:asciiTheme="minorHAnsi" w:hAnsiTheme="minorHAnsi"/>
        </w:rPr>
        <w:t xml:space="preserve"> The </w:t>
      </w:r>
      <w:r w:rsidR="004D4597">
        <w:rPr>
          <w:rFonts w:asciiTheme="minorHAnsi" w:hAnsiTheme="minorHAnsi"/>
        </w:rPr>
        <w:t xml:space="preserve">modelling </w:t>
      </w:r>
      <w:r>
        <w:rPr>
          <w:rFonts w:asciiTheme="minorHAnsi" w:hAnsiTheme="minorHAnsi"/>
        </w:rPr>
        <w:t>estimate</w:t>
      </w:r>
      <w:r w:rsidR="00690E20">
        <w:rPr>
          <w:rFonts w:asciiTheme="minorHAnsi" w:hAnsiTheme="minorHAnsi"/>
        </w:rPr>
        <w:t xml:space="preserve">s the additional effects of these new </w:t>
      </w:r>
      <w:r w:rsidR="00FF46A9">
        <w:rPr>
          <w:rFonts w:asciiTheme="minorHAnsi" w:hAnsiTheme="minorHAnsi"/>
        </w:rPr>
        <w:t>commitments</w:t>
      </w:r>
      <w:r w:rsidR="00690E20">
        <w:rPr>
          <w:rFonts w:asciiTheme="minorHAnsi" w:hAnsiTheme="minorHAnsi"/>
        </w:rPr>
        <w:t>, not the total cost of all emissions reductions pre and post Paris</w:t>
      </w:r>
      <w:r w:rsidRPr="00A57C2D">
        <w:rPr>
          <w:rFonts w:asciiTheme="minorHAnsi" w:hAnsiTheme="minorHAnsi"/>
        </w:rPr>
        <w:t>.</w:t>
      </w:r>
    </w:p>
    <w:p w:rsidR="003374BA" w:rsidRPr="00A57C2D" w:rsidRDefault="003374BA" w:rsidP="00BF7A32">
      <w:pPr>
        <w:spacing w:after="100" w:afterAutospacing="1"/>
        <w:rPr>
          <w:rFonts w:asciiTheme="minorHAnsi" w:hAnsiTheme="minorHAnsi"/>
        </w:rPr>
      </w:pPr>
      <w:r w:rsidRPr="00A57C2D">
        <w:rPr>
          <w:rFonts w:asciiTheme="minorHAnsi" w:hAnsiTheme="minorHAnsi"/>
        </w:rPr>
        <w:t xml:space="preserve">The </w:t>
      </w:r>
      <w:r w:rsidR="008A1F97">
        <w:rPr>
          <w:rFonts w:asciiTheme="minorHAnsi" w:hAnsiTheme="minorHAnsi"/>
        </w:rPr>
        <w:t>Paris Scenario</w:t>
      </w:r>
      <w:r w:rsidRPr="00A57C2D">
        <w:rPr>
          <w:rFonts w:asciiTheme="minorHAnsi" w:hAnsiTheme="minorHAnsi"/>
        </w:rPr>
        <w:t xml:space="preserve"> models the economic impact of </w:t>
      </w:r>
      <w:r>
        <w:rPr>
          <w:rFonts w:asciiTheme="minorHAnsi" w:hAnsiTheme="minorHAnsi"/>
        </w:rPr>
        <w:t xml:space="preserve">‘Nationally Determined Contributions’ and commitments </w:t>
      </w:r>
      <w:r w:rsidRPr="00A57C2D">
        <w:rPr>
          <w:rFonts w:asciiTheme="minorHAnsi" w:hAnsiTheme="minorHAnsi"/>
        </w:rPr>
        <w:t xml:space="preserve">under the Paris agreement. </w:t>
      </w:r>
      <w:r w:rsidR="006E3CDD">
        <w:rPr>
          <w:rFonts w:asciiTheme="minorHAnsi" w:hAnsiTheme="minorHAnsi"/>
        </w:rPr>
        <w:t>A</w:t>
      </w:r>
      <w:r w:rsidR="006E3CDD" w:rsidRPr="00A57C2D">
        <w:rPr>
          <w:rFonts w:asciiTheme="minorHAnsi" w:hAnsiTheme="minorHAnsi"/>
        </w:rPr>
        <w:t xml:space="preserve">nnouncements </w:t>
      </w:r>
      <w:r w:rsidR="006E3CDD">
        <w:rPr>
          <w:rFonts w:asciiTheme="minorHAnsi" w:hAnsiTheme="minorHAnsi"/>
        </w:rPr>
        <w:t>of p</w:t>
      </w:r>
      <w:r w:rsidR="006E3CDD" w:rsidRPr="00A57C2D">
        <w:rPr>
          <w:rFonts w:asciiTheme="minorHAnsi" w:hAnsiTheme="minorHAnsi"/>
        </w:rPr>
        <w:t xml:space="preserve">ost-2020 </w:t>
      </w:r>
      <w:r w:rsidR="006E3CDD">
        <w:rPr>
          <w:rFonts w:asciiTheme="minorHAnsi" w:hAnsiTheme="minorHAnsi"/>
        </w:rPr>
        <w:t xml:space="preserve">commitments </w:t>
      </w:r>
      <w:r w:rsidRPr="00A57C2D">
        <w:rPr>
          <w:rFonts w:asciiTheme="minorHAnsi" w:hAnsiTheme="minorHAnsi"/>
        </w:rPr>
        <w:t xml:space="preserve">from the United States, China and the European Union are modelled </w:t>
      </w:r>
      <w:r>
        <w:rPr>
          <w:rFonts w:asciiTheme="minorHAnsi" w:hAnsiTheme="minorHAnsi"/>
        </w:rPr>
        <w:t>individually,</w:t>
      </w:r>
      <w:r w:rsidRPr="00A57C2D">
        <w:rPr>
          <w:rFonts w:asciiTheme="minorHAnsi" w:hAnsiTheme="minorHAnsi"/>
        </w:rPr>
        <w:t xml:space="preserve"> along with an </w:t>
      </w:r>
      <w:r>
        <w:rPr>
          <w:rFonts w:asciiTheme="minorHAnsi" w:hAnsiTheme="minorHAnsi"/>
        </w:rPr>
        <w:t xml:space="preserve">indicative </w:t>
      </w:r>
      <w:r w:rsidRPr="00A57C2D">
        <w:rPr>
          <w:rFonts w:asciiTheme="minorHAnsi" w:hAnsiTheme="minorHAnsi"/>
        </w:rPr>
        <w:t xml:space="preserve">target for Japan </w:t>
      </w:r>
      <w:r w:rsidR="006E3CDD">
        <w:rPr>
          <w:rFonts w:asciiTheme="minorHAnsi" w:hAnsiTheme="minorHAnsi"/>
        </w:rPr>
        <w:t>(</w:t>
      </w:r>
      <w:r w:rsidR="009D2841">
        <w:rPr>
          <w:rFonts w:asciiTheme="minorHAnsi" w:hAnsiTheme="minorHAnsi"/>
        </w:rPr>
        <w:t>Table 1</w:t>
      </w:r>
      <w:r w:rsidR="006E3CDD">
        <w:rPr>
          <w:rFonts w:asciiTheme="minorHAnsi" w:hAnsiTheme="minorHAnsi"/>
        </w:rPr>
        <w:t>)</w:t>
      </w:r>
      <w:r w:rsidR="00FF46A9">
        <w:rPr>
          <w:rFonts w:asciiTheme="minorHAnsi" w:hAnsiTheme="minorHAnsi"/>
        </w:rPr>
        <w:t>.</w:t>
      </w:r>
      <w:r w:rsidR="009D2841">
        <w:rPr>
          <w:rFonts w:asciiTheme="minorHAnsi" w:hAnsiTheme="minorHAnsi"/>
        </w:rPr>
        <w:t xml:space="preserve"> A</w:t>
      </w:r>
      <w:r>
        <w:rPr>
          <w:rFonts w:asciiTheme="minorHAnsi" w:hAnsiTheme="minorHAnsi"/>
        </w:rPr>
        <w:t>nnounced or estimated targets for other region</w:t>
      </w:r>
      <w:r w:rsidR="006E3CDD">
        <w:rPr>
          <w:rFonts w:asciiTheme="minorHAnsi" w:hAnsiTheme="minorHAnsi"/>
        </w:rPr>
        <w:t>s or</w:t>
      </w:r>
      <w:r>
        <w:rPr>
          <w:rFonts w:asciiTheme="minorHAnsi" w:hAnsiTheme="minorHAnsi"/>
        </w:rPr>
        <w:t xml:space="preserve"> groups, including Canada and New Zealand</w:t>
      </w:r>
      <w:r w:rsidR="009D2841">
        <w:rPr>
          <w:rFonts w:asciiTheme="minorHAnsi" w:hAnsiTheme="minorHAnsi"/>
        </w:rPr>
        <w:t>, were also modelled</w:t>
      </w:r>
      <w:r w:rsidRPr="00A57C2D">
        <w:rPr>
          <w:rFonts w:asciiTheme="minorHAnsi" w:hAnsiTheme="minorHAnsi"/>
        </w:rPr>
        <w:t xml:space="preserve">. </w:t>
      </w:r>
      <w:r>
        <w:rPr>
          <w:rFonts w:asciiTheme="minorHAnsi" w:hAnsiTheme="minorHAnsi"/>
        </w:rPr>
        <w:t>The modelling assumes all countries meet their pre and post-2020 commitments.</w:t>
      </w:r>
      <w:r w:rsidR="003E5160">
        <w:rPr>
          <w:rStyle w:val="FootnoteReference"/>
          <w:rFonts w:asciiTheme="minorHAnsi" w:hAnsiTheme="minorHAnsi"/>
        </w:rPr>
        <w:footnoteReference w:id="2"/>
      </w:r>
    </w:p>
    <w:p w:rsidR="003374BA" w:rsidRPr="00192168" w:rsidRDefault="003374BA" w:rsidP="003374BA">
      <w:pPr>
        <w:pStyle w:val="NormalWeb"/>
        <w:spacing w:after="0" w:afterAutospacing="0" w:line="276" w:lineRule="auto"/>
        <w:rPr>
          <w:rFonts w:asciiTheme="minorHAnsi" w:hAnsiTheme="minorHAnsi"/>
          <w:color w:val="4F81BD" w:themeColor="accent1"/>
        </w:rPr>
      </w:pPr>
      <w:r w:rsidRPr="00192168">
        <w:rPr>
          <w:rFonts w:asciiTheme="minorHAnsi" w:hAnsiTheme="minorHAnsi"/>
          <w:b/>
          <w:color w:val="4F81BD" w:themeColor="accent1"/>
        </w:rPr>
        <w:lastRenderedPageBreak/>
        <w:t>Table 1</w:t>
      </w:r>
      <w:r w:rsidR="000B0EDE" w:rsidRPr="00192168">
        <w:rPr>
          <w:rFonts w:asciiTheme="minorHAnsi" w:hAnsiTheme="minorHAnsi"/>
          <w:b/>
          <w:color w:val="4F81BD" w:themeColor="accent1"/>
        </w:rPr>
        <w:t>:</w:t>
      </w:r>
      <w:r w:rsidRPr="00192168">
        <w:rPr>
          <w:rFonts w:asciiTheme="minorHAnsi" w:hAnsiTheme="minorHAnsi"/>
          <w:color w:val="4F81BD" w:themeColor="accent1"/>
        </w:rPr>
        <w:t xml:space="preserve"> Summary of climate targets in the Current Policies and Paris Scenarios</w:t>
      </w:r>
    </w:p>
    <w:tbl>
      <w:tblPr>
        <w:tblStyle w:val="LightList-Accent1"/>
        <w:tblW w:w="8414" w:type="dxa"/>
        <w:tblInd w:w="108" w:type="dxa"/>
        <w:tblBorders>
          <w:top w:val="single" w:sz="8" w:space="0" w:color="996633"/>
          <w:left w:val="single" w:sz="8" w:space="0" w:color="996633"/>
          <w:bottom w:val="single" w:sz="8" w:space="0" w:color="996633"/>
          <w:right w:val="single" w:sz="8" w:space="0" w:color="996633"/>
          <w:insideH w:val="single" w:sz="8" w:space="0" w:color="996633"/>
          <w:insideV w:val="single" w:sz="8" w:space="0" w:color="996633"/>
        </w:tblBorders>
        <w:tblLook w:val="04A0" w:firstRow="1" w:lastRow="0" w:firstColumn="1" w:lastColumn="0" w:noHBand="0" w:noVBand="1"/>
      </w:tblPr>
      <w:tblGrid>
        <w:gridCol w:w="1565"/>
        <w:gridCol w:w="3255"/>
        <w:gridCol w:w="3594"/>
      </w:tblGrid>
      <w:tr w:rsidR="003374BA" w:rsidTr="00C32F93">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565" w:type="dxa"/>
            <w:shd w:val="clear" w:color="auto" w:fill="996633"/>
            <w:vAlign w:val="center"/>
          </w:tcPr>
          <w:p w:rsidR="003374BA" w:rsidRDefault="003374BA" w:rsidP="003374BA">
            <w:pPr>
              <w:pStyle w:val="NormalWeb"/>
              <w:spacing w:before="0" w:beforeAutospacing="0"/>
              <w:rPr>
                <w:rFonts w:asciiTheme="minorHAnsi" w:hAnsiTheme="minorHAnsi"/>
              </w:rPr>
            </w:pPr>
          </w:p>
        </w:tc>
        <w:tc>
          <w:tcPr>
            <w:tcW w:w="3255" w:type="dxa"/>
            <w:shd w:val="clear" w:color="auto" w:fill="996633"/>
            <w:vAlign w:val="center"/>
          </w:tcPr>
          <w:p w:rsidR="006E3CDD" w:rsidRDefault="006E3CDD" w:rsidP="00AF268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Current Policies:</w:t>
            </w:r>
          </w:p>
          <w:p w:rsidR="003374BA" w:rsidRPr="00AA143B" w:rsidRDefault="003374BA" w:rsidP="00AF2688">
            <w:pPr>
              <w:pStyle w:val="NormalWeb"/>
              <w:spacing w:before="0" w:before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AA143B">
              <w:rPr>
                <w:rFonts w:asciiTheme="minorHAnsi" w:hAnsiTheme="minorHAnsi"/>
              </w:rPr>
              <w:t>Modelled pathway to 2020</w:t>
            </w:r>
          </w:p>
        </w:tc>
        <w:tc>
          <w:tcPr>
            <w:tcW w:w="3594" w:type="dxa"/>
            <w:shd w:val="clear" w:color="auto" w:fill="996633"/>
            <w:vAlign w:val="center"/>
          </w:tcPr>
          <w:p w:rsidR="006E3CDD" w:rsidRDefault="006E3CDD" w:rsidP="00AF268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Paris:</w:t>
            </w:r>
          </w:p>
          <w:p w:rsidR="003374BA" w:rsidRPr="00AA143B" w:rsidRDefault="003374BA" w:rsidP="00AF268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AA143B">
              <w:rPr>
                <w:rFonts w:asciiTheme="minorHAnsi" w:hAnsiTheme="minorHAnsi"/>
              </w:rPr>
              <w:t>Modelled pathway from 2020</w:t>
            </w:r>
          </w:p>
        </w:tc>
      </w:tr>
      <w:tr w:rsidR="003374BA" w:rsidTr="00C32F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565" w:type="dxa"/>
            <w:tcBorders>
              <w:top w:val="none" w:sz="0" w:space="0" w:color="auto"/>
              <w:left w:val="none" w:sz="0" w:space="0" w:color="auto"/>
              <w:bottom w:val="none" w:sz="0" w:space="0" w:color="auto"/>
            </w:tcBorders>
            <w:vAlign w:val="center"/>
          </w:tcPr>
          <w:p w:rsidR="003374BA" w:rsidRPr="00BF39AB" w:rsidRDefault="003374BA" w:rsidP="003374BA">
            <w:pPr>
              <w:pStyle w:val="NormalWeb"/>
              <w:spacing w:before="0" w:beforeAutospacing="0"/>
              <w:rPr>
                <w:rFonts w:asciiTheme="minorHAnsi" w:hAnsiTheme="minorHAnsi"/>
                <w:color w:val="4F81BD" w:themeColor="accent1"/>
              </w:rPr>
            </w:pPr>
            <w:r w:rsidRPr="00BF39AB">
              <w:rPr>
                <w:rFonts w:asciiTheme="minorHAnsi" w:hAnsiTheme="minorHAnsi"/>
                <w:color w:val="4F81BD" w:themeColor="accent1"/>
              </w:rPr>
              <w:t>Australia</w:t>
            </w:r>
          </w:p>
        </w:tc>
        <w:tc>
          <w:tcPr>
            <w:tcW w:w="3255" w:type="dxa"/>
            <w:tcBorders>
              <w:top w:val="none" w:sz="0" w:space="0" w:color="auto"/>
              <w:bottom w:val="none" w:sz="0" w:space="0" w:color="auto"/>
            </w:tcBorders>
            <w:vAlign w:val="center"/>
          </w:tcPr>
          <w:p w:rsidR="003374BA" w:rsidRPr="00BF39AB" w:rsidRDefault="003374BA" w:rsidP="003374BA">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BF39AB">
              <w:rPr>
                <w:rFonts w:asciiTheme="minorHAnsi" w:hAnsiTheme="minorHAnsi"/>
                <w:color w:val="4F81BD" w:themeColor="accent1"/>
              </w:rPr>
              <w:t>5% reduction on 2000 levels</w:t>
            </w:r>
          </w:p>
        </w:tc>
        <w:tc>
          <w:tcPr>
            <w:tcW w:w="3594" w:type="dxa"/>
            <w:tcBorders>
              <w:top w:val="none" w:sz="0" w:space="0" w:color="auto"/>
              <w:bottom w:val="none" w:sz="0" w:space="0" w:color="auto"/>
              <w:right w:val="none" w:sz="0" w:space="0" w:color="auto"/>
            </w:tcBorders>
            <w:vAlign w:val="center"/>
          </w:tcPr>
          <w:p w:rsidR="003374BA" w:rsidRPr="00BF39AB" w:rsidRDefault="00690E20" w:rsidP="00732E59">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BF39AB">
              <w:rPr>
                <w:rFonts w:asciiTheme="minorHAnsi" w:hAnsiTheme="minorHAnsi"/>
                <w:color w:val="4F81BD" w:themeColor="accent1"/>
              </w:rPr>
              <w:t xml:space="preserve">No post 2020 commitment. </w:t>
            </w:r>
          </w:p>
        </w:tc>
      </w:tr>
      <w:tr w:rsidR="003374BA" w:rsidTr="00C32F93">
        <w:trPr>
          <w:trHeight w:val="714"/>
        </w:trPr>
        <w:tc>
          <w:tcPr>
            <w:cnfStyle w:val="001000000000" w:firstRow="0" w:lastRow="0" w:firstColumn="1" w:lastColumn="0" w:oddVBand="0" w:evenVBand="0" w:oddHBand="0" w:evenHBand="0" w:firstRowFirstColumn="0" w:firstRowLastColumn="0" w:lastRowFirstColumn="0" w:lastRowLastColumn="0"/>
            <w:tcW w:w="1565" w:type="dxa"/>
            <w:vAlign w:val="center"/>
          </w:tcPr>
          <w:p w:rsidR="003374BA" w:rsidRPr="00BF39AB" w:rsidRDefault="003374BA" w:rsidP="003374BA">
            <w:pPr>
              <w:pStyle w:val="NormalWeb"/>
              <w:spacing w:before="0" w:beforeAutospacing="0"/>
              <w:rPr>
                <w:rFonts w:asciiTheme="minorHAnsi" w:hAnsiTheme="minorHAnsi"/>
                <w:color w:val="4F81BD" w:themeColor="accent1"/>
              </w:rPr>
            </w:pPr>
            <w:r w:rsidRPr="00BF39AB">
              <w:rPr>
                <w:rFonts w:asciiTheme="minorHAnsi" w:hAnsiTheme="minorHAnsi"/>
                <w:color w:val="4F81BD" w:themeColor="accent1"/>
              </w:rPr>
              <w:t>United States</w:t>
            </w:r>
          </w:p>
        </w:tc>
        <w:tc>
          <w:tcPr>
            <w:tcW w:w="3255" w:type="dxa"/>
            <w:vAlign w:val="center"/>
          </w:tcPr>
          <w:p w:rsidR="003374BA" w:rsidRPr="00BF39AB" w:rsidRDefault="003374BA" w:rsidP="003374BA">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rPr>
            </w:pPr>
            <w:r w:rsidRPr="00BF39AB">
              <w:rPr>
                <w:rFonts w:asciiTheme="minorHAnsi" w:hAnsiTheme="minorHAnsi"/>
                <w:color w:val="4F81BD" w:themeColor="accent1"/>
              </w:rPr>
              <w:t>17% reduction on 2005 levels</w:t>
            </w:r>
          </w:p>
        </w:tc>
        <w:tc>
          <w:tcPr>
            <w:tcW w:w="3594" w:type="dxa"/>
            <w:vAlign w:val="center"/>
          </w:tcPr>
          <w:p w:rsidR="003374BA" w:rsidRPr="00BF39AB" w:rsidRDefault="003374BA" w:rsidP="004751BC">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vertAlign w:val="superscript"/>
              </w:rPr>
            </w:pPr>
            <w:r w:rsidRPr="00BF39AB">
              <w:rPr>
                <w:rFonts w:asciiTheme="minorHAnsi" w:hAnsiTheme="minorHAnsi"/>
                <w:color w:val="4F81BD" w:themeColor="accent1"/>
              </w:rPr>
              <w:t>27% reduction on 2005 in 2025</w:t>
            </w:r>
            <w:r w:rsidR="004751BC" w:rsidRPr="00BF39AB">
              <w:rPr>
                <w:rFonts w:asciiTheme="minorHAnsi" w:hAnsiTheme="minorHAnsi"/>
                <w:color w:val="4F81BD" w:themeColor="accent1"/>
                <w:vertAlign w:val="superscript"/>
              </w:rPr>
              <w:t>1</w:t>
            </w:r>
            <w:r w:rsidR="00831EE2" w:rsidRPr="00BF39AB">
              <w:rPr>
                <w:rFonts w:asciiTheme="minorHAnsi" w:hAnsiTheme="minorHAnsi"/>
                <w:color w:val="4F81BD" w:themeColor="accent1"/>
                <w:vertAlign w:val="superscript"/>
              </w:rPr>
              <w:t>,2</w:t>
            </w:r>
          </w:p>
        </w:tc>
      </w:tr>
      <w:tr w:rsidR="003374BA" w:rsidTr="00C32F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565" w:type="dxa"/>
            <w:tcBorders>
              <w:top w:val="none" w:sz="0" w:space="0" w:color="auto"/>
              <w:left w:val="none" w:sz="0" w:space="0" w:color="auto"/>
              <w:bottom w:val="none" w:sz="0" w:space="0" w:color="auto"/>
            </w:tcBorders>
            <w:vAlign w:val="center"/>
          </w:tcPr>
          <w:p w:rsidR="003374BA" w:rsidRPr="00BF39AB" w:rsidRDefault="003374BA" w:rsidP="003374BA">
            <w:pPr>
              <w:pStyle w:val="NormalWeb"/>
              <w:spacing w:before="0" w:beforeAutospacing="0"/>
              <w:rPr>
                <w:rFonts w:asciiTheme="minorHAnsi" w:hAnsiTheme="minorHAnsi"/>
                <w:color w:val="4F81BD" w:themeColor="accent1"/>
              </w:rPr>
            </w:pPr>
            <w:r w:rsidRPr="00BF39AB">
              <w:rPr>
                <w:rFonts w:asciiTheme="minorHAnsi" w:hAnsiTheme="minorHAnsi"/>
                <w:color w:val="4F81BD" w:themeColor="accent1"/>
              </w:rPr>
              <w:t>China</w:t>
            </w:r>
          </w:p>
        </w:tc>
        <w:tc>
          <w:tcPr>
            <w:tcW w:w="3255" w:type="dxa"/>
            <w:tcBorders>
              <w:top w:val="none" w:sz="0" w:space="0" w:color="auto"/>
              <w:bottom w:val="none" w:sz="0" w:space="0" w:color="auto"/>
            </w:tcBorders>
            <w:vAlign w:val="center"/>
          </w:tcPr>
          <w:p w:rsidR="003374BA" w:rsidRPr="00BF39AB" w:rsidRDefault="003374BA" w:rsidP="00CE7E09">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BF39AB">
              <w:rPr>
                <w:rFonts w:asciiTheme="minorHAnsi" w:hAnsiTheme="minorHAnsi"/>
                <w:color w:val="4F81BD" w:themeColor="accent1"/>
              </w:rPr>
              <w:t>13% increase on 2015 levels</w:t>
            </w:r>
          </w:p>
        </w:tc>
        <w:tc>
          <w:tcPr>
            <w:tcW w:w="3594" w:type="dxa"/>
            <w:tcBorders>
              <w:top w:val="none" w:sz="0" w:space="0" w:color="auto"/>
              <w:bottom w:val="none" w:sz="0" w:space="0" w:color="auto"/>
              <w:right w:val="none" w:sz="0" w:space="0" w:color="auto"/>
            </w:tcBorders>
            <w:vAlign w:val="center"/>
          </w:tcPr>
          <w:p w:rsidR="003374BA" w:rsidRPr="00BF39AB" w:rsidRDefault="003374BA" w:rsidP="003374BA">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BF39AB">
              <w:rPr>
                <w:rFonts w:asciiTheme="minorHAnsi" w:hAnsiTheme="minorHAnsi"/>
                <w:color w:val="4F81BD" w:themeColor="accent1"/>
              </w:rPr>
              <w:t>Carbon dioxide peaks in 2030</w:t>
            </w:r>
          </w:p>
        </w:tc>
      </w:tr>
      <w:tr w:rsidR="003374BA" w:rsidTr="00C32F93">
        <w:trPr>
          <w:trHeight w:val="714"/>
        </w:trPr>
        <w:tc>
          <w:tcPr>
            <w:cnfStyle w:val="001000000000" w:firstRow="0" w:lastRow="0" w:firstColumn="1" w:lastColumn="0" w:oddVBand="0" w:evenVBand="0" w:oddHBand="0" w:evenHBand="0" w:firstRowFirstColumn="0" w:firstRowLastColumn="0" w:lastRowFirstColumn="0" w:lastRowLastColumn="0"/>
            <w:tcW w:w="1565" w:type="dxa"/>
            <w:vAlign w:val="center"/>
          </w:tcPr>
          <w:p w:rsidR="003374BA" w:rsidRPr="00BF39AB" w:rsidRDefault="003374BA" w:rsidP="003374BA">
            <w:pPr>
              <w:pStyle w:val="NormalWeb"/>
              <w:spacing w:before="0" w:beforeAutospacing="0"/>
              <w:rPr>
                <w:rFonts w:asciiTheme="minorHAnsi" w:hAnsiTheme="minorHAnsi"/>
                <w:color w:val="4F81BD" w:themeColor="accent1"/>
              </w:rPr>
            </w:pPr>
            <w:r w:rsidRPr="00BF39AB">
              <w:rPr>
                <w:rFonts w:asciiTheme="minorHAnsi" w:hAnsiTheme="minorHAnsi"/>
                <w:color w:val="4F81BD" w:themeColor="accent1"/>
              </w:rPr>
              <w:t>Japan</w:t>
            </w:r>
          </w:p>
        </w:tc>
        <w:tc>
          <w:tcPr>
            <w:tcW w:w="3255" w:type="dxa"/>
            <w:vAlign w:val="center"/>
          </w:tcPr>
          <w:p w:rsidR="003374BA" w:rsidRPr="00BF39AB" w:rsidRDefault="003374BA" w:rsidP="003374BA">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rPr>
            </w:pPr>
            <w:r w:rsidRPr="00BF39AB">
              <w:rPr>
                <w:rFonts w:asciiTheme="minorHAnsi" w:hAnsiTheme="minorHAnsi"/>
                <w:color w:val="4F81BD" w:themeColor="accent1"/>
              </w:rPr>
              <w:t>15% reduction on 2005 levels</w:t>
            </w:r>
          </w:p>
        </w:tc>
        <w:tc>
          <w:tcPr>
            <w:tcW w:w="3594" w:type="dxa"/>
            <w:vAlign w:val="center"/>
          </w:tcPr>
          <w:p w:rsidR="003374BA" w:rsidRPr="00BF39AB" w:rsidRDefault="003374BA" w:rsidP="003374BA">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rPr>
            </w:pPr>
            <w:r w:rsidRPr="00BF39AB">
              <w:rPr>
                <w:rFonts w:asciiTheme="minorHAnsi" w:hAnsiTheme="minorHAnsi"/>
                <w:color w:val="4F81BD" w:themeColor="accent1"/>
              </w:rPr>
              <w:t>22% reduction on 2005 in 2030</w:t>
            </w:r>
            <w:r w:rsidR="006E3CDD" w:rsidRPr="00BF39AB">
              <w:rPr>
                <w:rFonts w:asciiTheme="minorHAnsi" w:hAnsiTheme="minorHAnsi"/>
                <w:color w:val="4F81BD" w:themeColor="accent1"/>
                <w:vertAlign w:val="superscript"/>
              </w:rPr>
              <w:t>3</w:t>
            </w:r>
          </w:p>
        </w:tc>
      </w:tr>
      <w:tr w:rsidR="003374BA" w:rsidTr="00C32F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565" w:type="dxa"/>
            <w:tcBorders>
              <w:top w:val="none" w:sz="0" w:space="0" w:color="auto"/>
              <w:left w:val="none" w:sz="0" w:space="0" w:color="auto"/>
              <w:bottom w:val="none" w:sz="0" w:space="0" w:color="auto"/>
            </w:tcBorders>
            <w:vAlign w:val="center"/>
          </w:tcPr>
          <w:p w:rsidR="003374BA" w:rsidRPr="00BF39AB" w:rsidRDefault="003374BA" w:rsidP="003374BA">
            <w:pPr>
              <w:pStyle w:val="NormalWeb"/>
              <w:spacing w:before="0" w:beforeAutospacing="0"/>
              <w:rPr>
                <w:rFonts w:asciiTheme="minorHAnsi" w:hAnsiTheme="minorHAnsi"/>
                <w:color w:val="4F81BD" w:themeColor="accent1"/>
              </w:rPr>
            </w:pPr>
            <w:r w:rsidRPr="00BF39AB">
              <w:rPr>
                <w:rFonts w:asciiTheme="minorHAnsi" w:hAnsiTheme="minorHAnsi"/>
                <w:color w:val="4F81BD" w:themeColor="accent1"/>
              </w:rPr>
              <w:t>European Union</w:t>
            </w:r>
          </w:p>
        </w:tc>
        <w:tc>
          <w:tcPr>
            <w:tcW w:w="3255" w:type="dxa"/>
            <w:tcBorders>
              <w:top w:val="none" w:sz="0" w:space="0" w:color="auto"/>
              <w:bottom w:val="none" w:sz="0" w:space="0" w:color="auto"/>
            </w:tcBorders>
            <w:vAlign w:val="center"/>
          </w:tcPr>
          <w:p w:rsidR="003374BA" w:rsidRPr="00BF39AB" w:rsidRDefault="003374BA" w:rsidP="003374BA">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BF39AB">
              <w:rPr>
                <w:rFonts w:asciiTheme="minorHAnsi" w:hAnsiTheme="minorHAnsi"/>
                <w:color w:val="4F81BD" w:themeColor="accent1"/>
              </w:rPr>
              <w:t>30% reduction on 1990 levels</w:t>
            </w:r>
          </w:p>
        </w:tc>
        <w:tc>
          <w:tcPr>
            <w:tcW w:w="3594" w:type="dxa"/>
            <w:tcBorders>
              <w:top w:val="none" w:sz="0" w:space="0" w:color="auto"/>
              <w:bottom w:val="none" w:sz="0" w:space="0" w:color="auto"/>
              <w:right w:val="none" w:sz="0" w:space="0" w:color="auto"/>
            </w:tcBorders>
            <w:vAlign w:val="center"/>
          </w:tcPr>
          <w:p w:rsidR="003374BA" w:rsidRPr="00BF39AB" w:rsidRDefault="003374BA" w:rsidP="006E3CDD">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vertAlign w:val="superscript"/>
              </w:rPr>
            </w:pPr>
            <w:r w:rsidRPr="00BF39AB">
              <w:rPr>
                <w:rFonts w:asciiTheme="minorHAnsi" w:hAnsiTheme="minorHAnsi"/>
                <w:color w:val="4F81BD" w:themeColor="accent1"/>
              </w:rPr>
              <w:t xml:space="preserve">40% reduction on 1990 </w:t>
            </w:r>
            <w:r w:rsidR="000B0EDE" w:rsidRPr="00BF39AB">
              <w:rPr>
                <w:rFonts w:asciiTheme="minorHAnsi" w:hAnsiTheme="minorHAnsi"/>
                <w:color w:val="4F81BD" w:themeColor="accent1"/>
              </w:rPr>
              <w:t xml:space="preserve">in </w:t>
            </w:r>
            <w:r w:rsidR="006E3CDD" w:rsidRPr="00BF39AB">
              <w:rPr>
                <w:rFonts w:asciiTheme="minorHAnsi" w:hAnsiTheme="minorHAnsi"/>
                <w:color w:val="4F81BD" w:themeColor="accent1"/>
              </w:rPr>
              <w:t>2030</w:t>
            </w:r>
            <w:r w:rsidR="006E3CDD" w:rsidRPr="00BF39AB">
              <w:rPr>
                <w:rFonts w:asciiTheme="minorHAnsi" w:hAnsiTheme="minorHAnsi"/>
                <w:color w:val="4F81BD" w:themeColor="accent1"/>
                <w:vertAlign w:val="superscript"/>
              </w:rPr>
              <w:t>4</w:t>
            </w:r>
          </w:p>
        </w:tc>
      </w:tr>
    </w:tbl>
    <w:p w:rsidR="00831EE2" w:rsidRPr="00BF39AB" w:rsidRDefault="000014D3" w:rsidP="00BF7A32">
      <w:pPr>
        <w:pStyle w:val="ListParagraph"/>
        <w:ind w:left="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 xml:space="preserve">1. </w:t>
      </w:r>
      <w:r w:rsidR="004751BC" w:rsidRPr="00BF39AB">
        <w:rPr>
          <w:rFonts w:asciiTheme="minorHAnsi" w:hAnsiTheme="minorHAnsi" w:cstheme="minorHAnsi"/>
          <w:color w:val="4F81BD" w:themeColor="accent1"/>
          <w:sz w:val="16"/>
        </w:rPr>
        <w:t>Mid-point of the announced range.</w:t>
      </w:r>
      <w:r w:rsidR="00831EE2" w:rsidRPr="00BF39AB">
        <w:rPr>
          <w:rFonts w:asciiTheme="minorHAnsi" w:hAnsiTheme="minorHAnsi" w:cstheme="minorHAnsi"/>
          <w:color w:val="4F81BD" w:themeColor="accent1"/>
          <w:sz w:val="16"/>
        </w:rPr>
        <w:t xml:space="preserve"> </w:t>
      </w:r>
    </w:p>
    <w:p w:rsidR="004751BC" w:rsidRPr="00BF39AB" w:rsidRDefault="00831EE2" w:rsidP="00BF7A32">
      <w:pPr>
        <w:pStyle w:val="ListParagraph"/>
        <w:ind w:left="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2. The modelling assumed a straight line extension to 2030 of the trajectory from 2020 to 2025, equivalent to a 37 per cent reduction on 2005 levels in 2030.</w:t>
      </w:r>
    </w:p>
    <w:p w:rsidR="006E3CDD" w:rsidRPr="00BF39AB" w:rsidRDefault="006E3CDD" w:rsidP="00BF7A32">
      <w:pPr>
        <w:pStyle w:val="ListParagraph"/>
        <w:ind w:left="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3. Japan has since announced a target of reducing emissions by 26 per cent below 2013 levels by 2030.</w:t>
      </w:r>
    </w:p>
    <w:p w:rsidR="000014D3" w:rsidRPr="00BF39AB" w:rsidRDefault="006E3CDD" w:rsidP="00BF7A32">
      <w:pPr>
        <w:pStyle w:val="ListParagraph"/>
        <w:ind w:left="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4</w:t>
      </w:r>
      <w:r w:rsidR="000014D3" w:rsidRPr="00BF39AB">
        <w:rPr>
          <w:rFonts w:asciiTheme="minorHAnsi" w:hAnsiTheme="minorHAnsi" w:cstheme="minorHAnsi"/>
          <w:color w:val="4F81BD" w:themeColor="accent1"/>
          <w:sz w:val="16"/>
        </w:rPr>
        <w:t xml:space="preserve">. </w:t>
      </w:r>
      <w:r w:rsidR="00831EE2" w:rsidRPr="00BF39AB">
        <w:rPr>
          <w:rFonts w:asciiTheme="minorHAnsi" w:hAnsiTheme="minorHAnsi" w:cstheme="minorHAnsi"/>
          <w:color w:val="4F81BD" w:themeColor="accent1"/>
          <w:sz w:val="16"/>
        </w:rPr>
        <w:t>Equivalent to a 34 per cent reduction on 2005 levels in 2030.</w:t>
      </w:r>
    </w:p>
    <w:p w:rsidR="004751BC" w:rsidRDefault="004751BC" w:rsidP="003374BA">
      <w:pPr>
        <w:pStyle w:val="ListParagraph"/>
        <w:ind w:left="0"/>
        <w:rPr>
          <w:rFonts w:asciiTheme="minorHAnsi" w:hAnsiTheme="minorHAnsi"/>
        </w:rPr>
      </w:pPr>
    </w:p>
    <w:p w:rsidR="003374BA" w:rsidRPr="00BF39AB" w:rsidRDefault="003374BA" w:rsidP="00AF2688">
      <w:pPr>
        <w:pStyle w:val="ListParagraph"/>
        <w:keepNext/>
        <w:spacing w:line="360" w:lineRule="auto"/>
        <w:ind w:left="0"/>
        <w:rPr>
          <w:rFonts w:asciiTheme="minorHAnsi" w:hAnsiTheme="minorHAnsi" w:cstheme="minorHAnsi"/>
          <w:b/>
          <w:color w:val="996633"/>
        </w:rPr>
      </w:pPr>
      <w:r w:rsidRPr="00BF39AB">
        <w:rPr>
          <w:rFonts w:asciiTheme="minorHAnsi" w:hAnsiTheme="minorHAnsi" w:cstheme="minorHAnsi"/>
          <w:b/>
          <w:color w:val="996633"/>
        </w:rPr>
        <w:t xml:space="preserve">Country commitments are modelled as sector-based policies </w:t>
      </w:r>
    </w:p>
    <w:p w:rsidR="003374BA" w:rsidRDefault="00690E20" w:rsidP="00BF7A32">
      <w:pPr>
        <w:spacing w:after="100" w:afterAutospacing="1"/>
        <w:rPr>
          <w:rFonts w:asciiTheme="minorHAnsi" w:hAnsiTheme="minorHAnsi"/>
        </w:rPr>
      </w:pPr>
      <w:r>
        <w:rPr>
          <w:rFonts w:asciiTheme="minorHAnsi" w:hAnsiTheme="minorHAnsi"/>
        </w:rPr>
        <w:t>E</w:t>
      </w:r>
      <w:r w:rsidR="003374BA">
        <w:rPr>
          <w:rFonts w:asciiTheme="minorHAnsi" w:hAnsiTheme="minorHAnsi"/>
        </w:rPr>
        <w:t xml:space="preserve">ach country’s commitments </w:t>
      </w:r>
      <w:r>
        <w:rPr>
          <w:rFonts w:asciiTheme="minorHAnsi" w:hAnsiTheme="minorHAnsi"/>
        </w:rPr>
        <w:t xml:space="preserve">are modelled as being achieved </w:t>
      </w:r>
      <w:r w:rsidR="003374BA">
        <w:rPr>
          <w:rFonts w:asciiTheme="minorHAnsi" w:hAnsiTheme="minorHAnsi"/>
        </w:rPr>
        <w:t xml:space="preserve">through a mix of sector level policies.  In most cases this involves a shift from fossil fuels to renewable electricity, supplemented by nuclear energy in some countries (particularly China), along with investments to improve </w:t>
      </w:r>
      <w:r w:rsidR="00892E24">
        <w:rPr>
          <w:rFonts w:asciiTheme="minorHAnsi" w:hAnsiTheme="minorHAnsi"/>
        </w:rPr>
        <w:t>efficient</w:t>
      </w:r>
      <w:r w:rsidR="003374BA">
        <w:rPr>
          <w:rFonts w:asciiTheme="minorHAnsi" w:hAnsiTheme="minorHAnsi"/>
        </w:rPr>
        <w:t xml:space="preserve"> energy </w:t>
      </w:r>
      <w:r w:rsidR="00892E24">
        <w:rPr>
          <w:rFonts w:asciiTheme="minorHAnsi" w:hAnsiTheme="minorHAnsi"/>
        </w:rPr>
        <w:t>use</w:t>
      </w:r>
      <w:r w:rsidR="003374BA">
        <w:rPr>
          <w:rFonts w:asciiTheme="minorHAnsi" w:hAnsiTheme="minorHAnsi"/>
        </w:rPr>
        <w:t xml:space="preserve">. </w:t>
      </w:r>
      <w:r w:rsidR="00AD5C15">
        <w:rPr>
          <w:rFonts w:asciiTheme="minorHAnsi" w:hAnsiTheme="minorHAnsi"/>
        </w:rPr>
        <w:t xml:space="preserve">Without knowing the specific policies that would be implemented to achieve this shift in renewables and energy efficiency, </w:t>
      </w:r>
      <w:r w:rsidR="00125237">
        <w:rPr>
          <w:rFonts w:asciiTheme="minorHAnsi" w:hAnsiTheme="minorHAnsi"/>
        </w:rPr>
        <w:t xml:space="preserve">a generic policy is </w:t>
      </w:r>
      <w:r w:rsidR="00AD5C15">
        <w:rPr>
          <w:rFonts w:asciiTheme="minorHAnsi" w:hAnsiTheme="minorHAnsi"/>
        </w:rPr>
        <w:t>calculate</w:t>
      </w:r>
      <w:r w:rsidR="00125237">
        <w:rPr>
          <w:rFonts w:asciiTheme="minorHAnsi" w:hAnsiTheme="minorHAnsi"/>
        </w:rPr>
        <w:t>d</w:t>
      </w:r>
      <w:r w:rsidR="00AD5C15">
        <w:rPr>
          <w:rFonts w:asciiTheme="minorHAnsi" w:hAnsiTheme="minorHAnsi"/>
        </w:rPr>
        <w:t xml:space="preserve"> that would be a rough approximation to any particular policy that might be chosen. The modelling </w:t>
      </w:r>
      <w:r w:rsidR="00AD5C15">
        <w:rPr>
          <w:rFonts w:asciiTheme="minorHAnsi" w:hAnsiTheme="minorHAnsi" w:cstheme="minorHAnsi"/>
        </w:rPr>
        <w:t>assumes</w:t>
      </w:r>
      <w:r w:rsidR="00AD5C15" w:rsidRPr="00483B3D">
        <w:rPr>
          <w:rFonts w:asciiTheme="minorHAnsi" w:hAnsiTheme="minorHAnsi" w:cstheme="minorHAnsi"/>
        </w:rPr>
        <w:t xml:space="preserve"> that </w:t>
      </w:r>
      <w:r w:rsidR="00AD5C15" w:rsidRPr="00483B3D">
        <w:rPr>
          <w:rFonts w:asciiTheme="minorHAnsi" w:hAnsiTheme="minorHAnsi"/>
        </w:rPr>
        <w:t xml:space="preserve">achieving emissions reductions through a mix of policies increases </w:t>
      </w:r>
      <w:r w:rsidR="00AD5C15">
        <w:rPr>
          <w:rFonts w:asciiTheme="minorHAnsi" w:hAnsiTheme="minorHAnsi"/>
        </w:rPr>
        <w:t xml:space="preserve">the price of electricity </w:t>
      </w:r>
      <w:r w:rsidR="00AD5C15" w:rsidRPr="00483B3D">
        <w:rPr>
          <w:rFonts w:asciiTheme="minorHAnsi" w:hAnsiTheme="minorHAnsi" w:cstheme="minorHAnsi"/>
        </w:rPr>
        <w:t>by 10</w:t>
      </w:r>
      <w:r w:rsidR="00AD5C15">
        <w:rPr>
          <w:rFonts w:asciiTheme="minorHAnsi" w:hAnsiTheme="minorHAnsi" w:cstheme="minorHAnsi"/>
        </w:rPr>
        <w:t> </w:t>
      </w:r>
      <w:r w:rsidR="00AD5C15" w:rsidRPr="00483B3D">
        <w:rPr>
          <w:rFonts w:asciiTheme="minorHAnsi" w:hAnsiTheme="minorHAnsi" w:cstheme="minorHAnsi"/>
        </w:rPr>
        <w:t>per cent</w:t>
      </w:r>
      <w:r w:rsidR="00AD5C15" w:rsidRPr="00C37AA1">
        <w:rPr>
          <w:rFonts w:asciiTheme="minorHAnsi" w:hAnsiTheme="minorHAnsi" w:cstheme="minorHAnsi"/>
        </w:rPr>
        <w:t xml:space="preserve"> </w:t>
      </w:r>
      <w:r w:rsidR="00AD5C15">
        <w:rPr>
          <w:rFonts w:asciiTheme="minorHAnsi" w:hAnsiTheme="minorHAnsi" w:cstheme="minorHAnsi"/>
        </w:rPr>
        <w:t>more than caused by the</w:t>
      </w:r>
      <w:r w:rsidR="00AD5C15" w:rsidRPr="00483B3D">
        <w:rPr>
          <w:rFonts w:asciiTheme="minorHAnsi" w:hAnsiTheme="minorHAnsi" w:cstheme="minorHAnsi"/>
        </w:rPr>
        <w:t xml:space="preserve"> </w:t>
      </w:r>
      <w:r w:rsidR="00AD5C15" w:rsidRPr="00483B3D">
        <w:rPr>
          <w:rFonts w:asciiTheme="minorHAnsi" w:hAnsiTheme="minorHAnsi"/>
        </w:rPr>
        <w:t>cost-minimising policy</w:t>
      </w:r>
      <w:r w:rsidR="00AD5C15">
        <w:rPr>
          <w:rFonts w:asciiTheme="minorHAnsi" w:hAnsiTheme="minorHAnsi"/>
        </w:rPr>
        <w:t xml:space="preserve">, which </w:t>
      </w:r>
      <w:r w:rsidR="00125237">
        <w:rPr>
          <w:rFonts w:asciiTheme="minorHAnsi" w:hAnsiTheme="minorHAnsi"/>
        </w:rPr>
        <w:t xml:space="preserve">is </w:t>
      </w:r>
      <w:r w:rsidR="00AD5C15">
        <w:rPr>
          <w:rFonts w:asciiTheme="minorHAnsi" w:hAnsiTheme="minorHAnsi"/>
        </w:rPr>
        <w:t>model</w:t>
      </w:r>
      <w:r w:rsidR="00125237">
        <w:rPr>
          <w:rFonts w:asciiTheme="minorHAnsi" w:hAnsiTheme="minorHAnsi"/>
        </w:rPr>
        <w:t>led</w:t>
      </w:r>
      <w:r w:rsidR="00AD5C15">
        <w:rPr>
          <w:rFonts w:asciiTheme="minorHAnsi" w:hAnsiTheme="minorHAnsi"/>
        </w:rPr>
        <w:t xml:space="preserve"> as a first step</w:t>
      </w:r>
      <w:r w:rsidR="00AD5C15" w:rsidRPr="00483B3D">
        <w:rPr>
          <w:rFonts w:asciiTheme="minorHAnsi" w:hAnsiTheme="minorHAnsi"/>
        </w:rPr>
        <w:t>.</w:t>
      </w:r>
      <w:r w:rsidR="00AD5C15" w:rsidRPr="006E4DE8">
        <w:rPr>
          <w:rFonts w:asciiTheme="minorHAnsi" w:hAnsiTheme="minorHAnsi"/>
        </w:rPr>
        <w:t xml:space="preserve"> </w:t>
      </w:r>
      <w:r w:rsidR="00AD5C15">
        <w:rPr>
          <w:rFonts w:asciiTheme="minorHAnsi" w:hAnsiTheme="minorHAnsi"/>
        </w:rPr>
        <w:t xml:space="preserve">This reflects the cost of the technological shift to higher cost renewables. </w:t>
      </w:r>
      <w:r w:rsidR="003374BA">
        <w:rPr>
          <w:rFonts w:asciiTheme="minorHAnsi" w:hAnsiTheme="minorHAnsi"/>
        </w:rPr>
        <w:t xml:space="preserve">Emissions trading or a carbon price are included in the domestic policy mix for the EU, Japan, China and Canada and New Zealand, reflecting current and announced policies. Potential trade in international emission permits </w:t>
      </w:r>
      <w:r w:rsidR="006E3CDD">
        <w:rPr>
          <w:rFonts w:asciiTheme="minorHAnsi" w:hAnsiTheme="minorHAnsi"/>
        </w:rPr>
        <w:t xml:space="preserve">between regions </w:t>
      </w:r>
      <w:r w:rsidR="003374BA">
        <w:rPr>
          <w:rFonts w:asciiTheme="minorHAnsi" w:hAnsiTheme="minorHAnsi"/>
        </w:rPr>
        <w:t>is not included in the modelling.</w:t>
      </w:r>
    </w:p>
    <w:p w:rsidR="003374BA" w:rsidRDefault="003374BA" w:rsidP="00BF7A32">
      <w:pPr>
        <w:spacing w:after="100" w:afterAutospacing="1"/>
        <w:rPr>
          <w:rFonts w:asciiTheme="minorHAnsi" w:hAnsiTheme="minorHAnsi"/>
        </w:rPr>
      </w:pPr>
      <w:r>
        <w:rPr>
          <w:rFonts w:asciiTheme="minorHAnsi" w:hAnsiTheme="minorHAnsi"/>
        </w:rPr>
        <w:t xml:space="preserve">Policy implementation is focused on reductions </w:t>
      </w:r>
      <w:r w:rsidR="009D2841">
        <w:rPr>
          <w:rFonts w:asciiTheme="minorHAnsi" w:hAnsiTheme="minorHAnsi"/>
        </w:rPr>
        <w:t xml:space="preserve">in </w:t>
      </w:r>
      <w:r>
        <w:rPr>
          <w:rFonts w:asciiTheme="minorHAnsi" w:hAnsiTheme="minorHAnsi"/>
        </w:rPr>
        <w:t>CO</w:t>
      </w:r>
      <w:r w:rsidRPr="00A518EA">
        <w:rPr>
          <w:rFonts w:asciiTheme="minorHAnsi" w:hAnsiTheme="minorHAnsi"/>
          <w:vertAlign w:val="subscript"/>
        </w:rPr>
        <w:t>2</w:t>
      </w:r>
      <w:r w:rsidR="009D2841">
        <w:rPr>
          <w:rFonts w:asciiTheme="minorHAnsi" w:hAnsiTheme="minorHAnsi"/>
        </w:rPr>
        <w:t xml:space="preserve"> </w:t>
      </w:r>
      <w:r>
        <w:rPr>
          <w:rFonts w:asciiTheme="minorHAnsi" w:hAnsiTheme="minorHAnsi"/>
        </w:rPr>
        <w:t xml:space="preserve">emissions from the energy sector, </w:t>
      </w:r>
      <w:r w:rsidR="00892E24">
        <w:rPr>
          <w:rFonts w:asciiTheme="minorHAnsi" w:hAnsiTheme="minorHAnsi"/>
        </w:rPr>
        <w:t xml:space="preserve">as </w:t>
      </w:r>
      <w:r w:rsidR="00277F84">
        <w:rPr>
          <w:rFonts w:asciiTheme="minorHAnsi" w:hAnsiTheme="minorHAnsi"/>
        </w:rPr>
        <w:t xml:space="preserve">set out </w:t>
      </w:r>
      <w:r w:rsidR="00892E24">
        <w:rPr>
          <w:rFonts w:asciiTheme="minorHAnsi" w:hAnsiTheme="minorHAnsi"/>
        </w:rPr>
        <w:t xml:space="preserve">in the </w:t>
      </w:r>
      <w:r>
        <w:rPr>
          <w:rFonts w:asciiTheme="minorHAnsi" w:hAnsiTheme="minorHAnsi"/>
        </w:rPr>
        <w:t>policies and targets announced by key countries.  The modelling does not account for reductions in non-energy industrial emissions (such as CO</w:t>
      </w:r>
      <w:r w:rsidRPr="00CD4768">
        <w:rPr>
          <w:rFonts w:asciiTheme="minorHAnsi" w:hAnsiTheme="minorHAnsi"/>
          <w:vertAlign w:val="subscript"/>
        </w:rPr>
        <w:t>2</w:t>
      </w:r>
      <w:r>
        <w:rPr>
          <w:rFonts w:asciiTheme="minorHAnsi" w:hAnsiTheme="minorHAnsi"/>
        </w:rPr>
        <w:t xml:space="preserve"> from cement manufacturing), non-CO</w:t>
      </w:r>
      <w:r w:rsidRPr="00A518EA">
        <w:rPr>
          <w:rFonts w:asciiTheme="minorHAnsi" w:hAnsiTheme="minorHAnsi"/>
          <w:vertAlign w:val="subscript"/>
        </w:rPr>
        <w:t>2</w:t>
      </w:r>
      <w:r>
        <w:rPr>
          <w:rFonts w:asciiTheme="minorHAnsi" w:hAnsiTheme="minorHAnsi"/>
        </w:rPr>
        <w:t xml:space="preserve"> emissions from livestock, or land use change.  </w:t>
      </w:r>
    </w:p>
    <w:p w:rsidR="003374BA" w:rsidRPr="00BF39AB" w:rsidRDefault="003374BA" w:rsidP="003374BA">
      <w:pPr>
        <w:pStyle w:val="ListParagraph"/>
        <w:keepNext/>
        <w:keepLines/>
        <w:spacing w:line="360" w:lineRule="auto"/>
        <w:ind w:left="0"/>
        <w:rPr>
          <w:rFonts w:asciiTheme="minorHAnsi" w:hAnsiTheme="minorHAnsi" w:cstheme="minorHAnsi"/>
          <w:b/>
          <w:color w:val="996633"/>
        </w:rPr>
      </w:pPr>
      <w:r w:rsidRPr="00BF39AB">
        <w:rPr>
          <w:rFonts w:asciiTheme="minorHAnsi" w:hAnsiTheme="minorHAnsi" w:cstheme="minorHAnsi"/>
          <w:b/>
          <w:color w:val="996633"/>
        </w:rPr>
        <w:t xml:space="preserve">Five key countries and twelve sectors are modelled </w:t>
      </w:r>
    </w:p>
    <w:p w:rsidR="00BC349A" w:rsidRDefault="003374BA" w:rsidP="00BF7A32">
      <w:pPr>
        <w:spacing w:after="100" w:afterAutospacing="1"/>
        <w:rPr>
          <w:rFonts w:asciiTheme="minorHAnsi" w:hAnsiTheme="minorHAnsi" w:cstheme="minorHAnsi"/>
          <w:color w:val="000000"/>
          <w:lang w:eastAsia="en-AU"/>
        </w:rPr>
      </w:pPr>
      <w:r>
        <w:rPr>
          <w:rFonts w:asciiTheme="minorHAnsi" w:hAnsiTheme="minorHAnsi" w:cstheme="minorHAnsi"/>
          <w:color w:val="000000"/>
          <w:lang w:eastAsia="en-AU"/>
        </w:rPr>
        <w:t xml:space="preserve">The </w:t>
      </w:r>
      <w:r w:rsidR="004D4597">
        <w:rPr>
          <w:rFonts w:asciiTheme="minorHAnsi" w:hAnsiTheme="minorHAnsi" w:cstheme="minorHAnsi"/>
          <w:color w:val="000000"/>
          <w:lang w:eastAsia="en-AU"/>
        </w:rPr>
        <w:t xml:space="preserve">modelling </w:t>
      </w:r>
      <w:r w:rsidRPr="00BC349A">
        <w:rPr>
          <w:rFonts w:asciiTheme="minorHAnsi" w:hAnsiTheme="minorHAnsi" w:cstheme="minorHAnsi"/>
          <w:color w:val="000000"/>
          <w:lang w:eastAsia="en-AU"/>
        </w:rPr>
        <w:t xml:space="preserve">includes five </w:t>
      </w:r>
      <w:r>
        <w:rPr>
          <w:rFonts w:asciiTheme="minorHAnsi" w:hAnsiTheme="minorHAnsi" w:cstheme="minorHAnsi"/>
          <w:color w:val="000000"/>
          <w:lang w:eastAsia="en-AU"/>
        </w:rPr>
        <w:t xml:space="preserve">individual key countries – Australia, the US, China, EU and Japan – </w:t>
      </w:r>
      <w:r w:rsidRPr="00BC349A">
        <w:rPr>
          <w:rFonts w:asciiTheme="minorHAnsi" w:hAnsiTheme="minorHAnsi" w:cstheme="minorHAnsi"/>
          <w:color w:val="000000"/>
          <w:lang w:eastAsia="en-AU"/>
        </w:rPr>
        <w:t xml:space="preserve">with the rest of the world </w:t>
      </w:r>
      <w:r>
        <w:rPr>
          <w:rFonts w:asciiTheme="minorHAnsi" w:hAnsiTheme="minorHAnsi" w:cstheme="minorHAnsi"/>
          <w:color w:val="000000"/>
          <w:lang w:eastAsia="en-AU"/>
        </w:rPr>
        <w:t xml:space="preserve">represented as </w:t>
      </w:r>
      <w:r w:rsidR="006E3CDD">
        <w:rPr>
          <w:rFonts w:asciiTheme="minorHAnsi" w:hAnsiTheme="minorHAnsi" w:cstheme="minorHAnsi"/>
          <w:color w:val="000000"/>
          <w:lang w:eastAsia="en-AU"/>
        </w:rPr>
        <w:t xml:space="preserve">four </w:t>
      </w:r>
      <w:r w:rsidRPr="00BC349A">
        <w:rPr>
          <w:rFonts w:asciiTheme="minorHAnsi" w:hAnsiTheme="minorHAnsi" w:cstheme="minorHAnsi"/>
          <w:color w:val="000000"/>
          <w:lang w:eastAsia="en-AU"/>
        </w:rPr>
        <w:t>economic regions</w:t>
      </w:r>
      <w:r>
        <w:rPr>
          <w:rFonts w:asciiTheme="minorHAnsi" w:hAnsiTheme="minorHAnsi" w:cstheme="minorHAnsi"/>
          <w:color w:val="000000"/>
          <w:lang w:eastAsia="en-AU"/>
        </w:rPr>
        <w:t xml:space="preserve"> or groups.  Within each country or group the model </w:t>
      </w:r>
      <w:r w:rsidR="00003323">
        <w:rPr>
          <w:rFonts w:asciiTheme="minorHAnsi" w:hAnsiTheme="minorHAnsi" w:cstheme="minorHAnsi"/>
          <w:color w:val="000000"/>
          <w:lang w:eastAsia="en-AU"/>
        </w:rPr>
        <w:t xml:space="preserve">considers </w:t>
      </w:r>
      <w:r w:rsidRPr="00BC349A">
        <w:rPr>
          <w:rFonts w:asciiTheme="minorHAnsi" w:hAnsiTheme="minorHAnsi" w:cstheme="minorHAnsi"/>
          <w:color w:val="000000"/>
          <w:lang w:eastAsia="en-AU"/>
        </w:rPr>
        <w:t>twelve distinct sectors</w:t>
      </w:r>
      <w:r>
        <w:rPr>
          <w:rFonts w:asciiTheme="minorHAnsi" w:hAnsiTheme="minorHAnsi" w:cstheme="minorHAnsi"/>
          <w:color w:val="000000"/>
          <w:lang w:eastAsia="en-AU"/>
        </w:rPr>
        <w:t>,</w:t>
      </w:r>
      <w:r w:rsidRPr="00BC349A">
        <w:rPr>
          <w:rFonts w:asciiTheme="minorHAnsi" w:hAnsiTheme="minorHAnsi" w:cstheme="minorHAnsi"/>
          <w:color w:val="000000"/>
          <w:lang w:eastAsia="en-AU"/>
        </w:rPr>
        <w:t xml:space="preserve"> </w:t>
      </w:r>
      <w:r w:rsidRPr="00BC349A">
        <w:rPr>
          <w:rFonts w:asciiTheme="minorHAnsi" w:hAnsiTheme="minorHAnsi" w:cstheme="minorHAnsi"/>
          <w:color w:val="000000"/>
          <w:lang w:eastAsia="en-AU"/>
        </w:rPr>
        <w:lastRenderedPageBreak/>
        <w:t>inc</w:t>
      </w:r>
      <w:r>
        <w:rPr>
          <w:rFonts w:asciiTheme="minorHAnsi" w:hAnsiTheme="minorHAnsi" w:cstheme="minorHAnsi"/>
          <w:color w:val="000000"/>
          <w:lang w:eastAsia="en-AU"/>
        </w:rPr>
        <w:t xml:space="preserve">luding </w:t>
      </w:r>
      <w:r w:rsidR="00C41EDB">
        <w:rPr>
          <w:rFonts w:asciiTheme="minorHAnsi" w:hAnsiTheme="minorHAnsi" w:cstheme="minorHAnsi"/>
          <w:color w:val="000000"/>
          <w:lang w:eastAsia="en-AU"/>
        </w:rPr>
        <w:t xml:space="preserve">six </w:t>
      </w:r>
      <w:r>
        <w:rPr>
          <w:rFonts w:asciiTheme="minorHAnsi" w:hAnsiTheme="minorHAnsi" w:cstheme="minorHAnsi"/>
          <w:color w:val="000000"/>
          <w:lang w:eastAsia="en-AU"/>
        </w:rPr>
        <w:t xml:space="preserve">energy sub-sectors, as shown in </w:t>
      </w:r>
      <w:r w:rsidRPr="00BF7A32">
        <w:rPr>
          <w:rFonts w:asciiTheme="minorHAnsi" w:hAnsiTheme="minorHAnsi" w:cstheme="minorHAnsi"/>
          <w:color w:val="000000"/>
          <w:lang w:eastAsia="en-AU"/>
        </w:rPr>
        <w:t>Table 2</w:t>
      </w:r>
      <w:r>
        <w:rPr>
          <w:rFonts w:asciiTheme="minorHAnsi" w:hAnsiTheme="minorHAnsi" w:cstheme="minorHAnsi"/>
          <w:color w:val="000000"/>
          <w:lang w:eastAsia="en-AU"/>
        </w:rPr>
        <w:t>.</w:t>
      </w:r>
      <w:r w:rsidR="009D2841">
        <w:rPr>
          <w:rFonts w:asciiTheme="minorHAnsi" w:hAnsiTheme="minorHAnsi" w:cstheme="minorHAnsi"/>
          <w:color w:val="000000"/>
          <w:lang w:eastAsia="en-AU"/>
        </w:rPr>
        <w:t xml:space="preserve"> Definitions of the regions and sectors are provided in Appendix </w:t>
      </w:r>
      <w:r w:rsidR="0078789A">
        <w:rPr>
          <w:rFonts w:asciiTheme="minorHAnsi" w:hAnsiTheme="minorHAnsi" w:cstheme="minorHAnsi"/>
          <w:color w:val="000000"/>
          <w:lang w:eastAsia="en-AU"/>
        </w:rPr>
        <w:t>B</w:t>
      </w:r>
      <w:r w:rsidR="009D2841">
        <w:rPr>
          <w:rFonts w:asciiTheme="minorHAnsi" w:hAnsiTheme="minorHAnsi" w:cstheme="minorHAnsi"/>
          <w:color w:val="000000"/>
          <w:lang w:eastAsia="en-AU"/>
        </w:rPr>
        <w:t>.</w:t>
      </w:r>
      <w:r>
        <w:rPr>
          <w:rStyle w:val="FootnoteReference"/>
          <w:rFonts w:asciiTheme="minorHAnsi" w:hAnsiTheme="minorHAnsi" w:cstheme="minorHAnsi"/>
          <w:color w:val="000000"/>
          <w:lang w:eastAsia="en-AU"/>
        </w:rPr>
        <w:footnoteReference w:id="3"/>
      </w:r>
    </w:p>
    <w:p w:rsidR="00FD39F4" w:rsidRPr="00BF39AB" w:rsidRDefault="00FD39F4" w:rsidP="00BF39AB">
      <w:pPr>
        <w:pStyle w:val="NormalWeb"/>
        <w:spacing w:after="0" w:afterAutospacing="0" w:line="276" w:lineRule="auto"/>
        <w:rPr>
          <w:rFonts w:asciiTheme="minorHAnsi" w:hAnsiTheme="minorHAnsi"/>
          <w:b/>
          <w:color w:val="4F81BD" w:themeColor="accent1"/>
        </w:rPr>
      </w:pPr>
      <w:r w:rsidRPr="00BF39AB">
        <w:rPr>
          <w:rFonts w:asciiTheme="minorHAnsi" w:hAnsiTheme="minorHAnsi"/>
          <w:b/>
          <w:color w:val="4F81BD" w:themeColor="accent1"/>
        </w:rPr>
        <w:t xml:space="preserve">Table </w:t>
      </w:r>
      <w:r w:rsidR="003323E7" w:rsidRPr="00BF39AB">
        <w:rPr>
          <w:rFonts w:asciiTheme="minorHAnsi" w:hAnsiTheme="minorHAnsi"/>
          <w:b/>
          <w:color w:val="4F81BD" w:themeColor="accent1"/>
        </w:rPr>
        <w:t>2</w:t>
      </w:r>
      <w:r w:rsidR="000B0EDE" w:rsidRPr="00BF39AB">
        <w:rPr>
          <w:rFonts w:asciiTheme="minorHAnsi" w:hAnsiTheme="minorHAnsi"/>
          <w:b/>
          <w:color w:val="4F81BD" w:themeColor="accent1"/>
        </w:rPr>
        <w:t>:</w:t>
      </w:r>
      <w:r w:rsidRPr="00BF39AB">
        <w:rPr>
          <w:rFonts w:asciiTheme="minorHAnsi" w:hAnsiTheme="minorHAnsi"/>
          <w:b/>
          <w:color w:val="4F81BD" w:themeColor="accent1"/>
        </w:rPr>
        <w:t xml:space="preserve"> </w:t>
      </w:r>
      <w:r w:rsidRPr="00BF39AB">
        <w:rPr>
          <w:rFonts w:asciiTheme="minorHAnsi" w:hAnsiTheme="minorHAnsi"/>
          <w:color w:val="4F81BD" w:themeColor="accent1"/>
        </w:rPr>
        <w:t>Regions and sectors</w:t>
      </w:r>
    </w:p>
    <w:tbl>
      <w:tblPr>
        <w:tblStyle w:val="TableGrid"/>
        <w:tblW w:w="12150"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13"/>
        <w:gridCol w:w="3040"/>
        <w:gridCol w:w="942"/>
        <w:gridCol w:w="3969"/>
        <w:gridCol w:w="3786"/>
      </w:tblGrid>
      <w:tr w:rsidR="00981BCB" w:rsidTr="00C32F93">
        <w:trPr>
          <w:gridAfter w:val="1"/>
          <w:wAfter w:w="3786" w:type="dxa"/>
          <w:trHeight w:val="406"/>
        </w:trPr>
        <w:tc>
          <w:tcPr>
            <w:tcW w:w="3453" w:type="dxa"/>
            <w:gridSpan w:val="2"/>
            <w:tcBorders>
              <w:bottom w:val="single" w:sz="24" w:space="0" w:color="FFFFFF" w:themeColor="background1"/>
              <w:right w:val="single" w:sz="48" w:space="0" w:color="FFFFFF" w:themeColor="background1"/>
            </w:tcBorders>
            <w:shd w:val="clear" w:color="auto" w:fill="996633"/>
            <w:vAlign w:val="center"/>
          </w:tcPr>
          <w:p w:rsidR="00981BCB" w:rsidRPr="00981BCB" w:rsidRDefault="00981BCB" w:rsidP="00FD39F4">
            <w:pPr>
              <w:autoSpaceDE w:val="0"/>
              <w:autoSpaceDN w:val="0"/>
              <w:adjustRightInd w:val="0"/>
              <w:jc w:val="center"/>
              <w:rPr>
                <w:rFonts w:asciiTheme="minorHAnsi" w:hAnsiTheme="minorHAnsi" w:cstheme="minorHAnsi"/>
                <w:b/>
                <w:color w:val="FFFFFF" w:themeColor="background1"/>
                <w:lang w:eastAsia="en-AU"/>
              </w:rPr>
            </w:pPr>
            <w:r w:rsidRPr="00981BCB">
              <w:rPr>
                <w:rFonts w:asciiTheme="minorHAnsi" w:hAnsiTheme="minorHAnsi" w:cstheme="minorHAnsi"/>
                <w:b/>
                <w:color w:val="FFFFFF" w:themeColor="background1"/>
                <w:lang w:eastAsia="en-AU"/>
              </w:rPr>
              <w:t>Economic regions</w:t>
            </w:r>
          </w:p>
        </w:tc>
        <w:tc>
          <w:tcPr>
            <w:tcW w:w="4911" w:type="dxa"/>
            <w:gridSpan w:val="2"/>
            <w:tcBorders>
              <w:left w:val="single" w:sz="48" w:space="0" w:color="FFFFFF" w:themeColor="background1"/>
              <w:bottom w:val="single" w:sz="24" w:space="0" w:color="FFFFFF" w:themeColor="background1"/>
            </w:tcBorders>
            <w:shd w:val="clear" w:color="auto" w:fill="996633"/>
            <w:vAlign w:val="center"/>
          </w:tcPr>
          <w:p w:rsidR="00981BCB" w:rsidRPr="00981BCB" w:rsidRDefault="00981BCB" w:rsidP="00FD39F4">
            <w:pPr>
              <w:autoSpaceDE w:val="0"/>
              <w:autoSpaceDN w:val="0"/>
              <w:adjustRightInd w:val="0"/>
              <w:jc w:val="center"/>
              <w:rPr>
                <w:rFonts w:asciiTheme="minorHAnsi" w:hAnsiTheme="minorHAnsi" w:cstheme="minorHAnsi"/>
                <w:b/>
                <w:color w:val="FFFFFF" w:themeColor="background1"/>
                <w:lang w:eastAsia="en-AU"/>
              </w:rPr>
            </w:pPr>
            <w:r w:rsidRPr="00981BCB">
              <w:rPr>
                <w:rFonts w:asciiTheme="minorHAnsi" w:hAnsiTheme="minorHAnsi" w:cstheme="minorHAnsi"/>
                <w:b/>
                <w:color w:val="FFFFFF" w:themeColor="background1"/>
                <w:lang w:eastAsia="en-AU"/>
              </w:rPr>
              <w:t>Economic sectors</w:t>
            </w:r>
          </w:p>
        </w:tc>
      </w:tr>
      <w:tr w:rsidR="00C41EDB" w:rsidTr="00BF7A32">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981BCB">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1</w:t>
            </w: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Australia</w:t>
            </w: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1</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7A7487">
            <w:pPr>
              <w:autoSpaceDE w:val="0"/>
              <w:autoSpaceDN w:val="0"/>
              <w:adjustRightInd w:val="0"/>
              <w:rPr>
                <w:rFonts w:asciiTheme="minorHAnsi" w:hAnsiTheme="minorHAnsi" w:cstheme="minorHAnsi"/>
                <w:color w:val="4F81BD" w:themeColor="accent1"/>
                <w:highlight w:val="yellow"/>
                <w:lang w:eastAsia="en-AU"/>
              </w:rPr>
            </w:pPr>
            <w:r w:rsidRPr="00BF39AB">
              <w:rPr>
                <w:rFonts w:asciiTheme="minorHAnsi" w:hAnsiTheme="minorHAnsi" w:cstheme="minorHAnsi"/>
                <w:color w:val="4F81BD" w:themeColor="accent1"/>
                <w:lang w:eastAsia="en-AU"/>
              </w:rPr>
              <w:t xml:space="preserve">Other mining </w:t>
            </w:r>
          </w:p>
        </w:tc>
      </w:tr>
      <w:tr w:rsidR="00C41EDB" w:rsidTr="00BF7A32">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981BCB">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2</w:t>
            </w: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United States</w:t>
            </w: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2</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7A748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Agriculture, forestry &amp; wood products</w:t>
            </w:r>
          </w:p>
        </w:tc>
      </w:tr>
      <w:tr w:rsidR="00C41EDB" w:rsidTr="00BF7A32">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981BCB">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3</w:t>
            </w: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China</w:t>
            </w: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3</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Durable goods manufacturing</w:t>
            </w:r>
          </w:p>
        </w:tc>
      </w:tr>
      <w:tr w:rsidR="00C41EDB" w:rsidTr="00BF7A32">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981BCB">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4</w:t>
            </w: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Japan</w:t>
            </w: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4</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Non-durable goods manufacturing</w:t>
            </w:r>
          </w:p>
        </w:tc>
      </w:tr>
      <w:tr w:rsidR="00C41EDB" w:rsidTr="00BF7A32">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981BCB">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5</w:t>
            </w: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European Union</w:t>
            </w: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5</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7A748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Transportation</w:t>
            </w:r>
            <w:r w:rsidRPr="00BF39AB" w:rsidDel="007A7487">
              <w:rPr>
                <w:rFonts w:asciiTheme="minorHAnsi" w:hAnsiTheme="minorHAnsi" w:cstheme="minorHAnsi"/>
                <w:color w:val="4F81BD" w:themeColor="accent1"/>
                <w:lang w:eastAsia="en-AU"/>
              </w:rPr>
              <w:t xml:space="preserve"> </w:t>
            </w:r>
          </w:p>
        </w:tc>
      </w:tr>
      <w:tr w:rsidR="00C41EDB" w:rsidTr="00BF7A32">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6</w:t>
            </w: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Canada &amp; New Zealand</w:t>
            </w: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6</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Services</w:t>
            </w:r>
          </w:p>
        </w:tc>
      </w:tr>
      <w:tr w:rsidR="00C41EDB" w:rsidTr="00C32F93">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7</w:t>
            </w: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Russia &amp; former USSR</w:t>
            </w:r>
          </w:p>
        </w:tc>
        <w:tc>
          <w:tcPr>
            <w:tcW w:w="4911" w:type="dxa"/>
            <w:gridSpan w:val="2"/>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E2C4A6"/>
          </w:tcPr>
          <w:p w:rsidR="00C41EDB" w:rsidRPr="00BF39AB" w:rsidRDefault="00C41EDB" w:rsidP="00BF7A32">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b/>
                <w:color w:val="4F81BD" w:themeColor="accent1"/>
                <w:lang w:eastAsia="en-AU"/>
              </w:rPr>
              <w:t>Energy sectors</w:t>
            </w:r>
          </w:p>
        </w:tc>
      </w:tr>
      <w:tr w:rsidR="00C41EDB" w:rsidTr="00BF7A32">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8</w:t>
            </w: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4F387C" w:rsidP="004F387C">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 xml:space="preserve">Oil exporting countries &amp; </w:t>
            </w:r>
            <w:r w:rsidR="00C41EDB" w:rsidRPr="00BF39AB">
              <w:rPr>
                <w:rFonts w:asciiTheme="minorHAnsi" w:hAnsiTheme="minorHAnsi" w:cstheme="minorHAnsi"/>
                <w:color w:val="4F81BD" w:themeColor="accent1"/>
                <w:lang w:eastAsia="en-AU"/>
              </w:rPr>
              <w:t xml:space="preserve">Middle East </w:t>
            </w: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7</w:t>
            </w:r>
          </w:p>
        </w:tc>
        <w:tc>
          <w:tcPr>
            <w:tcW w:w="3969"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BF7A32">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Electric utilities</w:t>
            </w:r>
          </w:p>
        </w:tc>
      </w:tr>
      <w:tr w:rsidR="00C41EDB" w:rsidTr="00BF7A32">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9</w:t>
            </w: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Rest of world</w:t>
            </w: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8</w:t>
            </w:r>
          </w:p>
        </w:tc>
        <w:tc>
          <w:tcPr>
            <w:tcW w:w="3969"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Gas utilities</w:t>
            </w:r>
          </w:p>
        </w:tc>
        <w:tc>
          <w:tcPr>
            <w:tcW w:w="3786" w:type="dxa"/>
          </w:tcPr>
          <w:p w:rsidR="00C41EDB" w:rsidRDefault="00C41EDB" w:rsidP="003C33D7">
            <w:pPr>
              <w:autoSpaceDE w:val="0"/>
              <w:autoSpaceDN w:val="0"/>
              <w:adjustRightInd w:val="0"/>
              <w:rPr>
                <w:rFonts w:asciiTheme="minorHAnsi" w:hAnsiTheme="minorHAnsi" w:cstheme="minorHAnsi"/>
                <w:color w:val="000000"/>
                <w:lang w:eastAsia="en-AU"/>
              </w:rPr>
            </w:pPr>
          </w:p>
        </w:tc>
      </w:tr>
      <w:tr w:rsidR="00C41EDB" w:rsidTr="00BF7A32">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981BCB">
            <w:pPr>
              <w:autoSpaceDE w:val="0"/>
              <w:autoSpaceDN w:val="0"/>
              <w:adjustRightInd w:val="0"/>
              <w:rPr>
                <w:rFonts w:asciiTheme="minorHAnsi" w:hAnsiTheme="minorHAnsi" w:cstheme="minorHAnsi"/>
                <w:color w:val="4F81BD" w:themeColor="accent1"/>
                <w:lang w:eastAsia="en-AU"/>
              </w:rPr>
            </w:pP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9</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Petroleum refining</w:t>
            </w:r>
          </w:p>
        </w:tc>
      </w:tr>
      <w:tr w:rsidR="00C41EDB" w:rsidTr="00BF7A32">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10</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 xml:space="preserve">Coal mining </w:t>
            </w:r>
          </w:p>
        </w:tc>
      </w:tr>
      <w:tr w:rsidR="00C41EDB" w:rsidTr="00C32F93">
        <w:trPr>
          <w:gridAfter w:val="1"/>
          <w:wAfter w:w="3786" w:type="dxa"/>
        </w:trPr>
        <w:tc>
          <w:tcPr>
            <w:tcW w:w="413" w:type="dxa"/>
            <w:tcBorders>
              <w:top w:val="single" w:sz="24" w:space="0" w:color="FFFFFF" w:themeColor="background1"/>
              <w:left w:val="single" w:sz="2" w:space="0" w:color="FFFFFF" w:themeColor="background1"/>
              <w:bottom w:val="single" w:sz="24" w:space="0" w:color="FFFFFF" w:themeColor="background1"/>
              <w:right w:val="single" w:sz="24"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p>
        </w:tc>
        <w:tc>
          <w:tcPr>
            <w:tcW w:w="304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p>
        </w:tc>
        <w:tc>
          <w:tcPr>
            <w:tcW w:w="942" w:type="dxa"/>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11</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Crude oil extraction</w:t>
            </w:r>
          </w:p>
        </w:tc>
      </w:tr>
      <w:tr w:rsidR="00C41EDB" w:rsidTr="00C32F93">
        <w:trPr>
          <w:gridAfter w:val="1"/>
          <w:wAfter w:w="3786" w:type="dxa"/>
          <w:trHeight w:val="486"/>
        </w:trPr>
        <w:tc>
          <w:tcPr>
            <w:tcW w:w="413" w:type="dxa"/>
            <w:tcBorders>
              <w:top w:val="single" w:sz="24" w:space="0" w:color="FFFFFF" w:themeColor="background1"/>
              <w:left w:val="single" w:sz="2" w:space="0" w:color="FFFFFF" w:themeColor="background1"/>
              <w:bottom w:val="single" w:sz="4" w:space="0" w:color="996633"/>
              <w:right w:val="single" w:sz="24"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p>
        </w:tc>
        <w:tc>
          <w:tcPr>
            <w:tcW w:w="3040" w:type="dxa"/>
            <w:tcBorders>
              <w:top w:val="single" w:sz="24" w:space="0" w:color="FFFFFF" w:themeColor="background1"/>
              <w:left w:val="single" w:sz="24" w:space="0" w:color="FFFFFF" w:themeColor="background1"/>
              <w:bottom w:val="single" w:sz="4" w:space="0" w:color="996633"/>
              <w:right w:val="single" w:sz="48" w:space="0" w:color="FFFFFF" w:themeColor="background1"/>
            </w:tcBorders>
          </w:tcPr>
          <w:p w:rsidR="00C41EDB" w:rsidRPr="00BF39AB" w:rsidRDefault="00C41EDB" w:rsidP="00861737">
            <w:pPr>
              <w:autoSpaceDE w:val="0"/>
              <w:autoSpaceDN w:val="0"/>
              <w:adjustRightInd w:val="0"/>
              <w:rPr>
                <w:rFonts w:asciiTheme="minorHAnsi" w:hAnsiTheme="minorHAnsi" w:cstheme="minorHAnsi"/>
                <w:color w:val="4F81BD" w:themeColor="accent1"/>
                <w:lang w:eastAsia="en-AU"/>
              </w:rPr>
            </w:pPr>
          </w:p>
        </w:tc>
        <w:tc>
          <w:tcPr>
            <w:tcW w:w="942" w:type="dxa"/>
            <w:tcBorders>
              <w:top w:val="single" w:sz="24" w:space="0" w:color="FFFFFF" w:themeColor="background1"/>
              <w:left w:val="single" w:sz="48" w:space="0" w:color="FFFFFF" w:themeColor="background1"/>
              <w:bottom w:val="single" w:sz="4" w:space="0" w:color="996633"/>
              <w:right w:val="single" w:sz="24" w:space="0" w:color="FFFFFF" w:themeColor="background1"/>
            </w:tcBorders>
          </w:tcPr>
          <w:p w:rsidR="00C41EDB" w:rsidRPr="00BF39AB" w:rsidRDefault="00C41EDB" w:rsidP="00A23C64">
            <w:pPr>
              <w:autoSpaceDE w:val="0"/>
              <w:autoSpaceDN w:val="0"/>
              <w:adjustRightInd w:val="0"/>
              <w:jc w:val="center"/>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12</w:t>
            </w:r>
          </w:p>
        </w:tc>
        <w:tc>
          <w:tcPr>
            <w:tcW w:w="3969" w:type="dxa"/>
            <w:tcBorders>
              <w:top w:val="single" w:sz="24" w:space="0" w:color="FFFFFF" w:themeColor="background1"/>
              <w:left w:val="single" w:sz="24" w:space="0" w:color="FFFFFF" w:themeColor="background1"/>
              <w:bottom w:val="single" w:sz="4" w:space="0" w:color="996633"/>
              <w:right w:val="single" w:sz="24" w:space="0" w:color="FFFFFF" w:themeColor="background1"/>
            </w:tcBorders>
          </w:tcPr>
          <w:p w:rsidR="00C41EDB" w:rsidRPr="00BF39AB" w:rsidRDefault="00C41EDB" w:rsidP="003C33D7">
            <w:pPr>
              <w:autoSpaceDE w:val="0"/>
              <w:autoSpaceDN w:val="0"/>
              <w:adjustRightInd w:val="0"/>
              <w:rPr>
                <w:rFonts w:asciiTheme="minorHAnsi" w:hAnsiTheme="minorHAnsi" w:cstheme="minorHAnsi"/>
                <w:color w:val="4F81BD" w:themeColor="accent1"/>
                <w:lang w:eastAsia="en-AU"/>
              </w:rPr>
            </w:pPr>
            <w:r w:rsidRPr="00BF39AB">
              <w:rPr>
                <w:rFonts w:asciiTheme="minorHAnsi" w:hAnsiTheme="minorHAnsi" w:cstheme="minorHAnsi"/>
                <w:color w:val="4F81BD" w:themeColor="accent1"/>
                <w:lang w:eastAsia="en-AU"/>
              </w:rPr>
              <w:t>Gas extraction</w:t>
            </w:r>
          </w:p>
        </w:tc>
      </w:tr>
    </w:tbl>
    <w:p w:rsidR="00D10E06" w:rsidRDefault="00D10E06">
      <w:pPr>
        <w:rPr>
          <w:rFonts w:asciiTheme="minorHAnsi" w:hAnsiTheme="minorHAnsi" w:cstheme="minorHAnsi"/>
          <w:b/>
          <w:u w:val="single"/>
        </w:rPr>
      </w:pPr>
      <w:r>
        <w:rPr>
          <w:rFonts w:asciiTheme="minorHAnsi" w:hAnsiTheme="minorHAnsi" w:cstheme="minorHAnsi"/>
          <w:b/>
          <w:u w:val="single"/>
        </w:rPr>
        <w:br w:type="page"/>
      </w:r>
    </w:p>
    <w:p w:rsidR="00C11F09" w:rsidRPr="00BF39AB" w:rsidRDefault="008A1F97" w:rsidP="00C11F09">
      <w:pPr>
        <w:pStyle w:val="ListParagraph"/>
        <w:spacing w:line="360" w:lineRule="auto"/>
        <w:ind w:left="0"/>
        <w:rPr>
          <w:rFonts w:asciiTheme="minorHAnsi" w:hAnsiTheme="minorHAnsi" w:cstheme="minorHAnsi"/>
          <w:b/>
          <w:color w:val="996633"/>
          <w:u w:val="single"/>
        </w:rPr>
      </w:pPr>
      <w:r w:rsidRPr="00BF39AB">
        <w:rPr>
          <w:rFonts w:asciiTheme="minorHAnsi" w:hAnsiTheme="minorHAnsi" w:cstheme="minorHAnsi"/>
          <w:b/>
          <w:color w:val="996633"/>
          <w:u w:val="single"/>
        </w:rPr>
        <w:lastRenderedPageBreak/>
        <w:t>Assumptions and implementation</w:t>
      </w:r>
    </w:p>
    <w:p w:rsidR="00C11F09" w:rsidRPr="00BF39AB" w:rsidRDefault="00C11F09" w:rsidP="00C11F09">
      <w:pPr>
        <w:pStyle w:val="ListParagraph"/>
        <w:spacing w:line="360" w:lineRule="auto"/>
        <w:ind w:left="0"/>
        <w:rPr>
          <w:rFonts w:asciiTheme="minorHAnsi" w:hAnsiTheme="minorHAnsi" w:cstheme="minorHAnsi"/>
          <w:b/>
          <w:color w:val="996633"/>
        </w:rPr>
      </w:pPr>
      <w:r w:rsidRPr="00BF39AB">
        <w:rPr>
          <w:rFonts w:asciiTheme="minorHAnsi" w:hAnsiTheme="minorHAnsi" w:cstheme="minorHAnsi"/>
          <w:b/>
          <w:color w:val="996633"/>
        </w:rPr>
        <w:t>Australia</w:t>
      </w:r>
    </w:p>
    <w:p w:rsidR="008A1F97" w:rsidRPr="00BF39AB" w:rsidRDefault="008A1F97" w:rsidP="00BF7A32">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Target and policy assumptions</w:t>
      </w:r>
      <w:r w:rsidR="00732E59">
        <w:rPr>
          <w:rFonts w:asciiTheme="minorHAnsi" w:hAnsiTheme="minorHAnsi" w:cstheme="minorHAnsi"/>
          <w:i/>
          <w:color w:val="996633"/>
        </w:rPr>
        <w:t>, and model implementation</w:t>
      </w:r>
    </w:p>
    <w:p w:rsidR="00732E59" w:rsidRDefault="00732E59" w:rsidP="007370E7">
      <w:pPr>
        <w:spacing w:after="100" w:afterAutospacing="1"/>
        <w:rPr>
          <w:rFonts w:asciiTheme="minorHAnsi" w:hAnsiTheme="minorHAnsi" w:cstheme="minorHAnsi"/>
        </w:rPr>
      </w:pPr>
      <w:r>
        <w:rPr>
          <w:rFonts w:asciiTheme="minorHAnsi" w:hAnsiTheme="minorHAnsi" w:cstheme="minorHAnsi"/>
        </w:rPr>
        <w:t xml:space="preserve">Report 1 </w:t>
      </w:r>
      <w:r w:rsidR="00125237">
        <w:rPr>
          <w:rFonts w:asciiTheme="minorHAnsi" w:hAnsiTheme="minorHAnsi" w:cstheme="minorHAnsi"/>
        </w:rPr>
        <w:t>assesses</w:t>
      </w:r>
      <w:r>
        <w:rPr>
          <w:rFonts w:asciiTheme="minorHAnsi" w:hAnsiTheme="minorHAnsi" w:cstheme="minorHAnsi"/>
        </w:rPr>
        <w:t xml:space="preserve"> the economic impact on Australia of other countries’ targets. </w:t>
      </w:r>
      <w:r w:rsidR="007370E7">
        <w:rPr>
          <w:rFonts w:asciiTheme="minorHAnsi" w:hAnsiTheme="minorHAnsi" w:cstheme="minorHAnsi"/>
        </w:rPr>
        <w:t xml:space="preserve">The modelling assumes that </w:t>
      </w:r>
      <w:r w:rsidR="007370E7" w:rsidRPr="00D10E06">
        <w:rPr>
          <w:rFonts w:asciiTheme="minorHAnsi" w:hAnsiTheme="minorHAnsi" w:cstheme="minorHAnsi"/>
        </w:rPr>
        <w:t xml:space="preserve">Australia does not adopt </w:t>
      </w:r>
      <w:r w:rsidR="007370E7">
        <w:rPr>
          <w:rFonts w:asciiTheme="minorHAnsi" w:hAnsiTheme="minorHAnsi" w:cstheme="minorHAnsi"/>
        </w:rPr>
        <w:t xml:space="preserve">a </w:t>
      </w:r>
      <w:r w:rsidR="007370E7" w:rsidRPr="00D10E06">
        <w:rPr>
          <w:rFonts w:asciiTheme="minorHAnsi" w:hAnsiTheme="minorHAnsi" w:cstheme="minorHAnsi"/>
        </w:rPr>
        <w:t xml:space="preserve">new post-2020 target or </w:t>
      </w:r>
      <w:r w:rsidR="007370E7">
        <w:rPr>
          <w:rFonts w:asciiTheme="minorHAnsi" w:hAnsiTheme="minorHAnsi" w:cstheme="minorHAnsi"/>
        </w:rPr>
        <w:t xml:space="preserve">new </w:t>
      </w:r>
      <w:r w:rsidR="007370E7" w:rsidRPr="00D10E06">
        <w:rPr>
          <w:rFonts w:asciiTheme="minorHAnsi" w:hAnsiTheme="minorHAnsi" w:cstheme="minorHAnsi"/>
        </w:rPr>
        <w:t>policies.</w:t>
      </w:r>
      <w:r w:rsidR="007370E7">
        <w:rPr>
          <w:rStyle w:val="FootnoteReference"/>
          <w:rFonts w:asciiTheme="minorHAnsi" w:hAnsiTheme="minorHAnsi" w:cstheme="minorHAnsi"/>
        </w:rPr>
        <w:footnoteReference w:id="4"/>
      </w:r>
      <w:r w:rsidR="007370E7">
        <w:rPr>
          <w:rFonts w:asciiTheme="minorHAnsi" w:hAnsiTheme="minorHAnsi" w:cstheme="minorHAnsi"/>
        </w:rPr>
        <w:t xml:space="preserve"> </w:t>
      </w:r>
    </w:p>
    <w:p w:rsidR="00732E59" w:rsidRDefault="00732E59" w:rsidP="00BF7A32">
      <w:pPr>
        <w:spacing w:after="100" w:afterAutospacing="1"/>
        <w:rPr>
          <w:rFonts w:asciiTheme="minorHAnsi" w:hAnsiTheme="minorHAnsi" w:cstheme="minorHAnsi"/>
        </w:rPr>
      </w:pPr>
      <w:r>
        <w:rPr>
          <w:rFonts w:asciiTheme="minorHAnsi" w:hAnsiTheme="minorHAnsi" w:cstheme="minorHAnsi"/>
        </w:rPr>
        <w:t>The modelling assumes that both energy and non-energy emissions in Australia in 2020 are 5 per cent below their 2000 level, as Australia achieves its 2020 emissions reduction target. Total abatement is 126 Mt CO</w:t>
      </w:r>
      <w:r>
        <w:rPr>
          <w:rFonts w:asciiTheme="minorHAnsi" w:hAnsiTheme="minorHAnsi" w:cstheme="minorHAnsi"/>
          <w:vertAlign w:val="subscript"/>
        </w:rPr>
        <w:t>2</w:t>
      </w:r>
      <w:r>
        <w:rPr>
          <w:rFonts w:asciiTheme="minorHAnsi" w:hAnsiTheme="minorHAnsi" w:cstheme="minorHAnsi"/>
        </w:rPr>
        <w:t>-e in 2020, consistent with projections. The target was achieved in the model through adjusting energy efficiency and productivity without specifying the policies. It is consistent with the approach taken for other countries’ targets in order to have the Current Policies Scenario consistent with projections from international agencies.</w:t>
      </w:r>
    </w:p>
    <w:p w:rsidR="00732E59" w:rsidRDefault="00732E59" w:rsidP="00BF7A32">
      <w:pPr>
        <w:spacing w:after="100" w:afterAutospacing="1"/>
        <w:rPr>
          <w:rFonts w:asciiTheme="minorHAnsi" w:hAnsiTheme="minorHAnsi" w:cstheme="minorHAnsi"/>
        </w:rPr>
      </w:pPr>
      <w:r>
        <w:rPr>
          <w:rFonts w:asciiTheme="minorHAnsi" w:hAnsiTheme="minorHAnsi" w:cstheme="minorHAnsi"/>
        </w:rPr>
        <w:t>This assumption on achieving Australia’s 2020 target means that Australian energy emissions in the modelling are around one-quarter lower in 2020 than in the most recent Government emissions projections (Department of the Environment, 2015), which do not factor in the impacts of the Emissions Reduction Fund and other Government policies to reach the 2020 target. Under this assumption, the energy sector delivers around 90 per cent of total emissions abatement in 2020. This represents a high share of total abatement based on historical estimates.</w:t>
      </w:r>
    </w:p>
    <w:p w:rsidR="00732E59" w:rsidRPr="00732E59" w:rsidRDefault="00732E59" w:rsidP="00BF7A32">
      <w:pPr>
        <w:spacing w:after="100" w:afterAutospacing="1"/>
        <w:rPr>
          <w:rFonts w:asciiTheme="minorHAnsi" w:hAnsiTheme="minorHAnsi" w:cstheme="minorHAnsi"/>
        </w:rPr>
      </w:pPr>
      <w:r>
        <w:rPr>
          <w:rFonts w:asciiTheme="minorHAnsi" w:hAnsiTheme="minorHAnsi" w:cstheme="minorHAnsi"/>
        </w:rPr>
        <w:t>After 2020, the adjustments that achieved the 2020 target are left in place and total emissions grow at approximately the same rate as Government emissions projections. The model generates a lower share of abatement from energy after 2020</w:t>
      </w:r>
      <w:r w:rsidR="004D5631">
        <w:rPr>
          <w:rFonts w:asciiTheme="minorHAnsi" w:hAnsiTheme="minorHAnsi" w:cstheme="minorHAnsi"/>
        </w:rPr>
        <w:t xml:space="preserve">, and </w:t>
      </w:r>
      <w:r>
        <w:rPr>
          <w:rFonts w:asciiTheme="minorHAnsi" w:hAnsiTheme="minorHAnsi" w:cstheme="minorHAnsi"/>
        </w:rPr>
        <w:t xml:space="preserve"> averages around 80 per cent </w:t>
      </w:r>
      <w:r w:rsidR="004D5631">
        <w:rPr>
          <w:rFonts w:asciiTheme="minorHAnsi" w:hAnsiTheme="minorHAnsi" w:cstheme="minorHAnsi"/>
        </w:rPr>
        <w:t xml:space="preserve">of total abatement </w:t>
      </w:r>
      <w:r>
        <w:rPr>
          <w:rFonts w:asciiTheme="minorHAnsi" w:hAnsiTheme="minorHAnsi" w:cstheme="minorHAnsi"/>
        </w:rPr>
        <w:t xml:space="preserve">over 2020 to 2030 (assuming that </w:t>
      </w:r>
      <w:r w:rsidR="007370E7">
        <w:rPr>
          <w:rFonts w:asciiTheme="minorHAnsi" w:hAnsiTheme="minorHAnsi" w:cstheme="minorHAnsi"/>
        </w:rPr>
        <w:t xml:space="preserve">the </w:t>
      </w:r>
      <w:r>
        <w:rPr>
          <w:rFonts w:asciiTheme="minorHAnsi" w:hAnsiTheme="minorHAnsi" w:cstheme="minorHAnsi"/>
        </w:rPr>
        <w:t>abatement task is held constant at 126 Mt CO</w:t>
      </w:r>
      <w:r>
        <w:rPr>
          <w:rFonts w:asciiTheme="minorHAnsi" w:hAnsiTheme="minorHAnsi" w:cstheme="minorHAnsi"/>
          <w:vertAlign w:val="subscript"/>
        </w:rPr>
        <w:t>2</w:t>
      </w:r>
      <w:r>
        <w:rPr>
          <w:rFonts w:asciiTheme="minorHAnsi" w:hAnsiTheme="minorHAnsi" w:cstheme="minorHAnsi"/>
        </w:rPr>
        <w:t>-e in 2030).</w:t>
      </w:r>
    </w:p>
    <w:p w:rsidR="00D10E06" w:rsidRPr="00D10E06" w:rsidRDefault="00D10E06" w:rsidP="00BF7A32">
      <w:pPr>
        <w:spacing w:after="100" w:afterAutospacing="1"/>
        <w:rPr>
          <w:rFonts w:asciiTheme="minorHAnsi" w:hAnsiTheme="minorHAnsi" w:cstheme="minorHAnsi"/>
        </w:rPr>
      </w:pPr>
      <w:r w:rsidRPr="00D10E06">
        <w:rPr>
          <w:rFonts w:asciiTheme="minorHAnsi" w:hAnsiTheme="minorHAnsi" w:cstheme="minorHAnsi"/>
        </w:rPr>
        <w:t xml:space="preserve">The technical modelling assumption that Australia does not take on any additional polices or </w:t>
      </w:r>
      <w:r w:rsidR="008A1F97">
        <w:rPr>
          <w:rFonts w:asciiTheme="minorHAnsi" w:hAnsiTheme="minorHAnsi" w:cstheme="minorHAnsi"/>
        </w:rPr>
        <w:t>p</w:t>
      </w:r>
      <w:r w:rsidRPr="00D10E06">
        <w:rPr>
          <w:rFonts w:asciiTheme="minorHAnsi" w:hAnsiTheme="minorHAnsi" w:cstheme="minorHAnsi"/>
        </w:rPr>
        <w:t xml:space="preserve">ost-2020 target allows the </w:t>
      </w:r>
      <w:r w:rsidR="003343C9">
        <w:rPr>
          <w:rFonts w:asciiTheme="minorHAnsi" w:hAnsiTheme="minorHAnsi" w:cstheme="minorHAnsi"/>
        </w:rPr>
        <w:t>modelling</w:t>
      </w:r>
      <w:r w:rsidR="003343C9" w:rsidRPr="00D10E06">
        <w:rPr>
          <w:rFonts w:asciiTheme="minorHAnsi" w:hAnsiTheme="minorHAnsi" w:cstheme="minorHAnsi"/>
        </w:rPr>
        <w:t xml:space="preserve"> </w:t>
      </w:r>
      <w:r w:rsidRPr="00D10E06">
        <w:rPr>
          <w:rFonts w:asciiTheme="minorHAnsi" w:hAnsiTheme="minorHAnsi" w:cstheme="minorHAnsi"/>
        </w:rPr>
        <w:t>to assess the impacts of international action on Australia, without conflating these impacts with the effects of domestic policy action. The resulting projections of Australian energy sector CO</w:t>
      </w:r>
      <w:r w:rsidRPr="00D10E06">
        <w:rPr>
          <w:rFonts w:asciiTheme="minorHAnsi" w:hAnsiTheme="minorHAnsi" w:cstheme="minorHAnsi"/>
          <w:vertAlign w:val="subscript"/>
        </w:rPr>
        <w:t>2</w:t>
      </w:r>
      <w:r w:rsidRPr="00D10E06">
        <w:rPr>
          <w:rFonts w:asciiTheme="minorHAnsi" w:hAnsiTheme="minorHAnsi" w:cstheme="minorHAnsi"/>
        </w:rPr>
        <w:t xml:space="preserve"> emissions to 2030 are shown in </w:t>
      </w:r>
      <w:r w:rsidRPr="00BF7A32">
        <w:rPr>
          <w:rFonts w:asciiTheme="minorHAnsi" w:hAnsiTheme="minorHAnsi" w:cstheme="minorHAnsi"/>
        </w:rPr>
        <w:t xml:space="preserve">Figure </w:t>
      </w:r>
      <w:r w:rsidR="003E6F20" w:rsidRPr="00BF7A32">
        <w:rPr>
          <w:rFonts w:asciiTheme="minorHAnsi" w:hAnsiTheme="minorHAnsi" w:cstheme="minorHAnsi"/>
        </w:rPr>
        <w:t>1</w:t>
      </w:r>
      <w:r w:rsidRPr="00D10E06">
        <w:rPr>
          <w:rFonts w:asciiTheme="minorHAnsi" w:hAnsiTheme="minorHAnsi" w:cstheme="minorHAnsi"/>
        </w:rPr>
        <w:t xml:space="preserve">. </w:t>
      </w:r>
    </w:p>
    <w:p w:rsidR="00797CFB" w:rsidRDefault="00797CFB" w:rsidP="00797CFB">
      <w:pPr>
        <w:pStyle w:val="ListParagraph"/>
        <w:spacing w:after="100" w:afterAutospacing="1"/>
        <w:ind w:left="0"/>
        <w:contextualSpacing w:val="0"/>
        <w:rPr>
          <w:rFonts w:asciiTheme="minorHAnsi" w:hAnsiTheme="minorHAnsi" w:cstheme="minorHAnsi"/>
        </w:rPr>
      </w:pPr>
      <w:r>
        <w:rPr>
          <w:rFonts w:asciiTheme="minorHAnsi" w:hAnsiTheme="minorHAnsi" w:cstheme="minorHAnsi"/>
        </w:rPr>
        <w:t xml:space="preserve">The modelling </w:t>
      </w:r>
      <w:r w:rsidRPr="002470EE">
        <w:rPr>
          <w:rFonts w:asciiTheme="minorHAnsi" w:hAnsiTheme="minorHAnsi" w:cstheme="minorHAnsi"/>
        </w:rPr>
        <w:t xml:space="preserve">assumes that </w:t>
      </w:r>
      <w:r w:rsidR="00125237">
        <w:rPr>
          <w:rFonts w:asciiTheme="minorHAnsi" w:hAnsiTheme="minorHAnsi" w:cstheme="minorHAnsi"/>
        </w:rPr>
        <w:t>non-energy</w:t>
      </w:r>
      <w:r w:rsidRPr="002470EE">
        <w:rPr>
          <w:rFonts w:asciiTheme="minorHAnsi" w:hAnsiTheme="minorHAnsi" w:cstheme="minorHAnsi"/>
        </w:rPr>
        <w:t xml:space="preserve"> abatement is achieved through a combination of carryover from the Kyoto period, undershoot (where emissions are below the target level before 2015), and non-energy abatement from the </w:t>
      </w:r>
      <w:r>
        <w:rPr>
          <w:rFonts w:asciiTheme="minorHAnsi" w:hAnsiTheme="minorHAnsi" w:cstheme="minorHAnsi"/>
        </w:rPr>
        <w:t xml:space="preserve">Emissions Reduction Fund </w:t>
      </w:r>
      <w:r w:rsidRPr="002470EE">
        <w:rPr>
          <w:rFonts w:asciiTheme="minorHAnsi" w:hAnsiTheme="minorHAnsi" w:cstheme="minorHAnsi"/>
        </w:rPr>
        <w:t>and complementary measures. The proposed approach is consistent with assuming that carryover is fully utilised by the end of 2020.</w:t>
      </w:r>
    </w:p>
    <w:p w:rsidR="00797CFB" w:rsidRDefault="00797CFB" w:rsidP="00797CFB">
      <w:pPr>
        <w:pStyle w:val="ListParagraph"/>
        <w:spacing w:after="100" w:afterAutospacing="1"/>
        <w:ind w:left="0"/>
        <w:contextualSpacing w:val="0"/>
        <w:rPr>
          <w:rFonts w:asciiTheme="minorHAnsi" w:hAnsiTheme="minorHAnsi" w:cstheme="minorHAnsi"/>
        </w:rPr>
      </w:pPr>
      <w:r w:rsidRPr="002470EE">
        <w:rPr>
          <w:rFonts w:asciiTheme="minorHAnsi" w:hAnsiTheme="minorHAnsi" w:cstheme="minorHAnsi"/>
        </w:rPr>
        <w:t>In determining the approach to modelling Australia</w:t>
      </w:r>
      <w:r>
        <w:rPr>
          <w:rFonts w:asciiTheme="minorHAnsi" w:hAnsiTheme="minorHAnsi" w:cstheme="minorHAnsi"/>
        </w:rPr>
        <w:t>n</w:t>
      </w:r>
      <w:r w:rsidRPr="002470EE">
        <w:rPr>
          <w:rFonts w:asciiTheme="minorHAnsi" w:hAnsiTheme="minorHAnsi" w:cstheme="minorHAnsi"/>
        </w:rPr>
        <w:t xml:space="preserve"> policy, consideration was given to assessing the impacts of the </w:t>
      </w:r>
      <w:r>
        <w:rPr>
          <w:rFonts w:asciiTheme="minorHAnsi" w:hAnsiTheme="minorHAnsi" w:cstheme="minorHAnsi"/>
        </w:rPr>
        <w:t xml:space="preserve">Emissions Reduction Fund </w:t>
      </w:r>
      <w:r w:rsidRPr="002470EE">
        <w:rPr>
          <w:rFonts w:asciiTheme="minorHAnsi" w:hAnsiTheme="minorHAnsi" w:cstheme="minorHAnsi"/>
        </w:rPr>
        <w:t xml:space="preserve">by implementing a subsidy to sectors undertaking abatement to offset the resource cost, and seeking to limit </w:t>
      </w:r>
      <w:r w:rsidRPr="002470EE">
        <w:rPr>
          <w:rFonts w:asciiTheme="minorHAnsi" w:hAnsiTheme="minorHAnsi" w:cstheme="minorHAnsi"/>
        </w:rPr>
        <w:lastRenderedPageBreak/>
        <w:t>cost pass through in downstream prices. </w:t>
      </w:r>
      <w:r>
        <w:rPr>
          <w:rFonts w:asciiTheme="minorHAnsi" w:hAnsiTheme="minorHAnsi" w:cstheme="minorHAnsi"/>
        </w:rPr>
        <w:t>On balance, h</w:t>
      </w:r>
      <w:r w:rsidRPr="002470EE">
        <w:rPr>
          <w:rFonts w:asciiTheme="minorHAnsi" w:hAnsiTheme="minorHAnsi" w:cstheme="minorHAnsi"/>
        </w:rPr>
        <w:t xml:space="preserve">owever, </w:t>
      </w:r>
      <w:r>
        <w:rPr>
          <w:rFonts w:asciiTheme="minorHAnsi" w:hAnsiTheme="minorHAnsi" w:cstheme="minorHAnsi"/>
        </w:rPr>
        <w:t xml:space="preserve">it was considered </w:t>
      </w:r>
      <w:r w:rsidRPr="002470EE">
        <w:rPr>
          <w:rFonts w:asciiTheme="minorHAnsi" w:hAnsiTheme="minorHAnsi" w:cstheme="minorHAnsi"/>
        </w:rPr>
        <w:t xml:space="preserve">this approach would add unnecessary complexity and would </w:t>
      </w:r>
      <w:r>
        <w:rPr>
          <w:rFonts w:asciiTheme="minorHAnsi" w:hAnsiTheme="minorHAnsi" w:cstheme="minorHAnsi"/>
        </w:rPr>
        <w:t xml:space="preserve">not be </w:t>
      </w:r>
      <w:r w:rsidRPr="002470EE">
        <w:rPr>
          <w:rFonts w:asciiTheme="minorHAnsi" w:hAnsiTheme="minorHAnsi" w:cstheme="minorHAnsi"/>
        </w:rPr>
        <w:t>expect</w:t>
      </w:r>
      <w:r>
        <w:rPr>
          <w:rFonts w:asciiTheme="minorHAnsi" w:hAnsiTheme="minorHAnsi" w:cstheme="minorHAnsi"/>
        </w:rPr>
        <w:t>ed</w:t>
      </w:r>
      <w:r w:rsidRPr="002470EE">
        <w:rPr>
          <w:rFonts w:asciiTheme="minorHAnsi" w:hAnsiTheme="minorHAnsi" w:cstheme="minorHAnsi"/>
        </w:rPr>
        <w:t xml:space="preserve"> </w:t>
      </w:r>
      <w:r>
        <w:rPr>
          <w:rFonts w:asciiTheme="minorHAnsi" w:hAnsiTheme="minorHAnsi" w:cstheme="minorHAnsi"/>
        </w:rPr>
        <w:t xml:space="preserve">to </w:t>
      </w:r>
      <w:r w:rsidRPr="002470EE">
        <w:rPr>
          <w:rFonts w:asciiTheme="minorHAnsi" w:hAnsiTheme="minorHAnsi" w:cstheme="minorHAnsi"/>
        </w:rPr>
        <w:t>have a material impact on the core issues being assessed.</w:t>
      </w:r>
    </w:p>
    <w:p w:rsidR="00BE0AE6" w:rsidRPr="00C32F93" w:rsidRDefault="00BE0AE6" w:rsidP="00AF2688">
      <w:pPr>
        <w:keepNext/>
        <w:spacing w:before="240" w:after="120"/>
        <w:rPr>
          <w:rFonts w:asciiTheme="minorHAnsi" w:hAnsiTheme="minorHAnsi" w:cstheme="minorHAnsi"/>
          <w:color w:val="4F81BD" w:themeColor="accent1"/>
          <w:vertAlign w:val="subscript"/>
        </w:rPr>
      </w:pPr>
      <w:r w:rsidRPr="00C32F93">
        <w:rPr>
          <w:rFonts w:asciiTheme="minorHAnsi" w:hAnsiTheme="minorHAnsi" w:cstheme="minorHAnsi"/>
          <w:b/>
          <w:color w:val="4F81BD" w:themeColor="accent1"/>
        </w:rPr>
        <w:t>Figure 1:</w:t>
      </w:r>
      <w:r w:rsidRPr="00C32F93">
        <w:rPr>
          <w:rFonts w:asciiTheme="minorHAnsi" w:hAnsiTheme="minorHAnsi" w:cstheme="minorHAnsi"/>
          <w:color w:val="4F81BD" w:themeColor="accent1"/>
        </w:rPr>
        <w:t xml:space="preserve"> Australian energy sector emissions, Current Policies and Paris </w:t>
      </w:r>
      <w:r w:rsidR="00F83103" w:rsidRPr="00C32F93">
        <w:rPr>
          <w:rFonts w:asciiTheme="minorHAnsi" w:hAnsiTheme="minorHAnsi" w:cstheme="minorHAnsi"/>
          <w:color w:val="4F81BD" w:themeColor="accent1"/>
        </w:rPr>
        <w:t>Scenarios</w:t>
      </w:r>
      <w:r w:rsidRPr="00C32F93">
        <w:rPr>
          <w:rFonts w:asciiTheme="minorHAnsi" w:hAnsiTheme="minorHAnsi" w:cstheme="minorHAnsi"/>
          <w:color w:val="4F81BD" w:themeColor="accent1"/>
        </w:rPr>
        <w:t>, 2000 to 2030, (Mt CO</w:t>
      </w:r>
      <w:r w:rsidRPr="00C32F93">
        <w:rPr>
          <w:rFonts w:asciiTheme="minorHAnsi" w:hAnsiTheme="minorHAnsi" w:cstheme="minorHAnsi"/>
          <w:color w:val="4F81BD" w:themeColor="accent1"/>
          <w:vertAlign w:val="subscript"/>
        </w:rPr>
        <w:t>2</w:t>
      </w:r>
      <w:r w:rsidRPr="00C32F93">
        <w:rPr>
          <w:rFonts w:asciiTheme="minorHAnsi" w:hAnsiTheme="minorHAnsi" w:cstheme="minorHAnsi"/>
          <w:color w:val="4F81BD" w:themeColor="accent1"/>
        </w:rPr>
        <w:t>-e)*</w:t>
      </w:r>
      <w:r w:rsidRPr="00C32F93">
        <w:rPr>
          <w:rFonts w:asciiTheme="minorHAnsi" w:hAnsiTheme="minorHAnsi" w:cstheme="minorHAnsi"/>
          <w:color w:val="4F81BD" w:themeColor="accent1"/>
          <w:vertAlign w:val="superscript"/>
        </w:rPr>
        <w:t>1,2</w:t>
      </w:r>
    </w:p>
    <w:p w:rsidR="00BE0AE6" w:rsidRDefault="00075CEE" w:rsidP="00AD0204">
      <w:pPr>
        <w:keepNext/>
        <w:spacing w:before="240" w:after="120"/>
        <w:ind w:left="-567" w:right="-908"/>
        <w:rPr>
          <w:rFonts w:asciiTheme="minorHAnsi" w:hAnsiTheme="minorHAnsi" w:cstheme="minorHAnsi"/>
          <w:b/>
        </w:rPr>
      </w:pPr>
      <w:r w:rsidRPr="00075CEE">
        <w:rPr>
          <w:noProof/>
          <w:lang w:eastAsia="en-AU"/>
        </w:rPr>
        <w:drawing>
          <wp:inline distT="0" distB="0" distL="0" distR="0" wp14:anchorId="3A65C246" wp14:editId="6CDAD3F7">
            <wp:extent cx="5274310" cy="2525583"/>
            <wp:effectExtent l="0" t="0" r="2540" b="8255"/>
            <wp:docPr id="5" name="Picture 5" descr="This chart tracks Australia's energy sector emissions. Historical emissions start at 324 Mt CO2-e in 2000, grow to 382 Mt CO2-e in 2009 and then fall to 365 CO2-e in 2014. Energy emissions without the Emissions Reduction Fund then increase to 468 CO2-e in 2030.&#10;Under the Current Policies Scenario, energy sector emissions fall to 308 Mt CO2-e in 2020 and then increase to 376 Mt CO2-e in 2030. Under the Paris Scenario, energy sector emissions fall to 307 Mt CO2-e in 2020 and then increase to 375 Mt CO2-e in 2030." title="Figure 1: Australian energy sector emissions, Current Policies and Paris Scenarios, 2000 to 2030, (Mt CO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525583"/>
                    </a:xfrm>
                    <a:prstGeom prst="rect">
                      <a:avLst/>
                    </a:prstGeom>
                  </pic:spPr>
                </pic:pic>
              </a:graphicData>
            </a:graphic>
          </wp:inline>
        </w:drawing>
      </w:r>
    </w:p>
    <w:p w:rsidR="004751BC" w:rsidRPr="00BF39AB" w:rsidRDefault="004751BC" w:rsidP="00AF2688">
      <w:pPr>
        <w:keepNext/>
        <w:spacing w:after="60"/>
        <w:rPr>
          <w:rFonts w:asciiTheme="minorHAnsi" w:hAnsiTheme="minorHAnsi" w:cstheme="minorHAnsi"/>
          <w:i/>
          <w:color w:val="4F81BD" w:themeColor="accent1"/>
          <w:sz w:val="18"/>
        </w:rPr>
      </w:pPr>
      <w:r w:rsidRPr="00BF39AB">
        <w:rPr>
          <w:rFonts w:asciiTheme="minorHAnsi" w:hAnsiTheme="minorHAnsi" w:cstheme="minorHAnsi"/>
          <w:i/>
          <w:color w:val="4F81BD" w:themeColor="accent1"/>
          <w:sz w:val="18"/>
        </w:rPr>
        <w:t>* Million tonnes of carbon dioxide</w:t>
      </w:r>
      <w:r w:rsidR="003E6F20" w:rsidRPr="00BF39AB">
        <w:rPr>
          <w:rFonts w:asciiTheme="minorHAnsi" w:hAnsiTheme="minorHAnsi" w:cstheme="minorHAnsi"/>
          <w:i/>
          <w:color w:val="4F81BD" w:themeColor="accent1"/>
          <w:sz w:val="18"/>
        </w:rPr>
        <w:t xml:space="preserve"> equivalent</w:t>
      </w:r>
    </w:p>
    <w:p w:rsidR="00BE0AE6" w:rsidRPr="00BF39AB" w:rsidRDefault="00BE0AE6" w:rsidP="00AF2688">
      <w:pPr>
        <w:pStyle w:val="ListParagraph"/>
        <w:keepNext/>
        <w:spacing w:after="60"/>
        <w:ind w:left="0"/>
        <w:contextualSpacing w:val="0"/>
        <w:rPr>
          <w:rFonts w:asciiTheme="minorHAnsi" w:hAnsiTheme="minorHAnsi" w:cstheme="minorHAnsi"/>
          <w:i/>
          <w:color w:val="4F81BD" w:themeColor="accent1"/>
          <w:sz w:val="18"/>
        </w:rPr>
      </w:pPr>
      <w:r w:rsidRPr="00BF39AB">
        <w:rPr>
          <w:rFonts w:asciiTheme="minorHAnsi" w:hAnsiTheme="minorHAnsi" w:cstheme="minorHAnsi"/>
          <w:i/>
          <w:color w:val="4F81BD" w:themeColor="accent1"/>
          <w:sz w:val="18"/>
        </w:rPr>
        <w:t xml:space="preserve">1. </w:t>
      </w:r>
      <w:r w:rsidR="004751BC" w:rsidRPr="00BF39AB">
        <w:rPr>
          <w:rFonts w:asciiTheme="minorHAnsi" w:hAnsiTheme="minorHAnsi" w:cstheme="minorHAnsi"/>
          <w:i/>
          <w:color w:val="4F81BD" w:themeColor="accent1"/>
          <w:sz w:val="18"/>
        </w:rPr>
        <w:t>Because Australian emissions are virtually identical with and without the new post-2020 commitments, emissions for the Current Policies Scenario are shown as a solid line and those for the Paris Scenario as a series of line markers.</w:t>
      </w:r>
    </w:p>
    <w:p w:rsidR="004751BC" w:rsidRPr="00BF39AB" w:rsidRDefault="00BE0AE6" w:rsidP="00AF2688">
      <w:pPr>
        <w:pStyle w:val="ListParagraph"/>
        <w:keepNext/>
        <w:spacing w:after="60"/>
        <w:ind w:left="0"/>
        <w:contextualSpacing w:val="0"/>
        <w:rPr>
          <w:rFonts w:asciiTheme="minorHAnsi" w:hAnsiTheme="minorHAnsi" w:cstheme="minorHAnsi"/>
          <w:i/>
          <w:color w:val="4F81BD" w:themeColor="accent1"/>
          <w:sz w:val="18"/>
        </w:rPr>
      </w:pPr>
      <w:r w:rsidRPr="00BF39AB">
        <w:rPr>
          <w:rFonts w:asciiTheme="minorHAnsi" w:hAnsiTheme="minorHAnsi" w:cstheme="minorHAnsi"/>
          <w:i/>
          <w:color w:val="4F81BD" w:themeColor="accent1"/>
          <w:sz w:val="18"/>
        </w:rPr>
        <w:t xml:space="preserve">2. </w:t>
      </w:r>
      <w:r w:rsidR="003E6F20" w:rsidRPr="00BF39AB">
        <w:rPr>
          <w:rFonts w:asciiTheme="minorHAnsi" w:hAnsiTheme="minorHAnsi" w:cstheme="minorHAnsi"/>
          <w:i/>
          <w:color w:val="4F81BD" w:themeColor="accent1"/>
          <w:sz w:val="18"/>
        </w:rPr>
        <w:t xml:space="preserve">The </w:t>
      </w:r>
      <w:r w:rsidR="001B6E3D" w:rsidRPr="00BF39AB">
        <w:rPr>
          <w:rFonts w:asciiTheme="minorHAnsi" w:hAnsiTheme="minorHAnsi" w:cstheme="minorHAnsi"/>
          <w:i/>
          <w:color w:val="4F81BD" w:themeColor="accent1"/>
          <w:sz w:val="18"/>
        </w:rPr>
        <w:t xml:space="preserve">dotted line </w:t>
      </w:r>
      <w:r w:rsidR="003E6F20" w:rsidRPr="00BF39AB">
        <w:rPr>
          <w:rFonts w:asciiTheme="minorHAnsi" w:hAnsiTheme="minorHAnsi" w:cstheme="minorHAnsi"/>
          <w:i/>
          <w:color w:val="4F81BD" w:themeColor="accent1"/>
          <w:sz w:val="18"/>
        </w:rPr>
        <w:t xml:space="preserve">projections do not include the impact of the Emissions Reduction Fund </w:t>
      </w:r>
      <w:r w:rsidRPr="00BF39AB">
        <w:rPr>
          <w:rFonts w:asciiTheme="minorHAnsi" w:hAnsiTheme="minorHAnsi" w:cstheme="minorHAnsi"/>
          <w:i/>
          <w:color w:val="4F81BD" w:themeColor="accent1"/>
          <w:sz w:val="18"/>
        </w:rPr>
        <w:t>(ERF)</w:t>
      </w:r>
      <w:r w:rsidR="003343C9" w:rsidRPr="00BF39AB">
        <w:rPr>
          <w:rFonts w:asciiTheme="minorHAnsi" w:hAnsiTheme="minorHAnsi" w:cstheme="minorHAnsi"/>
          <w:i/>
          <w:color w:val="4F81BD" w:themeColor="accent1"/>
          <w:sz w:val="18"/>
        </w:rPr>
        <w:t>,</w:t>
      </w:r>
      <w:r w:rsidRPr="00BF39AB">
        <w:rPr>
          <w:rFonts w:asciiTheme="minorHAnsi" w:hAnsiTheme="minorHAnsi" w:cstheme="minorHAnsi"/>
          <w:i/>
          <w:color w:val="4F81BD" w:themeColor="accent1"/>
          <w:sz w:val="18"/>
        </w:rPr>
        <w:t xml:space="preserve"> </w:t>
      </w:r>
      <w:r w:rsidR="003E6F20" w:rsidRPr="00BF39AB">
        <w:rPr>
          <w:rFonts w:asciiTheme="minorHAnsi" w:hAnsiTheme="minorHAnsi" w:cstheme="minorHAnsi"/>
          <w:i/>
          <w:color w:val="4F81BD" w:themeColor="accent1"/>
          <w:sz w:val="18"/>
        </w:rPr>
        <w:t>complementary measures</w:t>
      </w:r>
      <w:r w:rsidR="001B6E3D" w:rsidRPr="00BF39AB">
        <w:rPr>
          <w:rFonts w:asciiTheme="minorHAnsi" w:hAnsiTheme="minorHAnsi" w:cstheme="minorHAnsi"/>
          <w:i/>
          <w:color w:val="4F81BD" w:themeColor="accent1"/>
          <w:sz w:val="18"/>
        </w:rPr>
        <w:t xml:space="preserve"> or any carryover from the Kyoto commitment period</w:t>
      </w:r>
      <w:r w:rsidR="003E6F20" w:rsidRPr="00BF39AB">
        <w:rPr>
          <w:rFonts w:asciiTheme="minorHAnsi" w:hAnsiTheme="minorHAnsi" w:cstheme="minorHAnsi"/>
          <w:i/>
          <w:color w:val="4F81BD" w:themeColor="accent1"/>
          <w:sz w:val="18"/>
        </w:rPr>
        <w:t>.</w:t>
      </w:r>
    </w:p>
    <w:p w:rsidR="004751BC" w:rsidRPr="00BF39AB" w:rsidRDefault="004751BC" w:rsidP="00BF7A32">
      <w:pPr>
        <w:pStyle w:val="ListParagraph"/>
        <w:spacing w:after="60"/>
        <w:ind w:left="0"/>
        <w:contextualSpacing w:val="0"/>
        <w:rPr>
          <w:rFonts w:asciiTheme="minorHAnsi" w:hAnsiTheme="minorHAnsi" w:cstheme="minorHAnsi"/>
          <w:i/>
          <w:color w:val="4F81BD" w:themeColor="accent1"/>
          <w:sz w:val="18"/>
        </w:rPr>
      </w:pPr>
      <w:r w:rsidRPr="00BF39AB">
        <w:rPr>
          <w:rFonts w:asciiTheme="minorHAnsi" w:hAnsiTheme="minorHAnsi" w:cstheme="minorHAnsi"/>
          <w:i/>
          <w:color w:val="4F81BD" w:themeColor="accent1"/>
          <w:sz w:val="18"/>
        </w:rPr>
        <w:t>Source:</w:t>
      </w:r>
      <w:r w:rsidRPr="00BF39AB">
        <w:rPr>
          <w:color w:val="4F81BD" w:themeColor="accent1"/>
        </w:rPr>
        <w:t xml:space="preserve"> </w:t>
      </w:r>
      <w:r w:rsidRPr="00BF39AB">
        <w:rPr>
          <w:rFonts w:asciiTheme="minorHAnsi" w:hAnsiTheme="minorHAnsi" w:cstheme="minorHAnsi"/>
          <w:i/>
          <w:color w:val="4F81BD" w:themeColor="accent1"/>
          <w:sz w:val="18"/>
        </w:rPr>
        <w:t xml:space="preserve">Project modelling and Australia’s emissions projections 2014-15 </w:t>
      </w:r>
      <w:r w:rsidR="004650A6" w:rsidRPr="00BF39AB">
        <w:rPr>
          <w:rFonts w:asciiTheme="minorHAnsi" w:hAnsiTheme="minorHAnsi" w:cstheme="minorHAnsi"/>
          <w:i/>
          <w:color w:val="4F81BD" w:themeColor="accent1"/>
          <w:sz w:val="18"/>
        </w:rPr>
        <w:t>(Department</w:t>
      </w:r>
      <w:r w:rsidRPr="00BF39AB">
        <w:rPr>
          <w:rFonts w:asciiTheme="minorHAnsi" w:hAnsiTheme="minorHAnsi" w:cstheme="minorHAnsi"/>
          <w:i/>
          <w:color w:val="4F81BD" w:themeColor="accent1"/>
          <w:sz w:val="18"/>
        </w:rPr>
        <w:t xml:space="preserve"> of the Environment, 2015).</w:t>
      </w:r>
    </w:p>
    <w:p w:rsidR="008A1F97" w:rsidRPr="00CF367C" w:rsidRDefault="008A1F97" w:rsidP="00D10E06">
      <w:pPr>
        <w:pStyle w:val="ListParagraph"/>
        <w:ind w:left="0"/>
        <w:rPr>
          <w:rFonts w:asciiTheme="minorHAnsi" w:hAnsiTheme="minorHAnsi" w:cstheme="minorHAnsi"/>
          <w:i/>
        </w:rPr>
      </w:pPr>
    </w:p>
    <w:p w:rsidR="00C11F09" w:rsidRPr="00BF39AB" w:rsidRDefault="00C11F09" w:rsidP="00BF7A32">
      <w:pPr>
        <w:pStyle w:val="ListParagraph"/>
        <w:spacing w:after="120"/>
        <w:ind w:left="0"/>
        <w:contextualSpacing w:val="0"/>
        <w:rPr>
          <w:rFonts w:asciiTheme="minorHAnsi" w:hAnsiTheme="minorHAnsi" w:cstheme="minorHAnsi"/>
          <w:b/>
          <w:color w:val="996633"/>
        </w:rPr>
      </w:pPr>
      <w:r w:rsidRPr="00BF39AB">
        <w:rPr>
          <w:rFonts w:asciiTheme="minorHAnsi" w:hAnsiTheme="minorHAnsi" w:cstheme="minorHAnsi"/>
          <w:b/>
          <w:color w:val="996633"/>
        </w:rPr>
        <w:t>United States</w:t>
      </w:r>
    </w:p>
    <w:p w:rsidR="001C10C7" w:rsidRPr="00BF39AB" w:rsidRDefault="001C10C7" w:rsidP="00BF7A32">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Target and policy assumptions</w:t>
      </w:r>
      <w:r w:rsidR="007370E7">
        <w:rPr>
          <w:rFonts w:asciiTheme="minorHAnsi" w:hAnsiTheme="minorHAnsi" w:cstheme="minorHAnsi"/>
          <w:i/>
          <w:color w:val="996633"/>
        </w:rPr>
        <w:t>,</w:t>
      </w:r>
      <w:r w:rsidR="00E543BF">
        <w:rPr>
          <w:rFonts w:asciiTheme="minorHAnsi" w:hAnsiTheme="minorHAnsi" w:cstheme="minorHAnsi"/>
          <w:i/>
          <w:color w:val="996633"/>
        </w:rPr>
        <w:t xml:space="preserve"> and model implementation</w:t>
      </w:r>
    </w:p>
    <w:p w:rsidR="00531CD0" w:rsidRDefault="00531CD0" w:rsidP="00BF7A32">
      <w:pPr>
        <w:spacing w:after="100" w:afterAutospacing="1"/>
        <w:rPr>
          <w:rFonts w:asciiTheme="minorHAnsi" w:hAnsiTheme="minorHAnsi" w:cstheme="minorHAnsi"/>
        </w:rPr>
      </w:pPr>
      <w:r w:rsidRPr="00BC1A26">
        <w:rPr>
          <w:rFonts w:asciiTheme="minorHAnsi" w:hAnsiTheme="minorHAnsi" w:cstheme="minorHAnsi"/>
        </w:rPr>
        <w:t>The US has announced it will reduce greenhouse gas emissions by 26-28 per cent below 2005 levels in 2025</w:t>
      </w:r>
      <w:r w:rsidR="00D77BE7">
        <w:rPr>
          <w:rFonts w:asciiTheme="minorHAnsi" w:hAnsiTheme="minorHAnsi" w:cstheme="minorHAnsi"/>
        </w:rPr>
        <w:t>,</w:t>
      </w:r>
      <w:r w:rsidRPr="00BC1A26">
        <w:rPr>
          <w:rFonts w:asciiTheme="minorHAnsi" w:hAnsiTheme="minorHAnsi" w:cstheme="minorHAnsi"/>
        </w:rPr>
        <w:t xml:space="preserve"> and in the range of 17 per cent below 2005 levels in 2020.</w:t>
      </w:r>
      <w:r w:rsidR="00BC1A26" w:rsidRPr="00BC1A26">
        <w:rPr>
          <w:rFonts w:asciiTheme="minorHAnsi" w:hAnsiTheme="minorHAnsi" w:cstheme="minorHAnsi"/>
        </w:rPr>
        <w:t xml:space="preserve"> </w:t>
      </w:r>
      <w:r w:rsidR="00D77BE7">
        <w:rPr>
          <w:rFonts w:asciiTheme="minorHAnsi" w:hAnsiTheme="minorHAnsi" w:cstheme="minorHAnsi"/>
        </w:rPr>
        <w:t xml:space="preserve">The US is considered on track to achieve its 2020 target. </w:t>
      </w:r>
      <w:r w:rsidRPr="00BC1A26">
        <w:rPr>
          <w:rFonts w:asciiTheme="minorHAnsi" w:hAnsiTheme="minorHAnsi" w:cstheme="minorHAnsi"/>
        </w:rPr>
        <w:t xml:space="preserve">The Clean Power Plan </w:t>
      </w:r>
      <w:r w:rsidR="001C10C7">
        <w:rPr>
          <w:rFonts w:asciiTheme="minorHAnsi" w:hAnsiTheme="minorHAnsi" w:cstheme="minorHAnsi"/>
        </w:rPr>
        <w:t xml:space="preserve">is the central emission reduction policy and </w:t>
      </w:r>
      <w:r w:rsidRPr="00BC1A26">
        <w:rPr>
          <w:rFonts w:asciiTheme="minorHAnsi" w:hAnsiTheme="minorHAnsi" w:cstheme="minorHAnsi"/>
        </w:rPr>
        <w:t xml:space="preserve">requires electricity generation carbon dioxide emissions from power plants to be </w:t>
      </w:r>
      <w:r w:rsidR="006F0FF5">
        <w:rPr>
          <w:rFonts w:asciiTheme="minorHAnsi" w:hAnsiTheme="minorHAnsi" w:cstheme="minorHAnsi"/>
        </w:rPr>
        <w:t xml:space="preserve">around </w:t>
      </w:r>
      <w:r w:rsidRPr="00BC1A26">
        <w:rPr>
          <w:rFonts w:asciiTheme="minorHAnsi" w:hAnsiTheme="minorHAnsi" w:cstheme="minorHAnsi"/>
        </w:rPr>
        <w:t>30 per cent below 2005 levels by 2030.</w:t>
      </w:r>
      <w:r w:rsidR="006F0FF5">
        <w:rPr>
          <w:rStyle w:val="FootnoteReference"/>
          <w:rFonts w:asciiTheme="minorHAnsi" w:hAnsiTheme="minorHAnsi" w:cstheme="minorHAnsi"/>
        </w:rPr>
        <w:footnoteReference w:id="5"/>
      </w:r>
      <w:r w:rsidR="001C10C7">
        <w:rPr>
          <w:rFonts w:asciiTheme="minorHAnsi" w:hAnsiTheme="minorHAnsi" w:cstheme="minorHAnsi"/>
        </w:rPr>
        <w:t xml:space="preserve"> </w:t>
      </w:r>
    </w:p>
    <w:p w:rsidR="001C10C7" w:rsidRPr="001C10C7" w:rsidRDefault="001C10C7" w:rsidP="00BF7A32">
      <w:pPr>
        <w:spacing w:after="100" w:afterAutospacing="1"/>
        <w:rPr>
          <w:rFonts w:asciiTheme="minorHAnsi" w:hAnsiTheme="minorHAnsi" w:cstheme="minorHAnsi"/>
        </w:rPr>
      </w:pPr>
      <w:r w:rsidRPr="001C10C7">
        <w:rPr>
          <w:rFonts w:asciiTheme="minorHAnsi" w:hAnsiTheme="minorHAnsi" w:cstheme="minorHAnsi"/>
        </w:rPr>
        <w:t xml:space="preserve">In the </w:t>
      </w:r>
      <w:r w:rsidR="008A1F97">
        <w:rPr>
          <w:rFonts w:asciiTheme="minorHAnsi" w:hAnsiTheme="minorHAnsi" w:cstheme="minorHAnsi"/>
        </w:rPr>
        <w:t>Current Policies Scenario</w:t>
      </w:r>
      <w:r>
        <w:rPr>
          <w:rFonts w:asciiTheme="minorHAnsi" w:hAnsiTheme="minorHAnsi" w:cstheme="minorHAnsi"/>
        </w:rPr>
        <w:t xml:space="preserve"> </w:t>
      </w:r>
      <w:r w:rsidRPr="001C10C7">
        <w:rPr>
          <w:rFonts w:asciiTheme="minorHAnsi" w:hAnsiTheme="minorHAnsi" w:cstheme="minorHAnsi"/>
        </w:rPr>
        <w:t>emissions are reduced 17</w:t>
      </w:r>
      <w:r w:rsidR="004751BC" w:rsidRPr="004751BC">
        <w:rPr>
          <w:rFonts w:asciiTheme="minorHAnsi" w:hAnsiTheme="minorHAnsi" w:cstheme="minorHAnsi"/>
        </w:rPr>
        <w:t xml:space="preserve"> </w:t>
      </w:r>
      <w:r w:rsidR="004751BC">
        <w:rPr>
          <w:rFonts w:asciiTheme="minorHAnsi" w:hAnsiTheme="minorHAnsi" w:cstheme="minorHAnsi"/>
        </w:rPr>
        <w:t>per cent</w:t>
      </w:r>
      <w:r w:rsidR="004751BC" w:rsidRPr="002470EE">
        <w:rPr>
          <w:rFonts w:asciiTheme="minorHAnsi" w:hAnsiTheme="minorHAnsi" w:cstheme="minorHAnsi"/>
        </w:rPr>
        <w:t xml:space="preserve"> </w:t>
      </w:r>
      <w:r w:rsidRPr="001C10C7">
        <w:rPr>
          <w:rFonts w:asciiTheme="minorHAnsi" w:hAnsiTheme="minorHAnsi" w:cstheme="minorHAnsi"/>
        </w:rPr>
        <w:t xml:space="preserve">below 2005 levels by 2020, consistent with the US </w:t>
      </w:r>
      <w:r w:rsidR="006F0FF5">
        <w:rPr>
          <w:rFonts w:asciiTheme="minorHAnsi" w:hAnsiTheme="minorHAnsi" w:cstheme="minorHAnsi"/>
        </w:rPr>
        <w:t>2020 target</w:t>
      </w:r>
      <w:r w:rsidRPr="001C10C7">
        <w:rPr>
          <w:rFonts w:asciiTheme="minorHAnsi" w:hAnsiTheme="minorHAnsi" w:cstheme="minorHAnsi"/>
        </w:rPr>
        <w:t>, and then follow a business</w:t>
      </w:r>
      <w:r w:rsidR="006347BB">
        <w:rPr>
          <w:rFonts w:asciiTheme="minorHAnsi" w:hAnsiTheme="minorHAnsi" w:cstheme="minorHAnsi"/>
        </w:rPr>
        <w:t xml:space="preserve"> </w:t>
      </w:r>
      <w:r w:rsidRPr="001C10C7">
        <w:rPr>
          <w:rFonts w:asciiTheme="minorHAnsi" w:hAnsiTheme="minorHAnsi" w:cstheme="minorHAnsi"/>
        </w:rPr>
        <w:t>as</w:t>
      </w:r>
      <w:r w:rsidR="006347BB">
        <w:rPr>
          <w:rFonts w:asciiTheme="minorHAnsi" w:hAnsiTheme="minorHAnsi" w:cstheme="minorHAnsi"/>
        </w:rPr>
        <w:t xml:space="preserve"> </w:t>
      </w:r>
      <w:r w:rsidRPr="001C10C7">
        <w:rPr>
          <w:rFonts w:asciiTheme="minorHAnsi" w:hAnsiTheme="minorHAnsi" w:cstheme="minorHAnsi"/>
        </w:rPr>
        <w:t>usual trajectory.</w:t>
      </w:r>
      <w:r>
        <w:rPr>
          <w:rFonts w:asciiTheme="minorHAnsi" w:hAnsiTheme="minorHAnsi" w:cstheme="minorHAnsi"/>
        </w:rPr>
        <w:t xml:space="preserve"> In the </w:t>
      </w:r>
      <w:r w:rsidR="008A1F97">
        <w:rPr>
          <w:rFonts w:asciiTheme="minorHAnsi" w:hAnsiTheme="minorHAnsi" w:cstheme="minorHAnsi"/>
        </w:rPr>
        <w:t>Paris Scenario</w:t>
      </w:r>
      <w:r>
        <w:rPr>
          <w:rFonts w:asciiTheme="minorHAnsi" w:hAnsiTheme="minorHAnsi" w:cstheme="minorHAnsi"/>
        </w:rPr>
        <w:t xml:space="preserve"> emissions are reduced 27</w:t>
      </w:r>
      <w:r w:rsidR="004751BC" w:rsidRPr="004751BC">
        <w:rPr>
          <w:rFonts w:asciiTheme="minorHAnsi" w:hAnsiTheme="minorHAnsi" w:cstheme="minorHAnsi"/>
        </w:rPr>
        <w:t xml:space="preserve"> </w:t>
      </w:r>
      <w:r w:rsidR="004751BC">
        <w:rPr>
          <w:rFonts w:asciiTheme="minorHAnsi" w:hAnsiTheme="minorHAnsi" w:cstheme="minorHAnsi"/>
        </w:rPr>
        <w:t>per cent</w:t>
      </w:r>
      <w:r w:rsidR="004751BC" w:rsidRPr="002470EE">
        <w:rPr>
          <w:rFonts w:asciiTheme="minorHAnsi" w:hAnsiTheme="minorHAnsi" w:cstheme="minorHAnsi"/>
        </w:rPr>
        <w:t xml:space="preserve"> </w:t>
      </w:r>
      <w:r w:rsidRPr="00335D2D">
        <w:rPr>
          <w:rFonts w:asciiTheme="minorHAnsi" w:hAnsiTheme="minorHAnsi" w:cstheme="minorHAnsi"/>
        </w:rPr>
        <w:t xml:space="preserve">below 2005 levels by 2025, </w:t>
      </w:r>
      <w:r>
        <w:rPr>
          <w:rFonts w:asciiTheme="minorHAnsi" w:hAnsiTheme="minorHAnsi" w:cstheme="minorHAnsi"/>
        </w:rPr>
        <w:t>consistent with the US announcement to reduce emissions 26-28</w:t>
      </w:r>
      <w:r w:rsidR="004751BC" w:rsidRPr="004751BC">
        <w:rPr>
          <w:rFonts w:asciiTheme="minorHAnsi" w:hAnsiTheme="minorHAnsi" w:cstheme="minorHAnsi"/>
        </w:rPr>
        <w:t xml:space="preserve"> </w:t>
      </w:r>
      <w:r w:rsidR="004751BC">
        <w:rPr>
          <w:rFonts w:asciiTheme="minorHAnsi" w:hAnsiTheme="minorHAnsi" w:cstheme="minorHAnsi"/>
        </w:rPr>
        <w:t>per cent</w:t>
      </w:r>
      <w:r w:rsidR="004751BC" w:rsidRPr="002470EE">
        <w:rPr>
          <w:rFonts w:asciiTheme="minorHAnsi" w:hAnsiTheme="minorHAnsi" w:cstheme="minorHAnsi"/>
        </w:rPr>
        <w:t xml:space="preserve"> </w:t>
      </w:r>
      <w:r>
        <w:rPr>
          <w:rFonts w:asciiTheme="minorHAnsi" w:hAnsiTheme="minorHAnsi" w:cstheme="minorHAnsi"/>
        </w:rPr>
        <w:t xml:space="preserve">below 2005 levels by 2025. </w:t>
      </w:r>
      <w:r w:rsidRPr="001C10C7">
        <w:rPr>
          <w:rFonts w:asciiTheme="minorHAnsi" w:hAnsiTheme="minorHAnsi" w:cstheme="minorHAnsi"/>
        </w:rPr>
        <w:t xml:space="preserve">Emissions continue to fall after 2025 at the same </w:t>
      </w:r>
      <w:r>
        <w:rPr>
          <w:rFonts w:asciiTheme="minorHAnsi" w:hAnsiTheme="minorHAnsi" w:cstheme="minorHAnsi"/>
        </w:rPr>
        <w:t>rate</w:t>
      </w:r>
      <w:r w:rsidRPr="001C10C7">
        <w:rPr>
          <w:rFonts w:asciiTheme="minorHAnsi" w:hAnsiTheme="minorHAnsi" w:cstheme="minorHAnsi"/>
        </w:rPr>
        <w:t xml:space="preserve"> as the reduction required to meet this target.</w:t>
      </w:r>
      <w:r>
        <w:rPr>
          <w:rFonts w:asciiTheme="minorHAnsi" w:hAnsiTheme="minorHAnsi" w:cstheme="minorHAnsi"/>
        </w:rPr>
        <w:t xml:space="preserve"> The US meets its 2020 and 2025 targets through the energy sector</w:t>
      </w:r>
      <w:r w:rsidR="008A1F97" w:rsidRPr="008A1F97">
        <w:rPr>
          <w:rFonts w:asciiTheme="minorHAnsi" w:hAnsiTheme="minorHAnsi" w:cstheme="minorHAnsi"/>
        </w:rPr>
        <w:t xml:space="preserve"> </w:t>
      </w:r>
      <w:r w:rsidR="008A1F97">
        <w:rPr>
          <w:rFonts w:asciiTheme="minorHAnsi" w:hAnsiTheme="minorHAnsi" w:cstheme="minorHAnsi"/>
        </w:rPr>
        <w:t>(i</w:t>
      </w:r>
      <w:r w:rsidR="008A1F97" w:rsidRPr="001C10C7">
        <w:rPr>
          <w:rFonts w:asciiTheme="minorHAnsi" w:hAnsiTheme="minorHAnsi" w:cstheme="minorHAnsi"/>
        </w:rPr>
        <w:t>ncreased energy efficiency and incr</w:t>
      </w:r>
      <w:r w:rsidR="008A1F97">
        <w:rPr>
          <w:rFonts w:asciiTheme="minorHAnsi" w:hAnsiTheme="minorHAnsi" w:cstheme="minorHAnsi"/>
        </w:rPr>
        <w:t>eased use of gas and renewables)</w:t>
      </w:r>
      <w:r w:rsidR="006F0FF5">
        <w:rPr>
          <w:rFonts w:asciiTheme="minorHAnsi" w:hAnsiTheme="minorHAnsi" w:cstheme="minorHAnsi"/>
        </w:rPr>
        <w:t>,</w:t>
      </w:r>
      <w:r w:rsidR="008A1F97">
        <w:rPr>
          <w:rFonts w:asciiTheme="minorHAnsi" w:hAnsiTheme="minorHAnsi" w:cstheme="minorHAnsi"/>
        </w:rPr>
        <w:t xml:space="preserve"> </w:t>
      </w:r>
      <w:r>
        <w:rPr>
          <w:rFonts w:asciiTheme="minorHAnsi" w:hAnsiTheme="minorHAnsi" w:cstheme="minorHAnsi"/>
        </w:rPr>
        <w:t xml:space="preserve">broadly consistent with US policy. </w:t>
      </w:r>
    </w:p>
    <w:p w:rsidR="00C11F09" w:rsidRPr="00BF39AB" w:rsidRDefault="00C11F09" w:rsidP="00C11F09">
      <w:pPr>
        <w:pStyle w:val="ListParagraph"/>
        <w:spacing w:line="360" w:lineRule="auto"/>
        <w:ind w:left="0"/>
        <w:rPr>
          <w:rFonts w:asciiTheme="minorHAnsi" w:hAnsiTheme="minorHAnsi" w:cstheme="minorHAnsi"/>
          <w:b/>
          <w:color w:val="996633"/>
        </w:rPr>
      </w:pPr>
      <w:r w:rsidRPr="00BF39AB">
        <w:rPr>
          <w:rFonts w:asciiTheme="minorHAnsi" w:hAnsiTheme="minorHAnsi" w:cstheme="minorHAnsi"/>
          <w:b/>
          <w:color w:val="996633"/>
        </w:rPr>
        <w:lastRenderedPageBreak/>
        <w:t>China</w:t>
      </w:r>
    </w:p>
    <w:p w:rsidR="00E543BF" w:rsidRPr="00BF39AB" w:rsidRDefault="00E543BF" w:rsidP="00E543BF">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Target and policy assumptions</w:t>
      </w:r>
      <w:r w:rsidR="007370E7">
        <w:rPr>
          <w:rFonts w:asciiTheme="minorHAnsi" w:hAnsiTheme="minorHAnsi" w:cstheme="minorHAnsi"/>
          <w:i/>
          <w:color w:val="996633"/>
        </w:rPr>
        <w:t>,</w:t>
      </w:r>
      <w:r>
        <w:rPr>
          <w:rFonts w:asciiTheme="minorHAnsi" w:hAnsiTheme="minorHAnsi" w:cstheme="minorHAnsi"/>
          <w:i/>
          <w:color w:val="996633"/>
        </w:rPr>
        <w:t xml:space="preserve"> and model implementation</w:t>
      </w:r>
    </w:p>
    <w:p w:rsidR="00531CD0" w:rsidRPr="00334791" w:rsidRDefault="001C10C7" w:rsidP="00BF7A32">
      <w:pPr>
        <w:spacing w:after="100" w:afterAutospacing="1"/>
        <w:rPr>
          <w:rFonts w:asciiTheme="minorHAnsi" w:hAnsiTheme="minorHAnsi" w:cstheme="minorHAnsi"/>
        </w:rPr>
      </w:pPr>
      <w:r>
        <w:rPr>
          <w:rFonts w:asciiTheme="minorHAnsi" w:hAnsiTheme="minorHAnsi" w:cstheme="minorHAnsi"/>
        </w:rPr>
        <w:t xml:space="preserve">China has announced a </w:t>
      </w:r>
      <w:r w:rsidR="00531CD0" w:rsidRPr="001C10C7">
        <w:rPr>
          <w:rFonts w:asciiTheme="minorHAnsi" w:hAnsiTheme="minorHAnsi" w:cstheme="minorHAnsi"/>
        </w:rPr>
        <w:t>target to peak carbon dioxide emissions by around 2030, with the intention to try to peak earl</w:t>
      </w:r>
      <w:r w:rsidR="00780791">
        <w:rPr>
          <w:rFonts w:asciiTheme="minorHAnsi" w:hAnsiTheme="minorHAnsi" w:cstheme="minorHAnsi"/>
        </w:rPr>
        <w:t>ier</w:t>
      </w:r>
      <w:r w:rsidR="00531CD0" w:rsidRPr="001C10C7">
        <w:rPr>
          <w:rFonts w:asciiTheme="minorHAnsi" w:hAnsiTheme="minorHAnsi" w:cstheme="minorHAnsi"/>
        </w:rPr>
        <w:t>.</w:t>
      </w:r>
      <w:r>
        <w:rPr>
          <w:rFonts w:asciiTheme="minorHAnsi" w:hAnsiTheme="minorHAnsi" w:cstheme="minorHAnsi"/>
        </w:rPr>
        <w:t xml:space="preserve"> </w:t>
      </w:r>
      <w:r w:rsidR="00531CD0" w:rsidRPr="001C10C7">
        <w:rPr>
          <w:rFonts w:asciiTheme="minorHAnsi" w:hAnsiTheme="minorHAnsi" w:cstheme="minorHAnsi"/>
        </w:rPr>
        <w:t>China’s 2020 target is to reduce the carbon intensity of energy by 40-45 per cent below 2005 levels.</w:t>
      </w:r>
      <w:r w:rsidR="00D77BE7">
        <w:rPr>
          <w:rFonts w:asciiTheme="minorHAnsi" w:hAnsiTheme="minorHAnsi" w:cstheme="minorHAnsi"/>
        </w:rPr>
        <w:t xml:space="preserve"> </w:t>
      </w:r>
      <w:r w:rsidR="00531CD0" w:rsidRPr="00E8630A">
        <w:rPr>
          <w:rFonts w:asciiTheme="minorHAnsi" w:hAnsiTheme="minorHAnsi" w:cstheme="minorHAnsi"/>
        </w:rPr>
        <w:t xml:space="preserve">China is considered on track to meet this target. </w:t>
      </w:r>
      <w:r w:rsidR="00780791">
        <w:rPr>
          <w:rFonts w:asciiTheme="minorHAnsi" w:hAnsiTheme="minorHAnsi" w:cstheme="minorHAnsi"/>
        </w:rPr>
        <w:t xml:space="preserve">The 2020 target </w:t>
      </w:r>
      <w:r w:rsidR="00531CD0" w:rsidRPr="00E8630A">
        <w:rPr>
          <w:rFonts w:asciiTheme="minorHAnsi" w:hAnsiTheme="minorHAnsi" w:cstheme="minorHAnsi"/>
        </w:rPr>
        <w:t xml:space="preserve">allows China to increase emissions by around </w:t>
      </w:r>
      <w:r w:rsidR="00531CD0" w:rsidRPr="00CD4768">
        <w:rPr>
          <w:rFonts w:asciiTheme="minorHAnsi" w:hAnsiTheme="minorHAnsi" w:cstheme="minorHAnsi"/>
        </w:rPr>
        <w:t>13</w:t>
      </w:r>
      <w:r w:rsidR="00531CD0" w:rsidRPr="00E8630A">
        <w:rPr>
          <w:rFonts w:asciiTheme="minorHAnsi" w:hAnsiTheme="minorHAnsi" w:cstheme="minorHAnsi"/>
          <w:b/>
        </w:rPr>
        <w:t xml:space="preserve"> </w:t>
      </w:r>
      <w:r w:rsidR="00531CD0" w:rsidRPr="00E8630A">
        <w:rPr>
          <w:rFonts w:asciiTheme="minorHAnsi" w:hAnsiTheme="minorHAnsi" w:cstheme="minorHAnsi"/>
        </w:rPr>
        <w:t>per cent</w:t>
      </w:r>
      <w:r w:rsidR="00531CD0" w:rsidRPr="00334791">
        <w:rPr>
          <w:rFonts w:asciiTheme="minorHAnsi" w:hAnsiTheme="minorHAnsi" w:cstheme="minorHAnsi"/>
        </w:rPr>
        <w:t xml:space="preserve"> from current levels.</w:t>
      </w:r>
      <w:r w:rsidR="007B2494">
        <w:rPr>
          <w:rStyle w:val="FootnoteReference"/>
          <w:rFonts w:asciiTheme="minorHAnsi" w:hAnsiTheme="minorHAnsi" w:cstheme="minorHAnsi"/>
        </w:rPr>
        <w:footnoteReference w:id="6"/>
      </w:r>
    </w:p>
    <w:p w:rsidR="00531CD0" w:rsidRPr="00D77BE7" w:rsidRDefault="00D77BE7" w:rsidP="00BF7A32">
      <w:pPr>
        <w:spacing w:after="100" w:afterAutospacing="1"/>
        <w:rPr>
          <w:rFonts w:asciiTheme="minorHAnsi" w:hAnsiTheme="minorHAnsi" w:cstheme="minorHAnsi"/>
        </w:rPr>
      </w:pPr>
      <w:r>
        <w:rPr>
          <w:rFonts w:asciiTheme="minorHAnsi" w:hAnsiTheme="minorHAnsi" w:cstheme="minorHAnsi"/>
        </w:rPr>
        <w:t xml:space="preserve">To achieve these targets </w:t>
      </w:r>
      <w:r w:rsidR="00531CD0" w:rsidRPr="00D77BE7">
        <w:rPr>
          <w:rFonts w:asciiTheme="minorHAnsi" w:hAnsiTheme="minorHAnsi" w:cstheme="minorHAnsi"/>
        </w:rPr>
        <w:t>China intends to increase the share of non-fossil fuels in primary energy consumption to 15 per cent by 2020 and around 20 per cent by 2030.</w:t>
      </w:r>
      <w:r>
        <w:rPr>
          <w:rFonts w:asciiTheme="minorHAnsi" w:hAnsiTheme="minorHAnsi" w:cstheme="minorHAnsi"/>
        </w:rPr>
        <w:t xml:space="preserve"> </w:t>
      </w:r>
      <w:r w:rsidR="00531CD0" w:rsidRPr="00D77BE7">
        <w:rPr>
          <w:rFonts w:asciiTheme="minorHAnsi" w:hAnsiTheme="minorHAnsi" w:cstheme="minorHAnsi"/>
        </w:rPr>
        <w:t>China has</w:t>
      </w:r>
      <w:r>
        <w:rPr>
          <w:rFonts w:asciiTheme="minorHAnsi" w:hAnsiTheme="minorHAnsi" w:cstheme="minorHAnsi"/>
        </w:rPr>
        <w:t xml:space="preserve"> also</w:t>
      </w:r>
      <w:r w:rsidR="00531CD0" w:rsidRPr="00D77BE7">
        <w:rPr>
          <w:rFonts w:asciiTheme="minorHAnsi" w:hAnsiTheme="minorHAnsi" w:cstheme="minorHAnsi"/>
        </w:rPr>
        <w:t xml:space="preserve"> implemented a number of pilot emissions trading schemes and intends to launch a national scheme. While an official date has not been announced, officials have said they expect </w:t>
      </w:r>
      <w:r w:rsidR="007B2494">
        <w:rPr>
          <w:rFonts w:asciiTheme="minorHAnsi" w:hAnsiTheme="minorHAnsi" w:cstheme="minorHAnsi"/>
        </w:rPr>
        <w:t>the emissions trading scheme</w:t>
      </w:r>
      <w:r w:rsidR="007B2494" w:rsidRPr="00D77BE7">
        <w:rPr>
          <w:rFonts w:asciiTheme="minorHAnsi" w:hAnsiTheme="minorHAnsi" w:cstheme="minorHAnsi"/>
        </w:rPr>
        <w:t xml:space="preserve"> </w:t>
      </w:r>
      <w:r w:rsidR="00531CD0" w:rsidRPr="00D77BE7">
        <w:rPr>
          <w:rFonts w:asciiTheme="minorHAnsi" w:hAnsiTheme="minorHAnsi" w:cstheme="minorHAnsi"/>
        </w:rPr>
        <w:t>to be launched by 2018.</w:t>
      </w:r>
    </w:p>
    <w:p w:rsidR="008A1F97" w:rsidRPr="00D77BE7" w:rsidRDefault="00D77BE7" w:rsidP="00BF7A32">
      <w:pPr>
        <w:spacing w:after="100" w:afterAutospacing="1"/>
        <w:rPr>
          <w:rFonts w:asciiTheme="minorHAnsi" w:hAnsiTheme="minorHAnsi" w:cstheme="minorHAnsi"/>
        </w:rPr>
      </w:pPr>
      <w:r w:rsidRPr="00D77BE7">
        <w:rPr>
          <w:rFonts w:asciiTheme="minorHAnsi" w:hAnsiTheme="minorHAnsi" w:cstheme="minorHAnsi"/>
        </w:rPr>
        <w:t>In the Paris Scenario c</w:t>
      </w:r>
      <w:r w:rsidR="008A1F97" w:rsidRPr="00D77BE7">
        <w:rPr>
          <w:rFonts w:asciiTheme="minorHAnsi" w:hAnsiTheme="minorHAnsi" w:cstheme="minorHAnsi"/>
        </w:rPr>
        <w:t>arbon dioxide emissions peak in 2030 and 20</w:t>
      </w:r>
      <w:r w:rsidR="004751BC" w:rsidRPr="004751BC">
        <w:rPr>
          <w:rFonts w:asciiTheme="minorHAnsi" w:hAnsiTheme="minorHAnsi" w:cstheme="minorHAnsi"/>
        </w:rPr>
        <w:t xml:space="preserve"> </w:t>
      </w:r>
      <w:r w:rsidR="004751BC">
        <w:rPr>
          <w:rFonts w:asciiTheme="minorHAnsi" w:hAnsiTheme="minorHAnsi" w:cstheme="minorHAnsi"/>
        </w:rPr>
        <w:t>per cent</w:t>
      </w:r>
      <w:r w:rsidR="004751BC" w:rsidRPr="002470EE">
        <w:rPr>
          <w:rFonts w:asciiTheme="minorHAnsi" w:hAnsiTheme="minorHAnsi" w:cstheme="minorHAnsi"/>
        </w:rPr>
        <w:t xml:space="preserve"> </w:t>
      </w:r>
      <w:r w:rsidR="008A1F97" w:rsidRPr="00D77BE7">
        <w:rPr>
          <w:rFonts w:asciiTheme="minorHAnsi" w:hAnsiTheme="minorHAnsi" w:cstheme="minorHAnsi"/>
        </w:rPr>
        <w:t>of energy</w:t>
      </w:r>
      <w:r w:rsidR="008A1F97" w:rsidRPr="00335D2D">
        <w:rPr>
          <w:rFonts w:asciiTheme="minorHAnsi" w:hAnsiTheme="minorHAnsi" w:cstheme="minorHAnsi"/>
        </w:rPr>
        <w:t xml:space="preserve"> comes from non-fossil fuel sources. </w:t>
      </w:r>
      <w:r w:rsidR="008A1F97" w:rsidRPr="00D77BE7">
        <w:rPr>
          <w:rFonts w:asciiTheme="minorHAnsi" w:hAnsiTheme="minorHAnsi" w:cstheme="minorHAnsi"/>
        </w:rPr>
        <w:t>Emission reductions are achieved through carbon pricing, increased energy efficiency and increased use of renewables.</w:t>
      </w:r>
      <w:r>
        <w:rPr>
          <w:rFonts w:asciiTheme="minorHAnsi" w:hAnsiTheme="minorHAnsi" w:cstheme="minorHAnsi"/>
        </w:rPr>
        <w:t xml:space="preserve"> </w:t>
      </w:r>
      <w:r w:rsidR="008A1F97" w:rsidRPr="00D77BE7">
        <w:rPr>
          <w:rFonts w:asciiTheme="minorHAnsi" w:hAnsiTheme="minorHAnsi" w:cstheme="minorHAnsi"/>
        </w:rPr>
        <w:t>Emissions fall after 2030 at around half the rate of the rise in emissions to 2030.</w:t>
      </w:r>
    </w:p>
    <w:p w:rsidR="00C11F09" w:rsidRDefault="00D77BE7" w:rsidP="00BF7A32">
      <w:pPr>
        <w:spacing w:after="100" w:afterAutospacing="1"/>
        <w:rPr>
          <w:rFonts w:asciiTheme="minorHAnsi" w:hAnsiTheme="minorHAnsi" w:cstheme="minorHAnsi"/>
        </w:rPr>
      </w:pPr>
      <w:r w:rsidRPr="00D77BE7">
        <w:rPr>
          <w:rFonts w:asciiTheme="minorHAnsi" w:hAnsiTheme="minorHAnsi" w:cstheme="minorHAnsi"/>
        </w:rPr>
        <w:t>In the Current Policies Scenario c</w:t>
      </w:r>
      <w:r w:rsidR="008A1F97" w:rsidRPr="00D77BE7">
        <w:rPr>
          <w:rFonts w:asciiTheme="minorHAnsi" w:hAnsiTheme="minorHAnsi" w:cstheme="minorHAnsi"/>
        </w:rPr>
        <w:t>arbon dioxide emissions intensity is 40-45 per cent below 2005 levels by 2020.</w:t>
      </w:r>
      <w:r>
        <w:rPr>
          <w:rFonts w:asciiTheme="minorHAnsi" w:hAnsiTheme="minorHAnsi" w:cstheme="minorHAnsi"/>
          <w:i/>
        </w:rPr>
        <w:t xml:space="preserve"> </w:t>
      </w:r>
      <w:r w:rsidRPr="00D77BE7">
        <w:rPr>
          <w:rFonts w:asciiTheme="minorHAnsi" w:hAnsiTheme="minorHAnsi" w:cstheme="minorHAnsi"/>
        </w:rPr>
        <w:t>As in the Paris Scenario</w:t>
      </w:r>
      <w:r w:rsidR="003B6E18">
        <w:rPr>
          <w:rFonts w:asciiTheme="minorHAnsi" w:hAnsiTheme="minorHAnsi" w:cstheme="minorHAnsi"/>
        </w:rPr>
        <w:t>,</w:t>
      </w:r>
      <w:r w:rsidRPr="00D77BE7">
        <w:rPr>
          <w:rFonts w:asciiTheme="minorHAnsi" w:hAnsiTheme="minorHAnsi" w:cstheme="minorHAnsi"/>
        </w:rPr>
        <w:t xml:space="preserve"> e</w:t>
      </w:r>
      <w:r w:rsidR="008A1F97" w:rsidRPr="00D77BE7">
        <w:rPr>
          <w:rFonts w:asciiTheme="minorHAnsi" w:hAnsiTheme="minorHAnsi" w:cstheme="minorHAnsi"/>
        </w:rPr>
        <w:t>missions reductions are achieved through carbon pricing, increased energy efficiency and increased use of renewables</w:t>
      </w:r>
      <w:r>
        <w:rPr>
          <w:rFonts w:asciiTheme="minorHAnsi" w:hAnsiTheme="minorHAnsi" w:cstheme="minorHAnsi"/>
        </w:rPr>
        <w:t>, but e</w:t>
      </w:r>
      <w:r w:rsidR="008A1F97" w:rsidRPr="00D77BE7">
        <w:rPr>
          <w:rFonts w:asciiTheme="minorHAnsi" w:hAnsiTheme="minorHAnsi" w:cstheme="minorHAnsi"/>
        </w:rPr>
        <w:t xml:space="preserve">missions follow a business-as-usual trajectory post-2020. </w:t>
      </w:r>
    </w:p>
    <w:p w:rsidR="00C11F09" w:rsidRPr="00BF39AB" w:rsidRDefault="00C11F09" w:rsidP="00C11F09">
      <w:pPr>
        <w:pStyle w:val="ListParagraph"/>
        <w:spacing w:line="360" w:lineRule="auto"/>
        <w:ind w:left="0"/>
        <w:rPr>
          <w:rFonts w:asciiTheme="minorHAnsi" w:hAnsiTheme="minorHAnsi" w:cstheme="minorHAnsi"/>
          <w:b/>
          <w:color w:val="996633"/>
        </w:rPr>
      </w:pPr>
      <w:r w:rsidRPr="00BF39AB">
        <w:rPr>
          <w:rFonts w:asciiTheme="minorHAnsi" w:hAnsiTheme="minorHAnsi" w:cstheme="minorHAnsi"/>
          <w:b/>
          <w:color w:val="996633"/>
        </w:rPr>
        <w:t>Japan</w:t>
      </w:r>
    </w:p>
    <w:p w:rsidR="00E543BF" w:rsidRPr="00BF39AB" w:rsidRDefault="00E543BF" w:rsidP="00E543BF">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Target and policy assumptions</w:t>
      </w:r>
      <w:r w:rsidR="007370E7">
        <w:rPr>
          <w:rFonts w:asciiTheme="minorHAnsi" w:hAnsiTheme="minorHAnsi" w:cstheme="minorHAnsi"/>
          <w:i/>
          <w:color w:val="996633"/>
        </w:rPr>
        <w:t>,</w:t>
      </w:r>
      <w:r>
        <w:rPr>
          <w:rFonts w:asciiTheme="minorHAnsi" w:hAnsiTheme="minorHAnsi" w:cstheme="minorHAnsi"/>
          <w:i/>
          <w:color w:val="996633"/>
        </w:rPr>
        <w:t xml:space="preserve"> and model implementation</w:t>
      </w:r>
    </w:p>
    <w:p w:rsidR="0008530A" w:rsidRDefault="00D77BE7" w:rsidP="00BF7A32">
      <w:pPr>
        <w:spacing w:after="100" w:afterAutospacing="1"/>
        <w:rPr>
          <w:rFonts w:asciiTheme="minorHAnsi" w:hAnsiTheme="minorHAnsi" w:cstheme="minorHAnsi"/>
        </w:rPr>
      </w:pPr>
      <w:r w:rsidRPr="00D77BE7">
        <w:rPr>
          <w:rFonts w:asciiTheme="minorHAnsi" w:hAnsiTheme="minorHAnsi" w:cstheme="minorHAnsi"/>
        </w:rPr>
        <w:t>At the time of modelling Japan had</w:t>
      </w:r>
      <w:r w:rsidR="00531CD0" w:rsidRPr="00D77BE7">
        <w:rPr>
          <w:rFonts w:asciiTheme="minorHAnsi" w:hAnsiTheme="minorHAnsi" w:cstheme="minorHAnsi"/>
        </w:rPr>
        <w:t xml:space="preserve"> not yet announced its post-2020 target. </w:t>
      </w:r>
      <w:r w:rsidRPr="00D77BE7">
        <w:rPr>
          <w:rFonts w:asciiTheme="minorHAnsi" w:hAnsiTheme="minorHAnsi" w:cstheme="minorHAnsi"/>
        </w:rPr>
        <w:t>The Paris Scenario assume</w:t>
      </w:r>
      <w:r>
        <w:rPr>
          <w:rFonts w:asciiTheme="minorHAnsi" w:hAnsiTheme="minorHAnsi" w:cstheme="minorHAnsi"/>
        </w:rPr>
        <w:t>d Japan’s</w:t>
      </w:r>
      <w:r w:rsidRPr="00D77BE7">
        <w:rPr>
          <w:rFonts w:asciiTheme="minorHAnsi" w:hAnsiTheme="minorHAnsi" w:cstheme="minorHAnsi"/>
        </w:rPr>
        <w:t xml:space="preserve"> emissions </w:t>
      </w:r>
      <w:r>
        <w:rPr>
          <w:rFonts w:asciiTheme="minorHAnsi" w:hAnsiTheme="minorHAnsi" w:cstheme="minorHAnsi"/>
        </w:rPr>
        <w:t xml:space="preserve">would </w:t>
      </w:r>
      <w:r w:rsidRPr="00D77BE7">
        <w:rPr>
          <w:rFonts w:asciiTheme="minorHAnsi" w:hAnsiTheme="minorHAnsi" w:cstheme="minorHAnsi"/>
        </w:rPr>
        <w:t>decrease by 22</w:t>
      </w:r>
      <w:r w:rsidR="004751BC" w:rsidRPr="004751BC">
        <w:rPr>
          <w:rFonts w:asciiTheme="minorHAnsi" w:hAnsiTheme="minorHAnsi" w:cstheme="minorHAnsi"/>
        </w:rPr>
        <w:t xml:space="preserve"> </w:t>
      </w:r>
      <w:r w:rsidR="004751BC">
        <w:rPr>
          <w:rFonts w:asciiTheme="minorHAnsi" w:hAnsiTheme="minorHAnsi" w:cstheme="minorHAnsi"/>
        </w:rPr>
        <w:t>per cent</w:t>
      </w:r>
      <w:r w:rsidR="004751BC" w:rsidRPr="002470EE">
        <w:rPr>
          <w:rFonts w:asciiTheme="minorHAnsi" w:hAnsiTheme="minorHAnsi" w:cstheme="minorHAnsi"/>
        </w:rPr>
        <w:t xml:space="preserve"> </w:t>
      </w:r>
      <w:r w:rsidRPr="00D77BE7">
        <w:rPr>
          <w:rFonts w:asciiTheme="minorHAnsi" w:hAnsiTheme="minorHAnsi" w:cstheme="minorHAnsi"/>
        </w:rPr>
        <w:t>below 2005 levels by 2030.</w:t>
      </w:r>
      <w:r>
        <w:rPr>
          <w:rFonts w:asciiTheme="minorHAnsi" w:hAnsiTheme="minorHAnsi" w:cstheme="minorHAnsi"/>
        </w:rPr>
        <w:t xml:space="preserve"> </w:t>
      </w:r>
      <w:r w:rsidR="0008530A">
        <w:rPr>
          <w:rFonts w:asciiTheme="minorHAnsi" w:hAnsiTheme="minorHAnsi" w:cstheme="minorHAnsi"/>
        </w:rPr>
        <w:t>Japan has since announced a target to reduce emissions</w:t>
      </w:r>
      <w:r w:rsidR="00125237">
        <w:rPr>
          <w:rFonts w:asciiTheme="minorHAnsi" w:hAnsiTheme="minorHAnsi" w:cstheme="minorHAnsi"/>
        </w:rPr>
        <w:t xml:space="preserve"> by</w:t>
      </w:r>
      <w:r w:rsidR="0008530A">
        <w:rPr>
          <w:rFonts w:asciiTheme="minorHAnsi" w:hAnsiTheme="minorHAnsi" w:cstheme="minorHAnsi"/>
        </w:rPr>
        <w:t xml:space="preserve"> 26</w:t>
      </w:r>
      <w:r w:rsidR="0034155A">
        <w:rPr>
          <w:rFonts w:asciiTheme="minorHAnsi" w:hAnsiTheme="minorHAnsi" w:cstheme="minorHAnsi"/>
        </w:rPr>
        <w:t xml:space="preserve"> per </w:t>
      </w:r>
      <w:r w:rsidR="00731603">
        <w:rPr>
          <w:rFonts w:asciiTheme="minorHAnsi" w:hAnsiTheme="minorHAnsi" w:cstheme="minorHAnsi"/>
        </w:rPr>
        <w:t>cent below</w:t>
      </w:r>
      <w:r w:rsidR="0008530A">
        <w:rPr>
          <w:rFonts w:asciiTheme="minorHAnsi" w:hAnsiTheme="minorHAnsi" w:cstheme="minorHAnsi"/>
        </w:rPr>
        <w:t xml:space="preserve"> 2013 levels by 2030.</w:t>
      </w:r>
    </w:p>
    <w:p w:rsidR="00531CD0" w:rsidRPr="00D77BE7" w:rsidRDefault="00D77BE7" w:rsidP="00BF7A32">
      <w:pPr>
        <w:spacing w:after="100" w:afterAutospacing="1"/>
        <w:rPr>
          <w:rFonts w:asciiTheme="minorHAnsi" w:hAnsiTheme="minorHAnsi" w:cstheme="minorHAnsi"/>
        </w:rPr>
      </w:pPr>
      <w:r>
        <w:rPr>
          <w:rFonts w:asciiTheme="minorHAnsi" w:hAnsiTheme="minorHAnsi" w:cstheme="minorHAnsi"/>
        </w:rPr>
        <w:t>J</w:t>
      </w:r>
      <w:r w:rsidR="00531CD0" w:rsidRPr="00D77BE7">
        <w:rPr>
          <w:rFonts w:asciiTheme="minorHAnsi" w:hAnsiTheme="minorHAnsi" w:cstheme="minorHAnsi"/>
        </w:rPr>
        <w:t>apan’s 2020 target is a 3.8 per cent reduction of emissions from 2005 levels, an abatement challenge of 45 Mt CO</w:t>
      </w:r>
      <w:r w:rsidR="00531CD0" w:rsidRPr="00D77BE7">
        <w:rPr>
          <w:rFonts w:asciiTheme="minorHAnsi" w:hAnsiTheme="minorHAnsi" w:cstheme="minorHAnsi"/>
          <w:vertAlign w:val="subscript"/>
        </w:rPr>
        <w:t>2</w:t>
      </w:r>
      <w:r w:rsidR="00531CD0" w:rsidRPr="00D77BE7">
        <w:rPr>
          <w:rFonts w:asciiTheme="minorHAnsi" w:hAnsiTheme="minorHAnsi" w:cstheme="minorHAnsi"/>
        </w:rPr>
        <w:t>-e.</w:t>
      </w:r>
      <w:r w:rsidR="00531CD0">
        <w:rPr>
          <w:rStyle w:val="FootnoteReference"/>
          <w:rFonts w:asciiTheme="minorHAnsi" w:hAnsiTheme="minorHAnsi" w:cstheme="minorHAnsi"/>
        </w:rPr>
        <w:footnoteReference w:id="7"/>
      </w:r>
      <w:r>
        <w:rPr>
          <w:rFonts w:asciiTheme="minorHAnsi" w:hAnsiTheme="minorHAnsi" w:cstheme="minorHAnsi"/>
        </w:rPr>
        <w:t xml:space="preserve"> </w:t>
      </w:r>
      <w:r w:rsidR="00531CD0" w:rsidRPr="00D77BE7">
        <w:rPr>
          <w:rFonts w:asciiTheme="minorHAnsi" w:hAnsiTheme="minorHAnsi" w:cstheme="minorHAnsi"/>
        </w:rPr>
        <w:t xml:space="preserve">Recent projections indicate that Japan is broadly on track to achieve this </w:t>
      </w:r>
      <w:r w:rsidR="007B2494">
        <w:rPr>
          <w:rFonts w:asciiTheme="minorHAnsi" w:hAnsiTheme="minorHAnsi" w:cstheme="minorHAnsi"/>
        </w:rPr>
        <w:t xml:space="preserve">target </w:t>
      </w:r>
      <w:r w:rsidR="00531CD0" w:rsidRPr="00D77BE7">
        <w:rPr>
          <w:rFonts w:asciiTheme="minorHAnsi" w:hAnsiTheme="minorHAnsi" w:cstheme="minorHAnsi"/>
        </w:rPr>
        <w:t>under a range of scenarios</w:t>
      </w:r>
      <w:r w:rsidR="00531CD0" w:rsidRPr="004622EE">
        <w:rPr>
          <w:rStyle w:val="FootnoteReference"/>
          <w:rFonts w:asciiTheme="minorHAnsi" w:hAnsiTheme="minorHAnsi" w:cstheme="minorHAnsi"/>
        </w:rPr>
        <w:footnoteReference w:id="8"/>
      </w:r>
      <w:r w:rsidR="00531CD0" w:rsidRPr="00D77BE7">
        <w:rPr>
          <w:rFonts w:asciiTheme="minorHAnsi" w:hAnsiTheme="minorHAnsi" w:cstheme="minorHAnsi"/>
        </w:rPr>
        <w:t xml:space="preserve">. </w:t>
      </w:r>
    </w:p>
    <w:p w:rsidR="00531CD0" w:rsidRPr="00AB7101" w:rsidRDefault="00531CD0" w:rsidP="00BF7A32">
      <w:pPr>
        <w:spacing w:after="100" w:afterAutospacing="1"/>
        <w:rPr>
          <w:rFonts w:asciiTheme="minorHAnsi" w:hAnsiTheme="minorHAnsi" w:cstheme="minorHAnsi"/>
          <w:color w:val="000000" w:themeColor="text1"/>
        </w:rPr>
      </w:pPr>
      <w:r w:rsidRPr="00D77BE7">
        <w:rPr>
          <w:rFonts w:asciiTheme="minorHAnsi" w:hAnsiTheme="minorHAnsi" w:cstheme="minorHAnsi"/>
          <w:color w:val="000000" w:themeColor="text1"/>
        </w:rPr>
        <w:t xml:space="preserve">Japan relies on a range of policies and measures to </w:t>
      </w:r>
      <w:r w:rsidR="00D77BE7">
        <w:rPr>
          <w:rFonts w:asciiTheme="minorHAnsi" w:hAnsiTheme="minorHAnsi" w:cstheme="minorHAnsi"/>
          <w:color w:val="000000" w:themeColor="text1"/>
        </w:rPr>
        <w:t xml:space="preserve">reduce its emissions, including </w:t>
      </w:r>
      <w:r w:rsidRPr="00AB7101">
        <w:rPr>
          <w:rFonts w:asciiTheme="minorHAnsi" w:hAnsiTheme="minorHAnsi" w:cstheme="minorHAnsi"/>
          <w:color w:val="000000" w:themeColor="text1"/>
        </w:rPr>
        <w:t xml:space="preserve">a carbon tax levied as a surtax on fossil fuels </w:t>
      </w:r>
      <w:r w:rsidR="00D77BE7">
        <w:rPr>
          <w:rFonts w:asciiTheme="minorHAnsi" w:hAnsiTheme="minorHAnsi" w:cstheme="minorHAnsi"/>
          <w:color w:val="000000" w:themeColor="text1"/>
        </w:rPr>
        <w:t>(</w:t>
      </w:r>
      <w:r w:rsidRPr="00AB7101">
        <w:rPr>
          <w:rFonts w:asciiTheme="minorHAnsi" w:hAnsiTheme="minorHAnsi" w:cstheme="minorHAnsi"/>
          <w:color w:val="000000" w:themeColor="text1"/>
        </w:rPr>
        <w:t>equivalent to around US$3 per tonne of emissions and covering around 80 per</w:t>
      </w:r>
      <w:r>
        <w:rPr>
          <w:rFonts w:asciiTheme="minorHAnsi" w:hAnsiTheme="minorHAnsi" w:cstheme="minorHAnsi"/>
          <w:color w:val="000000" w:themeColor="text1"/>
        </w:rPr>
        <w:t xml:space="preserve"> </w:t>
      </w:r>
      <w:r w:rsidRPr="00AB7101">
        <w:rPr>
          <w:rFonts w:asciiTheme="minorHAnsi" w:hAnsiTheme="minorHAnsi" w:cstheme="minorHAnsi"/>
          <w:color w:val="000000" w:themeColor="text1"/>
        </w:rPr>
        <w:t xml:space="preserve">cent of energy-related </w:t>
      </w:r>
      <w:r w:rsidR="00537062" w:rsidRPr="002470EE">
        <w:rPr>
          <w:rFonts w:asciiTheme="minorHAnsi" w:hAnsiTheme="minorHAnsi" w:cstheme="minorHAnsi"/>
        </w:rPr>
        <w:t>CO</w:t>
      </w:r>
      <w:r w:rsidR="00537062" w:rsidRPr="00DF1DDF">
        <w:rPr>
          <w:rFonts w:asciiTheme="minorHAnsi" w:hAnsiTheme="minorHAnsi" w:cstheme="minorHAnsi"/>
          <w:vertAlign w:val="subscript"/>
        </w:rPr>
        <w:t>2</w:t>
      </w:r>
      <w:r w:rsidR="00537062" w:rsidRPr="002470EE">
        <w:rPr>
          <w:rFonts w:asciiTheme="minorHAnsi" w:hAnsiTheme="minorHAnsi" w:cstheme="minorHAnsi"/>
        </w:rPr>
        <w:t xml:space="preserve"> </w:t>
      </w:r>
      <w:r w:rsidRPr="00AB7101">
        <w:rPr>
          <w:rFonts w:asciiTheme="minorHAnsi" w:hAnsiTheme="minorHAnsi" w:cstheme="minorHAnsi"/>
          <w:color w:val="000000" w:themeColor="text1"/>
        </w:rPr>
        <w:t>emissions</w:t>
      </w:r>
      <w:r w:rsidR="00D77BE7">
        <w:rPr>
          <w:rFonts w:asciiTheme="minorHAnsi" w:hAnsiTheme="minorHAnsi" w:cstheme="minorHAnsi"/>
          <w:color w:val="000000" w:themeColor="text1"/>
        </w:rPr>
        <w:t xml:space="preserve">); </w:t>
      </w:r>
      <w:r>
        <w:rPr>
          <w:rFonts w:asciiTheme="minorHAnsi" w:hAnsiTheme="minorHAnsi" w:cstheme="minorHAnsi"/>
          <w:color w:val="000000" w:themeColor="text1"/>
        </w:rPr>
        <w:t>s</w:t>
      </w:r>
      <w:r w:rsidRPr="00AB7101">
        <w:rPr>
          <w:rFonts w:asciiTheme="minorHAnsi" w:hAnsiTheme="minorHAnsi" w:cstheme="minorHAnsi"/>
          <w:color w:val="000000" w:themeColor="text1"/>
        </w:rPr>
        <w:t>ub-national emissions trading schemes in two prefectures (Tokyo and Saitama)</w:t>
      </w:r>
      <w:r w:rsidR="00D77BE7">
        <w:rPr>
          <w:rFonts w:asciiTheme="minorHAnsi" w:hAnsiTheme="minorHAnsi" w:cstheme="minorHAnsi"/>
          <w:color w:val="000000" w:themeColor="text1"/>
        </w:rPr>
        <w:t xml:space="preserve">; and a range of energy sector measures, including </w:t>
      </w:r>
      <w:r w:rsidRPr="00AB7101">
        <w:rPr>
          <w:rFonts w:asciiTheme="minorHAnsi" w:hAnsiTheme="minorHAnsi" w:cstheme="minorHAnsi"/>
          <w:color w:val="000000" w:themeColor="text1"/>
        </w:rPr>
        <w:t>a feed-in tariff scheme and other tax benefits to prom</w:t>
      </w:r>
      <w:r w:rsidR="00D77BE7">
        <w:rPr>
          <w:rFonts w:asciiTheme="minorHAnsi" w:hAnsiTheme="minorHAnsi" w:cstheme="minorHAnsi"/>
          <w:color w:val="000000" w:themeColor="text1"/>
        </w:rPr>
        <w:t xml:space="preserve">ote renewable energy, </w:t>
      </w:r>
      <w:r>
        <w:rPr>
          <w:rFonts w:asciiTheme="minorHAnsi" w:hAnsiTheme="minorHAnsi" w:cstheme="minorHAnsi"/>
          <w:color w:val="000000" w:themeColor="text1"/>
        </w:rPr>
        <w:t>e</w:t>
      </w:r>
      <w:r w:rsidRPr="00AB7101">
        <w:rPr>
          <w:rFonts w:asciiTheme="minorHAnsi" w:hAnsiTheme="minorHAnsi" w:cstheme="minorHAnsi"/>
          <w:color w:val="000000" w:themeColor="text1"/>
        </w:rPr>
        <w:t xml:space="preserve">missions performance guidelines for </w:t>
      </w:r>
      <w:r w:rsidRPr="00AB7101">
        <w:rPr>
          <w:rFonts w:asciiTheme="minorHAnsi" w:hAnsiTheme="minorHAnsi" w:cstheme="minorHAnsi"/>
          <w:color w:val="000000" w:themeColor="text1"/>
        </w:rPr>
        <w:lastRenderedPageBreak/>
        <w:t>centralized power plants</w:t>
      </w:r>
      <w:r w:rsidR="00D77BE7">
        <w:rPr>
          <w:rFonts w:asciiTheme="minorHAnsi" w:hAnsiTheme="minorHAnsi" w:cstheme="minorHAnsi"/>
          <w:color w:val="000000" w:themeColor="text1"/>
        </w:rPr>
        <w:t xml:space="preserve">, </w:t>
      </w:r>
      <w:r w:rsidRPr="00AB7101">
        <w:rPr>
          <w:rFonts w:asciiTheme="minorHAnsi" w:hAnsiTheme="minorHAnsi" w:cstheme="minorHAnsi"/>
          <w:color w:val="000000" w:themeColor="text1"/>
        </w:rPr>
        <w:t>support for combined heat and power system installations</w:t>
      </w:r>
      <w:r w:rsidR="00D77BE7">
        <w:rPr>
          <w:rFonts w:asciiTheme="minorHAnsi" w:hAnsiTheme="minorHAnsi" w:cstheme="minorHAnsi"/>
          <w:color w:val="000000" w:themeColor="text1"/>
        </w:rPr>
        <w:t>, and energy management and efficiency measures.</w:t>
      </w:r>
      <w:r w:rsidR="00B51C5E">
        <w:rPr>
          <w:rFonts w:asciiTheme="minorHAnsi" w:hAnsiTheme="minorHAnsi" w:cstheme="minorHAnsi"/>
          <w:color w:val="000000" w:themeColor="text1"/>
        </w:rPr>
        <w:t xml:space="preserve"> At the time of modelling, Japan had not settled its specific nuclear policy except that nuclear will </w:t>
      </w:r>
      <w:r w:rsidR="00FE6BA5">
        <w:rPr>
          <w:rFonts w:asciiTheme="minorHAnsi" w:hAnsiTheme="minorHAnsi" w:cstheme="minorHAnsi"/>
          <w:color w:val="000000" w:themeColor="text1"/>
        </w:rPr>
        <w:t>be</w:t>
      </w:r>
      <w:r w:rsidR="00B51C5E">
        <w:rPr>
          <w:rFonts w:asciiTheme="minorHAnsi" w:hAnsiTheme="minorHAnsi" w:cstheme="minorHAnsi"/>
          <w:color w:val="000000" w:themeColor="text1"/>
        </w:rPr>
        <w:t xml:space="preserve"> an important future baseload source. Japan </w:t>
      </w:r>
      <w:r w:rsidR="00B51C5E" w:rsidRPr="00645C05">
        <w:rPr>
          <w:rFonts w:asciiTheme="minorHAnsi" w:hAnsiTheme="minorHAnsi" w:cstheme="minorHAnsi"/>
          <w:color w:val="000000" w:themeColor="text1"/>
        </w:rPr>
        <w:t xml:space="preserve">has </w:t>
      </w:r>
      <w:r w:rsidR="00B51C5E">
        <w:rPr>
          <w:rFonts w:asciiTheme="minorHAnsi" w:hAnsiTheme="minorHAnsi" w:cstheme="minorHAnsi"/>
          <w:color w:val="000000" w:themeColor="text1"/>
        </w:rPr>
        <w:t xml:space="preserve">since announced that </w:t>
      </w:r>
      <w:r w:rsidR="00B51C5E" w:rsidRPr="00645C05">
        <w:rPr>
          <w:rFonts w:asciiTheme="minorHAnsi" w:hAnsiTheme="minorHAnsi" w:cstheme="minorHAnsi"/>
          <w:color w:val="000000" w:themeColor="text1"/>
        </w:rPr>
        <w:t>nuclear energy</w:t>
      </w:r>
      <w:r w:rsidR="00B51C5E">
        <w:rPr>
          <w:rFonts w:asciiTheme="minorHAnsi" w:hAnsiTheme="minorHAnsi" w:cstheme="minorHAnsi"/>
          <w:color w:val="000000" w:themeColor="text1"/>
        </w:rPr>
        <w:t xml:space="preserve"> will</w:t>
      </w:r>
      <w:r w:rsidR="00B51C5E" w:rsidRPr="00645C05">
        <w:rPr>
          <w:rFonts w:asciiTheme="minorHAnsi" w:hAnsiTheme="minorHAnsi" w:cstheme="minorHAnsi"/>
          <w:color w:val="000000" w:themeColor="text1"/>
        </w:rPr>
        <w:t xml:space="preserve"> account for between 20 and 22 per</w:t>
      </w:r>
      <w:r w:rsidR="00B51C5E">
        <w:rPr>
          <w:rFonts w:asciiTheme="minorHAnsi" w:hAnsiTheme="minorHAnsi" w:cstheme="minorHAnsi"/>
          <w:color w:val="000000" w:themeColor="text1"/>
        </w:rPr>
        <w:t xml:space="preserve"> </w:t>
      </w:r>
      <w:r w:rsidR="00B51C5E" w:rsidRPr="00645C05">
        <w:rPr>
          <w:rFonts w:asciiTheme="minorHAnsi" w:hAnsiTheme="minorHAnsi" w:cstheme="minorHAnsi"/>
          <w:color w:val="000000" w:themeColor="text1"/>
        </w:rPr>
        <w:t>cent of the country's electricity mix by 2030</w:t>
      </w:r>
      <w:r w:rsidR="00B51C5E">
        <w:rPr>
          <w:rFonts w:asciiTheme="minorHAnsi" w:hAnsiTheme="minorHAnsi" w:cstheme="minorHAnsi"/>
          <w:color w:val="000000" w:themeColor="text1"/>
        </w:rPr>
        <w:t>.</w:t>
      </w:r>
    </w:p>
    <w:p w:rsidR="00D77BE7" w:rsidRPr="00D77BE7" w:rsidRDefault="00D77BE7" w:rsidP="00BF7A32">
      <w:pPr>
        <w:spacing w:after="100" w:afterAutospacing="1"/>
        <w:rPr>
          <w:rFonts w:asciiTheme="minorHAnsi" w:hAnsiTheme="minorHAnsi" w:cstheme="minorHAnsi"/>
        </w:rPr>
      </w:pPr>
      <w:r w:rsidRPr="00D77BE7">
        <w:rPr>
          <w:rFonts w:asciiTheme="minorHAnsi" w:hAnsiTheme="minorHAnsi" w:cstheme="minorHAnsi"/>
        </w:rPr>
        <w:t>The Paris Scenario assumes emissions decrease by 22</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Pr="00D77BE7">
        <w:rPr>
          <w:rFonts w:asciiTheme="minorHAnsi" w:hAnsiTheme="minorHAnsi" w:cstheme="minorHAnsi"/>
        </w:rPr>
        <w:t>below 2005 levels by 2030.</w:t>
      </w:r>
      <w:r w:rsidR="0034155A">
        <w:rPr>
          <w:rFonts w:asciiTheme="minorHAnsi" w:hAnsiTheme="minorHAnsi" w:cstheme="minorHAnsi"/>
        </w:rPr>
        <w:t xml:space="preserve"> </w:t>
      </w:r>
      <w:r w:rsidRPr="00D77BE7">
        <w:rPr>
          <w:rFonts w:asciiTheme="minorHAnsi" w:hAnsiTheme="minorHAnsi" w:cstheme="minorHAnsi"/>
        </w:rPr>
        <w:t>The target is achieved through an energy mix of 55</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Pr="00D77BE7">
        <w:rPr>
          <w:rFonts w:asciiTheme="minorHAnsi" w:hAnsiTheme="minorHAnsi" w:cstheme="minorHAnsi"/>
        </w:rPr>
        <w:t>fossil fuels</w:t>
      </w:r>
      <w:r>
        <w:rPr>
          <w:rFonts w:asciiTheme="minorHAnsi" w:hAnsiTheme="minorHAnsi" w:cstheme="minorHAnsi"/>
        </w:rPr>
        <w:t xml:space="preserve"> and 45</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Pr>
          <w:rFonts w:asciiTheme="minorHAnsi" w:hAnsiTheme="minorHAnsi" w:cstheme="minorHAnsi"/>
        </w:rPr>
        <w:t>nuclear and renewables. These energy mix assumptions are consistent with the International Energy Agency’s World Energy Outlo</w:t>
      </w:r>
      <w:r w:rsidR="001154A3">
        <w:rPr>
          <w:rFonts w:asciiTheme="minorHAnsi" w:hAnsiTheme="minorHAnsi" w:cstheme="minorHAnsi"/>
        </w:rPr>
        <w:t>ok 2014: New Policies Scenario</w:t>
      </w:r>
      <w:r>
        <w:rPr>
          <w:rFonts w:asciiTheme="minorHAnsi" w:hAnsiTheme="minorHAnsi" w:cstheme="minorHAnsi"/>
        </w:rPr>
        <w:t xml:space="preserve">. </w:t>
      </w:r>
      <w:r w:rsidRPr="00D77BE7">
        <w:rPr>
          <w:rFonts w:asciiTheme="minorHAnsi" w:hAnsiTheme="minorHAnsi" w:cstheme="minorHAnsi"/>
        </w:rPr>
        <w:t xml:space="preserve">This </w:t>
      </w:r>
      <w:r>
        <w:rPr>
          <w:rFonts w:asciiTheme="minorHAnsi" w:hAnsiTheme="minorHAnsi" w:cstheme="minorHAnsi"/>
        </w:rPr>
        <w:t>energy mix is accompanied by a</w:t>
      </w:r>
      <w:r w:rsidRPr="00D77BE7">
        <w:rPr>
          <w:rFonts w:asciiTheme="minorHAnsi" w:hAnsiTheme="minorHAnsi" w:cstheme="minorHAnsi"/>
        </w:rPr>
        <w:t xml:space="preserve"> carbon price of around $3 to raise $3.4 billion per annum, reflecting a continuation of current subregional carbon pricing policies.</w:t>
      </w:r>
    </w:p>
    <w:p w:rsidR="00D77BE7" w:rsidRPr="0008530A" w:rsidRDefault="00D77BE7" w:rsidP="00BF7A32">
      <w:pPr>
        <w:spacing w:after="100" w:afterAutospacing="1"/>
        <w:rPr>
          <w:rFonts w:asciiTheme="minorHAnsi" w:hAnsiTheme="minorHAnsi" w:cstheme="minorHAnsi"/>
        </w:rPr>
      </w:pPr>
      <w:r w:rsidRPr="0008530A">
        <w:rPr>
          <w:rFonts w:asciiTheme="minorHAnsi" w:hAnsiTheme="minorHAnsi" w:cstheme="minorHAnsi"/>
        </w:rPr>
        <w:t xml:space="preserve">The </w:t>
      </w:r>
      <w:r w:rsidR="0008530A" w:rsidRPr="0008530A">
        <w:rPr>
          <w:rFonts w:asciiTheme="minorHAnsi" w:hAnsiTheme="minorHAnsi" w:cstheme="minorHAnsi"/>
        </w:rPr>
        <w:t>Current Policies Scenario</w:t>
      </w:r>
      <w:r w:rsidRPr="0008530A">
        <w:rPr>
          <w:rFonts w:asciiTheme="minorHAnsi" w:hAnsiTheme="minorHAnsi" w:cstheme="minorHAnsi"/>
        </w:rPr>
        <w:t xml:space="preserve"> assumes emissions decrease by 15</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Pr="0008530A">
        <w:rPr>
          <w:rFonts w:asciiTheme="minorHAnsi" w:hAnsiTheme="minorHAnsi" w:cstheme="minorHAnsi"/>
        </w:rPr>
        <w:t>below 2005 levels by 2020.</w:t>
      </w:r>
      <w:r w:rsidR="0008530A">
        <w:rPr>
          <w:rFonts w:asciiTheme="minorHAnsi" w:hAnsiTheme="minorHAnsi" w:cstheme="minorHAnsi"/>
        </w:rPr>
        <w:t xml:space="preserve"> </w:t>
      </w:r>
      <w:r w:rsidRPr="0008530A">
        <w:rPr>
          <w:rFonts w:asciiTheme="minorHAnsi" w:hAnsiTheme="minorHAnsi" w:cstheme="minorHAnsi"/>
        </w:rPr>
        <w:t>This is a DFAT estimate</w:t>
      </w:r>
      <w:r w:rsidR="007B2494">
        <w:rPr>
          <w:rFonts w:asciiTheme="minorHAnsi" w:hAnsiTheme="minorHAnsi" w:cstheme="minorHAnsi"/>
        </w:rPr>
        <w:t>, and is</w:t>
      </w:r>
      <w:r w:rsidRPr="0008530A">
        <w:rPr>
          <w:rFonts w:asciiTheme="minorHAnsi" w:hAnsiTheme="minorHAnsi" w:cstheme="minorHAnsi"/>
        </w:rPr>
        <w:t xml:space="preserve"> consistent with Bloomberg’s medi</w:t>
      </w:r>
      <w:r w:rsidR="001154A3">
        <w:rPr>
          <w:rFonts w:asciiTheme="minorHAnsi" w:hAnsiTheme="minorHAnsi" w:cstheme="minorHAnsi"/>
        </w:rPr>
        <w:t xml:space="preserve">um ‘return to nuclear’ scenario and </w:t>
      </w:r>
      <w:r w:rsidR="0008530A">
        <w:rPr>
          <w:rFonts w:asciiTheme="minorHAnsi" w:hAnsiTheme="minorHAnsi" w:cstheme="minorHAnsi"/>
        </w:rPr>
        <w:t xml:space="preserve">the </w:t>
      </w:r>
      <w:r w:rsidR="001154A3">
        <w:rPr>
          <w:rFonts w:asciiTheme="minorHAnsi" w:hAnsiTheme="minorHAnsi" w:cstheme="minorHAnsi"/>
        </w:rPr>
        <w:t>International Energy Agency’s World Energy Outlook 2014: Current Policies Scenario. C</w:t>
      </w:r>
      <w:r w:rsidRPr="0008530A">
        <w:rPr>
          <w:rFonts w:asciiTheme="minorHAnsi" w:hAnsiTheme="minorHAnsi" w:cstheme="minorHAnsi"/>
        </w:rPr>
        <w:t xml:space="preserve">arbon pricing </w:t>
      </w:r>
      <w:r w:rsidR="001154A3">
        <w:rPr>
          <w:rFonts w:asciiTheme="minorHAnsi" w:hAnsiTheme="minorHAnsi" w:cstheme="minorHAnsi"/>
        </w:rPr>
        <w:t xml:space="preserve">is modelled </w:t>
      </w:r>
      <w:r w:rsidRPr="0008530A">
        <w:rPr>
          <w:rFonts w:asciiTheme="minorHAnsi" w:hAnsiTheme="minorHAnsi" w:cstheme="minorHAnsi"/>
        </w:rPr>
        <w:t>as described in the Paris Scenario</w:t>
      </w:r>
      <w:r w:rsidR="001154A3">
        <w:rPr>
          <w:rFonts w:asciiTheme="minorHAnsi" w:hAnsiTheme="minorHAnsi" w:cstheme="minorHAnsi"/>
        </w:rPr>
        <w:t>,</w:t>
      </w:r>
      <w:r w:rsidRPr="0008530A">
        <w:rPr>
          <w:rFonts w:asciiTheme="minorHAnsi" w:hAnsiTheme="minorHAnsi" w:cstheme="minorHAnsi"/>
        </w:rPr>
        <w:t xml:space="preserve"> consistent with existing subregional policies.</w:t>
      </w:r>
    </w:p>
    <w:p w:rsidR="00C11F09" w:rsidRPr="00BF39AB" w:rsidRDefault="00C11F09" w:rsidP="00C11F09">
      <w:pPr>
        <w:pStyle w:val="ListParagraph"/>
        <w:spacing w:line="360" w:lineRule="auto"/>
        <w:ind w:left="0"/>
        <w:rPr>
          <w:rFonts w:asciiTheme="minorHAnsi" w:hAnsiTheme="minorHAnsi" w:cstheme="minorHAnsi"/>
          <w:b/>
          <w:color w:val="996633"/>
        </w:rPr>
      </w:pPr>
      <w:r w:rsidRPr="00BF39AB">
        <w:rPr>
          <w:rFonts w:asciiTheme="minorHAnsi" w:hAnsiTheme="minorHAnsi" w:cstheme="minorHAnsi"/>
          <w:b/>
          <w:color w:val="996633"/>
        </w:rPr>
        <w:t>European Union</w:t>
      </w:r>
    </w:p>
    <w:p w:rsidR="001154A3" w:rsidRPr="00BF39AB" w:rsidRDefault="001154A3" w:rsidP="00BF7A32">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 xml:space="preserve">Representation in </w:t>
      </w:r>
      <w:r w:rsidR="00780791" w:rsidRPr="00BF39AB">
        <w:rPr>
          <w:rFonts w:asciiTheme="minorHAnsi" w:hAnsiTheme="minorHAnsi" w:cstheme="minorHAnsi"/>
          <w:i/>
          <w:color w:val="996633"/>
        </w:rPr>
        <w:t>the model</w:t>
      </w:r>
    </w:p>
    <w:p w:rsidR="001154A3" w:rsidRDefault="001154A3" w:rsidP="00BF7A32">
      <w:pPr>
        <w:spacing w:after="100" w:afterAutospacing="1"/>
        <w:rPr>
          <w:rFonts w:asciiTheme="minorHAnsi" w:hAnsiTheme="minorHAnsi" w:cstheme="minorHAnsi"/>
        </w:rPr>
      </w:pPr>
      <w:r>
        <w:rPr>
          <w:rFonts w:asciiTheme="minorHAnsi" w:hAnsiTheme="minorHAnsi" w:cstheme="minorHAnsi"/>
        </w:rPr>
        <w:t>The European Union is approximated in the model by t</w:t>
      </w:r>
      <w:r w:rsidRPr="001154A3">
        <w:rPr>
          <w:rFonts w:asciiTheme="minorHAnsi" w:hAnsiTheme="minorHAnsi" w:cstheme="minorHAnsi"/>
        </w:rPr>
        <w:t xml:space="preserve">he </w:t>
      </w:r>
      <w:r>
        <w:rPr>
          <w:rFonts w:asciiTheme="minorHAnsi" w:hAnsiTheme="minorHAnsi" w:cstheme="minorHAnsi"/>
        </w:rPr>
        <w:t xml:space="preserve">“Western </w:t>
      </w:r>
      <w:r w:rsidRPr="001154A3">
        <w:rPr>
          <w:rFonts w:asciiTheme="minorHAnsi" w:hAnsiTheme="minorHAnsi" w:cstheme="minorHAnsi"/>
        </w:rPr>
        <w:t>Europe</w:t>
      </w:r>
      <w:r>
        <w:rPr>
          <w:rFonts w:asciiTheme="minorHAnsi" w:hAnsiTheme="minorHAnsi" w:cstheme="minorHAnsi"/>
        </w:rPr>
        <w:t>”</w:t>
      </w:r>
      <w:r w:rsidRPr="001154A3">
        <w:rPr>
          <w:rFonts w:asciiTheme="minorHAnsi" w:hAnsiTheme="minorHAnsi" w:cstheme="minorHAnsi"/>
        </w:rPr>
        <w:t xml:space="preserve"> group </w:t>
      </w:r>
      <w:r>
        <w:rPr>
          <w:rFonts w:asciiTheme="minorHAnsi" w:hAnsiTheme="minorHAnsi" w:cstheme="minorHAnsi"/>
        </w:rPr>
        <w:t>which</w:t>
      </w:r>
      <w:r w:rsidRPr="001154A3">
        <w:rPr>
          <w:rFonts w:asciiTheme="minorHAnsi" w:hAnsiTheme="minorHAnsi" w:cstheme="minorHAnsi"/>
        </w:rPr>
        <w:t xml:space="preserve"> includes the European membership of the OECD in 1990</w:t>
      </w:r>
      <w:r>
        <w:rPr>
          <w:rStyle w:val="FootnoteReference"/>
          <w:rFonts w:asciiTheme="minorHAnsi" w:hAnsiTheme="minorHAnsi" w:cstheme="minorHAnsi"/>
        </w:rPr>
        <w:footnoteReference w:id="9"/>
      </w:r>
      <w:r w:rsidRPr="001154A3">
        <w:rPr>
          <w:rFonts w:asciiTheme="minorHAnsi" w:hAnsiTheme="minorHAnsi" w:cstheme="minorHAnsi"/>
        </w:rPr>
        <w:t xml:space="preserve">. As a large majority of emissions from </w:t>
      </w:r>
      <w:r w:rsidR="008B01ED">
        <w:rPr>
          <w:rFonts w:asciiTheme="minorHAnsi" w:hAnsiTheme="minorHAnsi" w:cstheme="minorHAnsi"/>
        </w:rPr>
        <w:t xml:space="preserve">the EU </w:t>
      </w:r>
      <w:r w:rsidRPr="001154A3">
        <w:rPr>
          <w:rFonts w:asciiTheme="minorHAnsi" w:hAnsiTheme="minorHAnsi" w:cstheme="minorHAnsi"/>
        </w:rPr>
        <w:t xml:space="preserve">is within </w:t>
      </w:r>
      <w:r w:rsidR="008B01ED">
        <w:rPr>
          <w:rFonts w:asciiTheme="minorHAnsi" w:hAnsiTheme="minorHAnsi" w:cstheme="minorHAnsi"/>
        </w:rPr>
        <w:t>this group</w:t>
      </w:r>
      <w:r w:rsidRPr="001154A3">
        <w:rPr>
          <w:rFonts w:asciiTheme="minorHAnsi" w:hAnsiTheme="minorHAnsi" w:cstheme="minorHAnsi"/>
        </w:rPr>
        <w:t xml:space="preserve">, and Norway and Switzerland have adopted similar emission reduction targets to the EU, </w:t>
      </w:r>
      <w:r w:rsidR="007B2494">
        <w:rPr>
          <w:rFonts w:asciiTheme="minorHAnsi" w:hAnsiTheme="minorHAnsi" w:cstheme="minorHAnsi"/>
        </w:rPr>
        <w:t xml:space="preserve">the </w:t>
      </w:r>
      <w:r w:rsidRPr="001154A3">
        <w:rPr>
          <w:rFonts w:asciiTheme="minorHAnsi" w:hAnsiTheme="minorHAnsi" w:cstheme="minorHAnsi"/>
        </w:rPr>
        <w:t>representation in the model is consistent with EU climate</w:t>
      </w:r>
      <w:r w:rsidR="008B01ED">
        <w:rPr>
          <w:rFonts w:asciiTheme="minorHAnsi" w:hAnsiTheme="minorHAnsi" w:cstheme="minorHAnsi"/>
        </w:rPr>
        <w:t xml:space="preserve"> targets and</w:t>
      </w:r>
      <w:r w:rsidRPr="001154A3">
        <w:rPr>
          <w:rFonts w:asciiTheme="minorHAnsi" w:hAnsiTheme="minorHAnsi" w:cstheme="minorHAnsi"/>
        </w:rPr>
        <w:t xml:space="preserve"> policies.</w:t>
      </w:r>
    </w:p>
    <w:p w:rsidR="00E543BF" w:rsidRPr="00BF39AB" w:rsidRDefault="00E543BF" w:rsidP="00E543BF">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Target and policy assumptions</w:t>
      </w:r>
      <w:r w:rsidR="007370E7">
        <w:rPr>
          <w:rFonts w:asciiTheme="minorHAnsi" w:hAnsiTheme="minorHAnsi" w:cstheme="minorHAnsi"/>
          <w:i/>
          <w:color w:val="996633"/>
        </w:rPr>
        <w:t>,</w:t>
      </w:r>
      <w:r>
        <w:rPr>
          <w:rFonts w:asciiTheme="minorHAnsi" w:hAnsiTheme="minorHAnsi" w:cstheme="minorHAnsi"/>
          <w:i/>
          <w:color w:val="996633"/>
        </w:rPr>
        <w:t xml:space="preserve"> and model implementation</w:t>
      </w:r>
    </w:p>
    <w:p w:rsidR="00531CD0" w:rsidRPr="001154A3" w:rsidRDefault="00531CD0" w:rsidP="00BF7A32">
      <w:pPr>
        <w:spacing w:after="100" w:afterAutospacing="1"/>
        <w:rPr>
          <w:rFonts w:asciiTheme="minorHAnsi" w:hAnsiTheme="minorHAnsi" w:cstheme="minorHAnsi"/>
        </w:rPr>
      </w:pPr>
      <w:r w:rsidRPr="001154A3">
        <w:rPr>
          <w:rFonts w:asciiTheme="minorHAnsi" w:hAnsiTheme="minorHAnsi" w:cstheme="minorHAnsi"/>
        </w:rPr>
        <w:t>The European Union has announced targets for emissions to decrease by 40</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Pr="001154A3">
        <w:rPr>
          <w:rFonts w:asciiTheme="minorHAnsi" w:hAnsiTheme="minorHAnsi" w:cstheme="minorHAnsi"/>
        </w:rPr>
        <w:t>below 1990 levels by 2030, and 20</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Pr="001154A3">
        <w:rPr>
          <w:rFonts w:asciiTheme="minorHAnsi" w:hAnsiTheme="minorHAnsi" w:cstheme="minorHAnsi"/>
        </w:rPr>
        <w:t>below 1990 levels by 2020. The EU is on track to overachieve on its 2020 target, with the EU’s official projections showing emissions will be 22 per cent below 1990 levels by 2020 with existing measures, and 26 per cent below 1990 levels by 2020 with additional measures.</w:t>
      </w:r>
    </w:p>
    <w:p w:rsidR="00531CD0" w:rsidRPr="001154A3" w:rsidRDefault="00531CD0" w:rsidP="00BF7A32">
      <w:pPr>
        <w:spacing w:after="100" w:afterAutospacing="1"/>
        <w:rPr>
          <w:rFonts w:asciiTheme="minorHAnsi" w:hAnsiTheme="minorHAnsi" w:cstheme="minorHAnsi"/>
        </w:rPr>
      </w:pPr>
      <w:r w:rsidRPr="001154A3">
        <w:rPr>
          <w:rFonts w:asciiTheme="minorHAnsi" w:hAnsiTheme="minorHAnsi" w:cstheme="minorHAnsi"/>
        </w:rPr>
        <w:t>The European Union’s climate policies include emissions trading and targets for renewable energy and energy efficiency.</w:t>
      </w:r>
      <w:r w:rsidR="001154A3">
        <w:rPr>
          <w:rFonts w:asciiTheme="minorHAnsi" w:hAnsiTheme="minorHAnsi" w:cstheme="minorHAnsi"/>
        </w:rPr>
        <w:t xml:space="preserve"> </w:t>
      </w:r>
      <w:r w:rsidRPr="001154A3">
        <w:rPr>
          <w:rFonts w:asciiTheme="minorHAnsi" w:hAnsiTheme="minorHAnsi" w:cstheme="minorHAnsi"/>
        </w:rPr>
        <w:t>For 2020, the EU will increase the share of energy consumption produced from renewable resources to 20 per cent, and improve energy efficiency by 20 per cent from business as usual levels.</w:t>
      </w:r>
      <w:r w:rsidR="001154A3">
        <w:rPr>
          <w:rFonts w:asciiTheme="minorHAnsi" w:hAnsiTheme="minorHAnsi" w:cstheme="minorHAnsi"/>
        </w:rPr>
        <w:t xml:space="preserve"> </w:t>
      </w:r>
      <w:r w:rsidRPr="001154A3">
        <w:rPr>
          <w:rFonts w:asciiTheme="minorHAnsi" w:hAnsiTheme="minorHAnsi" w:cstheme="minorHAnsi"/>
        </w:rPr>
        <w:t>Emissions from sectors covered by the EU Emissions Trading Scheme (EU ETS) will be 21 per cent below 2005 levels by 2020. The EU ETS covers 45 per cent of EU emissions.</w:t>
      </w:r>
    </w:p>
    <w:p w:rsidR="00531CD0" w:rsidRPr="001154A3" w:rsidRDefault="00531CD0" w:rsidP="00BF7A32">
      <w:pPr>
        <w:spacing w:after="100" w:afterAutospacing="1"/>
        <w:rPr>
          <w:rFonts w:asciiTheme="minorHAnsi" w:hAnsiTheme="minorHAnsi" w:cstheme="minorHAnsi"/>
        </w:rPr>
      </w:pPr>
      <w:r w:rsidRPr="001154A3">
        <w:rPr>
          <w:rFonts w:asciiTheme="minorHAnsi" w:hAnsiTheme="minorHAnsi" w:cstheme="minorHAnsi"/>
        </w:rPr>
        <w:lastRenderedPageBreak/>
        <w:t xml:space="preserve">National governments have taken on binding targets for reducing greenhouse gas emissions not covered by the EU ETS. These range from 20 per cent below 2005 levels by </w:t>
      </w:r>
      <w:r w:rsidR="00430B1B">
        <w:rPr>
          <w:rFonts w:asciiTheme="minorHAnsi" w:hAnsiTheme="minorHAnsi" w:cstheme="minorHAnsi"/>
        </w:rPr>
        <w:t xml:space="preserve">some </w:t>
      </w:r>
      <w:r w:rsidRPr="001154A3">
        <w:rPr>
          <w:rFonts w:asciiTheme="minorHAnsi" w:hAnsiTheme="minorHAnsi" w:cstheme="minorHAnsi"/>
        </w:rPr>
        <w:t>Member States to a 20 per cent increase</w:t>
      </w:r>
      <w:r w:rsidR="00430B1B">
        <w:rPr>
          <w:rFonts w:asciiTheme="minorHAnsi" w:hAnsiTheme="minorHAnsi" w:cstheme="minorHAnsi"/>
        </w:rPr>
        <w:t xml:space="preserve"> by others</w:t>
      </w:r>
      <w:r w:rsidRPr="001154A3">
        <w:rPr>
          <w:rFonts w:asciiTheme="minorHAnsi" w:hAnsiTheme="minorHAnsi" w:cstheme="minorHAnsi"/>
        </w:rPr>
        <w:t xml:space="preserve">. These add up to a 10 per cent reduction </w:t>
      </w:r>
      <w:r w:rsidR="007B2494">
        <w:rPr>
          <w:rFonts w:asciiTheme="minorHAnsi" w:hAnsiTheme="minorHAnsi" w:cstheme="minorHAnsi"/>
        </w:rPr>
        <w:t xml:space="preserve">by 2020 </w:t>
      </w:r>
      <w:r w:rsidRPr="001154A3">
        <w:rPr>
          <w:rFonts w:asciiTheme="minorHAnsi" w:hAnsiTheme="minorHAnsi" w:cstheme="minorHAnsi"/>
        </w:rPr>
        <w:t>across the EU, from 2005 levels.</w:t>
      </w:r>
    </w:p>
    <w:p w:rsidR="00C11F09" w:rsidRDefault="00531CD0" w:rsidP="00BF7A32">
      <w:pPr>
        <w:spacing w:after="100" w:afterAutospacing="1"/>
        <w:rPr>
          <w:rFonts w:asciiTheme="minorHAnsi" w:hAnsiTheme="minorHAnsi" w:cstheme="minorHAnsi"/>
        </w:rPr>
      </w:pPr>
      <w:r w:rsidRPr="001154A3">
        <w:rPr>
          <w:rFonts w:asciiTheme="minorHAnsi" w:hAnsiTheme="minorHAnsi" w:cstheme="minorHAnsi"/>
        </w:rPr>
        <w:t xml:space="preserve">For 2030, the EU </w:t>
      </w:r>
      <w:r w:rsidR="007B2494">
        <w:rPr>
          <w:rFonts w:asciiTheme="minorHAnsi" w:hAnsiTheme="minorHAnsi" w:cstheme="minorHAnsi"/>
        </w:rPr>
        <w:t xml:space="preserve">has committed to </w:t>
      </w:r>
      <w:r w:rsidRPr="001154A3">
        <w:rPr>
          <w:rFonts w:asciiTheme="minorHAnsi" w:hAnsiTheme="minorHAnsi" w:cstheme="minorHAnsi"/>
        </w:rPr>
        <w:t>increase the share of energy consumption produced from renewable resources to at least 27 per cent, and improve energy efficiency by at least 27 per cent from business as usual levels.</w:t>
      </w:r>
      <w:r w:rsidR="001154A3">
        <w:rPr>
          <w:rFonts w:asciiTheme="minorHAnsi" w:hAnsiTheme="minorHAnsi" w:cstheme="minorHAnsi"/>
        </w:rPr>
        <w:t xml:space="preserve"> </w:t>
      </w:r>
      <w:r w:rsidRPr="001154A3">
        <w:rPr>
          <w:rFonts w:asciiTheme="minorHAnsi" w:hAnsiTheme="minorHAnsi" w:cstheme="minorHAnsi"/>
        </w:rPr>
        <w:t xml:space="preserve">Emissions from sectors covered by the EU ETS </w:t>
      </w:r>
      <w:r w:rsidR="007B2494">
        <w:rPr>
          <w:rFonts w:asciiTheme="minorHAnsi" w:hAnsiTheme="minorHAnsi" w:cstheme="minorHAnsi"/>
        </w:rPr>
        <w:t xml:space="preserve">are to </w:t>
      </w:r>
      <w:r w:rsidRPr="001154A3">
        <w:rPr>
          <w:rFonts w:asciiTheme="minorHAnsi" w:hAnsiTheme="minorHAnsi" w:cstheme="minorHAnsi"/>
        </w:rPr>
        <w:t>be 43 per cent below 2005 levels by 20</w:t>
      </w:r>
      <w:r w:rsidR="00780791">
        <w:rPr>
          <w:rFonts w:asciiTheme="minorHAnsi" w:hAnsiTheme="minorHAnsi" w:cstheme="minorHAnsi"/>
        </w:rPr>
        <w:t>3</w:t>
      </w:r>
      <w:r w:rsidRPr="001154A3">
        <w:rPr>
          <w:rFonts w:asciiTheme="minorHAnsi" w:hAnsiTheme="minorHAnsi" w:cstheme="minorHAnsi"/>
        </w:rPr>
        <w:t>0.</w:t>
      </w:r>
      <w:r w:rsidR="001154A3">
        <w:rPr>
          <w:rFonts w:asciiTheme="minorHAnsi" w:hAnsiTheme="minorHAnsi" w:cstheme="minorHAnsi"/>
        </w:rPr>
        <w:t xml:space="preserve"> </w:t>
      </w:r>
      <w:r w:rsidRPr="001154A3">
        <w:rPr>
          <w:rFonts w:asciiTheme="minorHAnsi" w:hAnsiTheme="minorHAnsi" w:cstheme="minorHAnsi"/>
        </w:rPr>
        <w:t>Emissions no</w:t>
      </w:r>
      <w:r w:rsidR="007B2494">
        <w:rPr>
          <w:rFonts w:asciiTheme="minorHAnsi" w:hAnsiTheme="minorHAnsi" w:cstheme="minorHAnsi"/>
        </w:rPr>
        <w:t>t</w:t>
      </w:r>
      <w:r w:rsidRPr="001154A3">
        <w:rPr>
          <w:rFonts w:asciiTheme="minorHAnsi" w:hAnsiTheme="minorHAnsi" w:cstheme="minorHAnsi"/>
        </w:rPr>
        <w:t xml:space="preserve"> covered by the EU ETS will need to be cut by 30 per cent below 2005 levels</w:t>
      </w:r>
      <w:r w:rsidR="007B2494">
        <w:rPr>
          <w:rFonts w:asciiTheme="minorHAnsi" w:hAnsiTheme="minorHAnsi" w:cstheme="minorHAnsi"/>
        </w:rPr>
        <w:t xml:space="preserve"> to meet the overall target</w:t>
      </w:r>
      <w:r w:rsidRPr="001154A3">
        <w:rPr>
          <w:rFonts w:asciiTheme="minorHAnsi" w:hAnsiTheme="minorHAnsi" w:cstheme="minorHAnsi"/>
        </w:rPr>
        <w:t>. Th</w:t>
      </w:r>
      <w:r w:rsidR="007B2494">
        <w:rPr>
          <w:rFonts w:asciiTheme="minorHAnsi" w:hAnsiTheme="minorHAnsi" w:cstheme="minorHAnsi"/>
        </w:rPr>
        <w:t xml:space="preserve">e EU </w:t>
      </w:r>
      <w:r w:rsidR="00430B1B">
        <w:rPr>
          <w:rFonts w:asciiTheme="minorHAnsi" w:hAnsiTheme="minorHAnsi" w:cstheme="minorHAnsi"/>
        </w:rPr>
        <w:t xml:space="preserve">2030 target is </w:t>
      </w:r>
      <w:r w:rsidRPr="001154A3">
        <w:rPr>
          <w:rFonts w:asciiTheme="minorHAnsi" w:hAnsiTheme="minorHAnsi" w:cstheme="minorHAnsi"/>
        </w:rPr>
        <w:t>yet to be translated into targets for individual Member States.</w:t>
      </w:r>
    </w:p>
    <w:p w:rsidR="008B01ED" w:rsidRPr="00D31415" w:rsidRDefault="008B01ED" w:rsidP="00BF7A32">
      <w:pPr>
        <w:spacing w:after="100" w:afterAutospacing="1"/>
        <w:rPr>
          <w:rFonts w:asciiTheme="minorHAnsi" w:hAnsiTheme="minorHAnsi" w:cstheme="minorHAnsi"/>
        </w:rPr>
      </w:pPr>
      <w:r w:rsidRPr="008B01ED">
        <w:rPr>
          <w:rFonts w:asciiTheme="minorHAnsi" w:hAnsiTheme="minorHAnsi" w:cstheme="minorHAnsi"/>
        </w:rPr>
        <w:t xml:space="preserve">The </w:t>
      </w:r>
      <w:r>
        <w:rPr>
          <w:rFonts w:asciiTheme="minorHAnsi" w:hAnsiTheme="minorHAnsi" w:cstheme="minorHAnsi"/>
        </w:rPr>
        <w:t>Paris Scenario</w:t>
      </w:r>
      <w:r w:rsidRPr="008B01ED">
        <w:rPr>
          <w:rFonts w:asciiTheme="minorHAnsi" w:hAnsiTheme="minorHAnsi" w:cstheme="minorHAnsi"/>
        </w:rPr>
        <w:t xml:space="preserve"> assumes that emissions decrease by 40 per cent below 1990 levels by 2030, consistent with the European Union’s official announcements.</w:t>
      </w:r>
      <w:r>
        <w:rPr>
          <w:rFonts w:asciiTheme="minorHAnsi" w:hAnsiTheme="minorHAnsi" w:cstheme="minorHAnsi"/>
        </w:rPr>
        <w:t xml:space="preserve"> The target is achieved through a carbon price, renewables consistent with the announced 2030 target (with the share of fossil fuels in electricity falling to 60 per cent by 2030) and energy efficiency consistent with the announced 2030 target.</w:t>
      </w:r>
      <w:r w:rsidR="00D31415">
        <w:rPr>
          <w:rFonts w:asciiTheme="minorHAnsi" w:hAnsiTheme="minorHAnsi" w:cstheme="minorHAnsi"/>
        </w:rPr>
        <w:t xml:space="preserve"> </w:t>
      </w:r>
    </w:p>
    <w:p w:rsidR="001154A3" w:rsidRDefault="00D31415" w:rsidP="00BF7A32">
      <w:pPr>
        <w:spacing w:after="100" w:afterAutospacing="1"/>
        <w:rPr>
          <w:rFonts w:asciiTheme="minorHAnsi" w:hAnsiTheme="minorHAnsi" w:cstheme="minorHAnsi"/>
        </w:rPr>
      </w:pPr>
      <w:r w:rsidRPr="00D31415">
        <w:rPr>
          <w:rFonts w:asciiTheme="minorHAnsi" w:hAnsiTheme="minorHAnsi" w:cstheme="minorHAnsi"/>
        </w:rPr>
        <w:t>In the Current Policies Scenario t</w:t>
      </w:r>
      <w:r w:rsidR="008B01ED" w:rsidRPr="00D31415">
        <w:rPr>
          <w:rFonts w:asciiTheme="minorHAnsi" w:hAnsiTheme="minorHAnsi" w:cstheme="minorHAnsi"/>
        </w:rPr>
        <w:t>he modelling assumes that emissions decrease by 22</w:t>
      </w:r>
      <w:r w:rsidR="008B01ED">
        <w:rPr>
          <w:rFonts w:asciiTheme="minorHAnsi" w:hAnsiTheme="minorHAnsi" w:cstheme="minorHAnsi"/>
        </w:rPr>
        <w:t xml:space="preserve"> per cent</w:t>
      </w:r>
      <w:r w:rsidR="008B01ED" w:rsidRPr="006F260D">
        <w:rPr>
          <w:rFonts w:asciiTheme="minorHAnsi" w:hAnsiTheme="minorHAnsi" w:cstheme="minorHAnsi"/>
        </w:rPr>
        <w:t xml:space="preserve"> below 1990 levels by 2020</w:t>
      </w:r>
      <w:r w:rsidR="008B01ED">
        <w:rPr>
          <w:rFonts w:asciiTheme="minorHAnsi" w:hAnsiTheme="minorHAnsi" w:cstheme="minorHAnsi"/>
        </w:rPr>
        <w:t>,</w:t>
      </w:r>
      <w:r w:rsidR="008B01ED" w:rsidRPr="006F260D">
        <w:rPr>
          <w:rFonts w:asciiTheme="minorHAnsi" w:hAnsiTheme="minorHAnsi" w:cstheme="minorHAnsi"/>
        </w:rPr>
        <w:t xml:space="preserve"> consistent with the current emissions </w:t>
      </w:r>
      <w:r w:rsidR="008B01ED">
        <w:rPr>
          <w:rFonts w:asciiTheme="minorHAnsi" w:hAnsiTheme="minorHAnsi" w:cstheme="minorHAnsi"/>
        </w:rPr>
        <w:t>projections.</w:t>
      </w:r>
      <w:r>
        <w:rPr>
          <w:rFonts w:asciiTheme="minorHAnsi" w:hAnsiTheme="minorHAnsi" w:cstheme="minorHAnsi"/>
        </w:rPr>
        <w:t xml:space="preserve"> This is achieved through a</w:t>
      </w:r>
      <w:r w:rsidR="008B01ED">
        <w:rPr>
          <w:rFonts w:asciiTheme="minorHAnsi" w:hAnsiTheme="minorHAnsi" w:cstheme="minorHAnsi"/>
        </w:rPr>
        <w:t xml:space="preserve"> carbon price as described for the </w:t>
      </w:r>
      <w:r w:rsidR="008B01ED" w:rsidRPr="00D31415">
        <w:rPr>
          <w:rFonts w:asciiTheme="minorHAnsi" w:hAnsiTheme="minorHAnsi" w:cstheme="minorHAnsi"/>
        </w:rPr>
        <w:t>Paris Scenario</w:t>
      </w:r>
      <w:r>
        <w:rPr>
          <w:rFonts w:asciiTheme="minorHAnsi" w:hAnsiTheme="minorHAnsi" w:cstheme="minorHAnsi"/>
        </w:rPr>
        <w:t>, r</w:t>
      </w:r>
      <w:r w:rsidR="008B01ED" w:rsidRPr="00D31415">
        <w:rPr>
          <w:rFonts w:asciiTheme="minorHAnsi" w:hAnsiTheme="minorHAnsi" w:cstheme="minorHAnsi"/>
        </w:rPr>
        <w:t>enewables consisten</w:t>
      </w:r>
      <w:r>
        <w:rPr>
          <w:rFonts w:asciiTheme="minorHAnsi" w:hAnsiTheme="minorHAnsi" w:cstheme="minorHAnsi"/>
        </w:rPr>
        <w:t>t with the 2020 target, and e</w:t>
      </w:r>
      <w:r w:rsidR="008B01ED">
        <w:rPr>
          <w:rFonts w:asciiTheme="minorHAnsi" w:hAnsiTheme="minorHAnsi" w:cstheme="minorHAnsi"/>
        </w:rPr>
        <w:t>nergy efficiency consistent with the 2020 target.</w:t>
      </w:r>
    </w:p>
    <w:p w:rsidR="00C11F09" w:rsidRPr="00BF39AB" w:rsidRDefault="00C11F09" w:rsidP="00C11F09">
      <w:pPr>
        <w:pStyle w:val="ListParagraph"/>
        <w:spacing w:line="360" w:lineRule="auto"/>
        <w:ind w:left="0"/>
        <w:rPr>
          <w:rFonts w:asciiTheme="minorHAnsi" w:hAnsiTheme="minorHAnsi" w:cstheme="minorHAnsi"/>
          <w:b/>
          <w:color w:val="996633"/>
        </w:rPr>
      </w:pPr>
      <w:r w:rsidRPr="00BF39AB">
        <w:rPr>
          <w:rFonts w:asciiTheme="minorHAnsi" w:hAnsiTheme="minorHAnsi" w:cstheme="minorHAnsi"/>
          <w:b/>
          <w:color w:val="996633"/>
        </w:rPr>
        <w:t xml:space="preserve">Canada </w:t>
      </w:r>
      <w:r w:rsidR="000B0EDE" w:rsidRPr="00BF39AB">
        <w:rPr>
          <w:rFonts w:asciiTheme="minorHAnsi" w:hAnsiTheme="minorHAnsi" w:cstheme="minorHAnsi"/>
          <w:b/>
          <w:color w:val="996633"/>
        </w:rPr>
        <w:t xml:space="preserve">and </w:t>
      </w:r>
      <w:r w:rsidRPr="00BF39AB">
        <w:rPr>
          <w:rFonts w:asciiTheme="minorHAnsi" w:hAnsiTheme="minorHAnsi" w:cstheme="minorHAnsi"/>
          <w:b/>
          <w:color w:val="996633"/>
        </w:rPr>
        <w:t>New Zealand</w:t>
      </w:r>
    </w:p>
    <w:p w:rsidR="00BC1A26" w:rsidRPr="00BF39AB" w:rsidRDefault="00BC1A26" w:rsidP="00BF7A32">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 xml:space="preserve">Representation in </w:t>
      </w:r>
      <w:r w:rsidR="00780791" w:rsidRPr="00BF39AB">
        <w:rPr>
          <w:rFonts w:asciiTheme="minorHAnsi" w:hAnsiTheme="minorHAnsi" w:cstheme="minorHAnsi"/>
          <w:i/>
          <w:color w:val="996633"/>
        </w:rPr>
        <w:t>the model</w:t>
      </w:r>
    </w:p>
    <w:p w:rsidR="00BC1A26" w:rsidRPr="00D31415" w:rsidRDefault="00BC1A26" w:rsidP="00BF7A32">
      <w:pPr>
        <w:spacing w:after="100" w:afterAutospacing="1"/>
        <w:rPr>
          <w:rFonts w:asciiTheme="minorHAnsi" w:hAnsiTheme="minorHAnsi" w:cstheme="minorHAnsi"/>
        </w:rPr>
      </w:pPr>
      <w:r w:rsidRPr="00D31415">
        <w:rPr>
          <w:rFonts w:asciiTheme="minorHAnsi" w:hAnsiTheme="minorHAnsi" w:cstheme="minorHAnsi"/>
        </w:rPr>
        <w:t>Canada and New Zealand are grouped together in the model in a region called “Rest of OECD” (ROECD)</w:t>
      </w:r>
      <w:r w:rsidR="00E0175F">
        <w:rPr>
          <w:rFonts w:asciiTheme="minorHAnsi" w:hAnsiTheme="minorHAnsi" w:cstheme="minorHAnsi"/>
        </w:rPr>
        <w:t>. T</w:t>
      </w:r>
      <w:r w:rsidR="00403DCC">
        <w:rPr>
          <w:rFonts w:asciiTheme="minorHAnsi" w:hAnsiTheme="minorHAnsi" w:cstheme="minorHAnsi"/>
        </w:rPr>
        <w:t xml:space="preserve">he model does not </w:t>
      </w:r>
      <w:r w:rsidR="00430B1B">
        <w:rPr>
          <w:rFonts w:asciiTheme="minorHAnsi" w:hAnsiTheme="minorHAnsi" w:cstheme="minorHAnsi"/>
        </w:rPr>
        <w:t xml:space="preserve">provide </w:t>
      </w:r>
      <w:r w:rsidR="00403DCC">
        <w:rPr>
          <w:rFonts w:asciiTheme="minorHAnsi" w:hAnsiTheme="minorHAnsi" w:cstheme="minorHAnsi"/>
        </w:rPr>
        <w:t xml:space="preserve">separate </w:t>
      </w:r>
      <w:r w:rsidRPr="00D31415">
        <w:rPr>
          <w:rFonts w:asciiTheme="minorHAnsi" w:hAnsiTheme="minorHAnsi" w:cstheme="minorHAnsi"/>
        </w:rPr>
        <w:t xml:space="preserve">economic impacts from their individual post-2020 targets. </w:t>
      </w:r>
      <w:r w:rsidR="00D31415">
        <w:rPr>
          <w:rFonts w:asciiTheme="minorHAnsi" w:hAnsiTheme="minorHAnsi" w:cstheme="minorHAnsi"/>
        </w:rPr>
        <w:t xml:space="preserve"> </w:t>
      </w:r>
      <w:r w:rsidRPr="00D31415">
        <w:rPr>
          <w:rFonts w:asciiTheme="minorHAnsi" w:hAnsiTheme="minorHAnsi" w:cstheme="minorHAnsi"/>
        </w:rPr>
        <w:t>However</w:t>
      </w:r>
      <w:r w:rsidR="00403DCC">
        <w:rPr>
          <w:rFonts w:asciiTheme="minorHAnsi" w:hAnsiTheme="minorHAnsi" w:cstheme="minorHAnsi"/>
        </w:rPr>
        <w:t xml:space="preserve"> the results for </w:t>
      </w:r>
      <w:r w:rsidR="003B6E18">
        <w:rPr>
          <w:rFonts w:asciiTheme="minorHAnsi" w:hAnsiTheme="minorHAnsi" w:cstheme="minorHAnsi"/>
        </w:rPr>
        <w:t xml:space="preserve">the </w:t>
      </w:r>
      <w:r w:rsidR="00403DCC">
        <w:rPr>
          <w:rFonts w:asciiTheme="minorHAnsi" w:hAnsiTheme="minorHAnsi" w:cstheme="minorHAnsi"/>
        </w:rPr>
        <w:t xml:space="preserve">ROECD </w:t>
      </w:r>
      <w:r w:rsidR="003B6E18">
        <w:rPr>
          <w:rFonts w:asciiTheme="minorHAnsi" w:hAnsiTheme="minorHAnsi" w:cstheme="minorHAnsi"/>
        </w:rPr>
        <w:t xml:space="preserve">region </w:t>
      </w:r>
      <w:r w:rsidR="00403DCC">
        <w:rPr>
          <w:rFonts w:asciiTheme="minorHAnsi" w:hAnsiTheme="minorHAnsi" w:cstheme="minorHAnsi"/>
        </w:rPr>
        <w:t>can be used</w:t>
      </w:r>
      <w:r w:rsidR="00403DCC" w:rsidRPr="00403DCC">
        <w:rPr>
          <w:rFonts w:asciiTheme="minorHAnsi" w:hAnsiTheme="minorHAnsi" w:cstheme="minorHAnsi"/>
        </w:rPr>
        <w:t xml:space="preserve"> </w:t>
      </w:r>
      <w:r w:rsidR="00403DCC" w:rsidRPr="00D31415">
        <w:rPr>
          <w:rFonts w:asciiTheme="minorHAnsi" w:hAnsiTheme="minorHAnsi" w:cstheme="minorHAnsi"/>
        </w:rPr>
        <w:t xml:space="preserve">to draw some broad </w:t>
      </w:r>
      <w:r w:rsidR="00403DCC">
        <w:rPr>
          <w:rFonts w:asciiTheme="minorHAnsi" w:hAnsiTheme="minorHAnsi" w:cstheme="minorHAnsi"/>
        </w:rPr>
        <w:t xml:space="preserve">conclusions about </w:t>
      </w:r>
      <w:r w:rsidR="003B6E18">
        <w:rPr>
          <w:rFonts w:asciiTheme="minorHAnsi" w:hAnsiTheme="minorHAnsi" w:cstheme="minorHAnsi"/>
        </w:rPr>
        <w:t xml:space="preserve">the </w:t>
      </w:r>
      <w:r w:rsidR="00403DCC">
        <w:rPr>
          <w:rFonts w:asciiTheme="minorHAnsi" w:hAnsiTheme="minorHAnsi" w:cstheme="minorHAnsi"/>
        </w:rPr>
        <w:t>impacts o</w:t>
      </w:r>
      <w:r w:rsidR="00403DCC" w:rsidRPr="00D31415">
        <w:rPr>
          <w:rFonts w:asciiTheme="minorHAnsi" w:hAnsiTheme="minorHAnsi" w:cstheme="minorHAnsi"/>
        </w:rPr>
        <w:t>n Canada</w:t>
      </w:r>
      <w:r w:rsidR="00403DCC">
        <w:rPr>
          <w:rFonts w:asciiTheme="minorHAnsi" w:hAnsiTheme="minorHAnsi" w:cstheme="minorHAnsi"/>
        </w:rPr>
        <w:t>,</w:t>
      </w:r>
      <w:r w:rsidRPr="00D31415">
        <w:rPr>
          <w:rFonts w:asciiTheme="minorHAnsi" w:hAnsiTheme="minorHAnsi" w:cstheme="minorHAnsi"/>
        </w:rPr>
        <w:t xml:space="preserve"> </w:t>
      </w:r>
      <w:r w:rsidR="00403DCC" w:rsidRPr="00D31415">
        <w:rPr>
          <w:rFonts w:asciiTheme="minorHAnsi" w:hAnsiTheme="minorHAnsi" w:cstheme="minorHAnsi"/>
        </w:rPr>
        <w:t xml:space="preserve">because </w:t>
      </w:r>
      <w:r w:rsidRPr="00D31415">
        <w:rPr>
          <w:rFonts w:asciiTheme="minorHAnsi" w:hAnsiTheme="minorHAnsi" w:cstheme="minorHAnsi"/>
        </w:rPr>
        <w:t xml:space="preserve">Canada’s significantly larger </w:t>
      </w:r>
      <w:r w:rsidR="00403DCC">
        <w:rPr>
          <w:rFonts w:asciiTheme="minorHAnsi" w:hAnsiTheme="minorHAnsi" w:cstheme="minorHAnsi"/>
        </w:rPr>
        <w:t xml:space="preserve">economy </w:t>
      </w:r>
      <w:r w:rsidR="00430B1B">
        <w:rPr>
          <w:rFonts w:asciiTheme="minorHAnsi" w:hAnsiTheme="minorHAnsi" w:cstheme="minorHAnsi"/>
        </w:rPr>
        <w:t>ac</w:t>
      </w:r>
      <w:r w:rsidR="003B6E18">
        <w:rPr>
          <w:rFonts w:asciiTheme="minorHAnsi" w:hAnsiTheme="minorHAnsi" w:cstheme="minorHAnsi"/>
        </w:rPr>
        <w:t>c</w:t>
      </w:r>
      <w:r w:rsidR="00430B1B">
        <w:rPr>
          <w:rFonts w:asciiTheme="minorHAnsi" w:hAnsiTheme="minorHAnsi" w:cstheme="minorHAnsi"/>
        </w:rPr>
        <w:t>ounts for the majority of the impacts on</w:t>
      </w:r>
      <w:r w:rsidR="00430B1B" w:rsidRPr="00D31415">
        <w:rPr>
          <w:rFonts w:asciiTheme="minorHAnsi" w:hAnsiTheme="minorHAnsi" w:cstheme="minorHAnsi"/>
        </w:rPr>
        <w:t xml:space="preserve"> </w:t>
      </w:r>
      <w:r w:rsidRPr="00D31415">
        <w:rPr>
          <w:rFonts w:asciiTheme="minorHAnsi" w:hAnsiTheme="minorHAnsi" w:cstheme="minorHAnsi"/>
        </w:rPr>
        <w:t>the ROECD grouping</w:t>
      </w:r>
      <w:r w:rsidR="00403DCC">
        <w:rPr>
          <w:rFonts w:asciiTheme="minorHAnsi" w:hAnsiTheme="minorHAnsi" w:cstheme="minorHAnsi"/>
        </w:rPr>
        <w:t>.</w:t>
      </w:r>
      <w:r w:rsidRPr="00D31415">
        <w:rPr>
          <w:rFonts w:asciiTheme="minorHAnsi" w:hAnsiTheme="minorHAnsi" w:cstheme="minorHAnsi"/>
        </w:rPr>
        <w:t xml:space="preserve"> </w:t>
      </w:r>
    </w:p>
    <w:p w:rsidR="00E543BF" w:rsidRPr="00BF39AB" w:rsidRDefault="00E543BF" w:rsidP="00E543BF">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Target and policy assumptions</w:t>
      </w:r>
      <w:r w:rsidR="00797CFB">
        <w:rPr>
          <w:rFonts w:asciiTheme="minorHAnsi" w:hAnsiTheme="minorHAnsi" w:cstheme="minorHAnsi"/>
          <w:i/>
          <w:color w:val="996633"/>
        </w:rPr>
        <w:t>,</w:t>
      </w:r>
      <w:r>
        <w:rPr>
          <w:rFonts w:asciiTheme="minorHAnsi" w:hAnsiTheme="minorHAnsi" w:cstheme="minorHAnsi"/>
          <w:i/>
          <w:color w:val="996633"/>
        </w:rPr>
        <w:t xml:space="preserve"> and model implementation</w:t>
      </w:r>
    </w:p>
    <w:p w:rsidR="00D31415" w:rsidRDefault="00A27F93" w:rsidP="00BF7A32">
      <w:pPr>
        <w:spacing w:after="100" w:afterAutospacing="1"/>
        <w:rPr>
          <w:rFonts w:asciiTheme="minorHAnsi" w:hAnsiTheme="minorHAnsi" w:cstheme="minorHAnsi"/>
        </w:rPr>
      </w:pPr>
      <w:r w:rsidRPr="00D31415">
        <w:rPr>
          <w:rFonts w:asciiTheme="minorHAnsi" w:hAnsiTheme="minorHAnsi" w:cstheme="minorHAnsi"/>
        </w:rPr>
        <w:t xml:space="preserve">At the time of modelling, Canada had not announced </w:t>
      </w:r>
      <w:r w:rsidR="00BC1A26" w:rsidRPr="00D31415">
        <w:rPr>
          <w:rFonts w:asciiTheme="minorHAnsi" w:hAnsiTheme="minorHAnsi" w:cstheme="minorHAnsi"/>
        </w:rPr>
        <w:t xml:space="preserve">a </w:t>
      </w:r>
      <w:r w:rsidRPr="00D31415">
        <w:rPr>
          <w:rFonts w:asciiTheme="minorHAnsi" w:hAnsiTheme="minorHAnsi" w:cstheme="minorHAnsi"/>
        </w:rPr>
        <w:t>post-2020 target</w:t>
      </w:r>
      <w:r w:rsidR="004E4D04">
        <w:rPr>
          <w:rFonts w:asciiTheme="minorHAnsi" w:hAnsiTheme="minorHAnsi" w:cstheme="minorHAnsi"/>
        </w:rPr>
        <w:t xml:space="preserve">. </w:t>
      </w:r>
      <w:r w:rsidR="004E4D04" w:rsidRPr="00D77BE7">
        <w:rPr>
          <w:rFonts w:asciiTheme="minorHAnsi" w:hAnsiTheme="minorHAnsi" w:cstheme="minorHAnsi"/>
        </w:rPr>
        <w:t>The</w:t>
      </w:r>
      <w:r w:rsidR="00430B1B">
        <w:rPr>
          <w:rFonts w:asciiTheme="minorHAnsi" w:hAnsiTheme="minorHAnsi" w:cstheme="minorHAnsi"/>
        </w:rPr>
        <w:t xml:space="preserve"> analysis for the</w:t>
      </w:r>
      <w:r w:rsidR="004E4D04" w:rsidRPr="00D77BE7">
        <w:rPr>
          <w:rFonts w:asciiTheme="minorHAnsi" w:hAnsiTheme="minorHAnsi" w:cstheme="minorHAnsi"/>
        </w:rPr>
        <w:t xml:space="preserve"> Paris Scenario assume</w:t>
      </w:r>
      <w:r w:rsidR="004E4D04">
        <w:rPr>
          <w:rFonts w:asciiTheme="minorHAnsi" w:hAnsiTheme="minorHAnsi" w:cstheme="minorHAnsi"/>
        </w:rPr>
        <w:t>d Canada’s</w:t>
      </w:r>
      <w:r w:rsidR="004E4D04" w:rsidRPr="00D77BE7">
        <w:rPr>
          <w:rFonts w:asciiTheme="minorHAnsi" w:hAnsiTheme="minorHAnsi" w:cstheme="minorHAnsi"/>
        </w:rPr>
        <w:t xml:space="preserve"> emissions </w:t>
      </w:r>
      <w:r w:rsidR="004E4D04">
        <w:rPr>
          <w:rFonts w:asciiTheme="minorHAnsi" w:hAnsiTheme="minorHAnsi" w:cstheme="minorHAnsi"/>
        </w:rPr>
        <w:t xml:space="preserve">would </w:t>
      </w:r>
      <w:r w:rsidR="004E4D04" w:rsidRPr="00D77BE7">
        <w:rPr>
          <w:rFonts w:asciiTheme="minorHAnsi" w:hAnsiTheme="minorHAnsi" w:cstheme="minorHAnsi"/>
        </w:rPr>
        <w:t>decrease b</w:t>
      </w:r>
      <w:r w:rsidR="004E4D04">
        <w:rPr>
          <w:rFonts w:asciiTheme="minorHAnsi" w:hAnsiTheme="minorHAnsi" w:cstheme="minorHAnsi"/>
        </w:rPr>
        <w:t xml:space="preserve">y </w:t>
      </w:r>
      <w:r w:rsidR="00430B1B">
        <w:rPr>
          <w:rFonts w:asciiTheme="minorHAnsi" w:hAnsiTheme="minorHAnsi" w:cstheme="minorHAnsi"/>
        </w:rPr>
        <w:t>22 </w:t>
      </w:r>
      <w:r w:rsidR="004E4D04">
        <w:rPr>
          <w:rFonts w:asciiTheme="minorHAnsi" w:hAnsiTheme="minorHAnsi" w:cstheme="minorHAnsi"/>
        </w:rPr>
        <w:t>per cent</w:t>
      </w:r>
      <w:r w:rsidR="004E4D04" w:rsidRPr="002470EE">
        <w:rPr>
          <w:rFonts w:asciiTheme="minorHAnsi" w:hAnsiTheme="minorHAnsi" w:cstheme="minorHAnsi"/>
        </w:rPr>
        <w:t xml:space="preserve"> </w:t>
      </w:r>
      <w:r w:rsidR="004E4D04" w:rsidRPr="00D77BE7">
        <w:rPr>
          <w:rFonts w:asciiTheme="minorHAnsi" w:hAnsiTheme="minorHAnsi" w:cstheme="minorHAnsi"/>
        </w:rPr>
        <w:t>below 2005 levels by 2030.</w:t>
      </w:r>
      <w:r w:rsidR="004E4D04">
        <w:rPr>
          <w:rFonts w:asciiTheme="minorHAnsi" w:hAnsiTheme="minorHAnsi" w:cstheme="minorHAnsi"/>
        </w:rPr>
        <w:t xml:space="preserve"> Canada has since announced a target to reduce emissions by 30 per cent below 2005 levels by 2030</w:t>
      </w:r>
      <w:r w:rsidR="00531CD0" w:rsidRPr="00D31415">
        <w:rPr>
          <w:rFonts w:asciiTheme="minorHAnsi" w:hAnsiTheme="minorHAnsi" w:cstheme="minorHAnsi"/>
        </w:rPr>
        <w:t>.</w:t>
      </w:r>
      <w:r w:rsidRPr="00D31415">
        <w:rPr>
          <w:rFonts w:asciiTheme="minorHAnsi" w:hAnsiTheme="minorHAnsi" w:cstheme="minorHAnsi"/>
        </w:rPr>
        <w:t xml:space="preserve"> </w:t>
      </w:r>
    </w:p>
    <w:p w:rsidR="00D10E06" w:rsidRPr="00D31415" w:rsidRDefault="00531CD0" w:rsidP="00BF7A32">
      <w:pPr>
        <w:spacing w:after="100" w:afterAutospacing="1"/>
        <w:rPr>
          <w:rFonts w:asciiTheme="minorHAnsi" w:hAnsiTheme="minorHAnsi" w:cstheme="minorHAnsi"/>
        </w:rPr>
      </w:pPr>
      <w:r w:rsidRPr="00D31415">
        <w:rPr>
          <w:rFonts w:asciiTheme="minorHAnsi" w:hAnsiTheme="minorHAnsi" w:cstheme="minorHAnsi"/>
        </w:rPr>
        <w:t xml:space="preserve">Canada’s </w:t>
      </w:r>
      <w:r w:rsidR="00A27F93" w:rsidRPr="00D31415">
        <w:rPr>
          <w:rFonts w:asciiTheme="minorHAnsi" w:hAnsiTheme="minorHAnsi" w:cstheme="minorHAnsi"/>
        </w:rPr>
        <w:t>2020</w:t>
      </w:r>
      <w:r w:rsidRPr="00D31415">
        <w:rPr>
          <w:rFonts w:asciiTheme="minorHAnsi" w:hAnsiTheme="minorHAnsi" w:cstheme="minorHAnsi"/>
        </w:rPr>
        <w:t xml:space="preserve"> target is to reduce emissions </w:t>
      </w:r>
      <w:r w:rsidR="00A27F93" w:rsidRPr="00D31415">
        <w:rPr>
          <w:rFonts w:asciiTheme="minorHAnsi" w:hAnsiTheme="minorHAnsi" w:cstheme="minorHAnsi"/>
        </w:rPr>
        <w:t>17 per cent below 2005 levels</w:t>
      </w:r>
      <w:r w:rsidRPr="00D31415">
        <w:rPr>
          <w:rFonts w:asciiTheme="minorHAnsi" w:hAnsiTheme="minorHAnsi" w:cstheme="minorHAnsi"/>
        </w:rPr>
        <w:t>, an abatement challenge of 246 Mt CO</w:t>
      </w:r>
      <w:r w:rsidRPr="00D31415">
        <w:rPr>
          <w:rFonts w:asciiTheme="minorHAnsi" w:hAnsiTheme="minorHAnsi" w:cstheme="minorHAnsi"/>
          <w:vertAlign w:val="subscript"/>
        </w:rPr>
        <w:t>2</w:t>
      </w:r>
      <w:r w:rsidRPr="00D31415">
        <w:rPr>
          <w:rFonts w:asciiTheme="minorHAnsi" w:hAnsiTheme="minorHAnsi" w:cstheme="minorHAnsi"/>
        </w:rPr>
        <w:t>-e in 2020.</w:t>
      </w:r>
      <w:r w:rsidR="00D31415">
        <w:rPr>
          <w:rFonts w:asciiTheme="minorHAnsi" w:hAnsiTheme="minorHAnsi" w:cstheme="minorHAnsi"/>
        </w:rPr>
        <w:t xml:space="preserve"> </w:t>
      </w:r>
      <w:r w:rsidRPr="00D31415">
        <w:rPr>
          <w:rFonts w:asciiTheme="minorHAnsi" w:hAnsiTheme="minorHAnsi" w:cstheme="minorHAnsi"/>
        </w:rPr>
        <w:t xml:space="preserve">Canada’s most recent emissions projections indicate that </w:t>
      </w:r>
      <w:r w:rsidR="00E0175F">
        <w:rPr>
          <w:rFonts w:asciiTheme="minorHAnsi" w:hAnsiTheme="minorHAnsi" w:cstheme="minorHAnsi"/>
        </w:rPr>
        <w:t>around</w:t>
      </w:r>
      <w:r w:rsidR="00E0175F" w:rsidRPr="00D31415">
        <w:rPr>
          <w:rFonts w:asciiTheme="minorHAnsi" w:hAnsiTheme="minorHAnsi" w:cstheme="minorHAnsi"/>
        </w:rPr>
        <w:t xml:space="preserve"> </w:t>
      </w:r>
      <w:r w:rsidRPr="00D31415">
        <w:rPr>
          <w:rFonts w:asciiTheme="minorHAnsi" w:hAnsiTheme="minorHAnsi" w:cstheme="minorHAnsi"/>
        </w:rPr>
        <w:t>half of the abatement challenge in 2020 can be met with current measures</w:t>
      </w:r>
      <w:r w:rsidR="00A27F93" w:rsidRPr="00D31415">
        <w:rPr>
          <w:rFonts w:asciiTheme="minorHAnsi" w:hAnsiTheme="minorHAnsi" w:cstheme="minorHAnsi"/>
        </w:rPr>
        <w:t xml:space="preserve">. </w:t>
      </w:r>
    </w:p>
    <w:p w:rsidR="008B01ED" w:rsidRDefault="00531CD0" w:rsidP="00EE006D">
      <w:pPr>
        <w:spacing w:after="100" w:afterAutospacing="1"/>
        <w:rPr>
          <w:rFonts w:asciiTheme="minorHAnsi" w:hAnsiTheme="minorHAnsi" w:cstheme="minorHAnsi"/>
        </w:rPr>
      </w:pPr>
      <w:r w:rsidRPr="00D31415">
        <w:rPr>
          <w:rFonts w:asciiTheme="minorHAnsi" w:hAnsiTheme="minorHAnsi" w:cstheme="minorHAnsi"/>
          <w:color w:val="000000" w:themeColor="text1"/>
        </w:rPr>
        <w:lastRenderedPageBreak/>
        <w:t>The Canadian Government has implemented standards in transport, fuels and electricity, and intends to regulate HFCs.</w:t>
      </w:r>
      <w:r>
        <w:rPr>
          <w:rStyle w:val="FootnoteReference"/>
          <w:rFonts w:asciiTheme="minorHAnsi" w:hAnsiTheme="minorHAnsi" w:cstheme="minorHAnsi"/>
          <w:color w:val="000000" w:themeColor="text1"/>
        </w:rPr>
        <w:footnoteReference w:id="10"/>
      </w:r>
      <w:r w:rsidR="00D31415">
        <w:rPr>
          <w:rFonts w:asciiTheme="minorHAnsi" w:hAnsiTheme="minorHAnsi" w:cstheme="minorHAnsi"/>
        </w:rPr>
        <w:t xml:space="preserve"> </w:t>
      </w:r>
      <w:r w:rsidRPr="00D31415">
        <w:rPr>
          <w:rFonts w:asciiTheme="minorHAnsi" w:hAnsiTheme="minorHAnsi" w:cstheme="minorHAnsi"/>
          <w:color w:val="000000" w:themeColor="text1"/>
        </w:rPr>
        <w:t>Canada does not have a federal carbon price in place. However</w:t>
      </w:r>
      <w:r w:rsidR="00E0175F">
        <w:rPr>
          <w:rFonts w:asciiTheme="minorHAnsi" w:hAnsiTheme="minorHAnsi" w:cstheme="minorHAnsi"/>
          <w:color w:val="000000" w:themeColor="text1"/>
        </w:rPr>
        <w:t xml:space="preserve"> four provinces, contributing</w:t>
      </w:r>
      <w:r w:rsidRPr="00D31415">
        <w:rPr>
          <w:rFonts w:asciiTheme="minorHAnsi" w:hAnsiTheme="minorHAnsi" w:cstheme="minorHAnsi"/>
          <w:color w:val="000000" w:themeColor="text1"/>
        </w:rPr>
        <w:t xml:space="preserve"> a</w:t>
      </w:r>
      <w:r w:rsidR="00E0175F">
        <w:rPr>
          <w:rFonts w:asciiTheme="minorHAnsi" w:hAnsiTheme="minorHAnsi" w:cstheme="minorHAnsi"/>
          <w:color w:val="000000" w:themeColor="text1"/>
        </w:rPr>
        <w:t>round 80 per cent</w:t>
      </w:r>
      <w:r w:rsidRPr="00D31415">
        <w:rPr>
          <w:rFonts w:asciiTheme="minorHAnsi" w:hAnsiTheme="minorHAnsi" w:cstheme="minorHAnsi"/>
          <w:color w:val="000000" w:themeColor="text1"/>
        </w:rPr>
        <w:t xml:space="preserve"> of Canada’s emissions</w:t>
      </w:r>
      <w:r w:rsidR="00E0175F">
        <w:rPr>
          <w:rFonts w:asciiTheme="minorHAnsi" w:hAnsiTheme="minorHAnsi" w:cstheme="minorHAnsi"/>
          <w:color w:val="000000" w:themeColor="text1"/>
        </w:rPr>
        <w:t>,</w:t>
      </w:r>
      <w:r w:rsidRPr="00D31415">
        <w:rPr>
          <w:rFonts w:asciiTheme="minorHAnsi" w:hAnsiTheme="minorHAnsi" w:cstheme="minorHAnsi"/>
          <w:color w:val="000000" w:themeColor="text1"/>
        </w:rPr>
        <w:t xml:space="preserve"> </w:t>
      </w:r>
      <w:r w:rsidR="00E0175F">
        <w:rPr>
          <w:rFonts w:asciiTheme="minorHAnsi" w:hAnsiTheme="minorHAnsi" w:cstheme="minorHAnsi"/>
          <w:color w:val="000000" w:themeColor="text1"/>
        </w:rPr>
        <w:t xml:space="preserve">have implemented </w:t>
      </w:r>
      <w:r w:rsidRPr="00D31415">
        <w:rPr>
          <w:rFonts w:asciiTheme="minorHAnsi" w:hAnsiTheme="minorHAnsi" w:cstheme="minorHAnsi"/>
          <w:color w:val="000000" w:themeColor="text1"/>
        </w:rPr>
        <w:t>a carbon price</w:t>
      </w:r>
      <w:r w:rsidR="00430B1B">
        <w:rPr>
          <w:rFonts w:asciiTheme="minorHAnsi" w:hAnsiTheme="minorHAnsi" w:cstheme="minorHAnsi"/>
          <w:color w:val="000000" w:themeColor="text1"/>
        </w:rPr>
        <w:t xml:space="preserve"> through sub-national policies</w:t>
      </w:r>
      <w:r w:rsidRPr="00D31415">
        <w:rPr>
          <w:rFonts w:asciiTheme="minorHAnsi" w:hAnsiTheme="minorHAnsi" w:cstheme="minorHAnsi"/>
          <w:color w:val="000000" w:themeColor="text1"/>
        </w:rPr>
        <w:t>.</w:t>
      </w:r>
      <w:r w:rsidR="009A23E1">
        <w:rPr>
          <w:rStyle w:val="FootnoteReference"/>
          <w:rFonts w:asciiTheme="minorHAnsi" w:hAnsiTheme="minorHAnsi" w:cstheme="minorHAnsi"/>
        </w:rPr>
        <w:footnoteReference w:id="11"/>
      </w:r>
    </w:p>
    <w:p w:rsidR="008B01ED" w:rsidRPr="00682EDB" w:rsidRDefault="003F77F2" w:rsidP="00BF7A32">
      <w:pPr>
        <w:spacing w:after="100" w:afterAutospacing="1"/>
        <w:rPr>
          <w:rFonts w:asciiTheme="minorHAnsi" w:hAnsiTheme="minorHAnsi" w:cstheme="minorHAnsi"/>
        </w:rPr>
      </w:pPr>
      <w:r>
        <w:rPr>
          <w:rFonts w:asciiTheme="minorHAnsi" w:hAnsiTheme="minorHAnsi" w:cstheme="minorHAnsi"/>
        </w:rPr>
        <w:t xml:space="preserve">The </w:t>
      </w:r>
      <w:r w:rsidR="008B01ED" w:rsidRPr="00682EDB">
        <w:rPr>
          <w:rFonts w:asciiTheme="minorHAnsi" w:hAnsiTheme="minorHAnsi" w:cstheme="minorHAnsi"/>
        </w:rPr>
        <w:t>modelling</w:t>
      </w:r>
      <w:r>
        <w:rPr>
          <w:rFonts w:asciiTheme="minorHAnsi" w:hAnsiTheme="minorHAnsi" w:cstheme="minorHAnsi"/>
        </w:rPr>
        <w:t xml:space="preserve"> assumes </w:t>
      </w:r>
      <w:r w:rsidR="008B01ED" w:rsidRPr="00682EDB">
        <w:rPr>
          <w:rFonts w:asciiTheme="minorHAnsi" w:hAnsiTheme="minorHAnsi" w:cstheme="minorHAnsi"/>
        </w:rPr>
        <w:t>a post-2020 target</w:t>
      </w:r>
      <w:r>
        <w:rPr>
          <w:rFonts w:asciiTheme="minorHAnsi" w:hAnsiTheme="minorHAnsi" w:cstheme="minorHAnsi"/>
        </w:rPr>
        <w:t xml:space="preserve"> for Canada </w:t>
      </w:r>
      <w:r w:rsidR="008B01ED" w:rsidRPr="00682EDB">
        <w:rPr>
          <w:rFonts w:asciiTheme="minorHAnsi" w:hAnsiTheme="minorHAnsi" w:cstheme="minorHAnsi"/>
        </w:rPr>
        <w:t xml:space="preserve">of 22 per cent below 2005 levels by 2030. </w:t>
      </w:r>
      <w:r w:rsidR="00682EDB">
        <w:rPr>
          <w:rFonts w:asciiTheme="minorHAnsi" w:hAnsiTheme="minorHAnsi" w:cstheme="minorHAnsi"/>
        </w:rPr>
        <w:t>The target is met through a mix of carbon pricing and energy sector measures.</w:t>
      </w:r>
    </w:p>
    <w:p w:rsidR="008B01ED" w:rsidRPr="00682EDB" w:rsidRDefault="003F77F2" w:rsidP="00BF7A32">
      <w:pPr>
        <w:spacing w:after="100" w:afterAutospacing="1"/>
        <w:rPr>
          <w:rFonts w:asciiTheme="minorHAnsi" w:hAnsiTheme="minorHAnsi" w:cstheme="minorHAnsi"/>
        </w:rPr>
      </w:pPr>
      <w:r>
        <w:rPr>
          <w:rFonts w:asciiTheme="minorHAnsi" w:hAnsiTheme="minorHAnsi" w:cstheme="minorHAnsi"/>
        </w:rPr>
        <w:t xml:space="preserve">Given Canada’s </w:t>
      </w:r>
      <w:r w:rsidR="008B01ED" w:rsidRPr="00682EDB">
        <w:rPr>
          <w:rFonts w:asciiTheme="minorHAnsi" w:hAnsiTheme="minorHAnsi" w:cstheme="minorHAnsi"/>
        </w:rPr>
        <w:t>announced target (</w:t>
      </w:r>
      <w:r w:rsidR="008B01ED" w:rsidRPr="00BF7A32">
        <w:rPr>
          <w:rFonts w:asciiTheme="minorHAnsi" w:hAnsiTheme="minorHAnsi" w:cstheme="minorHAnsi"/>
        </w:rPr>
        <w:t>Appendix A</w:t>
      </w:r>
      <w:r w:rsidR="008B01ED" w:rsidRPr="00682EDB">
        <w:rPr>
          <w:rFonts w:asciiTheme="minorHAnsi" w:hAnsiTheme="minorHAnsi" w:cstheme="minorHAnsi"/>
        </w:rPr>
        <w:t>)</w:t>
      </w:r>
      <w:r>
        <w:rPr>
          <w:rFonts w:asciiTheme="minorHAnsi" w:hAnsiTheme="minorHAnsi" w:cstheme="minorHAnsi"/>
        </w:rPr>
        <w:t>,</w:t>
      </w:r>
      <w:r w:rsidR="008B01ED" w:rsidRPr="00682EDB">
        <w:rPr>
          <w:rFonts w:asciiTheme="minorHAnsi" w:hAnsiTheme="minorHAnsi" w:cstheme="minorHAnsi"/>
        </w:rPr>
        <w:t xml:space="preserve"> </w:t>
      </w:r>
      <w:r>
        <w:rPr>
          <w:rFonts w:asciiTheme="minorHAnsi" w:hAnsiTheme="minorHAnsi" w:cstheme="minorHAnsi"/>
        </w:rPr>
        <w:t>t</w:t>
      </w:r>
      <w:r w:rsidRPr="00682EDB">
        <w:rPr>
          <w:rFonts w:asciiTheme="minorHAnsi" w:hAnsiTheme="minorHAnsi" w:cstheme="minorHAnsi"/>
        </w:rPr>
        <w:t xml:space="preserve">he </w:t>
      </w:r>
      <w:r w:rsidR="008B01ED" w:rsidRPr="00682EDB">
        <w:rPr>
          <w:rFonts w:asciiTheme="minorHAnsi" w:hAnsiTheme="minorHAnsi" w:cstheme="minorHAnsi"/>
        </w:rPr>
        <w:t xml:space="preserve">economic impacts </w:t>
      </w:r>
      <w:r w:rsidR="004650A6">
        <w:rPr>
          <w:rFonts w:asciiTheme="minorHAnsi" w:hAnsiTheme="minorHAnsi" w:cstheme="minorHAnsi"/>
        </w:rPr>
        <w:t>on</w:t>
      </w:r>
      <w:r w:rsidR="004650A6" w:rsidRPr="00682EDB">
        <w:rPr>
          <w:rFonts w:asciiTheme="minorHAnsi" w:hAnsiTheme="minorHAnsi" w:cstheme="minorHAnsi"/>
        </w:rPr>
        <w:t xml:space="preserve"> </w:t>
      </w:r>
      <w:r w:rsidR="008B01ED" w:rsidRPr="00682EDB">
        <w:rPr>
          <w:rFonts w:asciiTheme="minorHAnsi" w:hAnsiTheme="minorHAnsi" w:cstheme="minorHAnsi"/>
        </w:rPr>
        <w:t xml:space="preserve">Canada </w:t>
      </w:r>
      <w:r w:rsidR="006F53F7">
        <w:rPr>
          <w:rFonts w:asciiTheme="minorHAnsi" w:hAnsiTheme="minorHAnsi" w:cstheme="minorHAnsi"/>
        </w:rPr>
        <w:t xml:space="preserve">out </w:t>
      </w:r>
      <w:r w:rsidR="004650A6">
        <w:rPr>
          <w:rFonts w:asciiTheme="minorHAnsi" w:hAnsiTheme="minorHAnsi" w:cstheme="minorHAnsi"/>
        </w:rPr>
        <w:t xml:space="preserve">to </w:t>
      </w:r>
      <w:r w:rsidR="008B01ED" w:rsidRPr="00682EDB">
        <w:rPr>
          <w:rFonts w:asciiTheme="minorHAnsi" w:hAnsiTheme="minorHAnsi" w:cstheme="minorHAnsi"/>
        </w:rPr>
        <w:t xml:space="preserve">2030 may be greater than </w:t>
      </w:r>
      <w:r w:rsidR="006F53F7">
        <w:rPr>
          <w:rFonts w:asciiTheme="minorHAnsi" w:hAnsiTheme="minorHAnsi" w:cstheme="minorHAnsi"/>
        </w:rPr>
        <w:t xml:space="preserve">found by the </w:t>
      </w:r>
      <w:r w:rsidR="008B01ED" w:rsidRPr="00682EDB">
        <w:rPr>
          <w:rFonts w:asciiTheme="minorHAnsi" w:hAnsiTheme="minorHAnsi" w:cstheme="minorHAnsi"/>
        </w:rPr>
        <w:t xml:space="preserve">modelling, </w:t>
      </w:r>
      <w:r w:rsidR="004650A6">
        <w:rPr>
          <w:rFonts w:asciiTheme="minorHAnsi" w:hAnsiTheme="minorHAnsi" w:cstheme="minorHAnsi"/>
        </w:rPr>
        <w:t>al</w:t>
      </w:r>
      <w:r w:rsidR="008B01ED" w:rsidRPr="00682EDB">
        <w:rPr>
          <w:rFonts w:asciiTheme="minorHAnsi" w:hAnsiTheme="minorHAnsi" w:cstheme="minorHAnsi"/>
        </w:rPr>
        <w:t xml:space="preserve">though no firm conclusions can be drawn without additional modelling. </w:t>
      </w:r>
    </w:p>
    <w:p w:rsidR="008B01ED" w:rsidRDefault="008B01ED" w:rsidP="008B01ED">
      <w:pPr>
        <w:pStyle w:val="ListParagraph"/>
        <w:spacing w:line="360" w:lineRule="auto"/>
        <w:ind w:left="0"/>
        <w:rPr>
          <w:rFonts w:asciiTheme="minorHAnsi" w:hAnsiTheme="minorHAnsi" w:cstheme="minorHAnsi"/>
          <w:b/>
        </w:rPr>
      </w:pPr>
    </w:p>
    <w:p w:rsidR="00FD596C" w:rsidRDefault="00FD596C">
      <w:pPr>
        <w:rPr>
          <w:rFonts w:asciiTheme="minorHAnsi" w:hAnsiTheme="minorHAnsi" w:cstheme="minorHAnsi"/>
          <w:b/>
          <w:color w:val="0070C0"/>
          <w:sz w:val="40"/>
        </w:rPr>
      </w:pPr>
      <w:r>
        <w:rPr>
          <w:rFonts w:asciiTheme="minorHAnsi" w:hAnsiTheme="minorHAnsi" w:cstheme="minorHAnsi"/>
          <w:b/>
          <w:color w:val="0070C0"/>
          <w:sz w:val="40"/>
        </w:rPr>
        <w:br w:type="page"/>
      </w:r>
    </w:p>
    <w:p w:rsidR="00A0502F" w:rsidRPr="00C32F93" w:rsidRDefault="00FD596C" w:rsidP="00A0502F">
      <w:pPr>
        <w:rPr>
          <w:rFonts w:asciiTheme="minorHAnsi" w:hAnsiTheme="minorHAnsi" w:cstheme="minorHAnsi"/>
          <w:b/>
          <w:color w:val="996633"/>
          <w:sz w:val="40"/>
        </w:rPr>
      </w:pPr>
      <w:r w:rsidRPr="00C32F93">
        <w:rPr>
          <w:rFonts w:asciiTheme="minorHAnsi" w:hAnsiTheme="minorHAnsi" w:cstheme="minorHAnsi"/>
          <w:b/>
          <w:color w:val="996633"/>
          <w:sz w:val="40"/>
        </w:rPr>
        <w:lastRenderedPageBreak/>
        <w:t>M</w:t>
      </w:r>
      <w:r w:rsidR="008A19EA" w:rsidRPr="00C32F93">
        <w:rPr>
          <w:rFonts w:asciiTheme="minorHAnsi" w:hAnsiTheme="minorHAnsi" w:cstheme="minorHAnsi"/>
          <w:b/>
          <w:color w:val="996633"/>
          <w:sz w:val="40"/>
        </w:rPr>
        <w:t>odelling results</w:t>
      </w:r>
    </w:p>
    <w:p w:rsidR="00A0502F" w:rsidRPr="00335D2D" w:rsidRDefault="00A0502F" w:rsidP="00A0502F">
      <w:pPr>
        <w:rPr>
          <w:rFonts w:asciiTheme="minorHAnsi" w:hAnsiTheme="minorHAnsi" w:cstheme="minorHAnsi"/>
        </w:rPr>
      </w:pPr>
    </w:p>
    <w:p w:rsidR="00A0502F" w:rsidRPr="00335D2D" w:rsidRDefault="00D418B0" w:rsidP="00A0502F">
      <w:pPr>
        <w:spacing w:line="276" w:lineRule="auto"/>
        <w:rPr>
          <w:rFonts w:asciiTheme="minorHAnsi" w:hAnsiTheme="minorHAnsi" w:cstheme="minorHAnsi"/>
          <w:b/>
        </w:rPr>
      </w:pPr>
      <w:r>
        <w:rPr>
          <w:rFonts w:asciiTheme="minorHAnsi" w:hAnsiTheme="minorHAnsi" w:cstheme="minorHAnsi"/>
          <w:noProof/>
          <w:lang w:eastAsia="en-AU"/>
        </w:rPr>
        <mc:AlternateContent>
          <mc:Choice Requires="wps">
            <w:drawing>
              <wp:anchor distT="0" distB="0" distL="114300" distR="114300" simplePos="0" relativeHeight="251698176" behindDoc="0" locked="0" layoutInCell="1" allowOverlap="1" wp14:anchorId="4A48ED52" wp14:editId="6AC53A4E">
                <wp:simplePos x="0" y="0"/>
                <wp:positionH relativeFrom="column">
                  <wp:posOffset>19756</wp:posOffset>
                </wp:positionH>
                <wp:positionV relativeFrom="paragraph">
                  <wp:posOffset>91087</wp:posOffset>
                </wp:positionV>
                <wp:extent cx="5200650" cy="1038578"/>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038578"/>
                        </a:xfrm>
                        <a:prstGeom prst="rect">
                          <a:avLst/>
                        </a:prstGeom>
                        <a:ln>
                          <a:solidFill>
                            <a:srgbClr val="996633"/>
                          </a:solidFill>
                          <a:headEnd/>
                          <a:tailEnd/>
                        </a:ln>
                      </wps:spPr>
                      <wps:style>
                        <a:lnRef idx="2">
                          <a:schemeClr val="accent1"/>
                        </a:lnRef>
                        <a:fillRef idx="1">
                          <a:schemeClr val="lt1"/>
                        </a:fillRef>
                        <a:effectRef idx="0">
                          <a:schemeClr val="accent1"/>
                        </a:effectRef>
                        <a:fontRef idx="minor">
                          <a:schemeClr val="dk1"/>
                        </a:fontRef>
                      </wps:style>
                      <wps:txbx>
                        <w:txbxContent>
                          <w:p w:rsidR="00926FD1" w:rsidRPr="00192168" w:rsidRDefault="00926FD1" w:rsidP="008A19EA">
                            <w:pPr>
                              <w:spacing w:line="276" w:lineRule="auto"/>
                              <w:rPr>
                                <w:rFonts w:asciiTheme="minorHAnsi" w:hAnsiTheme="minorHAnsi" w:cstheme="minorHAnsi"/>
                                <w:caps/>
                                <w:color w:val="4F81BD" w:themeColor="accent1"/>
                                <w:sz w:val="22"/>
                              </w:rPr>
                            </w:pPr>
                            <w:r w:rsidRPr="00192168">
                              <w:rPr>
                                <w:rFonts w:asciiTheme="minorHAnsi" w:hAnsiTheme="minorHAnsi" w:cstheme="minorHAnsi"/>
                                <w:caps/>
                                <w:color w:val="4F81BD" w:themeColor="accent1"/>
                                <w:sz w:val="22"/>
                              </w:rPr>
                              <w:t xml:space="preserve">the GLOBAL and DOMESTIC economy continues to grow WHILE MEETING post-2020 targets. </w:t>
                            </w:r>
                          </w:p>
                          <w:p w:rsidR="00926FD1" w:rsidRPr="00192168" w:rsidRDefault="00926FD1" w:rsidP="00483B3D">
                            <w:pPr>
                              <w:spacing w:line="276" w:lineRule="auto"/>
                              <w:rPr>
                                <w:rFonts w:asciiTheme="minorHAnsi" w:hAnsiTheme="minorHAnsi" w:cstheme="minorHAnsi"/>
                                <w:caps/>
                                <w:color w:val="4F81BD" w:themeColor="accent1"/>
                                <w:sz w:val="22"/>
                              </w:rPr>
                            </w:pPr>
                            <w:r w:rsidRPr="00192168">
                              <w:rPr>
                                <w:rFonts w:asciiTheme="minorHAnsi" w:hAnsiTheme="minorHAnsi" w:cstheme="minorHAnsi"/>
                                <w:caps/>
                                <w:color w:val="4F81BD" w:themeColor="accent1"/>
                                <w:sz w:val="22"/>
                              </w:rPr>
                              <w:t>australia’S ECONOMY IS 0.16 per cent smaller in 2030 due to international action, WHILE STILL GROWING AT 2.2 per cent annually.</w:t>
                            </w:r>
                          </w:p>
                        </w:txbxContent>
                      </wps:txbx>
                      <wps:bodyPr rot="0" vert="horz" wrap="square" lIns="144000" tIns="108000" rIns="144000" bIns="10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5pt;margin-top:7.15pt;width:409.5pt;height:8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" fillcolor="white [3201]" strokecolor="#963" strokeweight="2pt">
                <v:textbox inset="4mm,3mm,4mm,3mm">
                  <w:txbxContent>
                    <w:p w:rsidR="00926FD1" w:rsidRPr="00192168" w:rsidRDefault="00926FD1" w:rsidP="008A19EA">
                      <w:pPr>
                        <w:spacing w:line="276" w:lineRule="auto"/>
                        <w:rPr>
                          <w:rFonts w:asciiTheme="minorHAnsi" w:hAnsiTheme="minorHAnsi" w:cstheme="minorHAnsi"/>
                          <w:caps/>
                          <w:color w:val="4F81BD" w:themeColor="accent1"/>
                          <w:sz w:val="22"/>
                        </w:rPr>
                      </w:pPr>
                      <w:r w:rsidRPr="00192168">
                        <w:rPr>
                          <w:rFonts w:asciiTheme="minorHAnsi" w:hAnsiTheme="minorHAnsi" w:cstheme="minorHAnsi"/>
                          <w:caps/>
                          <w:color w:val="4F81BD" w:themeColor="accent1"/>
                          <w:sz w:val="22"/>
                        </w:rPr>
                        <w:t xml:space="preserve">the GLOBAL and DOMESTIC economy continues to grow WHILE MEETING post-2020 targets. </w:t>
                      </w:r>
                    </w:p>
                    <w:p w:rsidR="00926FD1" w:rsidRPr="00192168" w:rsidRDefault="00926FD1" w:rsidP="00483B3D">
                      <w:pPr>
                        <w:spacing w:line="276" w:lineRule="auto"/>
                        <w:rPr>
                          <w:rFonts w:asciiTheme="minorHAnsi" w:hAnsiTheme="minorHAnsi" w:cstheme="minorHAnsi"/>
                          <w:caps/>
                          <w:color w:val="4F81BD" w:themeColor="accent1"/>
                          <w:sz w:val="22"/>
                        </w:rPr>
                      </w:pPr>
                      <w:r w:rsidRPr="00192168">
                        <w:rPr>
                          <w:rFonts w:asciiTheme="minorHAnsi" w:hAnsiTheme="minorHAnsi" w:cstheme="minorHAnsi"/>
                          <w:caps/>
                          <w:color w:val="4F81BD" w:themeColor="accent1"/>
                          <w:sz w:val="22"/>
                        </w:rPr>
                        <w:t>australia’S ECONOMY IS 0.16 per cent smaller in 2030 due to international action, WHILE STILL GROWING AT 2.2 per cent annually.</w:t>
                      </w:r>
                    </w:p>
                  </w:txbxContent>
                </v:textbox>
              </v:shape>
            </w:pict>
          </mc:Fallback>
        </mc:AlternateContent>
      </w:r>
    </w:p>
    <w:p w:rsidR="00A0502F" w:rsidRPr="00335D2D" w:rsidRDefault="00A0502F" w:rsidP="00A0502F">
      <w:pPr>
        <w:spacing w:line="276" w:lineRule="auto"/>
        <w:rPr>
          <w:rFonts w:asciiTheme="minorHAnsi" w:hAnsiTheme="minorHAnsi" w:cstheme="minorHAnsi"/>
          <w:b/>
        </w:rPr>
      </w:pPr>
    </w:p>
    <w:p w:rsidR="00A0502F" w:rsidRPr="00335D2D" w:rsidRDefault="00A0502F" w:rsidP="00A0502F">
      <w:pPr>
        <w:spacing w:line="276" w:lineRule="auto"/>
        <w:rPr>
          <w:rFonts w:asciiTheme="minorHAnsi" w:hAnsiTheme="minorHAnsi" w:cstheme="minorHAnsi"/>
          <w:b/>
        </w:rPr>
      </w:pPr>
    </w:p>
    <w:p w:rsidR="00A0502F" w:rsidRDefault="00A0502F" w:rsidP="00A0502F">
      <w:pPr>
        <w:spacing w:line="276" w:lineRule="auto"/>
        <w:rPr>
          <w:rFonts w:asciiTheme="minorHAnsi" w:hAnsiTheme="minorHAnsi" w:cstheme="minorHAnsi"/>
          <w:b/>
        </w:rPr>
      </w:pPr>
    </w:p>
    <w:p w:rsidR="008A19EA" w:rsidRDefault="008A19EA" w:rsidP="00A0502F">
      <w:pPr>
        <w:spacing w:line="276" w:lineRule="auto"/>
        <w:rPr>
          <w:rFonts w:asciiTheme="minorHAnsi" w:hAnsiTheme="minorHAnsi" w:cstheme="minorHAnsi"/>
          <w:b/>
        </w:rPr>
      </w:pPr>
    </w:p>
    <w:p w:rsidR="008A19EA" w:rsidRPr="00335D2D" w:rsidRDefault="008A19EA" w:rsidP="00A0502F">
      <w:pPr>
        <w:spacing w:line="276" w:lineRule="auto"/>
        <w:rPr>
          <w:rFonts w:asciiTheme="minorHAnsi" w:hAnsiTheme="minorHAnsi" w:cstheme="minorHAnsi"/>
          <w:b/>
        </w:rPr>
      </w:pPr>
    </w:p>
    <w:p w:rsidR="00A0502F" w:rsidRPr="00335D2D" w:rsidRDefault="00A0502F" w:rsidP="00A0502F">
      <w:pPr>
        <w:spacing w:line="276" w:lineRule="auto"/>
        <w:rPr>
          <w:rFonts w:asciiTheme="minorHAnsi" w:hAnsiTheme="minorHAnsi" w:cstheme="minorHAnsi"/>
          <w:b/>
        </w:rPr>
      </w:pPr>
    </w:p>
    <w:p w:rsidR="00531CD0" w:rsidRPr="00BF39AB" w:rsidRDefault="00531CD0" w:rsidP="00137AAE">
      <w:pPr>
        <w:pStyle w:val="ListParagraph"/>
        <w:spacing w:line="360" w:lineRule="auto"/>
        <w:ind w:left="0"/>
        <w:rPr>
          <w:rFonts w:asciiTheme="minorHAnsi" w:hAnsiTheme="minorHAnsi" w:cstheme="minorHAnsi"/>
          <w:b/>
          <w:color w:val="996633"/>
        </w:rPr>
      </w:pPr>
      <w:r w:rsidRPr="00BF39AB">
        <w:rPr>
          <w:rFonts w:asciiTheme="minorHAnsi" w:hAnsiTheme="minorHAnsi" w:cstheme="minorHAnsi"/>
          <w:b/>
          <w:color w:val="996633"/>
        </w:rPr>
        <w:t>Impacts on the global economy and Australia</w:t>
      </w:r>
    </w:p>
    <w:p w:rsidR="00137AAE" w:rsidRPr="00BF39AB" w:rsidRDefault="00137AAE" w:rsidP="00137AAE">
      <w:pPr>
        <w:pStyle w:val="ListParagraph"/>
        <w:spacing w:line="360" w:lineRule="auto"/>
        <w:ind w:left="0"/>
        <w:rPr>
          <w:rFonts w:asciiTheme="minorHAnsi" w:hAnsiTheme="minorHAnsi" w:cstheme="minorHAnsi"/>
          <w:i/>
          <w:color w:val="996633"/>
        </w:rPr>
      </w:pPr>
      <w:r w:rsidRPr="00BF39AB">
        <w:rPr>
          <w:rFonts w:asciiTheme="minorHAnsi" w:hAnsiTheme="minorHAnsi" w:cstheme="minorHAnsi"/>
          <w:i/>
          <w:color w:val="996633"/>
        </w:rPr>
        <w:t>The world economy expands while emissions ease</w:t>
      </w:r>
    </w:p>
    <w:p w:rsidR="00182A42" w:rsidRDefault="003374BA" w:rsidP="00BF7A32">
      <w:pPr>
        <w:spacing w:after="100" w:afterAutospacing="1"/>
        <w:rPr>
          <w:rFonts w:asciiTheme="minorHAnsi" w:hAnsiTheme="minorHAnsi" w:cstheme="minorHAnsi"/>
        </w:rPr>
      </w:pPr>
      <w:r>
        <w:rPr>
          <w:rFonts w:asciiTheme="minorHAnsi" w:hAnsiTheme="minorHAnsi" w:cstheme="minorHAnsi"/>
        </w:rPr>
        <w:t xml:space="preserve">In the </w:t>
      </w:r>
      <w:r w:rsidR="000326D3">
        <w:rPr>
          <w:rFonts w:asciiTheme="minorHAnsi" w:hAnsiTheme="minorHAnsi" w:cstheme="minorHAnsi"/>
        </w:rPr>
        <w:t xml:space="preserve">Paris </w:t>
      </w:r>
      <w:r>
        <w:rPr>
          <w:rFonts w:asciiTheme="minorHAnsi" w:hAnsiTheme="minorHAnsi" w:cstheme="minorHAnsi"/>
        </w:rPr>
        <w:t>Scenario</w:t>
      </w:r>
      <w:r w:rsidR="00FD596C">
        <w:rPr>
          <w:rFonts w:asciiTheme="minorHAnsi" w:hAnsiTheme="minorHAnsi" w:cstheme="minorHAnsi"/>
        </w:rPr>
        <w:t xml:space="preserve">, </w:t>
      </w:r>
      <w:r>
        <w:rPr>
          <w:rFonts w:asciiTheme="minorHAnsi" w:hAnsiTheme="minorHAnsi" w:cstheme="minorHAnsi"/>
        </w:rPr>
        <w:t xml:space="preserve">real global growth is </w:t>
      </w:r>
      <w:r w:rsidR="000326D3">
        <w:rPr>
          <w:rFonts w:asciiTheme="minorHAnsi" w:hAnsiTheme="minorHAnsi" w:cstheme="minorHAnsi"/>
        </w:rPr>
        <w:t xml:space="preserve">estimated to average </w:t>
      </w:r>
      <w:r>
        <w:rPr>
          <w:rFonts w:asciiTheme="minorHAnsi" w:hAnsiTheme="minorHAnsi" w:cstheme="minorHAnsi"/>
        </w:rPr>
        <w:t>2.2</w:t>
      </w:r>
      <w:r w:rsidR="000326D3">
        <w:rPr>
          <w:rFonts w:asciiTheme="minorHAnsi" w:hAnsiTheme="minorHAnsi" w:cstheme="minorHAnsi"/>
        </w:rPr>
        <w:t>5</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Pr>
          <w:rFonts w:asciiTheme="minorHAnsi" w:hAnsiTheme="minorHAnsi" w:cstheme="minorHAnsi"/>
        </w:rPr>
        <w:t xml:space="preserve">per </w:t>
      </w:r>
      <w:r w:rsidR="000326D3">
        <w:rPr>
          <w:rFonts w:asciiTheme="minorHAnsi" w:hAnsiTheme="minorHAnsi" w:cstheme="minorHAnsi"/>
        </w:rPr>
        <w:t xml:space="preserve">year </w:t>
      </w:r>
      <w:r>
        <w:rPr>
          <w:rFonts w:asciiTheme="minorHAnsi" w:hAnsiTheme="minorHAnsi" w:cstheme="minorHAnsi"/>
        </w:rPr>
        <w:t xml:space="preserve">(above inflation) from 2020 to 2030. </w:t>
      </w:r>
      <w:r w:rsidR="000326D3">
        <w:rPr>
          <w:rFonts w:asciiTheme="minorHAnsi" w:hAnsiTheme="minorHAnsi" w:cstheme="minorHAnsi"/>
        </w:rPr>
        <w:t>By comparison, the global economy is projected to grow at 2.26 per cent a year in the Current Policies Scenario.</w:t>
      </w:r>
    </w:p>
    <w:p w:rsidR="003374BA" w:rsidRPr="009F628A" w:rsidRDefault="003374BA" w:rsidP="00BF7A32">
      <w:pPr>
        <w:spacing w:after="100" w:afterAutospacing="1"/>
        <w:rPr>
          <w:rFonts w:ascii="Calibri" w:hAnsi="Calibri" w:cs="Calibri"/>
          <w:lang w:val="en-US"/>
        </w:rPr>
      </w:pPr>
      <w:r>
        <w:rPr>
          <w:rFonts w:asciiTheme="minorHAnsi" w:hAnsiTheme="minorHAnsi" w:cstheme="minorHAnsi"/>
        </w:rPr>
        <w:t xml:space="preserve">The </w:t>
      </w:r>
      <w:r w:rsidR="000326D3">
        <w:rPr>
          <w:rFonts w:asciiTheme="minorHAnsi" w:hAnsiTheme="minorHAnsi" w:cstheme="minorHAnsi"/>
        </w:rPr>
        <w:t xml:space="preserve">emissions reduction </w:t>
      </w:r>
      <w:r>
        <w:rPr>
          <w:rFonts w:asciiTheme="minorHAnsi" w:hAnsiTheme="minorHAnsi" w:cstheme="minorHAnsi"/>
        </w:rPr>
        <w:t xml:space="preserve">commitments in the </w:t>
      </w:r>
      <w:r w:rsidR="008A1F97">
        <w:rPr>
          <w:rFonts w:asciiTheme="minorHAnsi" w:hAnsiTheme="minorHAnsi" w:cstheme="minorHAnsi"/>
        </w:rPr>
        <w:t>Paris Scenario</w:t>
      </w:r>
      <w:r>
        <w:rPr>
          <w:rFonts w:asciiTheme="minorHAnsi" w:hAnsiTheme="minorHAnsi" w:cstheme="minorHAnsi"/>
        </w:rPr>
        <w:t xml:space="preserve"> </w:t>
      </w:r>
      <w:r w:rsidR="0090330C">
        <w:rPr>
          <w:rFonts w:asciiTheme="minorHAnsi" w:hAnsiTheme="minorHAnsi" w:cstheme="minorHAnsi"/>
        </w:rPr>
        <w:t xml:space="preserve">results in </w:t>
      </w:r>
      <w:r w:rsidR="00182A42">
        <w:rPr>
          <w:rFonts w:ascii="Calibri" w:hAnsi="Calibri" w:cs="Calibri"/>
          <w:lang w:val="en-US"/>
        </w:rPr>
        <w:t xml:space="preserve">global emissions being </w:t>
      </w:r>
      <w:r w:rsidR="0018279F">
        <w:rPr>
          <w:rFonts w:ascii="Calibri" w:hAnsi="Calibri" w:cs="Calibri"/>
          <w:lang w:val="en-US"/>
        </w:rPr>
        <w:t xml:space="preserve">5 </w:t>
      </w:r>
      <w:r w:rsidR="00182A42">
        <w:rPr>
          <w:rFonts w:ascii="Calibri" w:hAnsi="Calibri" w:cs="Calibri"/>
          <w:lang w:val="en-US"/>
        </w:rPr>
        <w:t xml:space="preserve">per cent lower in 2025 and 10 per cent lower in 2030 than projected for the Current Policies Scenario. </w:t>
      </w:r>
    </w:p>
    <w:p w:rsidR="00137AAE" w:rsidRPr="00BF39AB" w:rsidRDefault="00137AAE" w:rsidP="00137AAE">
      <w:pPr>
        <w:pStyle w:val="ListParagraph"/>
        <w:spacing w:line="360" w:lineRule="auto"/>
        <w:ind w:left="0"/>
        <w:rPr>
          <w:rFonts w:asciiTheme="minorHAnsi" w:hAnsiTheme="minorHAnsi" w:cstheme="minorHAnsi"/>
          <w:i/>
          <w:color w:val="996633"/>
        </w:rPr>
      </w:pPr>
      <w:r w:rsidRPr="00BF39AB">
        <w:rPr>
          <w:rFonts w:asciiTheme="minorHAnsi" w:hAnsiTheme="minorHAnsi" w:cstheme="minorHAnsi"/>
          <w:i/>
          <w:color w:val="996633"/>
        </w:rPr>
        <w:t>Global energy demand rises but the growth of fossil fuels slows</w:t>
      </w:r>
    </w:p>
    <w:p w:rsidR="0018279F" w:rsidRDefault="006F1E85" w:rsidP="00BF7A32">
      <w:pPr>
        <w:spacing w:after="100" w:afterAutospacing="1"/>
        <w:rPr>
          <w:rFonts w:asciiTheme="minorHAnsi" w:hAnsiTheme="minorHAnsi" w:cstheme="minorHAnsi"/>
        </w:rPr>
      </w:pPr>
      <w:r w:rsidRPr="00C871CD">
        <w:rPr>
          <w:rFonts w:asciiTheme="minorHAnsi" w:hAnsiTheme="minorHAnsi" w:cstheme="minorHAnsi"/>
        </w:rPr>
        <w:t>Total global energy use continues to increase in the Paris Scenario, growing 1</w:t>
      </w:r>
      <w:r>
        <w:rPr>
          <w:rFonts w:asciiTheme="minorHAnsi" w:hAnsiTheme="minorHAnsi" w:cstheme="minorHAnsi"/>
        </w:rPr>
        <w:t>6</w:t>
      </w:r>
      <w:r w:rsidRPr="00C871CD">
        <w:rPr>
          <w:rFonts w:asciiTheme="minorHAnsi" w:hAnsiTheme="minorHAnsi" w:cstheme="minorHAnsi"/>
        </w:rPr>
        <w:t xml:space="preserve"> per cent from 2020 to 2030 </w:t>
      </w:r>
      <w:r>
        <w:rPr>
          <w:rFonts w:asciiTheme="minorHAnsi" w:hAnsiTheme="minorHAnsi" w:cstheme="minorHAnsi"/>
        </w:rPr>
        <w:t>comp</w:t>
      </w:r>
      <w:r w:rsidRPr="00C871CD">
        <w:rPr>
          <w:rFonts w:asciiTheme="minorHAnsi" w:hAnsiTheme="minorHAnsi" w:cstheme="minorHAnsi"/>
        </w:rPr>
        <w:t>ared to 1</w:t>
      </w:r>
      <w:r>
        <w:rPr>
          <w:rFonts w:asciiTheme="minorHAnsi" w:hAnsiTheme="minorHAnsi" w:cstheme="minorHAnsi"/>
        </w:rPr>
        <w:t>9 per cent</w:t>
      </w:r>
      <w:r w:rsidRPr="00C871CD">
        <w:rPr>
          <w:rFonts w:asciiTheme="minorHAnsi" w:hAnsiTheme="minorHAnsi" w:cstheme="minorHAnsi"/>
        </w:rPr>
        <w:t xml:space="preserve"> under </w:t>
      </w:r>
      <w:r>
        <w:rPr>
          <w:rFonts w:asciiTheme="minorHAnsi" w:hAnsiTheme="minorHAnsi" w:cstheme="minorHAnsi"/>
        </w:rPr>
        <w:t xml:space="preserve">the Current Policies Scenario. </w:t>
      </w:r>
      <w:r w:rsidR="0090330C">
        <w:rPr>
          <w:rFonts w:asciiTheme="minorHAnsi" w:hAnsiTheme="minorHAnsi" w:cstheme="minorHAnsi"/>
        </w:rPr>
        <w:t xml:space="preserve">Emissions reductions are driven by </w:t>
      </w:r>
      <w:r w:rsidR="003374BA">
        <w:rPr>
          <w:rFonts w:asciiTheme="minorHAnsi" w:hAnsiTheme="minorHAnsi" w:cstheme="minorHAnsi"/>
        </w:rPr>
        <w:t xml:space="preserve">an increase in low-carbon energy supply, increased capital investment, and slower growth in global fossil fuel output and trade. </w:t>
      </w:r>
    </w:p>
    <w:p w:rsidR="003374BA" w:rsidRDefault="003374BA" w:rsidP="00BF7A32">
      <w:pPr>
        <w:spacing w:after="100" w:afterAutospacing="1"/>
        <w:rPr>
          <w:rFonts w:asciiTheme="minorHAnsi" w:hAnsiTheme="minorHAnsi" w:cstheme="minorHAnsi"/>
        </w:rPr>
      </w:pPr>
      <w:r>
        <w:rPr>
          <w:rFonts w:asciiTheme="minorHAnsi" w:hAnsiTheme="minorHAnsi" w:cstheme="minorHAnsi"/>
        </w:rPr>
        <w:t xml:space="preserve">Global coal </w:t>
      </w:r>
      <w:r w:rsidR="000326D3">
        <w:rPr>
          <w:rFonts w:asciiTheme="minorHAnsi" w:hAnsiTheme="minorHAnsi" w:cstheme="minorHAnsi"/>
        </w:rPr>
        <w:t xml:space="preserve">production </w:t>
      </w:r>
      <w:r>
        <w:rPr>
          <w:rFonts w:asciiTheme="minorHAnsi" w:hAnsiTheme="minorHAnsi" w:cstheme="minorHAnsi"/>
        </w:rPr>
        <w:t xml:space="preserve">is projected to fall by around </w:t>
      </w:r>
      <w:r w:rsidR="009A23E1">
        <w:rPr>
          <w:rFonts w:asciiTheme="minorHAnsi" w:hAnsiTheme="minorHAnsi" w:cstheme="minorHAnsi"/>
        </w:rPr>
        <w:t>5</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00162297">
        <w:rPr>
          <w:rFonts w:asciiTheme="minorHAnsi" w:hAnsiTheme="minorHAnsi" w:cstheme="minorHAnsi"/>
        </w:rPr>
        <w:t xml:space="preserve">from </w:t>
      </w:r>
      <w:r w:rsidR="009A23E1">
        <w:rPr>
          <w:rFonts w:asciiTheme="minorHAnsi" w:hAnsiTheme="minorHAnsi" w:cstheme="minorHAnsi"/>
        </w:rPr>
        <w:t xml:space="preserve">2020 to </w:t>
      </w:r>
      <w:r w:rsidR="00FD596C">
        <w:rPr>
          <w:rFonts w:asciiTheme="minorHAnsi" w:hAnsiTheme="minorHAnsi" w:cstheme="minorHAnsi"/>
        </w:rPr>
        <w:t xml:space="preserve">2030 </w:t>
      </w:r>
      <w:r>
        <w:rPr>
          <w:rFonts w:asciiTheme="minorHAnsi" w:hAnsiTheme="minorHAnsi" w:cstheme="minorHAnsi"/>
        </w:rPr>
        <w:t xml:space="preserve">in the </w:t>
      </w:r>
      <w:r w:rsidR="008A1F97">
        <w:rPr>
          <w:rFonts w:asciiTheme="minorHAnsi" w:hAnsiTheme="minorHAnsi" w:cstheme="minorHAnsi"/>
        </w:rPr>
        <w:t>Paris Scenario</w:t>
      </w:r>
      <w:r>
        <w:rPr>
          <w:rFonts w:asciiTheme="minorHAnsi" w:hAnsiTheme="minorHAnsi" w:cstheme="minorHAnsi"/>
        </w:rPr>
        <w:t xml:space="preserve">, </w:t>
      </w:r>
      <w:r w:rsidR="00E14872">
        <w:rPr>
          <w:rFonts w:asciiTheme="minorHAnsi" w:hAnsiTheme="minorHAnsi" w:cstheme="minorHAnsi"/>
        </w:rPr>
        <w:t xml:space="preserve">compared to </w:t>
      </w:r>
      <w:r>
        <w:rPr>
          <w:rFonts w:asciiTheme="minorHAnsi" w:hAnsiTheme="minorHAnsi" w:cstheme="minorHAnsi"/>
        </w:rPr>
        <w:t>increasing 1</w:t>
      </w:r>
      <w:r w:rsidR="009A23E1">
        <w:rPr>
          <w:rFonts w:asciiTheme="minorHAnsi" w:hAnsiTheme="minorHAnsi" w:cstheme="minorHAnsi"/>
        </w:rPr>
        <w:t>2</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Pr>
          <w:rFonts w:asciiTheme="minorHAnsi" w:hAnsiTheme="minorHAnsi" w:cstheme="minorHAnsi"/>
        </w:rPr>
        <w:t xml:space="preserve">under </w:t>
      </w:r>
      <w:r w:rsidR="00162297">
        <w:rPr>
          <w:rFonts w:asciiTheme="minorHAnsi" w:hAnsiTheme="minorHAnsi" w:cstheme="minorHAnsi"/>
        </w:rPr>
        <w:t>Current Policies</w:t>
      </w:r>
      <w:r>
        <w:rPr>
          <w:rFonts w:asciiTheme="minorHAnsi" w:hAnsiTheme="minorHAnsi" w:cstheme="minorHAnsi"/>
        </w:rPr>
        <w:t xml:space="preserve">. Demand for oil and gas slows but continues to increase from current levels. </w:t>
      </w:r>
    </w:p>
    <w:p w:rsidR="00137AAE" w:rsidRPr="00BF39AB" w:rsidRDefault="00137AAE" w:rsidP="00137AAE">
      <w:pPr>
        <w:pStyle w:val="ListParagraph"/>
        <w:spacing w:line="360" w:lineRule="auto"/>
        <w:ind w:left="0"/>
        <w:rPr>
          <w:rFonts w:asciiTheme="minorHAnsi" w:hAnsiTheme="minorHAnsi" w:cstheme="minorHAnsi"/>
          <w:i/>
          <w:color w:val="996633"/>
        </w:rPr>
      </w:pPr>
      <w:r w:rsidRPr="00BF39AB">
        <w:rPr>
          <w:rFonts w:asciiTheme="minorHAnsi" w:hAnsiTheme="minorHAnsi" w:cstheme="minorHAnsi"/>
          <w:i/>
          <w:color w:val="996633"/>
        </w:rPr>
        <w:t>The impacts of international action on Australia</w:t>
      </w:r>
    </w:p>
    <w:p w:rsidR="007A0EAD" w:rsidRDefault="007A0EAD" w:rsidP="007A0EAD">
      <w:pPr>
        <w:spacing w:after="100" w:afterAutospacing="1"/>
        <w:rPr>
          <w:rFonts w:asciiTheme="minorHAnsi" w:hAnsiTheme="minorHAnsi" w:cstheme="minorHAnsi"/>
        </w:rPr>
      </w:pPr>
      <w:r>
        <w:rPr>
          <w:rFonts w:asciiTheme="minorHAnsi" w:hAnsiTheme="minorHAnsi" w:cstheme="minorHAnsi"/>
        </w:rPr>
        <w:t>The modelling assesses the impacts of post-2020 commitments by other countries on Australia compared with Current Policies. It assumes no additional policy action by Australia post-2020. In the model, targets that are announced in 2015 for implementation post-2020 have an impact on the global economy before 2020</w:t>
      </w:r>
      <w:r w:rsidR="0018279F">
        <w:rPr>
          <w:rFonts w:asciiTheme="minorHAnsi" w:hAnsiTheme="minorHAnsi" w:cstheme="minorHAnsi"/>
        </w:rPr>
        <w:t xml:space="preserve"> </w:t>
      </w:r>
      <w:r>
        <w:rPr>
          <w:rFonts w:asciiTheme="minorHAnsi" w:hAnsiTheme="minorHAnsi" w:cstheme="minorHAnsi"/>
        </w:rPr>
        <w:t>because some forward-looking firms and households change their behaviour in anticipation of the new policies.</w:t>
      </w:r>
    </w:p>
    <w:p w:rsidR="003374BA" w:rsidRDefault="0090330C" w:rsidP="00BF7A32">
      <w:pPr>
        <w:spacing w:after="100" w:afterAutospacing="1"/>
        <w:rPr>
          <w:rFonts w:asciiTheme="minorHAnsi" w:hAnsiTheme="minorHAnsi" w:cstheme="minorHAnsi"/>
        </w:rPr>
      </w:pPr>
      <w:r>
        <w:rPr>
          <w:rFonts w:asciiTheme="minorHAnsi" w:hAnsiTheme="minorHAnsi" w:cstheme="minorHAnsi"/>
        </w:rPr>
        <w:t xml:space="preserve">The modelling finds that </w:t>
      </w:r>
      <w:r w:rsidR="00162297">
        <w:rPr>
          <w:rFonts w:asciiTheme="minorHAnsi" w:hAnsiTheme="minorHAnsi" w:cstheme="minorHAnsi"/>
        </w:rPr>
        <w:t xml:space="preserve">Australian gross domestic product (GDP) </w:t>
      </w:r>
      <w:r w:rsidR="003374BA">
        <w:rPr>
          <w:rFonts w:asciiTheme="minorHAnsi" w:hAnsiTheme="minorHAnsi" w:cstheme="minorHAnsi"/>
        </w:rPr>
        <w:t>is 0.16</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003374BA">
        <w:rPr>
          <w:rFonts w:asciiTheme="minorHAnsi" w:hAnsiTheme="minorHAnsi" w:cstheme="minorHAnsi"/>
        </w:rPr>
        <w:t>smaller in 2030 than it would be without the Paris commitments, implying a reduction of just under 0.</w:t>
      </w:r>
      <w:r w:rsidR="0000341E">
        <w:rPr>
          <w:rFonts w:asciiTheme="minorHAnsi" w:hAnsiTheme="minorHAnsi" w:cstheme="minorHAnsi"/>
        </w:rPr>
        <w:t>01 </w:t>
      </w:r>
      <w:r w:rsidR="003374BA">
        <w:rPr>
          <w:rFonts w:asciiTheme="minorHAnsi" w:hAnsiTheme="minorHAnsi" w:cstheme="minorHAnsi"/>
        </w:rPr>
        <w:t>percentage points in average annual economic growth. Th</w:t>
      </w:r>
      <w:r>
        <w:rPr>
          <w:rFonts w:asciiTheme="minorHAnsi" w:hAnsiTheme="minorHAnsi" w:cstheme="minorHAnsi"/>
        </w:rPr>
        <w:t>ese</w:t>
      </w:r>
      <w:r w:rsidR="003374BA">
        <w:rPr>
          <w:rFonts w:asciiTheme="minorHAnsi" w:hAnsiTheme="minorHAnsi" w:cstheme="minorHAnsi"/>
        </w:rPr>
        <w:t xml:space="preserve"> impact</w:t>
      </w:r>
      <w:r>
        <w:rPr>
          <w:rFonts w:asciiTheme="minorHAnsi" w:hAnsiTheme="minorHAnsi" w:cstheme="minorHAnsi"/>
        </w:rPr>
        <w:t>s</w:t>
      </w:r>
      <w:r w:rsidR="003374BA">
        <w:rPr>
          <w:rFonts w:asciiTheme="minorHAnsi" w:hAnsiTheme="minorHAnsi" w:cstheme="minorHAnsi"/>
        </w:rPr>
        <w:t xml:space="preserve"> </w:t>
      </w:r>
      <w:r>
        <w:rPr>
          <w:rFonts w:asciiTheme="minorHAnsi" w:hAnsiTheme="minorHAnsi" w:cstheme="minorHAnsi"/>
        </w:rPr>
        <w:t>are</w:t>
      </w:r>
      <w:r w:rsidR="003374BA">
        <w:rPr>
          <w:rFonts w:asciiTheme="minorHAnsi" w:hAnsiTheme="minorHAnsi" w:cstheme="minorHAnsi"/>
        </w:rPr>
        <w:t xml:space="preserve"> similar to the findings of previous studies (although this </w:t>
      </w:r>
      <w:r w:rsidR="001B6E3D">
        <w:rPr>
          <w:rFonts w:asciiTheme="minorHAnsi" w:hAnsiTheme="minorHAnsi" w:cstheme="minorHAnsi"/>
        </w:rPr>
        <w:t xml:space="preserve">modelling </w:t>
      </w:r>
      <w:r w:rsidR="003374BA">
        <w:rPr>
          <w:rFonts w:asciiTheme="minorHAnsi" w:hAnsiTheme="minorHAnsi" w:cstheme="minorHAnsi"/>
        </w:rPr>
        <w:t>differ</w:t>
      </w:r>
      <w:r w:rsidR="00E14872">
        <w:rPr>
          <w:rFonts w:asciiTheme="minorHAnsi" w:hAnsiTheme="minorHAnsi" w:cstheme="minorHAnsi"/>
        </w:rPr>
        <w:t>s</w:t>
      </w:r>
      <w:r w:rsidR="003374BA">
        <w:rPr>
          <w:rFonts w:asciiTheme="minorHAnsi" w:hAnsiTheme="minorHAnsi" w:cstheme="minorHAnsi"/>
        </w:rPr>
        <w:t xml:space="preserve"> in </w:t>
      </w:r>
      <w:r w:rsidR="00E14872">
        <w:rPr>
          <w:rFonts w:asciiTheme="minorHAnsi" w:hAnsiTheme="minorHAnsi" w:cstheme="minorHAnsi"/>
        </w:rPr>
        <w:t xml:space="preserve">focussing solely on the impacts of global action without </w:t>
      </w:r>
      <w:r w:rsidR="003374BA">
        <w:rPr>
          <w:rFonts w:asciiTheme="minorHAnsi" w:hAnsiTheme="minorHAnsi" w:cstheme="minorHAnsi"/>
        </w:rPr>
        <w:t>assuming new polic</w:t>
      </w:r>
      <w:r w:rsidR="00E14872">
        <w:rPr>
          <w:rFonts w:asciiTheme="minorHAnsi" w:hAnsiTheme="minorHAnsi" w:cstheme="minorHAnsi"/>
        </w:rPr>
        <w:t>ies</w:t>
      </w:r>
      <w:r w:rsidR="003374BA">
        <w:rPr>
          <w:rFonts w:asciiTheme="minorHAnsi" w:hAnsiTheme="minorHAnsi" w:cstheme="minorHAnsi"/>
        </w:rPr>
        <w:t xml:space="preserve"> by Australia), underlining that international action has a mix of positive and </w:t>
      </w:r>
      <w:r w:rsidR="003374BA">
        <w:rPr>
          <w:rFonts w:asciiTheme="minorHAnsi" w:hAnsiTheme="minorHAnsi" w:cstheme="minorHAnsi"/>
        </w:rPr>
        <w:lastRenderedPageBreak/>
        <w:t>negative impacts on different sectors</w:t>
      </w:r>
      <w:r>
        <w:rPr>
          <w:rFonts w:asciiTheme="minorHAnsi" w:hAnsiTheme="minorHAnsi" w:cstheme="minorHAnsi"/>
        </w:rPr>
        <w:t>. S</w:t>
      </w:r>
      <w:r w:rsidR="003374BA">
        <w:rPr>
          <w:rFonts w:asciiTheme="minorHAnsi" w:hAnsiTheme="minorHAnsi" w:cstheme="minorHAnsi"/>
        </w:rPr>
        <w:t xml:space="preserve">lower growth in gas exports </w:t>
      </w:r>
      <w:r w:rsidR="00DE1250">
        <w:rPr>
          <w:rFonts w:asciiTheme="minorHAnsi" w:hAnsiTheme="minorHAnsi" w:cstheme="minorHAnsi"/>
        </w:rPr>
        <w:t xml:space="preserve">and a fall in coal exports </w:t>
      </w:r>
      <w:r>
        <w:rPr>
          <w:rFonts w:asciiTheme="minorHAnsi" w:hAnsiTheme="minorHAnsi" w:cstheme="minorHAnsi"/>
        </w:rPr>
        <w:t xml:space="preserve">would be </w:t>
      </w:r>
      <w:r w:rsidR="003374BA">
        <w:rPr>
          <w:rFonts w:asciiTheme="minorHAnsi" w:hAnsiTheme="minorHAnsi" w:cstheme="minorHAnsi"/>
        </w:rPr>
        <w:t xml:space="preserve">offset by stronger growth in services, agriculture and </w:t>
      </w:r>
      <w:r w:rsidR="00153FC0">
        <w:rPr>
          <w:rFonts w:asciiTheme="minorHAnsi" w:hAnsiTheme="minorHAnsi" w:cstheme="minorHAnsi"/>
        </w:rPr>
        <w:t xml:space="preserve">non-durable </w:t>
      </w:r>
      <w:r w:rsidR="003374BA">
        <w:rPr>
          <w:rFonts w:asciiTheme="minorHAnsi" w:hAnsiTheme="minorHAnsi" w:cstheme="minorHAnsi"/>
        </w:rPr>
        <w:t xml:space="preserve">manufacturing exports. </w:t>
      </w:r>
    </w:p>
    <w:p w:rsidR="00137AAE" w:rsidRPr="00BF39AB" w:rsidRDefault="00137AAE" w:rsidP="00531CD0">
      <w:pPr>
        <w:pStyle w:val="ListParagraph"/>
        <w:spacing w:line="360" w:lineRule="auto"/>
        <w:ind w:left="0"/>
        <w:rPr>
          <w:rFonts w:asciiTheme="minorHAnsi" w:hAnsiTheme="minorHAnsi" w:cstheme="minorHAnsi"/>
          <w:i/>
          <w:color w:val="996633"/>
        </w:rPr>
      </w:pPr>
      <w:r w:rsidRPr="00BF39AB">
        <w:rPr>
          <w:rFonts w:asciiTheme="minorHAnsi" w:hAnsiTheme="minorHAnsi" w:cstheme="minorHAnsi"/>
          <w:i/>
          <w:color w:val="996633"/>
        </w:rPr>
        <w:t xml:space="preserve">Shifts in world demand result in costs and benefits to different Australian sectors </w:t>
      </w:r>
    </w:p>
    <w:p w:rsidR="003374BA" w:rsidRDefault="0090330C" w:rsidP="00BF7A32">
      <w:pPr>
        <w:spacing w:after="100" w:afterAutospacing="1"/>
        <w:rPr>
          <w:rFonts w:asciiTheme="minorHAnsi" w:hAnsiTheme="minorHAnsi" w:cstheme="minorHAnsi"/>
        </w:rPr>
      </w:pPr>
      <w:r>
        <w:rPr>
          <w:rFonts w:asciiTheme="minorHAnsi" w:hAnsiTheme="minorHAnsi" w:cstheme="minorHAnsi"/>
        </w:rPr>
        <w:t>The modelling finds that u</w:t>
      </w:r>
      <w:r w:rsidR="003343C9">
        <w:rPr>
          <w:rFonts w:asciiTheme="minorHAnsi" w:hAnsiTheme="minorHAnsi" w:cstheme="minorHAnsi"/>
        </w:rPr>
        <w:t>nder the Paris Scenario,</w:t>
      </w:r>
      <w:r w:rsidR="003374BA" w:rsidRPr="00A40DAB">
        <w:rPr>
          <w:rFonts w:asciiTheme="minorHAnsi" w:hAnsiTheme="minorHAnsi" w:cstheme="minorHAnsi"/>
        </w:rPr>
        <w:t xml:space="preserve"> the value of coal output and exports </w:t>
      </w:r>
      <w:r w:rsidR="003343C9">
        <w:rPr>
          <w:rFonts w:asciiTheme="minorHAnsi" w:hAnsiTheme="minorHAnsi" w:cstheme="minorHAnsi"/>
        </w:rPr>
        <w:t xml:space="preserve">in 2030 are </w:t>
      </w:r>
      <w:r w:rsidR="003374BA">
        <w:rPr>
          <w:rFonts w:asciiTheme="minorHAnsi" w:hAnsiTheme="minorHAnsi" w:cstheme="minorHAnsi"/>
        </w:rPr>
        <w:t>8</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003343C9">
        <w:rPr>
          <w:rFonts w:asciiTheme="minorHAnsi" w:hAnsiTheme="minorHAnsi" w:cstheme="minorHAnsi"/>
        </w:rPr>
        <w:t>lower compared to the Current Policies Scenario (Figure</w:t>
      </w:r>
      <w:r w:rsidR="00DE1250">
        <w:rPr>
          <w:rFonts w:asciiTheme="minorHAnsi" w:hAnsiTheme="minorHAnsi" w:cstheme="minorHAnsi"/>
        </w:rPr>
        <w:t>s</w:t>
      </w:r>
      <w:r w:rsidR="003343C9">
        <w:rPr>
          <w:rFonts w:asciiTheme="minorHAnsi" w:hAnsiTheme="minorHAnsi" w:cstheme="minorHAnsi"/>
        </w:rPr>
        <w:t xml:space="preserve"> 2a</w:t>
      </w:r>
      <w:r w:rsidR="00DE1250">
        <w:rPr>
          <w:rFonts w:asciiTheme="minorHAnsi" w:hAnsiTheme="minorHAnsi" w:cstheme="minorHAnsi"/>
        </w:rPr>
        <w:t xml:space="preserve"> and 2b</w:t>
      </w:r>
      <w:r w:rsidR="003343C9">
        <w:rPr>
          <w:rFonts w:asciiTheme="minorHAnsi" w:hAnsiTheme="minorHAnsi" w:cstheme="minorHAnsi"/>
        </w:rPr>
        <w:t>). O</w:t>
      </w:r>
      <w:r w:rsidR="003374BA" w:rsidRPr="00A40DAB">
        <w:rPr>
          <w:rFonts w:asciiTheme="minorHAnsi" w:hAnsiTheme="minorHAnsi" w:cstheme="minorHAnsi"/>
        </w:rPr>
        <w:t>il and gas</w:t>
      </w:r>
      <w:r w:rsidR="003374BA">
        <w:rPr>
          <w:rFonts w:asciiTheme="minorHAnsi" w:hAnsiTheme="minorHAnsi" w:cstheme="minorHAnsi"/>
        </w:rPr>
        <w:t xml:space="preserve"> exports </w:t>
      </w:r>
      <w:r w:rsidR="003343C9">
        <w:rPr>
          <w:rFonts w:asciiTheme="minorHAnsi" w:hAnsiTheme="minorHAnsi" w:cstheme="minorHAnsi"/>
        </w:rPr>
        <w:t xml:space="preserve">are </w:t>
      </w:r>
      <w:r w:rsidR="0000341E">
        <w:rPr>
          <w:rFonts w:asciiTheme="minorHAnsi" w:hAnsiTheme="minorHAnsi" w:cstheme="minorHAnsi"/>
        </w:rPr>
        <w:t>around</w:t>
      </w:r>
      <w:r w:rsidR="003374BA">
        <w:rPr>
          <w:rFonts w:asciiTheme="minorHAnsi" w:hAnsiTheme="minorHAnsi" w:cstheme="minorHAnsi"/>
        </w:rPr>
        <w:t xml:space="preserve"> 0.5</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003343C9">
        <w:rPr>
          <w:rFonts w:asciiTheme="minorHAnsi" w:hAnsiTheme="minorHAnsi" w:cstheme="minorHAnsi"/>
        </w:rPr>
        <w:t>lower</w:t>
      </w:r>
      <w:r w:rsidR="003374BA">
        <w:rPr>
          <w:rFonts w:asciiTheme="minorHAnsi" w:hAnsiTheme="minorHAnsi" w:cstheme="minorHAnsi"/>
        </w:rPr>
        <w:t xml:space="preserve">. The coal, gas and petroleum extraction sectors account for </w:t>
      </w:r>
      <w:r w:rsidR="00FF46A9">
        <w:rPr>
          <w:rFonts w:asciiTheme="minorHAnsi" w:hAnsiTheme="minorHAnsi" w:cstheme="minorHAnsi"/>
        </w:rPr>
        <w:t>2</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003374BA">
        <w:rPr>
          <w:rFonts w:asciiTheme="minorHAnsi" w:hAnsiTheme="minorHAnsi" w:cstheme="minorHAnsi"/>
        </w:rPr>
        <w:t xml:space="preserve">of projected Australian economic activity and around one sixth of exports in 2030. </w:t>
      </w:r>
    </w:p>
    <w:p w:rsidR="003343C9" w:rsidRDefault="003343C9" w:rsidP="003343C9">
      <w:pPr>
        <w:spacing w:after="100" w:afterAutospacing="1"/>
        <w:rPr>
          <w:rFonts w:asciiTheme="minorHAnsi" w:hAnsiTheme="minorHAnsi" w:cstheme="minorHAnsi"/>
        </w:rPr>
      </w:pPr>
      <w:r w:rsidRPr="00BF7A32">
        <w:rPr>
          <w:rFonts w:asciiTheme="minorHAnsi" w:hAnsiTheme="minorHAnsi" w:cstheme="minorHAnsi"/>
        </w:rPr>
        <w:t xml:space="preserve">Figures </w:t>
      </w:r>
      <w:r>
        <w:rPr>
          <w:rFonts w:asciiTheme="minorHAnsi" w:hAnsiTheme="minorHAnsi" w:cstheme="minorHAnsi"/>
        </w:rPr>
        <w:t>2</w:t>
      </w:r>
      <w:r w:rsidRPr="00BF7A32">
        <w:rPr>
          <w:rFonts w:asciiTheme="minorHAnsi" w:hAnsiTheme="minorHAnsi" w:cstheme="minorHAnsi"/>
        </w:rPr>
        <w:t xml:space="preserve">a and </w:t>
      </w:r>
      <w:r>
        <w:rPr>
          <w:rFonts w:asciiTheme="minorHAnsi" w:hAnsiTheme="minorHAnsi" w:cstheme="minorHAnsi"/>
        </w:rPr>
        <w:t>2</w:t>
      </w:r>
      <w:r w:rsidRPr="00BF7A32">
        <w:rPr>
          <w:rFonts w:asciiTheme="minorHAnsi" w:hAnsiTheme="minorHAnsi" w:cstheme="minorHAnsi"/>
        </w:rPr>
        <w:t>b</w:t>
      </w:r>
      <w:r>
        <w:rPr>
          <w:rFonts w:asciiTheme="minorHAnsi" w:hAnsiTheme="minorHAnsi" w:cstheme="minorHAnsi"/>
        </w:rPr>
        <w:t xml:space="preserve"> show both the impact of international action on major sectors (the length of the bar), and the relative contribution of each sector to Australian economic output and exports (the height of each bar, adding to 100</w:t>
      </w:r>
      <w:r w:rsidRPr="0034155A">
        <w:rPr>
          <w:rFonts w:asciiTheme="minorHAnsi" w:hAnsiTheme="minorHAnsi" w:cstheme="minorHAnsi"/>
        </w:rPr>
        <w:t xml:space="preserve"> </w:t>
      </w:r>
      <w:r>
        <w:rPr>
          <w:rFonts w:asciiTheme="minorHAnsi" w:hAnsiTheme="minorHAnsi" w:cstheme="minorHAnsi"/>
        </w:rPr>
        <w:t xml:space="preserve">per cent). </w:t>
      </w:r>
      <w:r w:rsidR="0054629C">
        <w:rPr>
          <w:rFonts w:asciiTheme="minorHAnsi" w:hAnsiTheme="minorHAnsi" w:cstheme="minorHAnsi"/>
        </w:rPr>
        <w:t>T</w:t>
      </w:r>
      <w:r>
        <w:rPr>
          <w:rFonts w:asciiTheme="minorHAnsi" w:hAnsiTheme="minorHAnsi" w:cstheme="minorHAnsi"/>
        </w:rPr>
        <w:t xml:space="preserve">he area of each bar is proportional to the aggregate value of impacts on the relevant sector.  </w:t>
      </w:r>
    </w:p>
    <w:p w:rsidR="003374BA" w:rsidRPr="00C32F93" w:rsidRDefault="003374BA" w:rsidP="007A0EAD">
      <w:pPr>
        <w:pStyle w:val="ListParagraph"/>
        <w:keepNext/>
        <w:keepLines/>
        <w:spacing w:before="120"/>
        <w:ind w:left="0"/>
        <w:contextualSpacing w:val="0"/>
        <w:rPr>
          <w:rFonts w:asciiTheme="minorHAnsi" w:hAnsiTheme="minorHAnsi" w:cstheme="minorHAnsi"/>
          <w:color w:val="4F81BD" w:themeColor="accent1"/>
        </w:rPr>
      </w:pPr>
      <w:r w:rsidRPr="00C32F93">
        <w:rPr>
          <w:rFonts w:asciiTheme="minorHAnsi" w:hAnsiTheme="minorHAnsi" w:cstheme="minorHAnsi"/>
          <w:b/>
          <w:color w:val="4F81BD" w:themeColor="accent1"/>
        </w:rPr>
        <w:t xml:space="preserve">Figure </w:t>
      </w:r>
      <w:r w:rsidR="000B0EDE" w:rsidRPr="00C32F93">
        <w:rPr>
          <w:rFonts w:asciiTheme="minorHAnsi" w:hAnsiTheme="minorHAnsi" w:cstheme="minorHAnsi"/>
          <w:b/>
          <w:color w:val="4F81BD" w:themeColor="accent1"/>
        </w:rPr>
        <w:t>2a:</w:t>
      </w:r>
      <w:r w:rsidRPr="00C32F93">
        <w:rPr>
          <w:rFonts w:asciiTheme="minorHAnsi" w:hAnsiTheme="minorHAnsi" w:cstheme="minorHAnsi"/>
          <w:color w:val="4F81BD" w:themeColor="accent1"/>
        </w:rPr>
        <w:t xml:space="preserve"> Impacts of international action on Australian output</w:t>
      </w:r>
      <w:r w:rsidR="00810C8A" w:rsidRPr="00C32F93">
        <w:rPr>
          <w:rFonts w:asciiTheme="minorHAnsi" w:hAnsiTheme="minorHAnsi" w:cstheme="minorHAnsi"/>
          <w:color w:val="4F81BD" w:themeColor="accent1"/>
        </w:rPr>
        <w:t>, 2030</w:t>
      </w:r>
      <w:r w:rsidRPr="00C32F93">
        <w:rPr>
          <w:rFonts w:asciiTheme="minorHAnsi" w:hAnsiTheme="minorHAnsi" w:cstheme="minorHAnsi"/>
          <w:color w:val="4F81BD" w:themeColor="accent1"/>
        </w:rPr>
        <w:t xml:space="preserve"> </w:t>
      </w:r>
      <w:r w:rsidR="00810C8A" w:rsidRPr="00C32F93">
        <w:rPr>
          <w:rFonts w:asciiTheme="minorHAnsi" w:hAnsiTheme="minorHAnsi" w:cstheme="minorHAnsi"/>
          <w:color w:val="4F81BD" w:themeColor="accent1"/>
        </w:rPr>
        <w:t>(</w:t>
      </w:r>
      <w:r w:rsidRPr="00C32F93">
        <w:rPr>
          <w:rFonts w:asciiTheme="minorHAnsi" w:hAnsiTheme="minorHAnsi" w:cstheme="minorHAnsi"/>
          <w:color w:val="4F81BD" w:themeColor="accent1"/>
        </w:rPr>
        <w:t>percentage deviation in value</w:t>
      </w:r>
      <w:r w:rsidR="00810C8A" w:rsidRPr="00C32F93">
        <w:rPr>
          <w:rFonts w:asciiTheme="minorHAnsi" w:hAnsiTheme="minorHAnsi" w:cstheme="minorHAnsi"/>
          <w:color w:val="4F81BD" w:themeColor="accent1"/>
        </w:rPr>
        <w:t>)</w:t>
      </w:r>
      <w:r w:rsidRPr="00C32F93">
        <w:rPr>
          <w:rFonts w:asciiTheme="minorHAnsi" w:hAnsiTheme="minorHAnsi" w:cstheme="minorHAnsi"/>
          <w:color w:val="4F81BD" w:themeColor="accent1"/>
        </w:rPr>
        <w:t xml:space="preserve"> </w:t>
      </w:r>
    </w:p>
    <w:p w:rsidR="00137AAE" w:rsidRDefault="00D82438" w:rsidP="007A0EAD">
      <w:pPr>
        <w:pStyle w:val="ListParagraph"/>
        <w:spacing w:after="120"/>
        <w:ind w:left="0"/>
        <w:contextualSpacing w:val="0"/>
        <w:jc w:val="center"/>
        <w:rPr>
          <w:rFonts w:asciiTheme="minorHAnsi" w:hAnsiTheme="minorHAnsi" w:cstheme="minorHAnsi"/>
        </w:rPr>
      </w:pPr>
      <w:r w:rsidRPr="00D82438">
        <w:rPr>
          <w:noProof/>
          <w:lang w:eastAsia="en-AU"/>
        </w:rPr>
        <w:drawing>
          <wp:inline distT="0" distB="0" distL="0" distR="0" wp14:anchorId="426FAB83" wp14:editId="511396AF">
            <wp:extent cx="3819048" cy="3914286"/>
            <wp:effectExtent l="0" t="0" r="0" b="0"/>
            <wp:docPr id="10" name="Picture 10" descr="This chart shows on the horizontal axis deviations in 2030 in the value of output of Australian sectors under the Paris Scenario, compared with the Current Policies Scenario. The vertical axis shows each sector's share of total output under the Current Policies Scenario.&#10;Under the Paris Scenario in 2030, the value of Coal Mining output falls 8 per cent. Coal Mining makes up 1 per cent of output under the Current Policies Scenario in 2030. &#10;Exports from agriculture increase by less than 1 per cent. Agriculture makes up 4 per cent of output in 2030.&#10;Output from all other sector falls by less than one per cent. These sectors make up 95 per cent of output in 2030." title="Figure 2a: Impacts of international action on Australian output, 2030 (percentage deviation in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19048" cy="3914286"/>
                    </a:xfrm>
                    <a:prstGeom prst="rect">
                      <a:avLst/>
                    </a:prstGeom>
                  </pic:spPr>
                </pic:pic>
              </a:graphicData>
            </a:graphic>
          </wp:inline>
        </w:drawing>
      </w:r>
    </w:p>
    <w:p w:rsidR="00B029CC" w:rsidRPr="00BF39AB" w:rsidRDefault="00B029CC" w:rsidP="00797CFB">
      <w:pPr>
        <w:pStyle w:val="ListParagraph"/>
        <w:spacing w:after="360"/>
        <w:ind w:left="0"/>
        <w:contextualSpacing w:val="0"/>
        <w:rPr>
          <w:rFonts w:asciiTheme="minorHAnsi" w:hAnsiTheme="minorHAnsi" w:cstheme="minorHAnsi"/>
          <w:i/>
          <w:color w:val="4F81BD" w:themeColor="accent1"/>
          <w:sz w:val="18"/>
        </w:rPr>
      </w:pPr>
      <w:r>
        <w:rPr>
          <w:rFonts w:asciiTheme="minorHAnsi" w:hAnsiTheme="minorHAnsi" w:cstheme="minorHAnsi"/>
          <w:i/>
          <w:color w:val="4F81BD" w:themeColor="accent1"/>
          <w:sz w:val="18"/>
        </w:rPr>
        <w:t>‘Energy Utilities’</w:t>
      </w:r>
      <w:r w:rsidR="002922A5">
        <w:rPr>
          <w:rFonts w:asciiTheme="minorHAnsi" w:hAnsiTheme="minorHAnsi" w:cstheme="minorHAnsi"/>
          <w:i/>
          <w:color w:val="4F81BD" w:themeColor="accent1"/>
          <w:sz w:val="18"/>
        </w:rPr>
        <w:t xml:space="preserve"> output</w:t>
      </w:r>
      <w:r>
        <w:rPr>
          <w:rFonts w:asciiTheme="minorHAnsi" w:hAnsiTheme="minorHAnsi" w:cstheme="minorHAnsi"/>
          <w:i/>
          <w:color w:val="4F81BD" w:themeColor="accent1"/>
          <w:sz w:val="18"/>
        </w:rPr>
        <w:t xml:space="preserve"> </w:t>
      </w:r>
      <w:r w:rsidR="002922A5">
        <w:rPr>
          <w:rFonts w:asciiTheme="minorHAnsi" w:hAnsiTheme="minorHAnsi" w:cstheme="minorHAnsi"/>
          <w:i/>
          <w:color w:val="4F81BD" w:themeColor="accent1"/>
          <w:sz w:val="18"/>
        </w:rPr>
        <w:t xml:space="preserve">consists of </w:t>
      </w:r>
      <w:r>
        <w:rPr>
          <w:rFonts w:asciiTheme="minorHAnsi" w:hAnsiTheme="minorHAnsi" w:cstheme="minorHAnsi"/>
          <w:i/>
          <w:color w:val="4F81BD" w:themeColor="accent1"/>
          <w:sz w:val="18"/>
        </w:rPr>
        <w:t xml:space="preserve">the electric utilities and gas utilities sectors; ‘Oil and Gas Extraction’ </w:t>
      </w:r>
      <w:r w:rsidR="002922A5">
        <w:rPr>
          <w:rFonts w:asciiTheme="minorHAnsi" w:hAnsiTheme="minorHAnsi" w:cstheme="minorHAnsi"/>
          <w:i/>
          <w:color w:val="4F81BD" w:themeColor="accent1"/>
          <w:sz w:val="18"/>
        </w:rPr>
        <w:t xml:space="preserve">consists </w:t>
      </w:r>
      <w:r w:rsidR="00731603">
        <w:rPr>
          <w:rFonts w:asciiTheme="minorHAnsi" w:hAnsiTheme="minorHAnsi" w:cstheme="minorHAnsi"/>
          <w:i/>
          <w:color w:val="4F81BD" w:themeColor="accent1"/>
          <w:sz w:val="18"/>
        </w:rPr>
        <w:t>of crude</w:t>
      </w:r>
      <w:r w:rsidR="00D82438">
        <w:rPr>
          <w:rFonts w:asciiTheme="minorHAnsi" w:hAnsiTheme="minorHAnsi" w:cstheme="minorHAnsi"/>
          <w:i/>
          <w:color w:val="4F81BD" w:themeColor="accent1"/>
          <w:sz w:val="18"/>
        </w:rPr>
        <w:t xml:space="preserve"> </w:t>
      </w:r>
      <w:r>
        <w:rPr>
          <w:rFonts w:asciiTheme="minorHAnsi" w:hAnsiTheme="minorHAnsi" w:cstheme="minorHAnsi"/>
          <w:i/>
          <w:color w:val="4F81BD" w:themeColor="accent1"/>
          <w:sz w:val="18"/>
        </w:rPr>
        <w:t>extraction and gas extraction sectors.</w:t>
      </w:r>
      <w:r w:rsidR="00D82438">
        <w:rPr>
          <w:rFonts w:asciiTheme="minorHAnsi" w:hAnsiTheme="minorHAnsi" w:cstheme="minorHAnsi"/>
          <w:i/>
          <w:color w:val="4F81BD" w:themeColor="accent1"/>
          <w:sz w:val="18"/>
        </w:rPr>
        <w:t xml:space="preserve"> See Appendix B for sector definitions.</w:t>
      </w:r>
    </w:p>
    <w:p w:rsidR="003343C9" w:rsidRDefault="003343C9" w:rsidP="003343C9">
      <w:pPr>
        <w:spacing w:after="100" w:afterAutospacing="1"/>
        <w:rPr>
          <w:rFonts w:asciiTheme="minorHAnsi" w:hAnsiTheme="minorHAnsi" w:cstheme="minorHAnsi"/>
        </w:rPr>
      </w:pPr>
      <w:r>
        <w:rPr>
          <w:rFonts w:asciiTheme="minorHAnsi" w:hAnsiTheme="minorHAnsi" w:cstheme="minorHAnsi"/>
        </w:rPr>
        <w:t xml:space="preserve">The modelling finds </w:t>
      </w:r>
      <w:r w:rsidR="0054629C">
        <w:rPr>
          <w:rFonts w:asciiTheme="minorHAnsi" w:hAnsiTheme="minorHAnsi" w:cstheme="minorHAnsi"/>
        </w:rPr>
        <w:t xml:space="preserve">modest positive impacts on </w:t>
      </w:r>
      <w:r>
        <w:rPr>
          <w:rFonts w:asciiTheme="minorHAnsi" w:hAnsiTheme="minorHAnsi" w:cstheme="minorHAnsi"/>
        </w:rPr>
        <w:t xml:space="preserve">Australia’s </w:t>
      </w:r>
      <w:r w:rsidRPr="00A40DAB">
        <w:rPr>
          <w:rFonts w:asciiTheme="minorHAnsi" w:hAnsiTheme="minorHAnsi" w:cstheme="minorHAnsi"/>
        </w:rPr>
        <w:t>other mining and durable manufacturing exports</w:t>
      </w:r>
      <w:r>
        <w:rPr>
          <w:rFonts w:asciiTheme="minorHAnsi" w:hAnsiTheme="minorHAnsi" w:cstheme="minorHAnsi"/>
        </w:rPr>
        <w:t xml:space="preserve">, with export values between </w:t>
      </w:r>
      <w:r w:rsidRPr="00A40DAB">
        <w:rPr>
          <w:rFonts w:asciiTheme="minorHAnsi" w:hAnsiTheme="minorHAnsi" w:cstheme="minorHAnsi"/>
        </w:rPr>
        <w:t>0.</w:t>
      </w:r>
      <w:r>
        <w:rPr>
          <w:rFonts w:asciiTheme="minorHAnsi" w:hAnsiTheme="minorHAnsi" w:cstheme="minorHAnsi"/>
        </w:rPr>
        <w:t>3 per cent and 0.5 per cent</w:t>
      </w:r>
      <w:r w:rsidRPr="002470EE">
        <w:rPr>
          <w:rFonts w:asciiTheme="minorHAnsi" w:hAnsiTheme="minorHAnsi" w:cstheme="minorHAnsi"/>
        </w:rPr>
        <w:t xml:space="preserve"> </w:t>
      </w:r>
      <w:r>
        <w:rPr>
          <w:rFonts w:asciiTheme="minorHAnsi" w:hAnsiTheme="minorHAnsi" w:cstheme="minorHAnsi"/>
        </w:rPr>
        <w:t xml:space="preserve">higher </w:t>
      </w:r>
      <w:r w:rsidRPr="00A40DAB">
        <w:rPr>
          <w:rFonts w:asciiTheme="minorHAnsi" w:hAnsiTheme="minorHAnsi" w:cstheme="minorHAnsi"/>
        </w:rPr>
        <w:t xml:space="preserve">in 2030 relative to </w:t>
      </w:r>
      <w:r>
        <w:rPr>
          <w:rFonts w:asciiTheme="minorHAnsi" w:hAnsiTheme="minorHAnsi" w:cstheme="minorHAnsi"/>
        </w:rPr>
        <w:t>Current P</w:t>
      </w:r>
      <w:r w:rsidRPr="00A40DAB">
        <w:rPr>
          <w:rFonts w:asciiTheme="minorHAnsi" w:hAnsiTheme="minorHAnsi" w:cstheme="minorHAnsi"/>
        </w:rPr>
        <w:t xml:space="preserve">olicies. These sectors account for around </w:t>
      </w:r>
      <w:r w:rsidR="0054629C">
        <w:rPr>
          <w:rFonts w:asciiTheme="minorHAnsi" w:hAnsiTheme="minorHAnsi" w:cstheme="minorHAnsi"/>
        </w:rPr>
        <w:t xml:space="preserve">16 per </w:t>
      </w:r>
      <w:r w:rsidR="0054629C">
        <w:rPr>
          <w:rFonts w:asciiTheme="minorHAnsi" w:hAnsiTheme="minorHAnsi" w:cstheme="minorHAnsi"/>
        </w:rPr>
        <w:lastRenderedPageBreak/>
        <w:t>cent</w:t>
      </w:r>
      <w:r>
        <w:rPr>
          <w:rFonts w:asciiTheme="minorHAnsi" w:hAnsiTheme="minorHAnsi" w:cstheme="minorHAnsi"/>
        </w:rPr>
        <w:t xml:space="preserve"> </w:t>
      </w:r>
      <w:r w:rsidRPr="00A40DAB">
        <w:rPr>
          <w:rFonts w:asciiTheme="minorHAnsi" w:hAnsiTheme="minorHAnsi" w:cstheme="minorHAnsi"/>
        </w:rPr>
        <w:t xml:space="preserve">of Australian economic activity, and </w:t>
      </w:r>
      <w:r>
        <w:rPr>
          <w:rFonts w:asciiTheme="minorHAnsi" w:hAnsiTheme="minorHAnsi" w:cstheme="minorHAnsi"/>
        </w:rPr>
        <w:t>44</w:t>
      </w:r>
      <w:r w:rsidRPr="0034155A">
        <w:rPr>
          <w:rFonts w:asciiTheme="minorHAnsi" w:hAnsiTheme="minorHAnsi" w:cstheme="minorHAnsi"/>
        </w:rPr>
        <w:t xml:space="preserve"> </w:t>
      </w:r>
      <w:r>
        <w:rPr>
          <w:rFonts w:asciiTheme="minorHAnsi" w:hAnsiTheme="minorHAnsi" w:cstheme="minorHAnsi"/>
        </w:rPr>
        <w:t>per cent</w:t>
      </w:r>
      <w:r w:rsidRPr="002470EE">
        <w:rPr>
          <w:rFonts w:asciiTheme="minorHAnsi" w:hAnsiTheme="minorHAnsi" w:cstheme="minorHAnsi"/>
        </w:rPr>
        <w:t xml:space="preserve"> </w:t>
      </w:r>
      <w:r w:rsidRPr="00A40DAB">
        <w:rPr>
          <w:rFonts w:asciiTheme="minorHAnsi" w:hAnsiTheme="minorHAnsi" w:cstheme="minorHAnsi"/>
        </w:rPr>
        <w:t xml:space="preserve">of Australian exports, as shown in </w:t>
      </w:r>
      <w:r w:rsidRPr="00BF7A32">
        <w:rPr>
          <w:rFonts w:asciiTheme="minorHAnsi" w:hAnsiTheme="minorHAnsi" w:cstheme="minorHAnsi"/>
        </w:rPr>
        <w:t>Figure</w:t>
      </w:r>
      <w:r>
        <w:rPr>
          <w:rFonts w:asciiTheme="minorHAnsi" w:hAnsiTheme="minorHAnsi" w:cstheme="minorHAnsi"/>
        </w:rPr>
        <w:t>s</w:t>
      </w:r>
      <w:r w:rsidRPr="00BF7A32">
        <w:rPr>
          <w:rFonts w:asciiTheme="minorHAnsi" w:hAnsiTheme="minorHAnsi" w:cstheme="minorHAnsi"/>
        </w:rPr>
        <w:t xml:space="preserve"> </w:t>
      </w:r>
      <w:r>
        <w:rPr>
          <w:rFonts w:asciiTheme="minorHAnsi" w:hAnsiTheme="minorHAnsi" w:cstheme="minorHAnsi"/>
        </w:rPr>
        <w:t>2a and 2b</w:t>
      </w:r>
      <w:r w:rsidRPr="00A40DAB">
        <w:rPr>
          <w:rFonts w:asciiTheme="minorHAnsi" w:hAnsiTheme="minorHAnsi" w:cstheme="minorHAnsi"/>
        </w:rPr>
        <w:t xml:space="preserve">. </w:t>
      </w:r>
    </w:p>
    <w:p w:rsidR="00137AAE" w:rsidRDefault="0054629C" w:rsidP="00BF7A32">
      <w:pPr>
        <w:spacing w:after="100" w:afterAutospacing="1"/>
        <w:rPr>
          <w:rFonts w:asciiTheme="minorHAnsi" w:hAnsiTheme="minorHAnsi" w:cstheme="minorHAnsi"/>
        </w:rPr>
      </w:pPr>
      <w:r>
        <w:rPr>
          <w:rFonts w:asciiTheme="minorHAnsi" w:hAnsiTheme="minorHAnsi" w:cstheme="minorHAnsi"/>
        </w:rPr>
        <w:t xml:space="preserve">The </w:t>
      </w:r>
      <w:r w:rsidR="003343C9">
        <w:rPr>
          <w:rFonts w:asciiTheme="minorHAnsi" w:hAnsiTheme="minorHAnsi" w:cstheme="minorHAnsi"/>
        </w:rPr>
        <w:t xml:space="preserve">modelling </w:t>
      </w:r>
      <w:r w:rsidR="00137AAE">
        <w:rPr>
          <w:rFonts w:asciiTheme="minorHAnsi" w:hAnsiTheme="minorHAnsi" w:cstheme="minorHAnsi"/>
        </w:rPr>
        <w:t>find</w:t>
      </w:r>
      <w:r w:rsidR="001819F0">
        <w:rPr>
          <w:rFonts w:asciiTheme="minorHAnsi" w:hAnsiTheme="minorHAnsi" w:cstheme="minorHAnsi"/>
        </w:rPr>
        <w:t>s</w:t>
      </w:r>
      <w:r w:rsidR="003B6E18">
        <w:rPr>
          <w:rFonts w:asciiTheme="minorHAnsi" w:hAnsiTheme="minorHAnsi" w:cstheme="minorHAnsi"/>
        </w:rPr>
        <w:t xml:space="preserve"> </w:t>
      </w:r>
      <w:r>
        <w:rPr>
          <w:rFonts w:asciiTheme="minorHAnsi" w:hAnsiTheme="minorHAnsi" w:cstheme="minorHAnsi"/>
        </w:rPr>
        <w:t xml:space="preserve">an </w:t>
      </w:r>
      <w:r w:rsidR="00137AAE" w:rsidRPr="00A40DAB">
        <w:rPr>
          <w:rFonts w:asciiTheme="minorHAnsi" w:hAnsiTheme="minorHAnsi" w:cstheme="minorHAnsi"/>
        </w:rPr>
        <w:t xml:space="preserve">increase </w:t>
      </w:r>
      <w:r>
        <w:rPr>
          <w:rFonts w:asciiTheme="minorHAnsi" w:hAnsiTheme="minorHAnsi" w:cstheme="minorHAnsi"/>
        </w:rPr>
        <w:t xml:space="preserve">in </w:t>
      </w:r>
      <w:r w:rsidR="00137AAE">
        <w:rPr>
          <w:rFonts w:asciiTheme="minorHAnsi" w:hAnsiTheme="minorHAnsi" w:cstheme="minorHAnsi"/>
        </w:rPr>
        <w:t xml:space="preserve">the value of </w:t>
      </w:r>
      <w:r w:rsidR="00810C8A">
        <w:rPr>
          <w:rFonts w:asciiTheme="minorHAnsi" w:hAnsiTheme="minorHAnsi" w:cstheme="minorHAnsi"/>
        </w:rPr>
        <w:t xml:space="preserve">Australia’s </w:t>
      </w:r>
      <w:r w:rsidR="00137AAE" w:rsidRPr="00A40DAB">
        <w:rPr>
          <w:rFonts w:asciiTheme="minorHAnsi" w:hAnsiTheme="minorHAnsi" w:cstheme="minorHAnsi"/>
        </w:rPr>
        <w:t>agricultural exports</w:t>
      </w:r>
      <w:r w:rsidR="00137AAE">
        <w:rPr>
          <w:rFonts w:asciiTheme="minorHAnsi" w:hAnsiTheme="minorHAnsi" w:cstheme="minorHAnsi"/>
        </w:rPr>
        <w:t xml:space="preserve"> by 0.7</w:t>
      </w:r>
      <w:r w:rsidR="00F65CAF">
        <w:rPr>
          <w:rFonts w:asciiTheme="minorHAnsi" w:hAnsiTheme="minorHAnsi" w:cstheme="minorHAnsi"/>
        </w:rPr>
        <w:t> </w:t>
      </w:r>
      <w:r w:rsidR="0034155A">
        <w:rPr>
          <w:rFonts w:asciiTheme="minorHAnsi" w:hAnsiTheme="minorHAnsi" w:cstheme="minorHAnsi"/>
        </w:rPr>
        <w:t>per cent</w:t>
      </w:r>
      <w:r w:rsidR="004049E2">
        <w:rPr>
          <w:rFonts w:asciiTheme="minorHAnsi" w:hAnsiTheme="minorHAnsi" w:cstheme="minorHAnsi"/>
        </w:rPr>
        <w:t>,</w:t>
      </w:r>
      <w:r w:rsidR="0034155A" w:rsidRPr="002470EE">
        <w:rPr>
          <w:rFonts w:asciiTheme="minorHAnsi" w:hAnsiTheme="minorHAnsi" w:cstheme="minorHAnsi"/>
        </w:rPr>
        <w:t xml:space="preserve"> </w:t>
      </w:r>
      <w:r w:rsidR="004049E2">
        <w:rPr>
          <w:rFonts w:asciiTheme="minorHAnsi" w:hAnsiTheme="minorHAnsi" w:cstheme="minorHAnsi"/>
        </w:rPr>
        <w:t xml:space="preserve">non-durable </w:t>
      </w:r>
      <w:r w:rsidR="00137AAE" w:rsidRPr="00A40DAB">
        <w:rPr>
          <w:rFonts w:asciiTheme="minorHAnsi" w:hAnsiTheme="minorHAnsi" w:cstheme="minorHAnsi"/>
        </w:rPr>
        <w:t>manuf</w:t>
      </w:r>
      <w:r w:rsidR="00137AAE">
        <w:rPr>
          <w:rFonts w:asciiTheme="minorHAnsi" w:hAnsiTheme="minorHAnsi" w:cstheme="minorHAnsi"/>
        </w:rPr>
        <w:t>acturing exports (including food processing) by 1.1</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00137AAE">
        <w:rPr>
          <w:rFonts w:asciiTheme="minorHAnsi" w:hAnsiTheme="minorHAnsi" w:cstheme="minorHAnsi"/>
        </w:rPr>
        <w:t>and service exports by 1.6</w:t>
      </w:r>
      <w:r w:rsidR="0034155A" w:rsidRPr="0034155A">
        <w:rPr>
          <w:rFonts w:asciiTheme="minorHAnsi" w:hAnsiTheme="minorHAnsi" w:cstheme="minorHAnsi"/>
        </w:rPr>
        <w:t xml:space="preserve"> </w:t>
      </w:r>
      <w:r w:rsidR="0034155A">
        <w:rPr>
          <w:rFonts w:asciiTheme="minorHAnsi" w:hAnsiTheme="minorHAnsi" w:cstheme="minorHAnsi"/>
        </w:rPr>
        <w:t>per cent</w:t>
      </w:r>
      <w:r w:rsidR="0034155A" w:rsidRPr="002470EE">
        <w:rPr>
          <w:rFonts w:asciiTheme="minorHAnsi" w:hAnsiTheme="minorHAnsi" w:cstheme="minorHAnsi"/>
        </w:rPr>
        <w:t xml:space="preserve"> </w:t>
      </w:r>
      <w:r w:rsidR="00137AAE">
        <w:rPr>
          <w:rFonts w:asciiTheme="minorHAnsi" w:hAnsiTheme="minorHAnsi" w:cstheme="minorHAnsi"/>
        </w:rPr>
        <w:t>by 2030</w:t>
      </w:r>
      <w:r>
        <w:rPr>
          <w:rFonts w:asciiTheme="minorHAnsi" w:hAnsiTheme="minorHAnsi" w:cstheme="minorHAnsi"/>
        </w:rPr>
        <w:t xml:space="preserve"> (</w:t>
      </w:r>
      <w:r w:rsidR="00137AAE" w:rsidRPr="00BF7A32">
        <w:rPr>
          <w:rFonts w:asciiTheme="minorHAnsi" w:hAnsiTheme="minorHAnsi" w:cstheme="minorHAnsi"/>
        </w:rPr>
        <w:t xml:space="preserve">Figure </w:t>
      </w:r>
      <w:r w:rsidR="00CC7EB3">
        <w:rPr>
          <w:rFonts w:asciiTheme="minorHAnsi" w:hAnsiTheme="minorHAnsi" w:cstheme="minorHAnsi"/>
        </w:rPr>
        <w:t>2</w:t>
      </w:r>
      <w:r w:rsidR="005562E2" w:rsidRPr="00BF7A32">
        <w:rPr>
          <w:rFonts w:asciiTheme="minorHAnsi" w:hAnsiTheme="minorHAnsi" w:cstheme="minorHAnsi"/>
        </w:rPr>
        <w:t>b</w:t>
      </w:r>
      <w:r>
        <w:rPr>
          <w:rFonts w:asciiTheme="minorHAnsi" w:hAnsiTheme="minorHAnsi" w:cstheme="minorHAnsi"/>
        </w:rPr>
        <w:t>)</w:t>
      </w:r>
      <w:r w:rsidR="00137AAE">
        <w:rPr>
          <w:rFonts w:asciiTheme="minorHAnsi" w:hAnsiTheme="minorHAnsi" w:cstheme="minorHAnsi"/>
        </w:rPr>
        <w:t xml:space="preserve">. </w:t>
      </w:r>
      <w:r w:rsidR="003374BA">
        <w:rPr>
          <w:rFonts w:asciiTheme="minorHAnsi" w:hAnsiTheme="minorHAnsi" w:cstheme="minorHAnsi"/>
        </w:rPr>
        <w:t xml:space="preserve">Growth in Australia’s non-resources export base is </w:t>
      </w:r>
      <w:r>
        <w:rPr>
          <w:rFonts w:asciiTheme="minorHAnsi" w:hAnsiTheme="minorHAnsi" w:cstheme="minorHAnsi"/>
        </w:rPr>
        <w:t xml:space="preserve">due to </w:t>
      </w:r>
      <w:r w:rsidR="003374BA">
        <w:rPr>
          <w:rFonts w:asciiTheme="minorHAnsi" w:hAnsiTheme="minorHAnsi" w:cstheme="minorHAnsi"/>
        </w:rPr>
        <w:t xml:space="preserve">energy efficiency measures in other countries (and their resulting capital flows) causing net capital outflows from Australia, putting downward pressure on Australia’s exchange rate and providing a boost </w:t>
      </w:r>
      <w:r w:rsidR="003374BA" w:rsidRPr="003C31D0">
        <w:rPr>
          <w:rFonts w:asciiTheme="minorHAnsi" w:hAnsiTheme="minorHAnsi" w:cstheme="minorHAnsi"/>
        </w:rPr>
        <w:t>for Australia</w:t>
      </w:r>
      <w:r w:rsidR="003374BA">
        <w:rPr>
          <w:rFonts w:asciiTheme="minorHAnsi" w:hAnsiTheme="minorHAnsi" w:cstheme="minorHAnsi"/>
        </w:rPr>
        <w:t>’s less carbon-intensive export industries. This broad-based export growth offsets the negative impacts on exports from fossil</w:t>
      </w:r>
      <w:r>
        <w:rPr>
          <w:rFonts w:asciiTheme="minorHAnsi" w:hAnsiTheme="minorHAnsi" w:cstheme="minorHAnsi"/>
        </w:rPr>
        <w:t>-</w:t>
      </w:r>
      <w:r w:rsidR="003374BA">
        <w:rPr>
          <w:rFonts w:asciiTheme="minorHAnsi" w:hAnsiTheme="minorHAnsi" w:cstheme="minorHAnsi"/>
        </w:rPr>
        <w:t>fuel based sectors.</w:t>
      </w:r>
    </w:p>
    <w:p w:rsidR="00810C8A" w:rsidRPr="00C32F93" w:rsidRDefault="00810C8A" w:rsidP="007A0EAD">
      <w:pPr>
        <w:pStyle w:val="ListParagraph"/>
        <w:keepNext/>
        <w:keepLines/>
        <w:spacing w:before="120"/>
        <w:ind w:left="0"/>
        <w:contextualSpacing w:val="0"/>
        <w:rPr>
          <w:rFonts w:asciiTheme="minorHAnsi" w:hAnsiTheme="minorHAnsi" w:cstheme="minorHAnsi"/>
          <w:color w:val="4F81BD" w:themeColor="accent1"/>
        </w:rPr>
      </w:pPr>
      <w:r w:rsidRPr="00C32F93">
        <w:rPr>
          <w:rFonts w:asciiTheme="minorHAnsi" w:hAnsiTheme="minorHAnsi" w:cstheme="minorHAnsi"/>
          <w:b/>
          <w:color w:val="4F81BD" w:themeColor="accent1"/>
        </w:rPr>
        <w:t xml:space="preserve">Figure </w:t>
      </w:r>
      <w:r w:rsidR="00450F80" w:rsidRPr="00C32F93">
        <w:rPr>
          <w:rFonts w:asciiTheme="minorHAnsi" w:hAnsiTheme="minorHAnsi" w:cstheme="minorHAnsi"/>
          <w:b/>
          <w:color w:val="4F81BD" w:themeColor="accent1"/>
        </w:rPr>
        <w:t>2b:</w:t>
      </w:r>
      <w:r w:rsidRPr="00C32F93">
        <w:rPr>
          <w:rFonts w:asciiTheme="minorHAnsi" w:hAnsiTheme="minorHAnsi" w:cstheme="minorHAnsi"/>
          <w:color w:val="4F81BD" w:themeColor="accent1"/>
        </w:rPr>
        <w:t xml:space="preserve"> Impacts of international action on Australian exports, 2030 (percentage deviation</w:t>
      </w:r>
      <w:r w:rsidR="004049E2" w:rsidRPr="00C32F93">
        <w:rPr>
          <w:rFonts w:asciiTheme="minorHAnsi" w:hAnsiTheme="minorHAnsi" w:cstheme="minorHAnsi"/>
          <w:color w:val="4F81BD" w:themeColor="accent1"/>
        </w:rPr>
        <w:t xml:space="preserve"> in value</w:t>
      </w:r>
      <w:r w:rsidRPr="00C32F93">
        <w:rPr>
          <w:rFonts w:asciiTheme="minorHAnsi" w:hAnsiTheme="minorHAnsi" w:cstheme="minorHAnsi"/>
          <w:color w:val="4F81BD" w:themeColor="accent1"/>
        </w:rPr>
        <w:t>)</w:t>
      </w:r>
      <w:r w:rsidR="00087A50" w:rsidRPr="00C32F93">
        <w:rPr>
          <w:rFonts w:asciiTheme="minorHAnsi" w:hAnsiTheme="minorHAnsi" w:cstheme="minorHAnsi"/>
          <w:color w:val="4F81BD" w:themeColor="accent1"/>
        </w:rPr>
        <w:t xml:space="preserve"> </w:t>
      </w:r>
    </w:p>
    <w:p w:rsidR="00841FDE" w:rsidRDefault="00FC3D59" w:rsidP="007A0EAD">
      <w:pPr>
        <w:pStyle w:val="ListParagraph"/>
        <w:keepNext/>
        <w:keepLines/>
        <w:ind w:left="0"/>
        <w:contextualSpacing w:val="0"/>
        <w:jc w:val="center"/>
        <w:rPr>
          <w:rFonts w:asciiTheme="minorHAnsi" w:hAnsiTheme="minorHAnsi" w:cstheme="minorHAnsi"/>
        </w:rPr>
      </w:pPr>
      <w:r w:rsidRPr="00FC3D59">
        <w:rPr>
          <w:noProof/>
          <w:lang w:eastAsia="en-AU"/>
        </w:rPr>
        <w:drawing>
          <wp:inline distT="0" distB="0" distL="0" distR="0" wp14:anchorId="41FCFE32" wp14:editId="21B09996">
            <wp:extent cx="4466667" cy="3923810"/>
            <wp:effectExtent l="0" t="0" r="0" b="635"/>
            <wp:docPr id="21" name="Picture 21" descr="This chart shows on the horizontal axis deviations in 2030 in the value of exports of Australian sectors under the Paris Scenario, compared with the Current Policies Scenario.&#10;The vertical axis shows each sector's share of total exports under the Current Policies Scenario.&#10;Under the Paris Scenario in 2030, the value of Coal Mining exports falls 8 per cent. Coal Mining makes up 11 per cent of exports under the Current Policies Scenario in 2030. &#10;Exports from the Oil and Gas Extraction sector and the Energy Utilities sector also fall, but by less than one per cent.&#10;Exports from other sectors increase. The largest increases are in Petroleum Refining (3.1 per cent), Services (1.6 per cent) and Transport (1.4 per cent). &#10;The largest contributors to exports in 2030 are Durable Manufacturing and Other Mining. Exports from both sectors increases by less than one per cent.&#10;" title="Figure 2b: Impacts of international action on Australian exports, 2030 (percentage deviation in va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66667" cy="3923810"/>
                    </a:xfrm>
                    <a:prstGeom prst="rect">
                      <a:avLst/>
                    </a:prstGeom>
                  </pic:spPr>
                </pic:pic>
              </a:graphicData>
            </a:graphic>
          </wp:inline>
        </w:drawing>
      </w:r>
    </w:p>
    <w:p w:rsidR="00D82438" w:rsidRPr="00BF39AB" w:rsidRDefault="00D82438" w:rsidP="00D82438">
      <w:pPr>
        <w:pStyle w:val="ListParagraph"/>
        <w:spacing w:after="60"/>
        <w:ind w:left="0"/>
        <w:contextualSpacing w:val="0"/>
        <w:rPr>
          <w:rFonts w:asciiTheme="minorHAnsi" w:hAnsiTheme="minorHAnsi" w:cstheme="minorHAnsi"/>
          <w:i/>
          <w:color w:val="4F81BD" w:themeColor="accent1"/>
          <w:sz w:val="18"/>
        </w:rPr>
      </w:pPr>
      <w:r>
        <w:rPr>
          <w:rFonts w:asciiTheme="minorHAnsi" w:hAnsiTheme="minorHAnsi" w:cstheme="minorHAnsi"/>
          <w:i/>
          <w:color w:val="4F81BD" w:themeColor="accent1"/>
          <w:sz w:val="18"/>
        </w:rPr>
        <w:t xml:space="preserve">‘Energy Utilities’ </w:t>
      </w:r>
      <w:r w:rsidR="003E22AA">
        <w:rPr>
          <w:rFonts w:asciiTheme="minorHAnsi" w:hAnsiTheme="minorHAnsi" w:cstheme="minorHAnsi"/>
          <w:i/>
          <w:color w:val="4F81BD" w:themeColor="accent1"/>
          <w:sz w:val="18"/>
        </w:rPr>
        <w:t xml:space="preserve">exports </w:t>
      </w:r>
      <w:r w:rsidR="002922A5">
        <w:rPr>
          <w:rFonts w:asciiTheme="minorHAnsi" w:hAnsiTheme="minorHAnsi" w:cstheme="minorHAnsi"/>
          <w:i/>
          <w:color w:val="4F81BD" w:themeColor="accent1"/>
          <w:sz w:val="18"/>
        </w:rPr>
        <w:t xml:space="preserve">consists </w:t>
      </w:r>
      <w:r w:rsidR="00731603">
        <w:rPr>
          <w:rFonts w:asciiTheme="minorHAnsi" w:hAnsiTheme="minorHAnsi" w:cstheme="minorHAnsi"/>
          <w:i/>
          <w:color w:val="4F81BD" w:themeColor="accent1"/>
          <w:sz w:val="18"/>
        </w:rPr>
        <w:t>of the</w:t>
      </w:r>
      <w:r w:rsidR="002922A5">
        <w:rPr>
          <w:rFonts w:asciiTheme="minorHAnsi" w:hAnsiTheme="minorHAnsi" w:cstheme="minorHAnsi"/>
          <w:i/>
          <w:color w:val="4F81BD" w:themeColor="accent1"/>
          <w:sz w:val="18"/>
        </w:rPr>
        <w:t xml:space="preserve"> gas utilities sector</w:t>
      </w:r>
      <w:r>
        <w:rPr>
          <w:rFonts w:asciiTheme="minorHAnsi" w:hAnsiTheme="minorHAnsi" w:cstheme="minorHAnsi"/>
          <w:i/>
          <w:color w:val="4F81BD" w:themeColor="accent1"/>
          <w:sz w:val="18"/>
        </w:rPr>
        <w:t xml:space="preserve">; ‘Oil and Gas Extraction’ </w:t>
      </w:r>
      <w:r w:rsidR="002922A5">
        <w:rPr>
          <w:rFonts w:asciiTheme="minorHAnsi" w:hAnsiTheme="minorHAnsi" w:cstheme="minorHAnsi"/>
          <w:i/>
          <w:color w:val="4F81BD" w:themeColor="accent1"/>
          <w:sz w:val="18"/>
        </w:rPr>
        <w:t xml:space="preserve">consists of </w:t>
      </w:r>
      <w:r>
        <w:rPr>
          <w:rFonts w:asciiTheme="minorHAnsi" w:hAnsiTheme="minorHAnsi" w:cstheme="minorHAnsi"/>
          <w:i/>
          <w:color w:val="4F81BD" w:themeColor="accent1"/>
          <w:sz w:val="18"/>
        </w:rPr>
        <w:t>the crude extraction and gas extraction sectors. See Appendix B for sector definitions.</w:t>
      </w:r>
    </w:p>
    <w:p w:rsidR="009571BB" w:rsidRDefault="009571BB" w:rsidP="00757CA4">
      <w:pPr>
        <w:pStyle w:val="ListParagraph"/>
        <w:ind w:left="0"/>
        <w:rPr>
          <w:rFonts w:asciiTheme="minorHAnsi" w:hAnsiTheme="minorHAnsi" w:cstheme="minorHAnsi"/>
          <w:b/>
        </w:rPr>
      </w:pPr>
    </w:p>
    <w:p w:rsidR="00137AAE" w:rsidRPr="00BF39AB" w:rsidRDefault="0054629C" w:rsidP="00AF2688">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Some i</w:t>
      </w:r>
      <w:r w:rsidR="00137AAE" w:rsidRPr="00BF39AB">
        <w:rPr>
          <w:rFonts w:asciiTheme="minorHAnsi" w:hAnsiTheme="minorHAnsi" w:cstheme="minorHAnsi"/>
          <w:i/>
          <w:color w:val="996633"/>
        </w:rPr>
        <w:t>nvestment shift</w:t>
      </w:r>
      <w:r w:rsidRPr="00BF39AB">
        <w:rPr>
          <w:rFonts w:asciiTheme="minorHAnsi" w:hAnsiTheme="minorHAnsi" w:cstheme="minorHAnsi"/>
          <w:i/>
          <w:color w:val="996633"/>
        </w:rPr>
        <w:t xml:space="preserve"> away from </w:t>
      </w:r>
      <w:r w:rsidR="00137AAE" w:rsidRPr="00BF39AB">
        <w:rPr>
          <w:rFonts w:asciiTheme="minorHAnsi" w:hAnsiTheme="minorHAnsi" w:cstheme="minorHAnsi"/>
          <w:i/>
          <w:color w:val="996633"/>
        </w:rPr>
        <w:t xml:space="preserve">carbon intensive sectors </w:t>
      </w:r>
    </w:p>
    <w:p w:rsidR="003374BA" w:rsidRDefault="004049E2" w:rsidP="00AF2688">
      <w:pPr>
        <w:pStyle w:val="ListParagraph"/>
        <w:spacing w:after="100" w:afterAutospacing="1"/>
        <w:ind w:left="0"/>
        <w:rPr>
          <w:rFonts w:asciiTheme="minorHAnsi" w:hAnsiTheme="minorHAnsi" w:cstheme="minorHAnsi"/>
        </w:rPr>
      </w:pPr>
      <w:r>
        <w:rPr>
          <w:rFonts w:asciiTheme="minorHAnsi" w:hAnsiTheme="minorHAnsi" w:cstheme="minorHAnsi"/>
        </w:rPr>
        <w:t>Other countries’ e</w:t>
      </w:r>
      <w:r w:rsidR="003374BA">
        <w:rPr>
          <w:rFonts w:asciiTheme="minorHAnsi" w:hAnsiTheme="minorHAnsi" w:cstheme="minorHAnsi"/>
        </w:rPr>
        <w:t xml:space="preserve">missions reduction policies </w:t>
      </w:r>
      <w:r w:rsidR="0054629C">
        <w:rPr>
          <w:rFonts w:asciiTheme="minorHAnsi" w:hAnsiTheme="minorHAnsi" w:cstheme="minorHAnsi"/>
        </w:rPr>
        <w:t>r</w:t>
      </w:r>
      <w:r w:rsidR="003374BA" w:rsidRPr="002459BB">
        <w:rPr>
          <w:rFonts w:asciiTheme="minorHAnsi" w:hAnsiTheme="minorHAnsi" w:cstheme="minorHAnsi"/>
        </w:rPr>
        <w:t>educ</w:t>
      </w:r>
      <w:r w:rsidR="0054629C">
        <w:rPr>
          <w:rFonts w:asciiTheme="minorHAnsi" w:hAnsiTheme="minorHAnsi" w:cstheme="minorHAnsi"/>
        </w:rPr>
        <w:t xml:space="preserve">e </w:t>
      </w:r>
      <w:r w:rsidR="003374BA">
        <w:rPr>
          <w:rFonts w:asciiTheme="minorHAnsi" w:hAnsiTheme="minorHAnsi" w:cstheme="minorHAnsi"/>
        </w:rPr>
        <w:t>global</w:t>
      </w:r>
      <w:r w:rsidR="003374BA" w:rsidRPr="002459BB">
        <w:rPr>
          <w:rFonts w:asciiTheme="minorHAnsi" w:hAnsiTheme="minorHAnsi" w:cstheme="minorHAnsi"/>
        </w:rPr>
        <w:t xml:space="preserve"> demand for </w:t>
      </w:r>
      <w:r w:rsidR="003374BA">
        <w:rPr>
          <w:rFonts w:asciiTheme="minorHAnsi" w:hAnsiTheme="minorHAnsi" w:cstheme="minorHAnsi"/>
        </w:rPr>
        <w:t>carbon intensive goods, includ</w:t>
      </w:r>
      <w:r w:rsidR="0054629C">
        <w:rPr>
          <w:rFonts w:asciiTheme="minorHAnsi" w:hAnsiTheme="minorHAnsi" w:cstheme="minorHAnsi"/>
        </w:rPr>
        <w:t>ing</w:t>
      </w:r>
      <w:r w:rsidR="003374BA">
        <w:rPr>
          <w:rFonts w:asciiTheme="minorHAnsi" w:hAnsiTheme="minorHAnsi" w:cstheme="minorHAnsi"/>
        </w:rPr>
        <w:t xml:space="preserve"> </w:t>
      </w:r>
      <w:r w:rsidR="003374BA" w:rsidRPr="002459BB">
        <w:rPr>
          <w:rFonts w:asciiTheme="minorHAnsi" w:hAnsiTheme="minorHAnsi" w:cstheme="minorHAnsi"/>
        </w:rPr>
        <w:t xml:space="preserve">Australian </w:t>
      </w:r>
      <w:r w:rsidR="003374BA">
        <w:rPr>
          <w:rFonts w:asciiTheme="minorHAnsi" w:hAnsiTheme="minorHAnsi" w:cstheme="minorHAnsi"/>
        </w:rPr>
        <w:t xml:space="preserve">fossil fuel </w:t>
      </w:r>
      <w:r w:rsidR="003374BA" w:rsidRPr="002459BB">
        <w:rPr>
          <w:rFonts w:asciiTheme="minorHAnsi" w:hAnsiTheme="minorHAnsi" w:cstheme="minorHAnsi"/>
        </w:rPr>
        <w:t>exports</w:t>
      </w:r>
      <w:r w:rsidR="003374BA">
        <w:rPr>
          <w:rFonts w:asciiTheme="minorHAnsi" w:hAnsiTheme="minorHAnsi" w:cstheme="minorHAnsi"/>
        </w:rPr>
        <w:t xml:space="preserve">. </w:t>
      </w:r>
      <w:r w:rsidR="00207F05">
        <w:rPr>
          <w:rFonts w:asciiTheme="minorHAnsi" w:hAnsiTheme="minorHAnsi" w:cstheme="minorHAnsi"/>
        </w:rPr>
        <w:t xml:space="preserve">So total investment in our </w:t>
      </w:r>
      <w:r w:rsidR="003374BA">
        <w:rPr>
          <w:rFonts w:asciiTheme="minorHAnsi" w:hAnsiTheme="minorHAnsi" w:cstheme="minorHAnsi"/>
        </w:rPr>
        <w:t xml:space="preserve">fossil fuel </w:t>
      </w:r>
      <w:r w:rsidR="00AF0AFA">
        <w:rPr>
          <w:rFonts w:asciiTheme="minorHAnsi" w:hAnsiTheme="minorHAnsi" w:cstheme="minorHAnsi"/>
        </w:rPr>
        <w:t xml:space="preserve">extraction </w:t>
      </w:r>
      <w:r w:rsidR="003374BA">
        <w:rPr>
          <w:rFonts w:asciiTheme="minorHAnsi" w:hAnsiTheme="minorHAnsi" w:cstheme="minorHAnsi"/>
        </w:rPr>
        <w:t>sectors</w:t>
      </w:r>
      <w:r w:rsidR="00207F05">
        <w:rPr>
          <w:rFonts w:asciiTheme="minorHAnsi" w:hAnsiTheme="minorHAnsi" w:cstheme="minorHAnsi"/>
        </w:rPr>
        <w:t xml:space="preserve"> </w:t>
      </w:r>
      <w:r w:rsidR="003374BA">
        <w:rPr>
          <w:rFonts w:asciiTheme="minorHAnsi" w:hAnsiTheme="minorHAnsi" w:cstheme="minorHAnsi"/>
        </w:rPr>
        <w:t>falls by around 9 per cent by 2030 – and accounts for almost the entire decline in Australian investment out to 2030.</w:t>
      </w:r>
    </w:p>
    <w:p w:rsidR="003374BA" w:rsidRDefault="003374BA" w:rsidP="00BF7A32">
      <w:pPr>
        <w:spacing w:after="100" w:afterAutospacing="1"/>
        <w:rPr>
          <w:rFonts w:asciiTheme="minorHAnsi" w:hAnsiTheme="minorHAnsi" w:cstheme="minorHAnsi"/>
        </w:rPr>
      </w:pPr>
      <w:r w:rsidRPr="002459BB">
        <w:rPr>
          <w:rFonts w:asciiTheme="minorHAnsi" w:hAnsiTheme="minorHAnsi" w:cstheme="minorHAnsi"/>
        </w:rPr>
        <w:t xml:space="preserve">The trade balance improves slightly in </w:t>
      </w:r>
      <w:r>
        <w:rPr>
          <w:rFonts w:asciiTheme="minorHAnsi" w:hAnsiTheme="minorHAnsi" w:cstheme="minorHAnsi"/>
        </w:rPr>
        <w:t>response to</w:t>
      </w:r>
      <w:r w:rsidRPr="002459BB">
        <w:rPr>
          <w:rFonts w:asciiTheme="minorHAnsi" w:hAnsiTheme="minorHAnsi" w:cstheme="minorHAnsi"/>
        </w:rPr>
        <w:t xml:space="preserve"> a flow of capital out of Australia into other countries that are </w:t>
      </w:r>
      <w:r>
        <w:rPr>
          <w:rFonts w:asciiTheme="minorHAnsi" w:hAnsiTheme="minorHAnsi" w:cstheme="minorHAnsi"/>
        </w:rPr>
        <w:t>raising investment in electricity sectors in order to reach the specified targets</w:t>
      </w:r>
      <w:r w:rsidRPr="002459BB">
        <w:rPr>
          <w:rFonts w:asciiTheme="minorHAnsi" w:hAnsiTheme="minorHAnsi" w:cstheme="minorHAnsi"/>
        </w:rPr>
        <w:t xml:space="preserve">. </w:t>
      </w:r>
      <w:r>
        <w:rPr>
          <w:rFonts w:asciiTheme="minorHAnsi" w:hAnsiTheme="minorHAnsi" w:cstheme="minorHAnsi"/>
        </w:rPr>
        <w:t xml:space="preserve">The Australian dollar also depreciates in real terms as </w:t>
      </w:r>
      <w:r>
        <w:rPr>
          <w:rFonts w:asciiTheme="minorHAnsi" w:hAnsiTheme="minorHAnsi" w:cstheme="minorHAnsi"/>
        </w:rPr>
        <w:lastRenderedPageBreak/>
        <w:t xml:space="preserve">capital flows overseas, which lowers the cost of Australian exports in foreign currency terms. Slower growth in coal and gas </w:t>
      </w:r>
      <w:r w:rsidR="00407A4C">
        <w:rPr>
          <w:rFonts w:asciiTheme="minorHAnsi" w:hAnsiTheme="minorHAnsi" w:cstheme="minorHAnsi"/>
        </w:rPr>
        <w:t xml:space="preserve">also </w:t>
      </w:r>
      <w:r>
        <w:rPr>
          <w:rFonts w:asciiTheme="minorHAnsi" w:hAnsiTheme="minorHAnsi" w:cstheme="minorHAnsi"/>
        </w:rPr>
        <w:t>puts downward pressure on input prices</w:t>
      </w:r>
      <w:r w:rsidR="00407A4C">
        <w:rPr>
          <w:rFonts w:asciiTheme="minorHAnsi" w:hAnsiTheme="minorHAnsi" w:cstheme="minorHAnsi"/>
        </w:rPr>
        <w:t xml:space="preserve">, </w:t>
      </w:r>
      <w:r>
        <w:rPr>
          <w:rFonts w:asciiTheme="minorHAnsi" w:hAnsiTheme="minorHAnsi" w:cstheme="minorHAnsi"/>
        </w:rPr>
        <w:t>including wages</w:t>
      </w:r>
      <w:r w:rsidR="00407A4C">
        <w:rPr>
          <w:rFonts w:asciiTheme="minorHAnsi" w:hAnsiTheme="minorHAnsi" w:cstheme="minorHAnsi"/>
        </w:rPr>
        <w:t xml:space="preserve">, </w:t>
      </w:r>
      <w:r>
        <w:rPr>
          <w:rFonts w:asciiTheme="minorHAnsi" w:hAnsiTheme="minorHAnsi" w:cstheme="minorHAnsi"/>
        </w:rPr>
        <w:t>benefiting</w:t>
      </w:r>
      <w:r w:rsidRPr="002459BB">
        <w:rPr>
          <w:rFonts w:asciiTheme="minorHAnsi" w:hAnsiTheme="minorHAnsi" w:cstheme="minorHAnsi"/>
        </w:rPr>
        <w:t xml:space="preserve"> other sectors </w:t>
      </w:r>
      <w:r>
        <w:rPr>
          <w:rFonts w:asciiTheme="minorHAnsi" w:hAnsiTheme="minorHAnsi" w:cstheme="minorHAnsi"/>
        </w:rPr>
        <w:t xml:space="preserve">including </w:t>
      </w:r>
      <w:r w:rsidRPr="002459BB">
        <w:rPr>
          <w:rFonts w:asciiTheme="minorHAnsi" w:hAnsiTheme="minorHAnsi" w:cstheme="minorHAnsi"/>
        </w:rPr>
        <w:t>services, agriculture and non</w:t>
      </w:r>
      <w:r w:rsidR="00153FC0">
        <w:rPr>
          <w:rFonts w:asciiTheme="minorHAnsi" w:hAnsiTheme="minorHAnsi" w:cstheme="minorHAnsi"/>
        </w:rPr>
        <w:t>-</w:t>
      </w:r>
      <w:r w:rsidRPr="002459BB">
        <w:rPr>
          <w:rFonts w:asciiTheme="minorHAnsi" w:hAnsiTheme="minorHAnsi" w:cstheme="minorHAnsi"/>
        </w:rPr>
        <w:t>durable manufactu</w:t>
      </w:r>
      <w:r>
        <w:rPr>
          <w:rFonts w:asciiTheme="minorHAnsi" w:hAnsiTheme="minorHAnsi" w:cstheme="minorHAnsi"/>
        </w:rPr>
        <w:t>ring (largely food processing)</w:t>
      </w:r>
      <w:r w:rsidRPr="002459BB">
        <w:rPr>
          <w:rFonts w:asciiTheme="minorHAnsi" w:hAnsiTheme="minorHAnsi" w:cstheme="minorHAnsi"/>
        </w:rPr>
        <w:t xml:space="preserve">. </w:t>
      </w:r>
    </w:p>
    <w:p w:rsidR="00137AAE" w:rsidRPr="00BF39AB" w:rsidRDefault="00137AAE" w:rsidP="00AF2688">
      <w:pPr>
        <w:pStyle w:val="ListParagraph"/>
        <w:spacing w:after="120"/>
        <w:ind w:left="0"/>
        <w:contextualSpacing w:val="0"/>
        <w:rPr>
          <w:rFonts w:asciiTheme="minorHAnsi" w:hAnsiTheme="minorHAnsi" w:cstheme="minorHAnsi"/>
          <w:i/>
          <w:color w:val="996633"/>
        </w:rPr>
      </w:pPr>
      <w:r w:rsidRPr="00BF39AB">
        <w:rPr>
          <w:rFonts w:asciiTheme="minorHAnsi" w:hAnsiTheme="minorHAnsi" w:cstheme="minorHAnsi"/>
          <w:i/>
          <w:color w:val="996633"/>
        </w:rPr>
        <w:t>The impacts of international action on Australia</w:t>
      </w:r>
      <w:r w:rsidR="00407A4C" w:rsidRPr="00BF39AB">
        <w:rPr>
          <w:rFonts w:asciiTheme="minorHAnsi" w:hAnsiTheme="minorHAnsi" w:cstheme="minorHAnsi"/>
          <w:i/>
          <w:color w:val="996633"/>
        </w:rPr>
        <w:t xml:space="preserve"> </w:t>
      </w:r>
    </w:p>
    <w:p w:rsidR="00A66CDC" w:rsidRDefault="003374BA" w:rsidP="00BF7A32">
      <w:pPr>
        <w:spacing w:after="100" w:afterAutospacing="1"/>
        <w:rPr>
          <w:rFonts w:asciiTheme="minorHAnsi" w:hAnsiTheme="minorHAnsi" w:cstheme="minorHAnsi"/>
        </w:rPr>
      </w:pPr>
      <w:r>
        <w:rPr>
          <w:rFonts w:asciiTheme="minorHAnsi" w:hAnsiTheme="minorHAnsi" w:cstheme="minorHAnsi"/>
        </w:rPr>
        <w:t xml:space="preserve">The projected impacts of </w:t>
      </w:r>
      <w:r w:rsidR="004049E2">
        <w:rPr>
          <w:rFonts w:asciiTheme="minorHAnsi" w:hAnsiTheme="minorHAnsi" w:cstheme="minorHAnsi"/>
        </w:rPr>
        <w:t xml:space="preserve">other countries’ </w:t>
      </w:r>
      <w:r w:rsidR="002373DD">
        <w:rPr>
          <w:rFonts w:asciiTheme="minorHAnsi" w:hAnsiTheme="minorHAnsi" w:cstheme="minorHAnsi"/>
        </w:rPr>
        <w:t xml:space="preserve">post-2020 </w:t>
      </w:r>
      <w:r>
        <w:rPr>
          <w:rFonts w:asciiTheme="minorHAnsi" w:hAnsiTheme="minorHAnsi" w:cstheme="minorHAnsi"/>
        </w:rPr>
        <w:t xml:space="preserve">commitments on Australia are </w:t>
      </w:r>
      <w:r w:rsidR="00731603">
        <w:rPr>
          <w:rFonts w:asciiTheme="minorHAnsi" w:hAnsiTheme="minorHAnsi" w:cstheme="minorHAnsi"/>
        </w:rPr>
        <w:t>smaller</w:t>
      </w:r>
      <w:r>
        <w:rPr>
          <w:rFonts w:asciiTheme="minorHAnsi" w:hAnsiTheme="minorHAnsi" w:cstheme="minorHAnsi"/>
        </w:rPr>
        <w:t xml:space="preserve"> than the </w:t>
      </w:r>
      <w:r w:rsidR="00407A4C">
        <w:rPr>
          <w:rFonts w:asciiTheme="minorHAnsi" w:hAnsiTheme="minorHAnsi" w:cstheme="minorHAnsi"/>
        </w:rPr>
        <w:t xml:space="preserve">effects </w:t>
      </w:r>
      <w:r>
        <w:rPr>
          <w:rFonts w:asciiTheme="minorHAnsi" w:hAnsiTheme="minorHAnsi" w:cstheme="minorHAnsi"/>
        </w:rPr>
        <w:t xml:space="preserve">on China, </w:t>
      </w:r>
      <w:r w:rsidR="00407A4C">
        <w:rPr>
          <w:rFonts w:asciiTheme="minorHAnsi" w:hAnsiTheme="minorHAnsi" w:cstheme="minorHAnsi"/>
        </w:rPr>
        <w:t xml:space="preserve">the </w:t>
      </w:r>
      <w:r>
        <w:rPr>
          <w:rFonts w:asciiTheme="minorHAnsi" w:hAnsiTheme="minorHAnsi" w:cstheme="minorHAnsi"/>
        </w:rPr>
        <w:t>EU and Canad</w:t>
      </w:r>
      <w:r w:rsidR="00D75091">
        <w:rPr>
          <w:rFonts w:asciiTheme="minorHAnsi" w:hAnsiTheme="minorHAnsi" w:cstheme="minorHAnsi"/>
        </w:rPr>
        <w:t>a</w:t>
      </w:r>
      <w:r w:rsidR="003E4389">
        <w:rPr>
          <w:rFonts w:asciiTheme="minorHAnsi" w:hAnsiTheme="minorHAnsi" w:cstheme="minorHAnsi"/>
        </w:rPr>
        <w:t xml:space="preserve"> (Figure 3)</w:t>
      </w:r>
      <w:r w:rsidR="00A66CDC">
        <w:rPr>
          <w:rFonts w:asciiTheme="minorHAnsi" w:hAnsiTheme="minorHAnsi" w:cstheme="minorHAnsi"/>
        </w:rPr>
        <w:t xml:space="preserve">. </w:t>
      </w:r>
    </w:p>
    <w:p w:rsidR="003374BA" w:rsidRDefault="00A66CDC" w:rsidP="00BF7A32">
      <w:pPr>
        <w:spacing w:after="100" w:afterAutospacing="1"/>
        <w:rPr>
          <w:rFonts w:asciiTheme="minorHAnsi" w:hAnsiTheme="minorHAnsi" w:cstheme="minorHAnsi"/>
        </w:rPr>
      </w:pPr>
      <w:r>
        <w:rPr>
          <w:rFonts w:asciiTheme="minorHAnsi" w:hAnsiTheme="minorHAnsi" w:cstheme="minorHAnsi"/>
        </w:rPr>
        <w:t xml:space="preserve">The modelling estimates that Australia will experience a larger impact from other countries’ targets than </w:t>
      </w:r>
      <w:r w:rsidR="004049E2">
        <w:rPr>
          <w:rFonts w:asciiTheme="minorHAnsi" w:hAnsiTheme="minorHAnsi" w:cstheme="minorHAnsi"/>
        </w:rPr>
        <w:t>the US</w:t>
      </w:r>
      <w:r>
        <w:rPr>
          <w:rFonts w:asciiTheme="minorHAnsi" w:hAnsiTheme="minorHAnsi" w:cstheme="minorHAnsi"/>
        </w:rPr>
        <w:t xml:space="preserve"> or </w:t>
      </w:r>
      <w:r w:rsidR="004049E2">
        <w:rPr>
          <w:rFonts w:asciiTheme="minorHAnsi" w:hAnsiTheme="minorHAnsi" w:cstheme="minorHAnsi"/>
        </w:rPr>
        <w:t>Japan</w:t>
      </w:r>
      <w:r w:rsidR="00407A4C">
        <w:rPr>
          <w:rFonts w:asciiTheme="minorHAnsi" w:hAnsiTheme="minorHAnsi" w:cstheme="minorHAnsi"/>
        </w:rPr>
        <w:t xml:space="preserve">. </w:t>
      </w:r>
      <w:r w:rsidR="003B6E18">
        <w:rPr>
          <w:rFonts w:asciiTheme="minorHAnsi" w:hAnsiTheme="minorHAnsi" w:cstheme="minorHAnsi"/>
        </w:rPr>
        <w:t xml:space="preserve">Australia generates a significant amount of income through exports of fossil fuels and fossil fuel intensive goods into markets that are expected to take on significant emission targets. </w:t>
      </w:r>
      <w:r>
        <w:rPr>
          <w:rFonts w:asciiTheme="minorHAnsi" w:hAnsiTheme="minorHAnsi" w:cstheme="minorHAnsi"/>
        </w:rPr>
        <w:t xml:space="preserve">Further, </w:t>
      </w:r>
      <w:r w:rsidR="003B6E18">
        <w:rPr>
          <w:rFonts w:asciiTheme="minorHAnsi" w:hAnsiTheme="minorHAnsi" w:cstheme="minorHAnsi"/>
        </w:rPr>
        <w:t xml:space="preserve">Japan and the US are less affected </w:t>
      </w:r>
      <w:r>
        <w:rPr>
          <w:rFonts w:asciiTheme="minorHAnsi" w:hAnsiTheme="minorHAnsi" w:cstheme="minorHAnsi"/>
        </w:rPr>
        <w:t xml:space="preserve">by their targets </w:t>
      </w:r>
      <w:r w:rsidR="003B6E18">
        <w:rPr>
          <w:rFonts w:asciiTheme="minorHAnsi" w:hAnsiTheme="minorHAnsi" w:cstheme="minorHAnsi"/>
        </w:rPr>
        <w:t>because the underlying emission paths are already low (based on official projections used in the modelling) before the Paris commitments.</w:t>
      </w:r>
    </w:p>
    <w:p w:rsidR="003374BA" w:rsidRDefault="003374BA" w:rsidP="00BF7A32">
      <w:pPr>
        <w:spacing w:after="100" w:afterAutospacing="1"/>
        <w:rPr>
          <w:rFonts w:asciiTheme="minorHAnsi" w:hAnsiTheme="minorHAnsi" w:cstheme="minorHAnsi"/>
        </w:rPr>
      </w:pPr>
      <w:r>
        <w:rPr>
          <w:rFonts w:asciiTheme="minorHAnsi" w:hAnsiTheme="minorHAnsi" w:cstheme="minorHAnsi"/>
        </w:rPr>
        <w:t xml:space="preserve">These relative economic impacts should be interpreted with some caution. They do not account for any potential new commitments or policies from Australia, whereas the projected </w:t>
      </w:r>
      <w:r w:rsidR="00407A4C">
        <w:rPr>
          <w:rFonts w:asciiTheme="minorHAnsi" w:hAnsiTheme="minorHAnsi" w:cstheme="minorHAnsi"/>
        </w:rPr>
        <w:t xml:space="preserve">outcomes for </w:t>
      </w:r>
      <w:r>
        <w:rPr>
          <w:rFonts w:asciiTheme="minorHAnsi" w:hAnsiTheme="minorHAnsi" w:cstheme="minorHAnsi"/>
        </w:rPr>
        <w:t xml:space="preserve">other countries include the </w:t>
      </w:r>
      <w:r w:rsidR="00407A4C">
        <w:rPr>
          <w:rFonts w:asciiTheme="minorHAnsi" w:hAnsiTheme="minorHAnsi" w:cstheme="minorHAnsi"/>
        </w:rPr>
        <w:t xml:space="preserve">effort of their own </w:t>
      </w:r>
      <w:r>
        <w:rPr>
          <w:rFonts w:asciiTheme="minorHAnsi" w:hAnsiTheme="minorHAnsi" w:cstheme="minorHAnsi"/>
        </w:rPr>
        <w:t>policies</w:t>
      </w:r>
      <w:r w:rsidR="00407A4C">
        <w:rPr>
          <w:rFonts w:asciiTheme="minorHAnsi" w:hAnsiTheme="minorHAnsi" w:cstheme="minorHAnsi"/>
        </w:rPr>
        <w:t>, and the combined effects on international trade.</w:t>
      </w:r>
      <w:r>
        <w:rPr>
          <w:rFonts w:asciiTheme="minorHAnsi" w:hAnsiTheme="minorHAnsi" w:cstheme="minorHAnsi"/>
        </w:rPr>
        <w:t xml:space="preserve">  </w:t>
      </w:r>
    </w:p>
    <w:p w:rsidR="003374BA" w:rsidRPr="00C32F93" w:rsidRDefault="003374BA" w:rsidP="00BF7A32">
      <w:pPr>
        <w:pStyle w:val="ListParagraph"/>
        <w:keepNext/>
        <w:keepLines/>
        <w:spacing w:before="240"/>
        <w:ind w:left="0"/>
        <w:contextualSpacing w:val="0"/>
        <w:rPr>
          <w:rFonts w:asciiTheme="minorHAnsi" w:hAnsiTheme="minorHAnsi" w:cstheme="minorHAnsi"/>
          <w:b/>
          <w:color w:val="4F81BD" w:themeColor="accent1"/>
        </w:rPr>
      </w:pPr>
      <w:r w:rsidRPr="00C32F93">
        <w:rPr>
          <w:rFonts w:asciiTheme="minorHAnsi" w:hAnsiTheme="minorHAnsi" w:cstheme="minorHAnsi"/>
          <w:b/>
          <w:color w:val="4F81BD" w:themeColor="accent1"/>
        </w:rPr>
        <w:lastRenderedPageBreak/>
        <w:t xml:space="preserve">Figure </w:t>
      </w:r>
      <w:r w:rsidR="00450F80" w:rsidRPr="00C32F93">
        <w:rPr>
          <w:rFonts w:asciiTheme="minorHAnsi" w:hAnsiTheme="minorHAnsi" w:cstheme="minorHAnsi"/>
          <w:b/>
          <w:color w:val="4F81BD" w:themeColor="accent1"/>
        </w:rPr>
        <w:t>3</w:t>
      </w:r>
      <w:r w:rsidR="000C546B" w:rsidRPr="00C32F93">
        <w:rPr>
          <w:rFonts w:asciiTheme="minorHAnsi" w:hAnsiTheme="minorHAnsi" w:cstheme="minorHAnsi"/>
          <w:b/>
          <w:color w:val="4F81BD" w:themeColor="accent1"/>
        </w:rPr>
        <w:t>:</w:t>
      </w:r>
      <w:r w:rsidRPr="00C32F93">
        <w:rPr>
          <w:rFonts w:asciiTheme="minorHAnsi" w:hAnsiTheme="minorHAnsi" w:cstheme="minorHAnsi"/>
          <w:b/>
          <w:color w:val="4F81BD" w:themeColor="accent1"/>
        </w:rPr>
        <w:t xml:space="preserve"> </w:t>
      </w:r>
      <w:r w:rsidRPr="00C32F93">
        <w:rPr>
          <w:rFonts w:asciiTheme="minorHAnsi" w:hAnsiTheme="minorHAnsi" w:cstheme="minorHAnsi"/>
          <w:color w:val="4F81BD" w:themeColor="accent1"/>
        </w:rPr>
        <w:t>Impact on GDP 2030 of post-2020 action: key countries</w:t>
      </w:r>
    </w:p>
    <w:p w:rsidR="00137AAE" w:rsidRDefault="00EE01F8" w:rsidP="008969C3">
      <w:pPr>
        <w:keepNext/>
        <w:spacing w:after="360"/>
        <w:rPr>
          <w:rFonts w:asciiTheme="minorHAnsi" w:hAnsiTheme="minorHAnsi" w:cstheme="minorHAnsi"/>
        </w:rPr>
      </w:pPr>
      <w:r w:rsidRPr="00EE01F8">
        <w:rPr>
          <w:noProof/>
          <w:lang w:eastAsia="en-AU"/>
        </w:rPr>
        <w:drawing>
          <wp:inline distT="0" distB="0" distL="0" distR="0" wp14:anchorId="332305EC" wp14:editId="61A70114">
            <wp:extent cx="5104762" cy="4400000"/>
            <wp:effectExtent l="0" t="0" r="1270" b="635"/>
            <wp:docPr id="3" name="Picture 3" descr="This chart has two parts. Part (a) shows the percentage change annually from 2020 to 2030 in GDP due to global post-2020 commitments for the following countries or groupings: World, US, China, EU, Japan, Canada and NZ, Australia.&#10;Deviations in 2020 for all countries are in the range of 0.1 per cent to -0.1 per cent. The deviations become increasingly negative for all countries to 2030.&#10;Japan has the smallest fall in GDP in 2030 at -0.02 per cent. The Canada and NZ grouping has the largest fall at -0.8 per cent.&#10;Part (b) of the chart shows GDP in trillions of US dollars from 2015 to 2030 for the same group of countries. GDP increases for all countries. The US and EU have the highest GDP in 2030 at 23.5 trillion US dollars. Australia's GDP in 2030 is the smallest at 2.3 trillion US dollars.&#10;" title="Figure 3: Impact on GDP 2030 of post-2020 action: key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04762" cy="4400000"/>
                    </a:xfrm>
                    <a:prstGeom prst="rect">
                      <a:avLst/>
                    </a:prstGeom>
                  </pic:spPr>
                </pic:pic>
              </a:graphicData>
            </a:graphic>
          </wp:inline>
        </w:drawing>
      </w:r>
    </w:p>
    <w:p w:rsidR="008969C3" w:rsidRPr="008969C3" w:rsidRDefault="008969C3" w:rsidP="00EA333A">
      <w:pPr>
        <w:pStyle w:val="ListParagraph"/>
        <w:spacing w:after="240"/>
        <w:ind w:left="0"/>
        <w:contextualSpacing w:val="0"/>
        <w:rPr>
          <w:rFonts w:asciiTheme="minorHAnsi" w:hAnsiTheme="minorHAnsi" w:cstheme="minorHAnsi"/>
          <w:i/>
          <w:color w:val="4F81BD" w:themeColor="accent1"/>
          <w:sz w:val="18"/>
        </w:rPr>
      </w:pPr>
      <w:r>
        <w:rPr>
          <w:rFonts w:asciiTheme="minorHAnsi" w:hAnsiTheme="minorHAnsi" w:cstheme="minorHAnsi"/>
          <w:i/>
          <w:color w:val="4F81BD" w:themeColor="accent1"/>
          <w:sz w:val="18"/>
        </w:rPr>
        <w:t>‘Western Europe’ group is used as a proxy for the European Union. See Appendix B for country and regional aggregations.</w:t>
      </w:r>
    </w:p>
    <w:p w:rsidR="002373DD" w:rsidRPr="00BF39AB" w:rsidRDefault="002373DD" w:rsidP="00F646CC">
      <w:pPr>
        <w:pStyle w:val="ListParagraph"/>
        <w:keepNext/>
        <w:spacing w:after="120"/>
        <w:ind w:left="0"/>
        <w:contextualSpacing w:val="0"/>
        <w:rPr>
          <w:rFonts w:asciiTheme="minorHAnsi" w:hAnsiTheme="minorHAnsi" w:cstheme="minorHAnsi"/>
          <w:i/>
          <w:color w:val="996633"/>
        </w:rPr>
      </w:pPr>
      <w:r w:rsidRPr="00BF39AB">
        <w:rPr>
          <w:rFonts w:asciiTheme="minorHAnsi" w:hAnsiTheme="minorHAnsi" w:cstheme="minorHAnsi"/>
          <w:i/>
          <w:color w:val="996633"/>
        </w:rPr>
        <w:t xml:space="preserve">Economic impacts across countries are not closely related to levels of </w:t>
      </w:r>
      <w:r w:rsidR="00AF16DB" w:rsidRPr="00BF39AB">
        <w:rPr>
          <w:rFonts w:asciiTheme="minorHAnsi" w:hAnsiTheme="minorHAnsi" w:cstheme="minorHAnsi"/>
          <w:i/>
          <w:color w:val="996633"/>
        </w:rPr>
        <w:t>effort</w:t>
      </w:r>
    </w:p>
    <w:p w:rsidR="003374BA" w:rsidRDefault="003374BA" w:rsidP="00BF7A32">
      <w:pPr>
        <w:spacing w:after="100" w:afterAutospacing="1"/>
        <w:rPr>
          <w:rFonts w:asciiTheme="minorHAnsi" w:hAnsiTheme="minorHAnsi" w:cstheme="minorHAnsi"/>
        </w:rPr>
      </w:pPr>
      <w:r w:rsidRPr="00A43BE4">
        <w:rPr>
          <w:rFonts w:asciiTheme="minorHAnsi" w:hAnsiTheme="minorHAnsi" w:cstheme="minorHAnsi"/>
        </w:rPr>
        <w:t xml:space="preserve">The </w:t>
      </w:r>
      <w:r w:rsidR="002373DD">
        <w:rPr>
          <w:rFonts w:asciiTheme="minorHAnsi" w:hAnsiTheme="minorHAnsi" w:cstheme="minorHAnsi"/>
        </w:rPr>
        <w:t>modelling</w:t>
      </w:r>
      <w:r w:rsidR="002373DD" w:rsidRPr="00A43BE4">
        <w:rPr>
          <w:rFonts w:asciiTheme="minorHAnsi" w:hAnsiTheme="minorHAnsi" w:cstheme="minorHAnsi"/>
        </w:rPr>
        <w:t xml:space="preserve"> </w:t>
      </w:r>
      <w:r w:rsidRPr="00A43BE4">
        <w:rPr>
          <w:rFonts w:asciiTheme="minorHAnsi" w:hAnsiTheme="minorHAnsi" w:cstheme="minorHAnsi"/>
        </w:rPr>
        <w:t xml:space="preserve">finds that the relative economic impact of stronger policy action </w:t>
      </w:r>
      <w:r>
        <w:rPr>
          <w:rFonts w:asciiTheme="minorHAnsi" w:hAnsiTheme="minorHAnsi" w:cstheme="minorHAnsi"/>
        </w:rPr>
        <w:t xml:space="preserve">for each country </w:t>
      </w:r>
      <w:r w:rsidRPr="00A43BE4">
        <w:rPr>
          <w:rFonts w:asciiTheme="minorHAnsi" w:hAnsiTheme="minorHAnsi" w:cstheme="minorHAnsi"/>
        </w:rPr>
        <w:t>is</w:t>
      </w:r>
      <w:r>
        <w:rPr>
          <w:rFonts w:asciiTheme="minorHAnsi" w:hAnsiTheme="minorHAnsi" w:cstheme="minorHAnsi"/>
        </w:rPr>
        <w:t xml:space="preserve"> </w:t>
      </w:r>
      <w:r w:rsidRPr="00A43BE4">
        <w:rPr>
          <w:rFonts w:asciiTheme="minorHAnsi" w:hAnsiTheme="minorHAnsi" w:cstheme="minorHAnsi"/>
        </w:rPr>
        <w:t xml:space="preserve">not closely related </w:t>
      </w:r>
      <w:r w:rsidR="006D1731">
        <w:rPr>
          <w:rFonts w:asciiTheme="minorHAnsi" w:hAnsiTheme="minorHAnsi" w:cstheme="minorHAnsi"/>
        </w:rPr>
        <w:t xml:space="preserve">to </w:t>
      </w:r>
      <w:r w:rsidRPr="00A43BE4">
        <w:rPr>
          <w:rFonts w:asciiTheme="minorHAnsi" w:hAnsiTheme="minorHAnsi" w:cstheme="minorHAnsi"/>
        </w:rPr>
        <w:t xml:space="preserve">the size of the additional emissions </w:t>
      </w:r>
      <w:r w:rsidR="00731603" w:rsidRPr="00A43BE4">
        <w:rPr>
          <w:rFonts w:asciiTheme="minorHAnsi" w:hAnsiTheme="minorHAnsi" w:cstheme="minorHAnsi"/>
        </w:rPr>
        <w:t xml:space="preserve">reductions </w:t>
      </w:r>
      <w:r w:rsidR="00731603">
        <w:rPr>
          <w:rFonts w:asciiTheme="minorHAnsi" w:hAnsiTheme="minorHAnsi" w:cstheme="minorHAnsi"/>
        </w:rPr>
        <w:t>as</w:t>
      </w:r>
      <w:r w:rsidR="00407A4C">
        <w:rPr>
          <w:rFonts w:asciiTheme="minorHAnsi" w:hAnsiTheme="minorHAnsi" w:cstheme="minorHAnsi"/>
        </w:rPr>
        <w:t xml:space="preserve"> expressed relative to a historical base year</w:t>
      </w:r>
      <w:r w:rsidRPr="00A43BE4">
        <w:rPr>
          <w:rFonts w:asciiTheme="minorHAnsi" w:hAnsiTheme="minorHAnsi" w:cstheme="minorHAnsi"/>
        </w:rPr>
        <w:t>.</w:t>
      </w:r>
      <w:r>
        <w:rPr>
          <w:rFonts w:asciiTheme="minorHAnsi" w:hAnsiTheme="minorHAnsi" w:cstheme="minorHAnsi"/>
        </w:rPr>
        <w:t xml:space="preserve"> </w:t>
      </w:r>
      <w:r w:rsidR="00951883">
        <w:rPr>
          <w:rFonts w:asciiTheme="minorHAnsi" w:hAnsiTheme="minorHAnsi" w:cstheme="minorHAnsi"/>
        </w:rPr>
        <w:t>E</w:t>
      </w:r>
      <w:r>
        <w:rPr>
          <w:rFonts w:asciiTheme="minorHAnsi" w:hAnsiTheme="minorHAnsi" w:cstheme="minorHAnsi"/>
        </w:rPr>
        <w:t xml:space="preserve">xpressing emissions reductions relative to a historical base year does not </w:t>
      </w:r>
      <w:r w:rsidR="006D1731">
        <w:rPr>
          <w:rFonts w:asciiTheme="minorHAnsi" w:hAnsiTheme="minorHAnsi" w:cstheme="minorHAnsi"/>
        </w:rPr>
        <w:t xml:space="preserve">necessarily </w:t>
      </w:r>
      <w:r>
        <w:rPr>
          <w:rFonts w:asciiTheme="minorHAnsi" w:hAnsiTheme="minorHAnsi" w:cstheme="minorHAnsi"/>
        </w:rPr>
        <w:t xml:space="preserve">provide a robust guide to the </w:t>
      </w:r>
      <w:r w:rsidR="006D1731">
        <w:rPr>
          <w:rFonts w:asciiTheme="minorHAnsi" w:hAnsiTheme="minorHAnsi" w:cstheme="minorHAnsi"/>
        </w:rPr>
        <w:t xml:space="preserve">abatement </w:t>
      </w:r>
      <w:r>
        <w:rPr>
          <w:rFonts w:asciiTheme="minorHAnsi" w:hAnsiTheme="minorHAnsi" w:cstheme="minorHAnsi"/>
        </w:rPr>
        <w:t>effort</w:t>
      </w:r>
      <w:r w:rsidR="00A66CDC">
        <w:rPr>
          <w:rStyle w:val="FootnoteReference"/>
          <w:rFonts w:asciiTheme="minorHAnsi" w:hAnsiTheme="minorHAnsi" w:cstheme="minorHAnsi"/>
        </w:rPr>
        <w:footnoteReference w:id="12"/>
      </w:r>
      <w:r w:rsidR="006D1731">
        <w:rPr>
          <w:rFonts w:asciiTheme="minorHAnsi" w:hAnsiTheme="minorHAnsi" w:cstheme="minorHAnsi"/>
        </w:rPr>
        <w:t xml:space="preserve"> – in general this </w:t>
      </w:r>
      <w:r>
        <w:rPr>
          <w:rFonts w:asciiTheme="minorHAnsi" w:hAnsiTheme="minorHAnsi" w:cstheme="minorHAnsi"/>
        </w:rPr>
        <w:t xml:space="preserve">is </w:t>
      </w:r>
      <w:r w:rsidR="006D1731">
        <w:rPr>
          <w:rFonts w:asciiTheme="minorHAnsi" w:hAnsiTheme="minorHAnsi" w:cstheme="minorHAnsi"/>
        </w:rPr>
        <w:t xml:space="preserve">more clearly indicated </w:t>
      </w:r>
      <w:r>
        <w:rPr>
          <w:rFonts w:asciiTheme="minorHAnsi" w:hAnsiTheme="minorHAnsi" w:cstheme="minorHAnsi"/>
        </w:rPr>
        <w:t xml:space="preserve">by </w:t>
      </w:r>
      <w:r w:rsidR="006D1731">
        <w:rPr>
          <w:rFonts w:asciiTheme="minorHAnsi" w:hAnsiTheme="minorHAnsi" w:cstheme="minorHAnsi"/>
        </w:rPr>
        <w:t xml:space="preserve">reductions from </w:t>
      </w:r>
      <w:r>
        <w:rPr>
          <w:rFonts w:asciiTheme="minorHAnsi" w:hAnsiTheme="minorHAnsi" w:cstheme="minorHAnsi"/>
        </w:rPr>
        <w:t>the emissions trend without action. However, even for the same amount of reduction at a point in time, costs (which more accurately reflect ‘effort’) will also differ across countries due to different economic structures.</w:t>
      </w:r>
    </w:p>
    <w:p w:rsidR="00C60E19" w:rsidRDefault="00407A4C" w:rsidP="00BF7A32">
      <w:pPr>
        <w:spacing w:after="100" w:afterAutospacing="1"/>
        <w:rPr>
          <w:rFonts w:asciiTheme="minorHAnsi" w:hAnsiTheme="minorHAnsi" w:cstheme="minorHAnsi"/>
        </w:rPr>
      </w:pPr>
      <w:r>
        <w:rPr>
          <w:rFonts w:asciiTheme="minorHAnsi" w:hAnsiTheme="minorHAnsi" w:cstheme="minorHAnsi"/>
        </w:rPr>
        <w:t xml:space="preserve">The ease and cost of emissions reductions depend as much on the structure of each economy </w:t>
      </w:r>
      <w:r w:rsidR="00AF16DB">
        <w:rPr>
          <w:rFonts w:asciiTheme="minorHAnsi" w:hAnsiTheme="minorHAnsi" w:cstheme="minorHAnsi"/>
        </w:rPr>
        <w:t xml:space="preserve">as on </w:t>
      </w:r>
      <w:r>
        <w:rPr>
          <w:rFonts w:asciiTheme="minorHAnsi" w:hAnsiTheme="minorHAnsi" w:cstheme="minorHAnsi"/>
        </w:rPr>
        <w:t xml:space="preserve">the differences between </w:t>
      </w:r>
      <w:r w:rsidR="00AF16DB">
        <w:rPr>
          <w:rFonts w:asciiTheme="minorHAnsi" w:hAnsiTheme="minorHAnsi" w:cstheme="minorHAnsi"/>
        </w:rPr>
        <w:t xml:space="preserve">targets </w:t>
      </w:r>
      <w:r>
        <w:rPr>
          <w:rFonts w:asciiTheme="minorHAnsi" w:hAnsiTheme="minorHAnsi" w:cstheme="minorHAnsi"/>
        </w:rPr>
        <w:t xml:space="preserve">and business as usual emissions. </w:t>
      </w:r>
      <w:r w:rsidR="003374BA" w:rsidRPr="00BF7A32">
        <w:rPr>
          <w:rFonts w:asciiTheme="minorHAnsi" w:hAnsiTheme="minorHAnsi" w:cstheme="minorHAnsi"/>
        </w:rPr>
        <w:t xml:space="preserve">Figure </w:t>
      </w:r>
      <w:r w:rsidR="00450F80">
        <w:rPr>
          <w:rFonts w:asciiTheme="minorHAnsi" w:hAnsiTheme="minorHAnsi" w:cstheme="minorHAnsi"/>
        </w:rPr>
        <w:t>4</w:t>
      </w:r>
      <w:r w:rsidR="003374BA" w:rsidRPr="00677112">
        <w:rPr>
          <w:rFonts w:asciiTheme="minorHAnsi" w:hAnsiTheme="minorHAnsi" w:cstheme="minorHAnsi"/>
        </w:rPr>
        <w:t xml:space="preserve"> shows the difference in emissions for key countries, comparing the</w:t>
      </w:r>
      <w:r w:rsidR="003374BA">
        <w:rPr>
          <w:rFonts w:asciiTheme="minorHAnsi" w:hAnsiTheme="minorHAnsi" w:cstheme="minorHAnsi"/>
        </w:rPr>
        <w:t xml:space="preserve"> Current Policy Scenario with their modelled </w:t>
      </w:r>
      <w:r w:rsidR="008A1F97">
        <w:rPr>
          <w:rFonts w:asciiTheme="minorHAnsi" w:hAnsiTheme="minorHAnsi" w:cstheme="minorHAnsi"/>
        </w:rPr>
        <w:t>Paris Scenario</w:t>
      </w:r>
      <w:r w:rsidR="003374BA">
        <w:rPr>
          <w:rFonts w:asciiTheme="minorHAnsi" w:hAnsiTheme="minorHAnsi" w:cstheme="minorHAnsi"/>
        </w:rPr>
        <w:t xml:space="preserve"> commitments. </w:t>
      </w:r>
    </w:p>
    <w:p w:rsidR="003374BA" w:rsidRPr="00C32F93" w:rsidRDefault="003374BA" w:rsidP="00BF7A32">
      <w:pPr>
        <w:pStyle w:val="ListParagraph"/>
        <w:keepNext/>
        <w:ind w:left="0"/>
        <w:rPr>
          <w:rFonts w:asciiTheme="minorHAnsi" w:hAnsiTheme="minorHAnsi" w:cstheme="minorHAnsi"/>
          <w:color w:val="4F81BD" w:themeColor="accent1"/>
        </w:rPr>
      </w:pPr>
      <w:r w:rsidRPr="00C32F93">
        <w:rPr>
          <w:rFonts w:asciiTheme="minorHAnsi" w:hAnsiTheme="minorHAnsi" w:cstheme="minorHAnsi"/>
          <w:b/>
          <w:color w:val="4F81BD" w:themeColor="accent1"/>
        </w:rPr>
        <w:lastRenderedPageBreak/>
        <w:t xml:space="preserve">Figure </w:t>
      </w:r>
      <w:r w:rsidR="00450F80" w:rsidRPr="00C32F93">
        <w:rPr>
          <w:rFonts w:asciiTheme="minorHAnsi" w:hAnsiTheme="minorHAnsi" w:cstheme="minorHAnsi"/>
          <w:b/>
          <w:color w:val="4F81BD" w:themeColor="accent1"/>
        </w:rPr>
        <w:t>4</w:t>
      </w:r>
      <w:r w:rsidR="000C546B" w:rsidRPr="00C32F93">
        <w:rPr>
          <w:rFonts w:asciiTheme="minorHAnsi" w:hAnsiTheme="minorHAnsi" w:cstheme="minorHAnsi"/>
          <w:b/>
          <w:color w:val="4F81BD" w:themeColor="accent1"/>
        </w:rPr>
        <w:t>:</w:t>
      </w:r>
      <w:r w:rsidRPr="00C32F93">
        <w:rPr>
          <w:rFonts w:asciiTheme="minorHAnsi" w:hAnsiTheme="minorHAnsi" w:cstheme="minorHAnsi"/>
          <w:color w:val="4F81BD" w:themeColor="accent1"/>
        </w:rPr>
        <w:t xml:space="preserve"> Impact on emissions of post-2020 action: key countries </w:t>
      </w:r>
    </w:p>
    <w:p w:rsidR="00137AAE" w:rsidRDefault="00EE01F8" w:rsidP="008969C3">
      <w:pPr>
        <w:keepNext/>
        <w:spacing w:after="120"/>
        <w:rPr>
          <w:rFonts w:asciiTheme="minorHAnsi" w:hAnsiTheme="minorHAnsi" w:cstheme="minorHAnsi"/>
        </w:rPr>
      </w:pPr>
      <w:r w:rsidRPr="00EE01F8">
        <w:rPr>
          <w:noProof/>
          <w:lang w:eastAsia="en-AU"/>
        </w:rPr>
        <w:drawing>
          <wp:inline distT="0" distB="0" distL="0" distR="0" wp14:anchorId="443DEF5F" wp14:editId="1714F4BE">
            <wp:extent cx="5274310" cy="4626071"/>
            <wp:effectExtent l="0" t="0" r="2540" b="3175"/>
            <wp:docPr id="13" name="Picture 13" descr="This chart has two parts. Part (a) shows the percentage change annually from 2020 to 2030 in emissions due to global post-2020 commitments for the following countries or groupings: World, Four key countries, OECD, US, China, EU, Japan, Canada and NZ, Australia.&#10;Deviations in 2020 range from 0.5 per cent (Japan) to -2.2 per cent (US). of 0.1 per cent to -0.1 per cent. The deviation in all countries' emissions is increasingly negative over time.&#10;Japan has the smallest fall in emisisons in 2030 at -7 per cent. The US has the largest fall at -30 per cent. Australia's emissions in 2030 are 0.2 per cent lower.&#10;Part (b) of the chart shows emissions in gigatonnes of CO2 from 2015 to 2030 for the same group of countries. &#10;China's emissions start at 10.9 gigatonnes in 2015 and  increase to 11.9 gigatonnes in 2030. Australia's emissions start at 0.3 gigatonnes in 2015 and increase to 0.4 gigatinnes in 2030. Emissions fall for all other countries.&#10;China has the highest emissions in 2030, followed by the OECD at 8 gigatonnes and the US at 3.9 gigatonnes. Australia has the smallest emissions of the countries shown.&#10;" title="Figure 4: Impact on emissions of post-2020 action: key coun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4626071"/>
                    </a:xfrm>
                    <a:prstGeom prst="rect">
                      <a:avLst/>
                    </a:prstGeom>
                  </pic:spPr>
                </pic:pic>
              </a:graphicData>
            </a:graphic>
          </wp:inline>
        </w:drawing>
      </w:r>
    </w:p>
    <w:p w:rsidR="008060AC" w:rsidRDefault="008060AC" w:rsidP="008060AC">
      <w:pPr>
        <w:pStyle w:val="ListParagraph"/>
        <w:ind w:left="0"/>
        <w:contextualSpacing w:val="0"/>
        <w:rPr>
          <w:rFonts w:asciiTheme="minorHAnsi" w:hAnsiTheme="minorHAnsi" w:cstheme="minorHAnsi"/>
          <w:i/>
          <w:color w:val="4F81BD" w:themeColor="accent1"/>
          <w:sz w:val="18"/>
        </w:rPr>
      </w:pPr>
      <w:r>
        <w:rPr>
          <w:rFonts w:asciiTheme="minorHAnsi" w:hAnsiTheme="minorHAnsi" w:cstheme="minorHAnsi"/>
          <w:i/>
          <w:color w:val="4F81BD" w:themeColor="accent1"/>
          <w:sz w:val="18"/>
        </w:rPr>
        <w:t xml:space="preserve">One GT is one </w:t>
      </w:r>
      <w:r w:rsidR="003E4389">
        <w:rPr>
          <w:rFonts w:asciiTheme="minorHAnsi" w:hAnsiTheme="minorHAnsi" w:cstheme="minorHAnsi"/>
          <w:i/>
          <w:color w:val="4F81BD" w:themeColor="accent1"/>
          <w:sz w:val="18"/>
        </w:rPr>
        <w:t>trillion (</w:t>
      </w:r>
      <w:r>
        <w:rPr>
          <w:rFonts w:asciiTheme="minorHAnsi" w:hAnsiTheme="minorHAnsi" w:cstheme="minorHAnsi"/>
          <w:i/>
          <w:color w:val="4F81BD" w:themeColor="accent1"/>
          <w:sz w:val="18"/>
        </w:rPr>
        <w:t>‘000 billion) tonnes.</w:t>
      </w:r>
    </w:p>
    <w:p w:rsidR="008969C3" w:rsidRDefault="008969C3" w:rsidP="00F65CAF">
      <w:pPr>
        <w:pStyle w:val="ListParagraph"/>
        <w:ind w:left="0"/>
        <w:contextualSpacing w:val="0"/>
        <w:rPr>
          <w:rFonts w:asciiTheme="minorHAnsi" w:hAnsiTheme="minorHAnsi" w:cstheme="minorHAnsi"/>
          <w:i/>
          <w:color w:val="4F81BD" w:themeColor="accent1"/>
          <w:sz w:val="18"/>
        </w:rPr>
      </w:pPr>
      <w:r>
        <w:rPr>
          <w:rFonts w:asciiTheme="minorHAnsi" w:hAnsiTheme="minorHAnsi" w:cstheme="minorHAnsi"/>
          <w:i/>
          <w:color w:val="4F81BD" w:themeColor="accent1"/>
          <w:sz w:val="18"/>
        </w:rPr>
        <w:t>‘Western Europe’ group is used as a proxy for the European Union. See Appendix B for country and regional aggregations.</w:t>
      </w:r>
    </w:p>
    <w:p w:rsidR="00F65CAF" w:rsidRDefault="00F65CAF" w:rsidP="008969C3">
      <w:pPr>
        <w:pStyle w:val="ListParagraph"/>
        <w:spacing w:after="60"/>
        <w:ind w:left="0"/>
        <w:contextualSpacing w:val="0"/>
        <w:rPr>
          <w:rFonts w:asciiTheme="minorHAnsi" w:hAnsiTheme="minorHAnsi" w:cstheme="minorHAnsi"/>
          <w:i/>
          <w:color w:val="4F81BD" w:themeColor="accent1"/>
          <w:sz w:val="18"/>
        </w:rPr>
      </w:pPr>
      <w:r>
        <w:rPr>
          <w:rFonts w:asciiTheme="minorHAnsi" w:hAnsiTheme="minorHAnsi" w:cstheme="minorHAnsi"/>
          <w:i/>
          <w:color w:val="4F81BD" w:themeColor="accent1"/>
          <w:sz w:val="18"/>
        </w:rPr>
        <w:t>Four key countries: US, China, EU and Japan</w:t>
      </w:r>
    </w:p>
    <w:p w:rsidR="008060AC" w:rsidRPr="006B003B" w:rsidRDefault="008060AC" w:rsidP="008969C3">
      <w:pPr>
        <w:pStyle w:val="ListParagraph"/>
        <w:spacing w:after="60"/>
        <w:ind w:left="0"/>
        <w:contextualSpacing w:val="0"/>
        <w:rPr>
          <w:rFonts w:asciiTheme="minorHAnsi" w:hAnsiTheme="minorHAnsi" w:cstheme="minorHAnsi"/>
          <w:i/>
          <w:color w:val="4F81BD" w:themeColor="accent1"/>
          <w:sz w:val="18"/>
        </w:rPr>
      </w:pPr>
    </w:p>
    <w:p w:rsidR="00531CD0" w:rsidRPr="00BF39AB" w:rsidRDefault="00531CD0" w:rsidP="0024421E">
      <w:pPr>
        <w:keepNext/>
        <w:spacing w:after="120"/>
        <w:rPr>
          <w:rFonts w:asciiTheme="minorHAnsi" w:hAnsiTheme="minorHAnsi" w:cstheme="minorHAnsi"/>
          <w:b/>
          <w:color w:val="996633"/>
        </w:rPr>
      </w:pPr>
      <w:r w:rsidRPr="00BF39AB">
        <w:rPr>
          <w:rFonts w:asciiTheme="minorHAnsi" w:hAnsiTheme="minorHAnsi" w:cstheme="minorHAnsi"/>
          <w:b/>
          <w:color w:val="996633"/>
        </w:rPr>
        <w:t>Impacts on key countries</w:t>
      </w:r>
    </w:p>
    <w:p w:rsidR="003374BA" w:rsidRPr="00BF7A32" w:rsidRDefault="009A23E1" w:rsidP="00BF7A32">
      <w:pPr>
        <w:spacing w:after="100" w:afterAutospacing="1"/>
        <w:rPr>
          <w:rFonts w:asciiTheme="minorHAnsi" w:hAnsiTheme="minorHAnsi" w:cstheme="minorHAnsi"/>
        </w:rPr>
      </w:pPr>
      <w:r>
        <w:rPr>
          <w:rFonts w:asciiTheme="minorHAnsi" w:hAnsiTheme="minorHAnsi" w:cstheme="minorHAnsi"/>
        </w:rPr>
        <w:t xml:space="preserve">The </w:t>
      </w:r>
      <w:r w:rsidR="00D21B8B">
        <w:rPr>
          <w:rFonts w:asciiTheme="minorHAnsi" w:hAnsiTheme="minorHAnsi" w:cstheme="minorHAnsi"/>
        </w:rPr>
        <w:t xml:space="preserve">impacts of post-2020 targets </w:t>
      </w:r>
      <w:r>
        <w:rPr>
          <w:rFonts w:asciiTheme="minorHAnsi" w:hAnsiTheme="minorHAnsi" w:cstheme="minorHAnsi"/>
        </w:rPr>
        <w:t xml:space="preserve">on GDP and gross national income (GNI) of </w:t>
      </w:r>
      <w:r w:rsidR="00D21B8B">
        <w:rPr>
          <w:rFonts w:asciiTheme="minorHAnsi" w:hAnsiTheme="minorHAnsi" w:cstheme="minorHAnsi"/>
        </w:rPr>
        <w:t xml:space="preserve">key countries are summarised in </w:t>
      </w:r>
      <w:r w:rsidR="00450F80">
        <w:rPr>
          <w:rFonts w:asciiTheme="minorHAnsi" w:hAnsiTheme="minorHAnsi" w:cstheme="minorHAnsi"/>
        </w:rPr>
        <w:t xml:space="preserve">Table </w:t>
      </w:r>
      <w:r w:rsidR="00BF0501">
        <w:rPr>
          <w:rFonts w:asciiTheme="minorHAnsi" w:hAnsiTheme="minorHAnsi" w:cstheme="minorHAnsi"/>
        </w:rPr>
        <w:t>3</w:t>
      </w:r>
      <w:r w:rsidR="00D21B8B">
        <w:rPr>
          <w:rFonts w:asciiTheme="minorHAnsi" w:hAnsiTheme="minorHAnsi" w:cstheme="minorHAnsi"/>
        </w:rPr>
        <w:t xml:space="preserve">. Further information is provided in Appendix </w:t>
      </w:r>
      <w:r w:rsidR="0078789A">
        <w:rPr>
          <w:rFonts w:asciiTheme="minorHAnsi" w:hAnsiTheme="minorHAnsi" w:cstheme="minorHAnsi"/>
        </w:rPr>
        <w:t>C</w:t>
      </w:r>
      <w:r w:rsidR="00D21B8B">
        <w:rPr>
          <w:rFonts w:asciiTheme="minorHAnsi" w:hAnsiTheme="minorHAnsi" w:cstheme="minorHAnsi"/>
        </w:rPr>
        <w:t>.</w:t>
      </w:r>
    </w:p>
    <w:p w:rsidR="00CD2EAD" w:rsidRPr="00192168" w:rsidRDefault="00CD2EAD" w:rsidP="003E4389">
      <w:pPr>
        <w:pStyle w:val="ListParagraph"/>
        <w:keepNext/>
        <w:ind w:left="0"/>
        <w:contextualSpacing w:val="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 xml:space="preserve">Table </w:t>
      </w:r>
      <w:r w:rsidR="00BF0501">
        <w:rPr>
          <w:rFonts w:asciiTheme="minorHAnsi" w:hAnsiTheme="minorHAnsi" w:cstheme="minorHAnsi"/>
          <w:b/>
          <w:color w:val="4F81BD" w:themeColor="accent1"/>
        </w:rPr>
        <w:t>3</w:t>
      </w:r>
      <w:r w:rsidRPr="00192168">
        <w:rPr>
          <w:rFonts w:asciiTheme="minorHAnsi" w:hAnsiTheme="minorHAnsi" w:cstheme="minorHAnsi"/>
          <w:b/>
          <w:color w:val="4F81BD" w:themeColor="accent1"/>
        </w:rPr>
        <w:t xml:space="preserve">: </w:t>
      </w:r>
      <w:r w:rsidRPr="00192168">
        <w:rPr>
          <w:rFonts w:asciiTheme="minorHAnsi" w:hAnsiTheme="minorHAnsi" w:cstheme="minorHAnsi"/>
          <w:color w:val="4F81BD" w:themeColor="accent1"/>
        </w:rPr>
        <w:t>Target impacts on GDP and GNI,</w:t>
      </w:r>
      <w:r w:rsidR="00951883" w:rsidRPr="00192168">
        <w:rPr>
          <w:rFonts w:asciiTheme="minorHAnsi" w:hAnsiTheme="minorHAnsi" w:cstheme="minorHAnsi"/>
          <w:color w:val="4F81BD" w:themeColor="accent1"/>
        </w:rPr>
        <w:t xml:space="preserve"> key countries,</w:t>
      </w:r>
      <w:r w:rsidRPr="00192168">
        <w:rPr>
          <w:rFonts w:asciiTheme="minorHAnsi" w:hAnsiTheme="minorHAnsi" w:cstheme="minorHAnsi"/>
          <w:color w:val="4F81BD" w:themeColor="accent1"/>
        </w:rPr>
        <w:t xml:space="preserve"> 2030 (percentage deviation)</w:t>
      </w:r>
    </w:p>
    <w:tbl>
      <w:tblPr>
        <w:tblStyle w:val="LightList-Accent1"/>
        <w:tblW w:w="8272" w:type="dxa"/>
        <w:tblInd w:w="250" w:type="dxa"/>
        <w:tblBorders>
          <w:top w:val="single" w:sz="8" w:space="0" w:color="996633"/>
          <w:left w:val="single" w:sz="8" w:space="0" w:color="996633"/>
          <w:bottom w:val="single" w:sz="8" w:space="0" w:color="996633"/>
          <w:right w:val="single" w:sz="8" w:space="0" w:color="996633"/>
          <w:insideH w:val="dashSmallGap" w:sz="4" w:space="0" w:color="996633"/>
        </w:tblBorders>
        <w:tblLook w:val="04A0" w:firstRow="1" w:lastRow="0" w:firstColumn="1" w:lastColumn="0" w:noHBand="0" w:noVBand="1"/>
      </w:tblPr>
      <w:tblGrid>
        <w:gridCol w:w="1429"/>
        <w:gridCol w:w="2115"/>
        <w:gridCol w:w="2410"/>
        <w:gridCol w:w="2318"/>
      </w:tblGrid>
      <w:tr w:rsidR="00CD2EAD" w:rsidTr="00BF3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shd w:val="clear" w:color="auto" w:fill="996633"/>
          </w:tcPr>
          <w:p w:rsidR="00CD2EAD" w:rsidRDefault="00CD2EAD" w:rsidP="003E4389">
            <w:pPr>
              <w:keepNext/>
              <w:rPr>
                <w:rFonts w:ascii="Calibri" w:hAnsi="Calibri" w:cs="Calibri"/>
                <w:color w:val="auto"/>
              </w:rPr>
            </w:pPr>
          </w:p>
        </w:tc>
        <w:tc>
          <w:tcPr>
            <w:tcW w:w="2115" w:type="dxa"/>
            <w:shd w:val="clear" w:color="auto" w:fill="996633"/>
            <w:hideMark/>
          </w:tcPr>
          <w:p w:rsidR="00CD2EAD" w:rsidRDefault="00CD2EAD" w:rsidP="003E4389">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eastAsia="en-AU"/>
              </w:rPr>
            </w:pPr>
            <w:r>
              <w:rPr>
                <w:rFonts w:ascii="Calibri" w:hAnsi="Calibri" w:cs="Calibri"/>
                <w:sz w:val="22"/>
                <w:szCs w:val="22"/>
                <w:lang w:eastAsia="en-AU"/>
              </w:rPr>
              <w:t xml:space="preserve">Modelled emissions pathway </w:t>
            </w:r>
          </w:p>
          <w:p w:rsidR="00CD2EAD" w:rsidRDefault="00CD2EAD" w:rsidP="003E4389">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lang w:eastAsia="en-AU"/>
              </w:rPr>
              <w:t>(2005-2030)</w:t>
            </w:r>
          </w:p>
        </w:tc>
        <w:tc>
          <w:tcPr>
            <w:tcW w:w="2410" w:type="dxa"/>
            <w:shd w:val="clear" w:color="auto" w:fill="996633"/>
            <w:hideMark/>
          </w:tcPr>
          <w:p w:rsidR="00CD2EAD" w:rsidRDefault="00CD2EAD" w:rsidP="003E4389">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b w:val="0"/>
                <w:bCs w:val="0"/>
                <w:sz w:val="22"/>
                <w:szCs w:val="22"/>
                <w:lang w:eastAsia="en-AU"/>
              </w:rPr>
              <w:t xml:space="preserve">Change in GDP </w:t>
            </w:r>
          </w:p>
          <w:p w:rsidR="00CD2EAD" w:rsidRDefault="00CD2EAD" w:rsidP="003E4389">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val="0"/>
                <w:bCs w:val="0"/>
                <w:sz w:val="22"/>
                <w:szCs w:val="22"/>
                <w:lang w:eastAsia="en-AU"/>
              </w:rPr>
              <w:t>(per cent)</w:t>
            </w:r>
          </w:p>
        </w:tc>
        <w:tc>
          <w:tcPr>
            <w:tcW w:w="2318" w:type="dxa"/>
            <w:shd w:val="clear" w:color="auto" w:fill="996633"/>
          </w:tcPr>
          <w:p w:rsidR="00CD2EAD" w:rsidRPr="007009C4" w:rsidRDefault="00CD2EAD" w:rsidP="003E4389">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eastAsia="en-AU"/>
              </w:rPr>
            </w:pPr>
            <w:r w:rsidRPr="007009C4">
              <w:rPr>
                <w:rFonts w:ascii="Calibri" w:hAnsi="Calibri" w:cs="Calibri"/>
                <w:b w:val="0"/>
                <w:sz w:val="22"/>
                <w:szCs w:val="22"/>
                <w:lang w:eastAsia="en-AU"/>
              </w:rPr>
              <w:t>Change in GNI (per cent)</w:t>
            </w:r>
          </w:p>
        </w:tc>
      </w:tr>
      <w:tr w:rsidR="00CD2EAD" w:rsidTr="00BF3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Borders>
              <w:top w:val="none" w:sz="0" w:space="0" w:color="auto"/>
              <w:left w:val="none" w:sz="0" w:space="0" w:color="auto"/>
              <w:bottom w:val="none" w:sz="0" w:space="0" w:color="auto"/>
            </w:tcBorders>
          </w:tcPr>
          <w:p w:rsidR="00CD2EAD" w:rsidRPr="00BF39AB" w:rsidRDefault="00CD2EAD" w:rsidP="003E4389">
            <w:pPr>
              <w:keepNext/>
              <w:rPr>
                <w:rFonts w:ascii="Calibri" w:hAnsi="Calibri" w:cs="Calibri"/>
                <w:color w:val="4F81BD" w:themeColor="accent1"/>
                <w:lang w:eastAsia="en-AU"/>
              </w:rPr>
            </w:pPr>
            <w:r w:rsidRPr="00BF39AB">
              <w:rPr>
                <w:rFonts w:ascii="Calibri" w:hAnsi="Calibri" w:cs="Calibri"/>
                <w:color w:val="4F81BD" w:themeColor="accent1"/>
                <w:lang w:eastAsia="en-AU"/>
              </w:rPr>
              <w:t>Australia</w:t>
            </w:r>
          </w:p>
        </w:tc>
        <w:tc>
          <w:tcPr>
            <w:tcW w:w="2115" w:type="dxa"/>
            <w:tcBorders>
              <w:top w:val="none" w:sz="0" w:space="0" w:color="auto"/>
              <w:bottom w:val="none" w:sz="0" w:space="0" w:color="auto"/>
            </w:tcBorders>
          </w:tcPr>
          <w:p w:rsidR="00CD2EAD" w:rsidRPr="00BF39AB" w:rsidRDefault="00CD2EAD" w:rsidP="003E4389">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4F81BD" w:themeColor="accent1"/>
                <w:szCs w:val="22"/>
                <w:lang w:eastAsia="en-AU"/>
              </w:rPr>
            </w:pPr>
            <w:r w:rsidRPr="00BF39AB">
              <w:rPr>
                <w:rFonts w:ascii="Calibri" w:hAnsi="Calibri" w:cs="Calibri"/>
                <w:b/>
                <w:color w:val="4F81BD" w:themeColor="accent1"/>
                <w:szCs w:val="22"/>
                <w:lang w:eastAsia="en-AU"/>
              </w:rPr>
              <w:t>n/a</w:t>
            </w:r>
          </w:p>
        </w:tc>
        <w:tc>
          <w:tcPr>
            <w:tcW w:w="2410" w:type="dxa"/>
            <w:tcBorders>
              <w:top w:val="none" w:sz="0" w:space="0" w:color="auto"/>
              <w:bottom w:val="none" w:sz="0" w:space="0" w:color="auto"/>
            </w:tcBorders>
          </w:tcPr>
          <w:p w:rsidR="00CD2EAD" w:rsidRPr="00BF39AB" w:rsidRDefault="00CD2EAD" w:rsidP="003E4389">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lang w:eastAsia="en-AU"/>
              </w:rPr>
            </w:pPr>
            <w:r w:rsidRPr="00BF39AB">
              <w:rPr>
                <w:rFonts w:ascii="Calibri" w:hAnsi="Calibri" w:cs="Calibri"/>
                <w:color w:val="4F81BD" w:themeColor="accent1"/>
                <w:sz w:val="22"/>
                <w:szCs w:val="22"/>
                <w:lang w:eastAsia="en-AU"/>
              </w:rPr>
              <w:t>-0.16</w:t>
            </w:r>
          </w:p>
        </w:tc>
        <w:tc>
          <w:tcPr>
            <w:tcW w:w="2318" w:type="dxa"/>
            <w:tcBorders>
              <w:top w:val="none" w:sz="0" w:space="0" w:color="auto"/>
              <w:bottom w:val="none" w:sz="0" w:space="0" w:color="auto"/>
              <w:right w:val="none" w:sz="0" w:space="0" w:color="auto"/>
            </w:tcBorders>
          </w:tcPr>
          <w:p w:rsidR="00CD2EAD" w:rsidRPr="00BF39AB" w:rsidRDefault="00CD2EAD" w:rsidP="003E4389">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lang w:eastAsia="en-AU"/>
              </w:rPr>
            </w:pPr>
            <w:r w:rsidRPr="00BF39AB">
              <w:rPr>
                <w:rFonts w:ascii="Calibri" w:hAnsi="Calibri" w:cs="Calibri"/>
                <w:color w:val="4F81BD" w:themeColor="accent1"/>
                <w:sz w:val="22"/>
                <w:szCs w:val="22"/>
                <w:lang w:eastAsia="en-AU"/>
              </w:rPr>
              <w:t>-0.10</w:t>
            </w:r>
          </w:p>
        </w:tc>
      </w:tr>
      <w:tr w:rsidR="00CD2EAD" w:rsidTr="00BF39AB">
        <w:tc>
          <w:tcPr>
            <w:cnfStyle w:val="001000000000" w:firstRow="0" w:lastRow="0" w:firstColumn="1" w:lastColumn="0" w:oddVBand="0" w:evenVBand="0" w:oddHBand="0" w:evenHBand="0" w:firstRowFirstColumn="0" w:firstRowLastColumn="0" w:lastRowFirstColumn="0" w:lastRowLastColumn="0"/>
            <w:tcW w:w="1429" w:type="dxa"/>
            <w:hideMark/>
          </w:tcPr>
          <w:p w:rsidR="00CD2EAD" w:rsidRPr="00BF39AB" w:rsidRDefault="00CD2EAD" w:rsidP="003E4389">
            <w:pPr>
              <w:keepNext/>
              <w:rPr>
                <w:rFonts w:ascii="Calibri" w:hAnsi="Calibri" w:cs="Calibri"/>
                <w:color w:val="4F81BD" w:themeColor="accent1"/>
              </w:rPr>
            </w:pPr>
            <w:r w:rsidRPr="00BF39AB">
              <w:rPr>
                <w:rFonts w:ascii="Calibri" w:hAnsi="Calibri" w:cs="Calibri"/>
                <w:color w:val="4F81BD" w:themeColor="accent1"/>
                <w:lang w:eastAsia="en-AU"/>
              </w:rPr>
              <w:t>US</w:t>
            </w:r>
          </w:p>
        </w:tc>
        <w:tc>
          <w:tcPr>
            <w:tcW w:w="2115" w:type="dxa"/>
            <w:hideMark/>
          </w:tcPr>
          <w:p w:rsidR="00CD2EAD" w:rsidRPr="00BF39AB" w:rsidRDefault="00CD2EAD" w:rsidP="003E4389">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szCs w:val="22"/>
              </w:rPr>
            </w:pPr>
            <w:r w:rsidRPr="00BF39AB">
              <w:rPr>
                <w:rFonts w:ascii="Calibri" w:hAnsi="Calibri" w:cs="Calibri"/>
                <w:b/>
                <w:color w:val="4F81BD" w:themeColor="accent1"/>
                <w:szCs w:val="22"/>
                <w:lang w:eastAsia="en-AU"/>
              </w:rPr>
              <w:t>-37%</w:t>
            </w:r>
            <w:r w:rsidRPr="00BF39AB">
              <w:rPr>
                <w:rFonts w:ascii="Calibri" w:hAnsi="Calibri" w:cs="Calibri"/>
                <w:b/>
                <w:color w:val="4F81BD" w:themeColor="accent1"/>
                <w:szCs w:val="22"/>
                <w:vertAlign w:val="superscript"/>
                <w:lang w:eastAsia="en-AU"/>
              </w:rPr>
              <w:t>1</w:t>
            </w:r>
          </w:p>
        </w:tc>
        <w:tc>
          <w:tcPr>
            <w:tcW w:w="2410" w:type="dxa"/>
            <w:vAlign w:val="bottom"/>
            <w:hideMark/>
          </w:tcPr>
          <w:p w:rsidR="00CD2EAD" w:rsidRPr="00BF39AB" w:rsidRDefault="00CD2EAD" w:rsidP="003E4389">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BF39AB">
              <w:rPr>
                <w:rFonts w:ascii="Calibri" w:hAnsi="Calibri" w:cs="Calibri"/>
                <w:color w:val="4F81BD" w:themeColor="accent1"/>
                <w:sz w:val="22"/>
                <w:szCs w:val="22"/>
              </w:rPr>
              <w:t>-0.10</w:t>
            </w:r>
          </w:p>
        </w:tc>
        <w:tc>
          <w:tcPr>
            <w:tcW w:w="2318" w:type="dxa"/>
            <w:vAlign w:val="bottom"/>
          </w:tcPr>
          <w:p w:rsidR="00CD2EAD" w:rsidRPr="00BF39AB" w:rsidRDefault="00CD2EAD" w:rsidP="003E4389">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lang w:eastAsia="en-AU"/>
              </w:rPr>
            </w:pPr>
            <w:r w:rsidRPr="00BF39AB">
              <w:rPr>
                <w:rFonts w:ascii="Calibri" w:hAnsi="Calibri" w:cs="Calibri"/>
                <w:color w:val="4F81BD" w:themeColor="accent1"/>
                <w:sz w:val="22"/>
                <w:szCs w:val="22"/>
              </w:rPr>
              <w:t>-0.12</w:t>
            </w:r>
          </w:p>
        </w:tc>
      </w:tr>
      <w:tr w:rsidR="00CD2EAD" w:rsidTr="00BF3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Borders>
              <w:top w:val="none" w:sz="0" w:space="0" w:color="auto"/>
              <w:left w:val="none" w:sz="0" w:space="0" w:color="auto"/>
              <w:bottom w:val="none" w:sz="0" w:space="0" w:color="auto"/>
            </w:tcBorders>
            <w:hideMark/>
          </w:tcPr>
          <w:p w:rsidR="00CD2EAD" w:rsidRPr="00BF39AB" w:rsidRDefault="00CD2EAD" w:rsidP="003E4389">
            <w:pPr>
              <w:keepNext/>
              <w:rPr>
                <w:rFonts w:ascii="Calibri" w:hAnsi="Calibri" w:cs="Calibri"/>
                <w:color w:val="4F81BD" w:themeColor="accent1"/>
              </w:rPr>
            </w:pPr>
            <w:r w:rsidRPr="00BF39AB">
              <w:rPr>
                <w:rFonts w:ascii="Calibri" w:hAnsi="Calibri" w:cs="Calibri"/>
                <w:color w:val="4F81BD" w:themeColor="accent1"/>
                <w:lang w:eastAsia="en-AU"/>
              </w:rPr>
              <w:t>Japan</w:t>
            </w:r>
          </w:p>
        </w:tc>
        <w:tc>
          <w:tcPr>
            <w:tcW w:w="2115" w:type="dxa"/>
            <w:tcBorders>
              <w:top w:val="none" w:sz="0" w:space="0" w:color="auto"/>
              <w:bottom w:val="none" w:sz="0" w:space="0" w:color="auto"/>
            </w:tcBorders>
            <w:hideMark/>
          </w:tcPr>
          <w:p w:rsidR="00CD2EAD" w:rsidRPr="00BF39AB" w:rsidRDefault="00CD2EAD" w:rsidP="003E4389">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4F81BD" w:themeColor="accent1"/>
                <w:szCs w:val="22"/>
              </w:rPr>
            </w:pPr>
            <w:r w:rsidRPr="00BF39AB">
              <w:rPr>
                <w:rFonts w:ascii="Calibri" w:hAnsi="Calibri" w:cs="Calibri"/>
                <w:b/>
                <w:color w:val="4F81BD" w:themeColor="accent1"/>
                <w:szCs w:val="22"/>
                <w:lang w:eastAsia="en-AU"/>
              </w:rPr>
              <w:t>-22%</w:t>
            </w:r>
            <w:r w:rsidRPr="00BF39AB">
              <w:rPr>
                <w:rFonts w:ascii="Calibri" w:hAnsi="Calibri" w:cs="Calibri"/>
                <w:b/>
                <w:color w:val="4F81BD" w:themeColor="accent1"/>
                <w:szCs w:val="22"/>
                <w:vertAlign w:val="superscript"/>
                <w:lang w:eastAsia="en-AU"/>
              </w:rPr>
              <w:t>2</w:t>
            </w:r>
          </w:p>
        </w:tc>
        <w:tc>
          <w:tcPr>
            <w:tcW w:w="2410" w:type="dxa"/>
            <w:tcBorders>
              <w:top w:val="none" w:sz="0" w:space="0" w:color="auto"/>
              <w:bottom w:val="none" w:sz="0" w:space="0" w:color="auto"/>
            </w:tcBorders>
            <w:vAlign w:val="bottom"/>
            <w:hideMark/>
          </w:tcPr>
          <w:p w:rsidR="00CD2EAD" w:rsidRPr="00BF39AB" w:rsidRDefault="00CD2EAD" w:rsidP="003E4389">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BF39AB">
              <w:rPr>
                <w:rFonts w:ascii="Calibri" w:hAnsi="Calibri" w:cs="Calibri"/>
                <w:color w:val="4F81BD" w:themeColor="accent1"/>
                <w:sz w:val="22"/>
                <w:szCs w:val="22"/>
              </w:rPr>
              <w:t>-0.02</w:t>
            </w:r>
          </w:p>
        </w:tc>
        <w:tc>
          <w:tcPr>
            <w:tcW w:w="2318" w:type="dxa"/>
            <w:tcBorders>
              <w:top w:val="none" w:sz="0" w:space="0" w:color="auto"/>
              <w:bottom w:val="none" w:sz="0" w:space="0" w:color="auto"/>
              <w:right w:val="none" w:sz="0" w:space="0" w:color="auto"/>
            </w:tcBorders>
            <w:vAlign w:val="bottom"/>
          </w:tcPr>
          <w:p w:rsidR="00CD2EAD" w:rsidRPr="00BF39AB" w:rsidRDefault="00CD2EAD" w:rsidP="003E4389">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BF39AB">
              <w:rPr>
                <w:rFonts w:ascii="Calibri" w:hAnsi="Calibri" w:cs="Calibri"/>
                <w:color w:val="4F81BD" w:themeColor="accent1"/>
                <w:sz w:val="22"/>
                <w:szCs w:val="22"/>
              </w:rPr>
              <w:t>-0.07</w:t>
            </w:r>
          </w:p>
        </w:tc>
      </w:tr>
      <w:tr w:rsidR="00CD2EAD" w:rsidTr="00BF39AB">
        <w:tc>
          <w:tcPr>
            <w:cnfStyle w:val="001000000000" w:firstRow="0" w:lastRow="0" w:firstColumn="1" w:lastColumn="0" w:oddVBand="0" w:evenVBand="0" w:oddHBand="0" w:evenHBand="0" w:firstRowFirstColumn="0" w:firstRowLastColumn="0" w:lastRowFirstColumn="0" w:lastRowLastColumn="0"/>
            <w:tcW w:w="1429" w:type="dxa"/>
            <w:hideMark/>
          </w:tcPr>
          <w:p w:rsidR="00CD2EAD" w:rsidRPr="00BF39AB" w:rsidRDefault="00CD2EAD" w:rsidP="003E4389">
            <w:pPr>
              <w:keepNext/>
              <w:rPr>
                <w:rFonts w:ascii="Calibri" w:hAnsi="Calibri" w:cs="Calibri"/>
                <w:color w:val="4F81BD" w:themeColor="accent1"/>
              </w:rPr>
            </w:pPr>
            <w:r w:rsidRPr="00BF39AB">
              <w:rPr>
                <w:rFonts w:ascii="Calibri" w:hAnsi="Calibri" w:cs="Calibri"/>
                <w:color w:val="4F81BD" w:themeColor="accent1"/>
                <w:lang w:eastAsia="en-AU"/>
              </w:rPr>
              <w:t>Europe</w:t>
            </w:r>
          </w:p>
        </w:tc>
        <w:tc>
          <w:tcPr>
            <w:tcW w:w="2115" w:type="dxa"/>
            <w:hideMark/>
          </w:tcPr>
          <w:p w:rsidR="00CD2EAD" w:rsidRPr="00BF39AB" w:rsidRDefault="00CD2EAD" w:rsidP="003E4389">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szCs w:val="22"/>
              </w:rPr>
            </w:pPr>
            <w:r w:rsidRPr="00BF39AB">
              <w:rPr>
                <w:rFonts w:ascii="Calibri" w:hAnsi="Calibri" w:cs="Calibri"/>
                <w:b/>
                <w:color w:val="4F81BD" w:themeColor="accent1"/>
                <w:szCs w:val="22"/>
                <w:lang w:eastAsia="en-AU"/>
              </w:rPr>
              <w:t>-34%</w:t>
            </w:r>
          </w:p>
        </w:tc>
        <w:tc>
          <w:tcPr>
            <w:tcW w:w="2410" w:type="dxa"/>
            <w:vAlign w:val="bottom"/>
            <w:hideMark/>
          </w:tcPr>
          <w:p w:rsidR="00CD2EAD" w:rsidRPr="00BF39AB" w:rsidRDefault="00CD2EAD" w:rsidP="003E4389">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BF39AB">
              <w:rPr>
                <w:rFonts w:ascii="Calibri" w:hAnsi="Calibri" w:cs="Calibri"/>
                <w:color w:val="4F81BD" w:themeColor="accent1"/>
                <w:sz w:val="22"/>
                <w:szCs w:val="22"/>
              </w:rPr>
              <w:t>-0.23</w:t>
            </w:r>
          </w:p>
        </w:tc>
        <w:tc>
          <w:tcPr>
            <w:tcW w:w="2318" w:type="dxa"/>
            <w:vAlign w:val="bottom"/>
          </w:tcPr>
          <w:p w:rsidR="00CD2EAD" w:rsidRPr="00BF39AB" w:rsidRDefault="00CD2EAD" w:rsidP="003E4389">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BF39AB">
              <w:rPr>
                <w:rFonts w:ascii="Calibri" w:hAnsi="Calibri" w:cs="Calibri"/>
                <w:color w:val="4F81BD" w:themeColor="accent1"/>
                <w:sz w:val="22"/>
                <w:szCs w:val="22"/>
              </w:rPr>
              <w:t>-0.27</w:t>
            </w:r>
          </w:p>
        </w:tc>
      </w:tr>
      <w:tr w:rsidR="00CD2EAD" w:rsidTr="00BF3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Borders>
              <w:top w:val="none" w:sz="0" w:space="0" w:color="auto"/>
              <w:left w:val="none" w:sz="0" w:space="0" w:color="auto"/>
              <w:bottom w:val="none" w:sz="0" w:space="0" w:color="auto"/>
            </w:tcBorders>
            <w:hideMark/>
          </w:tcPr>
          <w:p w:rsidR="00CD2EAD" w:rsidRPr="00BF39AB" w:rsidRDefault="00CD2EAD" w:rsidP="003E4389">
            <w:pPr>
              <w:keepNext/>
              <w:rPr>
                <w:rFonts w:ascii="Calibri" w:hAnsi="Calibri" w:cs="Calibri"/>
                <w:color w:val="4F81BD" w:themeColor="accent1"/>
              </w:rPr>
            </w:pPr>
            <w:r w:rsidRPr="00BF39AB">
              <w:rPr>
                <w:rFonts w:ascii="Calibri" w:hAnsi="Calibri" w:cs="Calibri"/>
                <w:color w:val="4F81BD" w:themeColor="accent1"/>
                <w:lang w:eastAsia="en-AU"/>
              </w:rPr>
              <w:t>Canada</w:t>
            </w:r>
          </w:p>
        </w:tc>
        <w:tc>
          <w:tcPr>
            <w:tcW w:w="2115" w:type="dxa"/>
            <w:tcBorders>
              <w:top w:val="none" w:sz="0" w:space="0" w:color="auto"/>
              <w:bottom w:val="none" w:sz="0" w:space="0" w:color="auto"/>
            </w:tcBorders>
            <w:hideMark/>
          </w:tcPr>
          <w:p w:rsidR="00CD2EAD" w:rsidRPr="00BF39AB" w:rsidRDefault="00CD2EAD" w:rsidP="003E4389">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4F81BD" w:themeColor="accent1"/>
                <w:szCs w:val="22"/>
              </w:rPr>
            </w:pPr>
            <w:r w:rsidRPr="00BF39AB">
              <w:rPr>
                <w:rFonts w:ascii="Calibri" w:hAnsi="Calibri" w:cs="Calibri"/>
                <w:b/>
                <w:color w:val="4F81BD" w:themeColor="accent1"/>
                <w:szCs w:val="22"/>
                <w:lang w:eastAsia="en-AU"/>
              </w:rPr>
              <w:t>-22%</w:t>
            </w:r>
            <w:r w:rsidRPr="00BF39AB">
              <w:rPr>
                <w:rFonts w:ascii="Calibri" w:hAnsi="Calibri" w:cs="Calibri"/>
                <w:b/>
                <w:color w:val="4F81BD" w:themeColor="accent1"/>
                <w:szCs w:val="22"/>
                <w:vertAlign w:val="superscript"/>
                <w:lang w:eastAsia="en-AU"/>
              </w:rPr>
              <w:t>2</w:t>
            </w:r>
          </w:p>
        </w:tc>
        <w:tc>
          <w:tcPr>
            <w:tcW w:w="2410" w:type="dxa"/>
            <w:tcBorders>
              <w:top w:val="none" w:sz="0" w:space="0" w:color="auto"/>
              <w:bottom w:val="none" w:sz="0" w:space="0" w:color="auto"/>
            </w:tcBorders>
            <w:vAlign w:val="bottom"/>
            <w:hideMark/>
          </w:tcPr>
          <w:p w:rsidR="00CD2EAD" w:rsidRPr="00BF39AB" w:rsidRDefault="00CD2EAD" w:rsidP="003E4389">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BF39AB">
              <w:rPr>
                <w:rFonts w:ascii="Calibri" w:hAnsi="Calibri" w:cs="Calibri"/>
                <w:color w:val="4F81BD" w:themeColor="accent1"/>
                <w:sz w:val="22"/>
                <w:szCs w:val="22"/>
              </w:rPr>
              <w:t>-0.81</w:t>
            </w:r>
          </w:p>
        </w:tc>
        <w:tc>
          <w:tcPr>
            <w:tcW w:w="2318" w:type="dxa"/>
            <w:tcBorders>
              <w:top w:val="none" w:sz="0" w:space="0" w:color="auto"/>
              <w:bottom w:val="none" w:sz="0" w:space="0" w:color="auto"/>
              <w:right w:val="none" w:sz="0" w:space="0" w:color="auto"/>
            </w:tcBorders>
            <w:vAlign w:val="bottom"/>
          </w:tcPr>
          <w:p w:rsidR="00CD2EAD" w:rsidRPr="00BF39AB" w:rsidRDefault="00CD2EAD" w:rsidP="003E4389">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BF39AB">
              <w:rPr>
                <w:rFonts w:ascii="Calibri" w:hAnsi="Calibri" w:cs="Calibri"/>
                <w:color w:val="4F81BD" w:themeColor="accent1"/>
                <w:sz w:val="22"/>
                <w:szCs w:val="22"/>
              </w:rPr>
              <w:t>-0.69</w:t>
            </w:r>
          </w:p>
        </w:tc>
      </w:tr>
      <w:tr w:rsidR="00CD2EAD" w:rsidTr="00BF39AB">
        <w:tc>
          <w:tcPr>
            <w:cnfStyle w:val="001000000000" w:firstRow="0" w:lastRow="0" w:firstColumn="1" w:lastColumn="0" w:oddVBand="0" w:evenVBand="0" w:oddHBand="0" w:evenHBand="0" w:firstRowFirstColumn="0" w:firstRowLastColumn="0" w:lastRowFirstColumn="0" w:lastRowLastColumn="0"/>
            <w:tcW w:w="1429" w:type="dxa"/>
            <w:hideMark/>
          </w:tcPr>
          <w:p w:rsidR="00CD2EAD" w:rsidRPr="00BF39AB" w:rsidRDefault="00CD2EAD" w:rsidP="003E4389">
            <w:pPr>
              <w:keepNext/>
              <w:rPr>
                <w:rFonts w:ascii="Calibri" w:hAnsi="Calibri" w:cs="Calibri"/>
                <w:color w:val="4F81BD" w:themeColor="accent1"/>
              </w:rPr>
            </w:pPr>
            <w:r w:rsidRPr="00BF39AB">
              <w:rPr>
                <w:rFonts w:ascii="Calibri" w:hAnsi="Calibri" w:cs="Calibri"/>
                <w:color w:val="4F81BD" w:themeColor="accent1"/>
                <w:lang w:eastAsia="en-AU"/>
              </w:rPr>
              <w:t>China</w:t>
            </w:r>
          </w:p>
        </w:tc>
        <w:tc>
          <w:tcPr>
            <w:tcW w:w="2115" w:type="dxa"/>
            <w:hideMark/>
          </w:tcPr>
          <w:p w:rsidR="00CD2EAD" w:rsidRPr="00BF39AB" w:rsidRDefault="00CD2EAD" w:rsidP="003E4389">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szCs w:val="22"/>
              </w:rPr>
            </w:pPr>
            <w:r w:rsidRPr="00BF39AB">
              <w:rPr>
                <w:rFonts w:ascii="Calibri" w:hAnsi="Calibri" w:cs="Calibri"/>
                <w:b/>
                <w:color w:val="4F81BD" w:themeColor="accent1"/>
                <w:szCs w:val="22"/>
                <w:lang w:eastAsia="en-AU"/>
              </w:rPr>
              <w:t>Peaking in 2030</w:t>
            </w:r>
          </w:p>
        </w:tc>
        <w:tc>
          <w:tcPr>
            <w:tcW w:w="2410" w:type="dxa"/>
            <w:vAlign w:val="bottom"/>
            <w:hideMark/>
          </w:tcPr>
          <w:p w:rsidR="00CD2EAD" w:rsidRPr="00BF39AB" w:rsidRDefault="00CD2EAD" w:rsidP="003E4389">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BF39AB">
              <w:rPr>
                <w:rFonts w:ascii="Calibri" w:hAnsi="Calibri" w:cs="Calibri"/>
                <w:color w:val="4F81BD" w:themeColor="accent1"/>
                <w:sz w:val="22"/>
                <w:szCs w:val="22"/>
              </w:rPr>
              <w:t>-0.45</w:t>
            </w:r>
          </w:p>
        </w:tc>
        <w:tc>
          <w:tcPr>
            <w:tcW w:w="2318" w:type="dxa"/>
            <w:vAlign w:val="bottom"/>
          </w:tcPr>
          <w:p w:rsidR="00CD2EAD" w:rsidRPr="00BF39AB" w:rsidRDefault="00CD2EAD" w:rsidP="003E4389">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lang w:eastAsia="en-AU"/>
              </w:rPr>
            </w:pPr>
            <w:r w:rsidRPr="00BF39AB">
              <w:rPr>
                <w:rFonts w:ascii="Calibri" w:hAnsi="Calibri" w:cs="Calibri"/>
                <w:color w:val="4F81BD" w:themeColor="accent1"/>
                <w:sz w:val="22"/>
                <w:szCs w:val="22"/>
              </w:rPr>
              <w:t>-0.40</w:t>
            </w:r>
          </w:p>
        </w:tc>
      </w:tr>
    </w:tbl>
    <w:p w:rsidR="00CD2EAD" w:rsidRPr="00BF39AB" w:rsidRDefault="00CD2EAD" w:rsidP="00EA333A">
      <w:pPr>
        <w:keepNext/>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1 The straight line extension of the trajectory from the US target 2020 target to its 025 target.</w:t>
      </w:r>
    </w:p>
    <w:p w:rsidR="00CD2EAD" w:rsidRPr="00BF39AB" w:rsidRDefault="00CD2EAD" w:rsidP="00EA333A">
      <w:pPr>
        <w:keepNext/>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 xml:space="preserve">2. Japan and Canada have since announced targets of -25.4 percent and </w:t>
      </w:r>
      <w:r w:rsidRPr="00BF39AB">
        <w:rPr>
          <w:rFonts w:asciiTheme="minorHAnsi" w:hAnsiTheme="minorHAnsi" w:cstheme="minorHAnsi"/>
          <w:color w:val="4F81BD" w:themeColor="accent1"/>
          <w:sz w:val="16"/>
        </w:rPr>
        <w:noBreakHyphen/>
        <w:t>30 per cent below 2005 levels, respectively.</w:t>
      </w:r>
    </w:p>
    <w:p w:rsidR="00531CD0" w:rsidRPr="00BF39AB" w:rsidRDefault="00531CD0" w:rsidP="00BF7A32">
      <w:pPr>
        <w:pStyle w:val="ListParagraph"/>
        <w:keepNext/>
        <w:spacing w:line="360" w:lineRule="auto"/>
        <w:ind w:left="0"/>
        <w:rPr>
          <w:rFonts w:asciiTheme="minorHAnsi" w:hAnsiTheme="minorHAnsi" w:cstheme="minorHAnsi"/>
          <w:i/>
          <w:color w:val="996633"/>
        </w:rPr>
      </w:pPr>
      <w:r w:rsidRPr="00BF39AB">
        <w:rPr>
          <w:rFonts w:asciiTheme="minorHAnsi" w:hAnsiTheme="minorHAnsi" w:cstheme="minorHAnsi"/>
          <w:i/>
          <w:color w:val="996633"/>
        </w:rPr>
        <w:t>United States</w:t>
      </w:r>
    </w:p>
    <w:p w:rsidR="00D10E06" w:rsidRPr="00D10E06" w:rsidRDefault="00A66CDC" w:rsidP="00BF7A32">
      <w:pPr>
        <w:spacing w:after="100" w:afterAutospacing="1"/>
        <w:rPr>
          <w:rFonts w:asciiTheme="minorHAnsi" w:hAnsiTheme="minorHAnsi" w:cstheme="minorHAnsi"/>
        </w:rPr>
      </w:pPr>
      <w:r>
        <w:rPr>
          <w:rFonts w:asciiTheme="minorHAnsi" w:hAnsiTheme="minorHAnsi" w:cstheme="minorHAnsi"/>
        </w:rPr>
        <w:t>The m</w:t>
      </w:r>
      <w:r w:rsidR="009D0151">
        <w:rPr>
          <w:rFonts w:asciiTheme="minorHAnsi" w:hAnsiTheme="minorHAnsi" w:cstheme="minorHAnsi"/>
        </w:rPr>
        <w:t xml:space="preserve">odelling indicates that </w:t>
      </w:r>
      <w:r w:rsidR="00951883">
        <w:rPr>
          <w:rFonts w:asciiTheme="minorHAnsi" w:hAnsiTheme="minorHAnsi" w:cstheme="minorHAnsi"/>
        </w:rPr>
        <w:t xml:space="preserve">US </w:t>
      </w:r>
      <w:r w:rsidR="009D0151">
        <w:rPr>
          <w:rFonts w:asciiTheme="minorHAnsi" w:hAnsiTheme="minorHAnsi" w:cstheme="minorHAnsi"/>
        </w:rPr>
        <w:t>GDP will increase by one quarter between 2020 and 2030 as countries take on post-2020 targets</w:t>
      </w:r>
      <w:r w:rsidR="000C546B">
        <w:rPr>
          <w:rFonts w:asciiTheme="minorHAnsi" w:hAnsiTheme="minorHAnsi" w:cstheme="minorHAnsi"/>
        </w:rPr>
        <w:t xml:space="preserve"> (the Paris scenario)</w:t>
      </w:r>
      <w:r w:rsidR="009D0151">
        <w:rPr>
          <w:rFonts w:asciiTheme="minorHAnsi" w:hAnsiTheme="minorHAnsi" w:cstheme="minorHAnsi"/>
        </w:rPr>
        <w:t xml:space="preserve">. By 2030, GDP is estimated to be one tenth of </w:t>
      </w:r>
      <w:r w:rsidR="006F53F7">
        <w:rPr>
          <w:rFonts w:asciiTheme="minorHAnsi" w:hAnsiTheme="minorHAnsi" w:cstheme="minorHAnsi"/>
        </w:rPr>
        <w:t xml:space="preserve">one </w:t>
      </w:r>
      <w:r w:rsidR="009D0151">
        <w:rPr>
          <w:rFonts w:asciiTheme="minorHAnsi" w:hAnsiTheme="minorHAnsi" w:cstheme="minorHAnsi"/>
        </w:rPr>
        <w:t xml:space="preserve">per cent lower than it would if countries did not take on post-2020 targets (the Current Policies </w:t>
      </w:r>
      <w:r w:rsidR="00F83103">
        <w:rPr>
          <w:rFonts w:asciiTheme="minorHAnsi" w:hAnsiTheme="minorHAnsi" w:cstheme="minorHAnsi"/>
        </w:rPr>
        <w:t>Scenario</w:t>
      </w:r>
      <w:r w:rsidR="009D0151">
        <w:rPr>
          <w:rFonts w:asciiTheme="minorHAnsi" w:hAnsiTheme="minorHAnsi" w:cstheme="minorHAnsi"/>
        </w:rPr>
        <w:t>).</w:t>
      </w:r>
      <w:r w:rsidR="000C546B">
        <w:rPr>
          <w:rFonts w:asciiTheme="minorHAnsi" w:hAnsiTheme="minorHAnsi" w:cstheme="minorHAnsi"/>
        </w:rPr>
        <w:t xml:space="preserve"> </w:t>
      </w:r>
    </w:p>
    <w:p w:rsidR="00531CD0" w:rsidRPr="00BF39AB" w:rsidRDefault="00531CD0" w:rsidP="00531CD0">
      <w:pPr>
        <w:pStyle w:val="ListParagraph"/>
        <w:spacing w:line="360" w:lineRule="auto"/>
        <w:ind w:left="0"/>
        <w:rPr>
          <w:rFonts w:asciiTheme="minorHAnsi" w:hAnsiTheme="minorHAnsi" w:cstheme="minorHAnsi"/>
          <w:i/>
          <w:color w:val="996633"/>
        </w:rPr>
      </w:pPr>
      <w:r w:rsidRPr="00BF39AB">
        <w:rPr>
          <w:rFonts w:asciiTheme="minorHAnsi" w:hAnsiTheme="minorHAnsi" w:cstheme="minorHAnsi"/>
          <w:i/>
          <w:color w:val="996633"/>
        </w:rPr>
        <w:t>China</w:t>
      </w:r>
    </w:p>
    <w:p w:rsidR="00531CD0" w:rsidRPr="00D10E06" w:rsidRDefault="000C546B" w:rsidP="00BF7A32">
      <w:pPr>
        <w:spacing w:after="100" w:afterAutospacing="1"/>
        <w:rPr>
          <w:rFonts w:asciiTheme="minorHAnsi" w:hAnsiTheme="minorHAnsi" w:cstheme="minorHAnsi"/>
        </w:rPr>
      </w:pPr>
      <w:r>
        <w:rPr>
          <w:rFonts w:asciiTheme="minorHAnsi" w:hAnsiTheme="minorHAnsi" w:cstheme="minorHAnsi"/>
        </w:rPr>
        <w:t xml:space="preserve">Under the Paris </w:t>
      </w:r>
      <w:r w:rsidR="00F83103">
        <w:rPr>
          <w:rFonts w:asciiTheme="minorHAnsi" w:hAnsiTheme="minorHAnsi" w:cstheme="minorHAnsi"/>
        </w:rPr>
        <w:t>Scenario</w:t>
      </w:r>
      <w:r>
        <w:rPr>
          <w:rFonts w:asciiTheme="minorHAnsi" w:hAnsiTheme="minorHAnsi" w:cstheme="minorHAnsi"/>
        </w:rPr>
        <w:t xml:space="preserve">, China’s GDP is estimated to grow by 38 per cent between 2020 and 2030. By 2030, China’s GDP is estimated to be 0.5 per cent lower than </w:t>
      </w:r>
      <w:r w:rsidR="008A0B02">
        <w:rPr>
          <w:rFonts w:asciiTheme="minorHAnsi" w:hAnsiTheme="minorHAnsi" w:cstheme="minorHAnsi"/>
        </w:rPr>
        <w:t xml:space="preserve">under the Paris Scenario </w:t>
      </w:r>
      <w:r>
        <w:rPr>
          <w:rFonts w:asciiTheme="minorHAnsi" w:hAnsiTheme="minorHAnsi" w:cstheme="minorHAnsi"/>
        </w:rPr>
        <w:t xml:space="preserve">without a post-2020 target. </w:t>
      </w:r>
    </w:p>
    <w:p w:rsidR="00531CD0" w:rsidRPr="00BF39AB" w:rsidRDefault="00531CD0" w:rsidP="00531CD0">
      <w:pPr>
        <w:pStyle w:val="ListParagraph"/>
        <w:spacing w:line="360" w:lineRule="auto"/>
        <w:ind w:left="0"/>
        <w:rPr>
          <w:rFonts w:asciiTheme="minorHAnsi" w:hAnsiTheme="minorHAnsi" w:cstheme="minorHAnsi"/>
          <w:i/>
          <w:color w:val="996633"/>
        </w:rPr>
      </w:pPr>
      <w:r w:rsidRPr="00BF39AB">
        <w:rPr>
          <w:rFonts w:asciiTheme="minorHAnsi" w:hAnsiTheme="minorHAnsi" w:cstheme="minorHAnsi"/>
          <w:i/>
          <w:color w:val="996633"/>
        </w:rPr>
        <w:t>Japan</w:t>
      </w:r>
    </w:p>
    <w:p w:rsidR="00531CD0" w:rsidRPr="00D10E06" w:rsidRDefault="00D21B8B" w:rsidP="00BF7A32">
      <w:pPr>
        <w:spacing w:after="100" w:afterAutospacing="1"/>
        <w:rPr>
          <w:rFonts w:asciiTheme="minorHAnsi" w:hAnsiTheme="minorHAnsi" w:cstheme="minorHAnsi"/>
        </w:rPr>
      </w:pPr>
      <w:r>
        <w:rPr>
          <w:rFonts w:asciiTheme="minorHAnsi" w:hAnsiTheme="minorHAnsi" w:cstheme="minorHAnsi"/>
        </w:rPr>
        <w:t xml:space="preserve">Japan’s GDP is estimated to grow by one fifth between 2020 and 2030 under the Paris </w:t>
      </w:r>
      <w:r w:rsidR="00F83103">
        <w:rPr>
          <w:rFonts w:asciiTheme="minorHAnsi" w:hAnsiTheme="minorHAnsi" w:cstheme="minorHAnsi"/>
        </w:rPr>
        <w:t>Scenario</w:t>
      </w:r>
      <w:r>
        <w:rPr>
          <w:rFonts w:asciiTheme="minorHAnsi" w:hAnsiTheme="minorHAnsi" w:cstheme="minorHAnsi"/>
        </w:rPr>
        <w:t xml:space="preserve">. By 2030, Japan’s GDP is estimated to be 0.02 per cent lower than without a post-2020 target. </w:t>
      </w:r>
    </w:p>
    <w:p w:rsidR="00531CD0" w:rsidRPr="00BF39AB" w:rsidRDefault="00531CD0" w:rsidP="00531CD0">
      <w:pPr>
        <w:pStyle w:val="ListParagraph"/>
        <w:spacing w:line="360" w:lineRule="auto"/>
        <w:ind w:left="0"/>
        <w:rPr>
          <w:rFonts w:asciiTheme="minorHAnsi" w:hAnsiTheme="minorHAnsi" w:cstheme="minorHAnsi"/>
          <w:i/>
          <w:color w:val="996633"/>
        </w:rPr>
      </w:pPr>
      <w:r w:rsidRPr="00BF39AB">
        <w:rPr>
          <w:rFonts w:asciiTheme="minorHAnsi" w:hAnsiTheme="minorHAnsi" w:cstheme="minorHAnsi"/>
          <w:i/>
          <w:color w:val="996633"/>
        </w:rPr>
        <w:t>European Union</w:t>
      </w:r>
    </w:p>
    <w:p w:rsidR="00531CD0" w:rsidRPr="00D10E06" w:rsidRDefault="00D21B8B" w:rsidP="00BF7A32">
      <w:pPr>
        <w:spacing w:after="100" w:afterAutospacing="1"/>
        <w:rPr>
          <w:rFonts w:asciiTheme="minorHAnsi" w:hAnsiTheme="minorHAnsi" w:cstheme="minorHAnsi"/>
        </w:rPr>
      </w:pPr>
      <w:r>
        <w:rPr>
          <w:rFonts w:asciiTheme="minorHAnsi" w:hAnsiTheme="minorHAnsi" w:cstheme="minorHAnsi"/>
        </w:rPr>
        <w:t xml:space="preserve">GDP in the European Union is estimated to grow by one fifth between 2020 and 2030 under the Paris </w:t>
      </w:r>
      <w:r w:rsidR="00F83103">
        <w:rPr>
          <w:rFonts w:asciiTheme="minorHAnsi" w:hAnsiTheme="minorHAnsi" w:cstheme="minorHAnsi"/>
        </w:rPr>
        <w:t>Scenario</w:t>
      </w:r>
      <w:r>
        <w:rPr>
          <w:rFonts w:asciiTheme="minorHAnsi" w:hAnsiTheme="minorHAnsi" w:cstheme="minorHAnsi"/>
        </w:rPr>
        <w:t xml:space="preserve">. The modelling indicates that by 2030, Europe’s GDP will be 0.2 per cent lower than without a post-2020 target. </w:t>
      </w:r>
    </w:p>
    <w:p w:rsidR="00531CD0" w:rsidRPr="00BF39AB" w:rsidRDefault="00531CD0" w:rsidP="00531CD0">
      <w:pPr>
        <w:pStyle w:val="ListParagraph"/>
        <w:spacing w:line="360" w:lineRule="auto"/>
        <w:ind w:left="0"/>
        <w:rPr>
          <w:rFonts w:asciiTheme="minorHAnsi" w:hAnsiTheme="minorHAnsi" w:cstheme="minorHAnsi"/>
          <w:i/>
          <w:color w:val="996633"/>
        </w:rPr>
      </w:pPr>
      <w:r w:rsidRPr="00BF39AB">
        <w:rPr>
          <w:rFonts w:asciiTheme="minorHAnsi" w:hAnsiTheme="minorHAnsi" w:cstheme="minorHAnsi"/>
          <w:i/>
          <w:color w:val="996633"/>
        </w:rPr>
        <w:t>Canada</w:t>
      </w:r>
    </w:p>
    <w:p w:rsidR="00E60473" w:rsidRDefault="00E60473" w:rsidP="00BF7A32">
      <w:pPr>
        <w:spacing w:after="100" w:afterAutospacing="1"/>
        <w:rPr>
          <w:rFonts w:asciiTheme="minorHAnsi" w:hAnsiTheme="minorHAnsi" w:cstheme="minorHAnsi"/>
        </w:rPr>
      </w:pPr>
      <w:r>
        <w:rPr>
          <w:rFonts w:asciiTheme="minorHAnsi" w:hAnsiTheme="minorHAnsi" w:cstheme="minorHAnsi"/>
        </w:rPr>
        <w:t>As previously noted,</w:t>
      </w:r>
      <w:r w:rsidR="008A0B02">
        <w:rPr>
          <w:rFonts w:asciiTheme="minorHAnsi" w:hAnsiTheme="minorHAnsi" w:cstheme="minorHAnsi"/>
        </w:rPr>
        <w:t xml:space="preserve"> the</w:t>
      </w:r>
      <w:r>
        <w:rPr>
          <w:rFonts w:asciiTheme="minorHAnsi" w:hAnsiTheme="minorHAnsi" w:cstheme="minorHAnsi"/>
        </w:rPr>
        <w:t xml:space="preserve"> impacts for the ‘</w:t>
      </w:r>
      <w:r w:rsidR="001212C3">
        <w:rPr>
          <w:rFonts w:asciiTheme="minorHAnsi" w:hAnsiTheme="minorHAnsi" w:cstheme="minorHAnsi"/>
        </w:rPr>
        <w:t>R</w:t>
      </w:r>
      <w:r>
        <w:rPr>
          <w:rFonts w:asciiTheme="minorHAnsi" w:hAnsiTheme="minorHAnsi" w:cstheme="minorHAnsi"/>
        </w:rPr>
        <w:t xml:space="preserve">est of OECD’ grouping, which consists of Canada and New Zealand, are considered indicative of the impacts on Canada because of the </w:t>
      </w:r>
      <w:r w:rsidR="008A0B02">
        <w:rPr>
          <w:rFonts w:asciiTheme="minorHAnsi" w:hAnsiTheme="minorHAnsi" w:cstheme="minorHAnsi"/>
        </w:rPr>
        <w:t xml:space="preserve">relative </w:t>
      </w:r>
      <w:r>
        <w:rPr>
          <w:rFonts w:asciiTheme="minorHAnsi" w:hAnsiTheme="minorHAnsi" w:cstheme="minorHAnsi"/>
        </w:rPr>
        <w:t>size of its economy</w:t>
      </w:r>
      <w:r w:rsidR="008A0B02">
        <w:rPr>
          <w:rFonts w:asciiTheme="minorHAnsi" w:hAnsiTheme="minorHAnsi" w:cstheme="minorHAnsi"/>
        </w:rPr>
        <w:t xml:space="preserve"> in this grouping</w:t>
      </w:r>
      <w:r>
        <w:rPr>
          <w:rFonts w:asciiTheme="minorHAnsi" w:hAnsiTheme="minorHAnsi" w:cstheme="minorHAnsi"/>
        </w:rPr>
        <w:t>.</w:t>
      </w:r>
    </w:p>
    <w:p w:rsidR="00531CD0" w:rsidRPr="00D10E06" w:rsidRDefault="00E60473" w:rsidP="00BF7A32">
      <w:pPr>
        <w:spacing w:after="100" w:afterAutospacing="1"/>
        <w:rPr>
          <w:rFonts w:asciiTheme="minorHAnsi" w:hAnsiTheme="minorHAnsi" w:cstheme="minorHAnsi"/>
        </w:rPr>
      </w:pPr>
      <w:r>
        <w:rPr>
          <w:rFonts w:asciiTheme="minorHAnsi" w:hAnsiTheme="minorHAnsi" w:cstheme="minorHAnsi"/>
        </w:rPr>
        <w:t xml:space="preserve">The modelling </w:t>
      </w:r>
      <w:r w:rsidR="006F53F7">
        <w:rPr>
          <w:rFonts w:asciiTheme="minorHAnsi" w:hAnsiTheme="minorHAnsi" w:cstheme="minorHAnsi"/>
        </w:rPr>
        <w:t xml:space="preserve">finds </w:t>
      </w:r>
      <w:r>
        <w:rPr>
          <w:rFonts w:asciiTheme="minorHAnsi" w:hAnsiTheme="minorHAnsi" w:cstheme="minorHAnsi"/>
        </w:rPr>
        <w:t xml:space="preserve">that under </w:t>
      </w:r>
      <w:r w:rsidR="006F53F7">
        <w:rPr>
          <w:rFonts w:asciiTheme="minorHAnsi" w:hAnsiTheme="minorHAnsi" w:cstheme="minorHAnsi"/>
        </w:rPr>
        <w:t xml:space="preserve">a </w:t>
      </w:r>
      <w:r>
        <w:rPr>
          <w:rFonts w:asciiTheme="minorHAnsi" w:hAnsiTheme="minorHAnsi" w:cstheme="minorHAnsi"/>
        </w:rPr>
        <w:t xml:space="preserve">22 per cent target Canada’s economy would grow 22 per cent between 2020 and 2030. </w:t>
      </w:r>
      <w:r w:rsidR="00C31936">
        <w:rPr>
          <w:rFonts w:asciiTheme="minorHAnsi" w:hAnsiTheme="minorHAnsi" w:cstheme="minorHAnsi"/>
        </w:rPr>
        <w:t xml:space="preserve">Canada’s GDP is estimated to be 0.8 per cent lower in 2030 as a result of countries’ post-2020 targets. </w:t>
      </w:r>
    </w:p>
    <w:p w:rsidR="00531CD0" w:rsidRPr="00BF39AB" w:rsidRDefault="00531CD0" w:rsidP="00EA333A">
      <w:pPr>
        <w:pStyle w:val="ListParagraph"/>
        <w:keepNext/>
        <w:spacing w:line="360" w:lineRule="auto"/>
        <w:ind w:left="0"/>
        <w:rPr>
          <w:rFonts w:asciiTheme="minorHAnsi" w:hAnsiTheme="minorHAnsi" w:cstheme="minorHAnsi"/>
          <w:b/>
          <w:color w:val="996633"/>
        </w:rPr>
      </w:pPr>
      <w:r w:rsidRPr="00BF39AB">
        <w:rPr>
          <w:rFonts w:asciiTheme="minorHAnsi" w:hAnsiTheme="minorHAnsi" w:cstheme="minorHAnsi"/>
          <w:b/>
          <w:color w:val="996633"/>
        </w:rPr>
        <w:lastRenderedPageBreak/>
        <w:t>Impacts on emissions</w:t>
      </w:r>
    </w:p>
    <w:p w:rsidR="00D10E06" w:rsidRDefault="00D10E06" w:rsidP="00EA333A">
      <w:pPr>
        <w:keepNext/>
        <w:spacing w:after="100" w:afterAutospacing="1"/>
        <w:rPr>
          <w:rFonts w:asciiTheme="minorHAnsi" w:hAnsiTheme="minorHAnsi" w:cstheme="minorHAnsi"/>
        </w:rPr>
      </w:pPr>
      <w:r>
        <w:rPr>
          <w:rFonts w:asciiTheme="minorHAnsi" w:hAnsiTheme="minorHAnsi" w:cstheme="minorHAnsi"/>
        </w:rPr>
        <w:t>P</w:t>
      </w:r>
      <w:r w:rsidRPr="009C0E01">
        <w:rPr>
          <w:rFonts w:asciiTheme="minorHAnsi" w:hAnsiTheme="minorHAnsi" w:cstheme="minorHAnsi"/>
        </w:rPr>
        <w:t xml:space="preserve">olicy </w:t>
      </w:r>
      <w:r>
        <w:rPr>
          <w:rFonts w:asciiTheme="minorHAnsi" w:hAnsiTheme="minorHAnsi" w:cstheme="minorHAnsi"/>
        </w:rPr>
        <w:t xml:space="preserve">discussions on global climate action often </w:t>
      </w:r>
      <w:r w:rsidR="006F53F7">
        <w:rPr>
          <w:rFonts w:asciiTheme="minorHAnsi" w:hAnsiTheme="minorHAnsi" w:cstheme="minorHAnsi"/>
        </w:rPr>
        <w:t xml:space="preserve">highlight </w:t>
      </w:r>
      <w:r>
        <w:rPr>
          <w:rFonts w:asciiTheme="minorHAnsi" w:hAnsiTheme="minorHAnsi" w:cstheme="minorHAnsi"/>
        </w:rPr>
        <w:t>the potential for ‘emissions leakage’ where emissions reduction policies in one country force emissions intensive industries offshore, with little or no reduction in global emissions. While this is a genuine issue, in practice</w:t>
      </w:r>
      <w:r w:rsidR="00543857">
        <w:rPr>
          <w:rFonts w:asciiTheme="minorHAnsi" w:hAnsiTheme="minorHAnsi" w:cstheme="minorHAnsi"/>
        </w:rPr>
        <w:t xml:space="preserve"> high sunk costs involved in existing infrastructure mean </w:t>
      </w:r>
      <w:r>
        <w:rPr>
          <w:rFonts w:asciiTheme="minorHAnsi" w:hAnsiTheme="minorHAnsi" w:cstheme="minorHAnsi"/>
        </w:rPr>
        <w:t xml:space="preserve">it is </w:t>
      </w:r>
      <w:r w:rsidR="00951883">
        <w:rPr>
          <w:rFonts w:asciiTheme="minorHAnsi" w:hAnsiTheme="minorHAnsi" w:cstheme="minorHAnsi"/>
        </w:rPr>
        <w:t xml:space="preserve">most </w:t>
      </w:r>
      <w:r>
        <w:rPr>
          <w:rFonts w:asciiTheme="minorHAnsi" w:hAnsiTheme="minorHAnsi" w:cstheme="minorHAnsi"/>
        </w:rPr>
        <w:t xml:space="preserve">likely relevant to globally mobile new green-fields investment, rather than the potential </w:t>
      </w:r>
      <w:r w:rsidR="00951883">
        <w:rPr>
          <w:rFonts w:asciiTheme="minorHAnsi" w:hAnsiTheme="minorHAnsi" w:cstheme="minorHAnsi"/>
        </w:rPr>
        <w:t xml:space="preserve">early </w:t>
      </w:r>
      <w:r>
        <w:rPr>
          <w:rFonts w:asciiTheme="minorHAnsi" w:hAnsiTheme="minorHAnsi" w:cstheme="minorHAnsi"/>
        </w:rPr>
        <w:t xml:space="preserve">closure of existing capital intensive facilities. </w:t>
      </w:r>
      <w:r w:rsidR="00951883">
        <w:rPr>
          <w:rFonts w:asciiTheme="minorHAnsi" w:hAnsiTheme="minorHAnsi" w:cstheme="minorHAnsi"/>
        </w:rPr>
        <w:t>C</w:t>
      </w:r>
      <w:r>
        <w:rPr>
          <w:rFonts w:asciiTheme="minorHAnsi" w:hAnsiTheme="minorHAnsi" w:cstheme="minorHAnsi"/>
        </w:rPr>
        <w:t>ountries have</w:t>
      </w:r>
      <w:r w:rsidR="006F53F7">
        <w:rPr>
          <w:rFonts w:asciiTheme="minorHAnsi" w:hAnsiTheme="minorHAnsi" w:cstheme="minorHAnsi"/>
        </w:rPr>
        <w:t xml:space="preserve"> also</w:t>
      </w:r>
      <w:r>
        <w:rPr>
          <w:rFonts w:asciiTheme="minorHAnsi" w:hAnsiTheme="minorHAnsi" w:cstheme="minorHAnsi"/>
        </w:rPr>
        <w:t xml:space="preserve"> demonstrated a range of policy measures for maintaining the competitiveness of emissions intensive trade exposed industries.  </w:t>
      </w:r>
    </w:p>
    <w:p w:rsidR="00D10E06" w:rsidRDefault="00D10E06" w:rsidP="00BF7A32">
      <w:pPr>
        <w:spacing w:after="100" w:afterAutospacing="1"/>
        <w:rPr>
          <w:rFonts w:asciiTheme="minorHAnsi" w:hAnsiTheme="minorHAnsi" w:cstheme="minorHAnsi"/>
        </w:rPr>
      </w:pPr>
      <w:r>
        <w:rPr>
          <w:rFonts w:asciiTheme="minorHAnsi" w:hAnsiTheme="minorHAnsi" w:cstheme="minorHAnsi"/>
        </w:rPr>
        <w:t xml:space="preserve">The focus of this </w:t>
      </w:r>
      <w:r w:rsidR="004D4597">
        <w:rPr>
          <w:rFonts w:asciiTheme="minorHAnsi" w:hAnsiTheme="minorHAnsi" w:cstheme="minorHAnsi"/>
        </w:rPr>
        <w:t xml:space="preserve">modelling </w:t>
      </w:r>
      <w:r>
        <w:rPr>
          <w:rFonts w:asciiTheme="minorHAnsi" w:hAnsiTheme="minorHAnsi" w:cstheme="minorHAnsi"/>
        </w:rPr>
        <w:t xml:space="preserve">raised the possibility that the analysis might find that Australia became a ‘pollution haven’ – attracting new investment in emissions intensive activities because Australia is not taking on a new post-2020 target. However, given that the variant of </w:t>
      </w:r>
      <w:r w:rsidR="006F53F7">
        <w:rPr>
          <w:rFonts w:asciiTheme="minorHAnsi" w:hAnsiTheme="minorHAnsi" w:cstheme="minorHAnsi"/>
        </w:rPr>
        <w:t xml:space="preserve">the model </w:t>
      </w:r>
      <w:r>
        <w:rPr>
          <w:rFonts w:asciiTheme="minorHAnsi" w:hAnsiTheme="minorHAnsi" w:cstheme="minorHAnsi"/>
        </w:rPr>
        <w:t>used does not include non-</w:t>
      </w:r>
      <w:r w:rsidR="001212C3">
        <w:rPr>
          <w:rFonts w:asciiTheme="minorHAnsi" w:hAnsiTheme="minorHAnsi" w:cstheme="minorHAnsi"/>
        </w:rPr>
        <w:t>CO</w:t>
      </w:r>
      <w:r w:rsidR="001212C3" w:rsidRPr="001212C3">
        <w:rPr>
          <w:rFonts w:asciiTheme="minorHAnsi" w:hAnsiTheme="minorHAnsi" w:cstheme="minorHAnsi"/>
          <w:vertAlign w:val="subscript"/>
        </w:rPr>
        <w:t>2</w:t>
      </w:r>
      <w:r>
        <w:rPr>
          <w:rFonts w:asciiTheme="minorHAnsi" w:hAnsiTheme="minorHAnsi" w:cstheme="minorHAnsi"/>
        </w:rPr>
        <w:t xml:space="preserve"> gases or emissions outside the energy sectors, no firm conclusions can be made about the extent or causes of </w:t>
      </w:r>
      <w:r w:rsidR="008A0B02">
        <w:rPr>
          <w:rFonts w:asciiTheme="minorHAnsi" w:hAnsiTheme="minorHAnsi" w:cstheme="minorHAnsi"/>
        </w:rPr>
        <w:t xml:space="preserve">overall </w:t>
      </w:r>
      <w:r>
        <w:rPr>
          <w:rFonts w:asciiTheme="minorHAnsi" w:hAnsiTheme="minorHAnsi" w:cstheme="minorHAnsi"/>
        </w:rPr>
        <w:t>emissions leakage.</w:t>
      </w:r>
    </w:p>
    <w:p w:rsidR="00531CD0" w:rsidRDefault="00531CD0">
      <w:pPr>
        <w:rPr>
          <w:rFonts w:asciiTheme="minorHAnsi" w:hAnsiTheme="minorHAnsi" w:cstheme="minorHAnsi"/>
          <w:b/>
          <w:color w:val="0070C0"/>
          <w:sz w:val="40"/>
        </w:rPr>
      </w:pPr>
      <w:r>
        <w:rPr>
          <w:rFonts w:asciiTheme="minorHAnsi" w:hAnsiTheme="minorHAnsi" w:cstheme="minorHAnsi"/>
          <w:b/>
          <w:color w:val="0070C0"/>
          <w:sz w:val="40"/>
        </w:rPr>
        <w:br w:type="page"/>
      </w:r>
    </w:p>
    <w:p w:rsidR="00D10E06" w:rsidRPr="00C32F93" w:rsidRDefault="00B26091" w:rsidP="00D10E06">
      <w:pPr>
        <w:rPr>
          <w:rFonts w:asciiTheme="minorHAnsi" w:hAnsiTheme="minorHAnsi" w:cstheme="minorHAnsi"/>
          <w:b/>
          <w:color w:val="996633"/>
          <w:sz w:val="40"/>
        </w:rPr>
      </w:pPr>
      <w:r w:rsidRPr="00C32F93">
        <w:rPr>
          <w:rFonts w:asciiTheme="minorHAnsi" w:hAnsiTheme="minorHAnsi" w:cstheme="minorHAnsi"/>
          <w:b/>
          <w:color w:val="996633"/>
          <w:sz w:val="40"/>
        </w:rPr>
        <w:lastRenderedPageBreak/>
        <w:t xml:space="preserve">Sensitivity testing </w:t>
      </w:r>
      <w:r w:rsidR="00D10E06" w:rsidRPr="00C32F93">
        <w:rPr>
          <w:rFonts w:asciiTheme="minorHAnsi" w:hAnsiTheme="minorHAnsi" w:cstheme="minorHAnsi"/>
          <w:b/>
          <w:color w:val="996633"/>
          <w:sz w:val="40"/>
        </w:rPr>
        <w:t xml:space="preserve">and comparability </w:t>
      </w:r>
      <w:r w:rsidR="006F53F7" w:rsidRPr="00C32F93">
        <w:rPr>
          <w:rFonts w:asciiTheme="minorHAnsi" w:hAnsiTheme="minorHAnsi" w:cstheme="minorHAnsi"/>
          <w:b/>
          <w:color w:val="996633"/>
          <w:sz w:val="40"/>
        </w:rPr>
        <w:t>to other modelling exercises</w:t>
      </w:r>
    </w:p>
    <w:p w:rsidR="00D10E06" w:rsidRPr="00335D2D" w:rsidRDefault="00D10E06" w:rsidP="00D10E06">
      <w:pPr>
        <w:rPr>
          <w:rFonts w:asciiTheme="minorHAnsi" w:hAnsiTheme="minorHAnsi" w:cstheme="minorHAnsi"/>
        </w:rPr>
      </w:pPr>
    </w:p>
    <w:p w:rsidR="00252ECB" w:rsidRPr="004E0D34" w:rsidRDefault="00252ECB" w:rsidP="00087A50">
      <w:pPr>
        <w:spacing w:after="100" w:afterAutospacing="1"/>
        <w:rPr>
          <w:rFonts w:asciiTheme="minorHAnsi" w:hAnsiTheme="minorHAnsi" w:cstheme="minorHAnsi"/>
          <w:b/>
          <w:color w:val="996633"/>
        </w:rPr>
      </w:pPr>
      <w:r w:rsidRPr="004E0D34">
        <w:rPr>
          <w:rFonts w:asciiTheme="minorHAnsi" w:hAnsiTheme="minorHAnsi" w:cstheme="minorHAnsi"/>
          <w:b/>
          <w:color w:val="996633"/>
        </w:rPr>
        <w:t>Sensitivity testing</w:t>
      </w:r>
    </w:p>
    <w:p w:rsidR="00087A50" w:rsidRPr="00BF39AB" w:rsidRDefault="00087A50" w:rsidP="00087A50">
      <w:pPr>
        <w:spacing w:after="100" w:afterAutospacing="1"/>
        <w:rPr>
          <w:rFonts w:asciiTheme="minorHAnsi" w:hAnsiTheme="minorHAnsi" w:cstheme="minorHAnsi"/>
          <w:i/>
          <w:color w:val="996633"/>
        </w:rPr>
      </w:pPr>
      <w:r w:rsidRPr="00BF39AB">
        <w:rPr>
          <w:rFonts w:asciiTheme="minorHAnsi" w:hAnsiTheme="minorHAnsi" w:cstheme="minorHAnsi"/>
          <w:i/>
          <w:color w:val="996633"/>
        </w:rPr>
        <w:t xml:space="preserve">Technology and policy mix assumptions </w:t>
      </w:r>
    </w:p>
    <w:p w:rsidR="00087A50" w:rsidRPr="00087A50" w:rsidRDefault="00087A50" w:rsidP="00087A50">
      <w:pPr>
        <w:spacing w:after="100" w:afterAutospacing="1"/>
        <w:rPr>
          <w:rFonts w:asciiTheme="minorHAnsi" w:hAnsiTheme="minorHAnsi" w:cstheme="minorHAnsi"/>
        </w:rPr>
      </w:pPr>
      <w:r w:rsidRPr="00087A50">
        <w:rPr>
          <w:rFonts w:asciiTheme="minorHAnsi" w:hAnsiTheme="minorHAnsi" w:cstheme="minorHAnsi"/>
        </w:rPr>
        <w:t xml:space="preserve">The projected economic impacts are sensitive to assumptions about the policies used to achieve the targets, and future relative costs of renewable energy technologies.  These issues are explored through varying the relative implementation cost of the policies used by the US to achieve its target.  </w:t>
      </w:r>
      <w:r w:rsidR="00252ECB">
        <w:rPr>
          <w:rFonts w:asciiTheme="minorHAnsi" w:hAnsiTheme="minorHAnsi" w:cstheme="minorHAnsi"/>
        </w:rPr>
        <w:t>T</w:t>
      </w:r>
      <w:r w:rsidRPr="00087A50">
        <w:rPr>
          <w:rFonts w:asciiTheme="minorHAnsi" w:hAnsiTheme="minorHAnsi" w:cstheme="minorHAnsi"/>
        </w:rPr>
        <w:t xml:space="preserve">he modelling for the core Paris </w:t>
      </w:r>
      <w:r w:rsidR="00F83103">
        <w:rPr>
          <w:rFonts w:asciiTheme="minorHAnsi" w:hAnsiTheme="minorHAnsi" w:cstheme="minorHAnsi"/>
        </w:rPr>
        <w:t>Scenario</w:t>
      </w:r>
      <w:r w:rsidRPr="00087A50">
        <w:rPr>
          <w:rFonts w:asciiTheme="minorHAnsi" w:hAnsiTheme="minorHAnsi" w:cstheme="minorHAnsi"/>
        </w:rPr>
        <w:t xml:space="preserve"> assumes that achieving emissions reductions through a mix of policies increases </w:t>
      </w:r>
      <w:r w:rsidR="00252ECB">
        <w:rPr>
          <w:rFonts w:asciiTheme="minorHAnsi" w:hAnsiTheme="minorHAnsi" w:cstheme="minorHAnsi"/>
        </w:rPr>
        <w:t xml:space="preserve">the price of electricity </w:t>
      </w:r>
      <w:r w:rsidRPr="00087A50">
        <w:rPr>
          <w:rFonts w:asciiTheme="minorHAnsi" w:hAnsiTheme="minorHAnsi" w:cstheme="minorHAnsi"/>
        </w:rPr>
        <w:t xml:space="preserve">by 10 per cent compared to cost-minimising policy. To test the sensitivity of the results to this technology cost assumption, the impacts were analysed for a higher </w:t>
      </w:r>
      <w:r w:rsidR="00252ECB">
        <w:rPr>
          <w:rFonts w:asciiTheme="minorHAnsi" w:hAnsiTheme="minorHAnsi" w:cstheme="minorHAnsi"/>
        </w:rPr>
        <w:t xml:space="preserve">price </w:t>
      </w:r>
      <w:r w:rsidRPr="00087A50">
        <w:rPr>
          <w:rFonts w:asciiTheme="minorHAnsi" w:hAnsiTheme="minorHAnsi" w:cstheme="minorHAnsi"/>
        </w:rPr>
        <w:t>increment of 50 per cent.</w:t>
      </w:r>
    </w:p>
    <w:p w:rsidR="00087A50" w:rsidRPr="00087A50" w:rsidRDefault="00087A50" w:rsidP="00087A50">
      <w:pPr>
        <w:spacing w:after="100" w:afterAutospacing="1"/>
        <w:rPr>
          <w:rFonts w:asciiTheme="minorHAnsi" w:hAnsiTheme="minorHAnsi" w:cstheme="minorHAnsi"/>
        </w:rPr>
      </w:pPr>
      <w:r w:rsidRPr="00087A50">
        <w:rPr>
          <w:rFonts w:asciiTheme="minorHAnsi" w:hAnsiTheme="minorHAnsi" w:cstheme="minorHAnsi"/>
        </w:rPr>
        <w:t xml:space="preserve">The modelling finds that under this higher cost assumption, the impact of </w:t>
      </w:r>
      <w:r w:rsidR="00F83103">
        <w:rPr>
          <w:rFonts w:asciiTheme="minorHAnsi" w:hAnsiTheme="minorHAnsi" w:cstheme="minorHAnsi"/>
        </w:rPr>
        <w:t xml:space="preserve">countries’ post-2020 </w:t>
      </w:r>
      <w:r w:rsidRPr="00087A50">
        <w:rPr>
          <w:rFonts w:asciiTheme="minorHAnsi" w:hAnsiTheme="minorHAnsi" w:cstheme="minorHAnsi"/>
        </w:rPr>
        <w:t>commitments on US GDP is twice</w:t>
      </w:r>
      <w:r w:rsidR="00252ECB">
        <w:rPr>
          <w:rFonts w:asciiTheme="minorHAnsi" w:hAnsiTheme="minorHAnsi" w:cstheme="minorHAnsi"/>
        </w:rPr>
        <w:t xml:space="preserve"> as</w:t>
      </w:r>
      <w:r w:rsidRPr="00087A50">
        <w:rPr>
          <w:rFonts w:asciiTheme="minorHAnsi" w:hAnsiTheme="minorHAnsi" w:cstheme="minorHAnsi"/>
        </w:rPr>
        <w:t xml:space="preserve"> large (relative to the </w:t>
      </w:r>
      <w:r w:rsidR="00F83103">
        <w:rPr>
          <w:rFonts w:asciiTheme="minorHAnsi" w:hAnsiTheme="minorHAnsi" w:cstheme="minorHAnsi"/>
        </w:rPr>
        <w:t xml:space="preserve">Paris </w:t>
      </w:r>
      <w:r w:rsidR="00F83103" w:rsidRPr="00087A50">
        <w:rPr>
          <w:rFonts w:asciiTheme="minorHAnsi" w:hAnsiTheme="minorHAnsi" w:cstheme="minorHAnsi"/>
        </w:rPr>
        <w:t>Scenario</w:t>
      </w:r>
      <w:r w:rsidRPr="00087A50">
        <w:rPr>
          <w:rFonts w:asciiTheme="minorHAnsi" w:hAnsiTheme="minorHAnsi" w:cstheme="minorHAnsi"/>
        </w:rPr>
        <w:t>) and that US electricity prices are almost 50</w:t>
      </w:r>
      <w:r w:rsidR="00252ECB">
        <w:rPr>
          <w:rFonts w:asciiTheme="minorHAnsi" w:hAnsiTheme="minorHAnsi" w:cstheme="minorHAnsi"/>
        </w:rPr>
        <w:t xml:space="preserve"> per cent</w:t>
      </w:r>
      <w:r w:rsidRPr="00087A50">
        <w:rPr>
          <w:rFonts w:asciiTheme="minorHAnsi" w:hAnsiTheme="minorHAnsi" w:cstheme="minorHAnsi"/>
        </w:rPr>
        <w:t xml:space="preserve"> higher.  The results for differences in investment, consumption and GDP growth would be expected to be </w:t>
      </w:r>
      <w:r w:rsidR="00252ECB">
        <w:rPr>
          <w:rFonts w:asciiTheme="minorHAnsi" w:hAnsiTheme="minorHAnsi" w:cstheme="minorHAnsi"/>
        </w:rPr>
        <w:t xml:space="preserve">broadly </w:t>
      </w:r>
      <w:r w:rsidRPr="00087A50">
        <w:rPr>
          <w:rFonts w:asciiTheme="minorHAnsi" w:hAnsiTheme="minorHAnsi" w:cstheme="minorHAnsi"/>
        </w:rPr>
        <w:t xml:space="preserve">similar for other countries.  More details are provided in </w:t>
      </w:r>
      <w:r w:rsidRPr="00492F4E">
        <w:rPr>
          <w:rFonts w:asciiTheme="minorHAnsi" w:hAnsiTheme="minorHAnsi" w:cstheme="minorHAnsi"/>
        </w:rPr>
        <w:t xml:space="preserve">Appendix </w:t>
      </w:r>
      <w:r w:rsidR="006E0BD9" w:rsidRPr="00492F4E">
        <w:rPr>
          <w:rFonts w:asciiTheme="minorHAnsi" w:hAnsiTheme="minorHAnsi" w:cstheme="minorHAnsi"/>
        </w:rPr>
        <w:t>D</w:t>
      </w:r>
      <w:r w:rsidRPr="00492F4E">
        <w:rPr>
          <w:rFonts w:asciiTheme="minorHAnsi" w:hAnsiTheme="minorHAnsi" w:cstheme="minorHAnsi"/>
        </w:rPr>
        <w:t>.</w:t>
      </w:r>
    </w:p>
    <w:p w:rsidR="00087A50" w:rsidRPr="00BF39AB" w:rsidRDefault="00087A50" w:rsidP="00087A50">
      <w:pPr>
        <w:spacing w:after="100" w:afterAutospacing="1"/>
        <w:rPr>
          <w:rFonts w:asciiTheme="minorHAnsi" w:hAnsiTheme="minorHAnsi" w:cstheme="minorHAnsi"/>
          <w:i/>
          <w:color w:val="996633"/>
        </w:rPr>
      </w:pPr>
      <w:r w:rsidRPr="00BF39AB">
        <w:rPr>
          <w:rFonts w:asciiTheme="minorHAnsi" w:hAnsiTheme="minorHAnsi" w:cstheme="minorHAnsi"/>
          <w:i/>
          <w:color w:val="996633"/>
        </w:rPr>
        <w:t xml:space="preserve">Policy certainty and business confidence </w:t>
      </w:r>
    </w:p>
    <w:p w:rsidR="00087A50" w:rsidRPr="00087A50" w:rsidRDefault="00087A50" w:rsidP="00087A50">
      <w:pPr>
        <w:spacing w:after="100" w:afterAutospacing="1"/>
        <w:rPr>
          <w:rFonts w:asciiTheme="minorHAnsi" w:hAnsiTheme="minorHAnsi" w:cstheme="minorHAnsi"/>
        </w:rPr>
      </w:pPr>
      <w:r w:rsidRPr="00087A50">
        <w:rPr>
          <w:rFonts w:asciiTheme="minorHAnsi" w:hAnsiTheme="minorHAnsi" w:cstheme="minorHAnsi"/>
        </w:rPr>
        <w:t>A second sensitivity analysis assesse</w:t>
      </w:r>
      <w:r w:rsidR="00252ECB">
        <w:rPr>
          <w:rFonts w:asciiTheme="minorHAnsi" w:hAnsiTheme="minorHAnsi" w:cstheme="minorHAnsi"/>
        </w:rPr>
        <w:t>d</w:t>
      </w:r>
      <w:r w:rsidRPr="00087A50">
        <w:rPr>
          <w:rFonts w:asciiTheme="minorHAnsi" w:hAnsiTheme="minorHAnsi" w:cstheme="minorHAnsi"/>
        </w:rPr>
        <w:t xml:space="preserve"> the significance of policy uncertainty, and its impact on business confidence.  This is modelled as an increase in the risk premium in Australian energy sectors of </w:t>
      </w:r>
      <w:r>
        <w:rPr>
          <w:rFonts w:asciiTheme="minorHAnsi" w:hAnsiTheme="minorHAnsi" w:cstheme="minorHAnsi"/>
        </w:rPr>
        <w:t>four</w:t>
      </w:r>
      <w:r w:rsidRPr="00087A50">
        <w:rPr>
          <w:rFonts w:asciiTheme="minorHAnsi" w:hAnsiTheme="minorHAnsi" w:cstheme="minorHAnsi"/>
        </w:rPr>
        <w:t xml:space="preserve"> per cent</w:t>
      </w:r>
      <w:r w:rsidR="00252ECB">
        <w:rPr>
          <w:rFonts w:asciiTheme="minorHAnsi" w:hAnsiTheme="minorHAnsi" w:cstheme="minorHAnsi"/>
        </w:rPr>
        <w:t xml:space="preserve"> </w:t>
      </w:r>
      <w:r w:rsidR="00AE6B9A">
        <w:rPr>
          <w:rFonts w:asciiTheme="minorHAnsi" w:hAnsiTheme="minorHAnsi" w:cstheme="minorHAnsi"/>
        </w:rPr>
        <w:t xml:space="preserve">(or 400 basis points) </w:t>
      </w:r>
      <w:r w:rsidR="00AE6B9A">
        <w:rPr>
          <w:rStyle w:val="FootnoteReference"/>
          <w:rFonts w:asciiTheme="minorHAnsi" w:hAnsiTheme="minorHAnsi" w:cstheme="minorHAnsi"/>
        </w:rPr>
        <w:footnoteReference w:id="13"/>
      </w:r>
      <w:r w:rsidRPr="00087A50">
        <w:rPr>
          <w:rFonts w:asciiTheme="minorHAnsi" w:hAnsiTheme="minorHAnsi" w:cstheme="minorHAnsi"/>
        </w:rPr>
        <w:t xml:space="preserve"> – a reasonable </w:t>
      </w:r>
      <w:r w:rsidR="00AE6B9A">
        <w:rPr>
          <w:rFonts w:asciiTheme="minorHAnsi" w:hAnsiTheme="minorHAnsi" w:cstheme="minorHAnsi"/>
        </w:rPr>
        <w:t>size of shock</w:t>
      </w:r>
      <w:r w:rsidR="00AE6B9A" w:rsidRPr="00087A50">
        <w:rPr>
          <w:rFonts w:asciiTheme="minorHAnsi" w:hAnsiTheme="minorHAnsi" w:cstheme="minorHAnsi"/>
        </w:rPr>
        <w:t xml:space="preserve"> </w:t>
      </w:r>
      <w:r w:rsidRPr="00087A50">
        <w:rPr>
          <w:rFonts w:asciiTheme="minorHAnsi" w:hAnsiTheme="minorHAnsi" w:cstheme="minorHAnsi"/>
        </w:rPr>
        <w:t xml:space="preserve">relative to swings in risk premia observed in markets in recent years.  This lack of business confidence might arise from Australian policy settings – such as a decision not to announce a post-2020 target.  Perceived investment risks in Australia could also be influenced by business confidence in relation to the actions and commitments of other </w:t>
      </w:r>
      <w:r w:rsidR="00252ECB">
        <w:rPr>
          <w:rFonts w:asciiTheme="minorHAnsi" w:hAnsiTheme="minorHAnsi" w:cstheme="minorHAnsi"/>
        </w:rPr>
        <w:t>countries</w:t>
      </w:r>
      <w:r w:rsidRPr="00087A50">
        <w:rPr>
          <w:rFonts w:asciiTheme="minorHAnsi" w:hAnsiTheme="minorHAnsi" w:cstheme="minorHAnsi"/>
        </w:rPr>
        <w:t xml:space="preserve">.  </w:t>
      </w:r>
    </w:p>
    <w:p w:rsidR="00087A50" w:rsidRPr="00AF2688" w:rsidRDefault="00087A50" w:rsidP="00AF2688">
      <w:pPr>
        <w:spacing w:after="100" w:afterAutospacing="1"/>
        <w:rPr>
          <w:rFonts w:asciiTheme="minorHAnsi" w:hAnsiTheme="minorHAnsi" w:cstheme="minorHAnsi"/>
        </w:rPr>
      </w:pPr>
      <w:r w:rsidRPr="00087A50">
        <w:rPr>
          <w:rFonts w:asciiTheme="minorHAnsi" w:hAnsiTheme="minorHAnsi" w:cstheme="minorHAnsi"/>
        </w:rPr>
        <w:t xml:space="preserve">The modelling finds that the negative impact of policy uncertainty </w:t>
      </w:r>
      <w:r w:rsidR="00AE6B9A">
        <w:rPr>
          <w:rFonts w:asciiTheme="minorHAnsi" w:hAnsiTheme="minorHAnsi" w:cstheme="minorHAnsi"/>
        </w:rPr>
        <w:t>on</w:t>
      </w:r>
      <w:r w:rsidR="00AE6B9A" w:rsidRPr="00087A50">
        <w:rPr>
          <w:rFonts w:asciiTheme="minorHAnsi" w:hAnsiTheme="minorHAnsi" w:cstheme="minorHAnsi"/>
        </w:rPr>
        <w:t xml:space="preserve"> </w:t>
      </w:r>
      <w:r w:rsidRPr="00087A50">
        <w:rPr>
          <w:rFonts w:asciiTheme="minorHAnsi" w:hAnsiTheme="minorHAnsi" w:cstheme="minorHAnsi"/>
        </w:rPr>
        <w:t>Australia’s real GDP is around three times larger than the impact of international action in the core Paris Scenario.  This occurs because higher perceived risk reduce</w:t>
      </w:r>
      <w:r>
        <w:rPr>
          <w:rFonts w:asciiTheme="minorHAnsi" w:hAnsiTheme="minorHAnsi" w:cstheme="minorHAnsi"/>
        </w:rPr>
        <w:t>s</w:t>
      </w:r>
      <w:r w:rsidRPr="00087A50">
        <w:rPr>
          <w:rFonts w:asciiTheme="minorHAnsi" w:hAnsiTheme="minorHAnsi" w:cstheme="minorHAnsi"/>
        </w:rPr>
        <w:t xml:space="preserve"> investment in the energy sector, and results in higher energy prices and business input costs.  More details are provided in </w:t>
      </w:r>
      <w:r w:rsidRPr="00492F4E">
        <w:rPr>
          <w:rFonts w:asciiTheme="minorHAnsi" w:hAnsiTheme="minorHAnsi" w:cstheme="minorHAnsi"/>
        </w:rPr>
        <w:t xml:space="preserve">Appendix </w:t>
      </w:r>
      <w:r w:rsidR="0078789A">
        <w:rPr>
          <w:rFonts w:asciiTheme="minorHAnsi" w:hAnsiTheme="minorHAnsi" w:cstheme="minorHAnsi"/>
        </w:rPr>
        <w:t>D</w:t>
      </w:r>
      <w:r w:rsidRPr="00087A50">
        <w:rPr>
          <w:rFonts w:asciiTheme="minorHAnsi" w:hAnsiTheme="minorHAnsi" w:cstheme="minorHAnsi"/>
        </w:rPr>
        <w:t xml:space="preserve">.  </w:t>
      </w:r>
    </w:p>
    <w:p w:rsidR="00D10E06" w:rsidRPr="004E0D34" w:rsidRDefault="00D10E06" w:rsidP="00BF7A32">
      <w:pPr>
        <w:pStyle w:val="ListParagraph"/>
        <w:keepNext/>
        <w:spacing w:before="240" w:after="120" w:line="360" w:lineRule="auto"/>
        <w:ind w:left="0"/>
        <w:contextualSpacing w:val="0"/>
        <w:rPr>
          <w:rFonts w:asciiTheme="minorHAnsi" w:hAnsiTheme="minorHAnsi" w:cstheme="minorHAnsi"/>
          <w:b/>
          <w:color w:val="996633"/>
        </w:rPr>
      </w:pPr>
      <w:r w:rsidRPr="004E0D34">
        <w:rPr>
          <w:rFonts w:asciiTheme="minorHAnsi" w:hAnsiTheme="minorHAnsi" w:cstheme="minorHAnsi"/>
          <w:b/>
          <w:color w:val="996633"/>
        </w:rPr>
        <w:t>Comparison to other modelling exercises</w:t>
      </w:r>
    </w:p>
    <w:p w:rsidR="002F5BC8" w:rsidRPr="001B061C" w:rsidRDefault="002F5BC8" w:rsidP="00BF7A32">
      <w:pPr>
        <w:pStyle w:val="TableText"/>
        <w:spacing w:before="0" w:after="100" w:afterAutospacing="1" w:line="240" w:lineRule="auto"/>
        <w:rPr>
          <w:rFonts w:asciiTheme="minorHAnsi" w:hAnsiTheme="minorHAnsi" w:cstheme="minorHAnsi"/>
          <w:sz w:val="24"/>
        </w:rPr>
      </w:pPr>
      <w:r w:rsidRPr="001B061C">
        <w:rPr>
          <w:rFonts w:asciiTheme="minorHAnsi" w:hAnsiTheme="minorHAnsi" w:cstheme="minorHAnsi"/>
          <w:sz w:val="24"/>
        </w:rPr>
        <w:t xml:space="preserve">In recent years, the Australian modelling community gained substantial experience in understanding the economics of climate change targets and policies. Treasury and </w:t>
      </w:r>
      <w:r w:rsidRPr="001B061C">
        <w:rPr>
          <w:rFonts w:asciiTheme="minorHAnsi" w:hAnsiTheme="minorHAnsi" w:cstheme="minorHAnsi"/>
          <w:sz w:val="24"/>
        </w:rPr>
        <w:lastRenderedPageBreak/>
        <w:t xml:space="preserve">others conducted three major modelling exercises </w:t>
      </w:r>
      <w:r w:rsidR="00AE6B50">
        <w:rPr>
          <w:rFonts w:asciiTheme="minorHAnsi" w:hAnsiTheme="minorHAnsi" w:cstheme="minorHAnsi"/>
          <w:sz w:val="24"/>
        </w:rPr>
        <w:t xml:space="preserve">between </w:t>
      </w:r>
      <w:r w:rsidRPr="001B061C">
        <w:rPr>
          <w:rFonts w:asciiTheme="minorHAnsi" w:hAnsiTheme="minorHAnsi" w:cstheme="minorHAnsi"/>
          <w:sz w:val="24"/>
        </w:rPr>
        <w:t>200</w:t>
      </w:r>
      <w:r w:rsidR="00AE6B50">
        <w:rPr>
          <w:rFonts w:asciiTheme="minorHAnsi" w:hAnsiTheme="minorHAnsi" w:cstheme="minorHAnsi"/>
          <w:sz w:val="24"/>
        </w:rPr>
        <w:t xml:space="preserve">8 and </w:t>
      </w:r>
      <w:r w:rsidRPr="001B061C">
        <w:rPr>
          <w:rFonts w:asciiTheme="minorHAnsi" w:hAnsiTheme="minorHAnsi" w:cstheme="minorHAnsi"/>
          <w:sz w:val="24"/>
        </w:rPr>
        <w:t>2013.</w:t>
      </w:r>
      <w:r w:rsidR="00AE6B50">
        <w:rPr>
          <w:rStyle w:val="FootnoteReference"/>
          <w:rFonts w:asciiTheme="minorHAnsi" w:hAnsiTheme="minorHAnsi" w:cstheme="minorHAnsi"/>
          <w:sz w:val="24"/>
        </w:rPr>
        <w:footnoteReference w:id="14"/>
      </w:r>
      <w:r w:rsidRPr="001B061C">
        <w:rPr>
          <w:rFonts w:asciiTheme="minorHAnsi" w:hAnsiTheme="minorHAnsi" w:cstheme="minorHAnsi"/>
          <w:sz w:val="24"/>
        </w:rPr>
        <w:t xml:space="preserve"> Each exercise involved </w:t>
      </w:r>
      <w:r w:rsidR="003E126E">
        <w:rPr>
          <w:rFonts w:asciiTheme="minorHAnsi" w:hAnsiTheme="minorHAnsi" w:cstheme="minorHAnsi"/>
          <w:sz w:val="24"/>
        </w:rPr>
        <w:t>two</w:t>
      </w:r>
      <w:r w:rsidR="00AE6B50">
        <w:rPr>
          <w:rFonts w:asciiTheme="minorHAnsi" w:hAnsiTheme="minorHAnsi" w:cstheme="minorHAnsi"/>
          <w:sz w:val="24"/>
        </w:rPr>
        <w:t xml:space="preserve"> to </w:t>
      </w:r>
      <w:r w:rsidR="003E126E">
        <w:rPr>
          <w:rFonts w:asciiTheme="minorHAnsi" w:hAnsiTheme="minorHAnsi" w:cstheme="minorHAnsi"/>
          <w:sz w:val="24"/>
        </w:rPr>
        <w:t>three</w:t>
      </w:r>
      <w:r w:rsidRPr="001B061C">
        <w:rPr>
          <w:rFonts w:asciiTheme="minorHAnsi" w:hAnsiTheme="minorHAnsi" w:cstheme="minorHAnsi"/>
          <w:sz w:val="24"/>
        </w:rPr>
        <w:t xml:space="preserve"> top-down general equilibrium models, at least four bottom-up partial equilibrium models, plus other tools such as a dedicated atmospheric model or financial transfer models. Each exercise involved four or five government agencies and a number of consulting contracts.</w:t>
      </w:r>
    </w:p>
    <w:p w:rsidR="002F5BC8" w:rsidRPr="001B061C" w:rsidRDefault="00AE6B50" w:rsidP="00BF7A32">
      <w:pPr>
        <w:pStyle w:val="TableText"/>
        <w:spacing w:before="0" w:after="100" w:afterAutospacing="1" w:line="240" w:lineRule="auto"/>
        <w:rPr>
          <w:rFonts w:asciiTheme="minorHAnsi" w:hAnsiTheme="minorHAnsi" w:cstheme="minorHAnsi"/>
          <w:sz w:val="24"/>
        </w:rPr>
      </w:pPr>
      <w:r>
        <w:rPr>
          <w:rFonts w:asciiTheme="minorHAnsi" w:hAnsiTheme="minorHAnsi" w:cstheme="minorHAnsi"/>
          <w:sz w:val="24"/>
        </w:rPr>
        <w:t xml:space="preserve">No attempt has been made to replicate </w:t>
      </w:r>
      <w:r w:rsidR="002F5BC8" w:rsidRPr="001B061C">
        <w:rPr>
          <w:rFonts w:asciiTheme="minorHAnsi" w:hAnsiTheme="minorHAnsi" w:cstheme="minorHAnsi"/>
          <w:sz w:val="24"/>
        </w:rPr>
        <w:t>these exercises</w:t>
      </w:r>
      <w:r>
        <w:rPr>
          <w:rFonts w:asciiTheme="minorHAnsi" w:hAnsiTheme="minorHAnsi" w:cstheme="minorHAnsi"/>
          <w:sz w:val="24"/>
        </w:rPr>
        <w:t xml:space="preserve"> in the current modelling</w:t>
      </w:r>
      <w:r w:rsidR="002F5BC8" w:rsidRPr="001B061C">
        <w:rPr>
          <w:rFonts w:asciiTheme="minorHAnsi" w:hAnsiTheme="minorHAnsi" w:cstheme="minorHAnsi"/>
          <w:sz w:val="24"/>
        </w:rPr>
        <w:t xml:space="preserve">. However, a robust economic assessment of post-2020 climate action is important for informing Australia’s own action and understanding the possible impacts of the actions of other countries. </w:t>
      </w:r>
    </w:p>
    <w:p w:rsidR="00CA5AD0" w:rsidRDefault="002F5BC8" w:rsidP="00BF7A32">
      <w:pPr>
        <w:pStyle w:val="TableText"/>
        <w:spacing w:before="0" w:after="100" w:afterAutospacing="1" w:line="240" w:lineRule="auto"/>
        <w:rPr>
          <w:rFonts w:asciiTheme="minorHAnsi" w:hAnsiTheme="minorHAnsi" w:cstheme="minorHAnsi"/>
          <w:sz w:val="24"/>
        </w:rPr>
      </w:pPr>
      <w:r w:rsidRPr="001B061C">
        <w:rPr>
          <w:rFonts w:asciiTheme="minorHAnsi" w:hAnsiTheme="minorHAnsi" w:cstheme="minorHAnsi"/>
          <w:sz w:val="24"/>
        </w:rPr>
        <w:t xml:space="preserve">This </w:t>
      </w:r>
      <w:r w:rsidR="002373DD">
        <w:rPr>
          <w:rFonts w:asciiTheme="minorHAnsi" w:hAnsiTheme="minorHAnsi" w:cstheme="minorHAnsi"/>
          <w:sz w:val="24"/>
        </w:rPr>
        <w:t>modelling</w:t>
      </w:r>
      <w:r w:rsidR="002373DD" w:rsidRPr="001B061C">
        <w:rPr>
          <w:rFonts w:asciiTheme="minorHAnsi" w:hAnsiTheme="minorHAnsi" w:cstheme="minorHAnsi"/>
          <w:sz w:val="24"/>
        </w:rPr>
        <w:t xml:space="preserve"> </w:t>
      </w:r>
      <w:r w:rsidRPr="001B061C">
        <w:rPr>
          <w:rFonts w:asciiTheme="minorHAnsi" w:hAnsiTheme="minorHAnsi" w:cstheme="minorHAnsi"/>
          <w:sz w:val="24"/>
        </w:rPr>
        <w:t>took a different approach to the Treasury climate policy modelling</w:t>
      </w:r>
      <w:r w:rsidR="00AE6B50">
        <w:rPr>
          <w:rStyle w:val="FootnoteReference"/>
          <w:rFonts w:asciiTheme="minorHAnsi" w:hAnsiTheme="minorHAnsi" w:cstheme="minorHAnsi"/>
          <w:sz w:val="24"/>
        </w:rPr>
        <w:footnoteReference w:id="15"/>
      </w:r>
      <w:r w:rsidRPr="001B061C">
        <w:rPr>
          <w:rFonts w:asciiTheme="minorHAnsi" w:hAnsiTheme="minorHAnsi" w:cstheme="minorHAnsi"/>
          <w:sz w:val="24"/>
        </w:rPr>
        <w:t xml:space="preserve"> to fulfil a specific purpose with regards to assessing the impacts of the Paris agreement. Different assumptions were made about international action and countries’ policy mixes based on up to date information, including countries</w:t>
      </w:r>
      <w:r w:rsidR="00AE6B50">
        <w:rPr>
          <w:rFonts w:asciiTheme="minorHAnsi" w:hAnsiTheme="minorHAnsi" w:cstheme="minorHAnsi"/>
          <w:sz w:val="24"/>
        </w:rPr>
        <w:t>’</w:t>
      </w:r>
      <w:r w:rsidRPr="001B061C">
        <w:rPr>
          <w:rFonts w:asciiTheme="minorHAnsi" w:hAnsiTheme="minorHAnsi" w:cstheme="minorHAnsi"/>
          <w:sz w:val="24"/>
        </w:rPr>
        <w:t xml:space="preserve"> stated actions and policy intentions. The model used </w:t>
      </w:r>
      <w:r w:rsidR="00252ECB">
        <w:rPr>
          <w:rFonts w:asciiTheme="minorHAnsi" w:hAnsiTheme="minorHAnsi" w:cstheme="minorHAnsi"/>
          <w:sz w:val="24"/>
        </w:rPr>
        <w:t>(</w:t>
      </w:r>
      <w:r w:rsidR="00252ECB" w:rsidRPr="001B061C">
        <w:rPr>
          <w:rFonts w:asciiTheme="minorHAnsi" w:hAnsiTheme="minorHAnsi" w:cstheme="minorHAnsi"/>
          <w:sz w:val="24"/>
        </w:rPr>
        <w:t>G-cubed</w:t>
      </w:r>
      <w:r w:rsidR="00252ECB">
        <w:rPr>
          <w:rFonts w:asciiTheme="minorHAnsi" w:hAnsiTheme="minorHAnsi" w:cstheme="minorHAnsi"/>
          <w:sz w:val="24"/>
        </w:rPr>
        <w:t>)</w:t>
      </w:r>
      <w:r w:rsidR="00252ECB" w:rsidRPr="001B061C">
        <w:rPr>
          <w:rFonts w:asciiTheme="minorHAnsi" w:hAnsiTheme="minorHAnsi" w:cstheme="minorHAnsi"/>
          <w:sz w:val="24"/>
        </w:rPr>
        <w:t xml:space="preserve"> </w:t>
      </w:r>
      <w:r w:rsidR="00252ECB">
        <w:rPr>
          <w:rFonts w:asciiTheme="minorHAnsi" w:hAnsiTheme="minorHAnsi" w:cstheme="minorHAnsi"/>
          <w:sz w:val="24"/>
        </w:rPr>
        <w:t>i</w:t>
      </w:r>
      <w:r w:rsidRPr="001B061C">
        <w:rPr>
          <w:rFonts w:asciiTheme="minorHAnsi" w:hAnsiTheme="minorHAnsi" w:cstheme="minorHAnsi"/>
          <w:sz w:val="24"/>
        </w:rPr>
        <w:t>s a standalone model.</w:t>
      </w:r>
      <w:r>
        <w:rPr>
          <w:rFonts w:asciiTheme="minorHAnsi" w:hAnsiTheme="minorHAnsi" w:cstheme="minorHAnsi"/>
          <w:sz w:val="24"/>
        </w:rPr>
        <w:t xml:space="preserve"> </w:t>
      </w:r>
    </w:p>
    <w:p w:rsidR="002F5BC8" w:rsidRPr="00CA5AD0" w:rsidRDefault="00252ECB" w:rsidP="00BF7A32">
      <w:pPr>
        <w:pStyle w:val="TableText"/>
        <w:spacing w:before="0" w:after="100" w:afterAutospacing="1" w:line="240" w:lineRule="auto"/>
        <w:rPr>
          <w:rFonts w:asciiTheme="minorHAnsi" w:hAnsiTheme="minorHAnsi" w:cstheme="minorHAnsi"/>
          <w:sz w:val="24"/>
        </w:rPr>
      </w:pPr>
      <w:r>
        <w:rPr>
          <w:rFonts w:asciiTheme="minorHAnsi" w:hAnsiTheme="minorHAnsi" w:cstheme="minorHAnsi"/>
          <w:sz w:val="24"/>
        </w:rPr>
        <w:t>C</w:t>
      </w:r>
      <w:r w:rsidR="002F5BC8">
        <w:rPr>
          <w:rFonts w:asciiTheme="minorHAnsi" w:hAnsiTheme="minorHAnsi" w:cstheme="minorHAnsi"/>
          <w:sz w:val="24"/>
        </w:rPr>
        <w:t xml:space="preserve">omparisons of the results with other work should be approached with caution, </w:t>
      </w:r>
      <w:r w:rsidR="00CA5AD0">
        <w:rPr>
          <w:rFonts w:asciiTheme="minorHAnsi" w:hAnsiTheme="minorHAnsi" w:cstheme="minorHAnsi"/>
          <w:sz w:val="24"/>
        </w:rPr>
        <w:t xml:space="preserve">and </w:t>
      </w:r>
      <w:r w:rsidR="002F5BC8" w:rsidRPr="00CA5AD0">
        <w:rPr>
          <w:rFonts w:asciiTheme="minorHAnsi" w:hAnsiTheme="minorHAnsi" w:cstheme="minorHAnsi"/>
          <w:sz w:val="24"/>
        </w:rPr>
        <w:t xml:space="preserve">should take account of three broad issues. First, previous studies have typically assessed the combined impacts of stronger international action and potential new Australian policies to reduce emissions. All else equal this would be expected to result in those studies </w:t>
      </w:r>
      <w:r w:rsidR="006F53F7">
        <w:rPr>
          <w:rFonts w:asciiTheme="minorHAnsi" w:hAnsiTheme="minorHAnsi" w:cstheme="minorHAnsi"/>
          <w:sz w:val="24"/>
        </w:rPr>
        <w:t>finding</w:t>
      </w:r>
      <w:r w:rsidR="006F53F7" w:rsidRPr="00CA5AD0">
        <w:rPr>
          <w:rFonts w:asciiTheme="minorHAnsi" w:hAnsiTheme="minorHAnsi" w:cstheme="minorHAnsi"/>
          <w:sz w:val="24"/>
        </w:rPr>
        <w:t xml:space="preserve"> </w:t>
      </w:r>
      <w:r w:rsidR="002F5BC8" w:rsidRPr="00CA5AD0">
        <w:rPr>
          <w:rFonts w:asciiTheme="minorHAnsi" w:hAnsiTheme="minorHAnsi" w:cstheme="minorHAnsi"/>
          <w:sz w:val="24"/>
        </w:rPr>
        <w:t>a higher economic impact on Australia</w:t>
      </w:r>
      <w:r w:rsidR="00CA5AD0">
        <w:rPr>
          <w:rFonts w:asciiTheme="minorHAnsi" w:hAnsiTheme="minorHAnsi" w:cstheme="minorHAnsi"/>
          <w:sz w:val="24"/>
        </w:rPr>
        <w:t>.</w:t>
      </w:r>
      <w:r w:rsidR="002F5BC8" w:rsidRPr="00CA5AD0">
        <w:rPr>
          <w:rFonts w:asciiTheme="minorHAnsi" w:hAnsiTheme="minorHAnsi" w:cstheme="minorHAnsi"/>
          <w:sz w:val="24"/>
        </w:rPr>
        <w:t xml:space="preserve">  </w:t>
      </w:r>
    </w:p>
    <w:p w:rsidR="002F5BC8" w:rsidRPr="00CA5AD0" w:rsidRDefault="002F5BC8" w:rsidP="00BF7A32">
      <w:pPr>
        <w:pStyle w:val="TableText"/>
        <w:spacing w:before="0" w:after="100" w:afterAutospacing="1" w:line="240" w:lineRule="auto"/>
        <w:rPr>
          <w:rFonts w:asciiTheme="minorHAnsi" w:hAnsiTheme="minorHAnsi" w:cstheme="minorHAnsi"/>
          <w:sz w:val="24"/>
        </w:rPr>
      </w:pPr>
      <w:r w:rsidRPr="00CA5AD0">
        <w:rPr>
          <w:rFonts w:asciiTheme="minorHAnsi" w:hAnsiTheme="minorHAnsi" w:cstheme="minorHAnsi"/>
          <w:sz w:val="24"/>
        </w:rPr>
        <w:t xml:space="preserve">Second, most previous studies have assumed Australia would make use of international emissions units to achieve its targets. This is not relevant to this project because it is not assessing the implications of potential new domestic policies.  However, this was a key factor </w:t>
      </w:r>
      <w:r w:rsidR="00252ECB">
        <w:rPr>
          <w:rFonts w:asciiTheme="minorHAnsi" w:hAnsiTheme="minorHAnsi" w:cstheme="minorHAnsi"/>
          <w:sz w:val="24"/>
        </w:rPr>
        <w:t xml:space="preserve">in the 2013 </w:t>
      </w:r>
      <w:r w:rsidRPr="00CA5AD0">
        <w:rPr>
          <w:rFonts w:asciiTheme="minorHAnsi" w:hAnsiTheme="minorHAnsi" w:cstheme="minorHAnsi"/>
          <w:sz w:val="24"/>
        </w:rPr>
        <w:t xml:space="preserve">Treasury modelling, which estimated that the impact on GNI per capita from international action and Australia’s 2020 target would be </w:t>
      </w:r>
      <w:r w:rsidR="00406721">
        <w:rPr>
          <w:rFonts w:asciiTheme="minorHAnsi" w:hAnsiTheme="minorHAnsi" w:cstheme="minorHAnsi"/>
          <w:sz w:val="24"/>
        </w:rPr>
        <w:t xml:space="preserve">a reduction of </w:t>
      </w:r>
      <w:r w:rsidRPr="00CA5AD0">
        <w:rPr>
          <w:rFonts w:asciiTheme="minorHAnsi" w:hAnsiTheme="minorHAnsi" w:cstheme="minorHAnsi"/>
          <w:sz w:val="24"/>
        </w:rPr>
        <w:t>0.02</w:t>
      </w:r>
      <w:r w:rsidR="0034155A">
        <w:rPr>
          <w:rFonts w:asciiTheme="minorHAnsi" w:hAnsiTheme="minorHAnsi" w:cstheme="minorHAnsi"/>
          <w:sz w:val="24"/>
        </w:rPr>
        <w:t xml:space="preserve"> per </w:t>
      </w:r>
      <w:r w:rsidR="00731603">
        <w:rPr>
          <w:rFonts w:asciiTheme="minorHAnsi" w:hAnsiTheme="minorHAnsi" w:cstheme="minorHAnsi"/>
          <w:sz w:val="24"/>
        </w:rPr>
        <w:t xml:space="preserve">cent </w:t>
      </w:r>
      <w:r w:rsidR="00731603" w:rsidRPr="00CA5AD0">
        <w:rPr>
          <w:rFonts w:asciiTheme="minorHAnsi" w:hAnsiTheme="minorHAnsi" w:cstheme="minorHAnsi"/>
          <w:sz w:val="24"/>
        </w:rPr>
        <w:t>in</w:t>
      </w:r>
      <w:r w:rsidRPr="00CA5AD0">
        <w:rPr>
          <w:rFonts w:asciiTheme="minorHAnsi" w:hAnsiTheme="minorHAnsi" w:cstheme="minorHAnsi"/>
          <w:sz w:val="24"/>
        </w:rPr>
        <w:t xml:space="preserve"> 2020 relative to no action. </w:t>
      </w:r>
    </w:p>
    <w:p w:rsidR="002F5BC8" w:rsidRPr="00CA5AD0" w:rsidRDefault="002F5BC8" w:rsidP="00BF7A32">
      <w:pPr>
        <w:pStyle w:val="TableText"/>
        <w:spacing w:before="0" w:after="100" w:afterAutospacing="1" w:line="240" w:lineRule="auto"/>
        <w:rPr>
          <w:rFonts w:asciiTheme="minorHAnsi" w:hAnsiTheme="minorHAnsi" w:cstheme="minorHAnsi"/>
          <w:sz w:val="24"/>
        </w:rPr>
      </w:pPr>
      <w:r w:rsidRPr="00CA5AD0">
        <w:rPr>
          <w:rFonts w:asciiTheme="minorHAnsi" w:hAnsiTheme="minorHAnsi" w:cstheme="minorHAnsi"/>
          <w:sz w:val="24"/>
        </w:rPr>
        <w:t xml:space="preserve">Third, the estimates of economic impacts are sensitive to assumptions about the future capital and operating costs of different energy technologies. Recent years have seen rapid declines in the costs of renewable energy technologies (which in some cases are now less than half the cost projected a few years ago). This implies that simple comparisons of results across different studies and models should be treated with caution.  </w:t>
      </w:r>
    </w:p>
    <w:p w:rsidR="008F163E" w:rsidRPr="00C32F93" w:rsidRDefault="00D10E06" w:rsidP="008F163E">
      <w:pPr>
        <w:rPr>
          <w:rFonts w:asciiTheme="minorHAnsi" w:hAnsiTheme="minorHAnsi" w:cstheme="minorHAnsi"/>
          <w:b/>
          <w:color w:val="996633"/>
          <w:sz w:val="40"/>
        </w:rPr>
      </w:pPr>
      <w:r>
        <w:rPr>
          <w:rFonts w:asciiTheme="minorHAnsi" w:hAnsiTheme="minorHAnsi" w:cstheme="minorHAnsi"/>
          <w:b/>
          <w:color w:val="0070C0"/>
          <w:sz w:val="40"/>
        </w:rPr>
        <w:br w:type="page"/>
      </w:r>
      <w:r w:rsidR="008F163E" w:rsidRPr="00C32F93">
        <w:rPr>
          <w:rFonts w:asciiTheme="minorHAnsi" w:hAnsiTheme="minorHAnsi" w:cstheme="minorHAnsi"/>
          <w:b/>
          <w:color w:val="996633"/>
          <w:sz w:val="40"/>
        </w:rPr>
        <w:lastRenderedPageBreak/>
        <w:t>Conclusions</w:t>
      </w:r>
      <w:r w:rsidR="00E42502" w:rsidRPr="00C32F93">
        <w:rPr>
          <w:rFonts w:asciiTheme="minorHAnsi" w:hAnsiTheme="minorHAnsi" w:cstheme="minorHAnsi"/>
          <w:b/>
          <w:color w:val="996633"/>
          <w:sz w:val="40"/>
        </w:rPr>
        <w:t xml:space="preserve"> </w:t>
      </w:r>
    </w:p>
    <w:p w:rsidR="008F163E" w:rsidRPr="00335D2D" w:rsidRDefault="00D418B0" w:rsidP="008F163E">
      <w:pPr>
        <w:spacing w:line="276" w:lineRule="auto"/>
        <w:rPr>
          <w:rFonts w:asciiTheme="minorHAnsi" w:hAnsiTheme="minorHAnsi" w:cstheme="minorHAnsi"/>
          <w:b/>
        </w:rPr>
      </w:pPr>
      <w:r>
        <w:rPr>
          <w:rFonts w:asciiTheme="minorHAnsi" w:hAnsiTheme="minorHAnsi" w:cstheme="minorHAnsi"/>
          <w:noProof/>
          <w:lang w:eastAsia="en-AU"/>
        </w:rPr>
        <mc:AlternateContent>
          <mc:Choice Requires="wps">
            <w:drawing>
              <wp:anchor distT="0" distB="0" distL="114300" distR="114300" simplePos="0" relativeHeight="251695104" behindDoc="0" locked="0" layoutInCell="1" allowOverlap="1" wp14:anchorId="5EE51284" wp14:editId="15043C21">
                <wp:simplePos x="0" y="0"/>
                <wp:positionH relativeFrom="column">
                  <wp:posOffset>19756</wp:posOffset>
                </wp:positionH>
                <wp:positionV relativeFrom="paragraph">
                  <wp:posOffset>152964</wp:posOffset>
                </wp:positionV>
                <wp:extent cx="5200650" cy="1049867"/>
                <wp:effectExtent l="0" t="0" r="19050"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04986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26FD1" w:rsidRPr="008B576E" w:rsidRDefault="00926FD1" w:rsidP="00EB3B0F">
                            <w:pPr>
                              <w:spacing w:line="276" w:lineRule="auto"/>
                              <w:ind w:left="360"/>
                              <w:rPr>
                                <w:rFonts w:asciiTheme="minorHAnsi" w:hAnsiTheme="minorHAnsi" w:cstheme="minorHAnsi"/>
                                <w:caps/>
                                <w:color w:val="996633"/>
                                <w:sz w:val="22"/>
                              </w:rPr>
                            </w:pPr>
                            <w:r w:rsidRPr="008B576E">
                              <w:rPr>
                                <w:rFonts w:asciiTheme="minorHAnsi" w:hAnsiTheme="minorHAnsi" w:cstheme="minorHAnsi"/>
                                <w:caps/>
                                <w:color w:val="996633"/>
                                <w:sz w:val="22"/>
                              </w:rPr>
                              <w:t>Countries’ post-2020 emission reduction targets impact on rates of growth</w:t>
                            </w:r>
                            <w:r>
                              <w:rPr>
                                <w:rFonts w:asciiTheme="minorHAnsi" w:hAnsiTheme="minorHAnsi" w:cstheme="minorHAnsi"/>
                                <w:caps/>
                                <w:color w:val="996633"/>
                                <w:sz w:val="22"/>
                              </w:rPr>
                              <w:t>,</w:t>
                            </w:r>
                            <w:r w:rsidRPr="008B576E">
                              <w:rPr>
                                <w:rFonts w:asciiTheme="minorHAnsi" w:hAnsiTheme="minorHAnsi" w:cstheme="minorHAnsi"/>
                                <w:caps/>
                                <w:color w:val="996633"/>
                                <w:sz w:val="22"/>
                              </w:rPr>
                              <w:t xml:space="preserve"> the structure of their economies and the global economy.</w:t>
                            </w:r>
                          </w:p>
                          <w:p w:rsidR="00926FD1" w:rsidRPr="008B576E" w:rsidRDefault="00926FD1" w:rsidP="001B622C">
                            <w:pPr>
                              <w:pStyle w:val="ListParagraph"/>
                              <w:numPr>
                                <w:ilvl w:val="0"/>
                                <w:numId w:val="43"/>
                              </w:numPr>
                              <w:spacing w:line="276" w:lineRule="auto"/>
                              <w:rPr>
                                <w:rFonts w:asciiTheme="minorHAnsi" w:hAnsiTheme="minorHAnsi" w:cstheme="minorHAnsi"/>
                                <w:caps/>
                                <w:color w:val="996633"/>
                                <w:sz w:val="22"/>
                              </w:rPr>
                            </w:pPr>
                            <w:r w:rsidRPr="008B576E">
                              <w:rPr>
                                <w:rFonts w:asciiTheme="minorHAnsi" w:hAnsiTheme="minorHAnsi" w:cstheme="minorHAnsi"/>
                                <w:caps/>
                                <w:color w:val="996633"/>
                                <w:sz w:val="22"/>
                              </w:rPr>
                              <w:t>Australia is expected to experience strong economic growth under both the Current Policies and Paris Scenarios</w:t>
                            </w:r>
                          </w:p>
                        </w:txbxContent>
                      </wps:txbx>
                      <wps:bodyPr rot="0" vert="horz" wrap="square" lIns="144000" tIns="108000" rIns="144000" bIns="10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5pt;margin-top:12.05pt;width:409.5pt;height:8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" fillcolor="white [3201]" strokecolor="#4f81bd [3204]" strokeweight="2pt">
                <v:textbox inset="4mm,3mm,4mm,3mm">
                  <w:txbxContent>
                    <w:p w:rsidR="00926FD1" w:rsidRPr="008B576E" w:rsidRDefault="00926FD1" w:rsidP="00EB3B0F">
                      <w:pPr>
                        <w:spacing w:line="276" w:lineRule="auto"/>
                        <w:ind w:left="360"/>
                        <w:rPr>
                          <w:rFonts w:asciiTheme="minorHAnsi" w:hAnsiTheme="minorHAnsi" w:cstheme="minorHAnsi"/>
                          <w:caps/>
                          <w:color w:val="996633"/>
                          <w:sz w:val="22"/>
                        </w:rPr>
                      </w:pPr>
                      <w:r w:rsidRPr="008B576E">
                        <w:rPr>
                          <w:rFonts w:asciiTheme="minorHAnsi" w:hAnsiTheme="minorHAnsi" w:cstheme="minorHAnsi"/>
                          <w:caps/>
                          <w:color w:val="996633"/>
                          <w:sz w:val="22"/>
                        </w:rPr>
                        <w:t>Countries’ post-2020 emission reduction targets impact on rates of growth</w:t>
                      </w:r>
                      <w:r>
                        <w:rPr>
                          <w:rFonts w:asciiTheme="minorHAnsi" w:hAnsiTheme="minorHAnsi" w:cstheme="minorHAnsi"/>
                          <w:caps/>
                          <w:color w:val="996633"/>
                          <w:sz w:val="22"/>
                        </w:rPr>
                        <w:t>,</w:t>
                      </w:r>
                      <w:r w:rsidRPr="008B576E">
                        <w:rPr>
                          <w:rFonts w:asciiTheme="minorHAnsi" w:hAnsiTheme="minorHAnsi" w:cstheme="minorHAnsi"/>
                          <w:caps/>
                          <w:color w:val="996633"/>
                          <w:sz w:val="22"/>
                        </w:rPr>
                        <w:t xml:space="preserve"> the structure of their economies and the global economy.</w:t>
                      </w:r>
                    </w:p>
                    <w:p w:rsidR="00926FD1" w:rsidRPr="008B576E" w:rsidRDefault="00926FD1" w:rsidP="001B622C">
                      <w:pPr>
                        <w:pStyle w:val="ListParagraph"/>
                        <w:numPr>
                          <w:ilvl w:val="0"/>
                          <w:numId w:val="43"/>
                        </w:numPr>
                        <w:spacing w:line="276" w:lineRule="auto"/>
                        <w:rPr>
                          <w:rFonts w:asciiTheme="minorHAnsi" w:hAnsiTheme="minorHAnsi" w:cstheme="minorHAnsi"/>
                          <w:caps/>
                          <w:color w:val="996633"/>
                          <w:sz w:val="22"/>
                        </w:rPr>
                      </w:pPr>
                      <w:r w:rsidRPr="008B576E">
                        <w:rPr>
                          <w:rFonts w:asciiTheme="minorHAnsi" w:hAnsiTheme="minorHAnsi" w:cstheme="minorHAnsi"/>
                          <w:caps/>
                          <w:color w:val="996633"/>
                          <w:sz w:val="22"/>
                        </w:rPr>
                        <w:t>Australia is expected to experience strong economic growth under both the Current Policies and Paris Scenarios</w:t>
                      </w:r>
                    </w:p>
                  </w:txbxContent>
                </v:textbox>
              </v:shape>
            </w:pict>
          </mc:Fallback>
        </mc:AlternateContent>
      </w:r>
    </w:p>
    <w:p w:rsidR="008F163E" w:rsidRPr="00335D2D" w:rsidRDefault="008F163E" w:rsidP="008F163E">
      <w:pPr>
        <w:spacing w:line="276" w:lineRule="auto"/>
        <w:rPr>
          <w:rFonts w:asciiTheme="minorHAnsi" w:hAnsiTheme="minorHAnsi" w:cstheme="minorHAnsi"/>
          <w:b/>
        </w:rPr>
      </w:pPr>
    </w:p>
    <w:p w:rsidR="008F163E" w:rsidRPr="00335D2D" w:rsidRDefault="008F163E" w:rsidP="008F163E">
      <w:pPr>
        <w:spacing w:line="276" w:lineRule="auto"/>
        <w:rPr>
          <w:rFonts w:asciiTheme="minorHAnsi" w:hAnsiTheme="minorHAnsi" w:cstheme="minorHAnsi"/>
          <w:b/>
        </w:rPr>
      </w:pPr>
    </w:p>
    <w:p w:rsidR="008F163E" w:rsidRPr="00335D2D" w:rsidRDefault="008F163E" w:rsidP="008F163E">
      <w:pPr>
        <w:spacing w:line="276" w:lineRule="auto"/>
        <w:rPr>
          <w:rFonts w:asciiTheme="minorHAnsi" w:hAnsiTheme="minorHAnsi" w:cstheme="minorHAnsi"/>
          <w:b/>
        </w:rPr>
      </w:pPr>
    </w:p>
    <w:p w:rsidR="008F163E" w:rsidRPr="00335D2D" w:rsidRDefault="008F163E" w:rsidP="008F163E">
      <w:pPr>
        <w:spacing w:line="276" w:lineRule="auto"/>
        <w:rPr>
          <w:rFonts w:asciiTheme="minorHAnsi" w:hAnsiTheme="minorHAnsi" w:cstheme="minorHAnsi"/>
          <w:b/>
        </w:rPr>
      </w:pPr>
    </w:p>
    <w:p w:rsidR="008F163E" w:rsidRPr="00335D2D" w:rsidRDefault="008F163E" w:rsidP="008F163E">
      <w:pPr>
        <w:rPr>
          <w:rFonts w:asciiTheme="minorHAnsi" w:hAnsiTheme="minorHAnsi" w:cstheme="minorHAnsi"/>
        </w:rPr>
      </w:pPr>
    </w:p>
    <w:p w:rsidR="001B622C" w:rsidRDefault="001B622C" w:rsidP="008F163E">
      <w:pPr>
        <w:spacing w:line="360" w:lineRule="auto"/>
        <w:rPr>
          <w:rFonts w:asciiTheme="minorHAnsi" w:hAnsiTheme="minorHAnsi" w:cstheme="minorHAnsi"/>
          <w:b/>
        </w:rPr>
      </w:pPr>
    </w:p>
    <w:p w:rsidR="008F163E" w:rsidRPr="00BF39AB" w:rsidRDefault="00C560C9" w:rsidP="008F163E">
      <w:pPr>
        <w:spacing w:line="360" w:lineRule="auto"/>
        <w:rPr>
          <w:rFonts w:asciiTheme="minorHAnsi" w:hAnsiTheme="minorHAnsi" w:cstheme="minorHAnsi"/>
          <w:b/>
          <w:color w:val="996633"/>
        </w:rPr>
      </w:pPr>
      <w:r w:rsidRPr="00BF39AB">
        <w:rPr>
          <w:rFonts w:asciiTheme="minorHAnsi" w:hAnsiTheme="minorHAnsi" w:cstheme="minorHAnsi"/>
          <w:b/>
          <w:color w:val="996633"/>
        </w:rPr>
        <w:t>The impacts of climate action differ among countries</w:t>
      </w:r>
    </w:p>
    <w:p w:rsidR="001B622C" w:rsidRDefault="00C560C9" w:rsidP="00BF7A32">
      <w:pPr>
        <w:pStyle w:val="TableText"/>
        <w:spacing w:before="0" w:after="100" w:afterAutospacing="1" w:line="240" w:lineRule="auto"/>
        <w:rPr>
          <w:rFonts w:asciiTheme="minorHAnsi" w:hAnsiTheme="minorHAnsi" w:cstheme="minorHAnsi"/>
          <w:sz w:val="24"/>
        </w:rPr>
      </w:pPr>
      <w:r w:rsidRPr="00BF7A32">
        <w:rPr>
          <w:rFonts w:asciiTheme="minorHAnsi" w:hAnsiTheme="minorHAnsi" w:cstheme="minorHAnsi"/>
          <w:sz w:val="24"/>
        </w:rPr>
        <w:t xml:space="preserve">Countries’ post-2020 emission reduction targets have a </w:t>
      </w:r>
      <w:r w:rsidR="00C60E19">
        <w:rPr>
          <w:rFonts w:asciiTheme="minorHAnsi" w:hAnsiTheme="minorHAnsi" w:cstheme="minorHAnsi"/>
          <w:sz w:val="24"/>
        </w:rPr>
        <w:t>real</w:t>
      </w:r>
      <w:r w:rsidR="00C60E19" w:rsidRPr="00BF7A32">
        <w:rPr>
          <w:rFonts w:asciiTheme="minorHAnsi" w:hAnsiTheme="minorHAnsi" w:cstheme="minorHAnsi"/>
          <w:sz w:val="24"/>
        </w:rPr>
        <w:t xml:space="preserve"> </w:t>
      </w:r>
      <w:r w:rsidRPr="00BF7A32">
        <w:rPr>
          <w:rFonts w:asciiTheme="minorHAnsi" w:hAnsiTheme="minorHAnsi" w:cstheme="minorHAnsi"/>
          <w:sz w:val="24"/>
        </w:rPr>
        <w:t xml:space="preserve">impact on </w:t>
      </w:r>
      <w:r w:rsidR="00C60E19">
        <w:rPr>
          <w:rFonts w:asciiTheme="minorHAnsi" w:hAnsiTheme="minorHAnsi" w:cstheme="minorHAnsi"/>
          <w:sz w:val="24"/>
        </w:rPr>
        <w:t xml:space="preserve">their </w:t>
      </w:r>
      <w:r w:rsidRPr="00BF7A32">
        <w:rPr>
          <w:rFonts w:asciiTheme="minorHAnsi" w:hAnsiTheme="minorHAnsi" w:cstheme="minorHAnsi"/>
          <w:sz w:val="24"/>
        </w:rPr>
        <w:t>rates of growth</w:t>
      </w:r>
      <w:r w:rsidR="001B622C">
        <w:rPr>
          <w:rFonts w:asciiTheme="minorHAnsi" w:hAnsiTheme="minorHAnsi" w:cstheme="minorHAnsi"/>
          <w:sz w:val="24"/>
        </w:rPr>
        <w:t>,</w:t>
      </w:r>
      <w:r w:rsidRPr="00BF7A32">
        <w:rPr>
          <w:rFonts w:asciiTheme="minorHAnsi" w:hAnsiTheme="minorHAnsi" w:cstheme="minorHAnsi"/>
          <w:sz w:val="24"/>
        </w:rPr>
        <w:t xml:space="preserve"> the structure of their economies and </w:t>
      </w:r>
      <w:r w:rsidR="00C60E19">
        <w:rPr>
          <w:rFonts w:asciiTheme="minorHAnsi" w:hAnsiTheme="minorHAnsi" w:cstheme="minorHAnsi"/>
          <w:sz w:val="24"/>
        </w:rPr>
        <w:t xml:space="preserve">on </w:t>
      </w:r>
      <w:r w:rsidRPr="00BF7A32">
        <w:rPr>
          <w:rFonts w:asciiTheme="minorHAnsi" w:hAnsiTheme="minorHAnsi" w:cstheme="minorHAnsi"/>
          <w:sz w:val="24"/>
        </w:rPr>
        <w:t xml:space="preserve">the global economy. </w:t>
      </w:r>
    </w:p>
    <w:p w:rsidR="00C560C9" w:rsidRDefault="00C560C9" w:rsidP="00BF7A32">
      <w:pPr>
        <w:pStyle w:val="TableText"/>
        <w:spacing w:before="0" w:after="100" w:afterAutospacing="1" w:line="240" w:lineRule="auto"/>
        <w:rPr>
          <w:rFonts w:asciiTheme="minorHAnsi" w:hAnsiTheme="minorHAnsi" w:cstheme="minorHAnsi"/>
        </w:rPr>
      </w:pPr>
      <w:r w:rsidRPr="00BF7A32">
        <w:rPr>
          <w:rFonts w:asciiTheme="minorHAnsi" w:hAnsiTheme="minorHAnsi" w:cstheme="minorHAnsi"/>
          <w:sz w:val="24"/>
        </w:rPr>
        <w:t xml:space="preserve">Some countries’ targets imply a greater economic transition than others. </w:t>
      </w:r>
      <w:r w:rsidR="001212C3">
        <w:rPr>
          <w:rFonts w:asciiTheme="minorHAnsi" w:hAnsiTheme="minorHAnsi" w:cstheme="minorHAnsi"/>
          <w:sz w:val="24"/>
        </w:rPr>
        <w:t xml:space="preserve">Canada and </w:t>
      </w:r>
      <w:r w:rsidR="00EA5F81" w:rsidRPr="00BF7A32">
        <w:rPr>
          <w:rFonts w:asciiTheme="minorHAnsi" w:hAnsiTheme="minorHAnsi" w:cstheme="minorHAnsi"/>
          <w:sz w:val="24"/>
        </w:rPr>
        <w:t>China</w:t>
      </w:r>
      <w:r w:rsidRPr="00BF7A32">
        <w:rPr>
          <w:rFonts w:asciiTheme="minorHAnsi" w:hAnsiTheme="minorHAnsi" w:cstheme="minorHAnsi"/>
          <w:sz w:val="24"/>
        </w:rPr>
        <w:t xml:space="preserve">’s post-2020 targets are estimated to have the greater impact relative to the Current Policies </w:t>
      </w:r>
      <w:r w:rsidR="00F83103">
        <w:rPr>
          <w:rFonts w:asciiTheme="minorHAnsi" w:hAnsiTheme="minorHAnsi" w:cstheme="minorHAnsi"/>
          <w:sz w:val="24"/>
        </w:rPr>
        <w:t>Scenario</w:t>
      </w:r>
      <w:r w:rsidRPr="00BF7A32">
        <w:rPr>
          <w:rFonts w:asciiTheme="minorHAnsi" w:hAnsiTheme="minorHAnsi" w:cstheme="minorHAnsi"/>
          <w:sz w:val="24"/>
        </w:rPr>
        <w:t xml:space="preserve">. Other countries are estimated to have smaller impacts. The variation in impacts is explained by </w:t>
      </w:r>
      <w:r w:rsidR="00AE6B9A">
        <w:rPr>
          <w:rFonts w:asciiTheme="minorHAnsi" w:hAnsiTheme="minorHAnsi" w:cstheme="minorHAnsi"/>
          <w:sz w:val="24"/>
        </w:rPr>
        <w:t>underlying assumption</w:t>
      </w:r>
      <w:r w:rsidR="00C60E19">
        <w:rPr>
          <w:rFonts w:asciiTheme="minorHAnsi" w:hAnsiTheme="minorHAnsi" w:cstheme="minorHAnsi"/>
          <w:sz w:val="24"/>
        </w:rPr>
        <w:t>s</w:t>
      </w:r>
      <w:r w:rsidR="00AE6B9A">
        <w:rPr>
          <w:rFonts w:asciiTheme="minorHAnsi" w:hAnsiTheme="minorHAnsi" w:cstheme="minorHAnsi"/>
          <w:sz w:val="24"/>
        </w:rPr>
        <w:t xml:space="preserve"> about the effectiveness of current actions built into official projections out to 2020 as well economic factors such as underlying economic growth</w:t>
      </w:r>
      <w:r w:rsidR="001B622C">
        <w:rPr>
          <w:rFonts w:asciiTheme="minorHAnsi" w:hAnsiTheme="minorHAnsi" w:cstheme="minorHAnsi"/>
          <w:sz w:val="24"/>
        </w:rPr>
        <w:t>,</w:t>
      </w:r>
      <w:r w:rsidR="00AE6B9A">
        <w:rPr>
          <w:rFonts w:asciiTheme="minorHAnsi" w:hAnsiTheme="minorHAnsi" w:cstheme="minorHAnsi"/>
          <w:sz w:val="24"/>
        </w:rPr>
        <w:t xml:space="preserve"> the economic structures and endowments </w:t>
      </w:r>
      <w:r w:rsidR="001B622C">
        <w:rPr>
          <w:rFonts w:asciiTheme="minorHAnsi" w:hAnsiTheme="minorHAnsi" w:cstheme="minorHAnsi"/>
          <w:sz w:val="24"/>
        </w:rPr>
        <w:t xml:space="preserve">of different economies, </w:t>
      </w:r>
      <w:r w:rsidR="00AE6B9A">
        <w:rPr>
          <w:rFonts w:asciiTheme="minorHAnsi" w:hAnsiTheme="minorHAnsi" w:cstheme="minorHAnsi"/>
          <w:sz w:val="24"/>
        </w:rPr>
        <w:t xml:space="preserve">and </w:t>
      </w:r>
      <w:r w:rsidR="001B622C">
        <w:rPr>
          <w:rFonts w:asciiTheme="minorHAnsi" w:hAnsiTheme="minorHAnsi" w:cstheme="minorHAnsi"/>
          <w:sz w:val="24"/>
        </w:rPr>
        <w:t xml:space="preserve">their </w:t>
      </w:r>
      <w:r w:rsidR="00AE6B9A">
        <w:rPr>
          <w:rFonts w:asciiTheme="minorHAnsi" w:hAnsiTheme="minorHAnsi" w:cstheme="minorHAnsi"/>
          <w:sz w:val="24"/>
        </w:rPr>
        <w:t>emissions intensities</w:t>
      </w:r>
      <w:r w:rsidRPr="00BF7A32">
        <w:rPr>
          <w:rFonts w:asciiTheme="minorHAnsi" w:hAnsiTheme="minorHAnsi" w:cstheme="minorHAnsi"/>
          <w:sz w:val="24"/>
        </w:rPr>
        <w:t>.</w:t>
      </w:r>
    </w:p>
    <w:p w:rsidR="00407579" w:rsidRPr="00BF7A32" w:rsidRDefault="00407579" w:rsidP="00BF7A32">
      <w:pPr>
        <w:pStyle w:val="TableText"/>
        <w:spacing w:before="0" w:after="100" w:afterAutospacing="1" w:line="240" w:lineRule="auto"/>
        <w:rPr>
          <w:rFonts w:asciiTheme="minorHAnsi" w:hAnsiTheme="minorHAnsi" w:cstheme="minorHAnsi"/>
        </w:rPr>
      </w:pPr>
      <w:r>
        <w:rPr>
          <w:rFonts w:asciiTheme="minorHAnsi" w:hAnsiTheme="minorHAnsi" w:cstheme="minorHAnsi"/>
          <w:sz w:val="24"/>
        </w:rPr>
        <w:t xml:space="preserve">Sensitivity analysis shows that assumptions about </w:t>
      </w:r>
      <w:r w:rsidR="001B622C">
        <w:rPr>
          <w:rFonts w:asciiTheme="minorHAnsi" w:hAnsiTheme="minorHAnsi" w:cstheme="minorHAnsi"/>
          <w:sz w:val="24"/>
        </w:rPr>
        <w:t xml:space="preserve">emissions reduction </w:t>
      </w:r>
      <w:r>
        <w:rPr>
          <w:rFonts w:asciiTheme="minorHAnsi" w:hAnsiTheme="minorHAnsi" w:cstheme="minorHAnsi"/>
          <w:sz w:val="24"/>
        </w:rPr>
        <w:t>costs can have a significant influence on the estimated impacts of post-2020 targets.</w:t>
      </w:r>
    </w:p>
    <w:p w:rsidR="00C560C9" w:rsidRPr="00BF39AB" w:rsidRDefault="00C560C9" w:rsidP="00C560C9">
      <w:pPr>
        <w:spacing w:line="360" w:lineRule="auto"/>
        <w:rPr>
          <w:rFonts w:asciiTheme="minorHAnsi" w:hAnsiTheme="minorHAnsi" w:cstheme="minorHAnsi"/>
          <w:b/>
          <w:color w:val="996633"/>
        </w:rPr>
      </w:pPr>
      <w:r w:rsidRPr="00BF39AB">
        <w:rPr>
          <w:rFonts w:asciiTheme="minorHAnsi" w:hAnsiTheme="minorHAnsi" w:cstheme="minorHAnsi"/>
          <w:b/>
          <w:color w:val="996633"/>
        </w:rPr>
        <w:t xml:space="preserve">The impacts </w:t>
      </w:r>
      <w:r w:rsidR="003D3BF8" w:rsidRPr="00BF39AB">
        <w:rPr>
          <w:rFonts w:asciiTheme="minorHAnsi" w:hAnsiTheme="minorHAnsi" w:cstheme="minorHAnsi"/>
          <w:b/>
          <w:color w:val="996633"/>
        </w:rPr>
        <w:t xml:space="preserve">on </w:t>
      </w:r>
      <w:r w:rsidRPr="00BF39AB">
        <w:rPr>
          <w:rFonts w:asciiTheme="minorHAnsi" w:hAnsiTheme="minorHAnsi" w:cstheme="minorHAnsi"/>
          <w:b/>
          <w:color w:val="996633"/>
        </w:rPr>
        <w:t xml:space="preserve">Australia </w:t>
      </w:r>
    </w:p>
    <w:p w:rsidR="003D3BF8" w:rsidRPr="001212C3" w:rsidRDefault="00C560C9" w:rsidP="00BF7A32">
      <w:pPr>
        <w:pStyle w:val="TableText"/>
        <w:spacing w:before="0" w:after="100" w:afterAutospacing="1" w:line="240" w:lineRule="auto"/>
        <w:rPr>
          <w:rFonts w:asciiTheme="minorHAnsi" w:hAnsiTheme="minorHAnsi" w:cstheme="minorHAnsi"/>
          <w:sz w:val="24"/>
        </w:rPr>
      </w:pPr>
      <w:r w:rsidRPr="00BF7A32">
        <w:rPr>
          <w:rFonts w:asciiTheme="minorHAnsi" w:hAnsiTheme="minorHAnsi" w:cstheme="minorHAnsi"/>
          <w:sz w:val="24"/>
        </w:rPr>
        <w:t>A significant proportion of Australia’s wealth is derived from our high level of integration with the global economy, particularly through our energy exports. We also</w:t>
      </w:r>
      <w:r w:rsidR="00C60E19">
        <w:rPr>
          <w:rFonts w:asciiTheme="minorHAnsi" w:hAnsiTheme="minorHAnsi" w:cstheme="minorHAnsi"/>
          <w:sz w:val="24"/>
        </w:rPr>
        <w:t xml:space="preserve"> rely on </w:t>
      </w:r>
      <w:r w:rsidRPr="00BF7A32">
        <w:rPr>
          <w:rFonts w:asciiTheme="minorHAnsi" w:hAnsiTheme="minorHAnsi" w:cstheme="minorHAnsi"/>
          <w:sz w:val="24"/>
        </w:rPr>
        <w:t xml:space="preserve">durable manufacture imports. </w:t>
      </w:r>
      <w:r w:rsidR="00C60E19">
        <w:rPr>
          <w:rFonts w:asciiTheme="minorHAnsi" w:hAnsiTheme="minorHAnsi" w:cstheme="minorHAnsi"/>
          <w:sz w:val="24"/>
        </w:rPr>
        <w:t xml:space="preserve">We are therefore </w:t>
      </w:r>
      <w:r w:rsidRPr="00BF7A32">
        <w:rPr>
          <w:rFonts w:asciiTheme="minorHAnsi" w:hAnsiTheme="minorHAnsi" w:cstheme="minorHAnsi"/>
          <w:sz w:val="24"/>
        </w:rPr>
        <w:t xml:space="preserve">subject to the impacts of </w:t>
      </w:r>
      <w:r w:rsidR="00C60E19">
        <w:rPr>
          <w:rFonts w:asciiTheme="minorHAnsi" w:hAnsiTheme="minorHAnsi" w:cstheme="minorHAnsi"/>
          <w:sz w:val="24"/>
        </w:rPr>
        <w:t xml:space="preserve">international </w:t>
      </w:r>
      <w:r w:rsidRPr="00BF7A32">
        <w:rPr>
          <w:rFonts w:asciiTheme="minorHAnsi" w:hAnsiTheme="minorHAnsi" w:cstheme="minorHAnsi"/>
          <w:sz w:val="24"/>
        </w:rPr>
        <w:t xml:space="preserve">climate </w:t>
      </w:r>
      <w:r w:rsidR="00C60E19">
        <w:rPr>
          <w:rFonts w:asciiTheme="minorHAnsi" w:hAnsiTheme="minorHAnsi" w:cstheme="minorHAnsi"/>
          <w:sz w:val="24"/>
        </w:rPr>
        <w:t xml:space="preserve">measures </w:t>
      </w:r>
      <w:r w:rsidRPr="00BF7A32">
        <w:rPr>
          <w:rFonts w:asciiTheme="minorHAnsi" w:hAnsiTheme="minorHAnsi" w:cstheme="minorHAnsi"/>
          <w:sz w:val="24"/>
        </w:rPr>
        <w:t xml:space="preserve">on the global economy. </w:t>
      </w:r>
    </w:p>
    <w:p w:rsidR="00B34A88" w:rsidRPr="001212C3" w:rsidRDefault="00C60E19" w:rsidP="001212C3">
      <w:pPr>
        <w:pStyle w:val="TableText"/>
        <w:spacing w:before="0" w:after="100" w:afterAutospacing="1" w:line="240" w:lineRule="auto"/>
        <w:rPr>
          <w:rFonts w:asciiTheme="minorHAnsi" w:hAnsiTheme="minorHAnsi" w:cstheme="minorHAnsi"/>
          <w:sz w:val="24"/>
        </w:rPr>
      </w:pPr>
      <w:r>
        <w:rPr>
          <w:rFonts w:asciiTheme="minorHAnsi" w:hAnsiTheme="minorHAnsi" w:cstheme="minorHAnsi"/>
          <w:sz w:val="24"/>
        </w:rPr>
        <w:t xml:space="preserve">Nonetheless, </w:t>
      </w:r>
      <w:r w:rsidR="00C560C9" w:rsidRPr="00BF7A32">
        <w:rPr>
          <w:rFonts w:asciiTheme="minorHAnsi" w:hAnsiTheme="minorHAnsi" w:cstheme="minorHAnsi"/>
          <w:sz w:val="24"/>
        </w:rPr>
        <w:t xml:space="preserve">Australia </w:t>
      </w:r>
      <w:r w:rsidR="00CF367C" w:rsidRPr="00BF7A32">
        <w:rPr>
          <w:rFonts w:asciiTheme="minorHAnsi" w:hAnsiTheme="minorHAnsi" w:cstheme="minorHAnsi"/>
          <w:sz w:val="24"/>
        </w:rPr>
        <w:t xml:space="preserve">is expected to </w:t>
      </w:r>
      <w:r w:rsidR="00C560C9" w:rsidRPr="00BF7A32">
        <w:rPr>
          <w:rFonts w:asciiTheme="minorHAnsi" w:hAnsiTheme="minorHAnsi" w:cstheme="minorHAnsi"/>
          <w:sz w:val="24"/>
        </w:rPr>
        <w:t xml:space="preserve">experience strong economic growth under both the Current Policies and Paris </w:t>
      </w:r>
      <w:r w:rsidR="00F83103">
        <w:rPr>
          <w:rFonts w:asciiTheme="minorHAnsi" w:hAnsiTheme="minorHAnsi" w:cstheme="minorHAnsi"/>
          <w:sz w:val="24"/>
        </w:rPr>
        <w:t>Scenario</w:t>
      </w:r>
      <w:r w:rsidR="00C560C9" w:rsidRPr="00BF7A32">
        <w:rPr>
          <w:rFonts w:asciiTheme="minorHAnsi" w:hAnsiTheme="minorHAnsi" w:cstheme="minorHAnsi"/>
          <w:sz w:val="24"/>
        </w:rPr>
        <w:t>s</w:t>
      </w:r>
      <w:r>
        <w:rPr>
          <w:rFonts w:asciiTheme="minorHAnsi" w:hAnsiTheme="minorHAnsi" w:cstheme="minorHAnsi"/>
          <w:sz w:val="24"/>
        </w:rPr>
        <w:t>, with an annual difference of some 0.01 per cent</w:t>
      </w:r>
      <w:r w:rsidR="00C560C9" w:rsidRPr="00BF7A32">
        <w:rPr>
          <w:rFonts w:asciiTheme="minorHAnsi" w:hAnsiTheme="minorHAnsi" w:cstheme="minorHAnsi"/>
          <w:sz w:val="24"/>
        </w:rPr>
        <w:t xml:space="preserve">. </w:t>
      </w:r>
      <w:r w:rsidR="00407579">
        <w:rPr>
          <w:rFonts w:asciiTheme="minorHAnsi" w:hAnsiTheme="minorHAnsi" w:cstheme="minorHAnsi"/>
          <w:sz w:val="24"/>
        </w:rPr>
        <w:t xml:space="preserve">By 2030, </w:t>
      </w:r>
      <w:r w:rsidR="00C560C9" w:rsidRPr="00BF7A32">
        <w:rPr>
          <w:rFonts w:asciiTheme="minorHAnsi" w:hAnsiTheme="minorHAnsi" w:cstheme="minorHAnsi"/>
          <w:sz w:val="24"/>
        </w:rPr>
        <w:t>Australia’s real GDP is forecast to be around 0.1</w:t>
      </w:r>
      <w:r w:rsidR="00202CDF" w:rsidRPr="00BF7A32">
        <w:rPr>
          <w:rFonts w:asciiTheme="minorHAnsi" w:hAnsiTheme="minorHAnsi" w:cstheme="minorHAnsi"/>
          <w:sz w:val="24"/>
        </w:rPr>
        <w:t>6</w:t>
      </w:r>
      <w:r w:rsidR="0034155A" w:rsidRPr="00BF7A32">
        <w:rPr>
          <w:rFonts w:asciiTheme="minorHAnsi" w:hAnsiTheme="minorHAnsi" w:cstheme="minorHAnsi"/>
          <w:sz w:val="24"/>
        </w:rPr>
        <w:t xml:space="preserve"> per cent </w:t>
      </w:r>
      <w:r w:rsidR="00C560C9" w:rsidRPr="00BF7A32">
        <w:rPr>
          <w:rFonts w:asciiTheme="minorHAnsi" w:hAnsiTheme="minorHAnsi" w:cstheme="minorHAnsi"/>
          <w:sz w:val="24"/>
        </w:rPr>
        <w:t xml:space="preserve">lower in the </w:t>
      </w:r>
      <w:r w:rsidR="008A1F97" w:rsidRPr="00BF7A32">
        <w:rPr>
          <w:rFonts w:asciiTheme="minorHAnsi" w:hAnsiTheme="minorHAnsi" w:cstheme="minorHAnsi"/>
          <w:sz w:val="24"/>
        </w:rPr>
        <w:t>Paris Scenario</w:t>
      </w:r>
      <w:r w:rsidR="00C560C9" w:rsidRPr="00BF7A32">
        <w:rPr>
          <w:rFonts w:asciiTheme="minorHAnsi" w:hAnsiTheme="minorHAnsi" w:cstheme="minorHAnsi"/>
          <w:sz w:val="24"/>
        </w:rPr>
        <w:t xml:space="preserve"> than in the Current Policies Scenario</w:t>
      </w:r>
      <w:r w:rsidR="00407579">
        <w:rPr>
          <w:rFonts w:asciiTheme="minorHAnsi" w:hAnsiTheme="minorHAnsi" w:cstheme="minorHAnsi"/>
          <w:sz w:val="24"/>
        </w:rPr>
        <w:t>.</w:t>
      </w:r>
      <w:r w:rsidR="00CF367C" w:rsidRPr="00BF7A32">
        <w:rPr>
          <w:rFonts w:asciiTheme="minorHAnsi" w:hAnsiTheme="minorHAnsi" w:cstheme="minorHAnsi"/>
          <w:sz w:val="24"/>
        </w:rPr>
        <w:t xml:space="preserve"> </w:t>
      </w:r>
      <w:r w:rsidR="00407579">
        <w:rPr>
          <w:rFonts w:asciiTheme="minorHAnsi" w:hAnsiTheme="minorHAnsi" w:cstheme="minorHAnsi"/>
          <w:sz w:val="24"/>
        </w:rPr>
        <w:t xml:space="preserve">Under the Paris </w:t>
      </w:r>
      <w:r w:rsidR="00F83103">
        <w:rPr>
          <w:rFonts w:asciiTheme="minorHAnsi" w:hAnsiTheme="minorHAnsi" w:cstheme="minorHAnsi"/>
          <w:sz w:val="24"/>
        </w:rPr>
        <w:t>Scenario</w:t>
      </w:r>
      <w:r w:rsidR="00407579">
        <w:rPr>
          <w:rFonts w:asciiTheme="minorHAnsi" w:hAnsiTheme="minorHAnsi" w:cstheme="minorHAnsi"/>
          <w:sz w:val="24"/>
        </w:rPr>
        <w:t xml:space="preserve">, the Australian economy is projected to grow at an average of </w:t>
      </w:r>
      <w:r w:rsidR="00CF367C" w:rsidRPr="00BF7A32">
        <w:rPr>
          <w:rFonts w:asciiTheme="minorHAnsi" w:hAnsiTheme="minorHAnsi" w:cstheme="minorHAnsi"/>
          <w:sz w:val="24"/>
        </w:rPr>
        <w:t>2.</w:t>
      </w:r>
      <w:r w:rsidR="009A23E1">
        <w:rPr>
          <w:rFonts w:asciiTheme="minorHAnsi" w:hAnsiTheme="minorHAnsi" w:cstheme="minorHAnsi"/>
          <w:sz w:val="24"/>
        </w:rPr>
        <w:t>21</w:t>
      </w:r>
      <w:r w:rsidR="0034155A" w:rsidRPr="00BF7A32">
        <w:rPr>
          <w:rFonts w:asciiTheme="minorHAnsi" w:hAnsiTheme="minorHAnsi" w:cstheme="minorHAnsi"/>
          <w:sz w:val="24"/>
        </w:rPr>
        <w:t xml:space="preserve"> per cent </w:t>
      </w:r>
      <w:r w:rsidR="00407579">
        <w:rPr>
          <w:rFonts w:asciiTheme="minorHAnsi" w:hAnsiTheme="minorHAnsi" w:cstheme="minorHAnsi"/>
          <w:sz w:val="24"/>
        </w:rPr>
        <w:t>a year</w:t>
      </w:r>
      <w:r w:rsidR="00CF367C" w:rsidRPr="00BF7A32">
        <w:rPr>
          <w:rFonts w:asciiTheme="minorHAnsi" w:hAnsiTheme="minorHAnsi" w:cstheme="minorHAnsi"/>
          <w:sz w:val="24"/>
        </w:rPr>
        <w:t xml:space="preserve"> </w:t>
      </w:r>
      <w:r w:rsidR="009A23E1">
        <w:rPr>
          <w:rFonts w:asciiTheme="minorHAnsi" w:hAnsiTheme="minorHAnsi" w:cstheme="minorHAnsi"/>
          <w:sz w:val="24"/>
        </w:rPr>
        <w:t xml:space="preserve">from 2020 to </w:t>
      </w:r>
      <w:r w:rsidR="00CF367C" w:rsidRPr="00BF7A32">
        <w:rPr>
          <w:rFonts w:asciiTheme="minorHAnsi" w:hAnsiTheme="minorHAnsi" w:cstheme="minorHAnsi"/>
          <w:sz w:val="24"/>
        </w:rPr>
        <w:t>2030</w:t>
      </w:r>
      <w:r w:rsidR="00407579">
        <w:rPr>
          <w:rFonts w:asciiTheme="minorHAnsi" w:hAnsiTheme="minorHAnsi" w:cstheme="minorHAnsi"/>
          <w:sz w:val="24"/>
        </w:rPr>
        <w:t>,</w:t>
      </w:r>
      <w:r w:rsidR="00CF367C" w:rsidRPr="00BF7A32">
        <w:rPr>
          <w:rFonts w:asciiTheme="minorHAnsi" w:hAnsiTheme="minorHAnsi" w:cstheme="minorHAnsi"/>
          <w:sz w:val="24"/>
        </w:rPr>
        <w:t xml:space="preserve"> compared with 2.</w:t>
      </w:r>
      <w:r w:rsidR="009A23E1">
        <w:rPr>
          <w:rFonts w:asciiTheme="minorHAnsi" w:hAnsiTheme="minorHAnsi" w:cstheme="minorHAnsi"/>
          <w:sz w:val="24"/>
        </w:rPr>
        <w:t>22</w:t>
      </w:r>
      <w:r w:rsidR="0034155A" w:rsidRPr="00BF7A32">
        <w:rPr>
          <w:rFonts w:asciiTheme="minorHAnsi" w:hAnsiTheme="minorHAnsi" w:cstheme="minorHAnsi"/>
          <w:sz w:val="24"/>
        </w:rPr>
        <w:t xml:space="preserve"> per cent </w:t>
      </w:r>
      <w:r w:rsidR="009A23E1">
        <w:rPr>
          <w:rFonts w:asciiTheme="minorHAnsi" w:hAnsiTheme="minorHAnsi" w:cstheme="minorHAnsi"/>
          <w:sz w:val="24"/>
        </w:rPr>
        <w:t xml:space="preserve">a year </w:t>
      </w:r>
      <w:r w:rsidR="00CF367C" w:rsidRPr="00BF7A32">
        <w:rPr>
          <w:rFonts w:asciiTheme="minorHAnsi" w:hAnsiTheme="minorHAnsi" w:cstheme="minorHAnsi"/>
          <w:sz w:val="24"/>
        </w:rPr>
        <w:t>under Current Policies.</w:t>
      </w:r>
      <w:r w:rsidR="00B34A88" w:rsidRPr="001212C3">
        <w:rPr>
          <w:rFonts w:asciiTheme="minorHAnsi" w:hAnsiTheme="minorHAnsi" w:cstheme="minorHAnsi"/>
          <w:sz w:val="24"/>
        </w:rPr>
        <w:br w:type="page"/>
      </w:r>
    </w:p>
    <w:p w:rsidR="002F5BC8" w:rsidRPr="00C32F93" w:rsidRDefault="00053E94" w:rsidP="00D03EEE">
      <w:pPr>
        <w:rPr>
          <w:rFonts w:asciiTheme="minorHAnsi" w:hAnsiTheme="minorHAnsi" w:cstheme="minorHAnsi"/>
          <w:b/>
          <w:color w:val="996633"/>
          <w:sz w:val="40"/>
        </w:rPr>
      </w:pPr>
      <w:r w:rsidRPr="00C32F93">
        <w:rPr>
          <w:rFonts w:asciiTheme="minorHAnsi" w:hAnsiTheme="minorHAnsi" w:cstheme="minorHAnsi"/>
          <w:b/>
          <w:color w:val="996633"/>
          <w:sz w:val="40"/>
        </w:rPr>
        <w:lastRenderedPageBreak/>
        <w:t xml:space="preserve">APPENDIX </w:t>
      </w:r>
      <w:r w:rsidR="00E8630A" w:rsidRPr="00C32F93">
        <w:rPr>
          <w:rFonts w:asciiTheme="minorHAnsi" w:hAnsiTheme="minorHAnsi" w:cstheme="minorHAnsi"/>
          <w:b/>
          <w:color w:val="996633"/>
          <w:sz w:val="40"/>
        </w:rPr>
        <w:t>A</w:t>
      </w:r>
      <w:r w:rsidR="002F5BC8" w:rsidRPr="00C32F93">
        <w:rPr>
          <w:rFonts w:asciiTheme="minorHAnsi" w:hAnsiTheme="minorHAnsi" w:cstheme="minorHAnsi"/>
          <w:b/>
          <w:color w:val="996633"/>
          <w:sz w:val="40"/>
        </w:rPr>
        <w:t xml:space="preserve">: </w:t>
      </w:r>
    </w:p>
    <w:p w:rsidR="00D03EEE" w:rsidRPr="00C32F93" w:rsidRDefault="002F5BC8" w:rsidP="00E10A53">
      <w:pPr>
        <w:spacing w:after="360"/>
        <w:rPr>
          <w:rFonts w:asciiTheme="minorHAnsi" w:hAnsiTheme="minorHAnsi" w:cstheme="minorHAnsi"/>
          <w:b/>
          <w:color w:val="996633"/>
          <w:sz w:val="40"/>
        </w:rPr>
      </w:pPr>
      <w:r w:rsidRPr="00C32F93">
        <w:rPr>
          <w:rFonts w:asciiTheme="minorHAnsi" w:hAnsiTheme="minorHAnsi" w:cstheme="minorHAnsi"/>
          <w:b/>
          <w:color w:val="996633"/>
          <w:sz w:val="40"/>
        </w:rPr>
        <w:t>Announced and submitted post-2020 targets</w:t>
      </w:r>
    </w:p>
    <w:p w:rsidR="00E10A53" w:rsidRPr="00E10A53" w:rsidRDefault="00E10A53" w:rsidP="00E10A53">
      <w:pPr>
        <w:pStyle w:val="TableText"/>
        <w:spacing w:before="0" w:after="100" w:afterAutospacing="1" w:line="240" w:lineRule="auto"/>
        <w:rPr>
          <w:rFonts w:asciiTheme="minorHAnsi" w:hAnsiTheme="minorHAnsi" w:cstheme="minorHAnsi"/>
          <w:sz w:val="24"/>
        </w:rPr>
      </w:pPr>
      <w:r>
        <w:rPr>
          <w:rFonts w:asciiTheme="minorHAnsi" w:hAnsiTheme="minorHAnsi" w:cstheme="minorHAnsi"/>
          <w:sz w:val="24"/>
        </w:rPr>
        <w:t>Table A-1 shows countries announced and submitted post-2020 targets. The table does not represent the targets modelled.</w:t>
      </w:r>
    </w:p>
    <w:p w:rsidR="00832CA6" w:rsidRPr="00192168" w:rsidRDefault="00832CA6" w:rsidP="00832CA6">
      <w:pPr>
        <w:rPr>
          <w:rFonts w:asciiTheme="minorHAnsi" w:hAnsiTheme="minorHAnsi" w:cstheme="minorHAnsi"/>
          <w:color w:val="4F81BD" w:themeColor="accent1"/>
        </w:rPr>
      </w:pPr>
      <w:r w:rsidRPr="00192168">
        <w:rPr>
          <w:rFonts w:asciiTheme="minorHAnsi" w:hAnsiTheme="minorHAnsi" w:cstheme="minorHAnsi"/>
          <w:b/>
          <w:color w:val="4F81BD" w:themeColor="accent1"/>
        </w:rPr>
        <w:t>Table A-1</w:t>
      </w:r>
      <w:r w:rsidR="004650A6" w:rsidRPr="00192168">
        <w:rPr>
          <w:rFonts w:asciiTheme="minorHAnsi" w:hAnsiTheme="minorHAnsi" w:cstheme="minorHAnsi"/>
          <w:b/>
          <w:color w:val="4F81BD" w:themeColor="accent1"/>
        </w:rPr>
        <w:t>:</w:t>
      </w:r>
      <w:r w:rsidRPr="00192168">
        <w:rPr>
          <w:rFonts w:asciiTheme="minorHAnsi" w:hAnsiTheme="minorHAnsi" w:cstheme="minorHAnsi"/>
          <w:color w:val="4F81BD" w:themeColor="accent1"/>
        </w:rPr>
        <w:t xml:space="preserve"> Parties that have submitted post-2020 targets to the UNFCCC as at</w:t>
      </w:r>
      <w:r w:rsidR="0050472B">
        <w:rPr>
          <w:rFonts w:asciiTheme="minorHAnsi" w:hAnsiTheme="minorHAnsi" w:cstheme="minorHAnsi"/>
          <w:color w:val="4F81BD" w:themeColor="accent1"/>
        </w:rPr>
        <w:t xml:space="preserve"> 11 August 2015</w:t>
      </w:r>
      <w:r w:rsidRPr="00192168">
        <w:rPr>
          <w:rFonts w:asciiTheme="minorHAnsi" w:hAnsiTheme="minorHAnsi" w:cstheme="minorHAnsi"/>
          <w:color w:val="4F81BD" w:themeColor="accent1"/>
        </w:rPr>
        <w:t>.</w:t>
      </w:r>
    </w:p>
    <w:tbl>
      <w:tblPr>
        <w:tblStyle w:val="LightList-Accent1"/>
        <w:tblW w:w="8364" w:type="dxa"/>
        <w:tblInd w:w="108" w:type="dxa"/>
        <w:tblBorders>
          <w:top w:val="single" w:sz="8" w:space="0" w:color="996633"/>
          <w:left w:val="single" w:sz="8" w:space="0" w:color="996633"/>
          <w:bottom w:val="single" w:sz="8" w:space="0" w:color="996633"/>
          <w:right w:val="single" w:sz="8" w:space="0" w:color="996633"/>
          <w:insideH w:val="single" w:sz="8" w:space="0" w:color="996633"/>
        </w:tblBorders>
        <w:tblLook w:val="04A0" w:firstRow="1" w:lastRow="0" w:firstColumn="1" w:lastColumn="0" w:noHBand="0" w:noVBand="1"/>
      </w:tblPr>
      <w:tblGrid>
        <w:gridCol w:w="1735"/>
        <w:gridCol w:w="6629"/>
      </w:tblGrid>
      <w:tr w:rsidR="00F32CA7" w:rsidRPr="00A85638" w:rsidTr="008B576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shd w:val="clear" w:color="auto" w:fill="996633"/>
            <w:hideMark/>
          </w:tcPr>
          <w:p w:rsidR="00F32CA7" w:rsidRPr="00A85638" w:rsidRDefault="00F32CA7" w:rsidP="00690E20">
            <w:pPr>
              <w:rPr>
                <w:rFonts w:ascii="Calibri" w:hAnsi="Calibri" w:cs="Calibri"/>
                <w:lang w:eastAsia="en-AU"/>
              </w:rPr>
            </w:pPr>
            <w:r w:rsidRPr="00A85638">
              <w:rPr>
                <w:rFonts w:ascii="Calibri" w:hAnsi="Calibri" w:cs="Calibri"/>
                <w:lang w:eastAsia="en-AU"/>
              </w:rPr>
              <w:t>Party</w:t>
            </w:r>
          </w:p>
        </w:tc>
        <w:tc>
          <w:tcPr>
            <w:tcW w:w="6629" w:type="dxa"/>
            <w:shd w:val="clear" w:color="auto" w:fill="996633"/>
            <w:hideMark/>
          </w:tcPr>
          <w:p w:rsidR="00F32CA7" w:rsidRPr="00A85638" w:rsidRDefault="00F32CA7" w:rsidP="00690E20">
            <w:pPr>
              <w:cnfStyle w:val="100000000000" w:firstRow="1" w:lastRow="0" w:firstColumn="0" w:lastColumn="0" w:oddVBand="0" w:evenVBand="0" w:oddHBand="0" w:evenHBand="0" w:firstRowFirstColumn="0" w:firstRowLastColumn="0" w:lastRowFirstColumn="0" w:lastRowLastColumn="0"/>
              <w:rPr>
                <w:rFonts w:ascii="Calibri" w:hAnsi="Calibri" w:cs="Calibri"/>
                <w:lang w:eastAsia="en-AU"/>
              </w:rPr>
            </w:pPr>
            <w:r w:rsidRPr="00A85638">
              <w:rPr>
                <w:rFonts w:ascii="Calibri" w:hAnsi="Calibri" w:cs="Calibri"/>
                <w:lang w:eastAsia="en-AU"/>
              </w:rPr>
              <w:t>Description of post-2020 target</w:t>
            </w:r>
          </w:p>
        </w:tc>
      </w:tr>
      <w:tr w:rsidR="00656FF9"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tcPr>
          <w:p w:rsidR="00656FF9" w:rsidRPr="00BF39AB" w:rsidRDefault="00656FF9" w:rsidP="00656FF9">
            <w:pPr>
              <w:rPr>
                <w:rFonts w:ascii="Calibri" w:hAnsi="Calibri" w:cs="Calibri"/>
                <w:color w:val="4F81BD" w:themeColor="accent1"/>
                <w:vertAlign w:val="superscript"/>
                <w:lang w:eastAsia="en-AU"/>
              </w:rPr>
            </w:pPr>
            <w:r w:rsidRPr="00BF39AB">
              <w:rPr>
                <w:rFonts w:ascii="Calibri" w:hAnsi="Calibri" w:cs="Calibri"/>
                <w:color w:val="4F81BD" w:themeColor="accent1"/>
                <w:lang w:eastAsia="en-AU"/>
              </w:rPr>
              <w:t>Australia</w:t>
            </w:r>
          </w:p>
        </w:tc>
        <w:tc>
          <w:tcPr>
            <w:tcW w:w="6629" w:type="dxa"/>
            <w:tcBorders>
              <w:top w:val="none" w:sz="0" w:space="0" w:color="auto"/>
              <w:bottom w:val="none" w:sz="0" w:space="0" w:color="auto"/>
              <w:right w:val="none" w:sz="0" w:space="0" w:color="auto"/>
            </w:tcBorders>
          </w:tcPr>
          <w:p w:rsidR="00656FF9" w:rsidRPr="00BF39AB" w:rsidRDefault="00656FF9"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26</w:t>
            </w:r>
            <w:r w:rsidR="00B51C5E">
              <w:rPr>
                <w:rFonts w:ascii="Calibri" w:hAnsi="Calibri" w:cs="Calibri"/>
                <w:color w:val="4F81BD" w:themeColor="accent1"/>
                <w:lang w:eastAsia="en-AU"/>
              </w:rPr>
              <w:t>-28</w:t>
            </w:r>
            <w:r w:rsidRPr="00BF39AB">
              <w:rPr>
                <w:rFonts w:ascii="Calibri" w:hAnsi="Calibri" w:cs="Calibri"/>
                <w:color w:val="4F81BD" w:themeColor="accent1"/>
                <w:lang w:eastAsia="en-AU"/>
              </w:rPr>
              <w:t xml:space="preserve"> per cent below 2005 levels by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USA</w:t>
            </w:r>
          </w:p>
        </w:tc>
        <w:tc>
          <w:tcPr>
            <w:tcW w:w="6629" w:type="dxa"/>
            <w:hideMark/>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26-28 per cent below 2005 levels by 2025</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China</w:t>
            </w:r>
          </w:p>
        </w:tc>
        <w:tc>
          <w:tcPr>
            <w:tcW w:w="6629" w:type="dxa"/>
            <w:tcBorders>
              <w:top w:val="none" w:sz="0" w:space="0" w:color="auto"/>
              <w:bottom w:val="none" w:sz="0" w:space="0" w:color="auto"/>
              <w:right w:val="none" w:sz="0" w:space="0" w:color="auto"/>
            </w:tcBorders>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60-65 per cent reduction in carbon intensity from 2005 levels by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EU28</w:t>
            </w:r>
          </w:p>
        </w:tc>
        <w:tc>
          <w:tcPr>
            <w:tcW w:w="6629" w:type="dxa"/>
            <w:hideMark/>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40 per cent below 1990 levels by 2030</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Japan</w:t>
            </w:r>
          </w:p>
        </w:tc>
        <w:tc>
          <w:tcPr>
            <w:tcW w:w="6629" w:type="dxa"/>
            <w:tcBorders>
              <w:top w:val="none" w:sz="0" w:space="0" w:color="auto"/>
              <w:bottom w:val="none" w:sz="0" w:space="0" w:color="auto"/>
              <w:right w:val="none" w:sz="0" w:space="0" w:color="auto"/>
            </w:tcBorders>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26 per cent below 2013 levels by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Canada</w:t>
            </w:r>
          </w:p>
        </w:tc>
        <w:tc>
          <w:tcPr>
            <w:tcW w:w="6629" w:type="dxa"/>
            <w:hideMark/>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30 per cent below 2005 levels by 2030</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New Zealand</w:t>
            </w:r>
          </w:p>
        </w:tc>
        <w:tc>
          <w:tcPr>
            <w:tcW w:w="6629" w:type="dxa"/>
            <w:tcBorders>
              <w:top w:val="none" w:sz="0" w:space="0" w:color="auto"/>
              <w:bottom w:val="none" w:sz="0" w:space="0" w:color="auto"/>
              <w:right w:val="none" w:sz="0" w:space="0" w:color="auto"/>
            </w:tcBorders>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30 per cent below 2005 levels by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Andorra</w:t>
            </w:r>
          </w:p>
        </w:tc>
        <w:tc>
          <w:tcPr>
            <w:tcW w:w="6629" w:type="dxa"/>
            <w:hideMark/>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37 per cent below a business-as-usual scenario in 2030</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Ethiopia</w:t>
            </w:r>
          </w:p>
        </w:tc>
        <w:tc>
          <w:tcPr>
            <w:tcW w:w="6629" w:type="dxa"/>
            <w:tcBorders>
              <w:top w:val="none" w:sz="0" w:space="0" w:color="auto"/>
              <w:bottom w:val="none" w:sz="0" w:space="0" w:color="auto"/>
              <w:right w:val="none" w:sz="0" w:space="0" w:color="auto"/>
            </w:tcBorders>
            <w:hideMark/>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64 per cent below a business-as-usual scenario in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Gabon</w:t>
            </w:r>
          </w:p>
        </w:tc>
        <w:tc>
          <w:tcPr>
            <w:tcW w:w="6629" w:type="dxa"/>
            <w:hideMark/>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50 per cent below a business-as-usual scenario in 2025</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Iceland</w:t>
            </w:r>
          </w:p>
        </w:tc>
        <w:tc>
          <w:tcPr>
            <w:tcW w:w="6629" w:type="dxa"/>
            <w:tcBorders>
              <w:top w:val="none" w:sz="0" w:space="0" w:color="auto"/>
              <w:bottom w:val="none" w:sz="0" w:space="0" w:color="auto"/>
              <w:right w:val="none" w:sz="0" w:space="0" w:color="auto"/>
            </w:tcBorders>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40 per cent below 1990 levels by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Kenya</w:t>
            </w:r>
          </w:p>
        </w:tc>
        <w:tc>
          <w:tcPr>
            <w:tcW w:w="6629" w:type="dxa"/>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30 per cent below a business-as-usual scenario in 2030</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 xml:space="preserve">Liechtenstein </w:t>
            </w:r>
          </w:p>
        </w:tc>
        <w:tc>
          <w:tcPr>
            <w:tcW w:w="6629" w:type="dxa"/>
            <w:tcBorders>
              <w:top w:val="none" w:sz="0" w:space="0" w:color="auto"/>
              <w:bottom w:val="none" w:sz="0" w:space="0" w:color="auto"/>
              <w:right w:val="none" w:sz="0" w:space="0" w:color="auto"/>
            </w:tcBorders>
            <w:hideMark/>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40 per cent below 1990 levels by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Marshall Islands</w:t>
            </w:r>
          </w:p>
        </w:tc>
        <w:tc>
          <w:tcPr>
            <w:tcW w:w="6629" w:type="dxa"/>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32 per cent below 2010 levels by 2025</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Mexico</w:t>
            </w:r>
          </w:p>
        </w:tc>
        <w:tc>
          <w:tcPr>
            <w:tcW w:w="6629" w:type="dxa"/>
            <w:tcBorders>
              <w:top w:val="none" w:sz="0" w:space="0" w:color="auto"/>
              <w:bottom w:val="none" w:sz="0" w:space="0" w:color="auto"/>
              <w:right w:val="none" w:sz="0" w:space="0" w:color="auto"/>
            </w:tcBorders>
            <w:hideMark/>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22 per cent (up to 36 per cent) reduction against a business-as-usual scenario in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Monaco</w:t>
            </w:r>
          </w:p>
        </w:tc>
        <w:tc>
          <w:tcPr>
            <w:tcW w:w="6629" w:type="dxa"/>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50 per cent below 1990 levels by 2030</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Morocco</w:t>
            </w:r>
          </w:p>
        </w:tc>
        <w:tc>
          <w:tcPr>
            <w:tcW w:w="6629" w:type="dxa"/>
            <w:tcBorders>
              <w:top w:val="none" w:sz="0" w:space="0" w:color="auto"/>
              <w:bottom w:val="none" w:sz="0" w:space="0" w:color="auto"/>
              <w:right w:val="none" w:sz="0" w:space="0" w:color="auto"/>
            </w:tcBorders>
            <w:hideMark/>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13 per cent (up to 32 per cent) reduction against a business-as-usual scenario in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Norway</w:t>
            </w:r>
          </w:p>
        </w:tc>
        <w:tc>
          <w:tcPr>
            <w:tcW w:w="6629" w:type="dxa"/>
            <w:hideMark/>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40 per cent below 1990 levels by 2030</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Republic of Korea</w:t>
            </w:r>
          </w:p>
        </w:tc>
        <w:tc>
          <w:tcPr>
            <w:tcW w:w="6629" w:type="dxa"/>
            <w:tcBorders>
              <w:top w:val="none" w:sz="0" w:space="0" w:color="auto"/>
              <w:bottom w:val="none" w:sz="0" w:space="0" w:color="auto"/>
              <w:right w:val="none" w:sz="0" w:space="0" w:color="auto"/>
            </w:tcBorders>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37 per cent below a business-as-usual scenario in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Russia</w:t>
            </w:r>
          </w:p>
        </w:tc>
        <w:tc>
          <w:tcPr>
            <w:tcW w:w="6629" w:type="dxa"/>
            <w:hideMark/>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25-30 per cent below 1990 levels by 2030</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Serbia</w:t>
            </w:r>
          </w:p>
        </w:tc>
        <w:tc>
          <w:tcPr>
            <w:tcW w:w="6629" w:type="dxa"/>
            <w:tcBorders>
              <w:top w:val="none" w:sz="0" w:space="0" w:color="auto"/>
              <w:bottom w:val="none" w:sz="0" w:space="0" w:color="auto"/>
              <w:right w:val="none" w:sz="0" w:space="0" w:color="auto"/>
            </w:tcBorders>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9.8 per cent below 1990 levels by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lastRenderedPageBreak/>
              <w:t>Singapore</w:t>
            </w:r>
          </w:p>
        </w:tc>
        <w:tc>
          <w:tcPr>
            <w:tcW w:w="6629" w:type="dxa"/>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36 per cent reduction in carbon intensity from 2005 levels by 2030</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hideMark/>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Switzerland</w:t>
            </w:r>
          </w:p>
        </w:tc>
        <w:tc>
          <w:tcPr>
            <w:tcW w:w="6629" w:type="dxa"/>
            <w:tcBorders>
              <w:top w:val="none" w:sz="0" w:space="0" w:color="auto"/>
              <w:bottom w:val="none" w:sz="0" w:space="0" w:color="auto"/>
              <w:right w:val="none" w:sz="0" w:space="0" w:color="auto"/>
            </w:tcBorders>
            <w:hideMark/>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50 per cent below 1990 levels by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FYR Macedonia</w:t>
            </w:r>
          </w:p>
        </w:tc>
        <w:tc>
          <w:tcPr>
            <w:tcW w:w="6629" w:type="dxa"/>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30 per cent reduction in CO</w:t>
            </w:r>
            <w:r w:rsidRPr="00BF39AB">
              <w:rPr>
                <w:rFonts w:ascii="Calibri" w:hAnsi="Calibri" w:cs="Calibri"/>
                <w:color w:val="4F81BD" w:themeColor="accent1"/>
                <w:vertAlign w:val="subscript"/>
                <w:lang w:eastAsia="en-AU"/>
              </w:rPr>
              <w:t>2</w:t>
            </w:r>
            <w:r w:rsidRPr="00BF39AB">
              <w:rPr>
                <w:rFonts w:ascii="Calibri" w:hAnsi="Calibri" w:cs="Calibri"/>
                <w:color w:val="4F81BD" w:themeColor="accent1"/>
                <w:lang w:eastAsia="en-AU"/>
              </w:rPr>
              <w:t xml:space="preserve"> emissions against a business-as-usual scenario in 2030</w:t>
            </w:r>
          </w:p>
        </w:tc>
      </w:tr>
      <w:tr w:rsidR="00F32CA7" w:rsidRPr="00A85638" w:rsidTr="008B57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tcBorders>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Trinidad and Tobago</w:t>
            </w:r>
          </w:p>
        </w:tc>
        <w:tc>
          <w:tcPr>
            <w:tcW w:w="6629" w:type="dxa"/>
            <w:tcBorders>
              <w:top w:val="none" w:sz="0" w:space="0" w:color="auto"/>
              <w:bottom w:val="none" w:sz="0" w:space="0" w:color="auto"/>
              <w:right w:val="none" w:sz="0" w:space="0" w:color="auto"/>
            </w:tcBorders>
          </w:tcPr>
          <w:p w:rsidR="00F32CA7" w:rsidRPr="00BF39AB" w:rsidRDefault="00F32CA7" w:rsidP="00690E20">
            <w:pP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30 per cent reduction in public transportation emissions against a business-as-usual scenario in 2030</w:t>
            </w:r>
          </w:p>
        </w:tc>
      </w:tr>
      <w:tr w:rsidR="00F32CA7" w:rsidRPr="00A85638" w:rsidTr="008B576E">
        <w:trPr>
          <w:trHeight w:val="454"/>
        </w:trPr>
        <w:tc>
          <w:tcPr>
            <w:cnfStyle w:val="001000000000" w:firstRow="0" w:lastRow="0" w:firstColumn="1" w:lastColumn="0" w:oddVBand="0" w:evenVBand="0" w:oddHBand="0" w:evenHBand="0" w:firstRowFirstColumn="0" w:firstRowLastColumn="0" w:lastRowFirstColumn="0" w:lastRowLastColumn="0"/>
            <w:tcW w:w="1735" w:type="dxa"/>
          </w:tcPr>
          <w:p w:rsidR="00F32CA7" w:rsidRPr="00BF39AB" w:rsidRDefault="00F32CA7" w:rsidP="00690E20">
            <w:pPr>
              <w:rPr>
                <w:rFonts w:ascii="Calibri" w:hAnsi="Calibri" w:cs="Calibri"/>
                <w:color w:val="4F81BD" w:themeColor="accent1"/>
                <w:lang w:eastAsia="en-AU"/>
              </w:rPr>
            </w:pPr>
            <w:r w:rsidRPr="00BF39AB">
              <w:rPr>
                <w:rFonts w:ascii="Calibri" w:hAnsi="Calibri" w:cs="Calibri"/>
                <w:color w:val="4F81BD" w:themeColor="accent1"/>
                <w:lang w:eastAsia="en-AU"/>
              </w:rPr>
              <w:t>Benin</w:t>
            </w:r>
          </w:p>
        </w:tc>
        <w:tc>
          <w:tcPr>
            <w:tcW w:w="6629" w:type="dxa"/>
          </w:tcPr>
          <w:p w:rsidR="00F32CA7" w:rsidRPr="00BF39AB" w:rsidRDefault="00F32CA7" w:rsidP="00690E20">
            <w:pP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lang w:eastAsia="en-AU"/>
              </w:rPr>
            </w:pPr>
            <w:r w:rsidRPr="00BF39AB">
              <w:rPr>
                <w:rFonts w:ascii="Calibri" w:hAnsi="Calibri" w:cs="Calibri"/>
                <w:color w:val="4F81BD" w:themeColor="accent1"/>
                <w:lang w:eastAsia="en-AU"/>
              </w:rPr>
              <w:t>Sectoral reductions equalling 283Mt CO</w:t>
            </w:r>
            <w:r w:rsidRPr="00BF39AB">
              <w:rPr>
                <w:rFonts w:ascii="Calibri" w:hAnsi="Calibri" w:cs="Calibri"/>
                <w:color w:val="4F81BD" w:themeColor="accent1"/>
                <w:vertAlign w:val="subscript"/>
                <w:lang w:eastAsia="en-AU"/>
              </w:rPr>
              <w:t>2</w:t>
            </w:r>
            <w:r w:rsidRPr="00BF39AB">
              <w:rPr>
                <w:rFonts w:ascii="Calibri" w:hAnsi="Calibri" w:cs="Calibri"/>
                <w:color w:val="4F81BD" w:themeColor="accent1"/>
                <w:lang w:eastAsia="en-AU"/>
              </w:rPr>
              <w:t>-e (cumulative from 2020-2030) against a business-as-usual scenario in 2030</w:t>
            </w:r>
          </w:p>
        </w:tc>
      </w:tr>
    </w:tbl>
    <w:p w:rsidR="00ED2483" w:rsidRDefault="00ED2483">
      <w:pPr>
        <w:rPr>
          <w:rFonts w:asciiTheme="minorHAnsi" w:hAnsiTheme="minorHAnsi" w:cstheme="minorHAnsi"/>
          <w:b/>
        </w:rPr>
      </w:pPr>
      <w:r>
        <w:rPr>
          <w:rFonts w:asciiTheme="minorHAnsi" w:hAnsiTheme="minorHAnsi" w:cstheme="minorHAnsi"/>
          <w:b/>
        </w:rPr>
        <w:br w:type="page"/>
      </w:r>
    </w:p>
    <w:p w:rsidR="0078789A" w:rsidRPr="00C32F93" w:rsidRDefault="0078789A" w:rsidP="0078789A">
      <w:pPr>
        <w:rPr>
          <w:rFonts w:asciiTheme="minorHAnsi" w:hAnsiTheme="minorHAnsi" w:cstheme="minorHAnsi"/>
          <w:b/>
          <w:color w:val="996633"/>
          <w:sz w:val="40"/>
        </w:rPr>
      </w:pPr>
      <w:r w:rsidRPr="00C32F93">
        <w:rPr>
          <w:rFonts w:asciiTheme="minorHAnsi" w:hAnsiTheme="minorHAnsi" w:cstheme="minorHAnsi"/>
          <w:b/>
          <w:color w:val="996633"/>
          <w:sz w:val="40"/>
        </w:rPr>
        <w:lastRenderedPageBreak/>
        <w:t>APPENDIX B:</w:t>
      </w:r>
    </w:p>
    <w:p w:rsidR="0078789A" w:rsidRPr="00C32F93" w:rsidRDefault="0078789A" w:rsidP="0078789A">
      <w:pPr>
        <w:rPr>
          <w:rFonts w:asciiTheme="minorHAnsi" w:hAnsiTheme="minorHAnsi" w:cstheme="minorHAnsi"/>
          <w:b/>
          <w:color w:val="996633"/>
          <w:sz w:val="40"/>
        </w:rPr>
      </w:pPr>
      <w:r w:rsidRPr="00C32F93">
        <w:rPr>
          <w:rFonts w:asciiTheme="minorHAnsi" w:hAnsiTheme="minorHAnsi" w:cstheme="minorHAnsi"/>
          <w:b/>
          <w:color w:val="996633"/>
          <w:sz w:val="40"/>
        </w:rPr>
        <w:t>Technical specifications and assumptions</w:t>
      </w:r>
    </w:p>
    <w:p w:rsidR="0078789A" w:rsidRDefault="0078789A" w:rsidP="0078789A">
      <w:pPr>
        <w:pStyle w:val="ListParagraph"/>
        <w:ind w:left="0"/>
        <w:rPr>
          <w:rFonts w:asciiTheme="minorHAnsi" w:hAnsiTheme="minorHAnsi" w:cstheme="minorHAnsi"/>
          <w:b/>
        </w:rPr>
      </w:pPr>
    </w:p>
    <w:p w:rsidR="0078789A" w:rsidRPr="004E0D34" w:rsidRDefault="0078789A" w:rsidP="0078789A">
      <w:pPr>
        <w:pStyle w:val="ListParagraph"/>
        <w:ind w:left="0"/>
        <w:rPr>
          <w:rFonts w:asciiTheme="minorHAnsi" w:hAnsiTheme="minorHAnsi" w:cstheme="minorHAnsi"/>
          <w:b/>
          <w:color w:val="996633"/>
        </w:rPr>
      </w:pPr>
      <w:r w:rsidRPr="004E0D34">
        <w:rPr>
          <w:rFonts w:asciiTheme="minorHAnsi" w:hAnsiTheme="minorHAnsi" w:cstheme="minorHAnsi"/>
          <w:b/>
          <w:color w:val="996633"/>
        </w:rPr>
        <w:t>The G-cubed model</w:t>
      </w:r>
    </w:p>
    <w:p w:rsidR="0078789A" w:rsidRPr="001B061C" w:rsidRDefault="0078789A" w:rsidP="0078789A">
      <w:pPr>
        <w:pStyle w:val="TableText"/>
        <w:spacing w:after="100" w:afterAutospacing="1"/>
        <w:rPr>
          <w:rFonts w:asciiTheme="minorHAnsi" w:hAnsiTheme="minorHAnsi" w:cstheme="minorHAnsi"/>
          <w:sz w:val="24"/>
        </w:rPr>
      </w:pPr>
      <w:r w:rsidRPr="001B061C">
        <w:rPr>
          <w:rFonts w:asciiTheme="minorHAnsi" w:hAnsiTheme="minorHAnsi" w:cstheme="minorHAnsi"/>
          <w:sz w:val="24"/>
        </w:rPr>
        <w:t>G-cubed is a global, multi-sector, inter-temporal dynamic general equilibrium model originally designed to evaluate climate change policies.</w:t>
      </w:r>
      <w:r w:rsidR="00F32CA7" w:rsidRPr="00F32CA7">
        <w:rPr>
          <w:rStyle w:val="FootnoteReference"/>
          <w:rFonts w:asciiTheme="minorHAnsi" w:hAnsiTheme="minorHAnsi" w:cstheme="minorHAnsi"/>
          <w:sz w:val="24"/>
        </w:rPr>
        <w:t xml:space="preserve"> </w:t>
      </w:r>
      <w:r w:rsidR="00F32CA7">
        <w:rPr>
          <w:rStyle w:val="FootnoteReference"/>
          <w:rFonts w:asciiTheme="minorHAnsi" w:hAnsiTheme="minorHAnsi" w:cstheme="minorHAnsi"/>
          <w:sz w:val="24"/>
        </w:rPr>
        <w:footnoteReference w:id="16"/>
      </w:r>
      <w:r w:rsidRPr="001B061C">
        <w:rPr>
          <w:rFonts w:asciiTheme="minorHAnsi" w:hAnsiTheme="minorHAnsi" w:cstheme="minorHAnsi"/>
          <w:sz w:val="24"/>
        </w:rPr>
        <w:t xml:space="preserve"> It has been used by the Australian Treasury and international governments, as well as the IPCC, the UN, the OECD, the World Bank, the IMF, the Asian Development Bank, academia and private corporations.</w:t>
      </w:r>
    </w:p>
    <w:p w:rsidR="0078789A" w:rsidRPr="001B061C" w:rsidRDefault="0078789A" w:rsidP="0078789A">
      <w:pPr>
        <w:pStyle w:val="TableText"/>
        <w:spacing w:after="100" w:afterAutospacing="1"/>
        <w:rPr>
          <w:rFonts w:asciiTheme="minorHAnsi" w:hAnsiTheme="minorHAnsi" w:cstheme="minorHAnsi"/>
          <w:sz w:val="24"/>
        </w:rPr>
      </w:pPr>
      <w:r w:rsidRPr="001B061C">
        <w:rPr>
          <w:rFonts w:asciiTheme="minorHAnsi" w:hAnsiTheme="minorHAnsi" w:cstheme="minorHAnsi"/>
          <w:sz w:val="24"/>
        </w:rPr>
        <w:t xml:space="preserve">G-cubed has a detailed endogenous financial sector, distinguishes between physical and financial capital, and makes use of empirical evidence to support its partial adjustment mechanism. A partial adjustment mechanism accounts for firms and households that do not have perfect foresight or capital mobility, which better reflects real world behaviour. </w:t>
      </w:r>
    </w:p>
    <w:p w:rsidR="0078789A" w:rsidRDefault="0078789A" w:rsidP="0078789A">
      <w:pPr>
        <w:pStyle w:val="TableText"/>
        <w:spacing w:after="100" w:afterAutospacing="1"/>
        <w:rPr>
          <w:rFonts w:asciiTheme="minorHAnsi" w:hAnsiTheme="minorHAnsi" w:cstheme="minorHAnsi"/>
          <w:color w:val="000000"/>
          <w:sz w:val="24"/>
          <w:lang w:val="en-GB"/>
        </w:rPr>
      </w:pPr>
      <w:r w:rsidRPr="001B061C">
        <w:rPr>
          <w:rFonts w:asciiTheme="minorHAnsi" w:hAnsiTheme="minorHAnsi" w:cstheme="minorHAnsi"/>
          <w:sz w:val="24"/>
        </w:rPr>
        <w:t xml:space="preserve">While there are many different versions of the model depending on the nature of the question being evaluated, the version used in this </w:t>
      </w:r>
      <w:r>
        <w:rPr>
          <w:rFonts w:asciiTheme="minorHAnsi" w:hAnsiTheme="minorHAnsi" w:cstheme="minorHAnsi"/>
          <w:sz w:val="24"/>
        </w:rPr>
        <w:t>modelling</w:t>
      </w:r>
      <w:r w:rsidRPr="001B061C">
        <w:rPr>
          <w:rFonts w:asciiTheme="minorHAnsi" w:hAnsiTheme="minorHAnsi" w:cstheme="minorHAnsi"/>
          <w:sz w:val="24"/>
        </w:rPr>
        <w:t xml:space="preserve"> </w:t>
      </w:r>
      <w:r>
        <w:rPr>
          <w:rFonts w:asciiTheme="minorHAnsi" w:hAnsiTheme="minorHAnsi" w:cstheme="minorHAnsi"/>
          <w:sz w:val="24"/>
        </w:rPr>
        <w:t xml:space="preserve">(Version E123) </w:t>
      </w:r>
      <w:r w:rsidRPr="001B061C">
        <w:rPr>
          <w:rFonts w:asciiTheme="minorHAnsi" w:hAnsiTheme="minorHAnsi" w:cstheme="minorHAnsi"/>
          <w:sz w:val="24"/>
        </w:rPr>
        <w:t>has nine countries/regions</w:t>
      </w:r>
      <w:r>
        <w:rPr>
          <w:rFonts w:asciiTheme="minorHAnsi" w:hAnsiTheme="minorHAnsi" w:cstheme="minorHAnsi"/>
          <w:sz w:val="24"/>
        </w:rPr>
        <w:t>. Five countries are modelled individually:</w:t>
      </w:r>
      <w:r w:rsidRPr="000B18A4">
        <w:rPr>
          <w:rFonts w:asciiTheme="minorHAnsi" w:hAnsiTheme="minorHAnsi" w:cstheme="minorHAnsi"/>
          <w:sz w:val="24"/>
        </w:rPr>
        <w:t xml:space="preserve"> Australia, the US, China, EU and Japan</w:t>
      </w:r>
      <w:r w:rsidRPr="001B061C">
        <w:rPr>
          <w:rFonts w:asciiTheme="minorHAnsi" w:hAnsiTheme="minorHAnsi" w:cstheme="minorHAnsi"/>
          <w:sz w:val="24"/>
        </w:rPr>
        <w:t>. Within each c</w:t>
      </w:r>
      <w:r w:rsidRPr="00E23423">
        <w:rPr>
          <w:rFonts w:asciiTheme="minorHAnsi" w:hAnsiTheme="minorHAnsi" w:cstheme="minorHAnsi"/>
          <w:sz w:val="24"/>
        </w:rPr>
        <w:t>ountry or region are 12 production sectors, including six energy sectors</w:t>
      </w:r>
      <w:r w:rsidRPr="00E23423">
        <w:rPr>
          <w:rFonts w:asciiTheme="minorHAnsi" w:hAnsiTheme="minorHAnsi" w:cstheme="minorHAnsi"/>
          <w:b/>
          <w:color w:val="000000"/>
          <w:sz w:val="24"/>
          <w:lang w:val="en-GB"/>
        </w:rPr>
        <w:t>.</w:t>
      </w:r>
      <w:r w:rsidRPr="00E23423">
        <w:rPr>
          <w:rFonts w:asciiTheme="minorHAnsi" w:hAnsiTheme="minorHAnsi" w:cstheme="minorHAnsi"/>
          <w:color w:val="000000"/>
          <w:sz w:val="24"/>
          <w:lang w:val="en-GB"/>
        </w:rPr>
        <w:t xml:space="preserve"> Households, the</w:t>
      </w:r>
      <w:r w:rsidRPr="001B061C">
        <w:rPr>
          <w:rFonts w:asciiTheme="minorHAnsi" w:hAnsiTheme="minorHAnsi" w:cstheme="minorHAnsi"/>
          <w:color w:val="000000"/>
          <w:sz w:val="24"/>
          <w:lang w:val="en-GB"/>
        </w:rPr>
        <w:t xml:space="preserve"> government and the financial sector are also fully represented.</w:t>
      </w:r>
      <w:r>
        <w:rPr>
          <w:rFonts w:asciiTheme="minorHAnsi" w:hAnsiTheme="minorHAnsi" w:cstheme="minorHAnsi"/>
          <w:color w:val="000000"/>
          <w:sz w:val="24"/>
          <w:lang w:val="en-GB"/>
        </w:rPr>
        <w:t xml:space="preserve"> </w:t>
      </w:r>
    </w:p>
    <w:p w:rsidR="0078789A" w:rsidRDefault="0078789A" w:rsidP="0078789A">
      <w:pPr>
        <w:pStyle w:val="TableText"/>
        <w:spacing w:after="100" w:afterAutospacing="1"/>
        <w:rPr>
          <w:rFonts w:asciiTheme="minorHAnsi" w:hAnsiTheme="minorHAnsi" w:cstheme="minorHAnsi"/>
          <w:sz w:val="24"/>
        </w:rPr>
      </w:pPr>
      <w:r>
        <w:rPr>
          <w:rFonts w:asciiTheme="minorHAnsi" w:hAnsiTheme="minorHAnsi" w:cstheme="minorHAnsi"/>
          <w:color w:val="000000"/>
          <w:sz w:val="24"/>
          <w:lang w:val="en-GB"/>
        </w:rPr>
        <w:t>The s</w:t>
      </w:r>
      <w:r>
        <w:rPr>
          <w:rFonts w:asciiTheme="minorHAnsi" w:hAnsiTheme="minorHAnsi" w:cstheme="minorHAnsi"/>
          <w:sz w:val="24"/>
        </w:rPr>
        <w:t xml:space="preserve">ectoral and regional aggregations of the G-cubed variant used for this modelling are shown in </w:t>
      </w:r>
      <w:r w:rsidRPr="00BF7A32">
        <w:rPr>
          <w:rFonts w:asciiTheme="minorHAnsi" w:hAnsiTheme="minorHAnsi" w:cstheme="minorHAnsi"/>
          <w:color w:val="000000"/>
          <w:sz w:val="24"/>
          <w:lang w:val="en-GB"/>
        </w:rPr>
        <w:t xml:space="preserve">Figure </w:t>
      </w:r>
      <w:r>
        <w:rPr>
          <w:rFonts w:asciiTheme="minorHAnsi" w:hAnsiTheme="minorHAnsi" w:cstheme="minorHAnsi"/>
          <w:color w:val="000000"/>
          <w:sz w:val="24"/>
          <w:lang w:val="en-GB"/>
        </w:rPr>
        <w:t>B</w:t>
      </w:r>
      <w:r w:rsidRPr="00BF7A32">
        <w:rPr>
          <w:rFonts w:asciiTheme="minorHAnsi" w:hAnsiTheme="minorHAnsi" w:cstheme="minorHAnsi"/>
          <w:color w:val="000000"/>
          <w:sz w:val="24"/>
          <w:lang w:val="en-GB"/>
        </w:rPr>
        <w:t>-1</w:t>
      </w:r>
      <w:r>
        <w:rPr>
          <w:rFonts w:asciiTheme="minorHAnsi" w:hAnsiTheme="minorHAnsi" w:cstheme="minorHAnsi"/>
          <w:color w:val="000000"/>
          <w:sz w:val="24"/>
          <w:lang w:val="en-GB"/>
        </w:rPr>
        <w:t xml:space="preserve">, Table </w:t>
      </w:r>
      <w:r w:rsidRPr="00492F4E">
        <w:rPr>
          <w:rFonts w:asciiTheme="minorHAnsi" w:hAnsiTheme="minorHAnsi" w:cstheme="minorHAnsi"/>
          <w:color w:val="000000"/>
          <w:sz w:val="24"/>
          <w:lang w:val="en-GB"/>
        </w:rPr>
        <w:t>B</w:t>
      </w:r>
      <w:r>
        <w:rPr>
          <w:rFonts w:asciiTheme="minorHAnsi" w:hAnsiTheme="minorHAnsi" w:cstheme="minorHAnsi"/>
          <w:color w:val="000000"/>
          <w:sz w:val="24"/>
          <w:lang w:val="en-GB"/>
        </w:rPr>
        <w:t xml:space="preserve">-1 </w:t>
      </w:r>
      <w:r w:rsidRPr="00F04099">
        <w:rPr>
          <w:rFonts w:asciiTheme="minorHAnsi" w:hAnsiTheme="minorHAnsi" w:cstheme="minorHAnsi"/>
          <w:color w:val="000000"/>
          <w:sz w:val="24"/>
          <w:lang w:val="en-GB"/>
        </w:rPr>
        <w:t xml:space="preserve">and </w:t>
      </w:r>
      <w:r w:rsidRPr="00BF7A32">
        <w:rPr>
          <w:rFonts w:asciiTheme="minorHAnsi" w:hAnsiTheme="minorHAnsi" w:cstheme="minorHAnsi"/>
          <w:color w:val="000000"/>
          <w:sz w:val="24"/>
          <w:lang w:val="en-GB"/>
        </w:rPr>
        <w:t xml:space="preserve">Table </w:t>
      </w:r>
      <w:r>
        <w:rPr>
          <w:rFonts w:asciiTheme="minorHAnsi" w:hAnsiTheme="minorHAnsi" w:cstheme="minorHAnsi"/>
          <w:color w:val="000000"/>
          <w:sz w:val="24"/>
          <w:lang w:val="en-GB"/>
        </w:rPr>
        <w:t>B</w:t>
      </w:r>
      <w:r w:rsidRPr="00F04099">
        <w:rPr>
          <w:rFonts w:asciiTheme="minorHAnsi" w:hAnsiTheme="minorHAnsi" w:cstheme="minorHAnsi"/>
          <w:color w:val="000000"/>
          <w:sz w:val="24"/>
          <w:lang w:val="en-GB"/>
        </w:rPr>
        <w:t>-</w:t>
      </w:r>
      <w:r>
        <w:rPr>
          <w:rFonts w:asciiTheme="minorHAnsi" w:hAnsiTheme="minorHAnsi" w:cstheme="minorHAnsi"/>
          <w:color w:val="000000"/>
          <w:sz w:val="24"/>
          <w:lang w:val="en-GB"/>
        </w:rPr>
        <w:t>2.</w:t>
      </w:r>
      <w:r w:rsidRPr="00F04099">
        <w:rPr>
          <w:rFonts w:asciiTheme="minorHAnsi" w:hAnsiTheme="minorHAnsi" w:cstheme="minorHAnsi"/>
          <w:sz w:val="24"/>
        </w:rPr>
        <w:t xml:space="preserve"> </w:t>
      </w:r>
      <w:r>
        <w:rPr>
          <w:rFonts w:asciiTheme="minorHAnsi" w:hAnsiTheme="minorHAnsi" w:cstheme="minorHAnsi"/>
          <w:sz w:val="24"/>
        </w:rPr>
        <w:t>Technical characteristics of the G</w:t>
      </w:r>
      <w:r>
        <w:rPr>
          <w:rFonts w:asciiTheme="minorHAnsi" w:hAnsiTheme="minorHAnsi" w:cstheme="minorHAnsi"/>
          <w:sz w:val="24"/>
        </w:rPr>
        <w:noBreakHyphen/>
        <w:t>cubed model are set out in Table B-3.</w:t>
      </w:r>
    </w:p>
    <w:p w:rsidR="0078789A" w:rsidRPr="001B061C" w:rsidRDefault="0078789A" w:rsidP="0078789A">
      <w:pPr>
        <w:pStyle w:val="TableText"/>
        <w:spacing w:after="100" w:afterAutospacing="1"/>
        <w:rPr>
          <w:rFonts w:asciiTheme="minorHAnsi" w:hAnsiTheme="minorHAnsi" w:cstheme="minorHAnsi"/>
          <w:sz w:val="24"/>
        </w:rPr>
      </w:pPr>
      <w:r>
        <w:rPr>
          <w:rFonts w:asciiTheme="minorHAnsi" w:hAnsiTheme="minorHAnsi" w:cstheme="minorHAnsi"/>
          <w:sz w:val="24"/>
        </w:rPr>
        <w:t xml:space="preserve">Key assumptions about macroeconomic and emissions parameters are set out in Table B-4. </w:t>
      </w:r>
    </w:p>
    <w:p w:rsidR="0078789A" w:rsidRPr="004E0D34" w:rsidRDefault="0078789A" w:rsidP="0078789A">
      <w:pPr>
        <w:pStyle w:val="TableText"/>
        <w:spacing w:after="0" w:line="240" w:lineRule="auto"/>
        <w:rPr>
          <w:rFonts w:asciiTheme="minorHAnsi" w:hAnsiTheme="minorHAnsi" w:cstheme="minorHAnsi"/>
          <w:b/>
          <w:color w:val="996633"/>
          <w:sz w:val="24"/>
        </w:rPr>
      </w:pPr>
      <w:r w:rsidRPr="004E0D34">
        <w:rPr>
          <w:rFonts w:asciiTheme="minorHAnsi" w:hAnsiTheme="minorHAnsi" w:cstheme="minorHAnsi"/>
          <w:b/>
          <w:color w:val="996633"/>
          <w:sz w:val="24"/>
        </w:rPr>
        <w:t>Limitations of the modelling</w:t>
      </w:r>
    </w:p>
    <w:p w:rsidR="0078789A" w:rsidRPr="000163B1" w:rsidRDefault="0078789A" w:rsidP="0078789A">
      <w:pPr>
        <w:pStyle w:val="TableText"/>
        <w:spacing w:after="100" w:afterAutospacing="1"/>
        <w:rPr>
          <w:rFonts w:asciiTheme="minorHAnsi" w:hAnsiTheme="minorHAnsi" w:cstheme="minorHAnsi"/>
          <w:sz w:val="24"/>
        </w:rPr>
      </w:pPr>
      <w:r w:rsidRPr="000163B1">
        <w:rPr>
          <w:rFonts w:asciiTheme="minorHAnsi" w:hAnsiTheme="minorHAnsi" w:cstheme="minorHAnsi"/>
          <w:color w:val="000000"/>
          <w:sz w:val="24"/>
          <w:lang w:val="en-GB"/>
        </w:rPr>
        <w:t xml:space="preserve">The twelve sectors used in the model are highly relevant for analysing the impact on Australia, and can demonstrate important high level trends for changes in other countries’ economies. But the model does not break Australia down into sub-regions and cannot deliver detailed information on the impacts on states or regions. </w:t>
      </w:r>
      <w:r w:rsidRPr="000163B1">
        <w:rPr>
          <w:rFonts w:asciiTheme="minorHAnsi" w:hAnsiTheme="minorHAnsi" w:cstheme="minorHAnsi"/>
          <w:sz w:val="24"/>
        </w:rPr>
        <w:t xml:space="preserve">Countries included but not disaggregated in the standard variant of the model include Canada and New Zealand. </w:t>
      </w:r>
    </w:p>
    <w:p w:rsidR="0078789A" w:rsidRPr="000163B1" w:rsidRDefault="00656FF9" w:rsidP="0078789A">
      <w:pPr>
        <w:pStyle w:val="TableText"/>
        <w:spacing w:after="100" w:afterAutospacing="1"/>
        <w:rPr>
          <w:rFonts w:asciiTheme="minorHAnsi" w:hAnsiTheme="minorHAnsi" w:cstheme="minorHAnsi"/>
          <w:sz w:val="24"/>
        </w:rPr>
      </w:pPr>
      <w:r>
        <w:rPr>
          <w:rFonts w:asciiTheme="minorHAnsi" w:hAnsiTheme="minorHAnsi" w:cstheme="minorHAnsi"/>
          <w:sz w:val="24"/>
        </w:rPr>
        <w:t>C</w:t>
      </w:r>
      <w:r w:rsidR="0078789A" w:rsidRPr="000163B1">
        <w:rPr>
          <w:rFonts w:asciiTheme="minorHAnsi" w:hAnsiTheme="minorHAnsi" w:cstheme="minorHAnsi"/>
          <w:sz w:val="24"/>
        </w:rPr>
        <w:t>arbon dioxide emissions are modelled for energy sectors only – the model does not specify emissions from non-energy related sectors</w:t>
      </w:r>
      <w:r w:rsidR="0078789A">
        <w:rPr>
          <w:rFonts w:asciiTheme="minorHAnsi" w:hAnsiTheme="minorHAnsi" w:cstheme="minorHAnsi"/>
          <w:sz w:val="24"/>
        </w:rPr>
        <w:t>, such as</w:t>
      </w:r>
      <w:r w:rsidR="0078789A" w:rsidRPr="000163B1">
        <w:rPr>
          <w:rFonts w:asciiTheme="minorHAnsi" w:hAnsiTheme="minorHAnsi" w:cstheme="minorHAnsi"/>
          <w:sz w:val="24"/>
        </w:rPr>
        <w:t xml:space="preserve"> carbon dioxide from cement manufacturing. It also does not capture non-carbon dioxide </w:t>
      </w:r>
      <w:r w:rsidR="0078789A">
        <w:rPr>
          <w:rFonts w:asciiTheme="minorHAnsi" w:hAnsiTheme="minorHAnsi" w:cstheme="minorHAnsi"/>
          <w:sz w:val="24"/>
        </w:rPr>
        <w:t xml:space="preserve">emissions, such as </w:t>
      </w:r>
      <w:r w:rsidR="0078789A" w:rsidRPr="000163B1">
        <w:rPr>
          <w:rFonts w:asciiTheme="minorHAnsi" w:hAnsiTheme="minorHAnsi" w:cstheme="minorHAnsi"/>
          <w:sz w:val="24"/>
        </w:rPr>
        <w:t>methane from livestock.</w:t>
      </w:r>
    </w:p>
    <w:p w:rsidR="0078789A" w:rsidRDefault="0078789A" w:rsidP="0078789A">
      <w:pPr>
        <w:pStyle w:val="ListParagraph"/>
        <w:ind w:left="0"/>
        <w:rPr>
          <w:rFonts w:asciiTheme="minorHAnsi" w:hAnsiTheme="minorHAnsi" w:cstheme="minorHAnsi"/>
        </w:rPr>
      </w:pPr>
    </w:p>
    <w:p w:rsidR="0078789A" w:rsidRPr="00B26171" w:rsidRDefault="0078789A" w:rsidP="0078789A">
      <w:pPr>
        <w:pStyle w:val="PlainText"/>
        <w:keepNext/>
        <w:rPr>
          <w:rFonts w:asciiTheme="minorHAnsi" w:hAnsiTheme="minorHAnsi" w:cstheme="minorHAnsi"/>
          <w:color w:val="4F81BD" w:themeColor="accent1"/>
          <w:sz w:val="24"/>
          <w:szCs w:val="24"/>
        </w:rPr>
      </w:pPr>
      <w:r w:rsidRPr="00B26171">
        <w:rPr>
          <w:rFonts w:asciiTheme="minorHAnsi" w:hAnsiTheme="minorHAnsi" w:cstheme="minorHAnsi"/>
          <w:noProof/>
          <w:color w:val="4F81BD" w:themeColor="accent1"/>
          <w:lang w:eastAsia="en-AU"/>
        </w:rPr>
        <w:lastRenderedPageBreak/>
        <mc:AlternateContent>
          <mc:Choice Requires="wpg">
            <w:drawing>
              <wp:anchor distT="0" distB="0" distL="114300" distR="114300" simplePos="0" relativeHeight="251753472" behindDoc="0" locked="0" layoutInCell="1" allowOverlap="1" wp14:anchorId="52410939" wp14:editId="240BC340">
                <wp:simplePos x="0" y="0"/>
                <wp:positionH relativeFrom="column">
                  <wp:posOffset>-71120</wp:posOffset>
                </wp:positionH>
                <wp:positionV relativeFrom="paragraph">
                  <wp:posOffset>304800</wp:posOffset>
                </wp:positionV>
                <wp:extent cx="5420995" cy="5801360"/>
                <wp:effectExtent l="0" t="0" r="27305" b="27940"/>
                <wp:wrapTopAndBottom/>
                <wp:docPr id="61" name="Group 61" descr="This Figure shows 9 countries and regions: Australia; US; China; Western Europe; Japan; Rest of OECD; Other developing countries; Eastern Europe and former USSR; Oil exporting countries and Middle East. It also shows 12 sectors: Electric utilities; Gas utilities; Petroleum refining; Coal mining; Crude oil extraction; Gas extraction; Other mining; Agriculture, forestry and wood products; Durable goods manufacturing; Non-durable goods manufacturing; Transportation; Services." title="Figure B-1: G-cubed model version E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0995" cy="5801360"/>
                          <a:chOff x="2335" y="5078"/>
                          <a:chExt cx="6161" cy="9136"/>
                        </a:xfrm>
                      </wpg:grpSpPr>
                      <wps:wsp>
                        <wps:cNvPr id="62" name="AutoShape 35"/>
                        <wps:cNvSpPr>
                          <a:spLocks noChangeArrowheads="1"/>
                        </wps:cNvSpPr>
                        <wps:spPr bwMode="auto">
                          <a:xfrm>
                            <a:off x="2335" y="5078"/>
                            <a:ext cx="2660" cy="842"/>
                          </a:xfrm>
                          <a:prstGeom prst="roundRect">
                            <a:avLst>
                              <a:gd name="adj" fmla="val 16667"/>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jc w:val="center"/>
                                <w:rPr>
                                  <w:rFonts w:asciiTheme="minorHAnsi" w:hAnsiTheme="minorHAnsi" w:cstheme="minorHAnsi"/>
                                  <w:b/>
                                  <w:u w:val="single"/>
                                  <w:lang w:val="en-US"/>
                                </w:rPr>
                              </w:pPr>
                              <w:r w:rsidRPr="001B061C">
                                <w:rPr>
                                  <w:rFonts w:asciiTheme="minorHAnsi" w:hAnsiTheme="minorHAnsi" w:cstheme="minorHAnsi"/>
                                  <w:b/>
                                  <w:u w:val="single"/>
                                  <w:lang w:val="en-US"/>
                                </w:rPr>
                                <w:t xml:space="preserve">9 countries </w:t>
                              </w:r>
                              <w:r>
                                <w:rPr>
                                  <w:rFonts w:asciiTheme="minorHAnsi" w:hAnsiTheme="minorHAnsi" w:cstheme="minorHAnsi"/>
                                  <w:b/>
                                  <w:u w:val="single"/>
                                  <w:lang w:val="en-US"/>
                                </w:rPr>
                                <w:br/>
                              </w:r>
                              <w:r w:rsidRPr="001B061C">
                                <w:rPr>
                                  <w:rFonts w:asciiTheme="minorHAnsi" w:hAnsiTheme="minorHAnsi" w:cstheme="minorHAnsi"/>
                                  <w:b/>
                                  <w:u w:val="single"/>
                                  <w:lang w:val="en-US"/>
                                </w:rPr>
                                <w:t>and regions</w:t>
                              </w:r>
                            </w:p>
                          </w:txbxContent>
                        </wps:txbx>
                        <wps:bodyPr rot="0" vert="horz" wrap="square" lIns="54000" tIns="45720" rIns="18000" bIns="45720" anchor="ctr" anchorCtr="0" upright="1">
                          <a:noAutofit/>
                        </wps:bodyPr>
                      </wps:wsp>
                      <wps:wsp>
                        <wps:cNvPr id="63" name="AutoShape 36"/>
                        <wps:cNvSpPr>
                          <a:spLocks noChangeArrowheads="1"/>
                        </wps:cNvSpPr>
                        <wps:spPr bwMode="auto">
                          <a:xfrm>
                            <a:off x="6108" y="5243"/>
                            <a:ext cx="2342" cy="518"/>
                          </a:xfrm>
                          <a:prstGeom prst="roundRect">
                            <a:avLst>
                              <a:gd name="adj" fmla="val 16667"/>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jc w:val="center"/>
                                <w:rPr>
                                  <w:rFonts w:asciiTheme="minorHAnsi" w:hAnsiTheme="minorHAnsi" w:cstheme="minorHAnsi"/>
                                  <w:b/>
                                  <w:u w:val="single"/>
                                  <w:lang w:val="en-US"/>
                                </w:rPr>
                              </w:pPr>
                              <w:r w:rsidRPr="001B061C">
                                <w:rPr>
                                  <w:rFonts w:asciiTheme="minorHAnsi" w:hAnsiTheme="minorHAnsi" w:cstheme="minorHAnsi"/>
                                  <w:b/>
                                  <w:u w:val="single"/>
                                  <w:lang w:val="en-US"/>
                                </w:rPr>
                                <w:t>12 sectors</w:t>
                              </w:r>
                            </w:p>
                          </w:txbxContent>
                        </wps:txbx>
                        <wps:bodyPr rot="0" vert="horz" wrap="square" lIns="54000" tIns="45720" rIns="18000" bIns="45720" anchor="ctr" anchorCtr="0" upright="1">
                          <a:noAutofit/>
                        </wps:bodyPr>
                      </wps:wsp>
                      <wpg:grpSp>
                        <wpg:cNvPr id="289" name="Group 39"/>
                        <wpg:cNvGrpSpPr>
                          <a:grpSpLocks/>
                        </wpg:cNvGrpSpPr>
                        <wpg:grpSpPr bwMode="auto">
                          <a:xfrm>
                            <a:off x="2335" y="6335"/>
                            <a:ext cx="2646" cy="6266"/>
                            <a:chOff x="2971" y="1795"/>
                            <a:chExt cx="2646" cy="6266"/>
                          </a:xfrm>
                        </wpg:grpSpPr>
                        <wps:wsp>
                          <wps:cNvPr id="290" name="AutoShape 40"/>
                          <wps:cNvSpPr>
                            <a:spLocks noChangeArrowheads="1"/>
                          </wps:cNvSpPr>
                          <wps:spPr bwMode="auto">
                            <a:xfrm>
                              <a:off x="2985" y="4518"/>
                              <a:ext cx="852"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Japan</w:t>
                                </w:r>
                              </w:p>
                            </w:txbxContent>
                          </wps:txbx>
                          <wps:bodyPr rot="0" vert="horz" wrap="square" lIns="54000" tIns="45720" rIns="18000" bIns="45720" anchor="ctr" anchorCtr="0" upright="1">
                            <a:noAutofit/>
                          </wps:bodyPr>
                        </wps:wsp>
                        <wps:wsp>
                          <wps:cNvPr id="293" name="AutoShape 41"/>
                          <wps:cNvSpPr>
                            <a:spLocks noChangeArrowheads="1"/>
                          </wps:cNvSpPr>
                          <wps:spPr bwMode="auto">
                            <a:xfrm>
                              <a:off x="2985" y="3156"/>
                              <a:ext cx="785"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China</w:t>
                                </w:r>
                              </w:p>
                            </w:txbxContent>
                          </wps:txbx>
                          <wps:bodyPr rot="0" vert="horz" wrap="square" lIns="54000" tIns="45720" rIns="18000" bIns="45720" anchor="ctr" anchorCtr="0" upright="1">
                            <a:noAutofit/>
                          </wps:bodyPr>
                        </wps:wsp>
                        <wps:wsp>
                          <wps:cNvPr id="294" name="AutoShape 42"/>
                          <wps:cNvSpPr>
                            <a:spLocks noChangeArrowheads="1"/>
                          </wps:cNvSpPr>
                          <wps:spPr bwMode="auto">
                            <a:xfrm>
                              <a:off x="2985" y="3840"/>
                              <a:ext cx="1520"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Western Europe</w:t>
                                </w:r>
                              </w:p>
                            </w:txbxContent>
                          </wps:txbx>
                          <wps:bodyPr rot="0" vert="horz" wrap="square" lIns="54000" tIns="45720" rIns="18000" bIns="45720" anchor="ctr" anchorCtr="0" upright="1">
                            <a:noAutofit/>
                          </wps:bodyPr>
                        </wps:wsp>
                        <wps:wsp>
                          <wps:cNvPr id="307" name="AutoShape 43"/>
                          <wps:cNvSpPr>
                            <a:spLocks noChangeArrowheads="1"/>
                          </wps:cNvSpPr>
                          <wps:spPr bwMode="auto">
                            <a:xfrm>
                              <a:off x="2985" y="5180"/>
                              <a:ext cx="1384" cy="442"/>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Rest of OECD</w:t>
                                </w:r>
                              </w:p>
                            </w:txbxContent>
                          </wps:txbx>
                          <wps:bodyPr rot="0" vert="horz" wrap="square" lIns="54000" tIns="45720" rIns="18000" bIns="45720" anchor="ctr" anchorCtr="0" upright="1">
                            <a:noAutofit/>
                          </wps:bodyPr>
                        </wps:wsp>
                        <wps:wsp>
                          <wps:cNvPr id="640" name="AutoShape 44"/>
                          <wps:cNvSpPr>
                            <a:spLocks noChangeArrowheads="1"/>
                          </wps:cNvSpPr>
                          <wps:spPr bwMode="auto">
                            <a:xfrm>
                              <a:off x="2971" y="7273"/>
                              <a:ext cx="2646" cy="788"/>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Oil exporting countries and Middle East</w:t>
                                </w:r>
                              </w:p>
                            </w:txbxContent>
                          </wps:txbx>
                          <wps:bodyPr rot="0" vert="horz" wrap="square" lIns="54000" tIns="45720" rIns="18000" bIns="45720" anchor="t" anchorCtr="0" upright="1">
                            <a:noAutofit/>
                          </wps:bodyPr>
                        </wps:wsp>
                        <wps:wsp>
                          <wps:cNvPr id="650" name="AutoShape 45"/>
                          <wps:cNvSpPr>
                            <a:spLocks noChangeArrowheads="1"/>
                          </wps:cNvSpPr>
                          <wps:spPr bwMode="auto">
                            <a:xfrm>
                              <a:off x="2985" y="6540"/>
                              <a:ext cx="2597" cy="568"/>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Eastern Europe and former USSR</w:t>
                                </w:r>
                              </w:p>
                            </w:txbxContent>
                          </wps:txbx>
                          <wps:bodyPr rot="0" vert="horz" wrap="square" lIns="54000" tIns="45720" rIns="18000" bIns="45720" anchor="ctr" anchorCtr="0" upright="1">
                            <a:noAutofit/>
                          </wps:bodyPr>
                        </wps:wsp>
                        <wps:wsp>
                          <wps:cNvPr id="651" name="AutoShape 46"/>
                          <wps:cNvSpPr>
                            <a:spLocks noChangeArrowheads="1"/>
                          </wps:cNvSpPr>
                          <wps:spPr bwMode="auto">
                            <a:xfrm>
                              <a:off x="2985" y="5860"/>
                              <a:ext cx="2597" cy="480"/>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Other developing countries</w:t>
                                </w:r>
                              </w:p>
                            </w:txbxContent>
                          </wps:txbx>
                          <wps:bodyPr rot="0" vert="horz" wrap="square" lIns="54000" tIns="45720" rIns="18000" bIns="45720" anchor="ctr" anchorCtr="0" upright="1">
                            <a:noAutofit/>
                          </wps:bodyPr>
                        </wps:wsp>
                        <wps:wsp>
                          <wps:cNvPr id="652" name="AutoShape 47"/>
                          <wps:cNvSpPr>
                            <a:spLocks noChangeArrowheads="1"/>
                          </wps:cNvSpPr>
                          <wps:spPr bwMode="auto">
                            <a:xfrm>
                              <a:off x="2985" y="2476"/>
                              <a:ext cx="852"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US</w:t>
                                </w:r>
                              </w:p>
                            </w:txbxContent>
                          </wps:txbx>
                          <wps:bodyPr rot="0" vert="horz" wrap="square" lIns="54000" tIns="45720" rIns="18000" bIns="45720" anchor="ctr" anchorCtr="0" upright="1">
                            <a:noAutofit/>
                          </wps:bodyPr>
                        </wps:wsp>
                        <wps:wsp>
                          <wps:cNvPr id="654" name="AutoShape 48"/>
                          <wps:cNvSpPr>
                            <a:spLocks noChangeArrowheads="1"/>
                          </wps:cNvSpPr>
                          <wps:spPr bwMode="auto">
                            <a:xfrm>
                              <a:off x="2985" y="1795"/>
                              <a:ext cx="988"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Australia</w:t>
                                </w:r>
                              </w:p>
                            </w:txbxContent>
                          </wps:txbx>
                          <wps:bodyPr rot="0" vert="horz" wrap="square" lIns="54000" tIns="45720" rIns="18000" bIns="45720" anchor="ctr" anchorCtr="0" upright="1">
                            <a:noAutofit/>
                          </wps:bodyPr>
                        </wps:wsp>
                      </wpg:grpSp>
                      <wps:wsp>
                        <wps:cNvPr id="655" name="AutoShape 49"/>
                        <wps:cNvSpPr>
                          <a:spLocks noChangeArrowheads="1"/>
                        </wps:cNvSpPr>
                        <wps:spPr bwMode="auto">
                          <a:xfrm>
                            <a:off x="6108" y="8963"/>
                            <a:ext cx="2361" cy="448"/>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Crude oil extraction</w:t>
                              </w:r>
                            </w:p>
                            <w:p w:rsidR="00926FD1" w:rsidRPr="001B061C" w:rsidRDefault="00926FD1" w:rsidP="0078789A">
                              <w:pPr>
                                <w:pStyle w:val="PlainText"/>
                                <w:rPr>
                                  <w:rFonts w:asciiTheme="minorHAnsi" w:hAnsiTheme="minorHAnsi" w:cstheme="minorHAnsi"/>
                                </w:rPr>
                              </w:pPr>
                            </w:p>
                          </w:txbxContent>
                        </wps:txbx>
                        <wps:bodyPr rot="0" vert="horz" wrap="square" lIns="54000" tIns="45720" rIns="18000" bIns="45720" anchor="ctr" anchorCtr="0" upright="1">
                          <a:noAutofit/>
                        </wps:bodyPr>
                      </wps:wsp>
                      <wps:wsp>
                        <wps:cNvPr id="656" name="AutoShape 50"/>
                        <wps:cNvSpPr>
                          <a:spLocks noChangeArrowheads="1"/>
                        </wps:cNvSpPr>
                        <wps:spPr bwMode="auto">
                          <a:xfrm>
                            <a:off x="6108" y="7660"/>
                            <a:ext cx="2335"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 xml:space="preserve">Petroleum refining </w:t>
                              </w:r>
                            </w:p>
                          </w:txbxContent>
                        </wps:txbx>
                        <wps:bodyPr rot="0" vert="horz" wrap="square" lIns="54000" tIns="45720" rIns="18000" bIns="45720" anchor="ctr" anchorCtr="0" upright="1">
                          <a:noAutofit/>
                        </wps:bodyPr>
                      </wps:wsp>
                      <wps:wsp>
                        <wps:cNvPr id="657" name="AutoShape 51"/>
                        <wps:cNvSpPr>
                          <a:spLocks noChangeArrowheads="1"/>
                        </wps:cNvSpPr>
                        <wps:spPr bwMode="auto">
                          <a:xfrm>
                            <a:off x="6108" y="8315"/>
                            <a:ext cx="2350"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Coal mining</w:t>
                              </w:r>
                            </w:p>
                          </w:txbxContent>
                        </wps:txbx>
                        <wps:bodyPr rot="0" vert="horz" wrap="square" lIns="54000" tIns="45720" rIns="18000" bIns="45720" anchor="ctr" anchorCtr="0" upright="1">
                          <a:noAutofit/>
                        </wps:bodyPr>
                      </wps:wsp>
                      <wps:wsp>
                        <wps:cNvPr id="658" name="AutoShape 52"/>
                        <wps:cNvSpPr>
                          <a:spLocks noChangeArrowheads="1"/>
                        </wps:cNvSpPr>
                        <wps:spPr bwMode="auto">
                          <a:xfrm>
                            <a:off x="6108" y="9559"/>
                            <a:ext cx="2361" cy="448"/>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Gas extraction</w:t>
                              </w:r>
                            </w:p>
                            <w:p w:rsidR="00926FD1" w:rsidRPr="001B061C" w:rsidRDefault="00926FD1" w:rsidP="0078789A">
                              <w:pPr>
                                <w:pStyle w:val="PlainText"/>
                                <w:rPr>
                                  <w:rFonts w:asciiTheme="minorHAnsi" w:hAnsiTheme="minorHAnsi" w:cstheme="minorHAnsi"/>
                                </w:rPr>
                              </w:pPr>
                            </w:p>
                          </w:txbxContent>
                        </wps:txbx>
                        <wps:bodyPr rot="0" vert="horz" wrap="square" lIns="54000" tIns="45720" rIns="18000" bIns="45720" anchor="ctr" anchorCtr="0" upright="1">
                          <a:noAutofit/>
                        </wps:bodyPr>
                      </wps:wsp>
                      <wps:wsp>
                        <wps:cNvPr id="659" name="AutoShape 53"/>
                        <wps:cNvSpPr>
                          <a:spLocks noChangeArrowheads="1"/>
                        </wps:cNvSpPr>
                        <wps:spPr bwMode="auto">
                          <a:xfrm>
                            <a:off x="6108" y="11813"/>
                            <a:ext cx="2367"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Durable goods</w:t>
                              </w:r>
                              <w:r>
                                <w:rPr>
                                  <w:rFonts w:asciiTheme="minorHAnsi" w:hAnsiTheme="minorHAnsi" w:cstheme="minorHAnsi"/>
                                </w:rPr>
                                <w:t xml:space="preserve"> manufacturing</w:t>
                              </w:r>
                            </w:p>
                          </w:txbxContent>
                        </wps:txbx>
                        <wps:bodyPr rot="0" vert="horz" wrap="square" lIns="54000" tIns="45720" rIns="18000" bIns="45720" anchor="t" anchorCtr="0" upright="1">
                          <a:noAutofit/>
                        </wps:bodyPr>
                      </wps:wsp>
                      <wps:wsp>
                        <wps:cNvPr id="660" name="AutoShape 54"/>
                        <wps:cNvSpPr>
                          <a:spLocks noChangeArrowheads="1"/>
                        </wps:cNvSpPr>
                        <wps:spPr bwMode="auto">
                          <a:xfrm>
                            <a:off x="6108" y="10880"/>
                            <a:ext cx="2388" cy="768"/>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Agriculture, forestry and wood products</w:t>
                              </w:r>
                            </w:p>
                          </w:txbxContent>
                        </wps:txbx>
                        <wps:bodyPr rot="0" vert="horz" wrap="square" lIns="54000" tIns="45720" rIns="18000" bIns="45720" anchor="ctr" anchorCtr="0" upright="1">
                          <a:noAutofit/>
                        </wps:bodyPr>
                      </wps:wsp>
                      <wps:wsp>
                        <wps:cNvPr id="661" name="AutoShape 55"/>
                        <wps:cNvSpPr>
                          <a:spLocks noChangeArrowheads="1"/>
                        </wps:cNvSpPr>
                        <wps:spPr bwMode="auto">
                          <a:xfrm>
                            <a:off x="6108" y="10162"/>
                            <a:ext cx="2361" cy="542"/>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Other mining</w:t>
                              </w:r>
                            </w:p>
                            <w:p w:rsidR="00926FD1" w:rsidRPr="001B061C" w:rsidRDefault="00926FD1" w:rsidP="0078789A">
                              <w:pPr>
                                <w:pStyle w:val="PlainText"/>
                                <w:rPr>
                                  <w:rFonts w:asciiTheme="minorHAnsi" w:hAnsiTheme="minorHAnsi" w:cstheme="minorHAnsi"/>
                                </w:rPr>
                              </w:pPr>
                            </w:p>
                          </w:txbxContent>
                        </wps:txbx>
                        <wps:bodyPr rot="0" vert="horz" wrap="square" lIns="54000" tIns="45720" rIns="18000" bIns="45720" anchor="ctr" anchorCtr="0" upright="1">
                          <a:noAutofit/>
                        </wps:bodyPr>
                      </wps:wsp>
                      <wps:wsp>
                        <wps:cNvPr id="662" name="AutoShape 56"/>
                        <wps:cNvSpPr>
                          <a:spLocks noChangeArrowheads="1"/>
                        </wps:cNvSpPr>
                        <wps:spPr bwMode="auto">
                          <a:xfrm>
                            <a:off x="6108" y="7012"/>
                            <a:ext cx="2346"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Gas utilities</w:t>
                              </w:r>
                            </w:p>
                          </w:txbxContent>
                        </wps:txbx>
                        <wps:bodyPr rot="0" vert="horz" wrap="square" lIns="54000" tIns="45720" rIns="18000" bIns="45720" anchor="ctr" anchorCtr="0" upright="1">
                          <a:noAutofit/>
                        </wps:bodyPr>
                      </wps:wsp>
                      <wps:wsp>
                        <wps:cNvPr id="663" name="AutoShape 57"/>
                        <wps:cNvSpPr>
                          <a:spLocks noChangeArrowheads="1"/>
                        </wps:cNvSpPr>
                        <wps:spPr bwMode="auto">
                          <a:xfrm>
                            <a:off x="6108" y="6355"/>
                            <a:ext cx="2335"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Electric utilities</w:t>
                              </w:r>
                            </w:p>
                          </w:txbxContent>
                        </wps:txbx>
                        <wps:bodyPr rot="0" vert="horz" wrap="square" lIns="54000" tIns="45720" rIns="18000" bIns="45720" anchor="ctr" anchorCtr="0" upright="1">
                          <a:noAutofit/>
                        </wps:bodyPr>
                      </wps:wsp>
                      <wps:wsp>
                        <wps:cNvPr id="664" name="AutoShape 58"/>
                        <wps:cNvSpPr>
                          <a:spLocks noChangeArrowheads="1"/>
                        </wps:cNvSpPr>
                        <wps:spPr bwMode="auto">
                          <a:xfrm>
                            <a:off x="6108" y="12466"/>
                            <a:ext cx="2371"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Non-durable</w:t>
                              </w:r>
                              <w:r>
                                <w:rPr>
                                  <w:rFonts w:asciiTheme="minorHAnsi" w:hAnsiTheme="minorHAnsi" w:cstheme="minorHAnsi"/>
                                </w:rPr>
                                <w:t xml:space="preserve"> goods manufacturing</w:t>
                              </w:r>
                            </w:p>
                          </w:txbxContent>
                        </wps:txbx>
                        <wps:bodyPr rot="0" vert="horz" wrap="square" lIns="54000" tIns="45720" rIns="18000" bIns="45720" anchor="ctr" anchorCtr="0" upright="1">
                          <a:noAutofit/>
                        </wps:bodyPr>
                      </wps:wsp>
                      <wps:wsp>
                        <wps:cNvPr id="665" name="AutoShape 59"/>
                        <wps:cNvSpPr>
                          <a:spLocks noChangeArrowheads="1"/>
                        </wps:cNvSpPr>
                        <wps:spPr bwMode="auto">
                          <a:xfrm>
                            <a:off x="6108" y="13108"/>
                            <a:ext cx="2367" cy="491"/>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Transportation</w:t>
                              </w:r>
                            </w:p>
                          </w:txbxContent>
                        </wps:txbx>
                        <wps:bodyPr rot="0" vert="horz" wrap="square" lIns="54000" tIns="45720" rIns="18000" bIns="45720" anchor="ctr" anchorCtr="0" upright="1">
                          <a:noAutofit/>
                        </wps:bodyPr>
                      </wps:wsp>
                      <wps:wsp>
                        <wps:cNvPr id="666" name="AutoShape 60"/>
                        <wps:cNvSpPr>
                          <a:spLocks noChangeArrowheads="1"/>
                        </wps:cNvSpPr>
                        <wps:spPr bwMode="auto">
                          <a:xfrm>
                            <a:off x="6108" y="13766"/>
                            <a:ext cx="2388" cy="448"/>
                          </a:xfrm>
                          <a:prstGeom prst="flowChartAlternateProcess">
                            <a:avLst/>
                          </a:prstGeom>
                          <a:solidFill>
                            <a:srgbClr val="FFFFFF"/>
                          </a:solidFill>
                          <a:ln w="19050">
                            <a:solidFill>
                              <a:schemeClr val="accent1">
                                <a:lumMod val="100000"/>
                                <a:lumOff val="0"/>
                              </a:schemeClr>
                            </a:solidFill>
                            <a:miter lim="800000"/>
                            <a:headEnd/>
                            <a:tailEnd/>
                          </a:ln>
                        </wps:spPr>
                        <wps:txbx>
                          <w:txbxContent>
                            <w:p w:rsidR="00926FD1" w:rsidRPr="001B061C" w:rsidRDefault="00926FD1" w:rsidP="0078789A">
                              <w:pPr>
                                <w:rPr>
                                  <w:rFonts w:asciiTheme="minorHAnsi" w:hAnsiTheme="minorHAnsi" w:cstheme="minorHAnsi"/>
                                </w:rPr>
                              </w:pPr>
                              <w:r w:rsidRPr="00BF7A32">
                                <w:rPr>
                                  <w:rFonts w:asciiTheme="minorHAnsi" w:hAnsiTheme="minorHAnsi" w:cstheme="minorHAnsi"/>
                                  <w:sz w:val="22"/>
                                </w:rPr>
                                <w:t>Services</w:t>
                              </w:r>
                            </w:p>
                          </w:txbxContent>
                        </wps:txbx>
                        <wps:bodyPr rot="0" vert="horz" wrap="square" lIns="54000" tIns="45720" rIns="18000" bIns="45720" anchor="ctr" anchorCtr="0" upright="1">
                          <a:noAutofit/>
                        </wps:bodyPr>
                      </wps:wsp>
                      <wps:wsp>
                        <wps:cNvPr id="667" name="AutoShape 61"/>
                        <wps:cNvCnPr>
                          <a:cxnSpLocks noChangeShapeType="1"/>
                          <a:stCxn id="62" idx="3"/>
                          <a:endCxn id="63" idx="1"/>
                        </wps:cNvCnPr>
                        <wps:spPr bwMode="auto">
                          <a:xfrm>
                            <a:off x="4995" y="5499"/>
                            <a:ext cx="1113" cy="3"/>
                          </a:xfrm>
                          <a:prstGeom prst="straightConnector1">
                            <a:avLst/>
                          </a:prstGeom>
                          <a:noFill/>
                          <a:ln w="190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o:spid="_x0000_s1034" alt="Title: Figure B-1: G-cubed model version E123 - Description: This Figure shows 9 countries and regions: Australia; US; China; Western Europe; Japan; Rest of OECD; Other developing countries; Eastern Europe and former USSR; Oil exporting countries and Middle East. It also shows 12 sectors: Electric utilities; Gas utilities; Petroleum refining; Coal mining; Crude oil extraction; Gas extraction; Other mining; Agriculture, forestry and wood products; Durable goods manufacturing; Non-durable goods manufacturing; Transportation; Services." style="position:absolute;margin-left:-5.6pt;margin-top:24pt;width:426.85pt;height:456.8pt;z-index:251753472" coordorigin="2335,5078" coordsize="6161,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">
                <v:roundrect id="AutoShape 35" o:spid="_x0000_s1035" style="position:absolute;left:2335;top:5078;width:2660;height:8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nJEcUA&#10;AADbAAAADwAAAGRycy9kb3ducmV2LnhtbESPT2vCQBTE70K/w/IEb7rRQ2yjq7QF/4HQanvQ2yP7&#10;ugnNvg3ZNcZv7wqFHoeZ+Q0zX3a2Ei01vnSsYDxKQBDnTpdsFHx/rYbPIHxA1lg5JgU38rBcPPXm&#10;mGl35QO1x2BEhLDPUEERQp1J6fOCLPqRq4mj9+MaiyHKxkjd4DXCbSUnSZJKiyXHhQJrei8o/z1e&#10;rAJr0lwf2vXutJ9+vJ3OG20+yxelBv3udQYiUBf+w3/trVaQTuDx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ckRxQAAANsAAAAPAAAAAAAAAAAAAAAAAJgCAABkcnMv&#10;ZG93bnJldi54bWxQSwUGAAAAAAQABAD1AAAAigMAAAAA&#10;" strokecolor="#4f81bd [3204]" strokeweight="1.5pt">
                  <v:stroke joinstyle="miter"/>
                  <v:textbox inset="1.5mm,,.5mm">
                    <w:txbxContent>
                      <w:p w:rsidR="00926FD1" w:rsidRPr="001B061C" w:rsidRDefault="00926FD1" w:rsidP="0078789A">
                        <w:pPr>
                          <w:jc w:val="center"/>
                          <w:rPr>
                            <w:rFonts w:asciiTheme="minorHAnsi" w:hAnsiTheme="minorHAnsi" w:cstheme="minorHAnsi"/>
                            <w:b/>
                            <w:u w:val="single"/>
                            <w:lang w:val="en-US"/>
                          </w:rPr>
                        </w:pPr>
                        <w:r w:rsidRPr="001B061C">
                          <w:rPr>
                            <w:rFonts w:asciiTheme="minorHAnsi" w:hAnsiTheme="minorHAnsi" w:cstheme="minorHAnsi"/>
                            <w:b/>
                            <w:u w:val="single"/>
                            <w:lang w:val="en-US"/>
                          </w:rPr>
                          <w:t xml:space="preserve">9 countries </w:t>
                        </w:r>
                        <w:r>
                          <w:rPr>
                            <w:rFonts w:asciiTheme="minorHAnsi" w:hAnsiTheme="minorHAnsi" w:cstheme="minorHAnsi"/>
                            <w:b/>
                            <w:u w:val="single"/>
                            <w:lang w:val="en-US"/>
                          </w:rPr>
                          <w:br/>
                        </w:r>
                        <w:r w:rsidRPr="001B061C">
                          <w:rPr>
                            <w:rFonts w:asciiTheme="minorHAnsi" w:hAnsiTheme="minorHAnsi" w:cstheme="minorHAnsi"/>
                            <w:b/>
                            <w:u w:val="single"/>
                            <w:lang w:val="en-US"/>
                          </w:rPr>
                          <w:t>and regions</w:t>
                        </w:r>
                      </w:p>
                    </w:txbxContent>
                  </v:textbox>
                </v:roundrect>
                <v:roundrect id="AutoShape 36" o:spid="_x0000_s1036" style="position:absolute;left:6108;top:5243;width:2342;height:5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sisUA&#10;AADbAAAADwAAAGRycy9kb3ducmV2LnhtbESPT2vCQBTE7wW/w/IEb3VjhVSjq7QFbYVC/XfQ2yP7&#10;3ASzb0N2G9Nv7xYKPQ4z8xtmvuxsJVpqfOlYwWiYgCDOnS7ZKDgeVo8TED4ga6wck4If8rBc9B7m&#10;mGl34x21+2BEhLDPUEERQp1J6fOCLPqhq4mjd3GNxRBlY6Ru8BbhtpJPSZJKiyXHhQJreisov+6/&#10;rQJr0lzv2vXm9Pn89Xo6v2uzLadKDfrdywxEoC78h//aH1pBOob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WyKxQAAANsAAAAPAAAAAAAAAAAAAAAAAJgCAABkcnMv&#10;ZG93bnJldi54bWxQSwUGAAAAAAQABAD1AAAAigMAAAAA&#10;" strokecolor="#4f81bd [3204]" strokeweight="1.5pt">
                  <v:stroke joinstyle="miter"/>
                  <v:textbox inset="1.5mm,,.5mm">
                    <w:txbxContent>
                      <w:p w:rsidR="00926FD1" w:rsidRPr="001B061C" w:rsidRDefault="00926FD1" w:rsidP="0078789A">
                        <w:pPr>
                          <w:jc w:val="center"/>
                          <w:rPr>
                            <w:rFonts w:asciiTheme="minorHAnsi" w:hAnsiTheme="minorHAnsi" w:cstheme="minorHAnsi"/>
                            <w:b/>
                            <w:u w:val="single"/>
                            <w:lang w:val="en-US"/>
                          </w:rPr>
                        </w:pPr>
                        <w:r w:rsidRPr="001B061C">
                          <w:rPr>
                            <w:rFonts w:asciiTheme="minorHAnsi" w:hAnsiTheme="minorHAnsi" w:cstheme="minorHAnsi"/>
                            <w:b/>
                            <w:u w:val="single"/>
                            <w:lang w:val="en-US"/>
                          </w:rPr>
                          <w:t>12 sectors</w:t>
                        </w:r>
                      </w:p>
                    </w:txbxContent>
                  </v:textbox>
                </v:roundrect>
                <v:group id="Group 39" o:spid="_x0000_s1037" style="position:absolute;left:2335;top:6335;width:2646;height:6266" coordorigin="2971,1795" coordsize="2646,6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38" type="#_x0000_t176" style="position:absolute;left:2985;top:4518;width:852;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4Z378A&#10;AADcAAAADwAAAGRycy9kb3ducmV2LnhtbERPzYrCMBC+C75DGMGbpnrQbjWKFAQRV9zqAwzN2Bab&#10;SW2i1rffHASPH9//ct2ZWjypdZVlBZNxBII4t7riQsHlvB3FIJxH1lhbJgVvcrBe9XtLTLR98R89&#10;M1+IEMIuQQWl900ipctLMujGtiEO3NW2Bn2AbSF1i68Qbmo5jaKZNFhxaCixobSk/JY9jIL9/jD/&#10;Pdbp/eTyeGJNnJ0qTpUaDrrNAoSnzn/FH/dOK5j+hPnhTDg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hnfvwAAANwAAAAPAAAAAAAAAAAAAAAAAJgCAABkcnMvZG93bnJl&#10;di54bWxQSwUGAAAAAAQABAD1AAAAhAM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Japan</w:t>
                          </w:r>
                        </w:p>
                      </w:txbxContent>
                    </v:textbox>
                  </v:shape>
                  <v:shape id="AutoShape 41" o:spid="_x0000_s1039" type="#_x0000_t176" style="position:absolute;left:2985;top:3156;width:785;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HqMMA&#10;AADcAAAADwAAAGRycy9kb3ducmV2LnhtbESP0YrCMBRE3wX/IVzBN01V0No1ihQEERW37gdcmrtt&#10;2eamNlHr35uFhX0cZuYMs9p0phYPal1lWcFkHIEgzq2uuFDwdd2NYhDOI2usLZOCFznYrPu9FSba&#10;PvmTHpkvRICwS1BB6X2TSOnykgy6sW2Ig/dtW4M+yLaQusVngJtaTqNoLg1WHBZKbCgtKf/J7kbB&#10;4XBcnM51eru4PJ5YE2eXilOlhoNu+wHCU+f/w3/tvVYwXc7g90w4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yHqMMAAADcAAAADwAAAAAAAAAAAAAAAACYAgAAZHJzL2Rv&#10;d25yZXYueG1sUEsFBgAAAAAEAAQA9QAAAIgDA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China</w:t>
                          </w:r>
                        </w:p>
                      </w:txbxContent>
                    </v:textbox>
                  </v:shape>
                  <v:shape id="AutoShape 42" o:spid="_x0000_s1040" type="#_x0000_t176" style="position:absolute;left:2985;top:3840;width:1520;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f3MMA&#10;AADcAAAADwAAAGRycy9kb3ducmV2LnhtbESP0YrCMBRE3wX/IVzBN00V0do1ihQEERW37gdcmrtt&#10;2eamNlHr35uFhX0cZuYMs9p0phYPal1lWcFkHIEgzq2uuFDwdd2NYhDOI2usLZOCFznYrPu9FSba&#10;PvmTHpkvRICwS1BB6X2TSOnykgy6sW2Ig/dtW4M+yLaQusVngJtaTqNoLg1WHBZKbCgtKf/J7kbB&#10;4XBcnM51eru4PJ5YE2eXilOlhoNu+wHCU+f/w3/tvVYwXc7g90w4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Uf3MMAAADcAAAADwAAAAAAAAAAAAAAAACYAgAAZHJzL2Rv&#10;d25yZXYueG1sUEsFBgAAAAAEAAQA9QAAAIgDA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Western Europe</w:t>
                          </w:r>
                        </w:p>
                      </w:txbxContent>
                    </v:textbox>
                  </v:shape>
                  <v:shape id="AutoShape 43" o:spid="_x0000_s1041" type="#_x0000_t176" style="position:absolute;left:2985;top:5180;width:1384;height: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bscIA&#10;AADcAAAADwAAAGRycy9kb3ducmV2LnhtbESP0YrCMBRE3xf8h3AF39ZUBS3VKFIQRFS0+gGX5toW&#10;m5vaRO3+/UZY2MdhZs4wi1VnavGi1lWWFYyGEQji3OqKCwXXy+Y7BuE8ssbaMin4IQerZe9rgYm2&#10;bz7TK/OFCBB2CSoovW8SKV1ekkE3tA1x8G62NeiDbAupW3wHuKnlOIqm0mDFYaHEhtKS8nv2NAp2&#10;u/3scKzTx8nl8ciaODtVnCo16HfrOQhPnf8P/7W3WsEkmsHnTDg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BuxwgAAANwAAAAPAAAAAAAAAAAAAAAAAJgCAABkcnMvZG93&#10;bnJldi54bWxQSwUGAAAAAAQABAD1AAAAhwM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Rest of OECD</w:t>
                          </w:r>
                        </w:p>
                      </w:txbxContent>
                    </v:textbox>
                  </v:shape>
                  <v:shape id="AutoShape 44" o:spid="_x0000_s1042" type="#_x0000_t176" style="position:absolute;left:2971;top:7273;width:2646;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63MIA&#10;AADcAAAADwAAAGRycy9kb3ducmV2LnhtbERPz2vCMBS+D/wfwhN2m6niRKpRZHPqSaZV8fhonk2x&#10;eSlN1O6/Nwdhx4/v93Te2krcqfGlYwX9XgKCOHe65ELBIfv5GIPwAVlj5ZgU/JGH+azzNsVUuwfv&#10;6L4PhYgh7FNUYEKoUyl9bsii77maOHIX11gMETaF1A0+Yrit5CBJRtJiybHBYE1fhvLr/mYVHLfD&#10;68msx+fl4rfOVpfd92r7mSn13m0XExCB2vAvfrk3WsFoGOfHM/EI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PrcwgAAANwAAAAPAAAAAAAAAAAAAAAAAJgCAABkcnMvZG93&#10;bnJldi54bWxQSwUGAAAAAAQABAD1AAAAhwM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Oil exporting countries and Middle East</w:t>
                          </w:r>
                        </w:p>
                      </w:txbxContent>
                    </v:textbox>
                  </v:shape>
                  <v:shape id="AutoShape 45" o:spid="_x0000_s1043" type="#_x0000_t176" style="position:absolute;left:2985;top:6540;width:2597;height: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XMEA&#10;AADcAAAADwAAAGRycy9kb3ducmV2LnhtbERP3WqDMBS+L/Qdwhn0rsYO2okzyhAGo6yjc3uAgzlV&#10;qTmxJlP39s3FYJcf339WLKYXE42us6xgF8UgiGurO24UfH+9bhMQziNr7C2Tgl9yUOTrVYaptjN/&#10;0lT5RoQQdikqaL0fUild3ZJBF9mBOHAXOxr0AY6N1CPOIdz08jGOD9Jgx6GhxYHKlupr9WMUHI/v&#10;T6ePvrydXZ3srEmqc8elUpuH5eUZhKfF/4v/3G9awWEf5ocz4Qj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4D1zBAAAA3AAAAA8AAAAAAAAAAAAAAAAAmAIAAGRycy9kb3du&#10;cmV2LnhtbFBLBQYAAAAABAAEAPUAAACGAw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Eastern Europe and former USSR</w:t>
                          </w:r>
                        </w:p>
                      </w:txbxContent>
                    </v:textbox>
                  </v:shape>
                  <v:shape id="AutoShape 46" o:spid="_x0000_s1044" type="#_x0000_t176" style="position:absolute;left:2985;top:5860;width:2597;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qx8MA&#10;AADcAAAADwAAAGRycy9kb3ducmV2LnhtbESP0YrCMBRE34X9h3AXfNO0glq6RpHCgoiKdvcDLs3d&#10;ttjcdJuo9e+NIPg4zMwZZrHqTSOu1LnasoJ4HIEgLqyuuVTw+/M9SkA4j6yxsUwK7uRgtfwYLDDV&#10;9sYnuua+FAHCLkUFlfdtKqUrKjLoxrYlDt6f7Qz6ILtS6g5vAW4aOYmimTRYc1iosKWsouKcX4yC&#10;7XY33x+a7P/oiiS2JsmPNWdKDT/79RcIT71/h1/tjVYwm8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Sqx8MAAADcAAAADwAAAAAAAAAAAAAAAACYAgAAZHJzL2Rv&#10;d25yZXYueG1sUEsFBgAAAAAEAAQA9QAAAIgDA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Other developing countries</w:t>
                          </w:r>
                        </w:p>
                      </w:txbxContent>
                    </v:textbox>
                  </v:shape>
                  <v:shape id="AutoShape 47" o:spid="_x0000_s1045" type="#_x0000_t176" style="position:absolute;left:2985;top:2476;width:852;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0sMQA&#10;AADcAAAADwAAAGRycy9kb3ducmV2LnhtbESP0WqDQBRE3wv9h+UG8lbXBGrFZhOCUCghCcb0Ay7u&#10;rUrdu9bdqv37biDQx2FmzjCb3Ww6MdLgWssKVlEMgriyuuVawcf17SkF4Tyyxs4yKfglB7vt48MG&#10;M20nvtBY+loECLsMFTTe95mUrmrIoItsTxy8TzsY9EEOtdQDTgFuOrmO40QabDksNNhT3lD1Vf4Y&#10;BYfD8eV07vLvwlXpypq0LFrOlVou5v0rCE+z/w/f2+9aQfK8htu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mNLDEAAAA3AAAAA8AAAAAAAAAAAAAAAAAmAIAAGRycy9k&#10;b3ducmV2LnhtbFBLBQYAAAAABAAEAPUAAACJAw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US</w:t>
                          </w:r>
                        </w:p>
                      </w:txbxContent>
                    </v:textbox>
                  </v:shape>
                  <v:shape id="AutoShape 48" o:spid="_x0000_s1046" type="#_x0000_t176" style="position:absolute;left:2985;top:1795;width:988;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JX8UA&#10;AADcAAAADwAAAGRycy9kb3ducmV2LnhtbESP0WrCQBRE3wv+w3KFvtVNSmtDdBMkUCjSiqZ+wCV7&#10;TYLZuzG7NenfdwuCj8PMnGHW+WQ6caXBtZYVxIsIBHFldcu1guP3+1MCwnlkjZ1lUvBLDvJs9rDG&#10;VNuRD3QtfS0ChF2KChrv+1RKVzVk0C1sTxy8kx0M+iCHWuoBxwA3nXyOoqU02HJYaLCnoqHqXP4Y&#10;Bdvt59vXrisue1clsTVJuW+5UOpxPm1WIDxN/h6+tT+0guXrC/y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wlfxQAAANwAAAAPAAAAAAAAAAAAAAAAAJgCAABkcnMv&#10;ZG93bnJldi54bWxQSwUGAAAAAAQABAD1AAAAigM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Australia</w:t>
                          </w:r>
                        </w:p>
                      </w:txbxContent>
                    </v:textbox>
                  </v:shape>
                </v:group>
                <v:shape id="AutoShape 49" o:spid="_x0000_s1047" type="#_x0000_t176" style="position:absolute;left:6108;top:8963;width:2361;height: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xMMA&#10;AADcAAAADwAAAGRycy9kb3ducmV2LnhtbESP0YrCMBRE3wX/IVzBN5u6oJZqFCksiLjidv2AS3Nt&#10;i81NbaJ2/36zIPg4zMwZZrXpTSMe1LnasoJpFIMgLqyuuVRw/vmcJCCcR9bYWCYFv+Rgsx4OVphq&#10;++RveuS+FAHCLkUFlfdtKqUrKjLoItsSB+9iO4M+yK6UusNngJtGfsTxXBqsOSxU2FJWUXHN70bB&#10;fn9YfB2b7HZyRTK1JslPNWdKjUf9dgnCU+/f4Vd7pxXMZzP4Px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sxMMAAADcAAAADwAAAAAAAAAAAAAAAACYAgAAZHJzL2Rv&#10;d25yZXYueG1sUEsFBgAAAAAEAAQA9QAAAIgDA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Crude oil extraction</w:t>
                        </w:r>
                      </w:p>
                      <w:p w:rsidR="00926FD1" w:rsidRPr="001B061C" w:rsidRDefault="00926FD1" w:rsidP="0078789A">
                        <w:pPr>
                          <w:pStyle w:val="PlainText"/>
                          <w:rPr>
                            <w:rFonts w:asciiTheme="minorHAnsi" w:hAnsiTheme="minorHAnsi" w:cstheme="minorHAnsi"/>
                          </w:rPr>
                        </w:pPr>
                      </w:p>
                    </w:txbxContent>
                  </v:textbox>
                </v:shape>
                <v:shape id="AutoShape 50" o:spid="_x0000_s1048" type="#_x0000_t176" style="position:absolute;left:6108;top:7660;width:2335;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0ys8QA&#10;AADcAAAADwAAAGRycy9kb3ducmV2LnhtbESP0WqDQBRE3wP9h+UW+hbXBGrEuglBKITQlMT2Ay7u&#10;rUrcu9bdqv37bqCQx2FmzjD5bjadGGlwrWUFqygGQVxZ3XKt4PPjdZmCcB5ZY2eZFPySg932YZFj&#10;pu3EFxpLX4sAYZehgsb7PpPSVQ0ZdJHtiYP3ZQeDPsihlnrAKcBNJ9dxnEiDLYeFBnsqGqqu5Y9R&#10;cDy+bU7vXfF9dlW6siYtzy0XSj09zvsXEJ5mfw//tw9aQfKc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dMrPEAAAA3AAAAA8AAAAAAAAAAAAAAAAAmAIAAGRycy9k&#10;b3ducmV2LnhtbFBLBQYAAAAABAAEAPUAAACJAw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 xml:space="preserve">Petroleum refining </w:t>
                        </w:r>
                      </w:p>
                    </w:txbxContent>
                  </v:textbox>
                </v:shape>
                <v:shape id="AutoShape 51" o:spid="_x0000_s1049" type="#_x0000_t176" style="position:absolute;left:6108;top:8315;width:2350;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XKMQA&#10;AADcAAAADwAAAGRycy9kb3ducmV2LnhtbESP0WrCQBRE3wv+w3KFvtWNhSYhdRUJFIpYibEfcMne&#10;JqHZuzG7NfHvu4Lg4zAzZ5jVZjKduNDgWssKlosIBHFldcu1gu/Tx0sKwnlkjZ1lUnAlB5v17GmF&#10;mbYjH+lS+loECLsMFTTe95mUrmrIoFvYnjh4P3Yw6IMcaqkHHAPcdPI1imJpsOWw0GBPeUPVb/ln&#10;FOx2++Tr0OXnwlXp0pq0LFrOlXqeT9t3EJ4m/wjf259aQfyWwO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lyjEAAAA3AAAAA8AAAAAAAAAAAAAAAAAmAIAAGRycy9k&#10;b3ducmV2LnhtbFBLBQYAAAAABAAEAPUAAACJAw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Coal mining</w:t>
                        </w:r>
                      </w:p>
                    </w:txbxContent>
                  </v:textbox>
                </v:shape>
                <v:shape id="AutoShape 52" o:spid="_x0000_s1050" type="#_x0000_t176" style="position:absolute;left:6108;top:9559;width:2361;height: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DWsEA&#10;AADcAAAADwAAAGRycy9kb3ducmV2LnhtbERP3WqDMBS+L/Qdwhn0rsYO2okzyhAGo6yjc3uAgzlV&#10;qTmxJlP39s3FYJcf339WLKYXE42us6xgF8UgiGurO24UfH+9bhMQziNr7C2Tgl9yUOTrVYaptjN/&#10;0lT5RoQQdikqaL0fUild3ZJBF9mBOHAXOxr0AY6N1CPOIdz08jGOD9Jgx6GhxYHKlupr9WMUHI/v&#10;T6ePvrydXZ3srEmqc8elUpuH5eUZhKfF/4v/3G9awWEf1oYz4Qj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OA1rBAAAA3AAAAA8AAAAAAAAAAAAAAAAAmAIAAGRycy9kb3du&#10;cmV2LnhtbFBLBQYAAAAABAAEAPUAAACGAw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Gas extraction</w:t>
                        </w:r>
                      </w:p>
                      <w:p w:rsidR="00926FD1" w:rsidRPr="001B061C" w:rsidRDefault="00926FD1" w:rsidP="0078789A">
                        <w:pPr>
                          <w:pStyle w:val="PlainText"/>
                          <w:rPr>
                            <w:rFonts w:asciiTheme="minorHAnsi" w:hAnsiTheme="minorHAnsi" w:cstheme="minorHAnsi"/>
                          </w:rPr>
                        </w:pPr>
                      </w:p>
                    </w:txbxContent>
                  </v:textbox>
                </v:shape>
                <v:shape id="AutoShape 53" o:spid="_x0000_s1051" type="#_x0000_t176" style="position:absolute;left:6108;top:11813;width:236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FnMYA&#10;AADcAAAADwAAAGRycy9kb3ducmV2LnhtbESPT2sCMRTE7wW/Q3gFbzVbUbFbo4h/e5LqtqXHx+a5&#10;Wdy8LJuo67c3QqHHYWZ+w0xmra3EhRpfOlbw2ktAEOdOl1wo+MrWL2MQPiBrrByTght5mE07TxNM&#10;tbvyni6HUIgIYZ+iAhNCnUrpc0MWfc/VxNE7usZiiLIppG7wGuG2kv0kGUmLJccFgzUtDOWnw9kq&#10;+N4NTj9mO/5dzT/rbHPcLze7YaZU97mdv4MI1Ib/8F/7QysYDd/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vFnMYAAADcAAAADwAAAAAAAAAAAAAAAACYAgAAZHJz&#10;L2Rvd25yZXYueG1sUEsFBgAAAAAEAAQA9QAAAIsDA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Durable goods</w:t>
                        </w:r>
                        <w:r>
                          <w:rPr>
                            <w:rFonts w:asciiTheme="minorHAnsi" w:hAnsiTheme="minorHAnsi" w:cstheme="minorHAnsi"/>
                          </w:rPr>
                          <w:t xml:space="preserve"> manufacturing</w:t>
                        </w:r>
                      </w:p>
                    </w:txbxContent>
                  </v:textbox>
                </v:shape>
                <v:shape id="AutoShape 54" o:spid="_x0000_s1052" type="#_x0000_t176" style="position:absolute;left:6108;top:10880;width:2388;height: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F4cAA&#10;AADcAAAADwAAAGRycy9kb3ducmV2LnhtbERPzYrCMBC+C75DmAVvmtZDt1SjLAVBiitafYChmW3L&#10;NpPaRO2+vTksePz4/tfb0XTiQYNrLSuIFxEI4srqlmsF18tunoJwHlljZ5kU/JGD7WY6WWOm7ZPP&#10;9Ch9LUIIuwwVNN73mZSuasigW9ieOHA/djDoAxxqqQd8hnDTyWUUJdJgy6GhwZ7yhqrf8m4UFMXh&#10;8/vY5beTq9LYmrQ8tZwrNfsYv1YgPI3+Lf5377WCJAnzw5lwBO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TF4cAAAADcAAAADwAAAAAAAAAAAAAAAACYAgAAZHJzL2Rvd25y&#10;ZXYueG1sUEsFBgAAAAAEAAQA9QAAAIUDA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Agriculture, forestry and wood products</w:t>
                        </w:r>
                      </w:p>
                    </w:txbxContent>
                  </v:textbox>
                </v:shape>
                <v:shape id="AutoShape 55" o:spid="_x0000_s1053" type="#_x0000_t176" style="position:absolute;left:6108;top:10162;width:2361;height: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gesMA&#10;AADcAAAADwAAAGRycy9kb3ducmV2LnhtbESP0YrCMBRE3xf8h3AF39a0+9At1ShSEBbRRbv7AZfm&#10;2habm9pErX9vBMHHYWbOMPPlYFpxpd41lhXE0wgEcWl1w5WC/7/1ZwrCeWSNrWVScCcHy8XoY46Z&#10;tjc+0LXwlQgQdhkqqL3vMildWZNBN7UdcfCOtjfog+wrqXu8Bbhp5VcUJdJgw2Ghxo7ymspTcTEK&#10;Npvt9+63zc97V6axNWmxbzhXajIeVjMQngb/Dr/aP1pBksTwPBOO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hgesMAAADcAAAADwAAAAAAAAAAAAAAAACYAgAAZHJzL2Rv&#10;d25yZXYueG1sUEsFBgAAAAAEAAQA9QAAAIgDA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Other mining</w:t>
                        </w:r>
                      </w:p>
                      <w:p w:rsidR="00926FD1" w:rsidRPr="001B061C" w:rsidRDefault="00926FD1" w:rsidP="0078789A">
                        <w:pPr>
                          <w:pStyle w:val="PlainText"/>
                          <w:rPr>
                            <w:rFonts w:asciiTheme="minorHAnsi" w:hAnsiTheme="minorHAnsi" w:cstheme="minorHAnsi"/>
                          </w:rPr>
                        </w:pPr>
                      </w:p>
                    </w:txbxContent>
                  </v:textbox>
                </v:shape>
                <v:shape id="AutoShape 56" o:spid="_x0000_s1054" type="#_x0000_t176" style="position:absolute;left:6108;top:7012;width:2346;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DcMA&#10;AADcAAAADwAAAGRycy9kb3ducmV2LnhtbESP0YrCMBRE34X9h3AF32yqD7V0jSIFQcQVrfsBl+Zu&#10;W7a56TZR699vBMHHYWbOMMv1YFpxo941lhXMohgEcWl1w5WC78t2moJwHllja5kUPMjBevUxWmKm&#10;7Z3PdCt8JQKEXYYKau+7TEpX1mTQRbYjDt6P7Q36IPtK6h7vAW5aOY/jRBpsOCzU2FFeU/lbXI2C&#10;/f6w+Dq2+d/JlenMmrQ4NZwrNRkPm08Qngb/Dr/aO60gSeb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r+DcMAAADcAAAADwAAAAAAAAAAAAAAAACYAgAAZHJzL2Rv&#10;d25yZXYueG1sUEsFBgAAAAAEAAQA9QAAAIgDA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Gas utilities</w:t>
                        </w:r>
                      </w:p>
                    </w:txbxContent>
                  </v:textbox>
                </v:shape>
                <v:shape id="AutoShape 57" o:spid="_x0000_s1055" type="#_x0000_t176" style="position:absolute;left:6108;top:6355;width:2335;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blsQA&#10;AADcAAAADwAAAGRycy9kb3ducmV2LnhtbESP0WqDQBRE3wP9h+UW+hbXpGDEuglBKITQlMT2Ay7u&#10;rUrcu9bdqv37bqCQx2FmzjD5bjadGGlwrWUFqygGQVxZ3XKt4PPjdZmCcB5ZY2eZFPySg932YZFj&#10;pu3EFxpLX4sAYZehgsb7PpPSVQ0ZdJHtiYP3ZQeDPsihlnrAKcBNJ9dxnEiDLYeFBnsqGqqu5Y9R&#10;cDy+bU7vXfF9dlW6siYtzy0XSj09zvsXEJ5mfw//tw9aQZI8w+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W5bEAAAA3AAAAA8AAAAAAAAAAAAAAAAAmAIAAGRycy9k&#10;b3ducmV2LnhtbFBLBQYAAAAABAAEAPUAAACJAw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Electric utilities</w:t>
                        </w:r>
                      </w:p>
                    </w:txbxContent>
                  </v:textbox>
                </v:shape>
                <v:shape id="AutoShape 58" o:spid="_x0000_s1056" type="#_x0000_t176" style="position:absolute;left:6108;top:12466;width:2371;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D4sQA&#10;AADcAAAADwAAAGRycy9kb3ducmV2LnhtbESP0WqDQBRE3wP9h+UW+hbXhGLEuglBKITQlMT2Ay7u&#10;rUrcu9bdqv37bqCQx2FmzjD5bjadGGlwrWUFqygGQVxZ3XKt4PPjdZmCcB5ZY2eZFPySg932YZFj&#10;pu3EFxpLX4sAYZehgsb7PpPSVQ0ZdJHtiYP3ZQeDPsihlnrAKcBNJ9dxnEiDLYeFBnsqGqqu5Y9R&#10;cDy+bU7vXfF9dlW6siYtzy0XSj09zvsXEJ5mfw//tw9aQZI8w+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w+LEAAAA3AAAAA8AAAAAAAAAAAAAAAAAmAIAAGRycy9k&#10;b3ducmV2LnhtbFBLBQYAAAAABAAEAPUAAACJAw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Non-durable</w:t>
                        </w:r>
                        <w:r>
                          <w:rPr>
                            <w:rFonts w:asciiTheme="minorHAnsi" w:hAnsiTheme="minorHAnsi" w:cstheme="minorHAnsi"/>
                          </w:rPr>
                          <w:t xml:space="preserve"> goods manufacturing</w:t>
                        </w:r>
                      </w:p>
                    </w:txbxContent>
                  </v:textbox>
                </v:shape>
                <v:shape id="AutoShape 59" o:spid="_x0000_s1057" type="#_x0000_t176" style="position:absolute;left:6108;top:13108;width:2367;height: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mecQA&#10;AADcAAAADwAAAGRycy9kb3ducmV2LnhtbESP0WqDQBRE3wP9h+UW+hbXBGrEuglBKITQlMT2Ay7u&#10;rUrcu9bdqv37bqCQx2FmzjD5bjadGGlwrWUFqygGQVxZ3XKt4PPjdZmCcB5ZY2eZFPySg932YZFj&#10;pu3EFxpLX4sAYZehgsb7PpPSVQ0ZdJHtiYP3ZQeDPsihlnrAKcBNJ9dxnEiDLYeFBnsqGqqu5Y9R&#10;cDy+bU7vXfF9dlW6siYtzy0XSj09zvsXEJ5mfw//tw9aQZI8w+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jZnnEAAAA3AAAAA8AAAAAAAAAAAAAAAAAmAIAAGRycy9k&#10;b3ducmV2LnhtbFBLBQYAAAAABAAEAPUAAACJAwAAAAA=&#10;" strokecolor="#4f81bd [3204]" strokeweight="1.5pt">
                  <v:textbox inset="1.5mm,,.5mm">
                    <w:txbxContent>
                      <w:p w:rsidR="00926FD1" w:rsidRPr="001B061C" w:rsidRDefault="00926FD1" w:rsidP="0078789A">
                        <w:pPr>
                          <w:pStyle w:val="PlainText"/>
                          <w:rPr>
                            <w:rFonts w:asciiTheme="minorHAnsi" w:hAnsiTheme="minorHAnsi" w:cstheme="minorHAnsi"/>
                          </w:rPr>
                        </w:pPr>
                        <w:r w:rsidRPr="001B061C">
                          <w:rPr>
                            <w:rFonts w:asciiTheme="minorHAnsi" w:hAnsiTheme="minorHAnsi" w:cstheme="minorHAnsi"/>
                          </w:rPr>
                          <w:t>Transportation</w:t>
                        </w:r>
                      </w:p>
                    </w:txbxContent>
                  </v:textbox>
                </v:shape>
                <v:shape id="AutoShape 60" o:spid="_x0000_s1058" type="#_x0000_t176" style="position:absolute;left:6108;top:13766;width:2388;height: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4DsQA&#10;AADcAAAADwAAAGRycy9kb3ducmV2LnhtbESP0WqDQBRE3wP9h+UW+hbX9MGIzSYUIVCkCcb2Ay7u&#10;rUrdu8bdqv37bKGQx2FmzjC7w2J6MdHoOssKNlEMgri2uuNGwefHcZ2CcB5ZY2+ZFPySg8P+YbXD&#10;TNuZLzRVvhEBwi5DBa33Qyalq1sy6CI7EAfvy44GfZBjI/WIc4CbXj7HcSINdhwWWhwob6n+rn6M&#10;gqJ4357OfX4tXZ1urEmrsuNcqafH5fUFhKfF38P/7TetIEkS+DsTjoD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A7EAAAA3AAAAA8AAAAAAAAAAAAAAAAAmAIAAGRycy9k&#10;b3ducmV2LnhtbFBLBQYAAAAABAAEAPUAAACJAwAAAAA=&#10;" strokecolor="#4f81bd [3204]" strokeweight="1.5pt">
                  <v:textbox inset="1.5mm,,.5mm">
                    <w:txbxContent>
                      <w:p w:rsidR="00926FD1" w:rsidRPr="001B061C" w:rsidRDefault="00926FD1" w:rsidP="0078789A">
                        <w:pPr>
                          <w:rPr>
                            <w:rFonts w:asciiTheme="minorHAnsi" w:hAnsiTheme="minorHAnsi" w:cstheme="minorHAnsi"/>
                          </w:rPr>
                        </w:pPr>
                        <w:r w:rsidRPr="00BF7A32">
                          <w:rPr>
                            <w:rFonts w:asciiTheme="minorHAnsi" w:hAnsiTheme="minorHAnsi" w:cstheme="minorHAnsi"/>
                            <w:sz w:val="22"/>
                          </w:rPr>
                          <w:t>Services</w:t>
                        </w:r>
                      </w:p>
                    </w:txbxContent>
                  </v:textbox>
                </v:shape>
                <v:shapetype id="_x0000_t32" coordsize="21600,21600" o:spt="32" o:oned="t" path="m,l21600,21600e" filled="f">
                  <v:path arrowok="t" fillok="f" o:connecttype="none"/>
                  <o:lock v:ext="edit" shapetype="t"/>
                </v:shapetype>
                <v:shape id="AutoShape 61" o:spid="_x0000_s1059" type="#_x0000_t32" style="position:absolute;left:4995;top:5499;width:1113;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6YUcUAAADcAAAADwAAAGRycy9kb3ducmV2LnhtbESPQWvCQBSE74L/YXmFXqTuajFKdBUV&#10;BKERqS2eH9lnEpp9G7JbTfvruwXB4zAz3zCLVWdrcaXWV441jIYKBHHuTMWFhs+P3csMhA/IBmvH&#10;pOGHPKyW/d4CU+Nu/E7XUyhEhLBPUUMZQpNK6fOSLPqha4ijd3GtxRBlW0jT4i3CbS3HSiXSYsVx&#10;ocSGtiXlX6dvq2FwYJn9qvNrUFM12kyO2dvYZlo/P3XrOYhAXXiE7+290ZAkU/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6YUcUAAADcAAAADwAAAAAAAAAA&#10;AAAAAAChAgAAZHJzL2Rvd25yZXYueG1sUEsFBgAAAAAEAAQA+QAAAJMDAAAAAA==&#10;" strokecolor="#4f81bd [3204]" strokeweight="1.5pt"/>
                <w10:wrap type="topAndBottom"/>
              </v:group>
            </w:pict>
          </mc:Fallback>
        </mc:AlternateContent>
      </w:r>
      <w:r w:rsidRPr="00B26171">
        <w:rPr>
          <w:rFonts w:asciiTheme="minorHAnsi" w:hAnsiTheme="minorHAnsi" w:cstheme="minorHAnsi"/>
          <w:b/>
          <w:color w:val="4F81BD" w:themeColor="accent1"/>
          <w:sz w:val="24"/>
          <w:szCs w:val="24"/>
          <w:lang w:val="en-GB"/>
        </w:rPr>
        <w:t>Figure B-1</w:t>
      </w:r>
      <w:r w:rsidR="004650A6" w:rsidRPr="00B26171">
        <w:rPr>
          <w:rFonts w:asciiTheme="minorHAnsi" w:hAnsiTheme="minorHAnsi" w:cstheme="minorHAnsi"/>
          <w:b/>
          <w:color w:val="4F81BD" w:themeColor="accent1"/>
          <w:sz w:val="24"/>
          <w:szCs w:val="24"/>
          <w:lang w:val="en-GB"/>
        </w:rPr>
        <w:t>:</w:t>
      </w:r>
      <w:r w:rsidRPr="00B26171">
        <w:rPr>
          <w:rFonts w:asciiTheme="minorHAnsi" w:hAnsiTheme="minorHAnsi" w:cstheme="minorHAnsi"/>
          <w:b/>
          <w:color w:val="4F81BD" w:themeColor="accent1"/>
          <w:sz w:val="24"/>
          <w:szCs w:val="24"/>
          <w:lang w:val="en-GB"/>
        </w:rPr>
        <w:t xml:space="preserve"> </w:t>
      </w:r>
      <w:r w:rsidRPr="00B26171">
        <w:rPr>
          <w:rFonts w:asciiTheme="minorHAnsi" w:hAnsiTheme="minorHAnsi" w:cstheme="minorHAnsi"/>
          <w:color w:val="4F81BD" w:themeColor="accent1"/>
          <w:sz w:val="24"/>
          <w:szCs w:val="24"/>
        </w:rPr>
        <w:t>G-cubed model version E123</w:t>
      </w:r>
    </w:p>
    <w:p w:rsidR="0078789A" w:rsidRDefault="0078789A" w:rsidP="0078789A">
      <w:pPr>
        <w:pStyle w:val="ListParagraph"/>
        <w:ind w:left="0"/>
        <w:rPr>
          <w:rFonts w:asciiTheme="minorHAnsi" w:hAnsiTheme="minorHAnsi" w:cstheme="minorHAnsi"/>
          <w:b/>
          <w:u w:val="single"/>
        </w:rPr>
      </w:pPr>
    </w:p>
    <w:p w:rsidR="0078789A" w:rsidRPr="00B26171" w:rsidRDefault="0078789A" w:rsidP="0078789A">
      <w:pPr>
        <w:pStyle w:val="ListParagraph"/>
        <w:keepNext/>
        <w:spacing w:after="120"/>
        <w:ind w:left="0"/>
        <w:contextualSpacing w:val="0"/>
        <w:rPr>
          <w:rFonts w:asciiTheme="minorHAnsi" w:hAnsiTheme="minorHAnsi" w:cstheme="minorHAnsi"/>
          <w:color w:val="4F81BD" w:themeColor="accent1"/>
        </w:rPr>
      </w:pPr>
      <w:r w:rsidRPr="00B26171">
        <w:rPr>
          <w:rFonts w:asciiTheme="minorHAnsi" w:hAnsiTheme="minorHAnsi" w:cstheme="minorHAnsi"/>
          <w:b/>
          <w:color w:val="4F81BD" w:themeColor="accent1"/>
        </w:rPr>
        <w:lastRenderedPageBreak/>
        <w:t>Table B-1:</w:t>
      </w:r>
      <w:r w:rsidRPr="00B26171">
        <w:rPr>
          <w:rFonts w:asciiTheme="minorHAnsi" w:hAnsiTheme="minorHAnsi" w:cstheme="minorHAnsi"/>
          <w:color w:val="4F81BD" w:themeColor="accent1"/>
        </w:rPr>
        <w:t xml:space="preserve"> Regional groupings in G-cubed model version E123</w:t>
      </w:r>
    </w:p>
    <w:tbl>
      <w:tblPr>
        <w:tblStyle w:val="LightList-Accent1"/>
        <w:tblW w:w="0" w:type="auto"/>
        <w:tblLook w:val="04A0" w:firstRow="1" w:lastRow="0" w:firstColumn="1" w:lastColumn="0" w:noHBand="0" w:noVBand="1"/>
      </w:tblPr>
      <w:tblGrid>
        <w:gridCol w:w="1101"/>
        <w:gridCol w:w="708"/>
        <w:gridCol w:w="2452"/>
        <w:gridCol w:w="1943"/>
        <w:gridCol w:w="141"/>
        <w:gridCol w:w="993"/>
        <w:gridCol w:w="1184"/>
      </w:tblGrid>
      <w:tr w:rsidR="0078789A" w:rsidRPr="00E960C4" w:rsidTr="00B26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gridSpan w:val="3"/>
            <w:tcBorders>
              <w:top w:val="single" w:sz="8" w:space="0" w:color="996633"/>
              <w:left w:val="single" w:sz="8" w:space="0" w:color="996633"/>
              <w:bottom w:val="single" w:sz="8" w:space="0" w:color="996633"/>
            </w:tcBorders>
            <w:shd w:val="clear" w:color="auto" w:fill="996633"/>
          </w:tcPr>
          <w:p w:rsidR="0078789A" w:rsidRPr="00E960C4" w:rsidRDefault="0078789A" w:rsidP="006207CF">
            <w:pPr>
              <w:pStyle w:val="ListParagraph"/>
              <w:keepNext/>
              <w:ind w:left="0"/>
              <w:rPr>
                <w:rFonts w:asciiTheme="minorHAnsi" w:hAnsiTheme="minorHAnsi" w:cstheme="minorHAnsi"/>
              </w:rPr>
            </w:pPr>
            <w:r w:rsidRPr="00E960C4">
              <w:rPr>
                <w:rFonts w:asciiTheme="minorHAnsi" w:hAnsiTheme="minorHAnsi" w:cstheme="minorHAnsi"/>
              </w:rPr>
              <w:t>Region/country</w:t>
            </w:r>
          </w:p>
        </w:tc>
        <w:tc>
          <w:tcPr>
            <w:tcW w:w="4261" w:type="dxa"/>
            <w:gridSpan w:val="4"/>
            <w:tcBorders>
              <w:top w:val="single" w:sz="8" w:space="0" w:color="996633"/>
              <w:bottom w:val="single" w:sz="8" w:space="0" w:color="996633"/>
              <w:right w:val="single" w:sz="8" w:space="0" w:color="996633"/>
            </w:tcBorders>
            <w:shd w:val="clear" w:color="auto" w:fill="996633"/>
          </w:tcPr>
          <w:p w:rsidR="0078789A" w:rsidRPr="00E960C4" w:rsidRDefault="0078789A" w:rsidP="006207CF">
            <w:pPr>
              <w:pStyle w:val="ListParagraph"/>
              <w:keepNext/>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78789A" w:rsidRPr="00E960C4"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gridSpan w:val="3"/>
            <w:tcBorders>
              <w:top w:val="single" w:sz="8" w:space="0" w:color="996633"/>
              <w:left w:val="single" w:sz="8" w:space="0" w:color="996633"/>
              <w:bottom w:val="nil"/>
            </w:tcBorders>
          </w:tcPr>
          <w:p w:rsidR="0078789A" w:rsidRPr="00BF39AB" w:rsidRDefault="0078789A" w:rsidP="006207CF">
            <w:pPr>
              <w:pStyle w:val="ListParagraph"/>
              <w:keepNext/>
              <w:spacing w:after="60"/>
              <w:ind w:left="0"/>
              <w:contextualSpacing w:val="0"/>
              <w:rPr>
                <w:rFonts w:asciiTheme="minorHAnsi" w:hAnsiTheme="minorHAnsi" w:cstheme="minorHAnsi"/>
                <w:color w:val="4F81BD" w:themeColor="accent1"/>
              </w:rPr>
            </w:pPr>
            <w:r w:rsidRPr="00BF39AB">
              <w:rPr>
                <w:rFonts w:asciiTheme="minorHAnsi" w:hAnsiTheme="minorHAnsi" w:cstheme="minorHAnsi"/>
                <w:color w:val="4F81BD" w:themeColor="accent1"/>
                <w:lang w:val="de-DE"/>
              </w:rPr>
              <w:t>United States</w:t>
            </w:r>
          </w:p>
        </w:tc>
        <w:tc>
          <w:tcPr>
            <w:tcW w:w="4261" w:type="dxa"/>
            <w:gridSpan w:val="4"/>
            <w:tcBorders>
              <w:top w:val="single" w:sz="8" w:space="0" w:color="996633"/>
              <w:bottom w:val="nil"/>
              <w:right w:val="single" w:sz="8" w:space="0" w:color="996633"/>
            </w:tcBorders>
          </w:tcPr>
          <w:p w:rsidR="0078789A" w:rsidRPr="00BF39AB" w:rsidRDefault="0078789A" w:rsidP="006207CF">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p>
        </w:tc>
      </w:tr>
      <w:tr w:rsidR="0078789A" w:rsidRPr="00E960C4" w:rsidTr="00B26171">
        <w:tc>
          <w:tcPr>
            <w:cnfStyle w:val="001000000000" w:firstRow="0" w:lastRow="0" w:firstColumn="1" w:lastColumn="0" w:oddVBand="0" w:evenVBand="0" w:oddHBand="0" w:evenHBand="0" w:firstRowFirstColumn="0" w:firstRowLastColumn="0" w:lastRowFirstColumn="0" w:lastRowLastColumn="0"/>
            <w:tcW w:w="4261" w:type="dxa"/>
            <w:gridSpan w:val="3"/>
            <w:tcBorders>
              <w:top w:val="nil"/>
              <w:left w:val="single" w:sz="8" w:space="0" w:color="996633"/>
              <w:bottom w:val="nil"/>
            </w:tcBorders>
          </w:tcPr>
          <w:p w:rsidR="0078789A" w:rsidRPr="00BF39AB" w:rsidRDefault="0078789A" w:rsidP="006207CF">
            <w:pPr>
              <w:pStyle w:val="ListParagraph"/>
              <w:keepNext/>
              <w:spacing w:after="60"/>
              <w:ind w:left="0"/>
              <w:contextualSpacing w:val="0"/>
              <w:rPr>
                <w:rFonts w:asciiTheme="minorHAnsi" w:hAnsiTheme="minorHAnsi" w:cstheme="minorHAnsi"/>
                <w:color w:val="4F81BD" w:themeColor="accent1"/>
              </w:rPr>
            </w:pPr>
            <w:r w:rsidRPr="00BF39AB">
              <w:rPr>
                <w:rFonts w:asciiTheme="minorHAnsi" w:hAnsiTheme="minorHAnsi" w:cstheme="minorHAnsi"/>
                <w:color w:val="4F81BD" w:themeColor="accent1"/>
                <w:lang w:val="de-DE"/>
              </w:rPr>
              <w:t>Japan</w:t>
            </w:r>
          </w:p>
        </w:tc>
        <w:tc>
          <w:tcPr>
            <w:tcW w:w="4261" w:type="dxa"/>
            <w:gridSpan w:val="4"/>
            <w:tcBorders>
              <w:top w:val="nil"/>
              <w:bottom w:val="nil"/>
              <w:right w:val="single" w:sz="8" w:space="0" w:color="996633"/>
            </w:tcBorders>
          </w:tcPr>
          <w:p w:rsidR="0078789A" w:rsidRPr="00BF39AB" w:rsidRDefault="0078789A" w:rsidP="006207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p>
        </w:tc>
      </w:tr>
      <w:tr w:rsidR="0078789A" w:rsidRPr="00E960C4"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gridSpan w:val="3"/>
            <w:tcBorders>
              <w:top w:val="nil"/>
              <w:left w:val="single" w:sz="8" w:space="0" w:color="996633"/>
              <w:bottom w:val="nil"/>
            </w:tcBorders>
          </w:tcPr>
          <w:p w:rsidR="0078789A" w:rsidRPr="00BF39AB" w:rsidRDefault="0078789A" w:rsidP="006207CF">
            <w:pPr>
              <w:pStyle w:val="ListParagraph"/>
              <w:keepNext/>
              <w:spacing w:after="60"/>
              <w:ind w:left="0"/>
              <w:contextualSpacing w:val="0"/>
              <w:rPr>
                <w:rFonts w:asciiTheme="minorHAnsi" w:hAnsiTheme="minorHAnsi" w:cstheme="minorHAnsi"/>
                <w:color w:val="4F81BD" w:themeColor="accent1"/>
              </w:rPr>
            </w:pPr>
            <w:r w:rsidRPr="00BF39AB">
              <w:rPr>
                <w:rFonts w:asciiTheme="minorHAnsi" w:hAnsiTheme="minorHAnsi" w:cstheme="minorHAnsi"/>
                <w:color w:val="4F81BD" w:themeColor="accent1"/>
              </w:rPr>
              <w:t>Australia</w:t>
            </w:r>
          </w:p>
        </w:tc>
        <w:tc>
          <w:tcPr>
            <w:tcW w:w="4261" w:type="dxa"/>
            <w:gridSpan w:val="4"/>
            <w:tcBorders>
              <w:top w:val="nil"/>
              <w:bottom w:val="nil"/>
              <w:right w:val="single" w:sz="8" w:space="0" w:color="996633"/>
            </w:tcBorders>
          </w:tcPr>
          <w:p w:rsidR="0078789A" w:rsidRPr="00BF39AB" w:rsidRDefault="0078789A" w:rsidP="006207CF">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p>
        </w:tc>
      </w:tr>
      <w:tr w:rsidR="0078789A" w:rsidRPr="00E960C4" w:rsidTr="00B26171">
        <w:tc>
          <w:tcPr>
            <w:cnfStyle w:val="001000000000" w:firstRow="0" w:lastRow="0" w:firstColumn="1" w:lastColumn="0" w:oddVBand="0" w:evenVBand="0" w:oddHBand="0" w:evenHBand="0" w:firstRowFirstColumn="0" w:firstRowLastColumn="0" w:lastRowFirstColumn="0" w:lastRowLastColumn="0"/>
            <w:tcW w:w="4261" w:type="dxa"/>
            <w:gridSpan w:val="3"/>
            <w:tcBorders>
              <w:top w:val="nil"/>
              <w:left w:val="single" w:sz="8" w:space="0" w:color="996633"/>
              <w:bottom w:val="nil"/>
            </w:tcBorders>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China</w:t>
            </w:r>
          </w:p>
        </w:tc>
        <w:tc>
          <w:tcPr>
            <w:tcW w:w="4261" w:type="dxa"/>
            <w:gridSpan w:val="4"/>
            <w:tcBorders>
              <w:top w:val="nil"/>
              <w:bottom w:val="nil"/>
              <w:right w:val="single" w:sz="8" w:space="0" w:color="996633"/>
            </w:tcBorders>
          </w:tcPr>
          <w:p w:rsidR="0078789A" w:rsidRPr="00BF39AB" w:rsidRDefault="0078789A" w:rsidP="006207CF">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p>
        </w:tc>
      </w:tr>
      <w:tr w:rsidR="0078789A" w:rsidRPr="00E960C4"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gridSpan w:val="4"/>
            <w:tcBorders>
              <w:top w:val="nil"/>
              <w:left w:val="single" w:sz="8" w:space="0" w:color="996633"/>
              <w:bottom w:val="nil"/>
            </w:tcBorders>
          </w:tcPr>
          <w:p w:rsidR="0078789A" w:rsidRPr="00BF39AB" w:rsidRDefault="0078789A" w:rsidP="006207CF">
            <w:pPr>
              <w:keepNext/>
              <w:rPr>
                <w:rFonts w:asciiTheme="minorHAnsi" w:hAnsiTheme="minorHAnsi" w:cstheme="minorHAnsi"/>
                <w:color w:val="4F81BD" w:themeColor="accent1"/>
              </w:rPr>
            </w:pPr>
            <w:r w:rsidRPr="00BF39AB">
              <w:rPr>
                <w:rFonts w:asciiTheme="minorHAnsi" w:hAnsiTheme="minorHAnsi" w:cstheme="minorHAnsi"/>
                <w:color w:val="4F81BD" w:themeColor="accent1"/>
              </w:rPr>
              <w:t>Western Europe (used as proxy for European Union)</w:t>
            </w:r>
          </w:p>
        </w:tc>
        <w:tc>
          <w:tcPr>
            <w:tcW w:w="2318" w:type="dxa"/>
            <w:gridSpan w:val="3"/>
            <w:tcBorders>
              <w:top w:val="nil"/>
              <w:bottom w:val="nil"/>
              <w:right w:val="single" w:sz="8" w:space="0" w:color="996633"/>
            </w:tcBorders>
          </w:tcPr>
          <w:p w:rsidR="0078789A" w:rsidRPr="00BF39AB" w:rsidRDefault="0078789A" w:rsidP="006207CF">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p>
        </w:tc>
      </w:tr>
      <w:tr w:rsidR="0078789A" w:rsidRPr="00E960C4" w:rsidTr="00B26171">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996633"/>
              <w:bottom w:val="nil"/>
            </w:tcBorders>
          </w:tcPr>
          <w:p w:rsidR="0078789A" w:rsidRPr="00BF39AB" w:rsidRDefault="0078789A" w:rsidP="006207CF">
            <w:pPr>
              <w:keepNext/>
              <w:rPr>
                <w:rFonts w:asciiTheme="minorHAnsi" w:hAnsiTheme="minorHAnsi" w:cstheme="minorHAnsi"/>
                <w:b w:val="0"/>
                <w:color w:val="4F81BD" w:themeColor="accent1"/>
              </w:rPr>
            </w:pPr>
          </w:p>
        </w:tc>
        <w:tc>
          <w:tcPr>
            <w:tcW w:w="7421" w:type="dxa"/>
            <w:gridSpan w:val="6"/>
            <w:tcBorders>
              <w:top w:val="nil"/>
              <w:bottom w:val="nil"/>
              <w:right w:val="single" w:sz="8" w:space="0" w:color="996633"/>
            </w:tcBorders>
          </w:tcPr>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Germany, France, Italy, Spain, Netherlands, Belgium, Luxemburg, Ireland, Greece, Austria, Portugal, Finland, United Kingdom, Norway, Sweden, Switzerland, Denmark, Iceland, Liechtenstein</w:t>
            </w:r>
          </w:p>
        </w:tc>
      </w:tr>
      <w:tr w:rsidR="0078789A" w:rsidRPr="00E960C4"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gridSpan w:val="2"/>
            <w:tcBorders>
              <w:top w:val="nil"/>
              <w:left w:val="single" w:sz="8" w:space="0" w:color="996633"/>
              <w:bottom w:val="nil"/>
            </w:tcBorders>
          </w:tcPr>
          <w:p w:rsidR="0078789A" w:rsidRPr="00BF39AB" w:rsidRDefault="0078789A" w:rsidP="006207CF">
            <w:pPr>
              <w:keepNext/>
              <w:rPr>
                <w:rFonts w:asciiTheme="minorHAnsi" w:hAnsiTheme="minorHAnsi" w:cstheme="minorHAnsi"/>
                <w:color w:val="4F81BD" w:themeColor="accent1"/>
              </w:rPr>
            </w:pPr>
            <w:r w:rsidRPr="00BF39AB">
              <w:rPr>
                <w:rFonts w:asciiTheme="minorHAnsi" w:hAnsiTheme="minorHAnsi" w:cstheme="minorHAnsi"/>
                <w:color w:val="4F81BD" w:themeColor="accent1"/>
              </w:rPr>
              <w:t>Rest of OECD</w:t>
            </w:r>
          </w:p>
        </w:tc>
        <w:tc>
          <w:tcPr>
            <w:tcW w:w="6713" w:type="dxa"/>
            <w:gridSpan w:val="5"/>
            <w:tcBorders>
              <w:top w:val="nil"/>
              <w:bottom w:val="nil"/>
              <w:right w:val="single" w:sz="8" w:space="0" w:color="996633"/>
            </w:tcBorders>
          </w:tcPr>
          <w:p w:rsidR="0078789A" w:rsidRPr="00BF39AB" w:rsidRDefault="0078789A" w:rsidP="006207CF">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p>
        </w:tc>
      </w:tr>
      <w:tr w:rsidR="0078789A" w:rsidRPr="00E960C4" w:rsidTr="00B26171">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996633"/>
              <w:bottom w:val="nil"/>
            </w:tcBorders>
          </w:tcPr>
          <w:p w:rsidR="0078789A" w:rsidRPr="00BF39AB" w:rsidRDefault="0078789A" w:rsidP="006207CF">
            <w:pPr>
              <w:keepNext/>
              <w:rPr>
                <w:rFonts w:asciiTheme="minorHAnsi" w:hAnsiTheme="minorHAnsi" w:cstheme="minorHAnsi"/>
                <w:color w:val="4F81BD" w:themeColor="accent1"/>
              </w:rPr>
            </w:pPr>
          </w:p>
        </w:tc>
        <w:tc>
          <w:tcPr>
            <w:tcW w:w="7421" w:type="dxa"/>
            <w:gridSpan w:val="6"/>
            <w:tcBorders>
              <w:top w:val="nil"/>
              <w:bottom w:val="nil"/>
              <w:right w:val="single" w:sz="8" w:space="0" w:color="996633"/>
            </w:tcBorders>
          </w:tcPr>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 xml:space="preserve">Canada, New Zealand </w:t>
            </w:r>
          </w:p>
        </w:tc>
      </w:tr>
      <w:tr w:rsidR="0078789A" w:rsidRPr="00E960C4" w:rsidTr="00B02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tcBorders>
              <w:top w:val="nil"/>
              <w:left w:val="single" w:sz="8" w:space="0" w:color="996633"/>
              <w:bottom w:val="nil"/>
            </w:tcBorders>
          </w:tcPr>
          <w:p w:rsidR="0078789A" w:rsidRPr="00BF39AB" w:rsidRDefault="0078789A" w:rsidP="006207CF">
            <w:pPr>
              <w:pStyle w:val="ListParagraph"/>
              <w:keepNext/>
              <w:ind w:left="0"/>
              <w:rPr>
                <w:rFonts w:asciiTheme="minorHAnsi" w:hAnsiTheme="minorHAnsi" w:cstheme="minorHAnsi"/>
                <w:color w:val="4F81BD" w:themeColor="accent1"/>
              </w:rPr>
            </w:pPr>
            <w:r w:rsidRPr="00BF39AB">
              <w:rPr>
                <w:rFonts w:asciiTheme="minorHAnsi" w:hAnsiTheme="minorHAnsi" w:cstheme="minorHAnsi"/>
                <w:color w:val="4F81BD" w:themeColor="accent1"/>
              </w:rPr>
              <w:t>Oil-exporting countries and the Middle East (also referred to as OPEC)</w:t>
            </w:r>
          </w:p>
        </w:tc>
        <w:tc>
          <w:tcPr>
            <w:tcW w:w="1184" w:type="dxa"/>
            <w:tcBorders>
              <w:top w:val="nil"/>
              <w:bottom w:val="nil"/>
              <w:right w:val="single" w:sz="8" w:space="0" w:color="996633"/>
            </w:tcBorders>
          </w:tcPr>
          <w:p w:rsidR="0078789A" w:rsidRPr="00BF39AB" w:rsidRDefault="0078789A" w:rsidP="006207CF">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p>
        </w:tc>
      </w:tr>
      <w:tr w:rsidR="0078789A" w:rsidRPr="00E960C4" w:rsidTr="00B26171">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996633"/>
              <w:bottom w:val="nil"/>
            </w:tcBorders>
          </w:tcPr>
          <w:p w:rsidR="0078789A" w:rsidRPr="00BF39AB" w:rsidRDefault="0078789A" w:rsidP="006207CF">
            <w:pPr>
              <w:pStyle w:val="ListParagraph"/>
              <w:keepNext/>
              <w:ind w:left="0"/>
              <w:rPr>
                <w:rFonts w:asciiTheme="minorHAnsi" w:hAnsiTheme="minorHAnsi" w:cstheme="minorHAnsi"/>
                <w:b w:val="0"/>
                <w:color w:val="4F81BD" w:themeColor="accent1"/>
              </w:rPr>
            </w:pPr>
          </w:p>
        </w:tc>
        <w:tc>
          <w:tcPr>
            <w:tcW w:w="7421" w:type="dxa"/>
            <w:gridSpan w:val="6"/>
            <w:tcBorders>
              <w:top w:val="nil"/>
              <w:bottom w:val="nil"/>
              <w:right w:val="single" w:sz="8" w:space="0" w:color="996633"/>
            </w:tcBorders>
          </w:tcPr>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Ecuador, Nigeria, Angola, Congo, Iran, Venezuela, Algeria, Libya, Bahrain, Iraq, Israel, Jordan, Kuwait, Lebanon, Palestinian Territory, Oman, Qatar, Saudi Arabia, Syrian Arab Republic, United Arab Emirates, Yemen</w:t>
            </w:r>
          </w:p>
        </w:tc>
      </w:tr>
      <w:tr w:rsidR="0078789A" w:rsidRPr="00E960C4"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gridSpan w:val="5"/>
            <w:tcBorders>
              <w:top w:val="nil"/>
              <w:left w:val="single" w:sz="8" w:space="0" w:color="996633"/>
              <w:bottom w:val="nil"/>
            </w:tcBorders>
          </w:tcPr>
          <w:p w:rsidR="0078789A" w:rsidRPr="00BF39AB" w:rsidRDefault="0078789A" w:rsidP="006207CF">
            <w:pPr>
              <w:pStyle w:val="ListParagraph"/>
              <w:keepNext/>
              <w:ind w:left="0"/>
              <w:rPr>
                <w:rFonts w:asciiTheme="minorHAnsi" w:hAnsiTheme="minorHAnsi" w:cstheme="minorHAnsi"/>
                <w:color w:val="4F81BD" w:themeColor="accent1"/>
              </w:rPr>
            </w:pPr>
            <w:r w:rsidRPr="00BF39AB">
              <w:rPr>
                <w:rFonts w:asciiTheme="minorHAnsi" w:hAnsiTheme="minorHAnsi" w:cstheme="minorHAnsi"/>
                <w:color w:val="4F81BD" w:themeColor="accent1"/>
              </w:rPr>
              <w:t>Eastern Europe and Former Soviet Union</w:t>
            </w:r>
          </w:p>
        </w:tc>
        <w:tc>
          <w:tcPr>
            <w:tcW w:w="2177" w:type="dxa"/>
            <w:gridSpan w:val="2"/>
            <w:tcBorders>
              <w:top w:val="nil"/>
              <w:bottom w:val="nil"/>
              <w:right w:val="single" w:sz="8" w:space="0" w:color="996633"/>
            </w:tcBorders>
          </w:tcPr>
          <w:p w:rsidR="0078789A" w:rsidRPr="00BF39AB" w:rsidRDefault="0078789A" w:rsidP="006207CF">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p>
        </w:tc>
      </w:tr>
      <w:tr w:rsidR="0078789A" w:rsidRPr="00E960C4" w:rsidTr="00B26171">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996633"/>
              <w:bottom w:val="nil"/>
            </w:tcBorders>
          </w:tcPr>
          <w:p w:rsidR="0078789A" w:rsidRPr="00BF39AB" w:rsidRDefault="0078789A" w:rsidP="006207CF">
            <w:pPr>
              <w:pStyle w:val="ListParagraph"/>
              <w:keepNext/>
              <w:ind w:left="0"/>
              <w:rPr>
                <w:rFonts w:asciiTheme="minorHAnsi" w:hAnsiTheme="minorHAnsi" w:cstheme="minorHAnsi"/>
                <w:b w:val="0"/>
                <w:color w:val="4F81BD" w:themeColor="accent1"/>
              </w:rPr>
            </w:pPr>
          </w:p>
        </w:tc>
        <w:tc>
          <w:tcPr>
            <w:tcW w:w="7421" w:type="dxa"/>
            <w:gridSpan w:val="6"/>
            <w:tcBorders>
              <w:top w:val="nil"/>
              <w:bottom w:val="nil"/>
              <w:right w:val="single" w:sz="8" w:space="0" w:color="996633"/>
            </w:tcBorders>
          </w:tcPr>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Albania, Armenia, Azerbaijan, Bulgaria, Belarus, Cyprus, Czech Republic, Estonia, Georgia, Croatia, Hungary, Kazakhstan, Kyrgyzstan, Lithuania, Latvia, Malta, Poland, Romania, Russian Federation, Slovakia, Slovenia, Ukraine, Republic of Moldova, Tajikistan, Turkmenistan, Uzbekistan</w:t>
            </w:r>
          </w:p>
        </w:tc>
      </w:tr>
      <w:tr w:rsidR="0078789A" w:rsidRPr="00E960C4"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gridSpan w:val="5"/>
            <w:tcBorders>
              <w:top w:val="nil"/>
              <w:left w:val="single" w:sz="8" w:space="0" w:color="996633"/>
              <w:bottom w:val="nil"/>
            </w:tcBorders>
          </w:tcPr>
          <w:p w:rsidR="0078789A" w:rsidRPr="00BF39AB" w:rsidRDefault="0078789A" w:rsidP="006207CF">
            <w:pPr>
              <w:pStyle w:val="ListParagraph"/>
              <w:keepNext/>
              <w:ind w:left="0"/>
              <w:rPr>
                <w:rFonts w:asciiTheme="minorHAnsi" w:hAnsiTheme="minorHAnsi" w:cstheme="minorHAnsi"/>
                <w:color w:val="4F81BD" w:themeColor="accent1"/>
              </w:rPr>
            </w:pPr>
            <w:r w:rsidRPr="00BF39AB">
              <w:rPr>
                <w:rFonts w:asciiTheme="minorHAnsi" w:hAnsiTheme="minorHAnsi" w:cstheme="minorHAnsi"/>
                <w:color w:val="4F81BD" w:themeColor="accent1"/>
              </w:rPr>
              <w:t>Other Developing Countries</w:t>
            </w:r>
          </w:p>
        </w:tc>
        <w:tc>
          <w:tcPr>
            <w:tcW w:w="2177" w:type="dxa"/>
            <w:gridSpan w:val="2"/>
            <w:tcBorders>
              <w:top w:val="nil"/>
              <w:bottom w:val="nil"/>
              <w:right w:val="single" w:sz="8" w:space="0" w:color="996633"/>
            </w:tcBorders>
          </w:tcPr>
          <w:p w:rsidR="0078789A" w:rsidRPr="00BF39AB" w:rsidRDefault="0078789A" w:rsidP="006207CF">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p>
        </w:tc>
      </w:tr>
      <w:tr w:rsidR="0078789A" w:rsidRPr="00E960C4" w:rsidTr="00B26171">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996633"/>
              <w:bottom w:val="single" w:sz="8" w:space="0" w:color="996633"/>
            </w:tcBorders>
          </w:tcPr>
          <w:p w:rsidR="0078789A" w:rsidRPr="00BF39AB" w:rsidRDefault="0078789A" w:rsidP="006207CF">
            <w:pPr>
              <w:pStyle w:val="ListParagraph"/>
              <w:ind w:left="0"/>
              <w:rPr>
                <w:rFonts w:asciiTheme="minorHAnsi" w:hAnsiTheme="minorHAnsi" w:cstheme="minorHAnsi"/>
                <w:b w:val="0"/>
                <w:color w:val="4F81BD" w:themeColor="accent1"/>
              </w:rPr>
            </w:pPr>
          </w:p>
        </w:tc>
        <w:tc>
          <w:tcPr>
            <w:tcW w:w="7421" w:type="dxa"/>
            <w:gridSpan w:val="6"/>
            <w:tcBorders>
              <w:top w:val="nil"/>
              <w:bottom w:val="single" w:sz="8" w:space="0" w:color="996633"/>
              <w:right w:val="single" w:sz="8" w:space="0" w:color="996633"/>
            </w:tcBorders>
          </w:tcPr>
          <w:p w:rsidR="0078789A" w:rsidRPr="00BF39AB" w:rsidRDefault="0078789A" w:rsidP="006207C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All countries not included in other groups</w:t>
            </w:r>
          </w:p>
        </w:tc>
      </w:tr>
    </w:tbl>
    <w:p w:rsidR="0078789A" w:rsidRDefault="0078789A" w:rsidP="0078789A">
      <w:pPr>
        <w:pStyle w:val="ListParagraph"/>
        <w:ind w:left="0"/>
        <w:rPr>
          <w:rFonts w:asciiTheme="minorHAnsi" w:hAnsiTheme="minorHAnsi" w:cstheme="minorHAnsi"/>
        </w:rPr>
      </w:pPr>
    </w:p>
    <w:p w:rsidR="0078789A" w:rsidRPr="00B26171" w:rsidRDefault="0078789A" w:rsidP="0078789A">
      <w:pPr>
        <w:pStyle w:val="ListParagraph"/>
        <w:keepNext/>
        <w:spacing w:after="120"/>
        <w:ind w:left="0"/>
        <w:contextualSpacing w:val="0"/>
        <w:rPr>
          <w:rFonts w:asciiTheme="minorHAnsi" w:hAnsiTheme="minorHAnsi" w:cstheme="minorHAnsi"/>
          <w:color w:val="4F81BD" w:themeColor="accent1"/>
        </w:rPr>
      </w:pPr>
      <w:r w:rsidRPr="00B26171">
        <w:rPr>
          <w:rFonts w:asciiTheme="minorHAnsi" w:hAnsiTheme="minorHAnsi" w:cstheme="minorHAnsi"/>
          <w:b/>
          <w:color w:val="4F81BD" w:themeColor="accent1"/>
        </w:rPr>
        <w:t>Table B-2:</w:t>
      </w:r>
      <w:r w:rsidRPr="00B26171">
        <w:rPr>
          <w:rFonts w:asciiTheme="minorHAnsi" w:hAnsiTheme="minorHAnsi" w:cstheme="minorHAnsi"/>
          <w:color w:val="4F81BD" w:themeColor="accent1"/>
        </w:rPr>
        <w:t xml:space="preserve"> G-cubed sector mappings to International Standard Industrial Classification of All Economic Activities Revision 3.1 </w:t>
      </w:r>
      <w:r w:rsidRPr="00B26171">
        <w:rPr>
          <w:rStyle w:val="FootnoteReference"/>
          <w:rFonts w:asciiTheme="minorHAnsi" w:hAnsiTheme="minorHAnsi" w:cstheme="minorHAnsi"/>
          <w:color w:val="4F81BD" w:themeColor="accent1"/>
        </w:rPr>
        <w:footnoteReference w:id="17"/>
      </w:r>
    </w:p>
    <w:tbl>
      <w:tblPr>
        <w:tblStyle w:val="LightList-Accent1"/>
        <w:tblW w:w="8804" w:type="dxa"/>
        <w:tblLook w:val="04A0" w:firstRow="1" w:lastRow="0" w:firstColumn="1" w:lastColumn="0" w:noHBand="0" w:noVBand="1"/>
      </w:tblPr>
      <w:tblGrid>
        <w:gridCol w:w="1668"/>
        <w:gridCol w:w="7136"/>
      </w:tblGrid>
      <w:tr w:rsidR="0078789A" w:rsidRPr="00E23423" w:rsidTr="00B2617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shd w:val="clear" w:color="auto" w:fill="996633"/>
            <w:hideMark/>
          </w:tcPr>
          <w:p w:rsidR="0078789A" w:rsidRPr="00BF7A32" w:rsidRDefault="0078789A" w:rsidP="006207CF">
            <w:pPr>
              <w:jc w:val="center"/>
              <w:rPr>
                <w:rFonts w:asciiTheme="minorHAnsi" w:hAnsiTheme="minorHAnsi" w:cstheme="minorHAnsi"/>
                <w:b w:val="0"/>
                <w:szCs w:val="20"/>
                <w:lang w:eastAsia="en-AU"/>
              </w:rPr>
            </w:pPr>
            <w:r w:rsidRPr="00BF7A32">
              <w:rPr>
                <w:rFonts w:asciiTheme="minorHAnsi" w:hAnsiTheme="minorHAnsi" w:cstheme="minorHAnsi"/>
                <w:szCs w:val="20"/>
                <w:lang w:eastAsia="en-AU"/>
              </w:rPr>
              <w:t xml:space="preserve">G-Cubed </w:t>
            </w:r>
          </w:p>
        </w:tc>
        <w:tc>
          <w:tcPr>
            <w:tcW w:w="7136" w:type="dxa"/>
            <w:tcBorders>
              <w:top w:val="single" w:sz="8" w:space="0" w:color="996633"/>
              <w:bottom w:val="single" w:sz="8" w:space="0" w:color="996633"/>
              <w:right w:val="single" w:sz="8" w:space="0" w:color="996633"/>
            </w:tcBorders>
            <w:shd w:val="clear" w:color="auto" w:fill="996633"/>
            <w:hideMark/>
          </w:tcPr>
          <w:p w:rsidR="0078789A" w:rsidRPr="00BF7A32" w:rsidRDefault="0078789A" w:rsidP="006207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lang w:eastAsia="en-AU"/>
              </w:rPr>
            </w:pPr>
            <w:r w:rsidRPr="00BF7A32">
              <w:rPr>
                <w:rFonts w:asciiTheme="minorHAnsi" w:hAnsiTheme="minorHAnsi" w:cstheme="minorHAnsi"/>
                <w:szCs w:val="20"/>
                <w:lang w:eastAsia="en-AU"/>
              </w:rPr>
              <w:t>ISIC-3. 1 Code</w:t>
            </w:r>
          </w:p>
        </w:tc>
      </w:tr>
      <w:tr w:rsidR="0078789A" w:rsidRPr="00E23423" w:rsidTr="00B2617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78789A" w:rsidRPr="00BF39AB" w:rsidRDefault="0078789A"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Electric Utilities</w:t>
            </w:r>
          </w:p>
        </w:tc>
        <w:tc>
          <w:tcPr>
            <w:tcW w:w="7136" w:type="dxa"/>
            <w:tcBorders>
              <w:top w:val="single" w:sz="8" w:space="0" w:color="996633"/>
              <w:bottom w:val="single" w:sz="8" w:space="0" w:color="996633"/>
              <w:right w:val="single" w:sz="8" w:space="0" w:color="996633"/>
            </w:tcBorders>
            <w:hideMark/>
          </w:tcPr>
          <w:p w:rsidR="0078789A" w:rsidRPr="00BF39AB" w:rsidRDefault="0078789A"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401 Production, transmission and distribution of electricity</w:t>
            </w:r>
          </w:p>
        </w:tc>
      </w:tr>
      <w:tr w:rsidR="0078789A" w:rsidRPr="00E23423" w:rsidTr="00B26171">
        <w:trPr>
          <w:trHeight w:val="271"/>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78789A" w:rsidRPr="00BF39AB" w:rsidRDefault="0078789A"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Gas Utilities</w:t>
            </w:r>
          </w:p>
        </w:tc>
        <w:tc>
          <w:tcPr>
            <w:tcW w:w="7136" w:type="dxa"/>
            <w:tcBorders>
              <w:top w:val="single" w:sz="8" w:space="0" w:color="996633"/>
              <w:bottom w:val="single" w:sz="8" w:space="0" w:color="996633"/>
              <w:right w:val="single" w:sz="8" w:space="0" w:color="996633"/>
            </w:tcBorders>
            <w:hideMark/>
          </w:tcPr>
          <w:p w:rsidR="0078789A" w:rsidRPr="00BF39AB" w:rsidRDefault="0078789A"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402 Manufacture of gas; distribution of gaseous fuels through mains</w:t>
            </w:r>
          </w:p>
        </w:tc>
      </w:tr>
      <w:tr w:rsidR="0078789A" w:rsidRPr="00E23423" w:rsidTr="00B2617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78789A" w:rsidRPr="00BF39AB" w:rsidRDefault="0078789A"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Petroleum refining</w:t>
            </w:r>
          </w:p>
        </w:tc>
        <w:tc>
          <w:tcPr>
            <w:tcW w:w="7136" w:type="dxa"/>
            <w:tcBorders>
              <w:top w:val="single" w:sz="8" w:space="0" w:color="996633"/>
              <w:bottom w:val="single" w:sz="8" w:space="0" w:color="996633"/>
              <w:right w:val="single" w:sz="8" w:space="0" w:color="996633"/>
            </w:tcBorders>
            <w:hideMark/>
          </w:tcPr>
          <w:p w:rsidR="0078789A" w:rsidRPr="00BF39AB" w:rsidRDefault="0078789A"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232 Manufacture of refined petroleum products</w:t>
            </w:r>
          </w:p>
        </w:tc>
      </w:tr>
      <w:tr w:rsidR="0078789A" w:rsidRPr="00E23423" w:rsidTr="00B26171">
        <w:trPr>
          <w:trHeight w:val="264"/>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78789A" w:rsidRPr="00BF39AB" w:rsidRDefault="0078789A"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Coal mining</w:t>
            </w:r>
          </w:p>
        </w:tc>
        <w:tc>
          <w:tcPr>
            <w:tcW w:w="7136" w:type="dxa"/>
            <w:tcBorders>
              <w:top w:val="single" w:sz="8" w:space="0" w:color="996633"/>
              <w:bottom w:val="single" w:sz="8" w:space="0" w:color="996633"/>
              <w:right w:val="single" w:sz="8" w:space="0" w:color="996633"/>
            </w:tcBorders>
            <w:hideMark/>
          </w:tcPr>
          <w:p w:rsidR="0078789A" w:rsidRPr="00BF39AB" w:rsidRDefault="0078789A"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10 Mining of coal and lignite; extraction of peat</w:t>
            </w:r>
          </w:p>
        </w:tc>
      </w:tr>
      <w:tr w:rsidR="0078789A" w:rsidRPr="00E23423" w:rsidTr="00B26171">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78789A" w:rsidRPr="00BF39AB" w:rsidRDefault="0078789A" w:rsidP="00D11E40">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 xml:space="preserve">Crude oil and </w:t>
            </w:r>
          </w:p>
        </w:tc>
        <w:tc>
          <w:tcPr>
            <w:tcW w:w="7136" w:type="dxa"/>
            <w:tcBorders>
              <w:top w:val="single" w:sz="8" w:space="0" w:color="996633"/>
              <w:bottom w:val="single" w:sz="8" w:space="0" w:color="996633"/>
              <w:right w:val="single" w:sz="8" w:space="0" w:color="996633"/>
            </w:tcBorders>
            <w:hideMark/>
          </w:tcPr>
          <w:p w:rsidR="0078789A" w:rsidRPr="00BF39AB" w:rsidRDefault="0078789A"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11</w:t>
            </w:r>
            <w:r w:rsidR="00D11E40" w:rsidRPr="00BF39AB">
              <w:rPr>
                <w:rFonts w:asciiTheme="minorHAnsi" w:hAnsiTheme="minorHAnsi" w:cstheme="minorHAnsi"/>
                <w:color w:val="4F81BD" w:themeColor="accent1"/>
                <w:sz w:val="20"/>
                <w:szCs w:val="20"/>
                <w:lang w:eastAsia="en-AU"/>
              </w:rPr>
              <w:t xml:space="preserve"> (part of)</w:t>
            </w:r>
            <w:r w:rsidRPr="00BF39AB">
              <w:rPr>
                <w:rFonts w:asciiTheme="minorHAnsi" w:hAnsiTheme="minorHAnsi" w:cstheme="minorHAnsi"/>
                <w:color w:val="4F81BD" w:themeColor="accent1"/>
                <w:sz w:val="20"/>
                <w:szCs w:val="20"/>
                <w:lang w:eastAsia="en-AU"/>
              </w:rPr>
              <w:t xml:space="preserve"> Extraction of crude petroleum and natural gas; service activities incidental to oil and gas extraction, excluding surveying</w:t>
            </w:r>
          </w:p>
        </w:tc>
      </w:tr>
      <w:tr w:rsidR="00D11E40" w:rsidRPr="00E23423" w:rsidTr="00B26171">
        <w:trPr>
          <w:trHeight w:val="297"/>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tcPr>
          <w:p w:rsidR="00D11E40" w:rsidRPr="00BF39AB" w:rsidRDefault="00D11E40" w:rsidP="00D11E40">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Gas extraction</w:t>
            </w:r>
          </w:p>
        </w:tc>
        <w:tc>
          <w:tcPr>
            <w:tcW w:w="7136" w:type="dxa"/>
            <w:tcBorders>
              <w:top w:val="single" w:sz="8" w:space="0" w:color="996633"/>
              <w:bottom w:val="single" w:sz="8" w:space="0" w:color="996633"/>
              <w:right w:val="single" w:sz="8" w:space="0" w:color="996633"/>
            </w:tcBorders>
          </w:tcPr>
          <w:p w:rsidR="00D11E40" w:rsidRPr="00BF39AB" w:rsidRDefault="00D11E40" w:rsidP="00C32F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11 (part of) Extraction of crude petroleum and natural gas; service activities incidental to oil and gas extraction, excluding surveying</w:t>
            </w:r>
          </w:p>
        </w:tc>
      </w:tr>
      <w:tr w:rsidR="00D11E40" w:rsidRPr="00E23423" w:rsidTr="00B2617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D11E40" w:rsidRPr="00BF39AB" w:rsidRDefault="00D11E40"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Other mining</w:t>
            </w:r>
          </w:p>
        </w:tc>
        <w:tc>
          <w:tcPr>
            <w:tcW w:w="7136" w:type="dxa"/>
            <w:tcBorders>
              <w:top w:val="single" w:sz="8" w:space="0" w:color="996633"/>
              <w:bottom w:val="single" w:sz="8" w:space="0" w:color="996633"/>
              <w:right w:val="single" w:sz="8" w:space="0" w:color="996633"/>
            </w:tcBorders>
            <w:hideMark/>
          </w:tcPr>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12 Mining of uranium and thorium ores</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13 Mining of metal ores</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14 Other mining and quarrying</w:t>
            </w:r>
          </w:p>
        </w:tc>
      </w:tr>
      <w:tr w:rsidR="00D11E40" w:rsidRPr="00E23423" w:rsidTr="00B604AA">
        <w:trPr>
          <w:cantSplit/>
          <w:trHeight w:val="256"/>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D11E40" w:rsidRPr="00BF39AB" w:rsidRDefault="00D11E40"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lastRenderedPageBreak/>
              <w:t>Agriculture, Forestry and Wood Products</w:t>
            </w:r>
          </w:p>
        </w:tc>
        <w:tc>
          <w:tcPr>
            <w:tcW w:w="7136" w:type="dxa"/>
            <w:tcBorders>
              <w:top w:val="single" w:sz="8" w:space="0" w:color="996633"/>
              <w:bottom w:val="single" w:sz="8" w:space="0" w:color="996633"/>
              <w:right w:val="single" w:sz="8" w:space="0" w:color="996633"/>
            </w:tcBorders>
            <w:hideMark/>
          </w:tcPr>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01 Agriculture, hunting and related service activities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05 Fishing, aquaculture and service activities incidental to fishing</w:t>
            </w:r>
          </w:p>
          <w:p w:rsidR="00D11E40" w:rsidRPr="00BF39AB" w:rsidRDefault="00D11E40" w:rsidP="00D11E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02 Forestry, logging and related service activities</w:t>
            </w:r>
          </w:p>
          <w:p w:rsidR="00D11E40" w:rsidRPr="00BF39AB" w:rsidRDefault="00D11E40" w:rsidP="00D11E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20 Manufacture of wood and of products of wood and cork, except furniture; manufacture of articles of straw and plaiting materials</w:t>
            </w:r>
          </w:p>
        </w:tc>
      </w:tr>
      <w:tr w:rsidR="00D11E40" w:rsidRPr="00E23423" w:rsidTr="00B2617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D11E40" w:rsidRPr="00BF39AB" w:rsidRDefault="00D11E40"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Durable manufacturing</w:t>
            </w:r>
          </w:p>
        </w:tc>
        <w:tc>
          <w:tcPr>
            <w:tcW w:w="7136" w:type="dxa"/>
            <w:tcBorders>
              <w:top w:val="single" w:sz="8" w:space="0" w:color="996633"/>
              <w:bottom w:val="single" w:sz="8" w:space="0" w:color="996633"/>
              <w:right w:val="single" w:sz="8" w:space="0" w:color="996633"/>
            </w:tcBorders>
            <w:hideMark/>
          </w:tcPr>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271 - Manufacture of basic iron and steel</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2694 - Manufacture of cement, lime and plaster</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2695 - Manufacture of articles of concrete, cement and plaster</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29 Manufacture of machinery and equipment n. e. c.</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30 Manufacture of office, accounting and computing machinery</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31 Manufacture of electrical machinery and apparatus n. e. c.</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32 Manufacture of radio, television and communication equipment and apparatus</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33 Manufacture of medical, precision and optical instruments, watches and clocks</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34 Manufacture of motor vehicles, trailers and semi-trailers</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35 Manufacture of other transport equipment</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26x Manufacture of other non-metallic mineral products, except 2694, 2695</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272 - Manufacture of basic precious and non-ferrous metals</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273 - Casting of metals</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28 Manufacture of fabricated metal products, except machinery and equipment</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36 Manufacture of furniture; manufacturing n. e. c.</w:t>
            </w:r>
          </w:p>
        </w:tc>
      </w:tr>
      <w:tr w:rsidR="00D11E40" w:rsidRPr="00E23423" w:rsidTr="00B26171">
        <w:trPr>
          <w:trHeight w:val="401"/>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D11E40" w:rsidRPr="00BF39AB" w:rsidRDefault="00D11E40"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Non-durable manufacturing</w:t>
            </w:r>
          </w:p>
        </w:tc>
        <w:tc>
          <w:tcPr>
            <w:tcW w:w="7136" w:type="dxa"/>
            <w:tcBorders>
              <w:top w:val="single" w:sz="8" w:space="0" w:color="996633"/>
              <w:bottom w:val="single" w:sz="8" w:space="0" w:color="996633"/>
              <w:right w:val="single" w:sz="8" w:space="0" w:color="996633"/>
            </w:tcBorders>
            <w:hideMark/>
          </w:tcPr>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24 Manufacture of chemicals and chemical products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17 Manufacture of textiles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21 Manufacture of paper and paper products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15 Manufacture of food products and beverages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16 Manufacture of tobacco products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18 Manufacture of wearing apparel; dressing and dyeing of fur</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19 Tanning and dressing of leather; manufacture of luggage, handbags, saddlery, harness and footwear</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22 Publishing, printing and reproduction of recorded media</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231 - Manufacture of coke oven products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233 - Processing of nuclear fuel</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25 Manufacture of rubber and plastics products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37 Recycling</w:t>
            </w:r>
          </w:p>
        </w:tc>
      </w:tr>
      <w:tr w:rsidR="00D11E40" w:rsidRPr="00E23423" w:rsidTr="00B2617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D11E40" w:rsidRPr="00BF39AB" w:rsidRDefault="00D11E40"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Transportation</w:t>
            </w:r>
          </w:p>
        </w:tc>
        <w:tc>
          <w:tcPr>
            <w:tcW w:w="7136" w:type="dxa"/>
            <w:tcBorders>
              <w:top w:val="single" w:sz="8" w:space="0" w:color="996633"/>
              <w:bottom w:val="single" w:sz="8" w:space="0" w:color="996633"/>
              <w:right w:val="single" w:sz="8" w:space="0" w:color="996633"/>
            </w:tcBorders>
            <w:hideMark/>
          </w:tcPr>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60 Land transport; transport via pipelines</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61 Water transport</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62 Air transport</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63 Supporting and auxiliary transport activities; activities of travel agencies</w:t>
            </w:r>
          </w:p>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64 Post and telecommunications</w:t>
            </w:r>
          </w:p>
        </w:tc>
      </w:tr>
      <w:tr w:rsidR="00D11E40" w:rsidRPr="00E23423" w:rsidTr="00B26171">
        <w:trPr>
          <w:trHeight w:val="264"/>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D11E40" w:rsidRPr="00BF39AB" w:rsidRDefault="00D11E40"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Services</w:t>
            </w:r>
          </w:p>
        </w:tc>
        <w:tc>
          <w:tcPr>
            <w:tcW w:w="7136" w:type="dxa"/>
            <w:tcBorders>
              <w:top w:val="single" w:sz="8" w:space="0" w:color="996633"/>
              <w:bottom w:val="single" w:sz="8" w:space="0" w:color="996633"/>
              <w:right w:val="single" w:sz="8" w:space="0" w:color="996633"/>
            </w:tcBorders>
            <w:hideMark/>
          </w:tcPr>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50 Sale, maintenance and repair of motor vehicles and motorcycles; retail sale of automotive fuel</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51 Wholesale trade and commission trade, except of motor vehicles and motorcycles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52 Retail trade, except of motor vehicles and motorcycles; repair of personal and household goods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55 Hotels and restaurants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403 - Steam and hot water supply</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41 Collection, purification and distribution of water</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65 Financial intermediation, except insurance and pension funding</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66 Insurance and pension funding, except compulsory social security</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67 Activities auxiliary to financial intermediation</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70 Real estate activities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71 Renting of machinery and equipment without operator and of personal and household goods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72 Computer and related activities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73 Research and development</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74 Other business activities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80 Education</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lastRenderedPageBreak/>
              <w:t>85 Health and social work</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90 Sewage and refuse disposal, sanitation and similar activities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91 Activities of membership organizations n. e. c.</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92 Recreational, cultural and sporting activities</w:t>
            </w:r>
          </w:p>
          <w:p w:rsidR="00D11E40" w:rsidRPr="00BF39AB" w:rsidRDefault="00D11E40" w:rsidP="006207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93 Other service activities</w:t>
            </w:r>
          </w:p>
        </w:tc>
      </w:tr>
      <w:tr w:rsidR="00D11E40" w:rsidRPr="00E23423" w:rsidTr="00B2617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96633"/>
              <w:left w:val="single" w:sz="8" w:space="0" w:color="996633"/>
              <w:bottom w:val="single" w:sz="8" w:space="0" w:color="996633"/>
            </w:tcBorders>
            <w:hideMark/>
          </w:tcPr>
          <w:p w:rsidR="00D11E40" w:rsidRPr="00BF39AB" w:rsidRDefault="00D11E40" w:rsidP="006207CF">
            <w:pPr>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lastRenderedPageBreak/>
              <w:t>Reallocated to investment final demand</w:t>
            </w:r>
          </w:p>
        </w:tc>
        <w:tc>
          <w:tcPr>
            <w:tcW w:w="7136" w:type="dxa"/>
            <w:tcBorders>
              <w:top w:val="single" w:sz="8" w:space="0" w:color="996633"/>
              <w:bottom w:val="single" w:sz="8" w:space="0" w:color="996633"/>
              <w:right w:val="single" w:sz="8" w:space="0" w:color="996633"/>
            </w:tcBorders>
            <w:hideMark/>
          </w:tcPr>
          <w:p w:rsidR="00D11E40" w:rsidRPr="00BF39AB" w:rsidRDefault="00D11E40" w:rsidP="006207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0"/>
                <w:lang w:eastAsia="en-AU"/>
              </w:rPr>
            </w:pPr>
            <w:r w:rsidRPr="00BF39AB">
              <w:rPr>
                <w:rFonts w:asciiTheme="minorHAnsi" w:hAnsiTheme="minorHAnsi" w:cstheme="minorHAnsi"/>
                <w:color w:val="4F81BD" w:themeColor="accent1"/>
                <w:sz w:val="20"/>
                <w:szCs w:val="20"/>
                <w:lang w:eastAsia="en-AU"/>
              </w:rPr>
              <w:t>45 Construction</w:t>
            </w:r>
          </w:p>
        </w:tc>
      </w:tr>
    </w:tbl>
    <w:p w:rsidR="0078789A" w:rsidRDefault="0078789A" w:rsidP="0078789A">
      <w:pPr>
        <w:pStyle w:val="ListParagraph"/>
        <w:ind w:left="0"/>
        <w:rPr>
          <w:rFonts w:asciiTheme="minorHAnsi" w:hAnsiTheme="minorHAnsi" w:cstheme="minorHAnsi"/>
        </w:rPr>
      </w:pPr>
    </w:p>
    <w:p w:rsidR="0078789A" w:rsidRPr="00B26171" w:rsidRDefault="0078789A" w:rsidP="0078789A">
      <w:pPr>
        <w:rPr>
          <w:rFonts w:asciiTheme="minorHAnsi" w:hAnsiTheme="minorHAnsi" w:cstheme="minorHAnsi"/>
          <w:color w:val="4F81BD" w:themeColor="accent1"/>
        </w:rPr>
      </w:pPr>
      <w:r w:rsidRPr="00B26171">
        <w:rPr>
          <w:rFonts w:asciiTheme="minorHAnsi" w:hAnsiTheme="minorHAnsi" w:cstheme="minorHAnsi"/>
          <w:b/>
          <w:color w:val="4F81BD" w:themeColor="accent1"/>
        </w:rPr>
        <w:t>Table B-3:</w:t>
      </w:r>
      <w:r w:rsidRPr="00B26171">
        <w:rPr>
          <w:rFonts w:asciiTheme="minorHAnsi" w:hAnsiTheme="minorHAnsi" w:cstheme="minorHAnsi"/>
          <w:color w:val="4F81BD" w:themeColor="accent1"/>
        </w:rPr>
        <w:t xml:space="preserve"> Technical characteristics of G-cubed model version E123</w:t>
      </w:r>
    </w:p>
    <w:tbl>
      <w:tblPr>
        <w:tblStyle w:val="LightList-Accent1"/>
        <w:tblW w:w="5323" w:type="pct"/>
        <w:tblInd w:w="-176" w:type="dxa"/>
        <w:tblBorders>
          <w:top w:val="single" w:sz="8" w:space="0" w:color="996633"/>
          <w:left w:val="single" w:sz="8" w:space="0" w:color="996633"/>
          <w:bottom w:val="single" w:sz="8" w:space="0" w:color="996633"/>
          <w:right w:val="single" w:sz="8" w:space="0" w:color="996633"/>
          <w:insideH w:val="single" w:sz="8" w:space="0" w:color="996633"/>
        </w:tblBorders>
        <w:tblLayout w:type="fixed"/>
        <w:tblLook w:val="04A0" w:firstRow="1" w:lastRow="0" w:firstColumn="1" w:lastColumn="0" w:noHBand="0" w:noVBand="1"/>
      </w:tblPr>
      <w:tblGrid>
        <w:gridCol w:w="2127"/>
        <w:gridCol w:w="6946"/>
      </w:tblGrid>
      <w:tr w:rsidR="0078789A" w:rsidRPr="00B604AA" w:rsidTr="00B26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shd w:val="clear" w:color="auto" w:fill="996633"/>
            <w:hideMark/>
          </w:tcPr>
          <w:p w:rsidR="0078789A" w:rsidRPr="00B604AA" w:rsidRDefault="0078789A" w:rsidP="006207CF">
            <w:pPr>
              <w:keepNext/>
              <w:spacing w:after="120"/>
              <w:rPr>
                <w:rFonts w:asciiTheme="minorHAnsi" w:hAnsiTheme="minorHAnsi" w:cstheme="minorHAnsi"/>
                <w:sz w:val="20"/>
              </w:rPr>
            </w:pPr>
            <w:r w:rsidRPr="00B604AA">
              <w:rPr>
                <w:rFonts w:asciiTheme="minorHAnsi" w:hAnsiTheme="minorHAnsi" w:cstheme="minorHAnsi"/>
                <w:sz w:val="20"/>
              </w:rPr>
              <w:t>Element</w:t>
            </w:r>
          </w:p>
        </w:tc>
        <w:tc>
          <w:tcPr>
            <w:tcW w:w="3828" w:type="pct"/>
            <w:shd w:val="clear" w:color="auto" w:fill="996633"/>
          </w:tcPr>
          <w:p w:rsidR="0078789A" w:rsidRPr="00B604AA" w:rsidRDefault="0078789A" w:rsidP="006207CF">
            <w:pPr>
              <w:keepNex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B604AA">
              <w:rPr>
                <w:rFonts w:asciiTheme="minorHAnsi" w:hAnsiTheme="minorHAnsi" w:cstheme="minorHAnsi"/>
                <w:sz w:val="20"/>
              </w:rPr>
              <w:t>Specification</w:t>
            </w:r>
          </w:p>
        </w:tc>
      </w:tr>
      <w:tr w:rsidR="0078789A" w:rsidRPr="00B604AA"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left w:val="none" w:sz="0" w:space="0" w:color="auto"/>
              <w:bottom w:val="none" w:sz="0" w:space="0" w:color="auto"/>
            </w:tcBorders>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Type of model</w:t>
            </w:r>
          </w:p>
        </w:tc>
        <w:tc>
          <w:tcPr>
            <w:tcW w:w="3828" w:type="pct"/>
            <w:tcBorders>
              <w:top w:val="none" w:sz="0" w:space="0" w:color="auto"/>
              <w:bottom w:val="none" w:sz="0" w:space="0" w:color="auto"/>
              <w:right w:val="none" w:sz="0" w:space="0" w:color="auto"/>
            </w:tcBorders>
            <w:hideMark/>
          </w:tcPr>
          <w:p w:rsidR="0078789A" w:rsidRPr="00B604AA" w:rsidRDefault="0078789A" w:rsidP="006207CF">
            <w:pPr>
              <w:keepNext/>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Global, dynamic computable general equilibrium model</w:t>
            </w:r>
          </w:p>
        </w:tc>
      </w:tr>
      <w:tr w:rsidR="0078789A" w:rsidRPr="00B604AA" w:rsidTr="00B26171">
        <w:tc>
          <w:tcPr>
            <w:cnfStyle w:val="001000000000" w:firstRow="0" w:lastRow="0" w:firstColumn="1" w:lastColumn="0" w:oddVBand="0" w:evenVBand="0" w:oddHBand="0" w:evenHBand="0" w:firstRowFirstColumn="0" w:firstRowLastColumn="0" w:lastRowFirstColumn="0" w:lastRowLastColumn="0"/>
            <w:tcW w:w="1172" w:type="pct"/>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Model database</w:t>
            </w:r>
          </w:p>
        </w:tc>
        <w:tc>
          <w:tcPr>
            <w:tcW w:w="3828" w:type="pct"/>
            <w:hideMark/>
          </w:tcPr>
          <w:p w:rsidR="0078789A" w:rsidRPr="00B604AA" w:rsidRDefault="0078789A" w:rsidP="006207CF">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 xml:space="preserve">GTAP version 8; OECD Economic Outlook 93; World Bank; Energy Information Administration emissions data </w:t>
            </w:r>
          </w:p>
        </w:tc>
      </w:tr>
      <w:tr w:rsidR="0078789A" w:rsidRPr="00B604AA"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left w:val="none" w:sz="0" w:space="0" w:color="auto"/>
              <w:bottom w:val="none" w:sz="0" w:space="0" w:color="auto"/>
            </w:tcBorders>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Price units</w:t>
            </w:r>
          </w:p>
        </w:tc>
        <w:tc>
          <w:tcPr>
            <w:tcW w:w="3828" w:type="pct"/>
            <w:tcBorders>
              <w:top w:val="none" w:sz="0" w:space="0" w:color="auto"/>
              <w:bottom w:val="none" w:sz="0" w:space="0" w:color="auto"/>
              <w:right w:val="none" w:sz="0" w:space="0" w:color="auto"/>
            </w:tcBorders>
            <w:hideMark/>
          </w:tcPr>
          <w:p w:rsidR="0078789A" w:rsidRPr="00B604AA" w:rsidRDefault="0078789A" w:rsidP="006207CF">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All prices are in real 2012 US dollars</w:t>
            </w:r>
          </w:p>
        </w:tc>
      </w:tr>
      <w:tr w:rsidR="0078789A" w:rsidRPr="00B604AA" w:rsidTr="00B26171">
        <w:tc>
          <w:tcPr>
            <w:cnfStyle w:val="001000000000" w:firstRow="0" w:lastRow="0" w:firstColumn="1" w:lastColumn="0" w:oddVBand="0" w:evenVBand="0" w:oddHBand="0" w:evenHBand="0" w:firstRowFirstColumn="0" w:firstRowLastColumn="0" w:lastRowFirstColumn="0" w:lastRowLastColumn="0"/>
            <w:tcW w:w="1172" w:type="pct"/>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Elasticities</w:t>
            </w:r>
          </w:p>
        </w:tc>
        <w:tc>
          <w:tcPr>
            <w:tcW w:w="3828" w:type="pct"/>
            <w:hideMark/>
          </w:tcPr>
          <w:p w:rsidR="0078789A" w:rsidRPr="00B604AA" w:rsidRDefault="0078789A" w:rsidP="006207CF">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Extensive use of econometrically estimated consumption and production substitution elasticities</w:t>
            </w:r>
          </w:p>
        </w:tc>
      </w:tr>
      <w:tr w:rsidR="0078789A" w:rsidRPr="00B604AA"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left w:val="none" w:sz="0" w:space="0" w:color="auto"/>
              <w:bottom w:val="none" w:sz="0" w:space="0" w:color="auto"/>
            </w:tcBorders>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Dynamic intertemporal structure</w:t>
            </w:r>
          </w:p>
        </w:tc>
        <w:tc>
          <w:tcPr>
            <w:tcW w:w="3828" w:type="pct"/>
            <w:tcBorders>
              <w:top w:val="none" w:sz="0" w:space="0" w:color="auto"/>
              <w:bottom w:val="none" w:sz="0" w:space="0" w:color="auto"/>
              <w:right w:val="none" w:sz="0" w:space="0" w:color="auto"/>
            </w:tcBorders>
            <w:hideMark/>
          </w:tcPr>
          <w:p w:rsidR="0078789A" w:rsidRPr="00B604AA" w:rsidRDefault="0078789A" w:rsidP="006207CF">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Partial adjustment mechanism for firms and households accounts for imperfect foresight and capital mobility.</w:t>
            </w:r>
          </w:p>
        </w:tc>
      </w:tr>
      <w:tr w:rsidR="0078789A" w:rsidRPr="00B604AA" w:rsidTr="00B26171">
        <w:tc>
          <w:tcPr>
            <w:cnfStyle w:val="001000000000" w:firstRow="0" w:lastRow="0" w:firstColumn="1" w:lastColumn="0" w:oddVBand="0" w:evenVBand="0" w:oddHBand="0" w:evenHBand="0" w:firstRowFirstColumn="0" w:firstRowLastColumn="0" w:lastRowFirstColumn="0" w:lastRowLastColumn="0"/>
            <w:tcW w:w="1172" w:type="pct"/>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Forward-looking behaviour</w:t>
            </w:r>
          </w:p>
        </w:tc>
        <w:tc>
          <w:tcPr>
            <w:tcW w:w="3828" w:type="pct"/>
            <w:hideMark/>
          </w:tcPr>
          <w:p w:rsidR="0078789A" w:rsidRPr="00B604AA" w:rsidRDefault="0078789A" w:rsidP="006207CF">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Expectations a mix of rational and non rational. Some firms and households follow a rule of thumb that is optimal in the long run.</w:t>
            </w:r>
          </w:p>
        </w:tc>
      </w:tr>
      <w:tr w:rsidR="0078789A" w:rsidRPr="00B604AA"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left w:val="none" w:sz="0" w:space="0" w:color="auto"/>
              <w:bottom w:val="none" w:sz="0" w:space="0" w:color="auto"/>
            </w:tcBorders>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Countries/regions</w:t>
            </w:r>
          </w:p>
        </w:tc>
        <w:tc>
          <w:tcPr>
            <w:tcW w:w="3828" w:type="pct"/>
            <w:tcBorders>
              <w:top w:val="none" w:sz="0" w:space="0" w:color="auto"/>
              <w:bottom w:val="none" w:sz="0" w:space="0" w:color="auto"/>
              <w:right w:val="none" w:sz="0" w:space="0" w:color="auto"/>
            </w:tcBorders>
            <w:hideMark/>
          </w:tcPr>
          <w:p w:rsidR="0078789A" w:rsidRPr="00B604AA" w:rsidRDefault="0078789A" w:rsidP="0078789A">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In this version - limited regional disaggregation: 9 countries/regions (</w:t>
            </w:r>
            <w:r w:rsidR="00BF0501">
              <w:rPr>
                <w:rFonts w:asciiTheme="minorHAnsi" w:hAnsiTheme="minorHAnsi" w:cstheme="minorHAnsi"/>
                <w:color w:val="4F81BD" w:themeColor="accent1"/>
                <w:sz w:val="20"/>
              </w:rPr>
              <w:t xml:space="preserve">Figure B-1 and </w:t>
            </w:r>
            <w:r w:rsidRPr="00B604AA">
              <w:rPr>
                <w:rFonts w:asciiTheme="minorHAnsi" w:hAnsiTheme="minorHAnsi" w:cstheme="minorHAnsi"/>
                <w:color w:val="4F81BD" w:themeColor="accent1"/>
                <w:sz w:val="20"/>
              </w:rPr>
              <w:t>Table B-1).</w:t>
            </w:r>
          </w:p>
        </w:tc>
      </w:tr>
      <w:tr w:rsidR="0078789A" w:rsidRPr="00B604AA" w:rsidTr="00B26171">
        <w:tc>
          <w:tcPr>
            <w:cnfStyle w:val="001000000000" w:firstRow="0" w:lastRow="0" w:firstColumn="1" w:lastColumn="0" w:oddVBand="0" w:evenVBand="0" w:oddHBand="0" w:evenHBand="0" w:firstRowFirstColumn="0" w:firstRowLastColumn="0" w:lastRowFirstColumn="0" w:lastRowLastColumn="0"/>
            <w:tcW w:w="1172" w:type="pct"/>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Economic sectors</w:t>
            </w:r>
          </w:p>
        </w:tc>
        <w:tc>
          <w:tcPr>
            <w:tcW w:w="3828" w:type="pct"/>
            <w:hideMark/>
          </w:tcPr>
          <w:p w:rsidR="0078789A" w:rsidRPr="00B604AA" w:rsidRDefault="0078789A" w:rsidP="0078789A">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In this version - limited sectoral disaggregation: 12 production sectors, including 6 energy production sectors, plus household, government and financial sectors (Figure B-1 and Table B-2).</w:t>
            </w:r>
          </w:p>
        </w:tc>
      </w:tr>
      <w:tr w:rsidR="0078789A" w:rsidRPr="00B604AA"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left w:val="none" w:sz="0" w:space="0" w:color="auto"/>
              <w:bottom w:val="none" w:sz="0" w:space="0" w:color="auto"/>
            </w:tcBorders>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Firms</w:t>
            </w:r>
          </w:p>
        </w:tc>
        <w:tc>
          <w:tcPr>
            <w:tcW w:w="3828" w:type="pct"/>
            <w:tcBorders>
              <w:top w:val="none" w:sz="0" w:space="0" w:color="auto"/>
              <w:bottom w:val="none" w:sz="0" w:space="0" w:color="auto"/>
              <w:right w:val="none" w:sz="0" w:space="0" w:color="auto"/>
            </w:tcBorders>
            <w:hideMark/>
          </w:tcPr>
          <w:p w:rsidR="0078789A" w:rsidRPr="00B604AA" w:rsidRDefault="0078789A" w:rsidP="006207CF">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rPr>
            </w:pPr>
            <w:r w:rsidRPr="00B604AA">
              <w:rPr>
                <w:rFonts w:asciiTheme="minorHAnsi" w:hAnsiTheme="minorHAnsi" w:cstheme="minorHAnsi"/>
                <w:color w:val="4F81BD" w:themeColor="accent1"/>
                <w:sz w:val="20"/>
              </w:rPr>
              <w:t xml:space="preserve">Firms produce output and maximize share market value subject to costs of adjusting physical capital. </w:t>
            </w:r>
          </w:p>
          <w:p w:rsidR="0078789A" w:rsidRPr="00B604AA" w:rsidRDefault="0078789A" w:rsidP="006207CF">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 xml:space="preserve">Inputs: capital, </w:t>
            </w:r>
            <w:r w:rsidR="004650A6" w:rsidRPr="00B604AA">
              <w:rPr>
                <w:rFonts w:asciiTheme="minorHAnsi" w:hAnsiTheme="minorHAnsi" w:cstheme="minorHAnsi"/>
                <w:color w:val="4F81BD" w:themeColor="accent1"/>
                <w:sz w:val="20"/>
              </w:rPr>
              <w:t>labour</w:t>
            </w:r>
            <w:r w:rsidRPr="00B604AA">
              <w:rPr>
                <w:rFonts w:asciiTheme="minorHAnsi" w:hAnsiTheme="minorHAnsi" w:cstheme="minorHAnsi"/>
                <w:color w:val="4F81BD" w:themeColor="accent1"/>
                <w:sz w:val="20"/>
              </w:rPr>
              <w:t>, energy and material.</w:t>
            </w:r>
          </w:p>
        </w:tc>
      </w:tr>
      <w:tr w:rsidR="0078789A" w:rsidRPr="00B604AA" w:rsidTr="00B26171">
        <w:tc>
          <w:tcPr>
            <w:cnfStyle w:val="001000000000" w:firstRow="0" w:lastRow="0" w:firstColumn="1" w:lastColumn="0" w:oddVBand="0" w:evenVBand="0" w:oddHBand="0" w:evenHBand="0" w:firstRowFirstColumn="0" w:firstRowLastColumn="0" w:lastRowFirstColumn="0" w:lastRowLastColumn="0"/>
            <w:tcW w:w="1172" w:type="pct"/>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Households</w:t>
            </w:r>
          </w:p>
        </w:tc>
        <w:tc>
          <w:tcPr>
            <w:tcW w:w="3828" w:type="pct"/>
            <w:hideMark/>
          </w:tcPr>
          <w:p w:rsidR="0078789A" w:rsidRPr="00B604AA" w:rsidRDefault="0078789A" w:rsidP="006207CF">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Households maximize expected utility subject to a wealth constraint and liquidity constraints.</w:t>
            </w:r>
          </w:p>
        </w:tc>
      </w:tr>
      <w:tr w:rsidR="0078789A" w:rsidRPr="00B604AA"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left w:val="none" w:sz="0" w:space="0" w:color="auto"/>
              <w:bottom w:val="none" w:sz="0" w:space="0" w:color="auto"/>
            </w:tcBorders>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Financial sector</w:t>
            </w:r>
          </w:p>
        </w:tc>
        <w:tc>
          <w:tcPr>
            <w:tcW w:w="3828" w:type="pct"/>
            <w:tcBorders>
              <w:top w:val="none" w:sz="0" w:space="0" w:color="auto"/>
              <w:bottom w:val="none" w:sz="0" w:space="0" w:color="auto"/>
              <w:right w:val="none" w:sz="0" w:space="0" w:color="auto"/>
            </w:tcBorders>
            <w:hideMark/>
          </w:tcPr>
          <w:p w:rsidR="0078789A" w:rsidRPr="00B604AA" w:rsidRDefault="0078789A" w:rsidP="006207CF">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rPr>
            </w:pPr>
            <w:r w:rsidRPr="00B604AA">
              <w:rPr>
                <w:rFonts w:asciiTheme="minorHAnsi" w:hAnsiTheme="minorHAnsi" w:cstheme="minorHAnsi"/>
                <w:color w:val="4F81BD" w:themeColor="accent1"/>
                <w:sz w:val="20"/>
              </w:rPr>
              <w:t xml:space="preserve">Detailed endogenous financial sector distinguishes between physical and financial capital, and makes use of empirical evidence to support its partial adjustment mechanism. </w:t>
            </w:r>
          </w:p>
          <w:p w:rsidR="0078789A" w:rsidRPr="00B604AA" w:rsidRDefault="0078789A" w:rsidP="006207CF">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 xml:space="preserve">Financial markets for bonds, equity, </w:t>
            </w:r>
            <w:r w:rsidR="004650A6" w:rsidRPr="00B604AA">
              <w:rPr>
                <w:rFonts w:asciiTheme="minorHAnsi" w:hAnsiTheme="minorHAnsi" w:cstheme="minorHAnsi"/>
                <w:color w:val="4F81BD" w:themeColor="accent1"/>
                <w:sz w:val="20"/>
              </w:rPr>
              <w:t>and foreign</w:t>
            </w:r>
            <w:r w:rsidRPr="00B604AA">
              <w:rPr>
                <w:rFonts w:asciiTheme="minorHAnsi" w:hAnsiTheme="minorHAnsi" w:cstheme="minorHAnsi"/>
                <w:color w:val="4F81BD" w:themeColor="accent1"/>
                <w:sz w:val="20"/>
              </w:rPr>
              <w:t xml:space="preserve"> exchange.</w:t>
            </w:r>
          </w:p>
        </w:tc>
      </w:tr>
      <w:tr w:rsidR="0078789A" w:rsidRPr="00B604AA" w:rsidTr="00B26171">
        <w:tc>
          <w:tcPr>
            <w:cnfStyle w:val="001000000000" w:firstRow="0" w:lastRow="0" w:firstColumn="1" w:lastColumn="0" w:oddVBand="0" w:evenVBand="0" w:oddHBand="0" w:evenHBand="0" w:firstRowFirstColumn="0" w:firstRowLastColumn="0" w:lastRowFirstColumn="0" w:lastRowLastColumn="0"/>
            <w:tcW w:w="1172" w:type="pct"/>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Physical capital, financial capital and labour</w:t>
            </w:r>
          </w:p>
        </w:tc>
        <w:tc>
          <w:tcPr>
            <w:tcW w:w="3828" w:type="pct"/>
            <w:hideMark/>
          </w:tcPr>
          <w:p w:rsidR="0078789A" w:rsidRPr="00B604AA" w:rsidRDefault="0078789A" w:rsidP="006207CF">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rPr>
            </w:pPr>
            <w:r w:rsidRPr="00B604AA">
              <w:rPr>
                <w:rFonts w:asciiTheme="minorHAnsi" w:hAnsiTheme="minorHAnsi" w:cstheme="minorHAnsi"/>
                <w:color w:val="4F81BD" w:themeColor="accent1"/>
                <w:sz w:val="20"/>
              </w:rPr>
              <w:t>Physical capital within sectors and countries is sticky.</w:t>
            </w:r>
          </w:p>
          <w:p w:rsidR="0078789A" w:rsidRPr="00B604AA" w:rsidRDefault="0078789A" w:rsidP="006207CF">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rPr>
            </w:pPr>
            <w:r w:rsidRPr="00B604AA">
              <w:rPr>
                <w:rFonts w:asciiTheme="minorHAnsi" w:hAnsiTheme="minorHAnsi" w:cstheme="minorHAnsi"/>
                <w:color w:val="4F81BD" w:themeColor="accent1"/>
                <w:sz w:val="20"/>
              </w:rPr>
              <w:t>Financial capital is flexible and immediately flows to where expected returns are highest.</w:t>
            </w:r>
          </w:p>
          <w:p w:rsidR="0078789A" w:rsidRPr="00B604AA" w:rsidRDefault="0078789A" w:rsidP="006207CF">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Short run unemployment possible due to wage stickiness based on labo</w:t>
            </w:r>
            <w:r w:rsidR="002672E3" w:rsidRPr="00B604AA">
              <w:rPr>
                <w:rFonts w:asciiTheme="minorHAnsi" w:hAnsiTheme="minorHAnsi" w:cstheme="minorHAnsi"/>
                <w:color w:val="4F81BD" w:themeColor="accent1"/>
                <w:sz w:val="20"/>
              </w:rPr>
              <w:t>u</w:t>
            </w:r>
            <w:r w:rsidRPr="00B604AA">
              <w:rPr>
                <w:rFonts w:asciiTheme="minorHAnsi" w:hAnsiTheme="minorHAnsi" w:cstheme="minorHAnsi"/>
                <w:color w:val="4F81BD" w:themeColor="accent1"/>
                <w:sz w:val="20"/>
              </w:rPr>
              <w:t xml:space="preserve">r </w:t>
            </w:r>
            <w:r w:rsidR="002672E3" w:rsidRPr="00B604AA">
              <w:rPr>
                <w:rFonts w:asciiTheme="minorHAnsi" w:hAnsiTheme="minorHAnsi" w:cstheme="minorHAnsi"/>
                <w:color w:val="4F81BD" w:themeColor="accent1"/>
                <w:sz w:val="20"/>
              </w:rPr>
              <w:t xml:space="preserve">market </w:t>
            </w:r>
            <w:r w:rsidRPr="00B604AA">
              <w:rPr>
                <w:rFonts w:asciiTheme="minorHAnsi" w:hAnsiTheme="minorHAnsi" w:cstheme="minorHAnsi"/>
                <w:color w:val="4F81BD" w:themeColor="accent1"/>
                <w:sz w:val="20"/>
              </w:rPr>
              <w:t xml:space="preserve">institutions. </w:t>
            </w:r>
          </w:p>
        </w:tc>
      </w:tr>
      <w:tr w:rsidR="0078789A" w:rsidRPr="00B604AA"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left w:val="none" w:sz="0" w:space="0" w:color="auto"/>
              <w:bottom w:val="none" w:sz="0" w:space="0" w:color="auto"/>
            </w:tcBorders>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International trade</w:t>
            </w:r>
          </w:p>
        </w:tc>
        <w:tc>
          <w:tcPr>
            <w:tcW w:w="3828" w:type="pct"/>
            <w:tcBorders>
              <w:top w:val="none" w:sz="0" w:space="0" w:color="auto"/>
              <w:bottom w:val="none" w:sz="0" w:space="0" w:color="auto"/>
              <w:right w:val="none" w:sz="0" w:space="0" w:color="auto"/>
            </w:tcBorders>
            <w:hideMark/>
          </w:tcPr>
          <w:p w:rsidR="0078789A" w:rsidRPr="00B604AA" w:rsidRDefault="0078789A" w:rsidP="006207CF">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International trade in goods, services and financial assets.</w:t>
            </w:r>
          </w:p>
        </w:tc>
      </w:tr>
      <w:tr w:rsidR="0078789A" w:rsidRPr="00B604AA" w:rsidTr="00B26171">
        <w:tc>
          <w:tcPr>
            <w:cnfStyle w:val="001000000000" w:firstRow="0" w:lastRow="0" w:firstColumn="1" w:lastColumn="0" w:oddVBand="0" w:evenVBand="0" w:oddHBand="0" w:evenHBand="0" w:firstRowFirstColumn="0" w:firstRowLastColumn="0" w:lastRowFirstColumn="0" w:lastRowLastColumn="0"/>
            <w:tcW w:w="1172" w:type="pct"/>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Energy</w:t>
            </w:r>
          </w:p>
        </w:tc>
        <w:tc>
          <w:tcPr>
            <w:tcW w:w="3828" w:type="pct"/>
            <w:hideMark/>
          </w:tcPr>
          <w:p w:rsidR="0078789A" w:rsidRPr="00B604AA" w:rsidRDefault="0078789A" w:rsidP="006207CF">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Energy is an endogenously determined intermediate input to production, with firms choosing from 5 energy-producing sectors.</w:t>
            </w:r>
          </w:p>
        </w:tc>
      </w:tr>
      <w:tr w:rsidR="0078789A" w:rsidRPr="00B604AA"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Borders>
              <w:top w:val="none" w:sz="0" w:space="0" w:color="auto"/>
              <w:left w:val="none" w:sz="0" w:space="0" w:color="auto"/>
              <w:bottom w:val="none" w:sz="0" w:space="0" w:color="auto"/>
            </w:tcBorders>
            <w:hideMark/>
          </w:tcPr>
          <w:p w:rsidR="0078789A" w:rsidRPr="00B604AA" w:rsidRDefault="0078789A" w:rsidP="006207CF">
            <w:pPr>
              <w:spacing w:after="6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Technology</w:t>
            </w:r>
          </w:p>
        </w:tc>
        <w:tc>
          <w:tcPr>
            <w:tcW w:w="3828" w:type="pct"/>
            <w:tcBorders>
              <w:top w:val="none" w:sz="0" w:space="0" w:color="auto"/>
              <w:bottom w:val="none" w:sz="0" w:space="0" w:color="auto"/>
              <w:right w:val="none" w:sz="0" w:space="0" w:color="auto"/>
            </w:tcBorders>
            <w:hideMark/>
          </w:tcPr>
          <w:p w:rsidR="0078789A" w:rsidRPr="00B604AA" w:rsidRDefault="0078789A" w:rsidP="006207CF">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0"/>
                <w:szCs w:val="22"/>
              </w:rPr>
            </w:pPr>
            <w:r w:rsidRPr="00B604AA">
              <w:rPr>
                <w:rFonts w:asciiTheme="minorHAnsi" w:hAnsiTheme="minorHAnsi" w:cstheme="minorHAnsi"/>
                <w:color w:val="4F81BD" w:themeColor="accent1"/>
                <w:sz w:val="20"/>
              </w:rPr>
              <w:t xml:space="preserve">CES </w:t>
            </w:r>
            <w:r w:rsidR="004650A6" w:rsidRPr="00B604AA">
              <w:rPr>
                <w:rFonts w:asciiTheme="minorHAnsi" w:hAnsiTheme="minorHAnsi" w:cstheme="minorHAnsi"/>
                <w:color w:val="4F81BD" w:themeColor="accent1"/>
                <w:sz w:val="20"/>
              </w:rPr>
              <w:t>production functions</w:t>
            </w:r>
            <w:r w:rsidRPr="00B604AA">
              <w:rPr>
                <w:rFonts w:asciiTheme="minorHAnsi" w:hAnsiTheme="minorHAnsi" w:cstheme="minorHAnsi"/>
                <w:color w:val="4F81BD" w:themeColor="accent1"/>
                <w:sz w:val="20"/>
              </w:rPr>
              <w:t xml:space="preserve"> for each sector. Specific detailed technologies not modelled.</w:t>
            </w:r>
          </w:p>
        </w:tc>
      </w:tr>
    </w:tbl>
    <w:p w:rsidR="0078789A" w:rsidRDefault="0078789A" w:rsidP="0078789A">
      <w:pPr>
        <w:pStyle w:val="ListParagraph"/>
        <w:ind w:left="0"/>
        <w:rPr>
          <w:rFonts w:asciiTheme="minorHAnsi" w:hAnsiTheme="minorHAnsi" w:cstheme="minorHAnsi"/>
          <w:b/>
          <w:u w:val="single"/>
        </w:rPr>
      </w:pPr>
    </w:p>
    <w:p w:rsidR="0078789A" w:rsidRPr="00192168" w:rsidRDefault="0078789A" w:rsidP="0078789A">
      <w:pPr>
        <w:pStyle w:val="TableText"/>
        <w:keepNext/>
        <w:rPr>
          <w:rFonts w:asciiTheme="minorHAnsi" w:hAnsiTheme="minorHAnsi" w:cstheme="minorHAnsi"/>
          <w:color w:val="4F81BD" w:themeColor="accent1"/>
        </w:rPr>
      </w:pPr>
      <w:r w:rsidRPr="00192168">
        <w:rPr>
          <w:rFonts w:asciiTheme="minorHAnsi" w:hAnsiTheme="minorHAnsi" w:cstheme="minorHAnsi"/>
          <w:b/>
          <w:color w:val="4F81BD" w:themeColor="accent1"/>
          <w:sz w:val="24"/>
        </w:rPr>
        <w:lastRenderedPageBreak/>
        <w:t>Table B-4:</w:t>
      </w:r>
      <w:r w:rsidRPr="00192168">
        <w:rPr>
          <w:rFonts w:asciiTheme="minorHAnsi" w:hAnsiTheme="minorHAnsi" w:cstheme="minorHAnsi"/>
          <w:color w:val="4F81BD" w:themeColor="accent1"/>
          <w:sz w:val="24"/>
        </w:rPr>
        <w:t xml:space="preserve"> Modelling assumptions: macroeconomic parameters and emissions</w:t>
      </w:r>
    </w:p>
    <w:tbl>
      <w:tblPr>
        <w:tblStyle w:val="LightList-Accent1"/>
        <w:tblW w:w="4970" w:type="pct"/>
        <w:tblBorders>
          <w:top w:val="single" w:sz="8" w:space="0" w:color="996633"/>
          <w:left w:val="single" w:sz="8" w:space="0" w:color="996633"/>
          <w:bottom w:val="single" w:sz="8" w:space="0" w:color="996633"/>
          <w:right w:val="single" w:sz="8" w:space="0" w:color="996633"/>
          <w:insideH w:val="single" w:sz="8" w:space="0" w:color="996633"/>
        </w:tblBorders>
        <w:tblLook w:val="04A0" w:firstRow="1" w:lastRow="0" w:firstColumn="1" w:lastColumn="0" w:noHBand="0" w:noVBand="1"/>
      </w:tblPr>
      <w:tblGrid>
        <w:gridCol w:w="2048"/>
        <w:gridCol w:w="6423"/>
      </w:tblGrid>
      <w:tr w:rsidR="0078789A" w:rsidRPr="00703656" w:rsidTr="00B26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96633"/>
            <w:hideMark/>
          </w:tcPr>
          <w:p w:rsidR="0078789A" w:rsidRPr="00BF7A32" w:rsidRDefault="0078789A" w:rsidP="006207CF">
            <w:pPr>
              <w:keepNext/>
              <w:spacing w:after="120"/>
              <w:rPr>
                <w:rFonts w:asciiTheme="minorHAnsi" w:hAnsiTheme="minorHAnsi" w:cstheme="minorHAnsi"/>
                <w:b w:val="0"/>
              </w:rPr>
            </w:pPr>
            <w:r>
              <w:rPr>
                <w:rFonts w:asciiTheme="minorHAnsi" w:hAnsiTheme="minorHAnsi" w:cstheme="minorHAnsi"/>
                <w:b w:val="0"/>
              </w:rPr>
              <w:t>Macroeconomic assumptions</w:t>
            </w:r>
          </w:p>
        </w:tc>
      </w:tr>
      <w:tr w:rsidR="0078789A" w:rsidRPr="00703656"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none" w:sz="0" w:space="0" w:color="auto"/>
              <w:left w:val="none" w:sz="0" w:space="0" w:color="auto"/>
              <w:bottom w:val="none" w:sz="0" w:space="0" w:color="auto"/>
            </w:tcBorders>
            <w:hideMark/>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GDP</w:t>
            </w:r>
          </w:p>
        </w:tc>
        <w:tc>
          <w:tcPr>
            <w:tcW w:w="3791" w:type="pct"/>
            <w:tcBorders>
              <w:top w:val="none" w:sz="0" w:space="0" w:color="auto"/>
              <w:bottom w:val="none" w:sz="0" w:space="0" w:color="auto"/>
              <w:right w:val="none" w:sz="0" w:space="0" w:color="auto"/>
            </w:tcBorders>
            <w:hideMark/>
          </w:tcPr>
          <w:p w:rsidR="0078789A" w:rsidRPr="00BF39AB" w:rsidRDefault="0078789A" w:rsidP="006207CF">
            <w:pPr>
              <w:keepN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 xml:space="preserve">Baseline: All countries: </w:t>
            </w:r>
            <w:r w:rsidRPr="00BF39AB">
              <w:rPr>
                <w:rFonts w:asciiTheme="minorHAnsi" w:hAnsiTheme="minorHAnsi" w:cstheme="minorHAnsi"/>
                <w:i/>
                <w:color w:val="4F81BD" w:themeColor="accent1"/>
              </w:rPr>
              <w:t>Mid-year economic and fiscal outlook 2014-15</w:t>
            </w:r>
            <w:r w:rsidRPr="00BF39AB">
              <w:rPr>
                <w:rFonts w:asciiTheme="minorHAnsi" w:hAnsiTheme="minorHAnsi" w:cstheme="minorHAnsi"/>
                <w:color w:val="4F81BD" w:themeColor="accent1"/>
              </w:rPr>
              <w:t xml:space="preserve"> (Department of the Treasury, 2014)</w:t>
            </w:r>
            <w:r w:rsidRPr="00BF39AB">
              <w:rPr>
                <w:rFonts w:asciiTheme="minorHAnsi" w:hAnsiTheme="minorHAnsi" w:cstheme="minorHAnsi"/>
                <w:i/>
                <w:color w:val="4F81BD" w:themeColor="accent1"/>
              </w:rPr>
              <w:t xml:space="preserve"> </w:t>
            </w:r>
            <w:r w:rsidRPr="00BF39AB">
              <w:rPr>
                <w:rFonts w:asciiTheme="minorHAnsi" w:hAnsiTheme="minorHAnsi" w:cstheme="minorHAnsi"/>
                <w:color w:val="4F81BD" w:themeColor="accent1"/>
              </w:rPr>
              <w:t>(MYEFO)</w:t>
            </w:r>
          </w:p>
          <w:p w:rsidR="0078789A" w:rsidRPr="00BF39AB" w:rsidRDefault="0078789A" w:rsidP="006207CF">
            <w:pPr>
              <w:keepN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Current policies:  MYEFO with technical adjustments</w:t>
            </w:r>
          </w:p>
          <w:p w:rsidR="0078789A" w:rsidRPr="00BF39AB" w:rsidRDefault="0078789A" w:rsidP="006207CF">
            <w:pPr>
              <w:keepN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Paris Scenario: model output</w:t>
            </w:r>
          </w:p>
        </w:tc>
      </w:tr>
      <w:tr w:rsidR="0078789A" w:rsidRPr="00703656" w:rsidTr="00B26171">
        <w:tc>
          <w:tcPr>
            <w:cnfStyle w:val="001000000000" w:firstRow="0" w:lastRow="0" w:firstColumn="1" w:lastColumn="0" w:oddVBand="0" w:evenVBand="0" w:oddHBand="0" w:evenHBand="0" w:firstRowFirstColumn="0" w:firstRowLastColumn="0" w:lastRowFirstColumn="0" w:lastRowLastColumn="0"/>
            <w:tcW w:w="1209" w:type="pct"/>
            <w:hideMark/>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 xml:space="preserve">Population </w:t>
            </w:r>
          </w:p>
        </w:tc>
        <w:tc>
          <w:tcPr>
            <w:tcW w:w="3791" w:type="pct"/>
            <w:hideMark/>
          </w:tcPr>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By country/region – UN Medium fertility 2012 scenarios (United Nations, 2012)</w:t>
            </w:r>
          </w:p>
        </w:tc>
      </w:tr>
      <w:tr w:rsidR="0078789A" w:rsidRPr="00703656"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none" w:sz="0" w:space="0" w:color="auto"/>
              <w:left w:val="none" w:sz="0" w:space="0" w:color="auto"/>
              <w:bottom w:val="none" w:sz="0" w:space="0" w:color="auto"/>
            </w:tcBorders>
            <w:hideMark/>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Productivity growth</w:t>
            </w:r>
          </w:p>
        </w:tc>
        <w:tc>
          <w:tcPr>
            <w:tcW w:w="3791" w:type="pct"/>
            <w:tcBorders>
              <w:top w:val="none" w:sz="0" w:space="0" w:color="auto"/>
              <w:bottom w:val="none" w:sz="0" w:space="0" w:color="auto"/>
              <w:right w:val="none" w:sz="0" w:space="0" w:color="auto"/>
            </w:tcBorders>
            <w:hideMark/>
          </w:tcPr>
          <w:p w:rsidR="0078789A" w:rsidRPr="00BF39AB" w:rsidRDefault="0078789A" w:rsidP="006207CF">
            <w:pPr>
              <w:keepN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 xml:space="preserve">By country/region and sector – productivity </w:t>
            </w:r>
            <w:r w:rsidR="004650A6" w:rsidRPr="00BF39AB">
              <w:rPr>
                <w:rFonts w:asciiTheme="minorHAnsi" w:hAnsiTheme="minorHAnsi" w:cstheme="minorHAnsi"/>
                <w:color w:val="4F81BD" w:themeColor="accent1"/>
              </w:rPr>
              <w:t>catch-up</w:t>
            </w:r>
            <w:r w:rsidRPr="00BF39AB">
              <w:rPr>
                <w:rFonts w:asciiTheme="minorHAnsi" w:hAnsiTheme="minorHAnsi" w:cstheme="minorHAnsi"/>
                <w:color w:val="4F81BD" w:themeColor="accent1"/>
              </w:rPr>
              <w:t xml:space="preserve"> model: each sector in each country/region closes the gap in productivity relative to the equivalent US sector by a constant percentage per year (2% per year for Australia, Japan, Europe; 5% per year for China; 1% per year for ROW and Russia; 0.5% per year for OPEC).</w:t>
            </w:r>
          </w:p>
        </w:tc>
      </w:tr>
      <w:tr w:rsidR="0078789A" w:rsidRPr="00703656" w:rsidTr="00B26171">
        <w:tc>
          <w:tcPr>
            <w:cnfStyle w:val="001000000000" w:firstRow="0" w:lastRow="0" w:firstColumn="1" w:lastColumn="0" w:oddVBand="0" w:evenVBand="0" w:oddHBand="0" w:evenHBand="0" w:firstRowFirstColumn="0" w:firstRowLastColumn="0" w:lastRowFirstColumn="0" w:lastRowLastColumn="0"/>
            <w:tcW w:w="1209" w:type="pct"/>
            <w:hideMark/>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Monetary policy</w:t>
            </w:r>
          </w:p>
        </w:tc>
        <w:tc>
          <w:tcPr>
            <w:tcW w:w="3791" w:type="pct"/>
            <w:hideMark/>
          </w:tcPr>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 xml:space="preserve">By country/region – central </w:t>
            </w:r>
            <w:r w:rsidR="004650A6" w:rsidRPr="00BF39AB">
              <w:rPr>
                <w:rFonts w:asciiTheme="minorHAnsi" w:hAnsiTheme="minorHAnsi" w:cstheme="minorHAnsi"/>
                <w:color w:val="4F81BD" w:themeColor="accent1"/>
              </w:rPr>
              <w:t>banks follow</w:t>
            </w:r>
            <w:r w:rsidRPr="00BF39AB">
              <w:rPr>
                <w:rFonts w:asciiTheme="minorHAnsi" w:hAnsiTheme="minorHAnsi" w:cstheme="minorHAnsi"/>
                <w:color w:val="4F81BD" w:themeColor="accent1"/>
              </w:rPr>
              <w:t xml:space="preserve"> an interest rate rule targeting nominal income growth and in some countries also a weigh on exchange rate variability.</w:t>
            </w:r>
          </w:p>
        </w:tc>
      </w:tr>
      <w:tr w:rsidR="0078789A" w:rsidRPr="00703656"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none" w:sz="0" w:space="0" w:color="auto"/>
              <w:left w:val="none" w:sz="0" w:space="0" w:color="auto"/>
              <w:bottom w:val="none" w:sz="0" w:space="0" w:color="auto"/>
            </w:tcBorders>
            <w:hideMark/>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Fiscal policy</w:t>
            </w:r>
          </w:p>
        </w:tc>
        <w:tc>
          <w:tcPr>
            <w:tcW w:w="3791" w:type="pct"/>
            <w:tcBorders>
              <w:top w:val="none" w:sz="0" w:space="0" w:color="auto"/>
              <w:bottom w:val="none" w:sz="0" w:space="0" w:color="auto"/>
              <w:right w:val="none" w:sz="0" w:space="0" w:color="auto"/>
            </w:tcBorders>
            <w:hideMark/>
          </w:tcPr>
          <w:p w:rsidR="0078789A" w:rsidRPr="00BF39AB" w:rsidRDefault="0078789A" w:rsidP="006207CF">
            <w:pPr>
              <w:keepN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Government spending fixed at 2012 share of GDP</w:t>
            </w:r>
            <w:r w:rsidR="004650A6" w:rsidRPr="00BF39AB">
              <w:rPr>
                <w:rFonts w:asciiTheme="minorHAnsi" w:hAnsiTheme="minorHAnsi" w:cstheme="minorHAnsi"/>
                <w:color w:val="4F81BD" w:themeColor="accent1"/>
              </w:rPr>
              <w:t>; exogenous</w:t>
            </w:r>
            <w:r w:rsidRPr="00BF39AB">
              <w:rPr>
                <w:rFonts w:asciiTheme="minorHAnsi" w:hAnsiTheme="minorHAnsi" w:cstheme="minorHAnsi"/>
                <w:color w:val="4F81BD" w:themeColor="accent1"/>
              </w:rPr>
              <w:t xml:space="preserve"> fiscal deficit path and tax rates held fixed except a lump sum tax of households to hold the deficit fixed given endogenous tax revenue.</w:t>
            </w:r>
          </w:p>
        </w:tc>
      </w:tr>
      <w:tr w:rsidR="0078789A" w:rsidRPr="00703656" w:rsidTr="00B26171">
        <w:tc>
          <w:tcPr>
            <w:cnfStyle w:val="001000000000" w:firstRow="0" w:lastRow="0" w:firstColumn="1" w:lastColumn="0" w:oddVBand="0" w:evenVBand="0" w:oddHBand="0" w:evenHBand="0" w:firstRowFirstColumn="0" w:firstRowLastColumn="0" w:lastRowFirstColumn="0" w:lastRowLastColumn="0"/>
            <w:tcW w:w="1209" w:type="pct"/>
            <w:hideMark/>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Energy efficiency improvement</w:t>
            </w:r>
          </w:p>
        </w:tc>
        <w:tc>
          <w:tcPr>
            <w:tcW w:w="3791" w:type="pct"/>
            <w:hideMark/>
          </w:tcPr>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Baseline, all countries/regions: 1 per cent per year</w:t>
            </w:r>
          </w:p>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Current policies: output of energy sectors adjusted via productivity shocks and additional energy efficiency assumptions to approximately reach the emissions projections of the International Energy Agency and the US Energy Information Administration</w:t>
            </w:r>
          </w:p>
        </w:tc>
      </w:tr>
      <w:tr w:rsidR="00B26171" w:rsidRPr="00B26171"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96633"/>
            <w:hideMark/>
          </w:tcPr>
          <w:p w:rsidR="0078789A" w:rsidRPr="00B26171" w:rsidRDefault="0078789A" w:rsidP="006207CF">
            <w:pPr>
              <w:keepNext/>
              <w:spacing w:after="120"/>
              <w:rPr>
                <w:rFonts w:asciiTheme="minorHAnsi" w:hAnsiTheme="minorHAnsi" w:cstheme="minorHAnsi"/>
                <w:b w:val="0"/>
                <w:color w:val="FFFFFF" w:themeColor="background1"/>
              </w:rPr>
            </w:pPr>
            <w:r w:rsidRPr="00B26171">
              <w:rPr>
                <w:rFonts w:asciiTheme="minorHAnsi" w:hAnsiTheme="minorHAnsi" w:cstheme="minorHAnsi"/>
                <w:b w:val="0"/>
                <w:color w:val="FFFFFF" w:themeColor="background1"/>
              </w:rPr>
              <w:t>Emissions assumptions</w:t>
            </w:r>
          </w:p>
        </w:tc>
      </w:tr>
      <w:tr w:rsidR="0078789A" w:rsidRPr="00703656" w:rsidTr="00B26171">
        <w:tc>
          <w:tcPr>
            <w:cnfStyle w:val="001000000000" w:firstRow="0" w:lastRow="0" w:firstColumn="1" w:lastColumn="0" w:oddVBand="0" w:evenVBand="0" w:oddHBand="0" w:evenHBand="0" w:firstRowFirstColumn="0" w:firstRowLastColumn="0" w:lastRowFirstColumn="0" w:lastRowLastColumn="0"/>
            <w:tcW w:w="1209" w:type="pct"/>
            <w:hideMark/>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BAU and historical emissions</w:t>
            </w:r>
          </w:p>
        </w:tc>
        <w:tc>
          <w:tcPr>
            <w:tcW w:w="3791" w:type="pct"/>
          </w:tcPr>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 xml:space="preserve">Australia: </w:t>
            </w:r>
            <w:r w:rsidRPr="00BF39AB">
              <w:rPr>
                <w:rFonts w:asciiTheme="minorHAnsi" w:hAnsiTheme="minorHAnsi" w:cstheme="minorHAnsi"/>
                <w:i/>
                <w:color w:val="4F81BD" w:themeColor="accent1"/>
              </w:rPr>
              <w:t xml:space="preserve">Australia’s emissions projections 2014-15 </w:t>
            </w:r>
            <w:r w:rsidRPr="00BF39AB">
              <w:rPr>
                <w:rFonts w:asciiTheme="minorHAnsi" w:hAnsiTheme="minorHAnsi" w:cstheme="minorHAnsi"/>
                <w:color w:val="4F81BD" w:themeColor="accent1"/>
              </w:rPr>
              <w:t>(Department of the Environment, 2015)</w:t>
            </w:r>
          </w:p>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Other countries: Energy Information Administration Energy Outlook 2015</w:t>
            </w:r>
          </w:p>
        </w:tc>
      </w:tr>
      <w:tr w:rsidR="0078789A" w:rsidRPr="00703656" w:rsidTr="00B2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none" w:sz="0" w:space="0" w:color="auto"/>
              <w:left w:val="none" w:sz="0" w:space="0" w:color="auto"/>
              <w:bottom w:val="none" w:sz="0" w:space="0" w:color="auto"/>
            </w:tcBorders>
            <w:hideMark/>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Gases</w:t>
            </w:r>
          </w:p>
        </w:tc>
        <w:tc>
          <w:tcPr>
            <w:tcW w:w="3791" w:type="pct"/>
            <w:tcBorders>
              <w:top w:val="none" w:sz="0" w:space="0" w:color="auto"/>
              <w:bottom w:val="none" w:sz="0" w:space="0" w:color="auto"/>
              <w:right w:val="none" w:sz="0" w:space="0" w:color="auto"/>
            </w:tcBorders>
            <w:hideMark/>
          </w:tcPr>
          <w:p w:rsidR="0078789A" w:rsidRPr="00BF39AB" w:rsidRDefault="0078789A" w:rsidP="006207CF">
            <w:pPr>
              <w:keepN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CO</w:t>
            </w:r>
            <w:r w:rsidRPr="00BF39AB">
              <w:rPr>
                <w:rFonts w:asciiTheme="minorHAnsi" w:hAnsiTheme="minorHAnsi" w:cstheme="minorHAnsi"/>
                <w:color w:val="4F81BD" w:themeColor="accent1"/>
                <w:vertAlign w:val="subscript"/>
              </w:rPr>
              <w:t>2</w:t>
            </w:r>
            <w:r w:rsidRPr="00BF39AB">
              <w:rPr>
                <w:rFonts w:asciiTheme="minorHAnsi" w:hAnsiTheme="minorHAnsi" w:cstheme="minorHAnsi"/>
                <w:color w:val="4F81BD" w:themeColor="accent1"/>
              </w:rPr>
              <w:t xml:space="preserve"> from energy use only</w:t>
            </w:r>
          </w:p>
        </w:tc>
      </w:tr>
      <w:tr w:rsidR="0078789A" w:rsidRPr="00703656" w:rsidTr="00B26171">
        <w:tc>
          <w:tcPr>
            <w:cnfStyle w:val="001000000000" w:firstRow="0" w:lastRow="0" w:firstColumn="1" w:lastColumn="0" w:oddVBand="0" w:evenVBand="0" w:oddHBand="0" w:evenHBand="0" w:firstRowFirstColumn="0" w:firstRowLastColumn="0" w:lastRowFirstColumn="0" w:lastRowLastColumn="0"/>
            <w:tcW w:w="1209" w:type="pct"/>
            <w:hideMark/>
          </w:tcPr>
          <w:p w:rsidR="0078789A" w:rsidRPr="00BF39AB" w:rsidRDefault="0078789A" w:rsidP="006207CF">
            <w:pPr>
              <w:keepNext/>
              <w:spacing w:after="120"/>
              <w:rPr>
                <w:rFonts w:asciiTheme="minorHAnsi" w:hAnsiTheme="minorHAnsi" w:cstheme="minorHAnsi"/>
                <w:color w:val="4F81BD" w:themeColor="accent1"/>
              </w:rPr>
            </w:pPr>
            <w:r w:rsidRPr="00BF39AB">
              <w:rPr>
                <w:rFonts w:asciiTheme="minorHAnsi" w:hAnsiTheme="minorHAnsi" w:cstheme="minorHAnsi"/>
                <w:color w:val="4F81BD" w:themeColor="accent1"/>
              </w:rPr>
              <w:t>Emissions sources included</w:t>
            </w:r>
          </w:p>
        </w:tc>
        <w:tc>
          <w:tcPr>
            <w:tcW w:w="3791" w:type="pct"/>
            <w:hideMark/>
          </w:tcPr>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Energy consumption</w:t>
            </w:r>
          </w:p>
          <w:p w:rsidR="0078789A" w:rsidRPr="00BF39AB" w:rsidRDefault="0078789A" w:rsidP="006207CF">
            <w:pPr>
              <w:keepN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F39AB">
              <w:rPr>
                <w:rFonts w:asciiTheme="minorHAnsi" w:hAnsiTheme="minorHAnsi" w:cstheme="minorHAnsi"/>
                <w:color w:val="4F81BD" w:themeColor="accent1"/>
              </w:rPr>
              <w:t>Excludes emissions from all sources that are not energy use (such as oil and gas fugitive emissions, cement production, agricultural activity)</w:t>
            </w:r>
          </w:p>
        </w:tc>
      </w:tr>
    </w:tbl>
    <w:p w:rsidR="0078789A" w:rsidRDefault="0078789A" w:rsidP="0078789A">
      <w:pPr>
        <w:rPr>
          <w:rFonts w:asciiTheme="minorHAnsi" w:hAnsiTheme="minorHAnsi" w:cstheme="minorHAnsi"/>
          <w:sz w:val="22"/>
        </w:rPr>
      </w:pPr>
      <w:r>
        <w:rPr>
          <w:rFonts w:asciiTheme="minorHAnsi" w:hAnsiTheme="minorHAnsi" w:cstheme="minorHAnsi"/>
          <w:sz w:val="22"/>
        </w:rPr>
        <w:br w:type="page"/>
      </w:r>
    </w:p>
    <w:p w:rsidR="001B061C" w:rsidRPr="00B26171" w:rsidRDefault="001B061C" w:rsidP="002F5BC8">
      <w:pPr>
        <w:rPr>
          <w:rFonts w:asciiTheme="minorHAnsi" w:hAnsiTheme="minorHAnsi" w:cstheme="minorHAnsi"/>
          <w:b/>
          <w:color w:val="996633"/>
          <w:sz w:val="40"/>
        </w:rPr>
      </w:pPr>
      <w:r w:rsidRPr="00B26171">
        <w:rPr>
          <w:rFonts w:asciiTheme="minorHAnsi" w:hAnsiTheme="minorHAnsi" w:cstheme="minorHAnsi"/>
          <w:b/>
          <w:color w:val="996633"/>
          <w:sz w:val="40"/>
        </w:rPr>
        <w:lastRenderedPageBreak/>
        <w:t xml:space="preserve">APPENDIX </w:t>
      </w:r>
      <w:r w:rsidR="0078789A" w:rsidRPr="00B26171">
        <w:rPr>
          <w:rFonts w:asciiTheme="minorHAnsi" w:hAnsiTheme="minorHAnsi" w:cstheme="minorHAnsi"/>
          <w:b/>
          <w:color w:val="996633"/>
          <w:sz w:val="40"/>
        </w:rPr>
        <w:t>C</w:t>
      </w:r>
      <w:r w:rsidR="002F5BC8" w:rsidRPr="00B26171">
        <w:rPr>
          <w:rFonts w:asciiTheme="minorHAnsi" w:hAnsiTheme="minorHAnsi" w:cstheme="minorHAnsi"/>
          <w:b/>
          <w:color w:val="996633"/>
          <w:sz w:val="40"/>
        </w:rPr>
        <w:t>:</w:t>
      </w:r>
    </w:p>
    <w:p w:rsidR="001B061C" w:rsidRPr="00B26171" w:rsidRDefault="00B2708B" w:rsidP="001B061C">
      <w:pPr>
        <w:rPr>
          <w:rFonts w:asciiTheme="minorHAnsi" w:hAnsiTheme="minorHAnsi" w:cstheme="minorHAnsi"/>
          <w:b/>
          <w:color w:val="996633"/>
          <w:sz w:val="40"/>
        </w:rPr>
      </w:pPr>
      <w:r w:rsidRPr="00B26171">
        <w:rPr>
          <w:rFonts w:asciiTheme="minorHAnsi" w:hAnsiTheme="minorHAnsi" w:cstheme="minorHAnsi"/>
          <w:b/>
          <w:color w:val="996633"/>
          <w:sz w:val="40"/>
        </w:rPr>
        <w:t>E</w:t>
      </w:r>
      <w:r w:rsidR="002F5BC8" w:rsidRPr="00B26171">
        <w:rPr>
          <w:rFonts w:asciiTheme="minorHAnsi" w:hAnsiTheme="minorHAnsi" w:cstheme="minorHAnsi"/>
          <w:b/>
          <w:color w:val="996633"/>
          <w:sz w:val="40"/>
        </w:rPr>
        <w:t>conomic impacts</w:t>
      </w:r>
      <w:r w:rsidRPr="00B26171">
        <w:rPr>
          <w:rFonts w:asciiTheme="minorHAnsi" w:hAnsiTheme="minorHAnsi" w:cstheme="minorHAnsi"/>
          <w:b/>
          <w:color w:val="996633"/>
          <w:sz w:val="40"/>
        </w:rPr>
        <w:t xml:space="preserve"> on key countries</w:t>
      </w:r>
    </w:p>
    <w:p w:rsidR="00F211D9" w:rsidRPr="00B26171" w:rsidRDefault="00F211D9" w:rsidP="00BF7A32">
      <w:pPr>
        <w:spacing w:before="240"/>
        <w:rPr>
          <w:rFonts w:asciiTheme="minorHAnsi" w:hAnsiTheme="minorHAnsi" w:cstheme="minorHAnsi"/>
          <w:b/>
          <w:color w:val="996633"/>
          <w:sz w:val="36"/>
        </w:rPr>
      </w:pPr>
      <w:r w:rsidRPr="00B26171">
        <w:rPr>
          <w:rFonts w:asciiTheme="minorHAnsi" w:hAnsiTheme="minorHAnsi" w:cstheme="minorHAnsi"/>
          <w:b/>
          <w:color w:val="996633"/>
          <w:sz w:val="36"/>
        </w:rPr>
        <w:t>Australia</w:t>
      </w:r>
    </w:p>
    <w:p w:rsidR="00F211D9" w:rsidRPr="00BF39AB" w:rsidRDefault="00F211D9" w:rsidP="00BF7A32">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Macroeconomic indicators</w:t>
      </w:r>
    </w:p>
    <w:p w:rsidR="00F211D9" w:rsidRPr="0011193A" w:rsidRDefault="00F211D9" w:rsidP="00BF7A32">
      <w:pPr>
        <w:pStyle w:val="TableText"/>
        <w:spacing w:before="0" w:after="100" w:afterAutospacing="1" w:line="240" w:lineRule="auto"/>
        <w:rPr>
          <w:rFonts w:asciiTheme="minorHAnsi" w:hAnsiTheme="minorHAnsi" w:cstheme="minorHAnsi"/>
        </w:rPr>
      </w:pPr>
      <w:r w:rsidRPr="0011193A">
        <w:rPr>
          <w:rFonts w:asciiTheme="minorHAnsi" w:hAnsiTheme="minorHAnsi" w:cstheme="minorHAnsi"/>
          <w:sz w:val="24"/>
        </w:rPr>
        <w:t xml:space="preserve">With the targets modelled, </w:t>
      </w:r>
      <w:r w:rsidRPr="0046647A">
        <w:rPr>
          <w:rFonts w:asciiTheme="minorHAnsi" w:hAnsiTheme="minorHAnsi" w:cstheme="minorHAnsi"/>
          <w:sz w:val="24"/>
        </w:rPr>
        <w:t xml:space="preserve">GDP in </w:t>
      </w:r>
      <w:r>
        <w:rPr>
          <w:rFonts w:asciiTheme="minorHAnsi" w:hAnsiTheme="minorHAnsi" w:cstheme="minorHAnsi"/>
          <w:sz w:val="24"/>
        </w:rPr>
        <w:t xml:space="preserve">Australia </w:t>
      </w:r>
      <w:r w:rsidRPr="0011193A">
        <w:rPr>
          <w:rFonts w:asciiTheme="minorHAnsi" w:hAnsiTheme="minorHAnsi" w:cstheme="minorHAnsi"/>
          <w:sz w:val="24"/>
        </w:rPr>
        <w:t xml:space="preserve">in 2030 is estimated to be </w:t>
      </w:r>
      <w:r w:rsidRPr="0046647A">
        <w:rPr>
          <w:rFonts w:asciiTheme="minorHAnsi" w:hAnsiTheme="minorHAnsi" w:cstheme="minorHAnsi"/>
          <w:sz w:val="24"/>
        </w:rPr>
        <w:t>0.1</w:t>
      </w:r>
      <w:r>
        <w:rPr>
          <w:rFonts w:asciiTheme="minorHAnsi" w:hAnsiTheme="minorHAnsi" w:cstheme="minorHAnsi"/>
          <w:sz w:val="24"/>
        </w:rPr>
        <w:t>6</w:t>
      </w:r>
      <w:r w:rsidRPr="0046647A">
        <w:rPr>
          <w:rFonts w:asciiTheme="minorHAnsi" w:hAnsiTheme="minorHAnsi" w:cstheme="minorHAnsi"/>
          <w:sz w:val="24"/>
        </w:rPr>
        <w:t xml:space="preserve"> per cent lower than if countries did not take on post-2020 target</w:t>
      </w:r>
      <w:r w:rsidRPr="0011193A">
        <w:rPr>
          <w:rFonts w:asciiTheme="minorHAnsi" w:hAnsiTheme="minorHAnsi" w:cstheme="minorHAnsi"/>
          <w:sz w:val="24"/>
        </w:rPr>
        <w:t>s</w:t>
      </w:r>
      <w:r w:rsidR="00B02D46">
        <w:rPr>
          <w:rFonts w:asciiTheme="minorHAnsi" w:hAnsiTheme="minorHAnsi" w:cstheme="minorHAnsi"/>
          <w:sz w:val="24"/>
        </w:rPr>
        <w:t xml:space="preserve"> </w:t>
      </w:r>
      <w:r w:rsidR="00B02D46" w:rsidRPr="0011193A">
        <w:rPr>
          <w:rFonts w:asciiTheme="minorHAnsi" w:hAnsiTheme="minorHAnsi" w:cstheme="minorHAnsi"/>
          <w:sz w:val="24"/>
        </w:rPr>
        <w:t xml:space="preserve">(Figure </w:t>
      </w:r>
      <w:r w:rsidR="00B02D46">
        <w:rPr>
          <w:rFonts w:asciiTheme="minorHAnsi" w:hAnsiTheme="minorHAnsi" w:cstheme="minorHAnsi"/>
          <w:sz w:val="24"/>
        </w:rPr>
        <w:t>C</w:t>
      </w:r>
      <w:r w:rsidR="00B02D46" w:rsidRPr="0011193A">
        <w:rPr>
          <w:rFonts w:asciiTheme="minorHAnsi" w:hAnsiTheme="minorHAnsi" w:cstheme="minorHAnsi"/>
          <w:sz w:val="24"/>
        </w:rPr>
        <w:t>-1)</w:t>
      </w:r>
      <w:r w:rsidRPr="0046647A">
        <w:rPr>
          <w:rFonts w:asciiTheme="minorHAnsi" w:hAnsiTheme="minorHAnsi" w:cstheme="minorHAnsi"/>
          <w:sz w:val="24"/>
        </w:rPr>
        <w:t>.</w:t>
      </w:r>
      <w:r w:rsidRPr="0011193A">
        <w:rPr>
          <w:rFonts w:asciiTheme="minorHAnsi" w:hAnsiTheme="minorHAnsi" w:cstheme="minorHAnsi"/>
          <w:sz w:val="24"/>
        </w:rPr>
        <w:t xml:space="preserve"> </w:t>
      </w:r>
    </w:p>
    <w:p w:rsidR="00F211D9" w:rsidRPr="00B26171" w:rsidRDefault="00F211D9" w:rsidP="00F211D9">
      <w:pPr>
        <w:keepNext/>
        <w:spacing w:before="240" w:after="120"/>
        <w:rPr>
          <w:rFonts w:asciiTheme="minorHAnsi" w:hAnsiTheme="minorHAnsi" w:cstheme="minorHAnsi"/>
          <w:color w:val="4F81BD" w:themeColor="accent1"/>
        </w:rPr>
      </w:pPr>
      <w:r w:rsidRPr="00B26171">
        <w:rPr>
          <w:rFonts w:asciiTheme="minorHAnsi" w:hAnsiTheme="minorHAnsi" w:cstheme="minorHAnsi"/>
          <w:b/>
          <w:color w:val="4F81BD" w:themeColor="accent1"/>
        </w:rPr>
        <w:t xml:space="preserve">Figure </w:t>
      </w:r>
      <w:r w:rsidR="0078789A" w:rsidRPr="00B26171">
        <w:rPr>
          <w:rFonts w:asciiTheme="minorHAnsi" w:hAnsiTheme="minorHAnsi" w:cstheme="minorHAnsi"/>
          <w:b/>
          <w:color w:val="4F81BD" w:themeColor="accent1"/>
        </w:rPr>
        <w:t>C</w:t>
      </w:r>
      <w:r w:rsidRPr="00B26171">
        <w:rPr>
          <w:rFonts w:asciiTheme="minorHAnsi" w:hAnsiTheme="minorHAnsi" w:cstheme="minorHAnsi"/>
          <w:b/>
          <w:color w:val="4F81BD" w:themeColor="accent1"/>
        </w:rPr>
        <w:t xml:space="preserve">-1: </w:t>
      </w:r>
      <w:r w:rsidR="00DD0652" w:rsidRPr="007370E7">
        <w:rPr>
          <w:rFonts w:asciiTheme="minorHAnsi" w:hAnsiTheme="minorHAnsi" w:cstheme="minorHAnsi"/>
          <w:color w:val="4F81BD" w:themeColor="accent1"/>
        </w:rPr>
        <w:t>Australia:</w:t>
      </w:r>
      <w:r w:rsidR="00DD0652">
        <w:rPr>
          <w:rFonts w:asciiTheme="minorHAnsi" w:hAnsiTheme="minorHAnsi" w:cstheme="minorHAnsi"/>
          <w:b/>
          <w:color w:val="4F81BD" w:themeColor="accent1"/>
        </w:rPr>
        <w:t xml:space="preserve"> </w:t>
      </w:r>
      <w:r w:rsidRPr="00B26171">
        <w:rPr>
          <w:rFonts w:asciiTheme="minorHAnsi" w:hAnsiTheme="minorHAnsi" w:cstheme="minorHAnsi"/>
          <w:color w:val="4F81BD" w:themeColor="accent1"/>
        </w:rPr>
        <w:t>Key indicators</w:t>
      </w:r>
      <w:r w:rsidR="0050472B">
        <w:rPr>
          <w:rFonts w:asciiTheme="minorHAnsi" w:hAnsiTheme="minorHAnsi" w:cstheme="minorHAnsi"/>
          <w:color w:val="4F81BD" w:themeColor="accent1"/>
        </w:rPr>
        <w:t xml:space="preserve"> under Paris Scenario</w:t>
      </w:r>
      <w:r w:rsidRPr="00B26171">
        <w:rPr>
          <w:rFonts w:asciiTheme="minorHAnsi" w:hAnsiTheme="minorHAnsi" w:cstheme="minorHAnsi"/>
          <w:color w:val="4F81BD" w:themeColor="accent1"/>
        </w:rPr>
        <w:t xml:space="preserve"> –</w:t>
      </w:r>
      <w:r w:rsidRPr="00B26171">
        <w:rPr>
          <w:color w:val="4F81BD" w:themeColor="accent1"/>
        </w:rPr>
        <w:t xml:space="preserve"> </w:t>
      </w:r>
      <w:r w:rsidRPr="00B26171">
        <w:rPr>
          <w:rFonts w:asciiTheme="minorHAnsi" w:hAnsiTheme="minorHAnsi" w:cstheme="minorHAnsi"/>
          <w:color w:val="4F81BD" w:themeColor="accent1"/>
        </w:rPr>
        <w:t>Real GDP, consumption, investment and trade balance, 2030 (percentage deviation</w:t>
      </w:r>
      <w:r w:rsidR="00D17826" w:rsidRPr="00B26171">
        <w:rPr>
          <w:rFonts w:asciiTheme="minorHAnsi" w:hAnsiTheme="minorHAnsi" w:cstheme="minorHAnsi"/>
          <w:color w:val="4F81BD" w:themeColor="accent1"/>
        </w:rPr>
        <w:t xml:space="preserve"> from Current Policies Scenario</w:t>
      </w:r>
      <w:r w:rsidRPr="00B26171">
        <w:rPr>
          <w:rFonts w:asciiTheme="minorHAnsi" w:hAnsiTheme="minorHAnsi" w:cstheme="minorHAnsi"/>
          <w:color w:val="4F81BD" w:themeColor="accent1"/>
        </w:rPr>
        <w:t>)</w:t>
      </w:r>
    </w:p>
    <w:p w:rsidR="00F211D9" w:rsidRDefault="001C2F22" w:rsidP="00F211D9">
      <w:pPr>
        <w:keepNext/>
        <w:spacing w:before="240" w:after="120"/>
        <w:rPr>
          <w:rFonts w:asciiTheme="minorHAnsi" w:hAnsiTheme="minorHAnsi" w:cstheme="minorHAnsi"/>
        </w:rPr>
      </w:pPr>
      <w:r w:rsidRPr="001C2F22">
        <w:rPr>
          <w:noProof/>
          <w:lang w:eastAsia="en-AU"/>
        </w:rPr>
        <w:drawing>
          <wp:inline distT="0" distB="0" distL="0" distR="0" wp14:anchorId="70C96EBC" wp14:editId="7AAA0C51">
            <wp:extent cx="4457143" cy="2723810"/>
            <wp:effectExtent l="0" t="0" r="635" b="635"/>
            <wp:docPr id="20" name="Picture 20" descr="Under the Paris Scenario, Australia has the following percentage deviation from the Current Policies Scenario in 2030: Real GDP (-0.2%), Consumption (-0.1%), Investment (-0.7%), Trade Balance (+0.0%).&#10;" title="Figure C-1: Australia: Key indicators under Paris Scenario – Real GDP, consumption, investment and trade balance, 2030 (percentage deviation from Current Policie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57143" cy="2723810"/>
                    </a:xfrm>
                    <a:prstGeom prst="rect">
                      <a:avLst/>
                    </a:prstGeom>
                  </pic:spPr>
                </pic:pic>
              </a:graphicData>
            </a:graphic>
          </wp:inline>
        </w:drawing>
      </w:r>
      <w:r w:rsidRPr="001C2F22">
        <w:rPr>
          <w:highlight w:val="yellow"/>
        </w:rPr>
        <w:t xml:space="preserve"> </w:t>
      </w:r>
    </w:p>
    <w:p w:rsidR="00EB3B0F" w:rsidRPr="00BF39AB" w:rsidRDefault="00014079" w:rsidP="00F646CC">
      <w:pPr>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 Trade balance result is deviation in trade balance divided by GDP.</w:t>
      </w:r>
    </w:p>
    <w:p w:rsidR="003E126E" w:rsidRPr="00BF39AB" w:rsidRDefault="003E126E" w:rsidP="003E126E">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Trade impacts</w:t>
      </w:r>
    </w:p>
    <w:p w:rsidR="006F1E85" w:rsidRDefault="006F1E85" w:rsidP="006F1E85">
      <w:pPr>
        <w:pStyle w:val="TableText"/>
        <w:spacing w:before="0" w:after="100" w:afterAutospacing="1" w:line="240" w:lineRule="auto"/>
        <w:rPr>
          <w:rFonts w:asciiTheme="minorHAnsi" w:hAnsiTheme="minorHAnsi" w:cstheme="minorHAnsi"/>
        </w:rPr>
      </w:pPr>
      <w:r w:rsidRPr="00F211D9">
        <w:rPr>
          <w:rFonts w:asciiTheme="minorHAnsi" w:hAnsiTheme="minorHAnsi" w:cstheme="minorHAnsi"/>
          <w:sz w:val="24"/>
        </w:rPr>
        <w:t xml:space="preserve">Stronger global climate action reduces the value of Australian coal and gas exports, </w:t>
      </w:r>
      <w:r w:rsidR="00A52EA5">
        <w:rPr>
          <w:rFonts w:asciiTheme="minorHAnsi" w:hAnsiTheme="minorHAnsi" w:cstheme="minorHAnsi"/>
          <w:sz w:val="24"/>
        </w:rPr>
        <w:t xml:space="preserve">but </w:t>
      </w:r>
      <w:r w:rsidRPr="00F211D9">
        <w:rPr>
          <w:rFonts w:asciiTheme="minorHAnsi" w:hAnsiTheme="minorHAnsi" w:cstheme="minorHAnsi"/>
          <w:sz w:val="24"/>
        </w:rPr>
        <w:t xml:space="preserve">this decline is offset by growth in agricultural exports, </w:t>
      </w:r>
      <w:r>
        <w:rPr>
          <w:rFonts w:asciiTheme="minorHAnsi" w:hAnsiTheme="minorHAnsi" w:cstheme="minorHAnsi"/>
          <w:sz w:val="24"/>
        </w:rPr>
        <w:t>non-durable</w:t>
      </w:r>
      <w:r w:rsidRPr="00F211D9">
        <w:rPr>
          <w:rFonts w:asciiTheme="minorHAnsi" w:hAnsiTheme="minorHAnsi" w:cstheme="minorHAnsi"/>
          <w:sz w:val="24"/>
        </w:rPr>
        <w:t xml:space="preserve"> manufacturing exports (including food processing) and service exports</w:t>
      </w:r>
      <w:r>
        <w:rPr>
          <w:rFonts w:asciiTheme="minorHAnsi" w:hAnsiTheme="minorHAnsi" w:cstheme="minorHAnsi"/>
          <w:sz w:val="24"/>
        </w:rPr>
        <w:t xml:space="preserve"> (Figure C</w:t>
      </w:r>
      <w:r>
        <w:rPr>
          <w:rFonts w:asciiTheme="minorHAnsi" w:hAnsiTheme="minorHAnsi" w:cstheme="minorHAnsi"/>
          <w:sz w:val="24"/>
        </w:rPr>
        <w:noBreakHyphen/>
        <w:t>2</w:t>
      </w:r>
      <w:r w:rsidRPr="003D438D">
        <w:rPr>
          <w:rFonts w:asciiTheme="minorHAnsi" w:hAnsiTheme="minorHAnsi" w:cstheme="minorHAnsi"/>
          <w:sz w:val="24"/>
        </w:rPr>
        <w:t>). Australia's imports continue to expand</w:t>
      </w:r>
      <w:r>
        <w:rPr>
          <w:rFonts w:asciiTheme="minorHAnsi" w:hAnsiTheme="minorHAnsi" w:cstheme="minorHAnsi"/>
          <w:sz w:val="24"/>
        </w:rPr>
        <w:t>, but</w:t>
      </w:r>
      <w:r w:rsidRPr="00C871CD">
        <w:rPr>
          <w:rFonts w:asciiTheme="minorHAnsi" w:hAnsiTheme="minorHAnsi" w:cstheme="minorHAnsi"/>
          <w:sz w:val="24"/>
        </w:rPr>
        <w:t xml:space="preserve"> slightly </w:t>
      </w:r>
      <w:r w:rsidR="00A52EA5">
        <w:rPr>
          <w:rFonts w:asciiTheme="minorHAnsi" w:hAnsiTheme="minorHAnsi" w:cstheme="minorHAnsi"/>
          <w:sz w:val="24"/>
        </w:rPr>
        <w:t>s</w:t>
      </w:r>
      <w:r w:rsidRPr="00C871CD">
        <w:rPr>
          <w:rFonts w:asciiTheme="minorHAnsi" w:hAnsiTheme="minorHAnsi" w:cstheme="minorHAnsi"/>
          <w:sz w:val="24"/>
        </w:rPr>
        <w:t xml:space="preserve">lower </w:t>
      </w:r>
      <w:r w:rsidR="00A52EA5">
        <w:rPr>
          <w:rFonts w:asciiTheme="minorHAnsi" w:hAnsiTheme="minorHAnsi" w:cstheme="minorHAnsi"/>
          <w:sz w:val="24"/>
        </w:rPr>
        <w:t xml:space="preserve">than under the Current Policies Scenario </w:t>
      </w:r>
      <w:r w:rsidRPr="00C871CD">
        <w:rPr>
          <w:rFonts w:asciiTheme="minorHAnsi" w:hAnsiTheme="minorHAnsi" w:cstheme="minorHAnsi"/>
          <w:sz w:val="24"/>
        </w:rPr>
        <w:t>and with a slightly different composition</w:t>
      </w:r>
      <w:r w:rsidRPr="003D438D">
        <w:rPr>
          <w:rFonts w:asciiTheme="minorHAnsi" w:hAnsiTheme="minorHAnsi" w:cstheme="minorHAnsi"/>
          <w:sz w:val="24"/>
        </w:rPr>
        <w:t>.</w:t>
      </w:r>
      <w:r w:rsidRPr="00F211D9">
        <w:rPr>
          <w:rFonts w:asciiTheme="minorHAnsi" w:hAnsiTheme="minorHAnsi" w:cstheme="minorHAnsi"/>
          <w:sz w:val="24"/>
        </w:rPr>
        <w:t xml:space="preserve"> This reflect</w:t>
      </w:r>
      <w:r>
        <w:rPr>
          <w:rFonts w:asciiTheme="minorHAnsi" w:hAnsiTheme="minorHAnsi" w:cstheme="minorHAnsi"/>
          <w:sz w:val="24"/>
        </w:rPr>
        <w:t>s</w:t>
      </w:r>
      <w:r w:rsidRPr="00F211D9">
        <w:rPr>
          <w:rFonts w:asciiTheme="minorHAnsi" w:hAnsiTheme="minorHAnsi" w:cstheme="minorHAnsi"/>
          <w:sz w:val="24"/>
        </w:rPr>
        <w:t xml:space="preserve"> both slower economic growth and reduced demand for capital goods</w:t>
      </w:r>
      <w:r>
        <w:rPr>
          <w:rFonts w:asciiTheme="minorHAnsi" w:hAnsiTheme="minorHAnsi" w:cstheme="minorHAnsi"/>
          <w:sz w:val="24"/>
        </w:rPr>
        <w:t xml:space="preserve"> </w:t>
      </w:r>
      <w:r w:rsidRPr="00F211D9">
        <w:rPr>
          <w:rFonts w:asciiTheme="minorHAnsi" w:hAnsiTheme="minorHAnsi" w:cstheme="minorHAnsi"/>
          <w:sz w:val="24"/>
        </w:rPr>
        <w:t>that serve as inputs to Australia’s fossil fuel extraction industries</w:t>
      </w:r>
      <w:r w:rsidR="00A52EA5">
        <w:rPr>
          <w:rFonts w:asciiTheme="minorHAnsi" w:hAnsiTheme="minorHAnsi" w:cstheme="minorHAnsi"/>
          <w:sz w:val="24"/>
        </w:rPr>
        <w:t xml:space="preserve"> (1.4 per cent lower by 2030)</w:t>
      </w:r>
      <w:r w:rsidRPr="00F211D9">
        <w:rPr>
          <w:rFonts w:asciiTheme="minorHAnsi" w:hAnsiTheme="minorHAnsi" w:cstheme="minorHAnsi"/>
          <w:sz w:val="24"/>
        </w:rPr>
        <w:t xml:space="preserve">. </w:t>
      </w:r>
    </w:p>
    <w:p w:rsidR="00044101" w:rsidRPr="00BF39AB" w:rsidRDefault="00044101" w:rsidP="00044101">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Sectoral impacts</w:t>
      </w:r>
    </w:p>
    <w:p w:rsidR="00044101" w:rsidRPr="00F211D9" w:rsidRDefault="00044101" w:rsidP="00044101">
      <w:pPr>
        <w:pStyle w:val="TableText"/>
        <w:spacing w:before="0" w:after="100" w:afterAutospacing="1" w:line="240" w:lineRule="auto"/>
        <w:rPr>
          <w:rFonts w:asciiTheme="minorHAnsi" w:hAnsiTheme="minorHAnsi" w:cstheme="minorHAnsi"/>
        </w:rPr>
      </w:pPr>
      <w:r>
        <w:rPr>
          <w:rFonts w:asciiTheme="minorHAnsi" w:hAnsiTheme="minorHAnsi" w:cstheme="minorHAnsi"/>
          <w:sz w:val="24"/>
        </w:rPr>
        <w:t>E</w:t>
      </w:r>
      <w:r w:rsidRPr="00F211D9">
        <w:rPr>
          <w:rFonts w:asciiTheme="minorHAnsi" w:hAnsiTheme="minorHAnsi" w:cstheme="minorHAnsi"/>
          <w:sz w:val="24"/>
        </w:rPr>
        <w:t>nergy sector</w:t>
      </w:r>
      <w:r>
        <w:rPr>
          <w:rFonts w:asciiTheme="minorHAnsi" w:hAnsiTheme="minorHAnsi" w:cstheme="minorHAnsi"/>
          <w:sz w:val="24"/>
        </w:rPr>
        <w:t>s</w:t>
      </w:r>
      <w:r w:rsidRPr="00F211D9">
        <w:rPr>
          <w:rFonts w:asciiTheme="minorHAnsi" w:hAnsiTheme="minorHAnsi" w:cstheme="minorHAnsi"/>
          <w:sz w:val="24"/>
        </w:rPr>
        <w:t xml:space="preserve"> make up around </w:t>
      </w:r>
      <w:r w:rsidR="008A6DEF">
        <w:rPr>
          <w:rFonts w:asciiTheme="minorHAnsi" w:hAnsiTheme="minorHAnsi" w:cstheme="minorHAnsi"/>
          <w:sz w:val="24"/>
        </w:rPr>
        <w:t xml:space="preserve">7 </w:t>
      </w:r>
      <w:r>
        <w:rPr>
          <w:rFonts w:asciiTheme="minorHAnsi" w:hAnsiTheme="minorHAnsi" w:cstheme="minorHAnsi"/>
          <w:sz w:val="24"/>
        </w:rPr>
        <w:t>per cent</w:t>
      </w:r>
      <w:r w:rsidRPr="00F211D9">
        <w:rPr>
          <w:rFonts w:asciiTheme="minorHAnsi" w:hAnsiTheme="minorHAnsi" w:cstheme="minorHAnsi"/>
          <w:sz w:val="24"/>
        </w:rPr>
        <w:t xml:space="preserve"> of Australia’s economy and around a quarter of exports, the majority of which is coal (around 1</w:t>
      </w:r>
      <w:r w:rsidR="008A6DEF">
        <w:rPr>
          <w:rFonts w:asciiTheme="minorHAnsi" w:hAnsiTheme="minorHAnsi" w:cstheme="minorHAnsi"/>
          <w:sz w:val="24"/>
        </w:rPr>
        <w:t>6</w:t>
      </w:r>
      <w:r>
        <w:rPr>
          <w:rFonts w:asciiTheme="minorHAnsi" w:hAnsiTheme="minorHAnsi" w:cstheme="minorHAnsi"/>
          <w:sz w:val="24"/>
        </w:rPr>
        <w:t xml:space="preserve"> per cent</w:t>
      </w:r>
      <w:r w:rsidRPr="00F211D9">
        <w:rPr>
          <w:rFonts w:asciiTheme="minorHAnsi" w:hAnsiTheme="minorHAnsi" w:cstheme="minorHAnsi"/>
          <w:sz w:val="24"/>
        </w:rPr>
        <w:t xml:space="preserve"> of total) , natural gas (around </w:t>
      </w:r>
      <w:r w:rsidR="008A6DEF">
        <w:rPr>
          <w:rFonts w:asciiTheme="minorHAnsi" w:hAnsiTheme="minorHAnsi" w:cstheme="minorHAnsi"/>
          <w:sz w:val="24"/>
        </w:rPr>
        <w:t>3</w:t>
      </w:r>
      <w:r>
        <w:rPr>
          <w:rFonts w:asciiTheme="minorHAnsi" w:hAnsiTheme="minorHAnsi" w:cstheme="minorHAnsi"/>
          <w:sz w:val="24"/>
        </w:rPr>
        <w:t xml:space="preserve"> per cent</w:t>
      </w:r>
      <w:r w:rsidRPr="00F211D9">
        <w:rPr>
          <w:rFonts w:asciiTheme="minorHAnsi" w:hAnsiTheme="minorHAnsi" w:cstheme="minorHAnsi"/>
          <w:sz w:val="24"/>
        </w:rPr>
        <w:t>), and crude petroleum (around 3</w:t>
      </w:r>
      <w:r>
        <w:rPr>
          <w:rFonts w:asciiTheme="minorHAnsi" w:hAnsiTheme="minorHAnsi" w:cstheme="minorHAnsi"/>
          <w:sz w:val="24"/>
        </w:rPr>
        <w:t xml:space="preserve"> per cent</w:t>
      </w:r>
      <w:r w:rsidRPr="00F211D9">
        <w:rPr>
          <w:rFonts w:asciiTheme="minorHAnsi" w:hAnsiTheme="minorHAnsi" w:cstheme="minorHAnsi"/>
          <w:sz w:val="24"/>
        </w:rPr>
        <w:t>).</w:t>
      </w:r>
      <w:r w:rsidR="0001276D">
        <w:rPr>
          <w:rStyle w:val="FootnoteReference"/>
          <w:rFonts w:asciiTheme="minorHAnsi" w:hAnsiTheme="minorHAnsi" w:cstheme="minorHAnsi"/>
          <w:sz w:val="24"/>
        </w:rPr>
        <w:footnoteReference w:id="18"/>
      </w:r>
      <w:r w:rsidRPr="00F211D9">
        <w:rPr>
          <w:rFonts w:asciiTheme="minorHAnsi" w:hAnsiTheme="minorHAnsi" w:cstheme="minorHAnsi"/>
          <w:sz w:val="24"/>
        </w:rPr>
        <w:t xml:space="preserve"> </w:t>
      </w:r>
      <w:r w:rsidRPr="00F211D9">
        <w:rPr>
          <w:rFonts w:asciiTheme="minorHAnsi" w:hAnsiTheme="minorHAnsi" w:cstheme="minorHAnsi"/>
          <w:sz w:val="24"/>
        </w:rPr>
        <w:lastRenderedPageBreak/>
        <w:t xml:space="preserve">Australia’s energy exports increase </w:t>
      </w:r>
      <w:r>
        <w:rPr>
          <w:rFonts w:asciiTheme="minorHAnsi" w:hAnsiTheme="minorHAnsi" w:cstheme="minorHAnsi"/>
          <w:sz w:val="24"/>
        </w:rPr>
        <w:t xml:space="preserve">from 2015 to 2030 </w:t>
      </w:r>
      <w:r w:rsidRPr="00F211D9">
        <w:rPr>
          <w:rFonts w:asciiTheme="minorHAnsi" w:hAnsiTheme="minorHAnsi" w:cstheme="minorHAnsi"/>
          <w:sz w:val="24"/>
        </w:rPr>
        <w:t>in the Paris Scenario</w:t>
      </w:r>
      <w:r>
        <w:rPr>
          <w:rFonts w:asciiTheme="minorHAnsi" w:hAnsiTheme="minorHAnsi" w:cstheme="minorHAnsi"/>
          <w:sz w:val="24"/>
        </w:rPr>
        <w:t xml:space="preserve">, but are around one third slower than in the Current Policies </w:t>
      </w:r>
      <w:r w:rsidR="004650A6">
        <w:rPr>
          <w:rFonts w:asciiTheme="minorHAnsi" w:hAnsiTheme="minorHAnsi" w:cstheme="minorHAnsi"/>
          <w:sz w:val="24"/>
        </w:rPr>
        <w:t xml:space="preserve">Scenario </w:t>
      </w:r>
      <w:r w:rsidR="004650A6" w:rsidRPr="00F211D9">
        <w:rPr>
          <w:rFonts w:asciiTheme="minorHAnsi" w:hAnsiTheme="minorHAnsi" w:cstheme="minorHAnsi"/>
          <w:sz w:val="24"/>
        </w:rPr>
        <w:t>–</w:t>
      </w:r>
      <w:r w:rsidRPr="00F211D9">
        <w:rPr>
          <w:rFonts w:asciiTheme="minorHAnsi" w:hAnsiTheme="minorHAnsi" w:cstheme="minorHAnsi"/>
          <w:sz w:val="24"/>
        </w:rPr>
        <w:t xml:space="preserve"> the bulk of which is reflected in lower coal exports</w:t>
      </w:r>
      <w:r>
        <w:rPr>
          <w:rFonts w:asciiTheme="minorHAnsi" w:hAnsiTheme="minorHAnsi" w:cstheme="minorHAnsi"/>
          <w:sz w:val="24"/>
        </w:rPr>
        <w:t xml:space="preserve"> (Figure C-2)</w:t>
      </w:r>
      <w:r w:rsidRPr="00F211D9">
        <w:rPr>
          <w:rFonts w:asciiTheme="minorHAnsi" w:hAnsiTheme="minorHAnsi" w:cstheme="minorHAnsi"/>
          <w:sz w:val="24"/>
        </w:rPr>
        <w:t>.</w:t>
      </w:r>
    </w:p>
    <w:p w:rsidR="00044101" w:rsidRPr="00F211D9" w:rsidRDefault="00044101" w:rsidP="00044101">
      <w:pPr>
        <w:pStyle w:val="TableText"/>
        <w:spacing w:before="0" w:after="100" w:afterAutospacing="1" w:line="240" w:lineRule="auto"/>
        <w:rPr>
          <w:rFonts w:asciiTheme="minorHAnsi" w:hAnsiTheme="minorHAnsi" w:cstheme="minorHAnsi"/>
        </w:rPr>
      </w:pPr>
      <w:r w:rsidRPr="00F211D9">
        <w:rPr>
          <w:rFonts w:asciiTheme="minorHAnsi" w:hAnsiTheme="minorHAnsi" w:cstheme="minorHAnsi"/>
          <w:sz w:val="24"/>
        </w:rPr>
        <w:t>Non-energy sectors</w:t>
      </w:r>
      <w:r>
        <w:rPr>
          <w:rFonts w:asciiTheme="minorHAnsi" w:hAnsiTheme="minorHAnsi" w:cstheme="minorHAnsi"/>
          <w:sz w:val="24"/>
        </w:rPr>
        <w:t>, including agriculture,</w:t>
      </w:r>
      <w:r w:rsidRPr="00F211D9">
        <w:rPr>
          <w:rFonts w:asciiTheme="minorHAnsi" w:hAnsiTheme="minorHAnsi" w:cstheme="minorHAnsi"/>
          <w:sz w:val="24"/>
        </w:rPr>
        <w:t xml:space="preserve"> experience small increases</w:t>
      </w:r>
      <w:r>
        <w:rPr>
          <w:rFonts w:asciiTheme="minorHAnsi" w:hAnsiTheme="minorHAnsi" w:cstheme="minorHAnsi"/>
          <w:sz w:val="24"/>
        </w:rPr>
        <w:t xml:space="preserve"> in exports in the Paris Scenario, relative to the Current Policies Scenario. These sectors benefit from downward pressure on the exchange rate in response to capital outflows from Australia as other countries implement target policies.</w:t>
      </w:r>
    </w:p>
    <w:p w:rsidR="00621B23" w:rsidRPr="00192168" w:rsidRDefault="00621B23" w:rsidP="00496C54">
      <w:pPr>
        <w:keepNext/>
        <w:spacing w:before="240"/>
        <w:rPr>
          <w:rFonts w:asciiTheme="minorHAnsi" w:hAnsiTheme="minorHAnsi" w:cstheme="minorHAnsi"/>
          <w:color w:val="4F81BD" w:themeColor="accent1"/>
        </w:rPr>
      </w:pPr>
      <w:r w:rsidRPr="00192168">
        <w:rPr>
          <w:rFonts w:asciiTheme="minorHAnsi" w:hAnsiTheme="minorHAnsi" w:cstheme="minorHAnsi"/>
          <w:b/>
          <w:color w:val="4F81BD" w:themeColor="accent1"/>
        </w:rPr>
        <w:t xml:space="preserve">Figure C-2: </w:t>
      </w:r>
      <w:r w:rsidR="00DD0652" w:rsidRPr="00B71C9B">
        <w:rPr>
          <w:rFonts w:asciiTheme="minorHAnsi" w:hAnsiTheme="minorHAnsi" w:cstheme="minorHAnsi"/>
          <w:color w:val="4F81BD" w:themeColor="accent1"/>
        </w:rPr>
        <w:t>Australia:</w:t>
      </w:r>
      <w:r w:rsidR="00DD0652">
        <w:rPr>
          <w:rFonts w:asciiTheme="minorHAnsi" w:hAnsiTheme="minorHAnsi" w:cstheme="minorHAnsi"/>
          <w:color w:val="4F81BD" w:themeColor="accent1"/>
        </w:rPr>
        <w:t xml:space="preserve"> </w:t>
      </w:r>
      <w:r w:rsidR="002B5A08" w:rsidRPr="00192168">
        <w:rPr>
          <w:rFonts w:asciiTheme="minorHAnsi" w:hAnsiTheme="minorHAnsi" w:cstheme="minorHAnsi"/>
          <w:color w:val="4F81BD" w:themeColor="accent1"/>
        </w:rPr>
        <w:t xml:space="preserve">Impacts of </w:t>
      </w:r>
      <w:r w:rsidRPr="00192168">
        <w:rPr>
          <w:rFonts w:asciiTheme="minorHAnsi" w:hAnsiTheme="minorHAnsi" w:cstheme="minorHAnsi"/>
          <w:color w:val="4F81BD" w:themeColor="accent1"/>
        </w:rPr>
        <w:t>Paris Scenario, 2030 (percentage deviation</w:t>
      </w:r>
      <w:r w:rsidR="002B5A08" w:rsidRPr="00192168">
        <w:rPr>
          <w:rFonts w:asciiTheme="minorHAnsi" w:hAnsiTheme="minorHAnsi" w:cstheme="minorHAnsi"/>
          <w:color w:val="4F81BD" w:themeColor="accent1"/>
        </w:rPr>
        <w:t xml:space="preserve"> from Current Policies Scenario</w:t>
      </w:r>
      <w:r w:rsidRPr="00192168">
        <w:rPr>
          <w:rFonts w:asciiTheme="minorHAnsi" w:hAnsiTheme="minorHAnsi" w:cstheme="minorHAnsi"/>
          <w:color w:val="4F81BD" w:themeColor="accent1"/>
        </w:rPr>
        <w:t>)</w:t>
      </w:r>
    </w:p>
    <w:p w:rsidR="002B5A08" w:rsidRPr="00B604AA" w:rsidRDefault="002B5A08" w:rsidP="00496C54">
      <w:pPr>
        <w:keepNext/>
        <w:spacing w:before="120" w:after="120"/>
        <w:rPr>
          <w:rFonts w:asciiTheme="minorHAnsi" w:hAnsiTheme="minorHAnsi" w:cstheme="minorHAnsi"/>
          <w:i/>
          <w:color w:val="4F81BD" w:themeColor="accent1"/>
        </w:rPr>
      </w:pPr>
      <w:r w:rsidRPr="00B604AA">
        <w:rPr>
          <w:rFonts w:asciiTheme="minorHAnsi" w:hAnsiTheme="minorHAnsi" w:cstheme="minorHAnsi"/>
          <w:i/>
          <w:color w:val="4F81BD" w:themeColor="accent1"/>
        </w:rPr>
        <w:t>Exports</w:t>
      </w:r>
    </w:p>
    <w:p w:rsidR="00621B23" w:rsidRDefault="00621B23" w:rsidP="00492F4E">
      <w:pPr>
        <w:spacing w:after="360"/>
        <w:ind w:left="-709"/>
      </w:pPr>
      <w:r w:rsidRPr="00D77590">
        <w:rPr>
          <w:noProof/>
          <w:lang w:eastAsia="en-AU"/>
        </w:rPr>
        <w:drawing>
          <wp:inline distT="0" distB="0" distL="0" distR="0" wp14:anchorId="233E72A6" wp14:editId="2DC11E4D">
            <wp:extent cx="5972175" cy="1839506"/>
            <wp:effectExtent l="0" t="0" r="0" b="8890"/>
            <wp:docPr id="673" name="Picture 673" descr="Exports: Under the Paris Scenario, Australian export sectors have the following percentage deviation from the Current Policies Scenario in 2030: Gas extraction exports (-0.6%), Crude extraction exports (-0.4%), Coal mining exports (-7.8%), Petroleum refining exports (3.1%), Gas utilities exports (-0.3%), Services exports (1.6%), Transportation exports (1.4%), Non-Durable Manufacturing exports (1.1%), Durable Manufacturing exports (0.6%), Agriculture exports (0.7%), Other Mining exports (0.3%).&#10;" title="Figure C-2: Australia: Impacts of Paris Scenario, 2030 (percentage deviation from Current Policies Scenario) -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76570" cy="1840860"/>
                    </a:xfrm>
                    <a:prstGeom prst="rect">
                      <a:avLst/>
                    </a:prstGeom>
                  </pic:spPr>
                </pic:pic>
              </a:graphicData>
            </a:graphic>
          </wp:inline>
        </w:drawing>
      </w:r>
    </w:p>
    <w:p w:rsidR="002B5A08" w:rsidRPr="00B604AA" w:rsidRDefault="002B5A08" w:rsidP="00496C54">
      <w:pPr>
        <w:keepNext/>
        <w:rPr>
          <w:rFonts w:asciiTheme="minorHAnsi" w:hAnsiTheme="minorHAnsi" w:cstheme="minorHAnsi"/>
          <w:i/>
          <w:color w:val="4F81BD" w:themeColor="accent1"/>
        </w:rPr>
      </w:pPr>
      <w:r w:rsidRPr="00B604AA">
        <w:rPr>
          <w:rFonts w:asciiTheme="minorHAnsi" w:hAnsiTheme="minorHAnsi" w:cstheme="minorHAnsi"/>
          <w:i/>
          <w:color w:val="4F81BD" w:themeColor="accent1"/>
        </w:rPr>
        <w:t>Output</w:t>
      </w:r>
    </w:p>
    <w:p w:rsidR="002B5A08" w:rsidRDefault="002B5A08" w:rsidP="002B5A08">
      <w:pPr>
        <w:spacing w:after="360"/>
        <w:ind w:left="-709"/>
      </w:pPr>
      <w:r w:rsidRPr="00D77590">
        <w:rPr>
          <w:noProof/>
          <w:lang w:eastAsia="en-AU"/>
        </w:rPr>
        <w:drawing>
          <wp:inline distT="0" distB="0" distL="0" distR="0" wp14:anchorId="64B43B33" wp14:editId="714FFB73">
            <wp:extent cx="5906493" cy="1819275"/>
            <wp:effectExtent l="0" t="0" r="0" b="0"/>
            <wp:docPr id="14" name="Picture 14" descr="Output: Under the Paris Scenario, Australian sectoral outputs have the following percentage deviation from the Current Policies Scenario in 2030: Gas extraction output (-0.4%), Crude extraction output (+0.0%), Coal mining output (-8.3%), Petroleum refining output (-0.0%), Gas utilities output (-0.2%), Electric utilities output (-0.2%), Services Output (-0.0%), Transportation output (-0.1%), Non-Durable Manufacturing output (-0.0%), Durable Manufacturing output (-0.3%), Agriculture output (-0.0%), Other Mining output (-0.0%).&#10;" title="Figure C-2: Australia: Impacts of Paris Scenario, 2030 (percentage deviation from Current Policies Scenario) -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03650" cy="1818399"/>
                    </a:xfrm>
                    <a:prstGeom prst="rect">
                      <a:avLst/>
                    </a:prstGeom>
                  </pic:spPr>
                </pic:pic>
              </a:graphicData>
            </a:graphic>
          </wp:inline>
        </w:drawing>
      </w:r>
    </w:p>
    <w:p w:rsidR="00832CA6" w:rsidRPr="00192168" w:rsidRDefault="006416C6" w:rsidP="00BF7A32">
      <w:pPr>
        <w:spacing w:before="240"/>
        <w:rPr>
          <w:rFonts w:asciiTheme="minorHAnsi" w:hAnsiTheme="minorHAnsi" w:cstheme="minorHAnsi"/>
          <w:b/>
          <w:color w:val="996633"/>
          <w:sz w:val="36"/>
        </w:rPr>
      </w:pPr>
      <w:r w:rsidRPr="00192168">
        <w:rPr>
          <w:rFonts w:asciiTheme="minorHAnsi" w:hAnsiTheme="minorHAnsi" w:cstheme="minorHAnsi"/>
          <w:b/>
          <w:color w:val="996633"/>
          <w:sz w:val="36"/>
        </w:rPr>
        <w:t>United States</w:t>
      </w:r>
    </w:p>
    <w:p w:rsidR="00BE15B8" w:rsidRPr="00BF39AB" w:rsidRDefault="003E5160" w:rsidP="00BF7A32">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Macroeconomic indicators</w:t>
      </w:r>
    </w:p>
    <w:p w:rsidR="00BE15B8" w:rsidRPr="00BF7A32" w:rsidRDefault="00BE15B8" w:rsidP="00E17A1A">
      <w:pPr>
        <w:pStyle w:val="TableText"/>
        <w:spacing w:before="0" w:after="100" w:afterAutospacing="1" w:line="240" w:lineRule="auto"/>
        <w:rPr>
          <w:rFonts w:asciiTheme="minorHAnsi" w:hAnsiTheme="minorHAnsi" w:cstheme="minorHAnsi"/>
        </w:rPr>
      </w:pPr>
      <w:r w:rsidRPr="00BF7A32">
        <w:rPr>
          <w:rFonts w:asciiTheme="minorHAnsi" w:hAnsiTheme="minorHAnsi" w:cstheme="minorHAnsi"/>
          <w:sz w:val="24"/>
        </w:rPr>
        <w:t xml:space="preserve">With the targets modelled, </w:t>
      </w:r>
      <w:r w:rsidRPr="0046647A">
        <w:rPr>
          <w:rFonts w:asciiTheme="minorHAnsi" w:hAnsiTheme="minorHAnsi" w:cstheme="minorHAnsi"/>
          <w:sz w:val="24"/>
        </w:rPr>
        <w:t>GDP in the US</w:t>
      </w:r>
      <w:r w:rsidRPr="00BF7A32">
        <w:rPr>
          <w:rFonts w:asciiTheme="minorHAnsi" w:hAnsiTheme="minorHAnsi" w:cstheme="minorHAnsi"/>
          <w:sz w:val="24"/>
        </w:rPr>
        <w:t xml:space="preserve"> in 2030 is estimated to be </w:t>
      </w:r>
      <w:r w:rsidRPr="0046647A">
        <w:rPr>
          <w:rFonts w:asciiTheme="minorHAnsi" w:hAnsiTheme="minorHAnsi" w:cstheme="minorHAnsi"/>
          <w:sz w:val="24"/>
        </w:rPr>
        <w:t>0.1 per cent lower than if countries did not take on post-2020 target</w:t>
      </w:r>
      <w:r w:rsidRPr="00BF7A32">
        <w:rPr>
          <w:rFonts w:asciiTheme="minorHAnsi" w:hAnsiTheme="minorHAnsi" w:cstheme="minorHAnsi"/>
          <w:sz w:val="24"/>
        </w:rPr>
        <w:t>s</w:t>
      </w:r>
      <w:r w:rsidR="00B02D46">
        <w:rPr>
          <w:rFonts w:asciiTheme="minorHAnsi" w:hAnsiTheme="minorHAnsi" w:cstheme="minorHAnsi"/>
          <w:sz w:val="24"/>
        </w:rPr>
        <w:t xml:space="preserve"> </w:t>
      </w:r>
      <w:r w:rsidR="00B02D46" w:rsidRPr="00BD0D8C">
        <w:rPr>
          <w:rFonts w:asciiTheme="minorHAnsi" w:hAnsiTheme="minorHAnsi" w:cstheme="minorHAnsi"/>
          <w:sz w:val="24"/>
        </w:rPr>
        <w:t xml:space="preserve">(Figure </w:t>
      </w:r>
      <w:r w:rsidR="00B02D46">
        <w:rPr>
          <w:rFonts w:asciiTheme="minorHAnsi" w:hAnsiTheme="minorHAnsi" w:cstheme="minorHAnsi"/>
          <w:sz w:val="24"/>
        </w:rPr>
        <w:t>C</w:t>
      </w:r>
      <w:r w:rsidR="00B02D46" w:rsidRPr="00BD0D8C">
        <w:rPr>
          <w:rFonts w:asciiTheme="minorHAnsi" w:hAnsiTheme="minorHAnsi" w:cstheme="minorHAnsi"/>
          <w:sz w:val="24"/>
        </w:rPr>
        <w:t>-</w:t>
      </w:r>
      <w:r w:rsidR="00B02D46">
        <w:rPr>
          <w:rFonts w:asciiTheme="minorHAnsi" w:hAnsiTheme="minorHAnsi" w:cstheme="minorHAnsi"/>
          <w:sz w:val="24"/>
        </w:rPr>
        <w:t>3</w:t>
      </w:r>
      <w:r w:rsidR="00B02D46" w:rsidRPr="00BF7A32">
        <w:rPr>
          <w:rFonts w:asciiTheme="minorHAnsi" w:hAnsiTheme="minorHAnsi" w:cstheme="minorHAnsi"/>
          <w:sz w:val="24"/>
        </w:rPr>
        <w:t>)</w:t>
      </w:r>
      <w:r w:rsidRPr="0046647A">
        <w:rPr>
          <w:rFonts w:asciiTheme="minorHAnsi" w:hAnsiTheme="minorHAnsi" w:cstheme="minorHAnsi"/>
          <w:sz w:val="24"/>
        </w:rPr>
        <w:t>.</w:t>
      </w:r>
      <w:r w:rsidR="00BD0D8C" w:rsidRPr="00BD0D8C">
        <w:rPr>
          <w:rFonts w:asciiTheme="minorHAnsi" w:hAnsiTheme="minorHAnsi" w:cstheme="minorHAnsi"/>
          <w:sz w:val="24"/>
        </w:rPr>
        <w:t xml:space="preserve"> </w:t>
      </w:r>
    </w:p>
    <w:p w:rsidR="00D922E1" w:rsidRDefault="00723E27" w:rsidP="00BF7A32">
      <w:pPr>
        <w:pStyle w:val="TableText"/>
        <w:spacing w:before="0" w:after="100" w:afterAutospacing="1" w:line="240" w:lineRule="auto"/>
        <w:rPr>
          <w:rFonts w:asciiTheme="minorHAnsi" w:hAnsiTheme="minorHAnsi" w:cstheme="minorHAnsi"/>
        </w:rPr>
      </w:pPr>
      <w:r w:rsidRPr="00723E27">
        <w:rPr>
          <w:rFonts w:asciiTheme="minorHAnsi" w:hAnsiTheme="minorHAnsi" w:cstheme="minorHAnsi"/>
          <w:sz w:val="24"/>
        </w:rPr>
        <w:t xml:space="preserve">Consumption </w:t>
      </w:r>
      <w:r>
        <w:rPr>
          <w:rFonts w:asciiTheme="minorHAnsi" w:hAnsiTheme="minorHAnsi" w:cstheme="minorHAnsi"/>
          <w:sz w:val="24"/>
        </w:rPr>
        <w:t xml:space="preserve">is </w:t>
      </w:r>
      <w:r w:rsidRPr="00723E27">
        <w:rPr>
          <w:rFonts w:asciiTheme="minorHAnsi" w:hAnsiTheme="minorHAnsi" w:cstheme="minorHAnsi"/>
          <w:sz w:val="24"/>
        </w:rPr>
        <w:t xml:space="preserve">0.4 per cent </w:t>
      </w:r>
      <w:r w:rsidR="00386605">
        <w:rPr>
          <w:rFonts w:asciiTheme="minorHAnsi" w:hAnsiTheme="minorHAnsi" w:cstheme="minorHAnsi"/>
          <w:sz w:val="24"/>
        </w:rPr>
        <w:t xml:space="preserve">lower </w:t>
      </w:r>
      <w:r w:rsidRPr="00723E27">
        <w:rPr>
          <w:rFonts w:asciiTheme="minorHAnsi" w:hAnsiTheme="minorHAnsi" w:cstheme="minorHAnsi"/>
          <w:sz w:val="24"/>
        </w:rPr>
        <w:t xml:space="preserve">in 2030 </w:t>
      </w:r>
      <w:r>
        <w:rPr>
          <w:rFonts w:asciiTheme="minorHAnsi" w:hAnsiTheme="minorHAnsi" w:cstheme="minorHAnsi"/>
          <w:sz w:val="24"/>
        </w:rPr>
        <w:t xml:space="preserve">compared with the Current Policies Scenario, </w:t>
      </w:r>
      <w:r w:rsidRPr="00723E27">
        <w:rPr>
          <w:rFonts w:asciiTheme="minorHAnsi" w:hAnsiTheme="minorHAnsi" w:cstheme="minorHAnsi"/>
          <w:sz w:val="24"/>
        </w:rPr>
        <w:t xml:space="preserve">as emissions policies </w:t>
      </w:r>
      <w:r w:rsidR="00386605">
        <w:rPr>
          <w:rFonts w:asciiTheme="minorHAnsi" w:hAnsiTheme="minorHAnsi" w:cstheme="minorHAnsi"/>
          <w:sz w:val="24"/>
        </w:rPr>
        <w:t xml:space="preserve">raise </w:t>
      </w:r>
      <w:r w:rsidRPr="00723E27">
        <w:rPr>
          <w:rFonts w:asciiTheme="minorHAnsi" w:hAnsiTheme="minorHAnsi" w:cstheme="minorHAnsi"/>
          <w:sz w:val="24"/>
        </w:rPr>
        <w:t>prices and reduce real incomes</w:t>
      </w:r>
      <w:r>
        <w:rPr>
          <w:rFonts w:asciiTheme="minorHAnsi" w:hAnsiTheme="minorHAnsi" w:cstheme="minorHAnsi"/>
          <w:sz w:val="24"/>
        </w:rPr>
        <w:t>.</w:t>
      </w:r>
      <w:r w:rsidRPr="00496C54">
        <w:rPr>
          <w:rFonts w:asciiTheme="minorHAnsi" w:hAnsiTheme="minorHAnsi" w:cstheme="minorHAnsi"/>
          <w:sz w:val="24"/>
        </w:rPr>
        <w:t xml:space="preserve"> This is p</w:t>
      </w:r>
      <w:r>
        <w:rPr>
          <w:rFonts w:asciiTheme="minorHAnsi" w:hAnsiTheme="minorHAnsi" w:cstheme="minorHAnsi"/>
          <w:sz w:val="24"/>
        </w:rPr>
        <w:t xml:space="preserve">artially </w:t>
      </w:r>
      <w:r>
        <w:rPr>
          <w:rFonts w:asciiTheme="minorHAnsi" w:hAnsiTheme="minorHAnsi" w:cstheme="minorHAnsi"/>
          <w:sz w:val="24"/>
        </w:rPr>
        <w:lastRenderedPageBreak/>
        <w:t>offset</w:t>
      </w:r>
      <w:r w:rsidRPr="00723E27">
        <w:rPr>
          <w:rFonts w:asciiTheme="minorHAnsi" w:hAnsiTheme="minorHAnsi" w:cstheme="minorHAnsi"/>
          <w:sz w:val="24"/>
        </w:rPr>
        <w:t xml:space="preserve"> </w:t>
      </w:r>
      <w:r>
        <w:rPr>
          <w:rFonts w:asciiTheme="minorHAnsi" w:hAnsiTheme="minorHAnsi" w:cstheme="minorHAnsi"/>
          <w:sz w:val="24"/>
        </w:rPr>
        <w:t xml:space="preserve">by increased </w:t>
      </w:r>
      <w:r w:rsidRPr="00723E27">
        <w:rPr>
          <w:rFonts w:asciiTheme="minorHAnsi" w:hAnsiTheme="minorHAnsi" w:cstheme="minorHAnsi"/>
          <w:sz w:val="24"/>
        </w:rPr>
        <w:t xml:space="preserve">investment </w:t>
      </w:r>
      <w:r w:rsidR="002672E3">
        <w:rPr>
          <w:rFonts w:asciiTheme="minorHAnsi" w:hAnsiTheme="minorHAnsi" w:cstheme="minorHAnsi"/>
          <w:sz w:val="24"/>
        </w:rPr>
        <w:t>in the electricity generation sector</w:t>
      </w:r>
      <w:r w:rsidRPr="00723E27">
        <w:rPr>
          <w:rFonts w:asciiTheme="minorHAnsi" w:hAnsiTheme="minorHAnsi" w:cstheme="minorHAnsi"/>
          <w:sz w:val="24"/>
        </w:rPr>
        <w:t xml:space="preserve">. </w:t>
      </w:r>
      <w:r>
        <w:rPr>
          <w:rFonts w:asciiTheme="minorHAnsi" w:hAnsiTheme="minorHAnsi" w:cstheme="minorHAnsi"/>
          <w:sz w:val="24"/>
        </w:rPr>
        <w:t xml:space="preserve">The </w:t>
      </w:r>
      <w:r w:rsidRPr="00723E27">
        <w:rPr>
          <w:rFonts w:asciiTheme="minorHAnsi" w:hAnsiTheme="minorHAnsi" w:cstheme="minorHAnsi"/>
          <w:sz w:val="24"/>
        </w:rPr>
        <w:t xml:space="preserve">US exchange rate </w:t>
      </w:r>
      <w:r>
        <w:rPr>
          <w:rFonts w:asciiTheme="minorHAnsi" w:hAnsiTheme="minorHAnsi" w:cstheme="minorHAnsi"/>
          <w:sz w:val="24"/>
        </w:rPr>
        <w:t xml:space="preserve">appreciates slightly </w:t>
      </w:r>
      <w:r w:rsidRPr="00723E27">
        <w:rPr>
          <w:rFonts w:asciiTheme="minorHAnsi" w:hAnsiTheme="minorHAnsi" w:cstheme="minorHAnsi"/>
          <w:sz w:val="24"/>
        </w:rPr>
        <w:t>as capital flows into the US to meet these investment requirements.</w:t>
      </w:r>
      <w:r w:rsidRPr="00723E27">
        <w:rPr>
          <w:rFonts w:asciiTheme="minorHAnsi" w:hAnsiTheme="minorHAnsi" w:cstheme="minorHAnsi"/>
          <w:sz w:val="24"/>
          <w:highlight w:val="yellow"/>
        </w:rPr>
        <w:t xml:space="preserve"> </w:t>
      </w:r>
    </w:p>
    <w:p w:rsidR="006416C6" w:rsidRPr="00192168" w:rsidRDefault="006416C6" w:rsidP="006416C6">
      <w:pPr>
        <w:keepNext/>
        <w:spacing w:before="240" w:after="120"/>
        <w:rPr>
          <w:rFonts w:asciiTheme="minorHAnsi" w:hAnsiTheme="minorHAnsi" w:cstheme="minorHAnsi"/>
          <w:color w:val="4F81BD" w:themeColor="accent1"/>
        </w:rPr>
      </w:pPr>
      <w:r w:rsidRPr="00192168">
        <w:rPr>
          <w:rFonts w:asciiTheme="minorHAnsi" w:hAnsiTheme="minorHAnsi" w:cstheme="minorHAnsi"/>
          <w:b/>
          <w:color w:val="4F81BD" w:themeColor="accent1"/>
        </w:rPr>
        <w:t xml:space="preserve">Figure </w:t>
      </w:r>
      <w:r w:rsidR="0078789A" w:rsidRPr="00192168">
        <w:rPr>
          <w:rFonts w:asciiTheme="minorHAnsi" w:hAnsiTheme="minorHAnsi" w:cstheme="minorHAnsi"/>
          <w:b/>
          <w:color w:val="4F81BD" w:themeColor="accent1"/>
        </w:rPr>
        <w:t>C</w:t>
      </w:r>
      <w:r w:rsidRPr="00192168">
        <w:rPr>
          <w:rFonts w:asciiTheme="minorHAnsi" w:hAnsiTheme="minorHAnsi" w:cstheme="minorHAnsi"/>
          <w:b/>
          <w:color w:val="4F81BD" w:themeColor="accent1"/>
        </w:rPr>
        <w:t>-</w:t>
      </w:r>
      <w:r w:rsidR="002B5A08" w:rsidRPr="00192168">
        <w:rPr>
          <w:rFonts w:asciiTheme="minorHAnsi" w:hAnsiTheme="minorHAnsi" w:cstheme="minorHAnsi"/>
          <w:b/>
          <w:color w:val="4F81BD" w:themeColor="accent1"/>
        </w:rPr>
        <w:t>3</w:t>
      </w:r>
      <w:r w:rsidRPr="00192168">
        <w:rPr>
          <w:rFonts w:asciiTheme="minorHAnsi" w:hAnsiTheme="minorHAnsi" w:cstheme="minorHAnsi"/>
          <w:b/>
          <w:color w:val="4F81BD" w:themeColor="accent1"/>
        </w:rPr>
        <w:t xml:space="preserve">: </w:t>
      </w:r>
      <w:r w:rsidR="00DD0652">
        <w:rPr>
          <w:rFonts w:asciiTheme="minorHAnsi" w:hAnsiTheme="minorHAnsi" w:cstheme="minorHAnsi"/>
          <w:color w:val="4F81BD" w:themeColor="accent1"/>
        </w:rPr>
        <w:t xml:space="preserve">United States: </w:t>
      </w:r>
      <w:r w:rsidRPr="00192168">
        <w:rPr>
          <w:rFonts w:asciiTheme="minorHAnsi" w:hAnsiTheme="minorHAnsi" w:cstheme="minorHAnsi"/>
          <w:color w:val="4F81BD" w:themeColor="accent1"/>
        </w:rPr>
        <w:t xml:space="preserve">Key indicators </w:t>
      </w:r>
      <w:r w:rsidR="0050472B">
        <w:rPr>
          <w:rFonts w:asciiTheme="minorHAnsi" w:hAnsiTheme="minorHAnsi" w:cstheme="minorHAnsi"/>
          <w:color w:val="4F81BD" w:themeColor="accent1"/>
        </w:rPr>
        <w:t xml:space="preserve">under Paris Scenario </w:t>
      </w:r>
      <w:r w:rsidRPr="00192168">
        <w:rPr>
          <w:rFonts w:asciiTheme="minorHAnsi" w:hAnsiTheme="minorHAnsi" w:cstheme="minorHAnsi"/>
          <w:color w:val="4F81BD" w:themeColor="accent1"/>
        </w:rPr>
        <w:t>–</w:t>
      </w:r>
      <w:r w:rsidRPr="00192168">
        <w:rPr>
          <w:color w:val="4F81BD" w:themeColor="accent1"/>
        </w:rPr>
        <w:t xml:space="preserve"> </w:t>
      </w:r>
      <w:r w:rsidRPr="00192168">
        <w:rPr>
          <w:rFonts w:asciiTheme="minorHAnsi" w:hAnsiTheme="minorHAnsi" w:cstheme="minorHAnsi"/>
          <w:color w:val="4F81BD" w:themeColor="accent1"/>
        </w:rPr>
        <w:t>Real GDP, consumption, investment</w:t>
      </w:r>
      <w:r w:rsidR="00122445" w:rsidRPr="00192168">
        <w:rPr>
          <w:rFonts w:asciiTheme="minorHAnsi" w:hAnsiTheme="minorHAnsi" w:cstheme="minorHAnsi"/>
          <w:color w:val="4F81BD" w:themeColor="accent1"/>
        </w:rPr>
        <w:t xml:space="preserve"> and</w:t>
      </w:r>
      <w:r w:rsidRPr="00192168">
        <w:rPr>
          <w:rFonts w:asciiTheme="minorHAnsi" w:hAnsiTheme="minorHAnsi" w:cstheme="minorHAnsi"/>
          <w:color w:val="4F81BD" w:themeColor="accent1"/>
        </w:rPr>
        <w:t xml:space="preserve"> trade balance, 2030 (percentage deviation</w:t>
      </w:r>
      <w:r w:rsidR="00D17826" w:rsidRPr="00192168">
        <w:rPr>
          <w:rFonts w:asciiTheme="minorHAnsi" w:hAnsiTheme="minorHAnsi" w:cstheme="minorHAnsi"/>
          <w:color w:val="4F81BD" w:themeColor="accent1"/>
        </w:rPr>
        <w:t xml:space="preserve"> from Current Policies Scenario</w:t>
      </w:r>
      <w:r w:rsidRPr="00192168">
        <w:rPr>
          <w:rFonts w:asciiTheme="minorHAnsi" w:hAnsiTheme="minorHAnsi" w:cstheme="minorHAnsi"/>
          <w:color w:val="4F81BD" w:themeColor="accent1"/>
        </w:rPr>
        <w:t>)</w:t>
      </w:r>
    </w:p>
    <w:p w:rsidR="00832CA6" w:rsidRPr="00BF7A32" w:rsidRDefault="006416C6" w:rsidP="00832CA6">
      <w:pPr>
        <w:pStyle w:val="ListParagraph"/>
        <w:spacing w:line="360" w:lineRule="auto"/>
        <w:ind w:left="0"/>
        <w:rPr>
          <w:rFonts w:asciiTheme="minorHAnsi" w:hAnsiTheme="minorHAnsi" w:cstheme="minorHAnsi"/>
        </w:rPr>
      </w:pPr>
      <w:r w:rsidRPr="006416C6">
        <w:rPr>
          <w:noProof/>
          <w:lang w:eastAsia="en-AU"/>
        </w:rPr>
        <w:drawing>
          <wp:inline distT="0" distB="0" distL="0" distR="0" wp14:anchorId="049B5182" wp14:editId="5592A1EC">
            <wp:extent cx="4476191" cy="2742857"/>
            <wp:effectExtent l="0" t="0" r="635" b="635"/>
            <wp:docPr id="23" name="Picture 23" descr="Under the Paris Scenario, United States has the following percentage deviation from the Current Policies Scenario in 2030: Real GDP (-0.1%), Consumption (-0.4%), Investment (2.2%), Trade Balance (-0.1%).&#10;" title="Figure C-3: United States: Key indicators under Paris Scenario – Real GDP, consumption, investment and trade balance, 2030 (percentage deviation from Current Policie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76191" cy="2742857"/>
                    </a:xfrm>
                    <a:prstGeom prst="rect">
                      <a:avLst/>
                    </a:prstGeom>
                  </pic:spPr>
                </pic:pic>
              </a:graphicData>
            </a:graphic>
          </wp:inline>
        </w:drawing>
      </w:r>
    </w:p>
    <w:p w:rsidR="00130F3C" w:rsidRPr="00BF39AB" w:rsidRDefault="00130F3C" w:rsidP="00130F3C">
      <w:pPr>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 Trade balance result is deviation in trade balance divided by GDP.</w:t>
      </w:r>
    </w:p>
    <w:p w:rsidR="00386605" w:rsidRPr="00BF39AB" w:rsidRDefault="00386605" w:rsidP="00BF7A32">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Trade</w:t>
      </w:r>
      <w:r w:rsidR="003E126E" w:rsidRPr="00BF39AB">
        <w:rPr>
          <w:rFonts w:asciiTheme="minorHAnsi" w:hAnsiTheme="minorHAnsi" w:cstheme="minorHAnsi"/>
          <w:b/>
          <w:color w:val="996633"/>
        </w:rPr>
        <w:t xml:space="preserve"> impacts</w:t>
      </w:r>
    </w:p>
    <w:p w:rsidR="00386605" w:rsidRDefault="00386605" w:rsidP="00BF7A32">
      <w:pPr>
        <w:spacing w:after="100" w:afterAutospacing="1"/>
        <w:rPr>
          <w:rFonts w:asciiTheme="minorHAnsi" w:hAnsiTheme="minorHAnsi" w:cstheme="minorHAnsi"/>
        </w:rPr>
      </w:pPr>
      <w:r w:rsidRPr="00704561">
        <w:rPr>
          <w:rFonts w:asciiTheme="minorHAnsi" w:hAnsiTheme="minorHAnsi" w:cstheme="minorHAnsi"/>
        </w:rPr>
        <w:t xml:space="preserve">The US trade deficit </w:t>
      </w:r>
      <w:r>
        <w:rPr>
          <w:rFonts w:asciiTheme="minorHAnsi" w:hAnsiTheme="minorHAnsi" w:cstheme="minorHAnsi"/>
        </w:rPr>
        <w:t>widen</w:t>
      </w:r>
      <w:r w:rsidR="000014D3">
        <w:rPr>
          <w:rFonts w:asciiTheme="minorHAnsi" w:hAnsiTheme="minorHAnsi" w:cstheme="minorHAnsi"/>
        </w:rPr>
        <w:t>s out to 2030</w:t>
      </w:r>
      <w:r w:rsidRPr="00704561">
        <w:rPr>
          <w:rFonts w:asciiTheme="minorHAnsi" w:hAnsiTheme="minorHAnsi" w:cstheme="minorHAnsi"/>
        </w:rPr>
        <w:t xml:space="preserve"> under both scenarios</w:t>
      </w:r>
      <w:r>
        <w:rPr>
          <w:rFonts w:asciiTheme="minorHAnsi" w:hAnsiTheme="minorHAnsi" w:cstheme="minorHAnsi"/>
        </w:rPr>
        <w:t xml:space="preserve">. </w:t>
      </w:r>
      <w:r w:rsidR="000014D3">
        <w:rPr>
          <w:rFonts w:asciiTheme="minorHAnsi" w:hAnsiTheme="minorHAnsi" w:cstheme="minorHAnsi"/>
        </w:rPr>
        <w:t>In the Paris Scenario t</w:t>
      </w:r>
      <w:r>
        <w:rPr>
          <w:rFonts w:asciiTheme="minorHAnsi" w:hAnsiTheme="minorHAnsi" w:cstheme="minorHAnsi"/>
        </w:rPr>
        <w:t xml:space="preserve">he competitiveness of US exports is reduced through higher domestic prices as a result of emissions policies, and through a higher exchange rate driven by net capital </w:t>
      </w:r>
      <w:r w:rsidRPr="00A52EA5">
        <w:rPr>
          <w:rFonts w:asciiTheme="minorHAnsi" w:hAnsiTheme="minorHAnsi" w:cstheme="minorHAnsi"/>
        </w:rPr>
        <w:t>inflows. The US trade deficit is 1.5 per cent lower under the Paris Scenario than the</w:t>
      </w:r>
      <w:r w:rsidRPr="00704561">
        <w:rPr>
          <w:rFonts w:asciiTheme="minorHAnsi" w:hAnsiTheme="minorHAnsi" w:cstheme="minorHAnsi"/>
        </w:rPr>
        <w:t xml:space="preserve"> </w:t>
      </w:r>
      <w:r>
        <w:rPr>
          <w:rFonts w:asciiTheme="minorHAnsi" w:hAnsiTheme="minorHAnsi" w:cstheme="minorHAnsi"/>
        </w:rPr>
        <w:t>Current Policies</w:t>
      </w:r>
      <w:r w:rsidRPr="0047724C">
        <w:rPr>
          <w:rFonts w:asciiTheme="minorHAnsi" w:hAnsiTheme="minorHAnsi" w:cstheme="minorHAnsi"/>
        </w:rPr>
        <w:t xml:space="preserve"> Scenario</w:t>
      </w:r>
      <w:r w:rsidRPr="00704561">
        <w:rPr>
          <w:rFonts w:asciiTheme="minorHAnsi" w:hAnsiTheme="minorHAnsi" w:cstheme="minorHAnsi"/>
        </w:rPr>
        <w:t>.</w:t>
      </w:r>
      <w:r>
        <w:rPr>
          <w:rFonts w:asciiTheme="minorHAnsi" w:hAnsiTheme="minorHAnsi" w:cstheme="minorHAnsi"/>
        </w:rPr>
        <w:t xml:space="preserve"> </w:t>
      </w:r>
    </w:p>
    <w:p w:rsidR="00386605" w:rsidRDefault="00386605" w:rsidP="00BF7A32">
      <w:pPr>
        <w:pStyle w:val="ListParagraph"/>
        <w:spacing w:after="100" w:afterAutospacing="1"/>
        <w:ind w:left="0"/>
        <w:contextualSpacing w:val="0"/>
        <w:rPr>
          <w:rFonts w:asciiTheme="minorHAnsi" w:hAnsiTheme="minorHAnsi" w:cstheme="minorHAnsi"/>
          <w:b/>
        </w:rPr>
      </w:pPr>
      <w:r>
        <w:rPr>
          <w:rFonts w:asciiTheme="minorHAnsi" w:hAnsiTheme="minorHAnsi" w:cstheme="minorHAnsi"/>
        </w:rPr>
        <w:t>US exports are 0.6 per cent lower in 2030 compared to the Current Policies Scenario. Lower exports of durable go</w:t>
      </w:r>
      <w:r w:rsidRPr="00A52EA5">
        <w:rPr>
          <w:rFonts w:asciiTheme="minorHAnsi" w:hAnsiTheme="minorHAnsi" w:cstheme="minorHAnsi"/>
        </w:rPr>
        <w:t>ods make up half of this fall</w:t>
      </w:r>
      <w:r w:rsidR="00BD0D8C" w:rsidRPr="00A52EA5">
        <w:rPr>
          <w:rFonts w:asciiTheme="minorHAnsi" w:hAnsiTheme="minorHAnsi" w:cstheme="minorHAnsi"/>
        </w:rPr>
        <w:t xml:space="preserve"> (Figure </w:t>
      </w:r>
      <w:r w:rsidR="0078789A" w:rsidRPr="00A52EA5">
        <w:rPr>
          <w:rFonts w:asciiTheme="minorHAnsi" w:hAnsiTheme="minorHAnsi" w:cstheme="minorHAnsi"/>
        </w:rPr>
        <w:t>C</w:t>
      </w:r>
      <w:r w:rsidR="00BD0D8C" w:rsidRPr="00A52EA5">
        <w:rPr>
          <w:rFonts w:asciiTheme="minorHAnsi" w:hAnsiTheme="minorHAnsi" w:cstheme="minorHAnsi"/>
        </w:rPr>
        <w:t>-</w:t>
      </w:r>
      <w:r w:rsidR="002B5A08" w:rsidRPr="00A52EA5">
        <w:rPr>
          <w:rFonts w:asciiTheme="minorHAnsi" w:hAnsiTheme="minorHAnsi" w:cstheme="minorHAnsi"/>
        </w:rPr>
        <w:t>4</w:t>
      </w:r>
      <w:r w:rsidR="00BD0D8C" w:rsidRPr="00A52EA5">
        <w:rPr>
          <w:rFonts w:asciiTheme="minorHAnsi" w:hAnsiTheme="minorHAnsi" w:cstheme="minorHAnsi"/>
        </w:rPr>
        <w:t>)</w:t>
      </w:r>
      <w:r w:rsidRPr="00A52EA5">
        <w:rPr>
          <w:rFonts w:asciiTheme="minorHAnsi" w:hAnsiTheme="minorHAnsi" w:cstheme="minorHAnsi"/>
        </w:rPr>
        <w:t xml:space="preserve">. Imports are </w:t>
      </w:r>
      <w:r w:rsidR="00A52EA5" w:rsidRPr="00A52EA5">
        <w:rPr>
          <w:rFonts w:asciiTheme="minorHAnsi" w:hAnsiTheme="minorHAnsi" w:cstheme="minorHAnsi"/>
        </w:rPr>
        <w:t>0.03 per cent lower.</w:t>
      </w:r>
    </w:p>
    <w:p w:rsidR="00C042B9" w:rsidRPr="00BF39AB" w:rsidRDefault="00C042B9" w:rsidP="00BF7A32">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Sectoral impacts</w:t>
      </w:r>
    </w:p>
    <w:p w:rsidR="00386605" w:rsidRDefault="00386605" w:rsidP="00BF7A32">
      <w:pPr>
        <w:pStyle w:val="ListParagraph"/>
        <w:spacing w:after="100" w:afterAutospacing="1"/>
        <w:ind w:left="0"/>
        <w:contextualSpacing w:val="0"/>
        <w:rPr>
          <w:rFonts w:asciiTheme="minorHAnsi" w:hAnsiTheme="minorHAnsi" w:cstheme="minorHAnsi"/>
        </w:rPr>
      </w:pPr>
      <w:r>
        <w:rPr>
          <w:rFonts w:asciiTheme="minorHAnsi" w:hAnsiTheme="minorHAnsi" w:cstheme="minorHAnsi"/>
        </w:rPr>
        <w:t xml:space="preserve">While the modelling largely affects fossil fuel sectors, the nature of fossil fuels as an intermediate input to other sectors (particularly electricity generation) means that </w:t>
      </w:r>
      <w:r w:rsidR="00496C54">
        <w:rPr>
          <w:rFonts w:asciiTheme="minorHAnsi" w:hAnsiTheme="minorHAnsi" w:cstheme="minorHAnsi"/>
        </w:rPr>
        <w:t xml:space="preserve">a substantial share </w:t>
      </w:r>
      <w:r>
        <w:rPr>
          <w:rFonts w:asciiTheme="minorHAnsi" w:hAnsiTheme="minorHAnsi" w:cstheme="minorHAnsi"/>
        </w:rPr>
        <w:t xml:space="preserve">of the decline in US economic output occurs in non-fossil fuel sectors. </w:t>
      </w:r>
    </w:p>
    <w:p w:rsidR="00386605" w:rsidRDefault="00386605" w:rsidP="00BF7A32">
      <w:pPr>
        <w:pStyle w:val="ListParagraph"/>
        <w:spacing w:after="100" w:afterAutospacing="1"/>
        <w:ind w:left="0"/>
        <w:contextualSpacing w:val="0"/>
        <w:rPr>
          <w:rFonts w:asciiTheme="minorHAnsi" w:hAnsiTheme="minorHAnsi" w:cstheme="minorHAnsi"/>
        </w:rPr>
      </w:pPr>
      <w:r>
        <w:rPr>
          <w:rFonts w:asciiTheme="minorHAnsi" w:hAnsiTheme="minorHAnsi" w:cstheme="minorHAnsi"/>
        </w:rPr>
        <w:t>However, firms’ demand for more energy efficient capital generates additional output that partly offsets the decline caused by climate action policies. Durable goods manufacturing output in 2030 increases with the introduction of climate policies</w:t>
      </w:r>
      <w:r w:rsidR="00533584">
        <w:rPr>
          <w:rFonts w:asciiTheme="minorHAnsi" w:hAnsiTheme="minorHAnsi" w:cstheme="minorHAnsi"/>
        </w:rPr>
        <w:t xml:space="preserve"> (Figure </w:t>
      </w:r>
      <w:r w:rsidR="0078789A">
        <w:rPr>
          <w:rFonts w:asciiTheme="minorHAnsi" w:hAnsiTheme="minorHAnsi" w:cstheme="minorHAnsi"/>
        </w:rPr>
        <w:t>C</w:t>
      </w:r>
      <w:r w:rsidR="00533584">
        <w:rPr>
          <w:rFonts w:asciiTheme="minorHAnsi" w:hAnsiTheme="minorHAnsi" w:cstheme="minorHAnsi"/>
        </w:rPr>
        <w:t>-</w:t>
      </w:r>
      <w:r w:rsidR="002B5A08">
        <w:rPr>
          <w:rFonts w:asciiTheme="minorHAnsi" w:hAnsiTheme="minorHAnsi" w:cstheme="minorHAnsi"/>
        </w:rPr>
        <w:t>4</w:t>
      </w:r>
      <w:r w:rsidR="00533584">
        <w:rPr>
          <w:rFonts w:asciiTheme="minorHAnsi" w:hAnsiTheme="minorHAnsi" w:cstheme="minorHAnsi"/>
        </w:rPr>
        <w:t>)</w:t>
      </w:r>
      <w:r>
        <w:rPr>
          <w:rFonts w:asciiTheme="minorHAnsi" w:hAnsiTheme="minorHAnsi" w:cstheme="minorHAnsi"/>
        </w:rPr>
        <w:t xml:space="preserve">, and </w:t>
      </w:r>
      <w:r w:rsidR="006F1E85">
        <w:rPr>
          <w:rFonts w:asciiTheme="minorHAnsi" w:hAnsiTheme="minorHAnsi" w:cstheme="minorHAnsi"/>
        </w:rPr>
        <w:t xml:space="preserve">partially </w:t>
      </w:r>
      <w:r>
        <w:rPr>
          <w:rFonts w:asciiTheme="minorHAnsi" w:hAnsiTheme="minorHAnsi" w:cstheme="minorHAnsi"/>
        </w:rPr>
        <w:t>offset</w:t>
      </w:r>
      <w:r w:rsidR="006F1E85">
        <w:rPr>
          <w:rFonts w:asciiTheme="minorHAnsi" w:hAnsiTheme="minorHAnsi" w:cstheme="minorHAnsi"/>
        </w:rPr>
        <w:t>ting</w:t>
      </w:r>
      <w:r>
        <w:rPr>
          <w:rFonts w:asciiTheme="minorHAnsi" w:hAnsiTheme="minorHAnsi" w:cstheme="minorHAnsi"/>
        </w:rPr>
        <w:t xml:space="preserve"> the output lost in the fossil fuel sectors. </w:t>
      </w:r>
      <w:r w:rsidR="002672E3">
        <w:rPr>
          <w:rFonts w:asciiTheme="minorHAnsi" w:hAnsiTheme="minorHAnsi" w:cstheme="minorHAnsi"/>
        </w:rPr>
        <w:t>This is the sector that supplies most of the capital goods for investment.</w:t>
      </w:r>
    </w:p>
    <w:p w:rsidR="002B5A08" w:rsidRPr="00192168" w:rsidRDefault="002B5A08" w:rsidP="002B5A08">
      <w:pPr>
        <w:keepNext/>
        <w:spacing w:before="24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 xml:space="preserve">Figure C-4: </w:t>
      </w:r>
      <w:r w:rsidR="00DD0652">
        <w:rPr>
          <w:rFonts w:asciiTheme="minorHAnsi" w:hAnsiTheme="minorHAnsi" w:cstheme="minorHAnsi"/>
          <w:color w:val="4F81BD" w:themeColor="accent1"/>
        </w:rPr>
        <w:t xml:space="preserve">United States: </w:t>
      </w:r>
      <w:r w:rsidRPr="00192168">
        <w:rPr>
          <w:rFonts w:asciiTheme="minorHAnsi" w:hAnsiTheme="minorHAnsi" w:cstheme="minorHAnsi"/>
          <w:color w:val="4F81BD" w:themeColor="accent1"/>
        </w:rPr>
        <w:t>Impacts of Paris Scenario, 2030 (percentage deviation from Current Policies Scenario)</w:t>
      </w:r>
    </w:p>
    <w:p w:rsidR="002B5A08" w:rsidRPr="00192168" w:rsidRDefault="002B5A08" w:rsidP="002B5A08">
      <w:pPr>
        <w:keepNext/>
        <w:spacing w:before="120" w:after="120"/>
        <w:rPr>
          <w:rFonts w:asciiTheme="minorHAnsi" w:hAnsiTheme="minorHAnsi" w:cstheme="minorHAnsi"/>
          <w:i/>
          <w:color w:val="4F81BD" w:themeColor="accent1"/>
        </w:rPr>
      </w:pPr>
      <w:r w:rsidRPr="00192168">
        <w:rPr>
          <w:rFonts w:asciiTheme="minorHAnsi" w:hAnsiTheme="minorHAnsi" w:cstheme="minorHAnsi"/>
          <w:i/>
          <w:color w:val="4F81BD" w:themeColor="accent1"/>
        </w:rPr>
        <w:t>Exports</w:t>
      </w:r>
    </w:p>
    <w:p w:rsidR="00887B07" w:rsidRPr="00496C54" w:rsidRDefault="002B5A08" w:rsidP="00496C54">
      <w:pPr>
        <w:spacing w:after="360"/>
        <w:ind w:left="-709"/>
        <w:rPr>
          <w:noProof/>
          <w:lang w:eastAsia="en-AU"/>
        </w:rPr>
      </w:pPr>
      <w:r w:rsidRPr="002B5A08">
        <w:rPr>
          <w:noProof/>
          <w:lang w:eastAsia="en-AU"/>
        </w:rPr>
        <w:drawing>
          <wp:inline distT="0" distB="0" distL="0" distR="0" wp14:anchorId="0B5F2DCE" wp14:editId="5D6D0037">
            <wp:extent cx="6016978" cy="1882877"/>
            <wp:effectExtent l="0" t="0" r="3175" b="3175"/>
            <wp:docPr id="15" name="Picture 15" descr="Exports: Under the Paris Scenario, United States export sectors have the following percentage deviation from the Current Policies Scenario in 2030: Gas extraction exports (-3%), Crude extraction exports (-5%), Coal mining exports (-21%), Petroleum refining exports (+0%), Gas utilities exports (-3%), Services exports (-0.3%), Transportation exports (-0.2%), Non-Durable Manufacturing exports (-0.4%), Durable Manufacturing exports (-0.6%), Agriculture exports (-0.7%), Other Mining exports (-1.5%).&#10;" title="Figure C-4: United States: Impacts of Paris Scenario, 2030 (percentage deviation from Current Policies Scenario) -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019716" cy="1883734"/>
                    </a:xfrm>
                    <a:prstGeom prst="rect">
                      <a:avLst/>
                    </a:prstGeom>
                  </pic:spPr>
                </pic:pic>
              </a:graphicData>
            </a:graphic>
          </wp:inline>
        </w:drawing>
      </w:r>
    </w:p>
    <w:p w:rsidR="002B5A08" w:rsidRPr="00192168" w:rsidRDefault="002B5A08" w:rsidP="002B5A08">
      <w:pPr>
        <w:keepNext/>
        <w:rPr>
          <w:rFonts w:asciiTheme="minorHAnsi" w:hAnsiTheme="minorHAnsi" w:cstheme="minorHAnsi"/>
          <w:i/>
          <w:color w:val="4F81BD" w:themeColor="accent1"/>
        </w:rPr>
      </w:pPr>
      <w:r w:rsidRPr="00192168">
        <w:rPr>
          <w:rFonts w:asciiTheme="minorHAnsi" w:hAnsiTheme="minorHAnsi" w:cstheme="minorHAnsi"/>
          <w:i/>
          <w:color w:val="4F81BD" w:themeColor="accent1"/>
        </w:rPr>
        <w:t>Output</w:t>
      </w:r>
    </w:p>
    <w:p w:rsidR="00887B07" w:rsidRPr="00192168" w:rsidRDefault="002B5A08" w:rsidP="00496C54">
      <w:pPr>
        <w:spacing w:after="360"/>
        <w:ind w:left="-709"/>
        <w:rPr>
          <w:noProof/>
          <w:color w:val="4F81BD" w:themeColor="accent1"/>
          <w:lang w:eastAsia="en-AU"/>
        </w:rPr>
      </w:pPr>
      <w:r w:rsidRPr="00192168">
        <w:rPr>
          <w:noProof/>
          <w:color w:val="4F81BD" w:themeColor="accent1"/>
          <w:lang w:eastAsia="en-AU"/>
        </w:rPr>
        <w:drawing>
          <wp:inline distT="0" distB="0" distL="0" distR="0" wp14:anchorId="3DE42251" wp14:editId="7405632D">
            <wp:extent cx="5892800" cy="1818835"/>
            <wp:effectExtent l="0" t="0" r="0" b="0"/>
            <wp:docPr id="16" name="Picture 16" descr="Output: Under the Paris Scenario, United States sectoral outputs have the following percentage deviation from the Current Policies Scenario in 2030: Gas extraction output (-25%), Crude extraction output (-4%), Coal mining output (-97%), Petroleum refining output (-1%), Gas utilities output (-1%), Electric utilities output (-5%), Services Output (-0.2%), Transportation output (-0.3%), Non-Durable Manufacturing output (-0.3%), Durable Manufacturing output (0.7%), Agriculture output (-0.4%).&#10;" title="Figure C-4: United States: Impacts of Paris Scenario, 2030 (percentage deviation from Current Policies Scenario) -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01268" cy="1821449"/>
                    </a:xfrm>
                    <a:prstGeom prst="rect">
                      <a:avLst/>
                    </a:prstGeom>
                  </pic:spPr>
                </pic:pic>
              </a:graphicData>
            </a:graphic>
          </wp:inline>
        </w:drawing>
      </w:r>
    </w:p>
    <w:p w:rsidR="006416C6" w:rsidRPr="00192168" w:rsidRDefault="006416C6" w:rsidP="00BF7A32">
      <w:pPr>
        <w:keepNext/>
        <w:spacing w:before="240"/>
        <w:rPr>
          <w:rFonts w:asciiTheme="minorHAnsi" w:hAnsiTheme="minorHAnsi" w:cstheme="minorHAnsi"/>
          <w:b/>
          <w:color w:val="996633"/>
          <w:sz w:val="36"/>
        </w:rPr>
      </w:pPr>
      <w:r w:rsidRPr="00192168">
        <w:rPr>
          <w:rFonts w:asciiTheme="minorHAnsi" w:hAnsiTheme="minorHAnsi" w:cstheme="minorHAnsi"/>
          <w:b/>
          <w:color w:val="996633"/>
          <w:sz w:val="36"/>
        </w:rPr>
        <w:t>China</w:t>
      </w:r>
    </w:p>
    <w:p w:rsidR="003E5160" w:rsidRPr="00BF39AB" w:rsidRDefault="003E5160" w:rsidP="00BF7A32">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Macroeconomic indicators</w:t>
      </w:r>
    </w:p>
    <w:p w:rsidR="00BE15B8" w:rsidRPr="00BF7A32" w:rsidRDefault="00BE15B8" w:rsidP="00BF7A32">
      <w:pPr>
        <w:pStyle w:val="ListParagraph"/>
        <w:spacing w:after="100" w:afterAutospacing="1"/>
        <w:ind w:left="0"/>
        <w:contextualSpacing w:val="0"/>
        <w:rPr>
          <w:rFonts w:asciiTheme="minorHAnsi" w:hAnsiTheme="minorHAnsi" w:cstheme="minorHAnsi"/>
        </w:rPr>
      </w:pPr>
      <w:r w:rsidRPr="00BF7A32">
        <w:rPr>
          <w:rFonts w:asciiTheme="minorHAnsi" w:hAnsiTheme="minorHAnsi" w:cstheme="minorHAnsi"/>
        </w:rPr>
        <w:t xml:space="preserve">With the targets modelled, GDP in </w:t>
      </w:r>
      <w:r w:rsidR="00122445" w:rsidRPr="00BF7A32">
        <w:rPr>
          <w:rFonts w:asciiTheme="minorHAnsi" w:hAnsiTheme="minorHAnsi" w:cstheme="minorHAnsi"/>
        </w:rPr>
        <w:t xml:space="preserve">China </w:t>
      </w:r>
      <w:r w:rsidRPr="00BF7A32">
        <w:rPr>
          <w:rFonts w:asciiTheme="minorHAnsi" w:hAnsiTheme="minorHAnsi" w:cstheme="minorHAnsi"/>
        </w:rPr>
        <w:t>in 2030 is estimated to be 0.</w:t>
      </w:r>
      <w:r w:rsidR="00122445" w:rsidRPr="00BF7A32">
        <w:rPr>
          <w:rFonts w:asciiTheme="minorHAnsi" w:hAnsiTheme="minorHAnsi" w:cstheme="minorHAnsi"/>
        </w:rPr>
        <w:t>4</w:t>
      </w:r>
      <w:r w:rsidRPr="00BF7A32">
        <w:rPr>
          <w:rFonts w:asciiTheme="minorHAnsi" w:hAnsiTheme="minorHAnsi" w:cstheme="minorHAnsi"/>
        </w:rPr>
        <w:t xml:space="preserve"> per cent lower than if countries did not take on post-2020 targets</w:t>
      </w:r>
      <w:r w:rsidR="005B7BAB">
        <w:rPr>
          <w:rFonts w:asciiTheme="minorHAnsi" w:hAnsiTheme="minorHAnsi" w:cstheme="minorHAnsi"/>
        </w:rPr>
        <w:t xml:space="preserve"> (Figure </w:t>
      </w:r>
      <w:r w:rsidR="0078789A">
        <w:rPr>
          <w:rFonts w:asciiTheme="minorHAnsi" w:hAnsiTheme="minorHAnsi" w:cstheme="minorHAnsi"/>
        </w:rPr>
        <w:t>C</w:t>
      </w:r>
      <w:r w:rsidR="005B7BAB">
        <w:rPr>
          <w:rFonts w:asciiTheme="minorHAnsi" w:hAnsiTheme="minorHAnsi" w:cstheme="minorHAnsi"/>
        </w:rPr>
        <w:t>-</w:t>
      </w:r>
      <w:r w:rsidR="002B5A08">
        <w:rPr>
          <w:rFonts w:asciiTheme="minorHAnsi" w:hAnsiTheme="minorHAnsi" w:cstheme="minorHAnsi"/>
        </w:rPr>
        <w:t>5</w:t>
      </w:r>
      <w:r w:rsidR="005B7BAB">
        <w:rPr>
          <w:rFonts w:asciiTheme="minorHAnsi" w:hAnsiTheme="minorHAnsi" w:cstheme="minorHAnsi"/>
        </w:rPr>
        <w:t>)</w:t>
      </w:r>
      <w:r w:rsidRPr="00BF7A32">
        <w:rPr>
          <w:rFonts w:asciiTheme="minorHAnsi" w:hAnsiTheme="minorHAnsi" w:cstheme="minorHAnsi"/>
        </w:rPr>
        <w:t>.</w:t>
      </w:r>
    </w:p>
    <w:p w:rsidR="001C2F22" w:rsidRDefault="001C2F22" w:rsidP="00BF7A32">
      <w:pPr>
        <w:pStyle w:val="ListParagraph"/>
        <w:spacing w:after="100" w:afterAutospacing="1"/>
        <w:ind w:left="0"/>
        <w:contextualSpacing w:val="0"/>
        <w:rPr>
          <w:rFonts w:asciiTheme="minorHAnsi" w:hAnsiTheme="minorHAnsi" w:cstheme="minorHAnsi"/>
        </w:rPr>
      </w:pPr>
      <w:r>
        <w:rPr>
          <w:rFonts w:asciiTheme="minorHAnsi" w:hAnsiTheme="minorHAnsi" w:cstheme="minorHAnsi"/>
        </w:rPr>
        <w:t>Consumption falls as China’s climate policies raise prices and reduce real income. Investment also falls overall, although there is increased demand for more energy-efficient sources of capital in the electricity sector.</w:t>
      </w:r>
    </w:p>
    <w:p w:rsidR="00122445" w:rsidRPr="00192168" w:rsidRDefault="00122445" w:rsidP="00122445">
      <w:pPr>
        <w:keepNext/>
        <w:spacing w:before="240" w:after="12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 xml:space="preserve">Figure </w:t>
      </w:r>
      <w:r w:rsidR="0078789A" w:rsidRPr="00192168">
        <w:rPr>
          <w:rFonts w:asciiTheme="minorHAnsi" w:hAnsiTheme="minorHAnsi" w:cstheme="minorHAnsi"/>
          <w:b/>
          <w:color w:val="4F81BD" w:themeColor="accent1"/>
        </w:rPr>
        <w:t>C</w:t>
      </w:r>
      <w:r w:rsidRPr="00192168">
        <w:rPr>
          <w:rFonts w:asciiTheme="minorHAnsi" w:hAnsiTheme="minorHAnsi" w:cstheme="minorHAnsi"/>
          <w:b/>
          <w:color w:val="4F81BD" w:themeColor="accent1"/>
        </w:rPr>
        <w:t>-</w:t>
      </w:r>
      <w:r w:rsidR="002B5A08" w:rsidRPr="00192168">
        <w:rPr>
          <w:rFonts w:asciiTheme="minorHAnsi" w:hAnsiTheme="minorHAnsi" w:cstheme="minorHAnsi"/>
          <w:b/>
          <w:color w:val="4F81BD" w:themeColor="accent1"/>
        </w:rPr>
        <w:t>5</w:t>
      </w:r>
      <w:r w:rsidRPr="00192168">
        <w:rPr>
          <w:rFonts w:asciiTheme="minorHAnsi" w:hAnsiTheme="minorHAnsi" w:cstheme="minorHAnsi"/>
          <w:b/>
          <w:color w:val="4F81BD" w:themeColor="accent1"/>
        </w:rPr>
        <w:t xml:space="preserve">: </w:t>
      </w:r>
      <w:r w:rsidR="00DD0652">
        <w:rPr>
          <w:rFonts w:asciiTheme="minorHAnsi" w:hAnsiTheme="minorHAnsi" w:cstheme="minorHAnsi"/>
          <w:color w:val="4F81BD" w:themeColor="accent1"/>
        </w:rPr>
        <w:t xml:space="preserve">China: </w:t>
      </w:r>
      <w:r w:rsidRPr="00192168">
        <w:rPr>
          <w:rFonts w:asciiTheme="minorHAnsi" w:hAnsiTheme="minorHAnsi" w:cstheme="minorHAnsi"/>
          <w:color w:val="4F81BD" w:themeColor="accent1"/>
        </w:rPr>
        <w:t xml:space="preserve">Key indicators </w:t>
      </w:r>
      <w:r w:rsidR="0050472B">
        <w:rPr>
          <w:rFonts w:asciiTheme="minorHAnsi" w:hAnsiTheme="minorHAnsi" w:cstheme="minorHAnsi"/>
          <w:color w:val="4F81BD" w:themeColor="accent1"/>
        </w:rPr>
        <w:t xml:space="preserve">under Paris Scenario </w:t>
      </w:r>
      <w:r w:rsidRPr="00192168">
        <w:rPr>
          <w:rFonts w:asciiTheme="minorHAnsi" w:hAnsiTheme="minorHAnsi" w:cstheme="minorHAnsi"/>
          <w:color w:val="4F81BD" w:themeColor="accent1"/>
        </w:rPr>
        <w:t>–</w:t>
      </w:r>
      <w:r w:rsidRPr="00192168">
        <w:rPr>
          <w:color w:val="4F81BD" w:themeColor="accent1"/>
        </w:rPr>
        <w:t xml:space="preserve"> </w:t>
      </w:r>
      <w:r w:rsidRPr="00192168">
        <w:rPr>
          <w:rFonts w:asciiTheme="minorHAnsi" w:hAnsiTheme="minorHAnsi" w:cstheme="minorHAnsi"/>
          <w:color w:val="4F81BD" w:themeColor="accent1"/>
        </w:rPr>
        <w:t>Real GDP, consumption, investment and trade balance, 2030 (percentage deviation</w:t>
      </w:r>
      <w:r w:rsidR="00D17826" w:rsidRPr="00192168">
        <w:rPr>
          <w:rFonts w:asciiTheme="minorHAnsi" w:hAnsiTheme="minorHAnsi" w:cstheme="minorHAnsi"/>
          <w:color w:val="4F81BD" w:themeColor="accent1"/>
        </w:rPr>
        <w:t xml:space="preserve"> from Current Policies Scenario</w:t>
      </w:r>
      <w:r w:rsidRPr="00192168">
        <w:rPr>
          <w:rFonts w:asciiTheme="minorHAnsi" w:hAnsiTheme="minorHAnsi" w:cstheme="minorHAnsi"/>
          <w:color w:val="4F81BD" w:themeColor="accent1"/>
        </w:rPr>
        <w:t>)</w:t>
      </w:r>
    </w:p>
    <w:p w:rsidR="006416C6" w:rsidRDefault="006416C6" w:rsidP="00BF7A32">
      <w:pPr>
        <w:pStyle w:val="ListParagraph"/>
        <w:spacing w:line="360" w:lineRule="auto"/>
        <w:ind w:left="0"/>
        <w:rPr>
          <w:rFonts w:asciiTheme="minorHAnsi" w:hAnsiTheme="minorHAnsi" w:cstheme="minorHAnsi"/>
        </w:rPr>
      </w:pPr>
      <w:r w:rsidRPr="006416C6">
        <w:rPr>
          <w:noProof/>
          <w:lang w:eastAsia="en-AU"/>
        </w:rPr>
        <w:drawing>
          <wp:inline distT="0" distB="0" distL="0" distR="0" wp14:anchorId="659FF09D" wp14:editId="43DE96CB">
            <wp:extent cx="4457143" cy="2723810"/>
            <wp:effectExtent l="0" t="0" r="635" b="635"/>
            <wp:docPr id="28" name="Picture 28" descr="Under the Paris Scenario, China has the following percentage deviation from the Current Policies Scenario in 2030: Real GDP (-0.4%), Consumption (-0.5%), Investment (-0.7%), Trade Balance (0.1%).&#10;" title="Figure C-5: China: Key indicators under Paris Scenario – Real GDP, consumption, investment and trade balance, 2030 (percentage deviation from Current Policie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57143" cy="2723810"/>
                    </a:xfrm>
                    <a:prstGeom prst="rect">
                      <a:avLst/>
                    </a:prstGeom>
                  </pic:spPr>
                </pic:pic>
              </a:graphicData>
            </a:graphic>
          </wp:inline>
        </w:drawing>
      </w:r>
    </w:p>
    <w:p w:rsidR="00130F3C" w:rsidRPr="00BF39AB" w:rsidRDefault="00130F3C" w:rsidP="00130F3C">
      <w:pPr>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 Trade balance result is deviation in trade balance divided by GDP.</w:t>
      </w:r>
    </w:p>
    <w:p w:rsidR="003E126E" w:rsidRPr="00BF39AB" w:rsidRDefault="003E126E" w:rsidP="003E126E">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Trade impacts</w:t>
      </w:r>
    </w:p>
    <w:p w:rsidR="000A73E9" w:rsidRDefault="000A73E9" w:rsidP="00BF7A32">
      <w:pPr>
        <w:pStyle w:val="ListParagraph"/>
        <w:spacing w:after="100" w:afterAutospacing="1"/>
        <w:ind w:left="0"/>
        <w:contextualSpacing w:val="0"/>
        <w:rPr>
          <w:rFonts w:asciiTheme="minorHAnsi" w:hAnsiTheme="minorHAnsi" w:cstheme="minorHAnsi"/>
        </w:rPr>
      </w:pPr>
      <w:r w:rsidRPr="00252C25">
        <w:rPr>
          <w:rFonts w:asciiTheme="minorHAnsi" w:hAnsiTheme="minorHAnsi" w:cstheme="minorHAnsi"/>
        </w:rPr>
        <w:t xml:space="preserve">China’s </w:t>
      </w:r>
      <w:r w:rsidR="005B7BAB">
        <w:rPr>
          <w:rFonts w:asciiTheme="minorHAnsi" w:hAnsiTheme="minorHAnsi" w:cstheme="minorHAnsi"/>
        </w:rPr>
        <w:t xml:space="preserve">aggregate </w:t>
      </w:r>
      <w:r w:rsidRPr="00252C25">
        <w:rPr>
          <w:rFonts w:asciiTheme="minorHAnsi" w:hAnsiTheme="minorHAnsi" w:cstheme="minorHAnsi"/>
        </w:rPr>
        <w:t xml:space="preserve">exports </w:t>
      </w:r>
      <w:r w:rsidR="005B7BAB">
        <w:rPr>
          <w:rFonts w:asciiTheme="minorHAnsi" w:hAnsiTheme="minorHAnsi" w:cstheme="minorHAnsi"/>
        </w:rPr>
        <w:t xml:space="preserve">in 2030 </w:t>
      </w:r>
      <w:r w:rsidRPr="00252C25">
        <w:rPr>
          <w:rFonts w:asciiTheme="minorHAnsi" w:hAnsiTheme="minorHAnsi" w:cstheme="minorHAnsi"/>
        </w:rPr>
        <w:t xml:space="preserve">are just one-third of a per cent lower </w:t>
      </w:r>
      <w:r w:rsidR="005B7BAB">
        <w:rPr>
          <w:rFonts w:asciiTheme="minorHAnsi" w:hAnsiTheme="minorHAnsi" w:cstheme="minorHAnsi"/>
        </w:rPr>
        <w:t xml:space="preserve">under </w:t>
      </w:r>
      <w:r w:rsidRPr="00252C25">
        <w:rPr>
          <w:rFonts w:asciiTheme="minorHAnsi" w:hAnsiTheme="minorHAnsi" w:cstheme="minorHAnsi"/>
        </w:rPr>
        <w:t xml:space="preserve">the Paris Scenario than in the </w:t>
      </w:r>
      <w:r>
        <w:rPr>
          <w:rFonts w:asciiTheme="minorHAnsi" w:hAnsiTheme="minorHAnsi" w:cstheme="minorHAnsi"/>
        </w:rPr>
        <w:t>Curren</w:t>
      </w:r>
      <w:r w:rsidR="00AB69E3">
        <w:rPr>
          <w:rFonts w:asciiTheme="minorHAnsi" w:hAnsiTheme="minorHAnsi" w:cstheme="minorHAnsi"/>
        </w:rPr>
        <w:t>t Policies</w:t>
      </w:r>
      <w:r w:rsidRPr="00252C25">
        <w:rPr>
          <w:rFonts w:asciiTheme="minorHAnsi" w:hAnsiTheme="minorHAnsi" w:cstheme="minorHAnsi"/>
        </w:rPr>
        <w:t xml:space="preserve"> Scenario.</w:t>
      </w:r>
      <w:r w:rsidR="005B7BAB">
        <w:rPr>
          <w:rFonts w:asciiTheme="minorHAnsi" w:hAnsiTheme="minorHAnsi" w:cstheme="minorHAnsi"/>
        </w:rPr>
        <w:t xml:space="preserve"> Exports of durable and non-durable manufactures</w:t>
      </w:r>
      <w:r w:rsidR="009F0D95">
        <w:rPr>
          <w:rFonts w:asciiTheme="minorHAnsi" w:hAnsiTheme="minorHAnsi" w:cstheme="minorHAnsi"/>
        </w:rPr>
        <w:t>,</w:t>
      </w:r>
      <w:r w:rsidR="005B7BAB">
        <w:rPr>
          <w:rFonts w:asciiTheme="minorHAnsi" w:hAnsiTheme="minorHAnsi" w:cstheme="minorHAnsi"/>
        </w:rPr>
        <w:t xml:space="preserve">  which make up almost 90 per cent </w:t>
      </w:r>
      <w:r w:rsidR="005B7BAB" w:rsidRPr="00252C25">
        <w:rPr>
          <w:rFonts w:asciiTheme="minorHAnsi" w:hAnsiTheme="minorHAnsi" w:cstheme="minorHAnsi"/>
        </w:rPr>
        <w:t xml:space="preserve">of total exports in 2030 under both </w:t>
      </w:r>
      <w:r w:rsidR="005B7BAB">
        <w:rPr>
          <w:rFonts w:asciiTheme="minorHAnsi" w:hAnsiTheme="minorHAnsi" w:cstheme="minorHAnsi"/>
        </w:rPr>
        <w:t>s</w:t>
      </w:r>
      <w:r w:rsidR="005B7BAB" w:rsidRPr="00252C25">
        <w:rPr>
          <w:rFonts w:asciiTheme="minorHAnsi" w:hAnsiTheme="minorHAnsi" w:cstheme="minorHAnsi"/>
        </w:rPr>
        <w:t>cenarios</w:t>
      </w:r>
      <w:r w:rsidR="009F0D95">
        <w:rPr>
          <w:rFonts w:asciiTheme="minorHAnsi" w:hAnsiTheme="minorHAnsi" w:cstheme="minorHAnsi"/>
        </w:rPr>
        <w:t>,</w:t>
      </w:r>
      <w:r w:rsidR="005B7BAB">
        <w:rPr>
          <w:rFonts w:asciiTheme="minorHAnsi" w:hAnsiTheme="minorHAnsi" w:cstheme="minorHAnsi"/>
        </w:rPr>
        <w:t xml:space="preserve"> are</w:t>
      </w:r>
      <w:r w:rsidR="009F0D95">
        <w:rPr>
          <w:rFonts w:asciiTheme="minorHAnsi" w:hAnsiTheme="minorHAnsi" w:cstheme="minorHAnsi"/>
        </w:rPr>
        <w:t xml:space="preserve"> </w:t>
      </w:r>
      <w:r w:rsidR="005B7BAB">
        <w:rPr>
          <w:rFonts w:asciiTheme="minorHAnsi" w:hAnsiTheme="minorHAnsi" w:cstheme="minorHAnsi"/>
        </w:rPr>
        <w:t xml:space="preserve"> 0.2 per cent and 0.3 per cent lower</w:t>
      </w:r>
      <w:r w:rsidR="009F0D95">
        <w:rPr>
          <w:rFonts w:asciiTheme="minorHAnsi" w:hAnsiTheme="minorHAnsi" w:cstheme="minorHAnsi"/>
        </w:rPr>
        <w:t xml:space="preserve"> in 2030</w:t>
      </w:r>
      <w:r w:rsidR="005B7BAB">
        <w:rPr>
          <w:rFonts w:asciiTheme="minorHAnsi" w:hAnsiTheme="minorHAnsi" w:cstheme="minorHAnsi"/>
        </w:rPr>
        <w:t>, respectively, than under the Current Policies Scenario</w:t>
      </w:r>
      <w:r w:rsidR="009F0D95">
        <w:rPr>
          <w:rFonts w:asciiTheme="minorHAnsi" w:hAnsiTheme="minorHAnsi" w:cstheme="minorHAnsi"/>
        </w:rPr>
        <w:t xml:space="preserve"> (Figure </w:t>
      </w:r>
      <w:r w:rsidR="0078789A">
        <w:rPr>
          <w:rFonts w:asciiTheme="minorHAnsi" w:hAnsiTheme="minorHAnsi" w:cstheme="minorHAnsi"/>
        </w:rPr>
        <w:t>C</w:t>
      </w:r>
      <w:r w:rsidR="009F0D95">
        <w:rPr>
          <w:rFonts w:asciiTheme="minorHAnsi" w:hAnsiTheme="minorHAnsi" w:cstheme="minorHAnsi"/>
        </w:rPr>
        <w:t>-</w:t>
      </w:r>
      <w:r w:rsidR="002B5A08">
        <w:rPr>
          <w:rFonts w:asciiTheme="minorHAnsi" w:hAnsiTheme="minorHAnsi" w:cstheme="minorHAnsi"/>
        </w:rPr>
        <w:t>6</w:t>
      </w:r>
      <w:r w:rsidR="009F0D95">
        <w:rPr>
          <w:rFonts w:asciiTheme="minorHAnsi" w:hAnsiTheme="minorHAnsi" w:cstheme="minorHAnsi"/>
        </w:rPr>
        <w:t>)</w:t>
      </w:r>
      <w:r w:rsidR="005B7BAB">
        <w:rPr>
          <w:rFonts w:asciiTheme="minorHAnsi" w:hAnsiTheme="minorHAnsi" w:cstheme="minorHAnsi"/>
        </w:rPr>
        <w:t>.</w:t>
      </w:r>
    </w:p>
    <w:p w:rsidR="000A73E9" w:rsidRDefault="000A73E9" w:rsidP="00BF7A32">
      <w:pPr>
        <w:pStyle w:val="ListParagraph"/>
        <w:spacing w:after="100" w:afterAutospacing="1"/>
        <w:ind w:left="0"/>
        <w:contextualSpacing w:val="0"/>
        <w:rPr>
          <w:rFonts w:asciiTheme="minorHAnsi" w:hAnsiTheme="minorHAnsi" w:cstheme="minorHAnsi"/>
        </w:rPr>
      </w:pPr>
      <w:r w:rsidRPr="00A52EA5">
        <w:rPr>
          <w:rFonts w:asciiTheme="minorHAnsi" w:hAnsiTheme="minorHAnsi" w:cstheme="minorHAnsi"/>
        </w:rPr>
        <w:t xml:space="preserve">The </w:t>
      </w:r>
      <w:r w:rsidR="004650A6" w:rsidRPr="00A52EA5">
        <w:rPr>
          <w:rFonts w:asciiTheme="minorHAnsi" w:hAnsiTheme="minorHAnsi" w:cstheme="minorHAnsi"/>
        </w:rPr>
        <w:t>effects of climate action on Chinese consumption and investment slow</w:t>
      </w:r>
      <w:r w:rsidRPr="00A52EA5">
        <w:rPr>
          <w:rFonts w:asciiTheme="minorHAnsi" w:hAnsiTheme="minorHAnsi" w:cstheme="minorHAnsi"/>
        </w:rPr>
        <w:t xml:space="preserve"> import growth</w:t>
      </w:r>
      <w:r w:rsidR="00AB69E3" w:rsidRPr="00A52EA5">
        <w:rPr>
          <w:rFonts w:asciiTheme="minorHAnsi" w:hAnsiTheme="minorHAnsi" w:cstheme="minorHAnsi"/>
        </w:rPr>
        <w:t>. C</w:t>
      </w:r>
      <w:r w:rsidRPr="00A52EA5">
        <w:rPr>
          <w:rFonts w:asciiTheme="minorHAnsi" w:hAnsiTheme="minorHAnsi" w:cstheme="minorHAnsi"/>
        </w:rPr>
        <w:t xml:space="preserve">ombined with the relatively smaller reduction in exports, China’s net exports </w:t>
      </w:r>
      <w:r w:rsidR="00AB69E3" w:rsidRPr="00A52EA5">
        <w:rPr>
          <w:rFonts w:asciiTheme="minorHAnsi" w:hAnsiTheme="minorHAnsi" w:cstheme="minorHAnsi"/>
        </w:rPr>
        <w:t>contribute positively</w:t>
      </w:r>
      <w:r w:rsidRPr="00A52EA5">
        <w:rPr>
          <w:rFonts w:asciiTheme="minorHAnsi" w:hAnsiTheme="minorHAnsi" w:cstheme="minorHAnsi"/>
        </w:rPr>
        <w:t xml:space="preserve"> to GDP growth out to 2030, partially offsetting the effects of lower consumption and investment.</w:t>
      </w:r>
      <w:r w:rsidR="00AB69E3" w:rsidRPr="00A52EA5">
        <w:rPr>
          <w:rFonts w:asciiTheme="minorHAnsi" w:hAnsiTheme="minorHAnsi" w:cstheme="minorHAnsi"/>
        </w:rPr>
        <w:t xml:space="preserve"> China’s imports in 2030 are around 1 per cent lower under the Paris Scenario than the Current Policies Scenario.</w:t>
      </w:r>
      <w:r w:rsidR="004F36C2" w:rsidRPr="00DE1250">
        <w:rPr>
          <w:rFonts w:asciiTheme="minorHAnsi" w:hAnsiTheme="minorHAnsi" w:cstheme="minorHAnsi"/>
        </w:rPr>
        <w:t xml:space="preserve"> </w:t>
      </w:r>
    </w:p>
    <w:p w:rsidR="007C0458" w:rsidRDefault="006E0BD9" w:rsidP="00BF7A32">
      <w:pPr>
        <w:pStyle w:val="ListParagraph"/>
        <w:spacing w:after="100" w:afterAutospacing="1"/>
        <w:ind w:left="0"/>
        <w:contextualSpacing w:val="0"/>
        <w:rPr>
          <w:rFonts w:asciiTheme="minorHAnsi" w:hAnsiTheme="minorHAnsi" w:cstheme="minorHAnsi"/>
        </w:rPr>
      </w:pPr>
      <w:r w:rsidRPr="00A52EA5">
        <w:rPr>
          <w:rFonts w:asciiTheme="minorHAnsi" w:hAnsiTheme="minorHAnsi" w:cstheme="minorHAnsi"/>
        </w:rPr>
        <w:t>Chinese m</w:t>
      </w:r>
      <w:r w:rsidR="007C0458" w:rsidRPr="00A52EA5">
        <w:rPr>
          <w:rFonts w:asciiTheme="minorHAnsi" w:hAnsiTheme="minorHAnsi" w:cstheme="minorHAnsi"/>
        </w:rPr>
        <w:t>ining imports</w:t>
      </w:r>
      <w:r w:rsidR="002672E3" w:rsidRPr="00A52EA5">
        <w:rPr>
          <w:rFonts w:asciiTheme="minorHAnsi" w:hAnsiTheme="minorHAnsi" w:cstheme="minorHAnsi"/>
        </w:rPr>
        <w:t>, including iron ore,</w:t>
      </w:r>
      <w:r w:rsidR="007C0458" w:rsidRPr="00A52EA5">
        <w:rPr>
          <w:rFonts w:asciiTheme="minorHAnsi" w:hAnsiTheme="minorHAnsi" w:cstheme="minorHAnsi"/>
        </w:rPr>
        <w:t xml:space="preserve"> </w:t>
      </w:r>
      <w:r w:rsidRPr="00A52EA5">
        <w:rPr>
          <w:rFonts w:asciiTheme="minorHAnsi" w:hAnsiTheme="minorHAnsi" w:cstheme="minorHAnsi"/>
        </w:rPr>
        <w:t>c</w:t>
      </w:r>
      <w:r w:rsidR="007C0458" w:rsidRPr="00A52EA5">
        <w:rPr>
          <w:rFonts w:asciiTheme="minorHAnsi" w:hAnsiTheme="minorHAnsi" w:cstheme="minorHAnsi"/>
        </w:rPr>
        <w:t xml:space="preserve">ontinue to grow under the Paris Scenario. </w:t>
      </w:r>
      <w:r w:rsidRPr="00A52EA5">
        <w:rPr>
          <w:rFonts w:asciiTheme="minorHAnsi" w:hAnsiTheme="minorHAnsi" w:cstheme="minorHAnsi"/>
        </w:rPr>
        <w:t>M</w:t>
      </w:r>
      <w:r w:rsidR="007C0458" w:rsidRPr="00A52EA5">
        <w:rPr>
          <w:rFonts w:asciiTheme="minorHAnsi" w:hAnsiTheme="minorHAnsi" w:cstheme="minorHAnsi"/>
        </w:rPr>
        <w:t>ining imports are 0.6 per cent lower in 2030 than under the Current Policies Scenario.</w:t>
      </w:r>
    </w:p>
    <w:p w:rsidR="00C042B9" w:rsidRPr="00BF39AB" w:rsidRDefault="00C042B9" w:rsidP="00BF7A32">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Sectoral impacts</w:t>
      </w:r>
    </w:p>
    <w:p w:rsidR="001C2F22" w:rsidRPr="00BF7A32" w:rsidRDefault="007C0458" w:rsidP="00BF7A32">
      <w:pPr>
        <w:pStyle w:val="ListParagraph"/>
        <w:spacing w:after="100" w:afterAutospacing="1"/>
        <w:ind w:left="0"/>
        <w:contextualSpacing w:val="0"/>
        <w:rPr>
          <w:rFonts w:asciiTheme="minorHAnsi" w:hAnsiTheme="minorHAnsi" w:cstheme="minorHAnsi"/>
        </w:rPr>
      </w:pPr>
      <w:r>
        <w:rPr>
          <w:rFonts w:asciiTheme="minorHAnsi" w:hAnsiTheme="minorHAnsi" w:cstheme="minorHAnsi"/>
        </w:rPr>
        <w:t>Under the Paris Scenario, o</w:t>
      </w:r>
      <w:r w:rsidRPr="0033256E">
        <w:rPr>
          <w:rFonts w:asciiTheme="minorHAnsi" w:hAnsiTheme="minorHAnsi" w:cstheme="minorHAnsi"/>
        </w:rPr>
        <w:t xml:space="preserve">utput from all sectors </w:t>
      </w:r>
      <w:r>
        <w:rPr>
          <w:rFonts w:asciiTheme="minorHAnsi" w:hAnsiTheme="minorHAnsi" w:cstheme="minorHAnsi"/>
        </w:rPr>
        <w:t>grow</w:t>
      </w:r>
      <w:r w:rsidR="008D5056">
        <w:rPr>
          <w:rFonts w:asciiTheme="minorHAnsi" w:hAnsiTheme="minorHAnsi" w:cstheme="minorHAnsi"/>
        </w:rPr>
        <w:t>s</w:t>
      </w:r>
      <w:r>
        <w:rPr>
          <w:rFonts w:asciiTheme="minorHAnsi" w:hAnsiTheme="minorHAnsi" w:cstheme="minorHAnsi"/>
        </w:rPr>
        <w:t xml:space="preserve"> </w:t>
      </w:r>
      <w:r w:rsidRPr="0033256E">
        <w:rPr>
          <w:rFonts w:asciiTheme="minorHAnsi" w:hAnsiTheme="minorHAnsi" w:cstheme="minorHAnsi"/>
        </w:rPr>
        <w:t>to 2030</w:t>
      </w:r>
      <w:r w:rsidR="008D5056">
        <w:rPr>
          <w:rFonts w:asciiTheme="minorHAnsi" w:hAnsiTheme="minorHAnsi" w:cstheme="minorHAnsi"/>
        </w:rPr>
        <w:t>, but more slowly than in the Current Policies Scenario</w:t>
      </w:r>
      <w:r>
        <w:rPr>
          <w:rFonts w:asciiTheme="minorHAnsi" w:hAnsiTheme="minorHAnsi" w:cstheme="minorHAnsi"/>
        </w:rPr>
        <w:t xml:space="preserve">. </w:t>
      </w:r>
      <w:r w:rsidR="009F0D95">
        <w:rPr>
          <w:rFonts w:asciiTheme="minorHAnsi" w:hAnsiTheme="minorHAnsi" w:cstheme="minorHAnsi"/>
        </w:rPr>
        <w:t xml:space="preserve">Most of the total reduction in China’s output relative to the Current Policies Scenario </w:t>
      </w:r>
      <w:r w:rsidR="008D5056">
        <w:rPr>
          <w:rFonts w:asciiTheme="minorHAnsi" w:hAnsiTheme="minorHAnsi" w:cstheme="minorHAnsi"/>
        </w:rPr>
        <w:t xml:space="preserve">is </w:t>
      </w:r>
      <w:r w:rsidR="009F0D95">
        <w:rPr>
          <w:rFonts w:asciiTheme="minorHAnsi" w:hAnsiTheme="minorHAnsi" w:cstheme="minorHAnsi"/>
        </w:rPr>
        <w:t xml:space="preserve">in manufacturing, which makes up around two thirds of China’s economy. Durable and non-durable goods manufacturing output are 0.6 per cent and 0.4 per cent lower, respectively, in 2030 than under the Current Policies Scenario (Figure </w:t>
      </w:r>
      <w:r w:rsidR="0078789A">
        <w:rPr>
          <w:rFonts w:asciiTheme="minorHAnsi" w:hAnsiTheme="minorHAnsi" w:cstheme="minorHAnsi"/>
        </w:rPr>
        <w:t>C</w:t>
      </w:r>
      <w:r w:rsidR="009F0D95">
        <w:rPr>
          <w:rFonts w:asciiTheme="minorHAnsi" w:hAnsiTheme="minorHAnsi" w:cstheme="minorHAnsi"/>
        </w:rPr>
        <w:t>-</w:t>
      </w:r>
      <w:r w:rsidR="002B5A08">
        <w:rPr>
          <w:rFonts w:asciiTheme="minorHAnsi" w:hAnsiTheme="minorHAnsi" w:cstheme="minorHAnsi"/>
        </w:rPr>
        <w:t>6</w:t>
      </w:r>
      <w:r w:rsidR="009F0D95">
        <w:rPr>
          <w:rFonts w:asciiTheme="minorHAnsi" w:hAnsiTheme="minorHAnsi" w:cstheme="minorHAnsi"/>
        </w:rPr>
        <w:t>). The largest proportional reductions in output relative to the Current Policies Scenario are in</w:t>
      </w:r>
      <w:r w:rsidR="008D5056">
        <w:rPr>
          <w:rFonts w:asciiTheme="minorHAnsi" w:hAnsiTheme="minorHAnsi" w:cstheme="minorHAnsi"/>
        </w:rPr>
        <w:t xml:space="preserve"> the relatively smaller</w:t>
      </w:r>
      <w:r w:rsidR="009F0D95">
        <w:rPr>
          <w:rFonts w:asciiTheme="minorHAnsi" w:hAnsiTheme="minorHAnsi" w:cstheme="minorHAnsi"/>
        </w:rPr>
        <w:t xml:space="preserve"> </w:t>
      </w:r>
      <w:r w:rsidR="008D5056">
        <w:rPr>
          <w:rFonts w:asciiTheme="minorHAnsi" w:hAnsiTheme="minorHAnsi" w:cstheme="minorHAnsi"/>
        </w:rPr>
        <w:t>energy sectors</w:t>
      </w:r>
      <w:r w:rsidR="00C042B9">
        <w:rPr>
          <w:rFonts w:asciiTheme="minorHAnsi" w:hAnsiTheme="minorHAnsi" w:cstheme="minorHAnsi"/>
        </w:rPr>
        <w:t xml:space="preserve">. </w:t>
      </w:r>
    </w:p>
    <w:p w:rsidR="002B5A08" w:rsidRPr="00192168" w:rsidRDefault="002B5A08" w:rsidP="002B5A08">
      <w:pPr>
        <w:keepNext/>
        <w:spacing w:before="24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 xml:space="preserve">Figure C-6: </w:t>
      </w:r>
      <w:r w:rsidR="00DD0652">
        <w:rPr>
          <w:rFonts w:asciiTheme="minorHAnsi" w:hAnsiTheme="minorHAnsi" w:cstheme="minorHAnsi"/>
          <w:color w:val="4F81BD" w:themeColor="accent1"/>
        </w:rPr>
        <w:t xml:space="preserve">China: </w:t>
      </w:r>
      <w:r w:rsidRPr="00192168">
        <w:rPr>
          <w:rFonts w:asciiTheme="minorHAnsi" w:hAnsiTheme="minorHAnsi" w:cstheme="minorHAnsi"/>
          <w:color w:val="4F81BD" w:themeColor="accent1"/>
        </w:rPr>
        <w:t>Impacts of Paris Scenario, 2030 (percentage deviation from Current Policies Scenario)</w:t>
      </w:r>
    </w:p>
    <w:p w:rsidR="002B5A08" w:rsidRPr="00192168" w:rsidRDefault="002B5A08" w:rsidP="002B5A08">
      <w:pPr>
        <w:keepNext/>
        <w:spacing w:before="120" w:after="120"/>
        <w:rPr>
          <w:rFonts w:asciiTheme="minorHAnsi" w:hAnsiTheme="minorHAnsi" w:cstheme="minorHAnsi"/>
          <w:i/>
          <w:color w:val="4F81BD" w:themeColor="accent1"/>
        </w:rPr>
      </w:pPr>
      <w:r w:rsidRPr="00192168">
        <w:rPr>
          <w:rFonts w:asciiTheme="minorHAnsi" w:hAnsiTheme="minorHAnsi" w:cstheme="minorHAnsi"/>
          <w:i/>
          <w:color w:val="4F81BD" w:themeColor="accent1"/>
        </w:rPr>
        <w:t>Exports</w:t>
      </w:r>
    </w:p>
    <w:p w:rsidR="002B5A08" w:rsidRPr="00496C54" w:rsidRDefault="002B5A08" w:rsidP="00496C54">
      <w:pPr>
        <w:spacing w:after="360"/>
        <w:ind w:left="-709"/>
      </w:pPr>
      <w:r w:rsidRPr="002B5A08">
        <w:rPr>
          <w:noProof/>
          <w:lang w:eastAsia="en-AU"/>
        </w:rPr>
        <w:drawing>
          <wp:inline distT="0" distB="0" distL="0" distR="0" wp14:anchorId="59A116B8" wp14:editId="13F17A45">
            <wp:extent cx="6016977" cy="1877091"/>
            <wp:effectExtent l="0" t="0" r="3175" b="8890"/>
            <wp:docPr id="17" name="Picture 17" descr="Exports: Under the Paris Scenario, Chinese export sectors have the following percentage deviation from the Current Policies Scenario in 2030: Gas extraction exports (-2%), Crude extraction exports (-2%), Coal mining exports (n/a), Petroleum refining exports (-4%), Gas utilities exports (-12%), Services exports (0.1%), Transportation exports (-0.1%), Non-Durable Manufacturing exports (-0.3%), Durable Manufacturing exports (-0.2%), Agriculture exports (+0.0%), Other Mining exports (-0.4%).&#10;" title="Figure C-6: China: Impacts of Paris Scenario, 2030 (percentage deviation from Current Policies Scenario) -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032901" cy="1882059"/>
                    </a:xfrm>
                    <a:prstGeom prst="rect">
                      <a:avLst/>
                    </a:prstGeom>
                  </pic:spPr>
                </pic:pic>
              </a:graphicData>
            </a:graphic>
          </wp:inline>
        </w:drawing>
      </w:r>
    </w:p>
    <w:p w:rsidR="002B5A08" w:rsidRPr="00192168" w:rsidRDefault="002B5A08" w:rsidP="002B5A08">
      <w:pPr>
        <w:keepNext/>
        <w:rPr>
          <w:rFonts w:asciiTheme="minorHAnsi" w:hAnsiTheme="minorHAnsi" w:cstheme="minorHAnsi"/>
          <w:i/>
          <w:color w:val="4F81BD" w:themeColor="accent1"/>
        </w:rPr>
      </w:pPr>
      <w:r w:rsidRPr="00192168">
        <w:rPr>
          <w:rFonts w:asciiTheme="minorHAnsi" w:hAnsiTheme="minorHAnsi" w:cstheme="minorHAnsi"/>
          <w:i/>
          <w:color w:val="4F81BD" w:themeColor="accent1"/>
        </w:rPr>
        <w:t>Output</w:t>
      </w:r>
    </w:p>
    <w:p w:rsidR="002B5A08" w:rsidRPr="00496C54" w:rsidRDefault="002B5A08" w:rsidP="00496C54">
      <w:pPr>
        <w:spacing w:after="360"/>
        <w:ind w:left="-709"/>
      </w:pPr>
      <w:r w:rsidRPr="002B5A08">
        <w:rPr>
          <w:noProof/>
          <w:lang w:eastAsia="en-AU"/>
        </w:rPr>
        <w:drawing>
          <wp:inline distT="0" distB="0" distL="0" distR="0" wp14:anchorId="31EC7259" wp14:editId="56EB8C88">
            <wp:extent cx="5915378" cy="1820117"/>
            <wp:effectExtent l="0" t="0" r="0" b="8890"/>
            <wp:docPr id="18" name="Picture 18" descr="Output: Under the Paris Scenario, Chinese sectoral outputs have the following percentage deviation from the Current Policies Scenario in 2030: Gas extraction output (-9%), Crude extraction output (-2%), Coal mining output (-12%), Petroleum refining output (-2%), Gas utilities output (-4%), Electric utilities output (-4%), Services Output (-0.4%), Transportation output (-0.6%), Non-Durable Manufacturing  output (-0.4%), Durable Manufacturing output (-0.6%), Agriculture output (-0.3%).&#10;" title="Figure C-6: China: Impacts of Paris Scenario, 2030 (percentage deviation from Current Policies Scenario) -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21167" cy="1821898"/>
                    </a:xfrm>
                    <a:prstGeom prst="rect">
                      <a:avLst/>
                    </a:prstGeom>
                  </pic:spPr>
                </pic:pic>
              </a:graphicData>
            </a:graphic>
          </wp:inline>
        </w:drawing>
      </w:r>
    </w:p>
    <w:p w:rsidR="006416C6" w:rsidRPr="00192168" w:rsidRDefault="006416C6" w:rsidP="00BF7A32">
      <w:pPr>
        <w:keepNext/>
        <w:spacing w:before="240"/>
        <w:rPr>
          <w:rFonts w:asciiTheme="minorHAnsi" w:hAnsiTheme="minorHAnsi" w:cstheme="minorHAnsi"/>
          <w:b/>
          <w:color w:val="996633"/>
          <w:sz w:val="36"/>
        </w:rPr>
      </w:pPr>
      <w:r w:rsidRPr="00192168">
        <w:rPr>
          <w:rFonts w:asciiTheme="minorHAnsi" w:hAnsiTheme="minorHAnsi" w:cstheme="minorHAnsi"/>
          <w:b/>
          <w:color w:val="996633"/>
          <w:sz w:val="36"/>
        </w:rPr>
        <w:t>Japan</w:t>
      </w:r>
    </w:p>
    <w:p w:rsidR="003E5160" w:rsidRPr="00BF39AB" w:rsidRDefault="003E5160" w:rsidP="00BF7A32">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Macroeconomic indicators</w:t>
      </w:r>
    </w:p>
    <w:p w:rsidR="00B2708B" w:rsidRPr="0046647A" w:rsidRDefault="00122445" w:rsidP="00BF7A32">
      <w:pPr>
        <w:pStyle w:val="ListParagraph"/>
        <w:spacing w:after="100" w:afterAutospacing="1"/>
        <w:ind w:left="0"/>
        <w:contextualSpacing w:val="0"/>
        <w:rPr>
          <w:rFonts w:asciiTheme="minorHAnsi" w:hAnsiTheme="minorHAnsi" w:cstheme="minorHAnsi"/>
        </w:rPr>
      </w:pPr>
      <w:r w:rsidRPr="00BF7A32">
        <w:rPr>
          <w:rFonts w:asciiTheme="minorHAnsi" w:hAnsiTheme="minorHAnsi" w:cstheme="minorHAnsi"/>
        </w:rPr>
        <w:t>With the targets modelled, GDP in Japan in 2030 is estimated to be 0.02 per cent lower than if countries did not take on post-2020 targets</w:t>
      </w:r>
      <w:r w:rsidR="008D5056">
        <w:rPr>
          <w:rFonts w:asciiTheme="minorHAnsi" w:hAnsiTheme="minorHAnsi" w:cstheme="minorHAnsi"/>
        </w:rPr>
        <w:t xml:space="preserve"> (Figure </w:t>
      </w:r>
      <w:r w:rsidR="0078789A">
        <w:rPr>
          <w:rFonts w:asciiTheme="minorHAnsi" w:hAnsiTheme="minorHAnsi" w:cstheme="minorHAnsi"/>
        </w:rPr>
        <w:t>C</w:t>
      </w:r>
      <w:r w:rsidR="008D5056">
        <w:rPr>
          <w:rFonts w:asciiTheme="minorHAnsi" w:hAnsiTheme="minorHAnsi" w:cstheme="minorHAnsi"/>
        </w:rPr>
        <w:t>-</w:t>
      </w:r>
      <w:r w:rsidR="00D17826">
        <w:rPr>
          <w:rFonts w:asciiTheme="minorHAnsi" w:hAnsiTheme="minorHAnsi" w:cstheme="minorHAnsi"/>
        </w:rPr>
        <w:t>7</w:t>
      </w:r>
      <w:r w:rsidR="008D5056">
        <w:rPr>
          <w:rFonts w:asciiTheme="minorHAnsi" w:hAnsiTheme="minorHAnsi" w:cstheme="minorHAnsi"/>
        </w:rPr>
        <w:t>)</w:t>
      </w:r>
      <w:r w:rsidRPr="00BF7A32">
        <w:rPr>
          <w:rFonts w:asciiTheme="minorHAnsi" w:hAnsiTheme="minorHAnsi" w:cstheme="minorHAnsi"/>
        </w:rPr>
        <w:t>.</w:t>
      </w:r>
      <w:r w:rsidR="00C042B9">
        <w:rPr>
          <w:rFonts w:asciiTheme="minorHAnsi" w:hAnsiTheme="minorHAnsi" w:cstheme="minorHAnsi"/>
        </w:rPr>
        <w:t xml:space="preserve"> Reductions in investment due to the slowing of economic growth are partially offset by higher consumption.</w:t>
      </w:r>
      <w:r w:rsidR="00C042B9" w:rsidRPr="00591AE0">
        <w:rPr>
          <w:rFonts w:asciiTheme="minorHAnsi" w:hAnsiTheme="minorHAnsi" w:cstheme="minorHAnsi"/>
        </w:rPr>
        <w:t xml:space="preserve"> </w:t>
      </w:r>
    </w:p>
    <w:p w:rsidR="0023302A" w:rsidRDefault="00C042B9" w:rsidP="00BF7A32">
      <w:pPr>
        <w:spacing w:after="100" w:afterAutospacing="1"/>
        <w:rPr>
          <w:rFonts w:asciiTheme="minorHAnsi" w:hAnsiTheme="minorHAnsi" w:cstheme="minorHAnsi"/>
        </w:rPr>
      </w:pPr>
      <w:r>
        <w:rPr>
          <w:rFonts w:asciiTheme="minorHAnsi" w:hAnsiTheme="minorHAnsi" w:cstheme="minorHAnsi"/>
        </w:rPr>
        <w:t>The</w:t>
      </w:r>
      <w:r w:rsidR="0023302A">
        <w:rPr>
          <w:rFonts w:asciiTheme="minorHAnsi" w:hAnsiTheme="minorHAnsi" w:cstheme="minorHAnsi"/>
        </w:rPr>
        <w:t>re is a</w:t>
      </w:r>
      <w:r>
        <w:rPr>
          <w:rFonts w:asciiTheme="minorHAnsi" w:hAnsiTheme="minorHAnsi" w:cstheme="minorHAnsi"/>
        </w:rPr>
        <w:t xml:space="preserve"> </w:t>
      </w:r>
      <w:r w:rsidR="0023302A">
        <w:rPr>
          <w:rFonts w:asciiTheme="minorHAnsi" w:hAnsiTheme="minorHAnsi" w:cstheme="minorHAnsi"/>
        </w:rPr>
        <w:t xml:space="preserve">small </w:t>
      </w:r>
      <w:r>
        <w:rPr>
          <w:rFonts w:asciiTheme="minorHAnsi" w:hAnsiTheme="minorHAnsi" w:cstheme="minorHAnsi"/>
        </w:rPr>
        <w:t xml:space="preserve">increase in consumption </w:t>
      </w:r>
      <w:r w:rsidR="0023302A">
        <w:rPr>
          <w:rFonts w:asciiTheme="minorHAnsi" w:hAnsiTheme="minorHAnsi" w:cstheme="minorHAnsi"/>
        </w:rPr>
        <w:t>under the Paris Scenario. Japan experiences a higher aggregate price level relative to other countries, which drives an appreciation in Japan’s real exchange rate, in turn lowering import prices and consumer prices, and increasing real incomes for Japanese consumers.</w:t>
      </w:r>
    </w:p>
    <w:p w:rsidR="00122445" w:rsidRPr="00192168" w:rsidRDefault="00122445" w:rsidP="00122445">
      <w:pPr>
        <w:keepNext/>
        <w:spacing w:before="240" w:after="12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 xml:space="preserve">Figure </w:t>
      </w:r>
      <w:r w:rsidR="0078789A" w:rsidRPr="00192168">
        <w:rPr>
          <w:rFonts w:asciiTheme="minorHAnsi" w:hAnsiTheme="minorHAnsi" w:cstheme="minorHAnsi"/>
          <w:b/>
          <w:color w:val="4F81BD" w:themeColor="accent1"/>
        </w:rPr>
        <w:t>C</w:t>
      </w:r>
      <w:r w:rsidRPr="00192168">
        <w:rPr>
          <w:rFonts w:asciiTheme="minorHAnsi" w:hAnsiTheme="minorHAnsi" w:cstheme="minorHAnsi"/>
          <w:b/>
          <w:color w:val="4F81BD" w:themeColor="accent1"/>
        </w:rPr>
        <w:t>-</w:t>
      </w:r>
      <w:r w:rsidR="00D17826" w:rsidRPr="00192168">
        <w:rPr>
          <w:rFonts w:asciiTheme="minorHAnsi" w:hAnsiTheme="minorHAnsi" w:cstheme="minorHAnsi"/>
          <w:b/>
          <w:color w:val="4F81BD" w:themeColor="accent1"/>
        </w:rPr>
        <w:t>7</w:t>
      </w:r>
      <w:r w:rsidRPr="00192168">
        <w:rPr>
          <w:rFonts w:asciiTheme="minorHAnsi" w:hAnsiTheme="minorHAnsi" w:cstheme="minorHAnsi"/>
          <w:b/>
          <w:color w:val="4F81BD" w:themeColor="accent1"/>
        </w:rPr>
        <w:t xml:space="preserve">: </w:t>
      </w:r>
      <w:r w:rsidR="00DD0652">
        <w:rPr>
          <w:rFonts w:asciiTheme="minorHAnsi" w:hAnsiTheme="minorHAnsi" w:cstheme="minorHAnsi"/>
          <w:color w:val="4F81BD" w:themeColor="accent1"/>
        </w:rPr>
        <w:t xml:space="preserve">Japan: </w:t>
      </w:r>
      <w:r w:rsidRPr="00192168">
        <w:rPr>
          <w:rFonts w:asciiTheme="minorHAnsi" w:hAnsiTheme="minorHAnsi" w:cstheme="minorHAnsi"/>
          <w:color w:val="4F81BD" w:themeColor="accent1"/>
        </w:rPr>
        <w:t xml:space="preserve">Key indicators </w:t>
      </w:r>
      <w:r w:rsidR="0050472B">
        <w:rPr>
          <w:rFonts w:asciiTheme="minorHAnsi" w:hAnsiTheme="minorHAnsi" w:cstheme="minorHAnsi"/>
          <w:color w:val="4F81BD" w:themeColor="accent1"/>
        </w:rPr>
        <w:t xml:space="preserve">under Paris Scenario </w:t>
      </w:r>
      <w:r w:rsidRPr="00192168">
        <w:rPr>
          <w:rFonts w:asciiTheme="minorHAnsi" w:hAnsiTheme="minorHAnsi" w:cstheme="minorHAnsi"/>
          <w:color w:val="4F81BD" w:themeColor="accent1"/>
        </w:rPr>
        <w:t>–</w:t>
      </w:r>
      <w:r w:rsidRPr="00192168">
        <w:rPr>
          <w:color w:val="4F81BD" w:themeColor="accent1"/>
        </w:rPr>
        <w:t xml:space="preserve"> </w:t>
      </w:r>
      <w:r w:rsidRPr="00192168">
        <w:rPr>
          <w:rFonts w:asciiTheme="minorHAnsi" w:hAnsiTheme="minorHAnsi" w:cstheme="minorHAnsi"/>
          <w:color w:val="4F81BD" w:themeColor="accent1"/>
        </w:rPr>
        <w:t>Real GDP, consumption, investment and trade balance, 2030 (percentage deviation</w:t>
      </w:r>
      <w:r w:rsidR="00D17826" w:rsidRPr="00192168">
        <w:rPr>
          <w:rFonts w:asciiTheme="minorHAnsi" w:hAnsiTheme="minorHAnsi" w:cstheme="minorHAnsi"/>
          <w:color w:val="4F81BD" w:themeColor="accent1"/>
        </w:rPr>
        <w:t xml:space="preserve"> from Current Policies Scenario</w:t>
      </w:r>
      <w:r w:rsidRPr="00192168">
        <w:rPr>
          <w:rFonts w:asciiTheme="minorHAnsi" w:hAnsiTheme="minorHAnsi" w:cstheme="minorHAnsi"/>
          <w:color w:val="4F81BD" w:themeColor="accent1"/>
        </w:rPr>
        <w:t>)</w:t>
      </w:r>
    </w:p>
    <w:p w:rsidR="006416C6" w:rsidRPr="00BF7A32" w:rsidRDefault="006416C6" w:rsidP="00BF7A32">
      <w:pPr>
        <w:pStyle w:val="ListParagraph"/>
        <w:spacing w:line="360" w:lineRule="auto"/>
        <w:ind w:left="0"/>
        <w:rPr>
          <w:rFonts w:asciiTheme="minorHAnsi" w:hAnsiTheme="minorHAnsi" w:cstheme="minorHAnsi"/>
        </w:rPr>
      </w:pPr>
      <w:r w:rsidRPr="006416C6">
        <w:rPr>
          <w:noProof/>
          <w:lang w:eastAsia="en-AU"/>
        </w:rPr>
        <w:drawing>
          <wp:inline distT="0" distB="0" distL="0" distR="0" wp14:anchorId="5CE1885E" wp14:editId="533974C2">
            <wp:extent cx="4466667" cy="2800000"/>
            <wp:effectExtent l="0" t="0" r="0" b="635"/>
            <wp:docPr id="25" name="Picture 25" descr="Under the Paris Scenario, Japan has the following percentage deviation from the Current Policies Scenario in 2030: Real GDP (-0.0%), Consumption (0.1%), Investment (-0.2%), Trade Balance (+0.0%).&#10;" title="Figure C-7: Japan: Key indicators under Paris Scenario – Real GDP, consumption, investment and trade balance, 2030 (percentage deviation from Current Policie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66667" cy="2800000"/>
                    </a:xfrm>
                    <a:prstGeom prst="rect">
                      <a:avLst/>
                    </a:prstGeom>
                  </pic:spPr>
                </pic:pic>
              </a:graphicData>
            </a:graphic>
          </wp:inline>
        </w:drawing>
      </w:r>
    </w:p>
    <w:p w:rsidR="00130F3C" w:rsidRPr="00BF39AB" w:rsidRDefault="00130F3C" w:rsidP="00130F3C">
      <w:pPr>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 Trade balance result is deviation in trade balance divided by GDP.</w:t>
      </w:r>
    </w:p>
    <w:p w:rsidR="003E126E" w:rsidRPr="00BF39AB" w:rsidRDefault="003E126E" w:rsidP="003E126E">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Trade impacts</w:t>
      </w:r>
    </w:p>
    <w:p w:rsidR="0023302A" w:rsidRDefault="00D24A5A" w:rsidP="00BF7A32">
      <w:pPr>
        <w:spacing w:after="100" w:afterAutospacing="1"/>
        <w:rPr>
          <w:rFonts w:asciiTheme="minorHAnsi" w:hAnsiTheme="minorHAnsi" w:cstheme="minorHAnsi"/>
        </w:rPr>
      </w:pPr>
      <w:r w:rsidRPr="00A52EA5">
        <w:rPr>
          <w:rFonts w:asciiTheme="minorHAnsi" w:hAnsiTheme="minorHAnsi" w:cstheme="minorHAnsi"/>
        </w:rPr>
        <w:t>Japan’s trade balance in 2030 is slightly improved relative to the Current Policies Scenario. E</w:t>
      </w:r>
      <w:r w:rsidR="0023302A" w:rsidRPr="00A52EA5">
        <w:rPr>
          <w:rFonts w:asciiTheme="minorHAnsi" w:hAnsiTheme="minorHAnsi" w:cstheme="minorHAnsi"/>
        </w:rPr>
        <w:t xml:space="preserve">xports </w:t>
      </w:r>
      <w:r w:rsidRPr="00A52EA5">
        <w:rPr>
          <w:rFonts w:asciiTheme="minorHAnsi" w:hAnsiTheme="minorHAnsi" w:cstheme="minorHAnsi"/>
        </w:rPr>
        <w:t>are lower, compared to the Current Policies Scenario</w:t>
      </w:r>
      <w:r w:rsidR="00D17826" w:rsidRPr="00A52EA5">
        <w:rPr>
          <w:rFonts w:asciiTheme="minorHAnsi" w:hAnsiTheme="minorHAnsi" w:cstheme="minorHAnsi"/>
        </w:rPr>
        <w:t xml:space="preserve"> (Figure C-</w:t>
      </w:r>
      <w:r w:rsidR="0085588A">
        <w:rPr>
          <w:rFonts w:asciiTheme="minorHAnsi" w:hAnsiTheme="minorHAnsi" w:cstheme="minorHAnsi"/>
        </w:rPr>
        <w:t>8</w:t>
      </w:r>
      <w:r w:rsidR="00D17826" w:rsidRPr="00A52EA5">
        <w:rPr>
          <w:rFonts w:asciiTheme="minorHAnsi" w:hAnsiTheme="minorHAnsi" w:cstheme="minorHAnsi"/>
        </w:rPr>
        <w:t>)</w:t>
      </w:r>
      <w:r w:rsidRPr="00A52EA5">
        <w:rPr>
          <w:rFonts w:asciiTheme="minorHAnsi" w:hAnsiTheme="minorHAnsi" w:cstheme="minorHAnsi"/>
        </w:rPr>
        <w:t>, but</w:t>
      </w:r>
      <w:r w:rsidR="00D17826" w:rsidRPr="00A52EA5">
        <w:rPr>
          <w:rFonts w:asciiTheme="minorHAnsi" w:hAnsiTheme="minorHAnsi" w:cstheme="minorHAnsi"/>
        </w:rPr>
        <w:t xml:space="preserve"> imports are also lower.</w:t>
      </w:r>
      <w:r>
        <w:rPr>
          <w:rFonts w:asciiTheme="minorHAnsi" w:hAnsiTheme="minorHAnsi" w:cstheme="minorHAnsi"/>
        </w:rPr>
        <w:t xml:space="preserve"> </w:t>
      </w:r>
      <w:r w:rsidR="00D17826">
        <w:rPr>
          <w:rFonts w:asciiTheme="minorHAnsi" w:hAnsiTheme="minorHAnsi" w:cstheme="minorHAnsi"/>
        </w:rPr>
        <w:t xml:space="preserve">The </w:t>
      </w:r>
      <w:r>
        <w:rPr>
          <w:rFonts w:asciiTheme="minorHAnsi" w:hAnsiTheme="minorHAnsi" w:cstheme="minorHAnsi"/>
        </w:rPr>
        <w:t xml:space="preserve">net impact is positive </w:t>
      </w:r>
      <w:r w:rsidR="0023302A">
        <w:rPr>
          <w:rFonts w:asciiTheme="minorHAnsi" w:hAnsiTheme="minorHAnsi" w:cstheme="minorHAnsi"/>
        </w:rPr>
        <w:t xml:space="preserve">as aggregate </w:t>
      </w:r>
      <w:r>
        <w:rPr>
          <w:rFonts w:asciiTheme="minorHAnsi" w:hAnsiTheme="minorHAnsi" w:cstheme="minorHAnsi"/>
        </w:rPr>
        <w:t xml:space="preserve">exports </w:t>
      </w:r>
      <w:r w:rsidR="0023302A">
        <w:rPr>
          <w:rFonts w:asciiTheme="minorHAnsi" w:hAnsiTheme="minorHAnsi" w:cstheme="minorHAnsi"/>
        </w:rPr>
        <w:t xml:space="preserve">fall </w:t>
      </w:r>
      <w:r>
        <w:rPr>
          <w:rFonts w:asciiTheme="minorHAnsi" w:hAnsiTheme="minorHAnsi" w:cstheme="minorHAnsi"/>
        </w:rPr>
        <w:t xml:space="preserve">less </w:t>
      </w:r>
      <w:r w:rsidR="0023302A">
        <w:rPr>
          <w:rFonts w:asciiTheme="minorHAnsi" w:hAnsiTheme="minorHAnsi" w:cstheme="minorHAnsi"/>
        </w:rPr>
        <w:t xml:space="preserve">than </w:t>
      </w:r>
      <w:r>
        <w:rPr>
          <w:rFonts w:asciiTheme="minorHAnsi" w:hAnsiTheme="minorHAnsi" w:cstheme="minorHAnsi"/>
        </w:rPr>
        <w:t>imports</w:t>
      </w:r>
      <w:r w:rsidR="0023302A">
        <w:rPr>
          <w:rFonts w:asciiTheme="minorHAnsi" w:hAnsiTheme="minorHAnsi" w:cstheme="minorHAnsi"/>
        </w:rPr>
        <w:t>.</w:t>
      </w:r>
    </w:p>
    <w:p w:rsidR="00D17826" w:rsidRPr="00BF39AB" w:rsidRDefault="00D17826" w:rsidP="00D17826">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Sectoral impacts</w:t>
      </w:r>
    </w:p>
    <w:p w:rsidR="00D17826" w:rsidRPr="00BF7A32" w:rsidRDefault="00D17826" w:rsidP="00D17826">
      <w:pPr>
        <w:pStyle w:val="ListParagraph"/>
        <w:spacing w:after="100" w:afterAutospacing="1"/>
        <w:ind w:left="0"/>
        <w:contextualSpacing w:val="0"/>
        <w:rPr>
          <w:rFonts w:asciiTheme="minorHAnsi" w:hAnsiTheme="minorHAnsi" w:cstheme="minorHAnsi"/>
        </w:rPr>
      </w:pPr>
      <w:r>
        <w:rPr>
          <w:rFonts w:asciiTheme="minorHAnsi" w:hAnsiTheme="minorHAnsi" w:cstheme="minorHAnsi"/>
        </w:rPr>
        <w:t xml:space="preserve">Under the Paris Scenario, Japan’s output continues to grow to 2030. </w:t>
      </w:r>
      <w:r w:rsidRPr="00BF7A32">
        <w:rPr>
          <w:rFonts w:asciiTheme="minorHAnsi" w:hAnsiTheme="minorHAnsi" w:cstheme="minorHAnsi"/>
        </w:rPr>
        <w:t xml:space="preserve">Output from </w:t>
      </w:r>
      <w:r w:rsidRPr="00D24A5A">
        <w:rPr>
          <w:rFonts w:asciiTheme="minorHAnsi" w:hAnsiTheme="minorHAnsi" w:cstheme="minorHAnsi"/>
        </w:rPr>
        <w:t>the services and manufacturing sectors</w:t>
      </w:r>
      <w:r w:rsidRPr="00BF7A32">
        <w:rPr>
          <w:rFonts w:asciiTheme="minorHAnsi" w:hAnsiTheme="minorHAnsi" w:cstheme="minorHAnsi"/>
        </w:rPr>
        <w:t xml:space="preserve">, which dominate the economy, </w:t>
      </w:r>
      <w:r w:rsidRPr="00D24A5A">
        <w:rPr>
          <w:rFonts w:asciiTheme="minorHAnsi" w:hAnsiTheme="minorHAnsi" w:cstheme="minorHAnsi"/>
        </w:rPr>
        <w:t>is less than one per cent smaller in 2030 compared with the Current</w:t>
      </w:r>
      <w:r>
        <w:rPr>
          <w:rFonts w:asciiTheme="minorHAnsi" w:hAnsiTheme="minorHAnsi" w:cstheme="minorHAnsi"/>
        </w:rPr>
        <w:t xml:space="preserve"> Policies Scenario</w:t>
      </w:r>
      <w:r w:rsidR="00044101">
        <w:rPr>
          <w:rFonts w:asciiTheme="minorHAnsi" w:hAnsiTheme="minorHAnsi" w:cstheme="minorHAnsi"/>
        </w:rPr>
        <w:t xml:space="preserve"> (Figure C-</w:t>
      </w:r>
      <w:r w:rsidR="0085588A">
        <w:rPr>
          <w:rFonts w:asciiTheme="minorHAnsi" w:hAnsiTheme="minorHAnsi" w:cstheme="minorHAnsi"/>
        </w:rPr>
        <w:t>8</w:t>
      </w:r>
      <w:r w:rsidR="00044101">
        <w:rPr>
          <w:rFonts w:asciiTheme="minorHAnsi" w:hAnsiTheme="minorHAnsi" w:cstheme="minorHAnsi"/>
        </w:rPr>
        <w:t>)</w:t>
      </w:r>
      <w:r>
        <w:rPr>
          <w:rFonts w:asciiTheme="minorHAnsi" w:hAnsiTheme="minorHAnsi" w:cstheme="minorHAnsi"/>
        </w:rPr>
        <w:t>. Large proportional reductions in output from the energy sectors have limited overall economic impacts due to their relatively small share of the Japanese economy.</w:t>
      </w:r>
    </w:p>
    <w:p w:rsidR="00D17826" w:rsidRPr="00192168" w:rsidRDefault="00D17826" w:rsidP="00D17826">
      <w:pPr>
        <w:keepNext/>
        <w:spacing w:before="24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Figure C-</w:t>
      </w:r>
      <w:r w:rsidR="0085588A" w:rsidRPr="00192168">
        <w:rPr>
          <w:rFonts w:asciiTheme="minorHAnsi" w:hAnsiTheme="minorHAnsi" w:cstheme="minorHAnsi"/>
          <w:b/>
          <w:color w:val="4F81BD" w:themeColor="accent1"/>
        </w:rPr>
        <w:t>8</w:t>
      </w:r>
      <w:r w:rsidRPr="00192168">
        <w:rPr>
          <w:rFonts w:asciiTheme="minorHAnsi" w:hAnsiTheme="minorHAnsi" w:cstheme="minorHAnsi"/>
          <w:b/>
          <w:color w:val="4F81BD" w:themeColor="accent1"/>
        </w:rPr>
        <w:t xml:space="preserve">: </w:t>
      </w:r>
      <w:r w:rsidR="00DD0652">
        <w:rPr>
          <w:rFonts w:asciiTheme="minorHAnsi" w:hAnsiTheme="minorHAnsi" w:cstheme="minorHAnsi"/>
          <w:color w:val="4F81BD" w:themeColor="accent1"/>
        </w:rPr>
        <w:t xml:space="preserve">Japan: </w:t>
      </w:r>
      <w:r w:rsidRPr="00192168">
        <w:rPr>
          <w:rFonts w:asciiTheme="minorHAnsi" w:hAnsiTheme="minorHAnsi" w:cstheme="minorHAnsi"/>
          <w:color w:val="4F81BD" w:themeColor="accent1"/>
        </w:rPr>
        <w:t>Impacts of Paris Scenario, 2030 (percentage deviation from Current Policies Scenario)</w:t>
      </w:r>
    </w:p>
    <w:p w:rsidR="00D17826" w:rsidRPr="00192168" w:rsidRDefault="00D17826" w:rsidP="00D17826">
      <w:pPr>
        <w:keepNext/>
        <w:spacing w:before="120" w:after="120"/>
        <w:rPr>
          <w:rFonts w:asciiTheme="minorHAnsi" w:hAnsiTheme="minorHAnsi" w:cstheme="minorHAnsi"/>
          <w:i/>
          <w:color w:val="4F81BD" w:themeColor="accent1"/>
        </w:rPr>
      </w:pPr>
      <w:r w:rsidRPr="00192168">
        <w:rPr>
          <w:rFonts w:asciiTheme="minorHAnsi" w:hAnsiTheme="minorHAnsi" w:cstheme="minorHAnsi"/>
          <w:i/>
          <w:color w:val="4F81BD" w:themeColor="accent1"/>
        </w:rPr>
        <w:t>Exports</w:t>
      </w:r>
    </w:p>
    <w:p w:rsidR="00D17826" w:rsidRPr="00496C54" w:rsidRDefault="00D17826" w:rsidP="00496C54">
      <w:pPr>
        <w:keepNext/>
        <w:spacing w:after="360"/>
        <w:ind w:left="-709"/>
      </w:pPr>
      <w:r w:rsidRPr="00D17826">
        <w:rPr>
          <w:noProof/>
          <w:lang w:eastAsia="en-AU"/>
        </w:rPr>
        <w:drawing>
          <wp:inline distT="0" distB="0" distL="0" distR="0" wp14:anchorId="5FBC3D1A" wp14:editId="5380E4D6">
            <wp:extent cx="6012225" cy="1885244"/>
            <wp:effectExtent l="0" t="0" r="7620" b="1270"/>
            <wp:docPr id="19" name="Picture 19" descr="Exports: Under the Paris Scenario, Japanese export sectors have the following percentage deviation from the Current Policies Scenario in 2030: Gas extraction exports (-16%), Crude extraction exports (+0%), Coal mining exports (-4%), Petroleum refining exports (-2%), Gas utilities exports (-12%), Services exports (-7.0%), Transportation exports (-4.5%), Non-Durable Manufacturing exports (-1.8%), Durable Manufacturing exports (-1.4%), Agriculture exports (-1.8%), Other Mining exports (-0.7%).&#10;" title="Figure C-8: Japan: Impacts of Paris Scenario, 2030 (percentage deviation from Current Policies Scenario) -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014961" cy="1886102"/>
                    </a:xfrm>
                    <a:prstGeom prst="rect">
                      <a:avLst/>
                    </a:prstGeom>
                  </pic:spPr>
                </pic:pic>
              </a:graphicData>
            </a:graphic>
          </wp:inline>
        </w:drawing>
      </w:r>
    </w:p>
    <w:p w:rsidR="00D17826" w:rsidRPr="00192168" w:rsidRDefault="00D17826" w:rsidP="00D17826">
      <w:pPr>
        <w:keepNext/>
        <w:rPr>
          <w:rFonts w:asciiTheme="minorHAnsi" w:hAnsiTheme="minorHAnsi" w:cstheme="minorHAnsi"/>
          <w:i/>
          <w:color w:val="4F81BD" w:themeColor="accent1"/>
        </w:rPr>
      </w:pPr>
      <w:r w:rsidRPr="00192168">
        <w:rPr>
          <w:rFonts w:asciiTheme="minorHAnsi" w:hAnsiTheme="minorHAnsi" w:cstheme="minorHAnsi"/>
          <w:i/>
          <w:color w:val="4F81BD" w:themeColor="accent1"/>
        </w:rPr>
        <w:t>Output</w:t>
      </w:r>
    </w:p>
    <w:p w:rsidR="00D17826" w:rsidRPr="00496C54" w:rsidRDefault="00D17826" w:rsidP="00496C54">
      <w:pPr>
        <w:spacing w:after="360"/>
        <w:ind w:left="-709"/>
      </w:pPr>
      <w:r w:rsidRPr="00D17826">
        <w:rPr>
          <w:noProof/>
          <w:lang w:eastAsia="en-AU"/>
        </w:rPr>
        <w:drawing>
          <wp:inline distT="0" distB="0" distL="0" distR="0" wp14:anchorId="12D7D025" wp14:editId="7C58CC37">
            <wp:extent cx="5949245" cy="1860411"/>
            <wp:effectExtent l="0" t="0" r="0" b="6985"/>
            <wp:docPr id="672" name="Picture 672" descr="Output: Under the Paris Scenario, Japanese sectoral outputs have the following percentage deviation from the Current Policies Scenario in 2030: Gas extraction output (-6%), Crude extraction output (-11%), Coal mining output (-21%), Petroleum refining output (-1%), Gas utilities output (+0%), Electric utilities output (-1%), Services Output (+0.0%), Transportation output (-0.2%), Non-Durable Manufacturing output (-0.2%), Durable Manufacturing output (-0.6%), Agriculture output (-0.1%).&#10;" title="Figure C-8: Japan: Impacts of Paris Scenario, 2030 (percentage deviation from Current Policies Scenario) -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62368" cy="1864515"/>
                    </a:xfrm>
                    <a:prstGeom prst="rect">
                      <a:avLst/>
                    </a:prstGeom>
                  </pic:spPr>
                </pic:pic>
              </a:graphicData>
            </a:graphic>
          </wp:inline>
        </w:drawing>
      </w:r>
    </w:p>
    <w:p w:rsidR="006416C6" w:rsidRPr="00192168" w:rsidRDefault="006416C6" w:rsidP="00BF7A32">
      <w:pPr>
        <w:keepNext/>
        <w:spacing w:before="240"/>
        <w:rPr>
          <w:rFonts w:asciiTheme="minorHAnsi" w:hAnsiTheme="minorHAnsi" w:cstheme="minorHAnsi"/>
          <w:b/>
          <w:color w:val="996633"/>
          <w:sz w:val="36"/>
        </w:rPr>
      </w:pPr>
      <w:r w:rsidRPr="00192168">
        <w:rPr>
          <w:rFonts w:asciiTheme="minorHAnsi" w:hAnsiTheme="minorHAnsi" w:cstheme="minorHAnsi"/>
          <w:b/>
          <w:color w:val="996633"/>
          <w:sz w:val="36"/>
        </w:rPr>
        <w:t>European Union</w:t>
      </w:r>
    </w:p>
    <w:p w:rsidR="003E5160" w:rsidRPr="00BF39AB" w:rsidRDefault="003E5160" w:rsidP="00BF7A32">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Macroeconomic indicators</w:t>
      </w:r>
    </w:p>
    <w:p w:rsidR="00122445" w:rsidRPr="00BF7A32" w:rsidRDefault="00122445" w:rsidP="00BF7A32">
      <w:pPr>
        <w:spacing w:after="100" w:afterAutospacing="1"/>
        <w:rPr>
          <w:rFonts w:asciiTheme="minorHAnsi" w:hAnsiTheme="minorHAnsi" w:cstheme="minorHAnsi"/>
        </w:rPr>
      </w:pPr>
      <w:r w:rsidRPr="00BF7A32">
        <w:rPr>
          <w:rFonts w:asciiTheme="minorHAnsi" w:hAnsiTheme="minorHAnsi" w:cstheme="minorHAnsi"/>
        </w:rPr>
        <w:t>With the targets modelled, GDP in the European Union in 2030 is estimated to be 0.</w:t>
      </w:r>
      <w:r w:rsidR="00044101" w:rsidRPr="00BF7A32">
        <w:rPr>
          <w:rFonts w:asciiTheme="minorHAnsi" w:hAnsiTheme="minorHAnsi" w:cstheme="minorHAnsi"/>
        </w:rPr>
        <w:t>2</w:t>
      </w:r>
      <w:r w:rsidR="00044101">
        <w:rPr>
          <w:rFonts w:asciiTheme="minorHAnsi" w:hAnsiTheme="minorHAnsi" w:cstheme="minorHAnsi"/>
        </w:rPr>
        <w:t> </w:t>
      </w:r>
      <w:r w:rsidRPr="00BF7A32">
        <w:rPr>
          <w:rFonts w:asciiTheme="minorHAnsi" w:hAnsiTheme="minorHAnsi" w:cstheme="minorHAnsi"/>
        </w:rPr>
        <w:t>per cent lower than if countries did not take on post-2020 targets</w:t>
      </w:r>
      <w:r w:rsidR="00044101">
        <w:rPr>
          <w:rFonts w:asciiTheme="minorHAnsi" w:hAnsiTheme="minorHAnsi" w:cstheme="minorHAnsi"/>
        </w:rPr>
        <w:t xml:space="preserve"> (Figure C-</w:t>
      </w:r>
      <w:r w:rsidR="0085588A">
        <w:rPr>
          <w:rFonts w:asciiTheme="minorHAnsi" w:hAnsiTheme="minorHAnsi" w:cstheme="minorHAnsi"/>
        </w:rPr>
        <w:t>9</w:t>
      </w:r>
      <w:r w:rsidR="00044101">
        <w:rPr>
          <w:rFonts w:asciiTheme="minorHAnsi" w:hAnsiTheme="minorHAnsi" w:cstheme="minorHAnsi"/>
        </w:rPr>
        <w:t>)</w:t>
      </w:r>
      <w:r w:rsidRPr="00BF7A32">
        <w:rPr>
          <w:rFonts w:asciiTheme="minorHAnsi" w:hAnsiTheme="minorHAnsi" w:cstheme="minorHAnsi"/>
        </w:rPr>
        <w:t>.</w:t>
      </w:r>
    </w:p>
    <w:p w:rsidR="00B2708B" w:rsidRPr="0046647A" w:rsidRDefault="00F427BE" w:rsidP="00BF7A32">
      <w:pPr>
        <w:spacing w:after="100" w:afterAutospacing="1"/>
        <w:rPr>
          <w:rFonts w:asciiTheme="minorHAnsi" w:hAnsiTheme="minorHAnsi" w:cstheme="minorHAnsi"/>
        </w:rPr>
      </w:pPr>
      <w:r>
        <w:rPr>
          <w:rFonts w:asciiTheme="minorHAnsi" w:hAnsiTheme="minorHAnsi" w:cstheme="minorHAnsi"/>
        </w:rPr>
        <w:t>Consumption is slightly lower in 2030 relative to the Current Policies Scenario, as domestic price increases reduce real incomes and consumption, more than offsetting any real income benefit from a relatively higher real exchange rate.</w:t>
      </w:r>
      <w:r w:rsidRPr="00591AE0">
        <w:rPr>
          <w:rFonts w:asciiTheme="minorHAnsi" w:hAnsiTheme="minorHAnsi" w:cstheme="minorHAnsi"/>
        </w:rPr>
        <w:t xml:space="preserve"> </w:t>
      </w:r>
      <w:r>
        <w:rPr>
          <w:rFonts w:asciiTheme="minorHAnsi" w:hAnsiTheme="minorHAnsi" w:cstheme="minorHAnsi"/>
        </w:rPr>
        <w:t>The price changes also cause a small reduction in investment in 2030 relative to the Current Policies Scenario.</w:t>
      </w:r>
      <w:r w:rsidRPr="00591AE0">
        <w:rPr>
          <w:rFonts w:asciiTheme="minorHAnsi" w:hAnsiTheme="minorHAnsi" w:cstheme="minorHAnsi"/>
        </w:rPr>
        <w:t xml:space="preserve"> </w:t>
      </w:r>
    </w:p>
    <w:p w:rsidR="00122445" w:rsidRPr="00192168" w:rsidRDefault="00122445" w:rsidP="00122445">
      <w:pPr>
        <w:keepNext/>
        <w:spacing w:before="240" w:after="12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 xml:space="preserve">Figure </w:t>
      </w:r>
      <w:r w:rsidR="0078789A" w:rsidRPr="00192168">
        <w:rPr>
          <w:rFonts w:asciiTheme="minorHAnsi" w:hAnsiTheme="minorHAnsi" w:cstheme="minorHAnsi"/>
          <w:b/>
          <w:color w:val="4F81BD" w:themeColor="accent1"/>
        </w:rPr>
        <w:t>C</w:t>
      </w:r>
      <w:r w:rsidRPr="00192168">
        <w:rPr>
          <w:rFonts w:asciiTheme="minorHAnsi" w:hAnsiTheme="minorHAnsi" w:cstheme="minorHAnsi"/>
          <w:b/>
          <w:color w:val="4F81BD" w:themeColor="accent1"/>
        </w:rPr>
        <w:t>-</w:t>
      </w:r>
      <w:r w:rsidR="0085588A" w:rsidRPr="00192168">
        <w:rPr>
          <w:rFonts w:asciiTheme="minorHAnsi" w:hAnsiTheme="minorHAnsi" w:cstheme="minorHAnsi"/>
          <w:b/>
          <w:color w:val="4F81BD" w:themeColor="accent1"/>
        </w:rPr>
        <w:t>9</w:t>
      </w:r>
      <w:r w:rsidRPr="00192168">
        <w:rPr>
          <w:rFonts w:asciiTheme="minorHAnsi" w:hAnsiTheme="minorHAnsi" w:cstheme="minorHAnsi"/>
          <w:b/>
          <w:color w:val="4F81BD" w:themeColor="accent1"/>
        </w:rPr>
        <w:t xml:space="preserve">: </w:t>
      </w:r>
      <w:r w:rsidR="00DD0652" w:rsidRPr="00B71C9B">
        <w:rPr>
          <w:rFonts w:asciiTheme="minorHAnsi" w:hAnsiTheme="minorHAnsi" w:cstheme="minorHAnsi"/>
          <w:color w:val="4F81BD" w:themeColor="accent1"/>
        </w:rPr>
        <w:t>European Union:</w:t>
      </w:r>
      <w:r w:rsidR="00DD0652">
        <w:rPr>
          <w:rFonts w:asciiTheme="minorHAnsi" w:hAnsiTheme="minorHAnsi" w:cstheme="minorHAnsi"/>
          <w:b/>
          <w:color w:val="4F81BD" w:themeColor="accent1"/>
        </w:rPr>
        <w:t xml:space="preserve"> </w:t>
      </w:r>
      <w:r w:rsidRPr="00192168">
        <w:rPr>
          <w:rFonts w:asciiTheme="minorHAnsi" w:hAnsiTheme="minorHAnsi" w:cstheme="minorHAnsi"/>
          <w:color w:val="4F81BD" w:themeColor="accent1"/>
        </w:rPr>
        <w:t xml:space="preserve">Key indicators </w:t>
      </w:r>
      <w:r w:rsidR="0050472B">
        <w:rPr>
          <w:rFonts w:asciiTheme="minorHAnsi" w:hAnsiTheme="minorHAnsi" w:cstheme="minorHAnsi"/>
          <w:color w:val="4F81BD" w:themeColor="accent1"/>
        </w:rPr>
        <w:t xml:space="preserve">under Paris Scenario </w:t>
      </w:r>
      <w:r w:rsidRPr="00192168">
        <w:rPr>
          <w:rFonts w:asciiTheme="minorHAnsi" w:hAnsiTheme="minorHAnsi" w:cstheme="minorHAnsi"/>
          <w:color w:val="4F81BD" w:themeColor="accent1"/>
        </w:rPr>
        <w:t>–</w:t>
      </w:r>
      <w:r w:rsidRPr="00192168">
        <w:rPr>
          <w:color w:val="4F81BD" w:themeColor="accent1"/>
        </w:rPr>
        <w:t xml:space="preserve"> </w:t>
      </w:r>
      <w:r w:rsidRPr="00192168">
        <w:rPr>
          <w:rFonts w:asciiTheme="minorHAnsi" w:hAnsiTheme="minorHAnsi" w:cstheme="minorHAnsi"/>
          <w:color w:val="4F81BD" w:themeColor="accent1"/>
        </w:rPr>
        <w:t>Real GDP, consumption, investment and trade balance, 2030 (percentage deviation</w:t>
      </w:r>
      <w:r w:rsidR="00D17826" w:rsidRPr="00192168">
        <w:rPr>
          <w:rFonts w:asciiTheme="minorHAnsi" w:hAnsiTheme="minorHAnsi" w:cstheme="minorHAnsi"/>
          <w:color w:val="4F81BD" w:themeColor="accent1"/>
        </w:rPr>
        <w:t xml:space="preserve"> from Current Policies Scenario</w:t>
      </w:r>
      <w:r w:rsidRPr="00192168">
        <w:rPr>
          <w:rFonts w:asciiTheme="minorHAnsi" w:hAnsiTheme="minorHAnsi" w:cstheme="minorHAnsi"/>
          <w:color w:val="4F81BD" w:themeColor="accent1"/>
        </w:rPr>
        <w:t>)</w:t>
      </w:r>
    </w:p>
    <w:p w:rsidR="006416C6" w:rsidRPr="00BF7A32" w:rsidRDefault="006416C6" w:rsidP="00BF7A32">
      <w:pPr>
        <w:pStyle w:val="ListParagraph"/>
        <w:spacing w:line="360" w:lineRule="auto"/>
        <w:ind w:left="0"/>
        <w:rPr>
          <w:rFonts w:asciiTheme="minorHAnsi" w:hAnsiTheme="minorHAnsi" w:cstheme="minorHAnsi"/>
        </w:rPr>
      </w:pPr>
      <w:r w:rsidRPr="006416C6">
        <w:rPr>
          <w:noProof/>
          <w:lang w:eastAsia="en-AU"/>
        </w:rPr>
        <w:drawing>
          <wp:inline distT="0" distB="0" distL="0" distR="0" wp14:anchorId="1D9BF44E" wp14:editId="02F81886">
            <wp:extent cx="4476191" cy="2742857"/>
            <wp:effectExtent l="0" t="0" r="635" b="635"/>
            <wp:docPr id="26" name="Picture 26" descr="Under the Paris Scenario, European Union has the following percentage deviation from the Current Policies Scenario in 2030: Real GDP (-0.2%), Consumption (-0.1%), Investment (-0.3%), Trade Balance (0.1%).&#10;" title="Figure C-9: European Union: Key indicators under Paris Scenario – Real GDP, consumption, investment and trade balance, 2030 (percentage deviation from Current Policie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476191" cy="2742857"/>
                    </a:xfrm>
                    <a:prstGeom prst="rect">
                      <a:avLst/>
                    </a:prstGeom>
                  </pic:spPr>
                </pic:pic>
              </a:graphicData>
            </a:graphic>
          </wp:inline>
        </w:drawing>
      </w:r>
    </w:p>
    <w:p w:rsidR="00130F3C" w:rsidRPr="00BF39AB" w:rsidRDefault="00130F3C" w:rsidP="00130F3C">
      <w:pPr>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 Trade balance result is deviation in trade balance divided by GDP.</w:t>
      </w:r>
    </w:p>
    <w:p w:rsidR="003E126E" w:rsidRPr="00BF39AB" w:rsidRDefault="003E126E" w:rsidP="003E126E">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Trade impacts</w:t>
      </w:r>
    </w:p>
    <w:p w:rsidR="00F427BE" w:rsidRDefault="00381DAC" w:rsidP="00BF7A32">
      <w:pPr>
        <w:spacing w:after="100" w:afterAutospacing="1"/>
        <w:rPr>
          <w:rFonts w:asciiTheme="minorHAnsi" w:hAnsiTheme="minorHAnsi" w:cstheme="minorHAnsi"/>
        </w:rPr>
      </w:pPr>
      <w:r>
        <w:rPr>
          <w:rFonts w:asciiTheme="minorHAnsi" w:hAnsiTheme="minorHAnsi" w:cstheme="minorHAnsi"/>
        </w:rPr>
        <w:t>Europe’s balance of trade in 2030 is slightly improved under the Paris Scenario, compared with t</w:t>
      </w:r>
      <w:r w:rsidRPr="00A52EA5">
        <w:rPr>
          <w:rFonts w:asciiTheme="minorHAnsi" w:hAnsiTheme="minorHAnsi" w:cstheme="minorHAnsi"/>
        </w:rPr>
        <w:t>he Current Policies Scenario. Imports are estimated to be around 2</w:t>
      </w:r>
      <w:r w:rsidR="00050BE7" w:rsidRPr="00A52EA5">
        <w:rPr>
          <w:rFonts w:asciiTheme="minorHAnsi" w:hAnsiTheme="minorHAnsi" w:cstheme="minorHAnsi"/>
        </w:rPr>
        <w:t> </w:t>
      </w:r>
      <w:r w:rsidRPr="00A52EA5">
        <w:rPr>
          <w:rFonts w:asciiTheme="minorHAnsi" w:hAnsiTheme="minorHAnsi" w:cstheme="minorHAnsi"/>
        </w:rPr>
        <w:t>per cent lower</w:t>
      </w:r>
      <w:r w:rsidR="00A52EA5" w:rsidRPr="00A52EA5">
        <w:rPr>
          <w:rFonts w:asciiTheme="minorHAnsi" w:hAnsiTheme="minorHAnsi" w:cstheme="minorHAnsi"/>
        </w:rPr>
        <w:t xml:space="preserve"> </w:t>
      </w:r>
      <w:r w:rsidRPr="00A52EA5">
        <w:rPr>
          <w:rFonts w:asciiTheme="minorHAnsi" w:hAnsiTheme="minorHAnsi" w:cstheme="minorHAnsi"/>
        </w:rPr>
        <w:t>compared with the Current Policies Scenario, largely from reduced fossil fuel imports, and exports around 1.7 per cent lower</w:t>
      </w:r>
      <w:r>
        <w:rPr>
          <w:rFonts w:asciiTheme="minorHAnsi" w:hAnsiTheme="minorHAnsi" w:cstheme="minorHAnsi"/>
        </w:rPr>
        <w:t>. A</w:t>
      </w:r>
      <w:r w:rsidR="00F427BE">
        <w:rPr>
          <w:rFonts w:asciiTheme="minorHAnsi" w:hAnsiTheme="minorHAnsi" w:cstheme="minorHAnsi"/>
        </w:rPr>
        <w:t>n appreciating real exchange rate</w:t>
      </w:r>
      <w:r>
        <w:rPr>
          <w:rFonts w:asciiTheme="minorHAnsi" w:hAnsiTheme="minorHAnsi" w:cstheme="minorHAnsi"/>
        </w:rPr>
        <w:t xml:space="preserve">, </w:t>
      </w:r>
      <w:r w:rsidR="00F427BE">
        <w:rPr>
          <w:rFonts w:asciiTheme="minorHAnsi" w:hAnsiTheme="minorHAnsi" w:cstheme="minorHAnsi"/>
        </w:rPr>
        <w:t>in response to net capital inflows</w:t>
      </w:r>
      <w:r>
        <w:rPr>
          <w:rFonts w:asciiTheme="minorHAnsi" w:hAnsiTheme="minorHAnsi" w:cstheme="minorHAnsi"/>
        </w:rPr>
        <w:t>,</w:t>
      </w:r>
      <w:r w:rsidR="00F427BE">
        <w:rPr>
          <w:rFonts w:asciiTheme="minorHAnsi" w:hAnsiTheme="minorHAnsi" w:cstheme="minorHAnsi"/>
        </w:rPr>
        <w:t xml:space="preserve"> makes European exports less internationally competitive. The decline in exports is broad-based,</w:t>
      </w:r>
      <w:r w:rsidR="00044101">
        <w:rPr>
          <w:rFonts w:asciiTheme="minorHAnsi" w:hAnsiTheme="minorHAnsi" w:cstheme="minorHAnsi"/>
        </w:rPr>
        <w:t xml:space="preserve"> as shown in Figure C-</w:t>
      </w:r>
      <w:r w:rsidR="0085588A">
        <w:rPr>
          <w:rFonts w:asciiTheme="minorHAnsi" w:hAnsiTheme="minorHAnsi" w:cstheme="minorHAnsi"/>
        </w:rPr>
        <w:t>10</w:t>
      </w:r>
      <w:r w:rsidR="00044101">
        <w:rPr>
          <w:rFonts w:asciiTheme="minorHAnsi" w:hAnsiTheme="minorHAnsi" w:cstheme="minorHAnsi"/>
        </w:rPr>
        <w:t>,</w:t>
      </w:r>
      <w:r w:rsidR="00F427BE">
        <w:rPr>
          <w:rFonts w:asciiTheme="minorHAnsi" w:hAnsiTheme="minorHAnsi" w:cstheme="minorHAnsi"/>
        </w:rPr>
        <w:t xml:space="preserve"> but </w:t>
      </w:r>
      <w:r w:rsidR="00044101">
        <w:rPr>
          <w:rFonts w:asciiTheme="minorHAnsi" w:hAnsiTheme="minorHAnsi" w:cstheme="minorHAnsi"/>
        </w:rPr>
        <w:t xml:space="preserve">is </w:t>
      </w:r>
      <w:r w:rsidR="00F427BE">
        <w:rPr>
          <w:rFonts w:asciiTheme="minorHAnsi" w:hAnsiTheme="minorHAnsi" w:cstheme="minorHAnsi"/>
        </w:rPr>
        <w:t xml:space="preserve">dominated by the manufacturing sector which </w:t>
      </w:r>
      <w:r>
        <w:rPr>
          <w:rFonts w:asciiTheme="minorHAnsi" w:hAnsiTheme="minorHAnsi" w:cstheme="minorHAnsi"/>
        </w:rPr>
        <w:t xml:space="preserve">makes up </w:t>
      </w:r>
      <w:r w:rsidR="00F427BE">
        <w:rPr>
          <w:rFonts w:asciiTheme="minorHAnsi" w:hAnsiTheme="minorHAnsi" w:cstheme="minorHAnsi"/>
        </w:rPr>
        <w:t xml:space="preserve">around </w:t>
      </w:r>
      <w:r w:rsidR="00044101">
        <w:rPr>
          <w:rFonts w:asciiTheme="minorHAnsi" w:hAnsiTheme="minorHAnsi" w:cstheme="minorHAnsi"/>
        </w:rPr>
        <w:t>85 </w:t>
      </w:r>
      <w:r w:rsidR="00F427BE">
        <w:rPr>
          <w:rFonts w:asciiTheme="minorHAnsi" w:hAnsiTheme="minorHAnsi" w:cstheme="minorHAnsi"/>
        </w:rPr>
        <w:t>per cent of Europe’s export</w:t>
      </w:r>
      <w:r>
        <w:rPr>
          <w:rFonts w:asciiTheme="minorHAnsi" w:hAnsiTheme="minorHAnsi" w:cstheme="minorHAnsi"/>
        </w:rPr>
        <w:t>s</w:t>
      </w:r>
      <w:r w:rsidR="00F427BE">
        <w:rPr>
          <w:rFonts w:asciiTheme="minorHAnsi" w:hAnsiTheme="minorHAnsi" w:cstheme="minorHAnsi"/>
        </w:rPr>
        <w:t>.</w:t>
      </w:r>
    </w:p>
    <w:p w:rsidR="00044101" w:rsidRPr="00BF39AB" w:rsidRDefault="00044101" w:rsidP="00044101">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Sectoral impacts</w:t>
      </w:r>
    </w:p>
    <w:p w:rsidR="00044101" w:rsidRDefault="00044101" w:rsidP="00044101">
      <w:pPr>
        <w:pStyle w:val="ListParagraph"/>
        <w:spacing w:after="100" w:afterAutospacing="1"/>
        <w:ind w:left="0"/>
        <w:contextualSpacing w:val="0"/>
        <w:rPr>
          <w:rFonts w:asciiTheme="minorHAnsi" w:hAnsiTheme="minorHAnsi" w:cstheme="minorHAnsi"/>
        </w:rPr>
      </w:pPr>
      <w:r w:rsidRPr="00EF14F3">
        <w:rPr>
          <w:rFonts w:asciiTheme="minorHAnsi" w:hAnsiTheme="minorHAnsi" w:cstheme="minorHAnsi"/>
        </w:rPr>
        <w:t xml:space="preserve">Under the Paris Scenario, Europe’s output continues to grow to 2030. </w:t>
      </w:r>
      <w:r w:rsidRPr="002672E3">
        <w:rPr>
          <w:rFonts w:asciiTheme="minorHAnsi" w:hAnsiTheme="minorHAnsi" w:cstheme="minorHAnsi"/>
        </w:rPr>
        <w:t xml:space="preserve">Output from </w:t>
      </w:r>
      <w:r w:rsidRPr="00EF14F3">
        <w:rPr>
          <w:rFonts w:asciiTheme="minorHAnsi" w:hAnsiTheme="minorHAnsi" w:cstheme="minorHAnsi"/>
        </w:rPr>
        <w:t xml:space="preserve">the services and manufacturing sectors, which dominate the economy, </w:t>
      </w:r>
      <w:r w:rsidRPr="002672E3">
        <w:rPr>
          <w:rFonts w:asciiTheme="minorHAnsi" w:hAnsiTheme="minorHAnsi" w:cstheme="minorHAnsi"/>
        </w:rPr>
        <w:t>is less than one per cent smaller in 2030 compared with the Current Policies Scenario</w:t>
      </w:r>
      <w:r>
        <w:rPr>
          <w:rFonts w:asciiTheme="minorHAnsi" w:hAnsiTheme="minorHAnsi" w:cstheme="minorHAnsi"/>
        </w:rPr>
        <w:t xml:space="preserve"> (Figure C</w:t>
      </w:r>
      <w:r>
        <w:rPr>
          <w:rFonts w:asciiTheme="minorHAnsi" w:hAnsiTheme="minorHAnsi" w:cstheme="minorHAnsi"/>
        </w:rPr>
        <w:noBreakHyphen/>
      </w:r>
      <w:r w:rsidR="0085588A">
        <w:rPr>
          <w:rFonts w:asciiTheme="minorHAnsi" w:hAnsiTheme="minorHAnsi" w:cstheme="minorHAnsi"/>
        </w:rPr>
        <w:t>10</w:t>
      </w:r>
      <w:r>
        <w:rPr>
          <w:rFonts w:asciiTheme="minorHAnsi" w:hAnsiTheme="minorHAnsi" w:cstheme="minorHAnsi"/>
        </w:rPr>
        <w:t>)</w:t>
      </w:r>
      <w:r w:rsidRPr="002672E3">
        <w:rPr>
          <w:rFonts w:asciiTheme="minorHAnsi" w:hAnsiTheme="minorHAnsi" w:cstheme="minorHAnsi"/>
        </w:rPr>
        <w:t xml:space="preserve">. Large proportional reductions in output from </w:t>
      </w:r>
      <w:r w:rsidRPr="00EF14F3">
        <w:rPr>
          <w:rFonts w:asciiTheme="minorHAnsi" w:hAnsiTheme="minorHAnsi" w:cstheme="minorHAnsi"/>
        </w:rPr>
        <w:t>the energy sectors have limited overall economic impacts due to their relatively small contribution to the economy.</w:t>
      </w:r>
    </w:p>
    <w:p w:rsidR="00044101" w:rsidRPr="00192168" w:rsidRDefault="00044101" w:rsidP="00044101">
      <w:pPr>
        <w:keepNext/>
        <w:spacing w:before="24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Figure C-</w:t>
      </w:r>
      <w:r w:rsidR="0085588A" w:rsidRPr="00192168">
        <w:rPr>
          <w:rFonts w:asciiTheme="minorHAnsi" w:hAnsiTheme="minorHAnsi" w:cstheme="minorHAnsi"/>
          <w:b/>
          <w:color w:val="4F81BD" w:themeColor="accent1"/>
        </w:rPr>
        <w:t>10</w:t>
      </w:r>
      <w:r w:rsidRPr="00192168">
        <w:rPr>
          <w:rFonts w:asciiTheme="minorHAnsi" w:hAnsiTheme="minorHAnsi" w:cstheme="minorHAnsi"/>
          <w:b/>
          <w:color w:val="4F81BD" w:themeColor="accent1"/>
        </w:rPr>
        <w:t xml:space="preserve">: </w:t>
      </w:r>
      <w:r w:rsidR="00DD0652" w:rsidRPr="00797CFB">
        <w:rPr>
          <w:rFonts w:asciiTheme="minorHAnsi" w:hAnsiTheme="minorHAnsi" w:cstheme="minorHAnsi"/>
          <w:color w:val="4F81BD" w:themeColor="accent1"/>
        </w:rPr>
        <w:t>European Union:</w:t>
      </w:r>
      <w:r w:rsidR="00DD0652">
        <w:rPr>
          <w:rFonts w:asciiTheme="minorHAnsi" w:hAnsiTheme="minorHAnsi" w:cstheme="minorHAnsi"/>
          <w:b/>
          <w:color w:val="4F81BD" w:themeColor="accent1"/>
        </w:rPr>
        <w:t xml:space="preserve"> </w:t>
      </w:r>
      <w:r w:rsidRPr="00192168">
        <w:rPr>
          <w:rFonts w:asciiTheme="minorHAnsi" w:hAnsiTheme="minorHAnsi" w:cstheme="minorHAnsi"/>
          <w:color w:val="4F81BD" w:themeColor="accent1"/>
        </w:rPr>
        <w:t>Impacts of Paris Scenario, 2030 (percentage deviation from Current Policies Scenario)</w:t>
      </w:r>
    </w:p>
    <w:p w:rsidR="00044101" w:rsidRPr="00192168" w:rsidRDefault="00044101" w:rsidP="00044101">
      <w:pPr>
        <w:keepNext/>
        <w:spacing w:before="120" w:after="120"/>
        <w:rPr>
          <w:rFonts w:asciiTheme="minorHAnsi" w:hAnsiTheme="minorHAnsi" w:cstheme="minorHAnsi"/>
          <w:i/>
          <w:color w:val="4F81BD" w:themeColor="accent1"/>
        </w:rPr>
      </w:pPr>
      <w:r w:rsidRPr="00192168">
        <w:rPr>
          <w:rFonts w:asciiTheme="minorHAnsi" w:hAnsiTheme="minorHAnsi" w:cstheme="minorHAnsi"/>
          <w:i/>
          <w:color w:val="4F81BD" w:themeColor="accent1"/>
        </w:rPr>
        <w:t>Exports</w:t>
      </w:r>
    </w:p>
    <w:p w:rsidR="00044101" w:rsidRPr="00483B3D" w:rsidRDefault="00044101" w:rsidP="00483B3D">
      <w:pPr>
        <w:keepNext/>
        <w:spacing w:after="360"/>
        <w:ind w:left="-709"/>
      </w:pPr>
      <w:r w:rsidRPr="00044101">
        <w:rPr>
          <w:noProof/>
          <w:lang w:eastAsia="en-AU"/>
        </w:rPr>
        <w:drawing>
          <wp:inline distT="0" distB="0" distL="0" distR="0" wp14:anchorId="60884248" wp14:editId="6663B333">
            <wp:extent cx="6006086" cy="1885244"/>
            <wp:effectExtent l="0" t="0" r="0" b="1270"/>
            <wp:docPr id="674" name="Picture 674" descr="Exports: Under the Paris Scenario, European export sectors have the following percentage deviation from the Current Policies Scenario in 2030: Gas extraction exports (-0%), Crude extraction exports (-6%), Coal mining exports (-3%), Petroleum refining exports (-5%), Gas utilities exports (-3%), Electric utilities exports (-3.6%), Services exports (-1.6%), Transportation exports (-2.3%), Non-Durable Manufacturing exports (-1.4%), Durable Manufacturing exports (-1.0%), Agriculture exports (-1.7%).&#10;" title="Figure C-10: European Union: Impacts of Paris Scenario, 2030 (percentage deviation from Current Policies Scenario) -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010056" cy="1886490"/>
                    </a:xfrm>
                    <a:prstGeom prst="rect">
                      <a:avLst/>
                    </a:prstGeom>
                  </pic:spPr>
                </pic:pic>
              </a:graphicData>
            </a:graphic>
          </wp:inline>
        </w:drawing>
      </w:r>
    </w:p>
    <w:p w:rsidR="00044101" w:rsidRPr="00192168" w:rsidRDefault="00044101" w:rsidP="00044101">
      <w:pPr>
        <w:keepNext/>
        <w:rPr>
          <w:rFonts w:asciiTheme="minorHAnsi" w:hAnsiTheme="minorHAnsi" w:cstheme="minorHAnsi"/>
          <w:i/>
          <w:color w:val="4F81BD" w:themeColor="accent1"/>
        </w:rPr>
      </w:pPr>
      <w:r w:rsidRPr="00192168">
        <w:rPr>
          <w:rFonts w:asciiTheme="minorHAnsi" w:hAnsiTheme="minorHAnsi" w:cstheme="minorHAnsi"/>
          <w:i/>
          <w:color w:val="4F81BD" w:themeColor="accent1"/>
        </w:rPr>
        <w:t>Output</w:t>
      </w:r>
    </w:p>
    <w:p w:rsidR="00044101" w:rsidRPr="00483B3D" w:rsidRDefault="00D23170" w:rsidP="00483B3D">
      <w:pPr>
        <w:keepNext/>
        <w:spacing w:after="360"/>
        <w:ind w:left="-709"/>
      </w:pPr>
      <w:r w:rsidRPr="00D23170">
        <w:rPr>
          <w:noProof/>
          <w:lang w:eastAsia="en-AU"/>
        </w:rPr>
        <w:drawing>
          <wp:inline distT="0" distB="0" distL="0" distR="0" wp14:anchorId="65D9A235" wp14:editId="6930AAB6">
            <wp:extent cx="5926667" cy="1850184"/>
            <wp:effectExtent l="0" t="0" r="0" b="0"/>
            <wp:docPr id="4" name="Picture 4" descr="Output: Under the Paris Scenario, European sectoral outputs have the following percentage deviation from the Current Policies Scenario in 2030: Gas extraction output (-28%), Crude extraction output (-12%), Coal mining output (-100%), Petroleum refining output (-4%), Gas utilities output (-5%), Electric utilities output (-3.1%), Services Output (-0.2%), Transportation output (-0.9%), Non-Durable Manufacturing output (-0.4%), Durable Manufacturing output (-0.6%), Agriculture output (-0.4%).&#10;" title="Figure C-10: European Union: Impacts of Paris Scenario, 2030 (percentage deviation from Current Policies Scenario) -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23463" cy="1849184"/>
                    </a:xfrm>
                    <a:prstGeom prst="rect">
                      <a:avLst/>
                    </a:prstGeom>
                  </pic:spPr>
                </pic:pic>
              </a:graphicData>
            </a:graphic>
          </wp:inline>
        </w:drawing>
      </w:r>
    </w:p>
    <w:p w:rsidR="006416C6" w:rsidRPr="00192168" w:rsidRDefault="006416C6" w:rsidP="00483B3D">
      <w:pPr>
        <w:pStyle w:val="ListParagraph"/>
        <w:keepNext/>
        <w:spacing w:before="120" w:after="120"/>
        <w:ind w:left="0"/>
        <w:contextualSpacing w:val="0"/>
        <w:rPr>
          <w:rFonts w:asciiTheme="minorHAnsi" w:hAnsiTheme="minorHAnsi" w:cstheme="minorHAnsi"/>
          <w:b/>
          <w:color w:val="996633"/>
          <w:sz w:val="36"/>
        </w:rPr>
      </w:pPr>
      <w:r w:rsidRPr="00192168">
        <w:rPr>
          <w:rFonts w:asciiTheme="minorHAnsi" w:hAnsiTheme="minorHAnsi" w:cstheme="minorHAnsi"/>
          <w:b/>
          <w:color w:val="996633"/>
          <w:sz w:val="36"/>
        </w:rPr>
        <w:t xml:space="preserve">Canada </w:t>
      </w:r>
    </w:p>
    <w:p w:rsidR="003E5160" w:rsidRPr="00BF39AB" w:rsidRDefault="003E5160" w:rsidP="00BF7A32">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Macroeconomic indicators</w:t>
      </w:r>
    </w:p>
    <w:p w:rsidR="00122445" w:rsidRPr="00BF7A32" w:rsidRDefault="00122445" w:rsidP="00BF7A32">
      <w:pPr>
        <w:spacing w:after="100" w:afterAutospacing="1"/>
        <w:rPr>
          <w:rFonts w:asciiTheme="minorHAnsi" w:hAnsiTheme="minorHAnsi" w:cstheme="minorHAnsi"/>
        </w:rPr>
      </w:pPr>
      <w:r w:rsidRPr="00BF7A32">
        <w:rPr>
          <w:rFonts w:asciiTheme="minorHAnsi" w:hAnsiTheme="minorHAnsi" w:cstheme="minorHAnsi"/>
        </w:rPr>
        <w:t>With the targets modelled, GDP in 2030 is estimated to be 0.8 per cent lower than if countries did not take on post-2020 targets</w:t>
      </w:r>
      <w:r w:rsidR="00044101">
        <w:rPr>
          <w:rFonts w:asciiTheme="minorHAnsi" w:hAnsiTheme="minorHAnsi" w:cstheme="minorHAnsi"/>
        </w:rPr>
        <w:t xml:space="preserve"> (Figure C-</w:t>
      </w:r>
      <w:r w:rsidR="0085588A">
        <w:rPr>
          <w:rFonts w:asciiTheme="minorHAnsi" w:hAnsiTheme="minorHAnsi" w:cstheme="minorHAnsi"/>
        </w:rPr>
        <w:t>11</w:t>
      </w:r>
      <w:r w:rsidR="00044101">
        <w:rPr>
          <w:rFonts w:asciiTheme="minorHAnsi" w:hAnsiTheme="minorHAnsi" w:cstheme="minorHAnsi"/>
        </w:rPr>
        <w:t>)</w:t>
      </w:r>
      <w:r w:rsidRPr="00BF7A32">
        <w:rPr>
          <w:rFonts w:asciiTheme="minorHAnsi" w:hAnsiTheme="minorHAnsi" w:cstheme="minorHAnsi"/>
        </w:rPr>
        <w:t>.</w:t>
      </w:r>
      <w:r w:rsidR="00E34062">
        <w:rPr>
          <w:rStyle w:val="FootnoteReference"/>
          <w:rFonts w:asciiTheme="minorHAnsi" w:hAnsiTheme="minorHAnsi" w:cstheme="minorHAnsi"/>
        </w:rPr>
        <w:footnoteReference w:id="19"/>
      </w:r>
    </w:p>
    <w:p w:rsidR="00CF324C" w:rsidRDefault="00E34062" w:rsidP="00BF7A32">
      <w:pPr>
        <w:spacing w:after="100" w:afterAutospacing="1"/>
        <w:rPr>
          <w:rFonts w:asciiTheme="minorHAnsi" w:hAnsiTheme="minorHAnsi" w:cstheme="minorHAnsi"/>
        </w:rPr>
      </w:pPr>
      <w:r>
        <w:rPr>
          <w:rFonts w:asciiTheme="minorHAnsi" w:hAnsiTheme="minorHAnsi" w:cstheme="minorHAnsi"/>
        </w:rPr>
        <w:t>Lower investment contributes a</w:t>
      </w:r>
      <w:r w:rsidR="00CF324C">
        <w:rPr>
          <w:rFonts w:asciiTheme="minorHAnsi" w:hAnsiTheme="minorHAnsi" w:cstheme="minorHAnsi"/>
        </w:rPr>
        <w:t>round half the impact</w:t>
      </w:r>
      <w:r>
        <w:rPr>
          <w:rFonts w:asciiTheme="minorHAnsi" w:hAnsiTheme="minorHAnsi" w:cstheme="minorHAnsi"/>
        </w:rPr>
        <w:t xml:space="preserve"> on Canada’s GDP of post-2020 targets in 2030</w:t>
      </w:r>
      <w:r w:rsidR="00CF324C">
        <w:rPr>
          <w:rFonts w:asciiTheme="minorHAnsi" w:hAnsiTheme="minorHAnsi" w:cstheme="minorHAnsi"/>
        </w:rPr>
        <w:t xml:space="preserve">. </w:t>
      </w:r>
      <w:r>
        <w:rPr>
          <w:rFonts w:asciiTheme="minorHAnsi" w:hAnsiTheme="minorHAnsi" w:cstheme="minorHAnsi"/>
        </w:rPr>
        <w:t xml:space="preserve">The targets result in rises in input prices, as energy </w:t>
      </w:r>
      <w:r w:rsidR="00CF324C">
        <w:rPr>
          <w:rFonts w:asciiTheme="minorHAnsi" w:hAnsiTheme="minorHAnsi" w:cstheme="minorHAnsi"/>
        </w:rPr>
        <w:t>price</w:t>
      </w:r>
      <w:r>
        <w:rPr>
          <w:rFonts w:asciiTheme="minorHAnsi" w:hAnsiTheme="minorHAnsi" w:cstheme="minorHAnsi"/>
        </w:rPr>
        <w:t>s rise</w:t>
      </w:r>
      <w:r w:rsidR="00CF324C">
        <w:rPr>
          <w:rFonts w:asciiTheme="minorHAnsi" w:hAnsiTheme="minorHAnsi" w:cstheme="minorHAnsi"/>
        </w:rPr>
        <w:t xml:space="preserve">, </w:t>
      </w:r>
      <w:r>
        <w:rPr>
          <w:rFonts w:asciiTheme="minorHAnsi" w:hAnsiTheme="minorHAnsi" w:cstheme="minorHAnsi"/>
        </w:rPr>
        <w:t xml:space="preserve">lowering </w:t>
      </w:r>
      <w:r w:rsidR="00CF324C">
        <w:rPr>
          <w:rFonts w:asciiTheme="minorHAnsi" w:hAnsiTheme="minorHAnsi" w:cstheme="minorHAnsi"/>
        </w:rPr>
        <w:t xml:space="preserve">investment and output across all sectors </w:t>
      </w:r>
      <w:r>
        <w:rPr>
          <w:rFonts w:asciiTheme="minorHAnsi" w:hAnsiTheme="minorHAnsi" w:cstheme="minorHAnsi"/>
        </w:rPr>
        <w:t xml:space="preserve">other than electricity generation. Investment increases </w:t>
      </w:r>
      <w:r w:rsidR="00CF324C">
        <w:rPr>
          <w:rFonts w:asciiTheme="minorHAnsi" w:hAnsiTheme="minorHAnsi" w:cstheme="minorHAnsi"/>
        </w:rPr>
        <w:t xml:space="preserve">in the electricity sector in response to </w:t>
      </w:r>
      <w:r>
        <w:rPr>
          <w:rFonts w:asciiTheme="minorHAnsi" w:hAnsiTheme="minorHAnsi" w:cstheme="minorHAnsi"/>
        </w:rPr>
        <w:t xml:space="preserve">demand </w:t>
      </w:r>
      <w:r w:rsidR="00CF324C">
        <w:rPr>
          <w:rFonts w:asciiTheme="minorHAnsi" w:hAnsiTheme="minorHAnsi" w:cstheme="minorHAnsi"/>
        </w:rPr>
        <w:t xml:space="preserve">for more energy-efficient capital. </w:t>
      </w:r>
      <w:r>
        <w:rPr>
          <w:rFonts w:asciiTheme="minorHAnsi" w:hAnsiTheme="minorHAnsi" w:cstheme="minorHAnsi"/>
        </w:rPr>
        <w:t>Consumption falls relative to the Current Policies Scenario, as higher p</w:t>
      </w:r>
      <w:r w:rsidR="00CF324C">
        <w:rPr>
          <w:rFonts w:asciiTheme="minorHAnsi" w:hAnsiTheme="minorHAnsi" w:cstheme="minorHAnsi"/>
        </w:rPr>
        <w:t>rice</w:t>
      </w:r>
      <w:r>
        <w:rPr>
          <w:rFonts w:asciiTheme="minorHAnsi" w:hAnsiTheme="minorHAnsi" w:cstheme="minorHAnsi"/>
        </w:rPr>
        <w:t>s</w:t>
      </w:r>
      <w:r w:rsidR="00CF324C">
        <w:rPr>
          <w:rFonts w:asciiTheme="minorHAnsi" w:hAnsiTheme="minorHAnsi" w:cstheme="minorHAnsi"/>
        </w:rPr>
        <w:t xml:space="preserve"> r</w:t>
      </w:r>
      <w:r>
        <w:rPr>
          <w:rFonts w:asciiTheme="minorHAnsi" w:hAnsiTheme="minorHAnsi" w:cstheme="minorHAnsi"/>
        </w:rPr>
        <w:t>educe real income</w:t>
      </w:r>
      <w:r w:rsidR="00CF324C">
        <w:rPr>
          <w:rFonts w:asciiTheme="minorHAnsi" w:hAnsiTheme="minorHAnsi" w:cstheme="minorHAnsi"/>
        </w:rPr>
        <w:t>.</w:t>
      </w:r>
    </w:p>
    <w:p w:rsidR="00122445" w:rsidRPr="00192168" w:rsidRDefault="00122445" w:rsidP="00122445">
      <w:pPr>
        <w:keepNext/>
        <w:spacing w:before="240" w:after="12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 xml:space="preserve">Figure </w:t>
      </w:r>
      <w:r w:rsidR="0078789A" w:rsidRPr="00192168">
        <w:rPr>
          <w:rFonts w:asciiTheme="minorHAnsi" w:hAnsiTheme="minorHAnsi" w:cstheme="minorHAnsi"/>
          <w:b/>
          <w:color w:val="4F81BD" w:themeColor="accent1"/>
        </w:rPr>
        <w:t>C</w:t>
      </w:r>
      <w:r w:rsidRPr="00192168">
        <w:rPr>
          <w:rFonts w:asciiTheme="minorHAnsi" w:hAnsiTheme="minorHAnsi" w:cstheme="minorHAnsi"/>
          <w:b/>
          <w:color w:val="4F81BD" w:themeColor="accent1"/>
        </w:rPr>
        <w:t>-</w:t>
      </w:r>
      <w:r w:rsidR="0085588A" w:rsidRPr="00192168">
        <w:rPr>
          <w:rFonts w:asciiTheme="minorHAnsi" w:hAnsiTheme="minorHAnsi" w:cstheme="minorHAnsi"/>
          <w:b/>
          <w:color w:val="4F81BD" w:themeColor="accent1"/>
        </w:rPr>
        <w:t>11</w:t>
      </w:r>
      <w:r w:rsidRPr="00192168">
        <w:rPr>
          <w:rFonts w:asciiTheme="minorHAnsi" w:hAnsiTheme="minorHAnsi" w:cstheme="minorHAnsi"/>
          <w:b/>
          <w:color w:val="4F81BD" w:themeColor="accent1"/>
        </w:rPr>
        <w:t xml:space="preserve">: </w:t>
      </w:r>
      <w:r w:rsidR="00DD0652">
        <w:rPr>
          <w:rFonts w:asciiTheme="minorHAnsi" w:hAnsiTheme="minorHAnsi" w:cstheme="minorHAnsi"/>
          <w:color w:val="4F81BD" w:themeColor="accent1"/>
        </w:rPr>
        <w:t xml:space="preserve">Canada: </w:t>
      </w:r>
      <w:r w:rsidRPr="00192168">
        <w:rPr>
          <w:rFonts w:asciiTheme="minorHAnsi" w:hAnsiTheme="minorHAnsi" w:cstheme="minorHAnsi"/>
          <w:color w:val="4F81BD" w:themeColor="accent1"/>
        </w:rPr>
        <w:t xml:space="preserve">Key indicators </w:t>
      </w:r>
      <w:r w:rsidR="0050472B">
        <w:rPr>
          <w:rFonts w:asciiTheme="minorHAnsi" w:hAnsiTheme="minorHAnsi" w:cstheme="minorHAnsi"/>
          <w:color w:val="4F81BD" w:themeColor="accent1"/>
        </w:rPr>
        <w:t xml:space="preserve">under Paris Scenario </w:t>
      </w:r>
      <w:r w:rsidRPr="00192168">
        <w:rPr>
          <w:rFonts w:asciiTheme="minorHAnsi" w:hAnsiTheme="minorHAnsi" w:cstheme="minorHAnsi"/>
          <w:color w:val="4F81BD" w:themeColor="accent1"/>
        </w:rPr>
        <w:t>–</w:t>
      </w:r>
      <w:r w:rsidRPr="00192168">
        <w:rPr>
          <w:color w:val="4F81BD" w:themeColor="accent1"/>
        </w:rPr>
        <w:t xml:space="preserve"> </w:t>
      </w:r>
      <w:r w:rsidRPr="00192168">
        <w:rPr>
          <w:rFonts w:asciiTheme="minorHAnsi" w:hAnsiTheme="minorHAnsi" w:cstheme="minorHAnsi"/>
          <w:color w:val="4F81BD" w:themeColor="accent1"/>
        </w:rPr>
        <w:t>Real GDP, consumption, investment and trade balance, 2030 (percentage deviation</w:t>
      </w:r>
      <w:r w:rsidR="00D17826" w:rsidRPr="00192168">
        <w:rPr>
          <w:rFonts w:asciiTheme="minorHAnsi" w:hAnsiTheme="minorHAnsi" w:cstheme="minorHAnsi"/>
          <w:color w:val="4F81BD" w:themeColor="accent1"/>
        </w:rPr>
        <w:t xml:space="preserve"> from Current Policies Scenario</w:t>
      </w:r>
      <w:r w:rsidRPr="00192168">
        <w:rPr>
          <w:rFonts w:asciiTheme="minorHAnsi" w:hAnsiTheme="minorHAnsi" w:cstheme="minorHAnsi"/>
          <w:color w:val="4F81BD" w:themeColor="accent1"/>
        </w:rPr>
        <w:t>)</w:t>
      </w:r>
    </w:p>
    <w:p w:rsidR="00A8302E" w:rsidRPr="00335D2D" w:rsidRDefault="006416C6">
      <w:pPr>
        <w:rPr>
          <w:rFonts w:asciiTheme="minorHAnsi" w:hAnsiTheme="minorHAnsi" w:cstheme="minorHAnsi"/>
          <w:sz w:val="28"/>
          <w:u w:val="single"/>
        </w:rPr>
      </w:pPr>
      <w:r w:rsidRPr="006416C6">
        <w:rPr>
          <w:noProof/>
          <w:lang w:eastAsia="en-AU"/>
        </w:rPr>
        <w:drawing>
          <wp:inline distT="0" distB="0" distL="0" distR="0" wp14:anchorId="264EF074" wp14:editId="3D6B6A55">
            <wp:extent cx="4476191" cy="2742857"/>
            <wp:effectExtent l="0" t="0" r="635" b="635"/>
            <wp:docPr id="27" name="Picture 27" descr="Under the Paris Scenario, Canada has the following percentage deviation from the Current Policies Scenario in 2030: Real GDP (-0.8%), Consumption (-0.3%), Investment (-2.1%), Trade Balance (0.2%).&#10;" title="Figure C-11: Canada: Key indicators under Paris Scenario – Real GDP, consumption, investment and trade balance, 2030 (percentage deviation from Current Policie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476191" cy="2742857"/>
                    </a:xfrm>
                    <a:prstGeom prst="rect">
                      <a:avLst/>
                    </a:prstGeom>
                  </pic:spPr>
                </pic:pic>
              </a:graphicData>
            </a:graphic>
          </wp:inline>
        </w:drawing>
      </w:r>
    </w:p>
    <w:p w:rsidR="00130F3C" w:rsidRPr="00BF39AB" w:rsidRDefault="00130F3C" w:rsidP="00130F3C">
      <w:pPr>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 Trade balance result is deviation in trade balance divided by GDP.</w:t>
      </w:r>
    </w:p>
    <w:p w:rsidR="003E126E" w:rsidRPr="00BF39AB" w:rsidRDefault="003E126E" w:rsidP="003E126E">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Trade impacts</w:t>
      </w:r>
    </w:p>
    <w:p w:rsidR="00D8394E" w:rsidRPr="00BF7A32" w:rsidRDefault="00D8394E" w:rsidP="00BF7A32">
      <w:pPr>
        <w:spacing w:after="100" w:afterAutospacing="1"/>
        <w:rPr>
          <w:rFonts w:asciiTheme="minorHAnsi" w:hAnsiTheme="minorHAnsi" w:cstheme="minorHAnsi"/>
        </w:rPr>
      </w:pPr>
      <w:r>
        <w:rPr>
          <w:rFonts w:asciiTheme="minorHAnsi" w:hAnsiTheme="minorHAnsi" w:cstheme="minorHAnsi"/>
        </w:rPr>
        <w:t>Can</w:t>
      </w:r>
      <w:r w:rsidR="002672E3">
        <w:rPr>
          <w:rFonts w:asciiTheme="minorHAnsi" w:hAnsiTheme="minorHAnsi" w:cstheme="minorHAnsi"/>
        </w:rPr>
        <w:t>a</w:t>
      </w:r>
      <w:r>
        <w:rPr>
          <w:rFonts w:asciiTheme="minorHAnsi" w:hAnsiTheme="minorHAnsi" w:cstheme="minorHAnsi"/>
        </w:rPr>
        <w:t>da’s trade balance in 2030 improves slightly under the Paris Scenario, compared to the Current Policies Scenario</w:t>
      </w:r>
      <w:r w:rsidRPr="00A52EA5">
        <w:rPr>
          <w:rFonts w:asciiTheme="minorHAnsi" w:hAnsiTheme="minorHAnsi" w:cstheme="minorHAnsi"/>
        </w:rPr>
        <w:t xml:space="preserve">. </w:t>
      </w:r>
      <w:r w:rsidR="00E51713" w:rsidRPr="00A52EA5">
        <w:rPr>
          <w:rFonts w:asciiTheme="minorHAnsi" w:hAnsiTheme="minorHAnsi" w:cstheme="minorHAnsi"/>
        </w:rPr>
        <w:t xml:space="preserve">Imports </w:t>
      </w:r>
      <w:r w:rsidRPr="00A52EA5">
        <w:rPr>
          <w:rFonts w:asciiTheme="minorHAnsi" w:hAnsiTheme="minorHAnsi" w:cstheme="minorHAnsi"/>
        </w:rPr>
        <w:t xml:space="preserve">are around </w:t>
      </w:r>
      <w:r w:rsidR="00E51713" w:rsidRPr="00A52EA5">
        <w:rPr>
          <w:rFonts w:asciiTheme="minorHAnsi" w:hAnsiTheme="minorHAnsi" w:cstheme="minorHAnsi"/>
        </w:rPr>
        <w:t>2</w:t>
      </w:r>
      <w:r w:rsidRPr="00A52EA5">
        <w:rPr>
          <w:rFonts w:asciiTheme="minorHAnsi" w:hAnsiTheme="minorHAnsi" w:cstheme="minorHAnsi"/>
        </w:rPr>
        <w:t xml:space="preserve"> per cent</w:t>
      </w:r>
      <w:r>
        <w:rPr>
          <w:rFonts w:asciiTheme="minorHAnsi" w:hAnsiTheme="minorHAnsi" w:cstheme="minorHAnsi"/>
        </w:rPr>
        <w:t xml:space="preserve"> lower, and </w:t>
      </w:r>
      <w:r w:rsidR="00E51713">
        <w:rPr>
          <w:rFonts w:asciiTheme="minorHAnsi" w:hAnsiTheme="minorHAnsi" w:cstheme="minorHAnsi"/>
        </w:rPr>
        <w:t>exports 1</w:t>
      </w:r>
      <w:r>
        <w:rPr>
          <w:rFonts w:asciiTheme="minorHAnsi" w:hAnsiTheme="minorHAnsi" w:cstheme="minorHAnsi"/>
        </w:rPr>
        <w:t> per cent lower.</w:t>
      </w:r>
      <w:r w:rsidR="00297F61">
        <w:rPr>
          <w:rFonts w:asciiTheme="minorHAnsi" w:hAnsiTheme="minorHAnsi" w:cstheme="minorHAnsi"/>
        </w:rPr>
        <w:t xml:space="preserve"> Imports fall as import prices rise, largely due to an appreciation in the US exchange rate. H</w:t>
      </w:r>
      <w:r w:rsidR="00E51713">
        <w:rPr>
          <w:rFonts w:asciiTheme="minorHAnsi" w:hAnsiTheme="minorHAnsi" w:cstheme="minorHAnsi"/>
        </w:rPr>
        <w:t xml:space="preserve">igher export prices and reduced export demand arising from </w:t>
      </w:r>
      <w:r w:rsidR="00297F61">
        <w:rPr>
          <w:rFonts w:asciiTheme="minorHAnsi" w:hAnsiTheme="minorHAnsi" w:cstheme="minorHAnsi"/>
        </w:rPr>
        <w:t xml:space="preserve">post-2020 </w:t>
      </w:r>
      <w:r w:rsidR="00E51713">
        <w:rPr>
          <w:rFonts w:asciiTheme="minorHAnsi" w:hAnsiTheme="minorHAnsi" w:cstheme="minorHAnsi"/>
        </w:rPr>
        <w:t xml:space="preserve">emissions policies </w:t>
      </w:r>
      <w:r w:rsidR="00297F61">
        <w:rPr>
          <w:rFonts w:asciiTheme="minorHAnsi" w:hAnsiTheme="minorHAnsi" w:cstheme="minorHAnsi"/>
        </w:rPr>
        <w:t xml:space="preserve">reduce </w:t>
      </w:r>
      <w:r w:rsidR="00E51713">
        <w:rPr>
          <w:rFonts w:asciiTheme="minorHAnsi" w:hAnsiTheme="minorHAnsi" w:cstheme="minorHAnsi"/>
        </w:rPr>
        <w:t xml:space="preserve">fossil fuel exports, which make up 20 per cent of Canada’s export base. </w:t>
      </w:r>
      <w:r>
        <w:rPr>
          <w:rFonts w:asciiTheme="minorHAnsi" w:hAnsiTheme="minorHAnsi" w:cstheme="minorHAnsi"/>
        </w:rPr>
        <w:t>The</w:t>
      </w:r>
      <w:r w:rsidR="000663F8">
        <w:rPr>
          <w:rFonts w:asciiTheme="minorHAnsi" w:hAnsiTheme="minorHAnsi" w:cstheme="minorHAnsi"/>
        </w:rPr>
        <w:t xml:space="preserve">re is a partially offsetting increase in durable goods manufacturing exports to the US, as a result of the </w:t>
      </w:r>
      <w:r>
        <w:rPr>
          <w:rFonts w:asciiTheme="minorHAnsi" w:hAnsiTheme="minorHAnsi" w:cstheme="minorHAnsi"/>
        </w:rPr>
        <w:t xml:space="preserve">lower </w:t>
      </w:r>
      <w:r w:rsidR="000663F8">
        <w:rPr>
          <w:rFonts w:asciiTheme="minorHAnsi" w:hAnsiTheme="minorHAnsi" w:cstheme="minorHAnsi"/>
        </w:rPr>
        <w:t xml:space="preserve">Canadian </w:t>
      </w:r>
      <w:r>
        <w:rPr>
          <w:rFonts w:asciiTheme="minorHAnsi" w:hAnsiTheme="minorHAnsi" w:cstheme="minorHAnsi"/>
        </w:rPr>
        <w:t>exchange rate</w:t>
      </w:r>
      <w:r w:rsidR="00044101">
        <w:rPr>
          <w:rFonts w:asciiTheme="minorHAnsi" w:hAnsiTheme="minorHAnsi" w:cstheme="minorHAnsi"/>
        </w:rPr>
        <w:t xml:space="preserve"> (Figure C-1</w:t>
      </w:r>
      <w:r w:rsidR="0085588A">
        <w:rPr>
          <w:rFonts w:asciiTheme="minorHAnsi" w:hAnsiTheme="minorHAnsi" w:cstheme="minorHAnsi"/>
        </w:rPr>
        <w:t>2</w:t>
      </w:r>
      <w:r w:rsidR="00044101">
        <w:rPr>
          <w:rFonts w:asciiTheme="minorHAnsi" w:hAnsiTheme="minorHAnsi" w:cstheme="minorHAnsi"/>
        </w:rPr>
        <w:t>)</w:t>
      </w:r>
      <w:r w:rsidR="000663F8">
        <w:rPr>
          <w:rFonts w:asciiTheme="minorHAnsi" w:hAnsiTheme="minorHAnsi" w:cstheme="minorHAnsi"/>
        </w:rPr>
        <w:t>.</w:t>
      </w:r>
    </w:p>
    <w:p w:rsidR="006D00FA" w:rsidRPr="00BF39AB" w:rsidRDefault="006D00FA" w:rsidP="006D00FA">
      <w:pPr>
        <w:pStyle w:val="ListParagraph"/>
        <w:keepNext/>
        <w:spacing w:before="120" w:after="120"/>
        <w:ind w:left="0"/>
        <w:contextualSpacing w:val="0"/>
        <w:rPr>
          <w:rFonts w:asciiTheme="minorHAnsi" w:hAnsiTheme="minorHAnsi" w:cstheme="minorHAnsi"/>
          <w:b/>
          <w:color w:val="996633"/>
        </w:rPr>
      </w:pPr>
      <w:r w:rsidRPr="00BF39AB">
        <w:rPr>
          <w:rFonts w:asciiTheme="minorHAnsi" w:hAnsiTheme="minorHAnsi" w:cstheme="minorHAnsi"/>
          <w:b/>
          <w:color w:val="996633"/>
        </w:rPr>
        <w:t>Sectoral impacts</w:t>
      </w:r>
    </w:p>
    <w:p w:rsidR="006D00FA" w:rsidRDefault="006D00FA" w:rsidP="006D00FA">
      <w:pPr>
        <w:pStyle w:val="ListParagraph"/>
        <w:spacing w:after="100" w:afterAutospacing="1"/>
        <w:ind w:left="0"/>
        <w:contextualSpacing w:val="0"/>
        <w:rPr>
          <w:rFonts w:asciiTheme="minorHAnsi" w:hAnsiTheme="minorHAnsi" w:cstheme="minorHAnsi"/>
        </w:rPr>
      </w:pPr>
      <w:r w:rsidRPr="007B5DCA">
        <w:rPr>
          <w:rFonts w:asciiTheme="minorHAnsi" w:hAnsiTheme="minorHAnsi" w:cstheme="minorHAnsi"/>
        </w:rPr>
        <w:t>Under the Paris Scenario, Canada’s output continues to grow to 2030.</w:t>
      </w:r>
      <w:r w:rsidRPr="00BF7A32">
        <w:rPr>
          <w:rFonts w:asciiTheme="minorHAnsi" w:hAnsiTheme="minorHAnsi" w:cstheme="minorHAnsi"/>
        </w:rPr>
        <w:t xml:space="preserve"> </w:t>
      </w:r>
      <w:r>
        <w:rPr>
          <w:rFonts w:asciiTheme="minorHAnsi" w:hAnsiTheme="minorHAnsi" w:cstheme="minorHAnsi"/>
        </w:rPr>
        <w:t>The energy sector experiences the largest reductions in output under the Paris Scenario (Figure C-1</w:t>
      </w:r>
      <w:r w:rsidR="0085588A">
        <w:rPr>
          <w:rFonts w:asciiTheme="minorHAnsi" w:hAnsiTheme="minorHAnsi" w:cstheme="minorHAnsi"/>
        </w:rPr>
        <w:t>2</w:t>
      </w:r>
      <w:r>
        <w:rPr>
          <w:rFonts w:asciiTheme="minorHAnsi" w:hAnsiTheme="minorHAnsi" w:cstheme="minorHAnsi"/>
        </w:rPr>
        <w:t>), but resources still contribute 10 per cent of Canada’s economy by 2030.</w:t>
      </w:r>
      <w:r w:rsidRPr="00352139">
        <w:rPr>
          <w:rFonts w:asciiTheme="minorHAnsi" w:hAnsiTheme="minorHAnsi" w:cstheme="minorHAnsi"/>
        </w:rPr>
        <w:t xml:space="preserve"> </w:t>
      </w:r>
      <w:r w:rsidRPr="000663F8">
        <w:rPr>
          <w:rFonts w:asciiTheme="minorHAnsi" w:hAnsiTheme="minorHAnsi" w:cstheme="minorHAnsi"/>
        </w:rPr>
        <w:t xml:space="preserve">Output from </w:t>
      </w:r>
      <w:r w:rsidRPr="009C45C6">
        <w:rPr>
          <w:rFonts w:asciiTheme="minorHAnsi" w:hAnsiTheme="minorHAnsi" w:cstheme="minorHAnsi"/>
        </w:rPr>
        <w:t>the services and manufacturing sectors</w:t>
      </w:r>
      <w:r w:rsidRPr="000663F8">
        <w:rPr>
          <w:rFonts w:asciiTheme="minorHAnsi" w:hAnsiTheme="minorHAnsi" w:cstheme="minorHAnsi"/>
        </w:rPr>
        <w:t xml:space="preserve"> is less than one per cent smaller</w:t>
      </w:r>
      <w:r w:rsidRPr="00CF324C">
        <w:rPr>
          <w:rFonts w:asciiTheme="minorHAnsi" w:hAnsiTheme="minorHAnsi" w:cstheme="minorHAnsi"/>
        </w:rPr>
        <w:t xml:space="preserve"> in 2030 compared with the Current Policies Scenario. </w:t>
      </w:r>
    </w:p>
    <w:p w:rsidR="00044101" w:rsidRPr="00192168" w:rsidRDefault="00044101" w:rsidP="00044101">
      <w:pPr>
        <w:keepNext/>
        <w:spacing w:before="24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Figure C-</w:t>
      </w:r>
      <w:r w:rsidR="006D00FA" w:rsidRPr="00192168">
        <w:rPr>
          <w:rFonts w:asciiTheme="minorHAnsi" w:hAnsiTheme="minorHAnsi" w:cstheme="minorHAnsi"/>
          <w:b/>
          <w:color w:val="4F81BD" w:themeColor="accent1"/>
        </w:rPr>
        <w:t>1</w:t>
      </w:r>
      <w:r w:rsidR="0085588A" w:rsidRPr="00192168">
        <w:rPr>
          <w:rFonts w:asciiTheme="minorHAnsi" w:hAnsiTheme="minorHAnsi" w:cstheme="minorHAnsi"/>
          <w:b/>
          <w:color w:val="4F81BD" w:themeColor="accent1"/>
        </w:rPr>
        <w:t>2</w:t>
      </w:r>
      <w:r w:rsidRPr="00192168">
        <w:rPr>
          <w:rFonts w:asciiTheme="minorHAnsi" w:hAnsiTheme="minorHAnsi" w:cstheme="minorHAnsi"/>
          <w:b/>
          <w:color w:val="4F81BD" w:themeColor="accent1"/>
        </w:rPr>
        <w:t xml:space="preserve">: </w:t>
      </w:r>
      <w:r w:rsidR="00DD0652">
        <w:rPr>
          <w:rFonts w:asciiTheme="minorHAnsi" w:hAnsiTheme="minorHAnsi" w:cstheme="minorHAnsi"/>
          <w:color w:val="4F81BD" w:themeColor="accent1"/>
        </w:rPr>
        <w:t xml:space="preserve">Canada: </w:t>
      </w:r>
      <w:r w:rsidRPr="00192168">
        <w:rPr>
          <w:rFonts w:asciiTheme="minorHAnsi" w:hAnsiTheme="minorHAnsi" w:cstheme="minorHAnsi"/>
          <w:color w:val="4F81BD" w:themeColor="accent1"/>
        </w:rPr>
        <w:t>Impacts of Paris Scenario, 2030 (percentage deviation from Current Policies Scenario)</w:t>
      </w:r>
    </w:p>
    <w:p w:rsidR="00044101" w:rsidRPr="00192168" w:rsidRDefault="00044101" w:rsidP="00044101">
      <w:pPr>
        <w:keepNext/>
        <w:spacing w:before="120" w:after="120"/>
        <w:rPr>
          <w:rFonts w:asciiTheme="minorHAnsi" w:hAnsiTheme="minorHAnsi" w:cstheme="minorHAnsi"/>
          <w:i/>
          <w:color w:val="4F81BD" w:themeColor="accent1"/>
        </w:rPr>
      </w:pPr>
      <w:r w:rsidRPr="00192168">
        <w:rPr>
          <w:rFonts w:asciiTheme="minorHAnsi" w:hAnsiTheme="minorHAnsi" w:cstheme="minorHAnsi"/>
          <w:i/>
          <w:color w:val="4F81BD" w:themeColor="accent1"/>
        </w:rPr>
        <w:t>Exports</w:t>
      </w:r>
    </w:p>
    <w:p w:rsidR="00044101" w:rsidRPr="00483B3D" w:rsidRDefault="00044101" w:rsidP="00483B3D">
      <w:pPr>
        <w:spacing w:after="360"/>
        <w:ind w:left="-709"/>
      </w:pPr>
      <w:r w:rsidRPr="00044101">
        <w:rPr>
          <w:noProof/>
          <w:lang w:eastAsia="en-AU"/>
        </w:rPr>
        <w:drawing>
          <wp:inline distT="0" distB="0" distL="0" distR="0" wp14:anchorId="622A109B" wp14:editId="02CBF71C">
            <wp:extent cx="5949245" cy="1841979"/>
            <wp:effectExtent l="0" t="0" r="0" b="6350"/>
            <wp:docPr id="677" name="Picture 677" descr="Exports: Under the Paris Scenario, Canadian export sectors have the following percentage deviation from the Current Policies Scenario in 2030: Gas extraction exports (-1%), Crude extraction exports (-4%), Coal mining exports (-23%), Petroleum refining exports (-18%), Gas utilities exports (-4%), Services exports (0.6%), Transportation exports (-4.0%), Non-Durable Manufacturing exports (-0.8%), Durable Manufacturing exports (0.7%), Agriculture exports (-0.8%), Other Mining exports (-3.2%).&#10;" title="Figure C-12: Canada: Impacts of Paris Scenario, 2030 (percentage deviation from Current Policies Scenario) -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95231" cy="1856217"/>
                    </a:xfrm>
                    <a:prstGeom prst="rect">
                      <a:avLst/>
                    </a:prstGeom>
                  </pic:spPr>
                </pic:pic>
              </a:graphicData>
            </a:graphic>
          </wp:inline>
        </w:drawing>
      </w:r>
    </w:p>
    <w:p w:rsidR="00044101" w:rsidRPr="00192168" w:rsidRDefault="00044101" w:rsidP="00044101">
      <w:pPr>
        <w:keepNext/>
        <w:rPr>
          <w:rFonts w:asciiTheme="minorHAnsi" w:hAnsiTheme="minorHAnsi" w:cstheme="minorHAnsi"/>
          <w:i/>
          <w:color w:val="4F81BD" w:themeColor="accent1"/>
        </w:rPr>
      </w:pPr>
      <w:r w:rsidRPr="00192168">
        <w:rPr>
          <w:rFonts w:asciiTheme="minorHAnsi" w:hAnsiTheme="minorHAnsi" w:cstheme="minorHAnsi"/>
          <w:i/>
          <w:color w:val="4F81BD" w:themeColor="accent1"/>
        </w:rPr>
        <w:t>Output</w:t>
      </w:r>
    </w:p>
    <w:p w:rsidR="00044101" w:rsidRPr="00483B3D" w:rsidRDefault="006D00FA" w:rsidP="00483B3D">
      <w:pPr>
        <w:keepNext/>
        <w:spacing w:after="360"/>
        <w:ind w:left="-709"/>
      </w:pPr>
      <w:r w:rsidRPr="006D00FA">
        <w:rPr>
          <w:noProof/>
          <w:lang w:eastAsia="en-AU"/>
        </w:rPr>
        <w:drawing>
          <wp:inline distT="0" distB="0" distL="0" distR="0" wp14:anchorId="4423BAA5" wp14:editId="29BC2C61">
            <wp:extent cx="5949245" cy="1843250"/>
            <wp:effectExtent l="0" t="0" r="0" b="5080"/>
            <wp:docPr id="681" name="Picture 681" descr="Output: Under the Paris Scenario, Canadian sectoral outputs have the following percentage deviation from the Current Policies Scenario in 2030: Gas extraction output (-7%), Crude extraction output (-13%), Coal mining output (-79%), Petroleum refining output (-10%), Gas utilities output (-4%), Electric utilities output (-6%), Services Output (-0.2%), Transportation output (-2.5%), Non-Durable Manufacturing output (-0.8%), Durable Manufacturing output (-0.9%), Agriculture output (-0.8%).&#10;" title="Figure C-12: Canada: Impacts of Paris Scenario, 2030 (percentage deviation from Current Policies Scenario) -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83127" cy="1853748"/>
                    </a:xfrm>
                    <a:prstGeom prst="rect">
                      <a:avLst/>
                    </a:prstGeom>
                  </pic:spPr>
                </pic:pic>
              </a:graphicData>
            </a:graphic>
          </wp:inline>
        </w:drawing>
      </w:r>
    </w:p>
    <w:p w:rsidR="002F5BC8" w:rsidRDefault="002F5BC8">
      <w:pPr>
        <w:rPr>
          <w:rFonts w:asciiTheme="minorHAnsi" w:hAnsiTheme="minorHAnsi" w:cstheme="minorHAnsi"/>
          <w:b/>
        </w:rPr>
      </w:pPr>
      <w:r>
        <w:rPr>
          <w:rFonts w:asciiTheme="minorHAnsi" w:hAnsiTheme="minorHAnsi" w:cstheme="minorHAnsi"/>
          <w:b/>
        </w:rPr>
        <w:br w:type="page"/>
      </w:r>
    </w:p>
    <w:p w:rsidR="00087A50" w:rsidRPr="00192168" w:rsidRDefault="00087A50" w:rsidP="00087A50">
      <w:pPr>
        <w:rPr>
          <w:rFonts w:asciiTheme="minorHAnsi" w:hAnsiTheme="minorHAnsi" w:cstheme="minorHAnsi"/>
          <w:b/>
          <w:color w:val="996633"/>
          <w:sz w:val="40"/>
        </w:rPr>
      </w:pPr>
      <w:r w:rsidRPr="00192168">
        <w:rPr>
          <w:rFonts w:asciiTheme="minorHAnsi" w:hAnsiTheme="minorHAnsi" w:cstheme="minorHAnsi"/>
          <w:b/>
          <w:color w:val="996633"/>
          <w:sz w:val="40"/>
        </w:rPr>
        <w:lastRenderedPageBreak/>
        <w:t xml:space="preserve">APPENDIX </w:t>
      </w:r>
      <w:r w:rsidR="0078789A" w:rsidRPr="00192168">
        <w:rPr>
          <w:rFonts w:asciiTheme="minorHAnsi" w:hAnsiTheme="minorHAnsi" w:cstheme="minorHAnsi"/>
          <w:b/>
          <w:color w:val="996633"/>
          <w:sz w:val="40"/>
        </w:rPr>
        <w:t>D</w:t>
      </w:r>
      <w:r w:rsidRPr="00192168">
        <w:rPr>
          <w:rFonts w:asciiTheme="minorHAnsi" w:hAnsiTheme="minorHAnsi" w:cstheme="minorHAnsi"/>
          <w:b/>
          <w:color w:val="996633"/>
          <w:sz w:val="40"/>
        </w:rPr>
        <w:t>:</w:t>
      </w:r>
    </w:p>
    <w:p w:rsidR="00087A50" w:rsidRPr="00192168" w:rsidRDefault="00087A50" w:rsidP="00492F4E">
      <w:pPr>
        <w:rPr>
          <w:rFonts w:asciiTheme="minorHAnsi" w:hAnsiTheme="minorHAnsi" w:cstheme="minorHAnsi"/>
          <w:b/>
          <w:color w:val="996633"/>
          <w:sz w:val="40"/>
        </w:rPr>
      </w:pPr>
      <w:r w:rsidRPr="00192168">
        <w:rPr>
          <w:rFonts w:asciiTheme="minorHAnsi" w:hAnsiTheme="minorHAnsi" w:cstheme="minorHAnsi"/>
          <w:b/>
          <w:color w:val="996633"/>
          <w:sz w:val="40"/>
        </w:rPr>
        <w:t>Sensitivity testing</w:t>
      </w:r>
    </w:p>
    <w:p w:rsidR="00087A50" w:rsidRDefault="00255643" w:rsidP="00087A50">
      <w:pPr>
        <w:spacing w:after="100" w:afterAutospacing="1"/>
        <w:rPr>
          <w:rFonts w:asciiTheme="minorHAnsi" w:hAnsiTheme="minorHAnsi" w:cstheme="minorHAnsi"/>
        </w:rPr>
      </w:pPr>
      <w:r>
        <w:rPr>
          <w:rFonts w:asciiTheme="minorHAnsi" w:hAnsiTheme="minorHAnsi" w:cstheme="minorHAnsi"/>
        </w:rPr>
        <w:t>The modelling undertook t</w:t>
      </w:r>
      <w:r w:rsidR="00087A50">
        <w:rPr>
          <w:rFonts w:asciiTheme="minorHAnsi" w:hAnsiTheme="minorHAnsi" w:cstheme="minorHAnsi"/>
        </w:rPr>
        <w:t xml:space="preserve">wo sensitivity scenarios. </w:t>
      </w:r>
      <w:r>
        <w:rPr>
          <w:rFonts w:asciiTheme="minorHAnsi" w:hAnsiTheme="minorHAnsi" w:cstheme="minorHAnsi"/>
        </w:rPr>
        <w:t>T</w:t>
      </w:r>
      <w:r w:rsidRPr="00EA04F8">
        <w:rPr>
          <w:rFonts w:asciiTheme="minorHAnsi" w:hAnsiTheme="minorHAnsi" w:cstheme="minorHAnsi"/>
        </w:rPr>
        <w:t xml:space="preserve">he </w:t>
      </w:r>
      <w:r>
        <w:rPr>
          <w:rFonts w:asciiTheme="minorHAnsi" w:hAnsiTheme="minorHAnsi" w:cstheme="minorHAnsi"/>
        </w:rPr>
        <w:t>first assesses the sensitivity of</w:t>
      </w:r>
      <w:r w:rsidRPr="00EA04F8">
        <w:rPr>
          <w:rFonts w:asciiTheme="minorHAnsi" w:hAnsiTheme="minorHAnsi" w:cstheme="minorHAnsi"/>
        </w:rPr>
        <w:t xml:space="preserve"> </w:t>
      </w:r>
      <w:r>
        <w:rPr>
          <w:rFonts w:asciiTheme="minorHAnsi" w:hAnsiTheme="minorHAnsi" w:cstheme="minorHAnsi"/>
        </w:rPr>
        <w:t xml:space="preserve">technology cost and policy mix </w:t>
      </w:r>
      <w:r w:rsidRPr="00EA04F8">
        <w:rPr>
          <w:rFonts w:asciiTheme="minorHAnsi" w:hAnsiTheme="minorHAnsi" w:cstheme="minorHAnsi"/>
        </w:rPr>
        <w:t>assumption</w:t>
      </w:r>
      <w:r>
        <w:rPr>
          <w:rFonts w:asciiTheme="minorHAnsi" w:hAnsiTheme="minorHAnsi" w:cstheme="minorHAnsi"/>
        </w:rPr>
        <w:t>s</w:t>
      </w:r>
      <w:r w:rsidRPr="00EA04F8">
        <w:rPr>
          <w:rFonts w:asciiTheme="minorHAnsi" w:hAnsiTheme="minorHAnsi" w:cstheme="minorHAnsi"/>
        </w:rPr>
        <w:t xml:space="preserve">. </w:t>
      </w:r>
      <w:r w:rsidR="00087A50" w:rsidRPr="00EA04F8">
        <w:rPr>
          <w:rFonts w:asciiTheme="minorHAnsi" w:hAnsiTheme="minorHAnsi" w:cstheme="minorHAnsi"/>
        </w:rPr>
        <w:t xml:space="preserve">The </w:t>
      </w:r>
      <w:r>
        <w:rPr>
          <w:rFonts w:asciiTheme="minorHAnsi" w:hAnsiTheme="minorHAnsi" w:cstheme="minorHAnsi"/>
        </w:rPr>
        <w:t>second sensitivity scenario</w:t>
      </w:r>
      <w:r w:rsidRPr="00EA04F8">
        <w:rPr>
          <w:rFonts w:asciiTheme="minorHAnsi" w:hAnsiTheme="minorHAnsi" w:cstheme="minorHAnsi"/>
        </w:rPr>
        <w:t xml:space="preserve"> </w:t>
      </w:r>
      <w:r>
        <w:rPr>
          <w:rFonts w:asciiTheme="minorHAnsi" w:hAnsiTheme="minorHAnsi" w:cstheme="minorHAnsi"/>
        </w:rPr>
        <w:t xml:space="preserve">assesses </w:t>
      </w:r>
      <w:r w:rsidR="00087A50">
        <w:rPr>
          <w:rFonts w:asciiTheme="minorHAnsi" w:hAnsiTheme="minorHAnsi" w:cstheme="minorHAnsi"/>
        </w:rPr>
        <w:t>the cost of policy uncertainty in Australia given that there is no Australian target in the modelling</w:t>
      </w:r>
      <w:r w:rsidR="00087A50" w:rsidRPr="00EA04F8">
        <w:rPr>
          <w:rFonts w:asciiTheme="minorHAnsi" w:hAnsiTheme="minorHAnsi" w:cstheme="minorHAnsi"/>
        </w:rPr>
        <w:t xml:space="preserve">. This is </w:t>
      </w:r>
      <w:r w:rsidR="00087A50">
        <w:rPr>
          <w:rFonts w:asciiTheme="minorHAnsi" w:hAnsiTheme="minorHAnsi" w:cstheme="minorHAnsi"/>
        </w:rPr>
        <w:t>modelled as an increase in the</w:t>
      </w:r>
      <w:r w:rsidR="00087A50" w:rsidRPr="00EA04F8">
        <w:rPr>
          <w:rFonts w:asciiTheme="minorHAnsi" w:hAnsiTheme="minorHAnsi" w:cstheme="minorHAnsi"/>
        </w:rPr>
        <w:t xml:space="preserve"> risk premium in Australian energy sectors</w:t>
      </w:r>
      <w:r w:rsidR="00087A50">
        <w:rPr>
          <w:rFonts w:asciiTheme="minorHAnsi" w:hAnsiTheme="minorHAnsi" w:cstheme="minorHAnsi"/>
        </w:rPr>
        <w:t xml:space="preserve">. </w:t>
      </w:r>
    </w:p>
    <w:p w:rsidR="003C371D" w:rsidRPr="00797CFB" w:rsidRDefault="003C371D" w:rsidP="003C371D">
      <w:pPr>
        <w:spacing w:after="100" w:afterAutospacing="1"/>
        <w:rPr>
          <w:rFonts w:asciiTheme="minorHAnsi" w:hAnsiTheme="minorHAnsi" w:cstheme="minorHAnsi"/>
          <w:i/>
          <w:color w:val="996633"/>
        </w:rPr>
      </w:pPr>
      <w:r w:rsidRPr="00797CFB">
        <w:rPr>
          <w:rFonts w:asciiTheme="minorHAnsi" w:hAnsiTheme="minorHAnsi" w:cstheme="minorHAnsi"/>
          <w:i/>
          <w:color w:val="996633"/>
        </w:rPr>
        <w:t xml:space="preserve">Technology and policy mix assumptions </w:t>
      </w:r>
    </w:p>
    <w:p w:rsidR="00087A50" w:rsidRPr="00483B3D" w:rsidRDefault="00087A50" w:rsidP="00087A50">
      <w:pPr>
        <w:spacing w:after="100" w:afterAutospacing="1"/>
        <w:rPr>
          <w:rFonts w:asciiTheme="minorHAnsi" w:hAnsiTheme="minorHAnsi"/>
        </w:rPr>
      </w:pPr>
      <w:r w:rsidRPr="00483B3D">
        <w:rPr>
          <w:rFonts w:asciiTheme="minorHAnsi" w:hAnsiTheme="minorHAnsi"/>
        </w:rPr>
        <w:t>Projected impacts are sensitive to assumptions about future</w:t>
      </w:r>
      <w:r w:rsidRPr="00483B3D">
        <w:rPr>
          <w:rFonts w:asciiTheme="minorHAnsi" w:hAnsiTheme="minorHAnsi" w:cstheme="minorHAnsi"/>
        </w:rPr>
        <w:t xml:space="preserve"> energy efficiency and renewable energy</w:t>
      </w:r>
      <w:r w:rsidRPr="00483B3D">
        <w:rPr>
          <w:rFonts w:asciiTheme="minorHAnsi" w:hAnsiTheme="minorHAnsi"/>
        </w:rPr>
        <w:t xml:space="preserve"> technology costs, which are inherently uncertain.</w:t>
      </w:r>
    </w:p>
    <w:p w:rsidR="00087A50" w:rsidRPr="00483B3D" w:rsidRDefault="00656FF9" w:rsidP="00087A50">
      <w:pPr>
        <w:pStyle w:val="NormalWeb"/>
        <w:spacing w:before="0" w:beforeAutospacing="0"/>
        <w:rPr>
          <w:rFonts w:asciiTheme="minorHAnsi" w:hAnsiTheme="minorHAnsi"/>
        </w:rPr>
      </w:pPr>
      <w:r>
        <w:rPr>
          <w:rFonts w:asciiTheme="minorHAnsi" w:hAnsiTheme="minorHAnsi"/>
        </w:rPr>
        <w:t>T</w:t>
      </w:r>
      <w:r w:rsidR="00087A50" w:rsidRPr="00483B3D">
        <w:rPr>
          <w:rFonts w:asciiTheme="minorHAnsi" w:hAnsiTheme="minorHAnsi"/>
        </w:rPr>
        <w:t xml:space="preserve">he modelling included sensitivity analysis of how varying the cost assumptions about low emissions energy technologies would affect the projected costs of the targets.  </w:t>
      </w:r>
    </w:p>
    <w:p w:rsidR="00087A50" w:rsidRDefault="00087A50" w:rsidP="00087A50">
      <w:pPr>
        <w:pStyle w:val="NormalWeb"/>
        <w:spacing w:before="0" w:beforeAutospacing="0"/>
        <w:rPr>
          <w:rFonts w:asciiTheme="minorHAnsi" w:hAnsiTheme="minorHAnsi"/>
        </w:rPr>
      </w:pPr>
      <w:r w:rsidRPr="00483B3D">
        <w:rPr>
          <w:rFonts w:asciiTheme="minorHAnsi" w:hAnsiTheme="minorHAnsi" w:cstheme="minorHAnsi"/>
        </w:rPr>
        <w:t xml:space="preserve">In modelling the Paris </w:t>
      </w:r>
      <w:r w:rsidR="00F83103" w:rsidRPr="00483B3D">
        <w:rPr>
          <w:rFonts w:asciiTheme="minorHAnsi" w:hAnsiTheme="minorHAnsi" w:cstheme="minorHAnsi"/>
        </w:rPr>
        <w:t>Scenario</w:t>
      </w:r>
      <w:r w:rsidRPr="00483B3D">
        <w:rPr>
          <w:rFonts w:asciiTheme="minorHAnsi" w:hAnsiTheme="minorHAnsi" w:cstheme="minorHAnsi"/>
        </w:rPr>
        <w:t xml:space="preserve"> it is assumed that </w:t>
      </w:r>
      <w:r w:rsidRPr="00483B3D">
        <w:rPr>
          <w:rFonts w:asciiTheme="minorHAnsi" w:hAnsiTheme="minorHAnsi"/>
        </w:rPr>
        <w:t xml:space="preserve">achieving emissions reductions through a mix of policies increases </w:t>
      </w:r>
      <w:r w:rsidR="00C37AA1">
        <w:rPr>
          <w:rFonts w:asciiTheme="minorHAnsi" w:hAnsiTheme="minorHAnsi"/>
        </w:rPr>
        <w:t xml:space="preserve">the price of electricity </w:t>
      </w:r>
      <w:r w:rsidRPr="00483B3D">
        <w:rPr>
          <w:rFonts w:asciiTheme="minorHAnsi" w:hAnsiTheme="minorHAnsi" w:cstheme="minorHAnsi"/>
        </w:rPr>
        <w:t>by 10 per cent</w:t>
      </w:r>
      <w:r w:rsidR="00C37AA1" w:rsidRPr="00C37AA1">
        <w:rPr>
          <w:rFonts w:asciiTheme="minorHAnsi" w:hAnsiTheme="minorHAnsi" w:cstheme="minorHAnsi"/>
        </w:rPr>
        <w:t xml:space="preserve"> </w:t>
      </w:r>
      <w:r w:rsidR="00C37AA1">
        <w:rPr>
          <w:rFonts w:asciiTheme="minorHAnsi" w:hAnsiTheme="minorHAnsi" w:cstheme="minorHAnsi"/>
        </w:rPr>
        <w:t>more than caused by the</w:t>
      </w:r>
      <w:r w:rsidRPr="00483B3D">
        <w:rPr>
          <w:rFonts w:asciiTheme="minorHAnsi" w:hAnsiTheme="minorHAnsi" w:cstheme="minorHAnsi"/>
        </w:rPr>
        <w:t xml:space="preserve"> </w:t>
      </w:r>
      <w:r w:rsidRPr="00483B3D">
        <w:rPr>
          <w:rFonts w:asciiTheme="minorHAnsi" w:hAnsiTheme="minorHAnsi"/>
        </w:rPr>
        <w:t>cost-minimising policy. To test the sensitivity of the results to this technology cost assumption, the impacts were analysed for a higher cost increment of 50 per cent.</w:t>
      </w:r>
      <w:r w:rsidRPr="001F367A">
        <w:rPr>
          <w:rFonts w:asciiTheme="minorHAnsi" w:hAnsiTheme="minorHAnsi"/>
        </w:rPr>
        <w:t xml:space="preserve"> </w:t>
      </w:r>
    </w:p>
    <w:p w:rsidR="00087A50" w:rsidRPr="00F97957" w:rsidRDefault="00087A50" w:rsidP="00087A50">
      <w:pPr>
        <w:spacing w:after="100" w:afterAutospacing="1"/>
        <w:rPr>
          <w:rFonts w:asciiTheme="minorHAnsi" w:hAnsiTheme="minorHAnsi" w:cstheme="minorHAnsi"/>
        </w:rPr>
      </w:pPr>
      <w:r>
        <w:rPr>
          <w:rFonts w:asciiTheme="minorHAnsi" w:hAnsiTheme="minorHAnsi" w:cstheme="minorHAnsi"/>
        </w:rPr>
        <w:t xml:space="preserve">The modelling finds that in the sensitivity scenario </w:t>
      </w:r>
      <w:r w:rsidRPr="00F97957">
        <w:rPr>
          <w:rFonts w:asciiTheme="minorHAnsi" w:hAnsiTheme="minorHAnsi" w:cstheme="minorHAnsi"/>
        </w:rPr>
        <w:t xml:space="preserve">the price of electricity </w:t>
      </w:r>
      <w:r>
        <w:rPr>
          <w:rFonts w:asciiTheme="minorHAnsi" w:hAnsiTheme="minorHAnsi" w:cstheme="minorHAnsi"/>
        </w:rPr>
        <w:t>in the US</w:t>
      </w:r>
      <w:r w:rsidRPr="00F97957">
        <w:rPr>
          <w:rFonts w:asciiTheme="minorHAnsi" w:hAnsiTheme="minorHAnsi" w:cstheme="minorHAnsi"/>
        </w:rPr>
        <w:t xml:space="preserve"> is </w:t>
      </w:r>
      <w:r w:rsidR="00C37AA1">
        <w:rPr>
          <w:rFonts w:asciiTheme="minorHAnsi" w:hAnsiTheme="minorHAnsi" w:cstheme="minorHAnsi"/>
        </w:rPr>
        <w:t>approximately</w:t>
      </w:r>
      <w:r w:rsidR="00C37AA1" w:rsidDel="00C37AA1">
        <w:rPr>
          <w:rFonts w:asciiTheme="minorHAnsi" w:hAnsiTheme="minorHAnsi" w:cstheme="minorHAnsi"/>
        </w:rPr>
        <w:t xml:space="preserve"> </w:t>
      </w:r>
      <w:r>
        <w:rPr>
          <w:rFonts w:asciiTheme="minorHAnsi" w:hAnsiTheme="minorHAnsi" w:cstheme="minorHAnsi"/>
        </w:rPr>
        <w:t xml:space="preserve">50 per cent </w:t>
      </w:r>
      <w:r w:rsidRPr="00F97957">
        <w:rPr>
          <w:rFonts w:asciiTheme="minorHAnsi" w:hAnsiTheme="minorHAnsi" w:cstheme="minorHAnsi"/>
        </w:rPr>
        <w:t>higher than under the</w:t>
      </w:r>
      <w:r>
        <w:rPr>
          <w:rFonts w:asciiTheme="minorHAnsi" w:hAnsiTheme="minorHAnsi" w:cstheme="minorHAnsi"/>
        </w:rPr>
        <w:t xml:space="preserve"> Paris </w:t>
      </w:r>
      <w:r w:rsidR="00F83103">
        <w:rPr>
          <w:rFonts w:asciiTheme="minorHAnsi" w:hAnsiTheme="minorHAnsi" w:cstheme="minorHAnsi"/>
        </w:rPr>
        <w:t>Scenario</w:t>
      </w:r>
      <w:r>
        <w:rPr>
          <w:rFonts w:asciiTheme="minorHAnsi" w:hAnsiTheme="minorHAnsi" w:cstheme="minorHAnsi"/>
        </w:rPr>
        <w:t>. T</w:t>
      </w:r>
      <w:r w:rsidRPr="00F97957">
        <w:rPr>
          <w:rFonts w:asciiTheme="minorHAnsi" w:hAnsiTheme="minorHAnsi" w:cstheme="minorHAnsi"/>
        </w:rPr>
        <w:t xml:space="preserve">he effect of higher electricity prices is transmitted through the economy with prices of all non-energy sectors rising by more under the high cost scenario than under the Paris </w:t>
      </w:r>
      <w:r>
        <w:rPr>
          <w:rFonts w:asciiTheme="minorHAnsi" w:hAnsiTheme="minorHAnsi" w:cstheme="minorHAnsi"/>
        </w:rPr>
        <w:t>S</w:t>
      </w:r>
      <w:r w:rsidRPr="00F97957">
        <w:rPr>
          <w:rFonts w:asciiTheme="minorHAnsi" w:hAnsiTheme="minorHAnsi" w:cstheme="minorHAnsi"/>
        </w:rPr>
        <w:t>cenario.</w:t>
      </w:r>
    </w:p>
    <w:p w:rsidR="00087A50" w:rsidRDefault="00087A50" w:rsidP="00087A50">
      <w:pPr>
        <w:spacing w:after="100" w:afterAutospacing="1"/>
        <w:rPr>
          <w:rFonts w:asciiTheme="minorHAnsi" w:hAnsiTheme="minorHAnsi" w:cstheme="minorHAnsi"/>
        </w:rPr>
      </w:pPr>
      <w:r w:rsidRPr="00F97957">
        <w:rPr>
          <w:rFonts w:asciiTheme="minorHAnsi" w:hAnsiTheme="minorHAnsi" w:cstheme="minorHAnsi"/>
        </w:rPr>
        <w:t xml:space="preserve">The </w:t>
      </w:r>
      <w:r>
        <w:rPr>
          <w:rFonts w:asciiTheme="minorHAnsi" w:hAnsiTheme="minorHAnsi" w:cstheme="minorHAnsi"/>
        </w:rPr>
        <w:t xml:space="preserve">macroeconomic </w:t>
      </w:r>
      <w:r w:rsidRPr="00F97957">
        <w:rPr>
          <w:rFonts w:asciiTheme="minorHAnsi" w:hAnsiTheme="minorHAnsi" w:cstheme="minorHAnsi"/>
        </w:rPr>
        <w:t>impact</w:t>
      </w:r>
      <w:r>
        <w:rPr>
          <w:rFonts w:asciiTheme="minorHAnsi" w:hAnsiTheme="minorHAnsi" w:cstheme="minorHAnsi"/>
        </w:rPr>
        <w:t>s</w:t>
      </w:r>
      <w:r w:rsidRPr="00F97957">
        <w:rPr>
          <w:rFonts w:asciiTheme="minorHAnsi" w:hAnsiTheme="minorHAnsi" w:cstheme="minorHAnsi"/>
        </w:rPr>
        <w:t xml:space="preserve"> </w:t>
      </w:r>
      <w:r>
        <w:rPr>
          <w:rFonts w:asciiTheme="minorHAnsi" w:hAnsiTheme="minorHAnsi" w:cstheme="minorHAnsi"/>
        </w:rPr>
        <w:t xml:space="preserve">on the </w:t>
      </w:r>
      <w:r w:rsidR="00656FF9">
        <w:rPr>
          <w:rFonts w:asciiTheme="minorHAnsi" w:hAnsiTheme="minorHAnsi" w:cstheme="minorHAnsi"/>
        </w:rPr>
        <w:t xml:space="preserve">US </w:t>
      </w:r>
      <w:r w:rsidRPr="00F97957">
        <w:rPr>
          <w:rFonts w:asciiTheme="minorHAnsi" w:hAnsiTheme="minorHAnsi" w:cstheme="minorHAnsi"/>
        </w:rPr>
        <w:t>of the higher cost</w:t>
      </w:r>
      <w:r>
        <w:rPr>
          <w:rFonts w:asciiTheme="minorHAnsi" w:hAnsiTheme="minorHAnsi" w:cstheme="minorHAnsi"/>
        </w:rPr>
        <w:t xml:space="preserve"> structure are shown in Figure </w:t>
      </w:r>
      <w:r w:rsidR="003C371D">
        <w:rPr>
          <w:rFonts w:asciiTheme="minorHAnsi" w:hAnsiTheme="minorHAnsi" w:cstheme="minorHAnsi"/>
        </w:rPr>
        <w:t>D</w:t>
      </w:r>
      <w:r w:rsidR="0078789A">
        <w:rPr>
          <w:rFonts w:asciiTheme="minorHAnsi" w:hAnsiTheme="minorHAnsi" w:cstheme="minorHAnsi"/>
        </w:rPr>
        <w:t>-</w:t>
      </w:r>
      <w:r w:rsidR="006102B7">
        <w:rPr>
          <w:rFonts w:asciiTheme="minorHAnsi" w:hAnsiTheme="minorHAnsi" w:cstheme="minorHAnsi"/>
        </w:rPr>
        <w:t>1</w:t>
      </w:r>
      <w:r w:rsidR="006207CF">
        <w:rPr>
          <w:rFonts w:asciiTheme="minorHAnsi" w:hAnsiTheme="minorHAnsi" w:cstheme="minorHAnsi"/>
        </w:rPr>
        <w:t xml:space="preserve"> (labelled ‘High cost’), together with the results for the Paris Scenario</w:t>
      </w:r>
      <w:r w:rsidRPr="00F97957">
        <w:rPr>
          <w:rFonts w:asciiTheme="minorHAnsi" w:hAnsiTheme="minorHAnsi" w:cstheme="minorHAnsi"/>
        </w:rPr>
        <w:t xml:space="preserve">. The fall in GDP under the high cost scenario is twice as large as the Paris </w:t>
      </w:r>
      <w:r>
        <w:rPr>
          <w:rFonts w:asciiTheme="minorHAnsi" w:hAnsiTheme="minorHAnsi" w:cstheme="minorHAnsi"/>
        </w:rPr>
        <w:t>S</w:t>
      </w:r>
      <w:r w:rsidRPr="00F97957">
        <w:rPr>
          <w:rFonts w:asciiTheme="minorHAnsi" w:hAnsiTheme="minorHAnsi" w:cstheme="minorHAnsi"/>
        </w:rPr>
        <w:t xml:space="preserve">cenario. </w:t>
      </w:r>
      <w:r>
        <w:rPr>
          <w:rFonts w:asciiTheme="minorHAnsi" w:hAnsiTheme="minorHAnsi" w:cstheme="minorHAnsi"/>
        </w:rPr>
        <w:t>C</w:t>
      </w:r>
      <w:r w:rsidRPr="00F97957">
        <w:rPr>
          <w:rFonts w:asciiTheme="minorHAnsi" w:hAnsiTheme="minorHAnsi" w:cstheme="minorHAnsi"/>
        </w:rPr>
        <w:t>onsumption is reduced due to higher electricity prices</w:t>
      </w:r>
      <w:r>
        <w:rPr>
          <w:rFonts w:asciiTheme="minorHAnsi" w:hAnsiTheme="minorHAnsi" w:cstheme="minorHAnsi"/>
        </w:rPr>
        <w:t>, but</w:t>
      </w:r>
      <w:r w:rsidRPr="00F97957">
        <w:rPr>
          <w:rFonts w:asciiTheme="minorHAnsi" w:hAnsiTheme="minorHAnsi" w:cstheme="minorHAnsi"/>
        </w:rPr>
        <w:t xml:space="preserve"> investment is higher because more expenditure is </w:t>
      </w:r>
      <w:r>
        <w:rPr>
          <w:rFonts w:asciiTheme="minorHAnsi" w:hAnsiTheme="minorHAnsi" w:cstheme="minorHAnsi"/>
        </w:rPr>
        <w:t>required</w:t>
      </w:r>
      <w:r w:rsidRPr="00F97957">
        <w:rPr>
          <w:rFonts w:asciiTheme="minorHAnsi" w:hAnsiTheme="minorHAnsi" w:cstheme="minorHAnsi"/>
        </w:rPr>
        <w:t xml:space="preserve"> to </w:t>
      </w:r>
      <w:r>
        <w:rPr>
          <w:rFonts w:asciiTheme="minorHAnsi" w:hAnsiTheme="minorHAnsi" w:cstheme="minorHAnsi"/>
        </w:rPr>
        <w:t>achieve the 2020 and post-2020 targets.</w:t>
      </w:r>
      <w:r w:rsidRPr="00BC4A82">
        <w:rPr>
          <w:rFonts w:asciiTheme="minorHAnsi" w:hAnsiTheme="minorHAnsi" w:cstheme="minorHAnsi"/>
        </w:rPr>
        <w:t xml:space="preserve"> </w:t>
      </w:r>
      <w:r w:rsidR="002457F3">
        <w:rPr>
          <w:rFonts w:asciiTheme="minorHAnsi" w:hAnsiTheme="minorHAnsi" w:cstheme="minorHAnsi"/>
        </w:rPr>
        <w:t>R</w:t>
      </w:r>
      <w:r w:rsidRPr="00F97957">
        <w:rPr>
          <w:rFonts w:asciiTheme="minorHAnsi" w:hAnsiTheme="minorHAnsi" w:cstheme="minorHAnsi"/>
        </w:rPr>
        <w:t xml:space="preserve">esults </w:t>
      </w:r>
      <w:r w:rsidR="002457F3">
        <w:rPr>
          <w:rFonts w:asciiTheme="minorHAnsi" w:hAnsiTheme="minorHAnsi" w:cstheme="minorHAnsi"/>
        </w:rPr>
        <w:t xml:space="preserve">are broadly </w:t>
      </w:r>
      <w:r w:rsidRPr="00F97957">
        <w:rPr>
          <w:rFonts w:asciiTheme="minorHAnsi" w:hAnsiTheme="minorHAnsi" w:cstheme="minorHAnsi"/>
        </w:rPr>
        <w:t xml:space="preserve">similar in all countries where energy efficiency or non-fossil fuel expansion policies in electricity generation </w:t>
      </w:r>
      <w:r>
        <w:rPr>
          <w:rFonts w:asciiTheme="minorHAnsi" w:hAnsiTheme="minorHAnsi" w:cstheme="minorHAnsi"/>
        </w:rPr>
        <w:t>are</w:t>
      </w:r>
      <w:r w:rsidRPr="00F97957">
        <w:rPr>
          <w:rFonts w:asciiTheme="minorHAnsi" w:hAnsiTheme="minorHAnsi" w:cstheme="minorHAnsi"/>
        </w:rPr>
        <w:t xml:space="preserve"> undertaken.</w:t>
      </w:r>
    </w:p>
    <w:p w:rsidR="00935DBF" w:rsidRDefault="00087A50" w:rsidP="0085588A">
      <w:pPr>
        <w:keepNext/>
        <w:keepLines/>
        <w:spacing w:before="24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 xml:space="preserve">Figure </w:t>
      </w:r>
      <w:r w:rsidR="003C371D" w:rsidRPr="00192168">
        <w:rPr>
          <w:rFonts w:asciiTheme="minorHAnsi" w:hAnsiTheme="minorHAnsi" w:cstheme="minorHAnsi"/>
          <w:b/>
          <w:color w:val="4F81BD" w:themeColor="accent1"/>
        </w:rPr>
        <w:t>D</w:t>
      </w:r>
      <w:r w:rsidR="0078789A" w:rsidRPr="00192168">
        <w:rPr>
          <w:rFonts w:asciiTheme="minorHAnsi" w:hAnsiTheme="minorHAnsi" w:cstheme="minorHAnsi"/>
          <w:b/>
          <w:color w:val="4F81BD" w:themeColor="accent1"/>
        </w:rPr>
        <w:t>-</w:t>
      </w:r>
      <w:r w:rsidR="006102B7" w:rsidRPr="00192168">
        <w:rPr>
          <w:rFonts w:asciiTheme="minorHAnsi" w:hAnsiTheme="minorHAnsi" w:cstheme="minorHAnsi"/>
          <w:b/>
          <w:color w:val="4F81BD" w:themeColor="accent1"/>
        </w:rPr>
        <w:t>1</w:t>
      </w:r>
      <w:r w:rsidRPr="00192168">
        <w:rPr>
          <w:rFonts w:asciiTheme="minorHAnsi" w:hAnsiTheme="minorHAnsi" w:cstheme="minorHAnsi"/>
          <w:b/>
          <w:color w:val="4F81BD" w:themeColor="accent1"/>
        </w:rPr>
        <w:t>:</w:t>
      </w:r>
      <w:r w:rsidRPr="00192168">
        <w:rPr>
          <w:rFonts w:asciiTheme="minorHAnsi" w:hAnsiTheme="minorHAnsi" w:cstheme="minorHAnsi"/>
          <w:color w:val="4F81BD" w:themeColor="accent1"/>
        </w:rPr>
        <w:t xml:space="preserve"> </w:t>
      </w:r>
      <w:r w:rsidR="00E16E03" w:rsidRPr="00192168">
        <w:rPr>
          <w:rFonts w:asciiTheme="minorHAnsi" w:hAnsiTheme="minorHAnsi" w:cstheme="minorHAnsi"/>
          <w:color w:val="4F81BD" w:themeColor="accent1"/>
        </w:rPr>
        <w:t xml:space="preserve">United States: </w:t>
      </w:r>
      <w:r w:rsidRPr="00192168">
        <w:rPr>
          <w:rFonts w:asciiTheme="minorHAnsi" w:hAnsiTheme="minorHAnsi" w:cstheme="minorHAnsi"/>
          <w:color w:val="4F81BD" w:themeColor="accent1"/>
        </w:rPr>
        <w:t xml:space="preserve">Macroeconomic impacts, </w:t>
      </w:r>
      <w:r w:rsidR="00E16E03" w:rsidRPr="00192168">
        <w:rPr>
          <w:rFonts w:asciiTheme="minorHAnsi" w:hAnsiTheme="minorHAnsi" w:cstheme="minorHAnsi"/>
          <w:color w:val="4F81BD" w:themeColor="accent1"/>
        </w:rPr>
        <w:t xml:space="preserve">Technology and Policy Mix </w:t>
      </w:r>
      <w:r w:rsidR="00935DBF" w:rsidRPr="00192168">
        <w:rPr>
          <w:rFonts w:asciiTheme="minorHAnsi" w:hAnsiTheme="minorHAnsi" w:cstheme="minorHAnsi"/>
          <w:color w:val="4F81BD" w:themeColor="accent1"/>
        </w:rPr>
        <w:t xml:space="preserve">Scenario </w:t>
      </w:r>
      <w:r w:rsidR="00E16E03" w:rsidRPr="00192168">
        <w:rPr>
          <w:rFonts w:asciiTheme="minorHAnsi" w:hAnsiTheme="minorHAnsi" w:cstheme="minorHAnsi"/>
          <w:color w:val="4F81BD" w:themeColor="accent1"/>
        </w:rPr>
        <w:t>and Paris Scenario</w:t>
      </w:r>
      <w:r w:rsidRPr="00192168">
        <w:rPr>
          <w:rFonts w:asciiTheme="minorHAnsi" w:hAnsiTheme="minorHAnsi" w:cstheme="minorHAnsi"/>
          <w:color w:val="4F81BD" w:themeColor="accent1"/>
        </w:rPr>
        <w:t>, 2030 (percentage deviation</w:t>
      </w:r>
      <w:r w:rsidR="006D00FA" w:rsidRPr="00192168">
        <w:rPr>
          <w:rFonts w:asciiTheme="minorHAnsi" w:hAnsiTheme="minorHAnsi" w:cstheme="minorHAnsi"/>
          <w:color w:val="4F81BD" w:themeColor="accent1"/>
        </w:rPr>
        <w:t xml:space="preserve"> from Current Policies</w:t>
      </w:r>
      <w:r w:rsidR="00935DBF">
        <w:rPr>
          <w:rFonts w:asciiTheme="minorHAnsi" w:hAnsiTheme="minorHAnsi" w:cstheme="minorHAnsi"/>
          <w:color w:val="4F81BD" w:themeColor="accent1"/>
        </w:rPr>
        <w:t xml:space="preserve"> </w:t>
      </w:r>
      <w:r w:rsidR="006D00FA" w:rsidRPr="00192168">
        <w:rPr>
          <w:rFonts w:asciiTheme="minorHAnsi" w:hAnsiTheme="minorHAnsi" w:cstheme="minorHAnsi"/>
          <w:color w:val="4F81BD" w:themeColor="accent1"/>
        </w:rPr>
        <w:t>Scenario</w:t>
      </w:r>
      <w:r w:rsidRPr="00192168">
        <w:rPr>
          <w:rFonts w:asciiTheme="minorHAnsi" w:hAnsiTheme="minorHAnsi" w:cstheme="minorHAnsi"/>
          <w:color w:val="4F81BD" w:themeColor="accent1"/>
        </w:rPr>
        <w:t>)</w:t>
      </w:r>
    </w:p>
    <w:p w:rsidR="00935DBF" w:rsidRDefault="002457F3" w:rsidP="0085588A">
      <w:pPr>
        <w:keepNext/>
        <w:keepLines/>
        <w:spacing w:before="240"/>
        <w:rPr>
          <w:noProof/>
          <w:color w:val="4F81BD" w:themeColor="accent1"/>
          <w:lang w:eastAsia="en-AU"/>
        </w:rPr>
      </w:pPr>
      <w:r w:rsidRPr="002457F3">
        <w:rPr>
          <w:noProof/>
          <w:lang w:eastAsia="en-AU"/>
        </w:rPr>
        <w:drawing>
          <wp:inline distT="0" distB="0" distL="0" distR="0" wp14:anchorId="4AC9D520" wp14:editId="3C02099D">
            <wp:extent cx="4476191" cy="2742857"/>
            <wp:effectExtent l="0" t="0" r="635" b="635"/>
            <wp:docPr id="680" name="Picture 680" descr="Under the Paris Scenario, United States has the following percentage deviation from the Current Policies Scenario in 2030: Real GDP (-0.1%), Consumption (-0.4%), Investment (2.2%), Trade Balance (-0.1%). Under the Technology and Policy Mix sensitivity scenario, United States has the following percentage deviation from the Current Policies Scenario in 2030: Real GDP (-0.2%), Consumption (-0.5%), Investment (2.3%), Trade Balance (-0.1%).&#10;" title="Figure D-1: United States: Macroeconomic impacts, Technology and Policy Mix Scenario and Paris Scenario, 2030 (percentage deviation from Current Policie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476191" cy="2742857"/>
                    </a:xfrm>
                    <a:prstGeom prst="rect">
                      <a:avLst/>
                    </a:prstGeom>
                  </pic:spPr>
                </pic:pic>
              </a:graphicData>
            </a:graphic>
          </wp:inline>
        </w:drawing>
      </w:r>
    </w:p>
    <w:p w:rsidR="0055198F" w:rsidRDefault="006207CF" w:rsidP="00935DBF">
      <w:pPr>
        <w:keepNext/>
        <w:keepLines/>
        <w:spacing w:before="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w:t>
      </w:r>
      <w:r w:rsidR="0055198F">
        <w:rPr>
          <w:rFonts w:asciiTheme="minorHAnsi" w:hAnsiTheme="minorHAnsi" w:cstheme="minorHAnsi"/>
          <w:color w:val="4F81BD" w:themeColor="accent1"/>
          <w:sz w:val="16"/>
        </w:rPr>
        <w:t>s</w:t>
      </w:r>
      <w:r w:rsidRPr="00BF39AB">
        <w:rPr>
          <w:rFonts w:asciiTheme="minorHAnsi" w:hAnsiTheme="minorHAnsi" w:cstheme="minorHAnsi"/>
          <w:color w:val="4F81BD" w:themeColor="accent1"/>
          <w:sz w:val="16"/>
        </w:rPr>
        <w:t xml:space="preserve">: </w:t>
      </w:r>
    </w:p>
    <w:p w:rsidR="0055198F" w:rsidRDefault="006207CF" w:rsidP="00797CFB">
      <w:pPr>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 xml:space="preserve">‘High cost’ refers to the </w:t>
      </w:r>
      <w:r w:rsidR="00C33414" w:rsidRPr="00BF39AB">
        <w:rPr>
          <w:rFonts w:asciiTheme="minorHAnsi" w:hAnsiTheme="minorHAnsi" w:cstheme="minorHAnsi"/>
          <w:color w:val="4F81BD" w:themeColor="accent1"/>
          <w:sz w:val="16"/>
        </w:rPr>
        <w:t xml:space="preserve">Technology and Policy Mix </w:t>
      </w:r>
      <w:r w:rsidRPr="00BF39AB">
        <w:rPr>
          <w:rFonts w:asciiTheme="minorHAnsi" w:hAnsiTheme="minorHAnsi" w:cstheme="minorHAnsi"/>
          <w:color w:val="4F81BD" w:themeColor="accent1"/>
          <w:sz w:val="16"/>
        </w:rPr>
        <w:t xml:space="preserve">sensitivity </w:t>
      </w:r>
      <w:r w:rsidR="004650A6" w:rsidRPr="00BF39AB">
        <w:rPr>
          <w:rFonts w:asciiTheme="minorHAnsi" w:hAnsiTheme="minorHAnsi" w:cstheme="minorHAnsi"/>
          <w:color w:val="4F81BD" w:themeColor="accent1"/>
          <w:sz w:val="16"/>
        </w:rPr>
        <w:t>scenario.</w:t>
      </w:r>
      <w:r w:rsidR="0055198F" w:rsidRPr="00BF39AB">
        <w:rPr>
          <w:rFonts w:asciiTheme="minorHAnsi" w:hAnsiTheme="minorHAnsi" w:cstheme="minorHAnsi"/>
          <w:color w:val="4F81BD" w:themeColor="accent1"/>
          <w:sz w:val="16"/>
        </w:rPr>
        <w:t xml:space="preserve"> </w:t>
      </w:r>
    </w:p>
    <w:p w:rsidR="0055198F" w:rsidRPr="00BF39AB" w:rsidRDefault="0055198F" w:rsidP="0055198F">
      <w:pPr>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Trade balance result is deviation in trade balance divided by GDP.</w:t>
      </w:r>
    </w:p>
    <w:p w:rsidR="00087A50" w:rsidRDefault="00087A50" w:rsidP="00087A50">
      <w:pPr>
        <w:spacing w:after="100" w:afterAutospacing="1"/>
        <w:rPr>
          <w:rFonts w:asciiTheme="minorHAnsi" w:hAnsiTheme="minorHAnsi" w:cstheme="minorHAnsi"/>
        </w:rPr>
      </w:pPr>
      <w:r w:rsidRPr="00F97957">
        <w:rPr>
          <w:rFonts w:asciiTheme="minorHAnsi" w:hAnsiTheme="minorHAnsi" w:cstheme="minorHAnsi"/>
        </w:rPr>
        <w:t xml:space="preserve">Figure </w:t>
      </w:r>
      <w:r w:rsidR="003C371D">
        <w:rPr>
          <w:rFonts w:asciiTheme="minorHAnsi" w:hAnsiTheme="minorHAnsi" w:cstheme="minorHAnsi"/>
        </w:rPr>
        <w:t>D</w:t>
      </w:r>
      <w:r w:rsidR="0078789A">
        <w:rPr>
          <w:rFonts w:asciiTheme="minorHAnsi" w:hAnsiTheme="minorHAnsi" w:cstheme="minorHAnsi"/>
        </w:rPr>
        <w:t>-</w:t>
      </w:r>
      <w:r w:rsidR="006102B7">
        <w:rPr>
          <w:rFonts w:asciiTheme="minorHAnsi" w:hAnsiTheme="minorHAnsi" w:cstheme="minorHAnsi"/>
        </w:rPr>
        <w:t>2</w:t>
      </w:r>
      <w:r w:rsidR="0078789A" w:rsidRPr="00F97957">
        <w:rPr>
          <w:rFonts w:asciiTheme="minorHAnsi" w:hAnsiTheme="minorHAnsi" w:cstheme="minorHAnsi"/>
        </w:rPr>
        <w:t xml:space="preserve"> </w:t>
      </w:r>
      <w:r w:rsidRPr="00F97957">
        <w:rPr>
          <w:rFonts w:asciiTheme="minorHAnsi" w:hAnsiTheme="minorHAnsi" w:cstheme="minorHAnsi"/>
        </w:rPr>
        <w:t xml:space="preserve">shows that </w:t>
      </w:r>
      <w:r>
        <w:rPr>
          <w:rFonts w:asciiTheme="minorHAnsi" w:hAnsiTheme="minorHAnsi" w:cstheme="minorHAnsi"/>
        </w:rPr>
        <w:t xml:space="preserve">a higher cost to other countries of reaching their </w:t>
      </w:r>
      <w:r w:rsidRPr="00F97957">
        <w:rPr>
          <w:rFonts w:asciiTheme="minorHAnsi" w:hAnsiTheme="minorHAnsi" w:cstheme="minorHAnsi"/>
        </w:rPr>
        <w:t xml:space="preserve">targets reduces the </w:t>
      </w:r>
      <w:r>
        <w:rPr>
          <w:rFonts w:asciiTheme="minorHAnsi" w:hAnsiTheme="minorHAnsi" w:cstheme="minorHAnsi"/>
        </w:rPr>
        <w:t>impact of international action on</w:t>
      </w:r>
      <w:r w:rsidRPr="00F97957">
        <w:rPr>
          <w:rFonts w:asciiTheme="minorHAnsi" w:hAnsiTheme="minorHAnsi" w:cstheme="minorHAnsi"/>
        </w:rPr>
        <w:t xml:space="preserve"> Australia. </w:t>
      </w:r>
      <w:r>
        <w:rPr>
          <w:rFonts w:asciiTheme="minorHAnsi" w:hAnsiTheme="minorHAnsi" w:cstheme="minorHAnsi"/>
        </w:rPr>
        <w:t>This is because</w:t>
      </w:r>
      <w:r w:rsidRPr="00F97957">
        <w:rPr>
          <w:rFonts w:asciiTheme="minorHAnsi" w:hAnsiTheme="minorHAnsi" w:cstheme="minorHAnsi"/>
        </w:rPr>
        <w:t xml:space="preserve"> other economies </w:t>
      </w:r>
      <w:r>
        <w:rPr>
          <w:rFonts w:asciiTheme="minorHAnsi" w:hAnsiTheme="minorHAnsi" w:cstheme="minorHAnsi"/>
        </w:rPr>
        <w:t xml:space="preserve">are less competitive as a result of the higher cost </w:t>
      </w:r>
      <w:r w:rsidRPr="00F97957">
        <w:rPr>
          <w:rFonts w:asciiTheme="minorHAnsi" w:hAnsiTheme="minorHAnsi" w:cstheme="minorHAnsi"/>
        </w:rPr>
        <w:t>policies</w:t>
      </w:r>
      <w:r>
        <w:rPr>
          <w:rFonts w:asciiTheme="minorHAnsi" w:hAnsiTheme="minorHAnsi" w:cstheme="minorHAnsi"/>
        </w:rPr>
        <w:t>, and Australia does not put forward new targets or policies in the modelling</w:t>
      </w:r>
      <w:r w:rsidRPr="00F97957">
        <w:rPr>
          <w:rFonts w:asciiTheme="minorHAnsi" w:hAnsiTheme="minorHAnsi" w:cstheme="minorHAnsi"/>
        </w:rPr>
        <w:t xml:space="preserve">. </w:t>
      </w:r>
      <w:r>
        <w:rPr>
          <w:rFonts w:asciiTheme="minorHAnsi" w:hAnsiTheme="minorHAnsi" w:cstheme="minorHAnsi"/>
        </w:rPr>
        <w:t>As a result,</w:t>
      </w:r>
      <w:r w:rsidRPr="00F97957">
        <w:rPr>
          <w:rFonts w:asciiTheme="minorHAnsi" w:hAnsiTheme="minorHAnsi" w:cstheme="minorHAnsi"/>
        </w:rPr>
        <w:t xml:space="preserve"> exports of energy goods from Australia do not fall by as much as under the Paris </w:t>
      </w:r>
      <w:r>
        <w:rPr>
          <w:rFonts w:asciiTheme="minorHAnsi" w:hAnsiTheme="minorHAnsi" w:cstheme="minorHAnsi"/>
        </w:rPr>
        <w:t xml:space="preserve">Scenario and the </w:t>
      </w:r>
      <w:r w:rsidRPr="00F97957">
        <w:rPr>
          <w:rFonts w:asciiTheme="minorHAnsi" w:hAnsiTheme="minorHAnsi" w:cstheme="minorHAnsi"/>
        </w:rPr>
        <w:t>A</w:t>
      </w:r>
      <w:r>
        <w:rPr>
          <w:rFonts w:asciiTheme="minorHAnsi" w:hAnsiTheme="minorHAnsi" w:cstheme="minorHAnsi"/>
        </w:rPr>
        <w:t>ustralian dollar</w:t>
      </w:r>
      <w:r w:rsidRPr="00F97957">
        <w:rPr>
          <w:rFonts w:asciiTheme="minorHAnsi" w:hAnsiTheme="minorHAnsi" w:cstheme="minorHAnsi"/>
        </w:rPr>
        <w:t xml:space="preserve"> is stronger. This tends to reduce exports of non-energy sectors slightly</w:t>
      </w:r>
      <w:r>
        <w:rPr>
          <w:rFonts w:asciiTheme="minorHAnsi" w:hAnsiTheme="minorHAnsi" w:cstheme="minorHAnsi"/>
        </w:rPr>
        <w:t>,</w:t>
      </w:r>
      <w:r w:rsidRPr="00F97957">
        <w:rPr>
          <w:rFonts w:asciiTheme="minorHAnsi" w:hAnsiTheme="minorHAnsi" w:cstheme="minorHAnsi"/>
        </w:rPr>
        <w:t xml:space="preserve"> but the real income effects of the currency change (and the enhanced competiveness relative to other countries) and the lower drop in energy exports </w:t>
      </w:r>
      <w:r>
        <w:rPr>
          <w:rFonts w:asciiTheme="minorHAnsi" w:hAnsiTheme="minorHAnsi" w:cstheme="minorHAnsi"/>
        </w:rPr>
        <w:t>has a net benefit to</w:t>
      </w:r>
      <w:r w:rsidRPr="00F97957">
        <w:rPr>
          <w:rFonts w:asciiTheme="minorHAnsi" w:hAnsiTheme="minorHAnsi" w:cstheme="minorHAnsi"/>
        </w:rPr>
        <w:t xml:space="preserve"> the Australia</w:t>
      </w:r>
      <w:r>
        <w:rPr>
          <w:rFonts w:asciiTheme="minorHAnsi" w:hAnsiTheme="minorHAnsi" w:cstheme="minorHAnsi"/>
        </w:rPr>
        <w:t>n</w:t>
      </w:r>
      <w:r w:rsidRPr="00F97957">
        <w:rPr>
          <w:rFonts w:asciiTheme="minorHAnsi" w:hAnsiTheme="minorHAnsi" w:cstheme="minorHAnsi"/>
        </w:rPr>
        <w:t xml:space="preserve"> economy.</w:t>
      </w:r>
    </w:p>
    <w:p w:rsidR="006D00FA" w:rsidRPr="00192168" w:rsidRDefault="00E16E03" w:rsidP="0085588A">
      <w:pPr>
        <w:keepNext/>
        <w:keepLines/>
        <w:spacing w:before="240"/>
        <w:rPr>
          <w:noProof/>
          <w:color w:val="4F81BD" w:themeColor="accent1"/>
          <w:lang w:eastAsia="en-AU"/>
        </w:rPr>
      </w:pPr>
      <w:r w:rsidRPr="00192168">
        <w:rPr>
          <w:rFonts w:asciiTheme="minorHAnsi" w:hAnsiTheme="minorHAnsi" w:cstheme="minorHAnsi"/>
          <w:b/>
          <w:color w:val="4F81BD" w:themeColor="accent1"/>
        </w:rPr>
        <w:lastRenderedPageBreak/>
        <w:t>Figure D-</w:t>
      </w:r>
      <w:r w:rsidR="006102B7" w:rsidRPr="00192168">
        <w:rPr>
          <w:rFonts w:asciiTheme="minorHAnsi" w:hAnsiTheme="minorHAnsi" w:cstheme="minorHAnsi"/>
          <w:b/>
          <w:color w:val="4F81BD" w:themeColor="accent1"/>
        </w:rPr>
        <w:t>2</w:t>
      </w:r>
      <w:r w:rsidRPr="00192168">
        <w:rPr>
          <w:rFonts w:asciiTheme="minorHAnsi" w:hAnsiTheme="minorHAnsi" w:cstheme="minorHAnsi"/>
          <w:b/>
          <w:color w:val="4F81BD" w:themeColor="accent1"/>
        </w:rPr>
        <w:t>:</w:t>
      </w:r>
      <w:r w:rsidRPr="00192168">
        <w:rPr>
          <w:rFonts w:asciiTheme="minorHAnsi" w:hAnsiTheme="minorHAnsi" w:cstheme="minorHAnsi"/>
          <w:color w:val="4F81BD" w:themeColor="accent1"/>
        </w:rPr>
        <w:t xml:space="preserve"> Australia: Macroeconomic impacts, Technology and Policy Mix </w:t>
      </w:r>
      <w:r w:rsidR="00935DBF" w:rsidRPr="00192168">
        <w:rPr>
          <w:rFonts w:asciiTheme="minorHAnsi" w:hAnsiTheme="minorHAnsi" w:cstheme="minorHAnsi"/>
          <w:color w:val="4F81BD" w:themeColor="accent1"/>
        </w:rPr>
        <w:t xml:space="preserve">Scenario </w:t>
      </w:r>
      <w:r w:rsidRPr="00192168">
        <w:rPr>
          <w:rFonts w:asciiTheme="minorHAnsi" w:hAnsiTheme="minorHAnsi" w:cstheme="minorHAnsi"/>
          <w:color w:val="4F81BD" w:themeColor="accent1"/>
        </w:rPr>
        <w:t>and Paris Scenario, 2030 (percentage deviation</w:t>
      </w:r>
      <w:r w:rsidR="006D00FA" w:rsidRPr="00192168">
        <w:rPr>
          <w:rFonts w:asciiTheme="minorHAnsi" w:hAnsiTheme="minorHAnsi" w:cstheme="minorHAnsi"/>
          <w:color w:val="4F81BD" w:themeColor="accent1"/>
        </w:rPr>
        <w:t xml:space="preserve"> from Current Policies Scenario</w:t>
      </w:r>
      <w:r w:rsidRPr="00192168">
        <w:rPr>
          <w:rFonts w:asciiTheme="minorHAnsi" w:hAnsiTheme="minorHAnsi" w:cstheme="minorHAnsi"/>
          <w:color w:val="4F81BD" w:themeColor="accent1"/>
        </w:rPr>
        <w:t>)</w:t>
      </w:r>
      <w:r w:rsidRPr="00192168">
        <w:rPr>
          <w:noProof/>
          <w:color w:val="4F81BD" w:themeColor="accent1"/>
          <w:lang w:eastAsia="en-AU"/>
        </w:rPr>
        <w:t xml:space="preserve"> </w:t>
      </w:r>
      <w:r w:rsidR="007549FB" w:rsidRPr="00192168">
        <w:rPr>
          <w:noProof/>
          <w:color w:val="4F81BD" w:themeColor="accent1"/>
          <w:lang w:eastAsia="en-AU"/>
        </w:rPr>
        <w:t xml:space="preserve"> </w:t>
      </w:r>
    </w:p>
    <w:p w:rsidR="00087A50" w:rsidRDefault="00B84F4F" w:rsidP="00483B3D">
      <w:pPr>
        <w:keepNext/>
        <w:keepLines/>
      </w:pPr>
      <w:r w:rsidRPr="00B84F4F">
        <w:rPr>
          <w:noProof/>
          <w:lang w:eastAsia="en-AU"/>
        </w:rPr>
        <w:drawing>
          <wp:inline distT="0" distB="0" distL="0" distR="0" wp14:anchorId="5937B74E" wp14:editId="4980222C">
            <wp:extent cx="4476191" cy="2742857"/>
            <wp:effectExtent l="0" t="0" r="635" b="635"/>
            <wp:docPr id="669" name="Picture 669" descr="Under the Paris Scenario, Australia has the following percentage deviation from the Current Policies Scenario in 2030: Real GDP (-0.2%), Consumption (-0.1%), Investment (-0.7%), Trade Balance (+0.0%). Under the Technology and Policy Mix sensitivity scenario, Australia has the following percentage deviation from the Current Policies Scenario in 2030: Real GDP (-0.1%), Consumption (-0.1%), Investment (-0.6%), Trade Balance (+0.0%).&#10;" title="Figure D-2: Australia: Macroeconomic impacts, Technology and Policy Mix Scenario and Paris Scenario, 2030 (percentage deviation from Current Policies Scenar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476191" cy="2742857"/>
                    </a:xfrm>
                    <a:prstGeom prst="rect">
                      <a:avLst/>
                    </a:prstGeom>
                  </pic:spPr>
                </pic:pic>
              </a:graphicData>
            </a:graphic>
          </wp:inline>
        </w:drawing>
      </w:r>
    </w:p>
    <w:p w:rsidR="0055198F" w:rsidRDefault="0055198F" w:rsidP="0055198F">
      <w:pPr>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w:t>
      </w:r>
      <w:r>
        <w:rPr>
          <w:rFonts w:asciiTheme="minorHAnsi" w:hAnsiTheme="minorHAnsi" w:cstheme="minorHAnsi"/>
          <w:color w:val="4F81BD" w:themeColor="accent1"/>
          <w:sz w:val="16"/>
        </w:rPr>
        <w:t>s</w:t>
      </w:r>
      <w:r w:rsidRPr="00BF39AB">
        <w:rPr>
          <w:rFonts w:asciiTheme="minorHAnsi" w:hAnsiTheme="minorHAnsi" w:cstheme="minorHAnsi"/>
          <w:color w:val="4F81BD" w:themeColor="accent1"/>
          <w:sz w:val="16"/>
        </w:rPr>
        <w:t xml:space="preserve">: </w:t>
      </w:r>
    </w:p>
    <w:p w:rsidR="0055198F" w:rsidRDefault="0055198F" w:rsidP="0055198F">
      <w:pPr>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 xml:space="preserve">‘High cost’ refers to the Technology and Policy Mix sensitivity scenario. </w:t>
      </w:r>
    </w:p>
    <w:p w:rsidR="0055198F" w:rsidRPr="00BF39AB" w:rsidRDefault="0055198F" w:rsidP="0055198F">
      <w:pPr>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Trade balance result is deviation in trade balance divided by GDP.</w:t>
      </w:r>
    </w:p>
    <w:p w:rsidR="00255643" w:rsidRPr="00BF39AB" w:rsidRDefault="00255643" w:rsidP="00255643">
      <w:pPr>
        <w:pStyle w:val="ListParagraph"/>
        <w:spacing w:line="360" w:lineRule="auto"/>
        <w:ind w:left="0"/>
        <w:rPr>
          <w:rFonts w:asciiTheme="minorHAnsi" w:hAnsiTheme="minorHAnsi" w:cstheme="minorHAnsi"/>
          <w:i/>
          <w:color w:val="996633"/>
        </w:rPr>
      </w:pPr>
      <w:r w:rsidRPr="00BF39AB">
        <w:rPr>
          <w:rFonts w:asciiTheme="minorHAnsi" w:hAnsiTheme="minorHAnsi" w:cstheme="minorHAnsi"/>
          <w:i/>
          <w:color w:val="996633"/>
        </w:rPr>
        <w:t>Policy Uncertainty Scenario</w:t>
      </w:r>
    </w:p>
    <w:p w:rsidR="00255643" w:rsidRDefault="00255643" w:rsidP="00255643">
      <w:pPr>
        <w:spacing w:after="100" w:afterAutospacing="1"/>
        <w:rPr>
          <w:rFonts w:asciiTheme="minorHAnsi" w:hAnsiTheme="minorHAnsi" w:cstheme="minorHAnsi"/>
        </w:rPr>
      </w:pPr>
      <w:r>
        <w:rPr>
          <w:rFonts w:asciiTheme="minorHAnsi" w:hAnsiTheme="minorHAnsi" w:cstheme="minorHAnsi"/>
        </w:rPr>
        <w:t xml:space="preserve">The second sensitivity scenario </w:t>
      </w:r>
      <w:r w:rsidRPr="00EA04F8">
        <w:rPr>
          <w:rFonts w:asciiTheme="minorHAnsi" w:hAnsiTheme="minorHAnsi" w:cstheme="minorHAnsi"/>
        </w:rPr>
        <w:t>focuses on the</w:t>
      </w:r>
      <w:r>
        <w:rPr>
          <w:rFonts w:asciiTheme="minorHAnsi" w:hAnsiTheme="minorHAnsi" w:cstheme="minorHAnsi"/>
        </w:rPr>
        <w:t xml:space="preserve"> cost</w:t>
      </w:r>
      <w:r w:rsidRPr="00EA04F8">
        <w:rPr>
          <w:rFonts w:asciiTheme="minorHAnsi" w:hAnsiTheme="minorHAnsi" w:cstheme="minorHAnsi"/>
        </w:rPr>
        <w:t xml:space="preserve"> of </w:t>
      </w:r>
      <w:r>
        <w:rPr>
          <w:rFonts w:asciiTheme="minorHAnsi" w:hAnsiTheme="minorHAnsi" w:cstheme="minorHAnsi"/>
        </w:rPr>
        <w:t xml:space="preserve">policy uncertainty if Australia did not commit to any post-2020 target. </w:t>
      </w:r>
      <w:r w:rsidRPr="00EA04F8">
        <w:rPr>
          <w:rFonts w:asciiTheme="minorHAnsi" w:hAnsiTheme="minorHAnsi" w:cstheme="minorHAnsi"/>
        </w:rPr>
        <w:t>This</w:t>
      </w:r>
      <w:r>
        <w:rPr>
          <w:rFonts w:asciiTheme="minorHAnsi" w:hAnsiTheme="minorHAnsi" w:cstheme="minorHAnsi"/>
        </w:rPr>
        <w:t xml:space="preserve"> market</w:t>
      </w:r>
      <w:r w:rsidRPr="00EA04F8">
        <w:rPr>
          <w:rFonts w:asciiTheme="minorHAnsi" w:hAnsiTheme="minorHAnsi" w:cstheme="minorHAnsi"/>
        </w:rPr>
        <w:t xml:space="preserve"> uncertainty is </w:t>
      </w:r>
      <w:r>
        <w:rPr>
          <w:rFonts w:asciiTheme="minorHAnsi" w:hAnsiTheme="minorHAnsi" w:cstheme="minorHAnsi"/>
        </w:rPr>
        <w:t>modelled as an increase in the</w:t>
      </w:r>
      <w:r w:rsidRPr="00EA04F8">
        <w:rPr>
          <w:rFonts w:asciiTheme="minorHAnsi" w:hAnsiTheme="minorHAnsi" w:cstheme="minorHAnsi"/>
        </w:rPr>
        <w:t xml:space="preserve"> risk premium in Australian energy sectors </w:t>
      </w:r>
      <w:r>
        <w:rPr>
          <w:rFonts w:asciiTheme="minorHAnsi" w:hAnsiTheme="minorHAnsi" w:cstheme="minorHAnsi"/>
        </w:rPr>
        <w:t>of</w:t>
      </w:r>
      <w:r w:rsidRPr="00EA04F8">
        <w:rPr>
          <w:rFonts w:asciiTheme="minorHAnsi" w:hAnsiTheme="minorHAnsi" w:cstheme="minorHAnsi"/>
        </w:rPr>
        <w:t xml:space="preserve"> </w:t>
      </w:r>
      <w:r>
        <w:rPr>
          <w:rFonts w:asciiTheme="minorHAnsi" w:hAnsiTheme="minorHAnsi" w:cstheme="minorHAnsi"/>
        </w:rPr>
        <w:t xml:space="preserve">4 per cent, compared with the Paris Scenario. This is a reasonable </w:t>
      </w:r>
      <w:r w:rsidR="00C37AA1">
        <w:rPr>
          <w:rFonts w:asciiTheme="minorHAnsi" w:hAnsiTheme="minorHAnsi" w:cstheme="minorHAnsi"/>
        </w:rPr>
        <w:t xml:space="preserve">assumption </w:t>
      </w:r>
      <w:r w:rsidRPr="00EA04F8">
        <w:rPr>
          <w:rFonts w:asciiTheme="minorHAnsi" w:hAnsiTheme="minorHAnsi" w:cstheme="minorHAnsi"/>
        </w:rPr>
        <w:t>relative to recent swings in risk premia observed in markets</w:t>
      </w:r>
      <w:r w:rsidR="00C37AA1">
        <w:rPr>
          <w:rFonts w:asciiTheme="minorHAnsi" w:hAnsiTheme="minorHAnsi" w:cstheme="minorHAnsi"/>
        </w:rPr>
        <w:t xml:space="preserve"> and calculations of the cost of policy uncertainty on the cost of debt for renewable energy in the </w:t>
      </w:r>
      <w:r w:rsidR="00656FF9">
        <w:rPr>
          <w:rFonts w:asciiTheme="minorHAnsi" w:hAnsiTheme="minorHAnsi" w:cstheme="minorHAnsi"/>
        </w:rPr>
        <w:t>US</w:t>
      </w:r>
      <w:r w:rsidR="00C37AA1">
        <w:rPr>
          <w:rStyle w:val="FootnoteReference"/>
          <w:rFonts w:asciiTheme="minorHAnsi" w:hAnsiTheme="minorHAnsi" w:cstheme="minorHAnsi"/>
        </w:rPr>
        <w:footnoteReference w:id="20"/>
      </w:r>
      <w:r w:rsidRPr="00EA04F8">
        <w:rPr>
          <w:rFonts w:asciiTheme="minorHAnsi" w:hAnsiTheme="minorHAnsi" w:cstheme="minorHAnsi"/>
        </w:rPr>
        <w:t>.</w:t>
      </w:r>
    </w:p>
    <w:p w:rsidR="000A00B2" w:rsidRDefault="000A00B2" w:rsidP="000A00B2">
      <w:pPr>
        <w:spacing w:after="100" w:afterAutospacing="1"/>
        <w:rPr>
          <w:rFonts w:asciiTheme="minorHAnsi" w:hAnsiTheme="minorHAnsi" w:cstheme="minorHAnsi"/>
        </w:rPr>
      </w:pPr>
      <w:r>
        <w:rPr>
          <w:rFonts w:asciiTheme="minorHAnsi" w:hAnsiTheme="minorHAnsi" w:cstheme="minorHAnsi"/>
        </w:rPr>
        <w:t>The results show that the impact of policy uncertainty (labelled ‘Higher risk’ in Figure D-3) on Australia’s real GDP is more than double the impact of international action in</w:t>
      </w:r>
      <w:r w:rsidRPr="00167D11">
        <w:rPr>
          <w:rFonts w:asciiTheme="minorHAnsi" w:hAnsiTheme="minorHAnsi" w:cstheme="minorHAnsi"/>
        </w:rPr>
        <w:t xml:space="preserve"> the Paris </w:t>
      </w:r>
      <w:r>
        <w:rPr>
          <w:rFonts w:asciiTheme="minorHAnsi" w:hAnsiTheme="minorHAnsi" w:cstheme="minorHAnsi"/>
        </w:rPr>
        <w:t>S</w:t>
      </w:r>
      <w:r w:rsidRPr="00167D11">
        <w:rPr>
          <w:rFonts w:asciiTheme="minorHAnsi" w:hAnsiTheme="minorHAnsi" w:cstheme="minorHAnsi"/>
        </w:rPr>
        <w:t xml:space="preserve">cenario. </w:t>
      </w:r>
      <w:r>
        <w:rPr>
          <w:rFonts w:asciiTheme="minorHAnsi" w:hAnsiTheme="minorHAnsi" w:cstheme="minorHAnsi"/>
        </w:rPr>
        <w:t>This result is driven by changes to investment in the Australian economy.</w:t>
      </w:r>
    </w:p>
    <w:p w:rsidR="00255643" w:rsidRPr="00192168" w:rsidRDefault="00255643" w:rsidP="0085588A">
      <w:pPr>
        <w:keepNext/>
        <w:keepLines/>
        <w:spacing w:before="240"/>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Figure D-</w:t>
      </w:r>
      <w:r w:rsidR="006102B7" w:rsidRPr="00192168">
        <w:rPr>
          <w:rFonts w:asciiTheme="minorHAnsi" w:hAnsiTheme="minorHAnsi" w:cstheme="minorHAnsi"/>
          <w:b/>
          <w:color w:val="4F81BD" w:themeColor="accent1"/>
        </w:rPr>
        <w:t>3</w:t>
      </w:r>
      <w:r w:rsidRPr="00192168">
        <w:rPr>
          <w:rFonts w:asciiTheme="minorHAnsi" w:hAnsiTheme="minorHAnsi" w:cstheme="minorHAnsi"/>
          <w:b/>
          <w:color w:val="4F81BD" w:themeColor="accent1"/>
        </w:rPr>
        <w:t xml:space="preserve">: </w:t>
      </w:r>
      <w:r w:rsidR="0050472B" w:rsidRPr="00935DBF">
        <w:rPr>
          <w:rFonts w:asciiTheme="minorHAnsi" w:hAnsiTheme="minorHAnsi" w:cstheme="minorHAnsi"/>
          <w:color w:val="4F81BD" w:themeColor="accent1"/>
        </w:rPr>
        <w:t>Australia:</w:t>
      </w:r>
      <w:r w:rsidR="0050472B">
        <w:rPr>
          <w:rFonts w:asciiTheme="minorHAnsi" w:hAnsiTheme="minorHAnsi" w:cstheme="minorHAnsi"/>
          <w:b/>
          <w:color w:val="4F81BD" w:themeColor="accent1"/>
        </w:rPr>
        <w:t xml:space="preserve"> </w:t>
      </w:r>
      <w:r w:rsidRPr="00192168">
        <w:rPr>
          <w:rFonts w:asciiTheme="minorHAnsi" w:hAnsiTheme="minorHAnsi" w:cstheme="minorHAnsi"/>
          <w:color w:val="4F81BD" w:themeColor="accent1"/>
        </w:rPr>
        <w:t>Macroeconomic impacts</w:t>
      </w:r>
      <w:r w:rsidR="0050472B">
        <w:rPr>
          <w:rFonts w:asciiTheme="minorHAnsi" w:hAnsiTheme="minorHAnsi" w:cstheme="minorHAnsi"/>
          <w:color w:val="4F81BD" w:themeColor="accent1"/>
        </w:rPr>
        <w:t>, P</w:t>
      </w:r>
      <w:r w:rsidRPr="00192168">
        <w:rPr>
          <w:rFonts w:asciiTheme="minorHAnsi" w:hAnsiTheme="minorHAnsi" w:cstheme="minorHAnsi"/>
          <w:color w:val="4F81BD" w:themeColor="accent1"/>
        </w:rPr>
        <w:t xml:space="preserve">olicy </w:t>
      </w:r>
      <w:r w:rsidR="0050472B">
        <w:rPr>
          <w:rFonts w:asciiTheme="minorHAnsi" w:hAnsiTheme="minorHAnsi" w:cstheme="minorHAnsi"/>
          <w:color w:val="4F81BD" w:themeColor="accent1"/>
        </w:rPr>
        <w:t>U</w:t>
      </w:r>
      <w:r w:rsidRPr="00192168">
        <w:rPr>
          <w:rFonts w:asciiTheme="minorHAnsi" w:hAnsiTheme="minorHAnsi" w:cstheme="minorHAnsi"/>
          <w:color w:val="4F81BD" w:themeColor="accent1"/>
        </w:rPr>
        <w:t>ncertainty</w:t>
      </w:r>
      <w:r w:rsidR="006D00FA" w:rsidRPr="00192168">
        <w:rPr>
          <w:rFonts w:asciiTheme="minorHAnsi" w:hAnsiTheme="minorHAnsi" w:cstheme="minorHAnsi"/>
          <w:color w:val="4F81BD" w:themeColor="accent1"/>
        </w:rPr>
        <w:t xml:space="preserve"> </w:t>
      </w:r>
      <w:r w:rsidR="00935DBF">
        <w:rPr>
          <w:rFonts w:asciiTheme="minorHAnsi" w:hAnsiTheme="minorHAnsi" w:cstheme="minorHAnsi"/>
          <w:color w:val="4F81BD" w:themeColor="accent1"/>
        </w:rPr>
        <w:t xml:space="preserve">Scenario </w:t>
      </w:r>
      <w:r w:rsidR="0050472B">
        <w:rPr>
          <w:rFonts w:asciiTheme="minorHAnsi" w:hAnsiTheme="minorHAnsi" w:cstheme="minorHAnsi"/>
          <w:color w:val="4F81BD" w:themeColor="accent1"/>
        </w:rPr>
        <w:t xml:space="preserve">and Paris Scenario, </w:t>
      </w:r>
      <w:r w:rsidRPr="00192168">
        <w:rPr>
          <w:rFonts w:asciiTheme="minorHAnsi" w:hAnsiTheme="minorHAnsi" w:cstheme="minorHAnsi"/>
          <w:color w:val="4F81BD" w:themeColor="accent1"/>
        </w:rPr>
        <w:t>2030 (percentage deviation</w:t>
      </w:r>
      <w:r w:rsidR="006D00FA" w:rsidRPr="00192168">
        <w:rPr>
          <w:rFonts w:asciiTheme="minorHAnsi" w:hAnsiTheme="minorHAnsi" w:cstheme="minorHAnsi"/>
          <w:color w:val="4F81BD" w:themeColor="accent1"/>
        </w:rPr>
        <w:t xml:space="preserve"> from Current Policies Scenario</w:t>
      </w:r>
      <w:r w:rsidRPr="00192168">
        <w:rPr>
          <w:rFonts w:asciiTheme="minorHAnsi" w:hAnsiTheme="minorHAnsi" w:cstheme="minorHAnsi"/>
          <w:color w:val="4F81BD" w:themeColor="accent1"/>
        </w:rPr>
        <w:t>)</w:t>
      </w:r>
    </w:p>
    <w:p w:rsidR="00255643" w:rsidRDefault="00255643" w:rsidP="00797CFB">
      <w:pPr>
        <w:keepNext/>
        <w:rPr>
          <w:rFonts w:asciiTheme="minorHAnsi" w:hAnsiTheme="minorHAnsi" w:cstheme="minorHAnsi"/>
        </w:rPr>
      </w:pPr>
      <w:r w:rsidRPr="00365757">
        <w:rPr>
          <w:noProof/>
          <w:lang w:eastAsia="en-AU"/>
        </w:rPr>
        <w:drawing>
          <wp:inline distT="0" distB="0" distL="0" distR="0" wp14:anchorId="28139766" wp14:editId="12A3E95E">
            <wp:extent cx="4476191" cy="2742857"/>
            <wp:effectExtent l="0" t="0" r="635" b="635"/>
            <wp:docPr id="53" name="Picture 53" descr="Under the Paris Scenario, Australia has the following percentage deviation from the Current Policies Scenario in 2030: Real GDP (-0.2%), Consumption (-0.1%), Investment (-0.7%), Trade Balance (+0.0%). Under the Policy Uncertainty sensitivity scenario, Australia has the following percentage deviation from the Current Policies Scenario in 2030: Real GDP (-0.4%), Consumption (0.1%), Investment (-1.7%), Trade Balance (+0.0%).&#10;" title="Figure D-3: Australia: Macroeconomic impacts, Policy Uncertainty Scenario and Paris Scenario, 2030 (percentage deviation from Current Policie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476191" cy="2742857"/>
                    </a:xfrm>
                    <a:prstGeom prst="rect">
                      <a:avLst/>
                    </a:prstGeom>
                  </pic:spPr>
                </pic:pic>
              </a:graphicData>
            </a:graphic>
          </wp:inline>
        </w:drawing>
      </w:r>
    </w:p>
    <w:p w:rsidR="00752B1B" w:rsidRDefault="00255643" w:rsidP="00935DBF">
      <w:pPr>
        <w:pStyle w:val="ListParagraph"/>
        <w:keepNext/>
        <w:ind w:left="0"/>
        <w:contextualSpacing w:val="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w:t>
      </w:r>
      <w:r w:rsidR="0055198F">
        <w:rPr>
          <w:rFonts w:asciiTheme="minorHAnsi" w:hAnsiTheme="minorHAnsi" w:cstheme="minorHAnsi"/>
          <w:color w:val="4F81BD" w:themeColor="accent1"/>
          <w:sz w:val="16"/>
        </w:rPr>
        <w:t>s</w:t>
      </w:r>
      <w:r w:rsidRPr="00BF39AB">
        <w:rPr>
          <w:rFonts w:asciiTheme="minorHAnsi" w:hAnsiTheme="minorHAnsi" w:cstheme="minorHAnsi"/>
          <w:color w:val="4F81BD" w:themeColor="accent1"/>
          <w:sz w:val="16"/>
        </w:rPr>
        <w:t>:</w:t>
      </w:r>
    </w:p>
    <w:p w:rsidR="00255643" w:rsidRPr="00BF39AB" w:rsidRDefault="00255643" w:rsidP="00797CFB">
      <w:pPr>
        <w:pStyle w:val="ListParagraph"/>
        <w:ind w:left="0"/>
        <w:contextualSpacing w:val="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 xml:space="preserve">‘Higher </w:t>
      </w:r>
      <w:r w:rsidR="004650A6" w:rsidRPr="00BF39AB">
        <w:rPr>
          <w:rFonts w:asciiTheme="minorHAnsi" w:hAnsiTheme="minorHAnsi" w:cstheme="minorHAnsi"/>
          <w:color w:val="4F81BD" w:themeColor="accent1"/>
          <w:sz w:val="16"/>
        </w:rPr>
        <w:t>risk refers</w:t>
      </w:r>
      <w:r w:rsidRPr="00BF39AB">
        <w:rPr>
          <w:rFonts w:asciiTheme="minorHAnsi" w:hAnsiTheme="minorHAnsi" w:cstheme="minorHAnsi"/>
          <w:color w:val="4F81BD" w:themeColor="accent1"/>
          <w:sz w:val="16"/>
        </w:rPr>
        <w:t xml:space="preserve"> to the Policy Uncertainty sensitivity scenario.</w:t>
      </w:r>
    </w:p>
    <w:p w:rsidR="0055198F" w:rsidRPr="00BF39AB" w:rsidRDefault="0055198F" w:rsidP="0055198F">
      <w:pPr>
        <w:spacing w:after="24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Trade balance result is deviation in trade balance divided by GDP.</w:t>
      </w:r>
    </w:p>
    <w:p w:rsidR="00255643" w:rsidRPr="00167D11" w:rsidRDefault="00255643" w:rsidP="00255643">
      <w:pPr>
        <w:spacing w:after="100" w:afterAutospacing="1"/>
        <w:rPr>
          <w:rFonts w:asciiTheme="minorHAnsi" w:hAnsiTheme="minorHAnsi" w:cstheme="minorHAnsi"/>
        </w:rPr>
      </w:pPr>
      <w:r>
        <w:rPr>
          <w:rFonts w:asciiTheme="minorHAnsi" w:hAnsiTheme="minorHAnsi" w:cstheme="minorHAnsi"/>
        </w:rPr>
        <w:t>Figure D-</w:t>
      </w:r>
      <w:r w:rsidR="006102B7">
        <w:rPr>
          <w:rFonts w:asciiTheme="minorHAnsi" w:hAnsiTheme="minorHAnsi" w:cstheme="minorHAnsi"/>
        </w:rPr>
        <w:t>4</w:t>
      </w:r>
      <w:r>
        <w:rPr>
          <w:rFonts w:asciiTheme="minorHAnsi" w:hAnsiTheme="minorHAnsi" w:cstheme="minorHAnsi"/>
        </w:rPr>
        <w:t xml:space="preserve"> shows the sectoral impacts on exports </w:t>
      </w:r>
      <w:r w:rsidR="00CA5330">
        <w:rPr>
          <w:rFonts w:asciiTheme="minorHAnsi" w:hAnsiTheme="minorHAnsi" w:cstheme="minorHAnsi"/>
        </w:rPr>
        <w:t xml:space="preserve">and output </w:t>
      </w:r>
      <w:r>
        <w:rPr>
          <w:rFonts w:asciiTheme="minorHAnsi" w:hAnsiTheme="minorHAnsi" w:cstheme="minorHAnsi"/>
        </w:rPr>
        <w:t xml:space="preserve">under the Paris Scenario and the Policy Uncertainty Scenario. </w:t>
      </w:r>
    </w:p>
    <w:p w:rsidR="00255643" w:rsidRDefault="00255643" w:rsidP="00C37AA1">
      <w:pPr>
        <w:spacing w:after="100" w:afterAutospacing="1"/>
        <w:rPr>
          <w:rFonts w:asciiTheme="minorHAnsi" w:hAnsiTheme="minorHAnsi" w:cstheme="minorHAnsi"/>
        </w:rPr>
      </w:pPr>
      <w:r>
        <w:rPr>
          <w:rFonts w:asciiTheme="minorHAnsi" w:hAnsiTheme="minorHAnsi" w:cstheme="minorHAnsi"/>
        </w:rPr>
        <w:t xml:space="preserve">The higher uncertainty in the sensitivity scenario results in </w:t>
      </w:r>
      <w:r w:rsidRPr="00B32235">
        <w:rPr>
          <w:rFonts w:asciiTheme="minorHAnsi" w:hAnsiTheme="minorHAnsi" w:cstheme="minorHAnsi"/>
        </w:rPr>
        <w:t xml:space="preserve">a significant contraction of </w:t>
      </w:r>
      <w:r>
        <w:rPr>
          <w:rFonts w:asciiTheme="minorHAnsi" w:hAnsiTheme="minorHAnsi" w:cstheme="minorHAnsi"/>
        </w:rPr>
        <w:t xml:space="preserve">output and exports </w:t>
      </w:r>
      <w:r w:rsidRPr="00B32235">
        <w:rPr>
          <w:rFonts w:asciiTheme="minorHAnsi" w:hAnsiTheme="minorHAnsi" w:cstheme="minorHAnsi"/>
        </w:rPr>
        <w:t xml:space="preserve">in the energy sectors relative to the Paris Scenario. </w:t>
      </w:r>
      <w:r w:rsidR="004650A6" w:rsidRPr="00B32235">
        <w:rPr>
          <w:rFonts w:asciiTheme="minorHAnsi" w:hAnsiTheme="minorHAnsi" w:cstheme="minorHAnsi"/>
        </w:rPr>
        <w:t>A higher risk premium implies less investment in these sectors which reduces the supply</w:t>
      </w:r>
      <w:r w:rsidR="004650A6">
        <w:rPr>
          <w:rFonts w:asciiTheme="minorHAnsi" w:hAnsiTheme="minorHAnsi" w:cstheme="minorHAnsi"/>
        </w:rPr>
        <w:t xml:space="preserve"> of production capacity in this sector and causes</w:t>
      </w:r>
      <w:r w:rsidR="00C37AA1">
        <w:rPr>
          <w:rFonts w:asciiTheme="minorHAnsi" w:hAnsiTheme="minorHAnsi" w:cstheme="minorHAnsi"/>
        </w:rPr>
        <w:t xml:space="preserve"> electricity prices to rise.</w:t>
      </w:r>
      <w:r w:rsidRPr="00B32235">
        <w:rPr>
          <w:rFonts w:asciiTheme="minorHAnsi" w:hAnsiTheme="minorHAnsi" w:cstheme="minorHAnsi"/>
        </w:rPr>
        <w:t xml:space="preserve"> This raise</w:t>
      </w:r>
      <w:r>
        <w:rPr>
          <w:rFonts w:asciiTheme="minorHAnsi" w:hAnsiTheme="minorHAnsi" w:cstheme="minorHAnsi"/>
        </w:rPr>
        <w:t>s</w:t>
      </w:r>
      <w:r w:rsidRPr="00B32235">
        <w:rPr>
          <w:rFonts w:asciiTheme="minorHAnsi" w:hAnsiTheme="minorHAnsi" w:cstheme="minorHAnsi"/>
        </w:rPr>
        <w:t xml:space="preserve"> the cost of production in each energy sector which feeds into higher input costs across the economy. </w:t>
      </w:r>
      <w:r>
        <w:rPr>
          <w:rFonts w:asciiTheme="minorHAnsi" w:hAnsiTheme="minorHAnsi" w:cstheme="minorHAnsi"/>
        </w:rPr>
        <w:t>T</w:t>
      </w:r>
      <w:r w:rsidRPr="00B32235">
        <w:rPr>
          <w:rFonts w:asciiTheme="minorHAnsi" w:hAnsiTheme="minorHAnsi" w:cstheme="minorHAnsi"/>
        </w:rPr>
        <w:t>he slowdown in investment in the energy sectors raise</w:t>
      </w:r>
      <w:r>
        <w:rPr>
          <w:rFonts w:asciiTheme="minorHAnsi" w:hAnsiTheme="minorHAnsi" w:cstheme="minorHAnsi"/>
        </w:rPr>
        <w:t>s</w:t>
      </w:r>
      <w:r w:rsidRPr="00B32235">
        <w:rPr>
          <w:rFonts w:asciiTheme="minorHAnsi" w:hAnsiTheme="minorHAnsi" w:cstheme="minorHAnsi"/>
        </w:rPr>
        <w:t xml:space="preserve"> the price of energy significantly.</w:t>
      </w:r>
    </w:p>
    <w:p w:rsidR="00255643" w:rsidRDefault="00255643" w:rsidP="00255643">
      <w:pPr>
        <w:spacing w:after="100" w:afterAutospacing="1"/>
        <w:rPr>
          <w:rFonts w:asciiTheme="minorHAnsi" w:hAnsiTheme="minorHAnsi" w:cstheme="minorHAnsi"/>
        </w:rPr>
      </w:pPr>
      <w:r w:rsidRPr="00B32235">
        <w:rPr>
          <w:rFonts w:asciiTheme="minorHAnsi" w:hAnsiTheme="minorHAnsi" w:cstheme="minorHAnsi"/>
        </w:rPr>
        <w:t>The lack of investment in Australian energy generation also leads to less capital inf</w:t>
      </w:r>
      <w:r>
        <w:rPr>
          <w:rFonts w:asciiTheme="minorHAnsi" w:hAnsiTheme="minorHAnsi" w:cstheme="minorHAnsi"/>
        </w:rPr>
        <w:t>low and a depreciation of the Australian dollar. S</w:t>
      </w:r>
      <w:r w:rsidRPr="00B32235">
        <w:rPr>
          <w:rFonts w:asciiTheme="minorHAnsi" w:hAnsiTheme="minorHAnsi" w:cstheme="minorHAnsi"/>
        </w:rPr>
        <w:t>ectors are hurt by higher energy input costs but trade exposed sector</w:t>
      </w:r>
      <w:r>
        <w:rPr>
          <w:rFonts w:asciiTheme="minorHAnsi" w:hAnsiTheme="minorHAnsi" w:cstheme="minorHAnsi"/>
        </w:rPr>
        <w:t>s</w:t>
      </w:r>
      <w:r w:rsidRPr="00B32235">
        <w:rPr>
          <w:rFonts w:asciiTheme="minorHAnsi" w:hAnsiTheme="minorHAnsi" w:cstheme="minorHAnsi"/>
        </w:rPr>
        <w:t xml:space="preserve"> benefit from a weaker currency. </w:t>
      </w:r>
    </w:p>
    <w:p w:rsidR="00255643" w:rsidRDefault="00255643" w:rsidP="00255643">
      <w:pPr>
        <w:spacing w:after="100" w:afterAutospacing="1"/>
        <w:rPr>
          <w:rFonts w:asciiTheme="minorHAnsi" w:hAnsiTheme="minorHAnsi" w:cstheme="minorHAnsi"/>
        </w:rPr>
      </w:pPr>
      <w:r>
        <w:rPr>
          <w:rFonts w:asciiTheme="minorHAnsi" w:hAnsiTheme="minorHAnsi" w:cstheme="minorHAnsi"/>
        </w:rPr>
        <w:t xml:space="preserve">Output </w:t>
      </w:r>
      <w:r w:rsidRPr="00B32235">
        <w:rPr>
          <w:rFonts w:asciiTheme="minorHAnsi" w:hAnsiTheme="minorHAnsi" w:cstheme="minorHAnsi"/>
        </w:rPr>
        <w:t>and exports rise in some sectors such as services and non</w:t>
      </w:r>
      <w:r>
        <w:rPr>
          <w:rFonts w:asciiTheme="minorHAnsi" w:hAnsiTheme="minorHAnsi" w:cstheme="minorHAnsi"/>
        </w:rPr>
        <w:t>-</w:t>
      </w:r>
      <w:r w:rsidRPr="00B32235">
        <w:rPr>
          <w:rFonts w:asciiTheme="minorHAnsi" w:hAnsiTheme="minorHAnsi" w:cstheme="minorHAnsi"/>
        </w:rPr>
        <w:t>durable manufacturing</w:t>
      </w:r>
      <w:r>
        <w:rPr>
          <w:rFonts w:asciiTheme="minorHAnsi" w:hAnsiTheme="minorHAnsi" w:cstheme="minorHAnsi"/>
        </w:rPr>
        <w:t>,</w:t>
      </w:r>
      <w:r w:rsidRPr="00B32235">
        <w:rPr>
          <w:rFonts w:asciiTheme="minorHAnsi" w:hAnsiTheme="minorHAnsi" w:cstheme="minorHAnsi"/>
        </w:rPr>
        <w:t xml:space="preserve"> but the higher input costs of energy particular</w:t>
      </w:r>
      <w:r>
        <w:rPr>
          <w:rFonts w:asciiTheme="minorHAnsi" w:hAnsiTheme="minorHAnsi" w:cstheme="minorHAnsi"/>
        </w:rPr>
        <w:t>ly</w:t>
      </w:r>
      <w:r w:rsidRPr="00B32235">
        <w:rPr>
          <w:rFonts w:asciiTheme="minorHAnsi" w:hAnsiTheme="minorHAnsi" w:cstheme="minorHAnsi"/>
        </w:rPr>
        <w:t xml:space="preserve"> hurts sectors such as mining, transportation and durable manufacturing.</w:t>
      </w:r>
    </w:p>
    <w:p w:rsidR="00255643" w:rsidRDefault="003934B1" w:rsidP="00255643">
      <w:pPr>
        <w:spacing w:after="100" w:afterAutospacing="1"/>
        <w:rPr>
          <w:rFonts w:asciiTheme="minorHAnsi" w:hAnsiTheme="minorHAnsi" w:cstheme="minorHAnsi"/>
        </w:rPr>
      </w:pPr>
      <w:r>
        <w:rPr>
          <w:rFonts w:asciiTheme="minorHAnsi" w:hAnsiTheme="minorHAnsi" w:cstheme="minorHAnsi"/>
        </w:rPr>
        <w:t>The modelling finds that o</w:t>
      </w:r>
      <w:r w:rsidR="00255643">
        <w:rPr>
          <w:rFonts w:asciiTheme="minorHAnsi" w:hAnsiTheme="minorHAnsi" w:cstheme="minorHAnsi"/>
        </w:rPr>
        <w:t>verall the</w:t>
      </w:r>
      <w:r w:rsidR="00255643" w:rsidRPr="00167D11">
        <w:rPr>
          <w:rFonts w:asciiTheme="minorHAnsi" w:hAnsiTheme="minorHAnsi" w:cstheme="minorHAnsi"/>
        </w:rPr>
        <w:t xml:space="preserve"> </w:t>
      </w:r>
      <w:r w:rsidR="00255643">
        <w:rPr>
          <w:rFonts w:asciiTheme="minorHAnsi" w:hAnsiTheme="minorHAnsi" w:cstheme="minorHAnsi"/>
        </w:rPr>
        <w:t xml:space="preserve">uncertainty arising from </w:t>
      </w:r>
      <w:r w:rsidR="00255643" w:rsidRPr="00167D11">
        <w:rPr>
          <w:rFonts w:asciiTheme="minorHAnsi" w:hAnsiTheme="minorHAnsi" w:cstheme="minorHAnsi"/>
        </w:rPr>
        <w:t xml:space="preserve">a lack of policy commitment has a large impact on investment and real GDP in the Australian economy. </w:t>
      </w:r>
      <w:r>
        <w:rPr>
          <w:rFonts w:asciiTheme="minorHAnsi" w:hAnsiTheme="minorHAnsi" w:cstheme="minorHAnsi"/>
        </w:rPr>
        <w:t>E</w:t>
      </w:r>
      <w:r w:rsidR="00255643">
        <w:rPr>
          <w:rFonts w:asciiTheme="minorHAnsi" w:hAnsiTheme="minorHAnsi" w:cstheme="minorHAnsi"/>
        </w:rPr>
        <w:t>ven a relatively small</w:t>
      </w:r>
      <w:r w:rsidR="00255643" w:rsidRPr="00167D11">
        <w:rPr>
          <w:rFonts w:asciiTheme="minorHAnsi" w:hAnsiTheme="minorHAnsi" w:cstheme="minorHAnsi"/>
        </w:rPr>
        <w:t xml:space="preserve"> risk premium shock can have significant consequences for investment in energy production and also on overall economic activity which feeds through all sectors of the economy.</w:t>
      </w:r>
    </w:p>
    <w:p w:rsidR="006D00FA" w:rsidRPr="00192168" w:rsidRDefault="00746E22" w:rsidP="0085588A">
      <w:pPr>
        <w:keepNext/>
        <w:keepLines/>
        <w:spacing w:before="240" w:after="100" w:afterAutospacing="1"/>
        <w:rPr>
          <w:rFonts w:asciiTheme="minorHAnsi" w:hAnsiTheme="minorHAnsi" w:cstheme="minorHAnsi"/>
          <w:color w:val="4F81BD" w:themeColor="accent1"/>
        </w:rPr>
      </w:pPr>
      <w:r w:rsidRPr="00192168">
        <w:rPr>
          <w:rFonts w:asciiTheme="minorHAnsi" w:hAnsiTheme="minorHAnsi" w:cstheme="minorHAnsi"/>
          <w:b/>
          <w:color w:val="4F81BD" w:themeColor="accent1"/>
        </w:rPr>
        <w:lastRenderedPageBreak/>
        <w:t>Figure D-</w:t>
      </w:r>
      <w:r w:rsidR="006102B7" w:rsidRPr="00192168">
        <w:rPr>
          <w:rFonts w:asciiTheme="minorHAnsi" w:hAnsiTheme="minorHAnsi" w:cstheme="minorHAnsi"/>
          <w:b/>
          <w:color w:val="4F81BD" w:themeColor="accent1"/>
        </w:rPr>
        <w:t>4</w:t>
      </w:r>
      <w:r w:rsidRPr="00192168">
        <w:rPr>
          <w:rFonts w:asciiTheme="minorHAnsi" w:hAnsiTheme="minorHAnsi" w:cstheme="minorHAnsi"/>
          <w:b/>
          <w:color w:val="4F81BD" w:themeColor="accent1"/>
        </w:rPr>
        <w:t>:</w:t>
      </w:r>
      <w:r w:rsidRPr="00192168">
        <w:rPr>
          <w:rFonts w:asciiTheme="minorHAnsi" w:hAnsiTheme="minorHAnsi" w:cstheme="minorHAnsi"/>
          <w:color w:val="4F81BD" w:themeColor="accent1"/>
        </w:rPr>
        <w:t xml:space="preserve"> </w:t>
      </w:r>
      <w:r w:rsidR="00DD0652">
        <w:rPr>
          <w:rFonts w:asciiTheme="minorHAnsi" w:hAnsiTheme="minorHAnsi" w:cstheme="minorHAnsi"/>
          <w:color w:val="4F81BD" w:themeColor="accent1"/>
        </w:rPr>
        <w:t xml:space="preserve">Australia: </w:t>
      </w:r>
      <w:r w:rsidRPr="00192168">
        <w:rPr>
          <w:rFonts w:asciiTheme="minorHAnsi" w:hAnsiTheme="minorHAnsi" w:cstheme="minorHAnsi"/>
          <w:color w:val="4F81BD" w:themeColor="accent1"/>
        </w:rPr>
        <w:t>Sectoral impacts, Policy Uncertainty Scenario</w:t>
      </w:r>
      <w:r w:rsidR="0050472B">
        <w:rPr>
          <w:rFonts w:asciiTheme="minorHAnsi" w:hAnsiTheme="minorHAnsi" w:cstheme="minorHAnsi"/>
          <w:color w:val="4F81BD" w:themeColor="accent1"/>
        </w:rPr>
        <w:t xml:space="preserve"> and </w:t>
      </w:r>
      <w:r w:rsidR="0050472B" w:rsidRPr="00192168">
        <w:rPr>
          <w:rFonts w:asciiTheme="minorHAnsi" w:hAnsiTheme="minorHAnsi" w:cstheme="minorHAnsi"/>
          <w:color w:val="4F81BD" w:themeColor="accent1"/>
        </w:rPr>
        <w:t>Paris Scenario</w:t>
      </w:r>
      <w:r w:rsidRPr="00192168">
        <w:rPr>
          <w:rFonts w:asciiTheme="minorHAnsi" w:hAnsiTheme="minorHAnsi" w:cstheme="minorHAnsi"/>
          <w:color w:val="4F81BD" w:themeColor="accent1"/>
        </w:rPr>
        <w:t>, 2030 (percentage deviation from Current Policies Scenario)</w:t>
      </w:r>
    </w:p>
    <w:p w:rsidR="00746E22" w:rsidRPr="00BF39AB" w:rsidRDefault="00746E22" w:rsidP="00746E22">
      <w:pPr>
        <w:keepNext/>
        <w:spacing w:before="120" w:after="120"/>
        <w:rPr>
          <w:rFonts w:asciiTheme="minorHAnsi" w:hAnsiTheme="minorHAnsi" w:cstheme="minorHAnsi"/>
          <w:i/>
          <w:color w:val="4F81BD" w:themeColor="accent1"/>
        </w:rPr>
      </w:pPr>
      <w:r w:rsidRPr="00BF39AB">
        <w:rPr>
          <w:rFonts w:asciiTheme="minorHAnsi" w:hAnsiTheme="minorHAnsi" w:cstheme="minorHAnsi"/>
          <w:i/>
          <w:color w:val="4F81BD" w:themeColor="accent1"/>
        </w:rPr>
        <w:t>Exports</w:t>
      </w:r>
    </w:p>
    <w:p w:rsidR="00746E22" w:rsidRPr="00483B3D" w:rsidRDefault="00746E22" w:rsidP="00483B3D">
      <w:pPr>
        <w:keepNext/>
        <w:spacing w:after="360"/>
        <w:ind w:left="-709"/>
      </w:pPr>
      <w:r w:rsidRPr="00746E22">
        <w:rPr>
          <w:noProof/>
          <w:lang w:eastAsia="en-AU"/>
        </w:rPr>
        <w:drawing>
          <wp:inline distT="0" distB="0" distL="0" distR="0" wp14:anchorId="49D886BB" wp14:editId="12B57FEA">
            <wp:extent cx="6282129" cy="1941688"/>
            <wp:effectExtent l="0" t="0" r="4445" b="1905"/>
            <wp:docPr id="682" name="Picture 682" descr="Exports: Under the Paris Scenario, Australian export sectors have the following percentage deviation from the Current Policies Scenario in 2030: Gas extraction exports (-0.6%), Crude extraction exports (-0.4%), Coal mining exports (-7.8%), Petroleum refining exports (3.1%), Gas utilities exports (-0.3%), Services exports (1.6%), Transportation exports (1.4%), Non-Durable Manufacturing exports (1.1%), Durable Manufacturing exports (0.6%), Agriculture exports (0.7%), Other Mining exports (0.3%).&#10;Under the Policy Uncertainty sensitivity scenario, Australian export sectors have the following percentage deviation from the Current Policies Scenario in 2030: Gas extraction exports (-6.4%), Crude extraction exports (-11.5%), Coal mining exports (-12.3%), Petroleum refining exports (-4.9%), Gas utilities exports (-3.0%), Services exports (1.9%), Transportation exports (1.1%), Non-Durable Manufacturing exports (1.2%), Durable Manufacturing exports (0.6%), Agriculture exports (0.9%), Other Mining exports (0.3%).&#10;" title="Figure D-4: Australia: Sectoral impacts, Policy Uncertainty Scenario and Paris Scenario, 2030 (percentage deviation from Current Policies Scenario) -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314391" cy="1951660"/>
                    </a:xfrm>
                    <a:prstGeom prst="rect">
                      <a:avLst/>
                    </a:prstGeom>
                  </pic:spPr>
                </pic:pic>
              </a:graphicData>
            </a:graphic>
          </wp:inline>
        </w:drawing>
      </w:r>
    </w:p>
    <w:p w:rsidR="00746E22" w:rsidRPr="00BF39AB" w:rsidRDefault="00746E22" w:rsidP="00746E22">
      <w:pPr>
        <w:keepNext/>
        <w:rPr>
          <w:rFonts w:asciiTheme="minorHAnsi" w:hAnsiTheme="minorHAnsi" w:cstheme="minorHAnsi"/>
          <w:i/>
          <w:color w:val="4F81BD" w:themeColor="accent1"/>
        </w:rPr>
      </w:pPr>
      <w:r w:rsidRPr="00BF39AB">
        <w:rPr>
          <w:rFonts w:asciiTheme="minorHAnsi" w:hAnsiTheme="minorHAnsi" w:cstheme="minorHAnsi"/>
          <w:i/>
          <w:color w:val="4F81BD" w:themeColor="accent1"/>
        </w:rPr>
        <w:t>Output</w:t>
      </w:r>
    </w:p>
    <w:p w:rsidR="00CA5330" w:rsidRDefault="00746E22" w:rsidP="00797CFB">
      <w:pPr>
        <w:ind w:left="-709"/>
      </w:pPr>
      <w:r w:rsidRPr="00746E22">
        <w:rPr>
          <w:noProof/>
          <w:lang w:eastAsia="en-AU"/>
        </w:rPr>
        <w:drawing>
          <wp:inline distT="0" distB="0" distL="0" distR="0" wp14:anchorId="2FCAC3C6" wp14:editId="10C54758">
            <wp:extent cx="6287911" cy="1938773"/>
            <wp:effectExtent l="0" t="0" r="0" b="4445"/>
            <wp:docPr id="683" name="Picture 683" descr="Output: Under the Paris Scenario, Australian sectoral outputs have the following percentage deviation from the Current Policies Scenario in 2030: Gas extraction output (-0.4%), Crude extraction output (+0.0%), Coal mining output (-8.3%), Petroleum refining output (-0.0%), Gas utilities output (-0.2%), Electric utilities output (-0.2%), Services Output (+0.0%), Transportation output (-0.1%), Non-Durable Manufacturing output (+0.0%), Durable Manufacturing output (-0.3%), Agriculture output (-0.0%), Other Mining output (0%).&#10;Under the Policy Uncertainty sensitivity scenario, Australian sectoral outputs have the following percentage deviation from the Current Policies Scenario in 2030: Gas extraction output (-5.3%), Crude extraction output (-6.3%), Coal mining output (-13.7%), Petroleum refining output (-2.2%), Gas utilities output (-1.5%), Electric utilities output (-1.5%), Services Output (0.1%), Transportation output (-0.3%), Non-Durable Manufacturing output (+0.0%), Durable Manufacturing output (-0.8%), Agriculture output (0%), Other Mining output (-0.3%).&#10;" title="Figure D-4: Australia: Sectoral impacts, Policy Uncertainty Scenario and Paris Scenario, 2030 (percentage deviation from Current Policies Scenario) -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303038" cy="1943437"/>
                    </a:xfrm>
                    <a:prstGeom prst="rect">
                      <a:avLst/>
                    </a:prstGeom>
                  </pic:spPr>
                </pic:pic>
              </a:graphicData>
            </a:graphic>
          </wp:inline>
        </w:drawing>
      </w:r>
    </w:p>
    <w:p w:rsidR="008D6B9E" w:rsidRPr="00BF39AB" w:rsidRDefault="008D6B9E" w:rsidP="00797CFB">
      <w:pPr>
        <w:pStyle w:val="ListParagraph"/>
        <w:spacing w:after="360"/>
        <w:ind w:left="0"/>
        <w:contextualSpacing w:val="0"/>
        <w:rPr>
          <w:rFonts w:asciiTheme="minorHAnsi" w:hAnsiTheme="minorHAnsi" w:cstheme="minorHAnsi"/>
          <w:color w:val="4F81BD" w:themeColor="accent1"/>
          <w:sz w:val="16"/>
        </w:rPr>
      </w:pPr>
      <w:r w:rsidRPr="00BF39AB">
        <w:rPr>
          <w:rFonts w:asciiTheme="minorHAnsi" w:hAnsiTheme="minorHAnsi" w:cstheme="minorHAnsi"/>
          <w:color w:val="4F81BD" w:themeColor="accent1"/>
          <w:sz w:val="16"/>
        </w:rPr>
        <w:t>Note:</w:t>
      </w:r>
      <w:r>
        <w:rPr>
          <w:rFonts w:asciiTheme="minorHAnsi" w:hAnsiTheme="minorHAnsi" w:cstheme="minorHAnsi"/>
          <w:color w:val="4F81BD" w:themeColor="accent1"/>
          <w:sz w:val="16"/>
        </w:rPr>
        <w:t xml:space="preserve"> </w:t>
      </w:r>
      <w:r w:rsidRPr="00BF39AB">
        <w:rPr>
          <w:rFonts w:asciiTheme="minorHAnsi" w:hAnsiTheme="minorHAnsi" w:cstheme="minorHAnsi"/>
          <w:color w:val="4F81BD" w:themeColor="accent1"/>
          <w:sz w:val="16"/>
        </w:rPr>
        <w:t>‘Higher risk refers to the Policy Uncertainty sensitivity scenario.</w:t>
      </w:r>
    </w:p>
    <w:p w:rsidR="00CA5330" w:rsidRDefault="00CA5330">
      <w:r>
        <w:br w:type="page"/>
      </w:r>
    </w:p>
    <w:p w:rsidR="000163B1" w:rsidRPr="00192168" w:rsidRDefault="000163B1" w:rsidP="00483B3D">
      <w:pPr>
        <w:rPr>
          <w:rFonts w:asciiTheme="minorHAnsi" w:hAnsiTheme="minorHAnsi" w:cstheme="minorHAnsi"/>
          <w:b/>
          <w:color w:val="996633"/>
          <w:sz w:val="40"/>
        </w:rPr>
      </w:pPr>
      <w:r w:rsidRPr="00192168">
        <w:rPr>
          <w:rFonts w:asciiTheme="minorHAnsi" w:hAnsiTheme="minorHAnsi" w:cstheme="minorHAnsi"/>
          <w:b/>
          <w:color w:val="996633"/>
          <w:sz w:val="40"/>
        </w:rPr>
        <w:lastRenderedPageBreak/>
        <w:t xml:space="preserve">APPENDIX </w:t>
      </w:r>
      <w:r w:rsidR="0078789A" w:rsidRPr="00192168">
        <w:rPr>
          <w:rFonts w:asciiTheme="minorHAnsi" w:hAnsiTheme="minorHAnsi" w:cstheme="minorHAnsi"/>
          <w:b/>
          <w:color w:val="996633"/>
          <w:sz w:val="40"/>
        </w:rPr>
        <w:t>E</w:t>
      </w:r>
      <w:r w:rsidR="002F5BC8" w:rsidRPr="00192168">
        <w:rPr>
          <w:rFonts w:asciiTheme="minorHAnsi" w:hAnsiTheme="minorHAnsi" w:cstheme="minorHAnsi"/>
          <w:b/>
          <w:color w:val="996633"/>
          <w:sz w:val="40"/>
        </w:rPr>
        <w:t>:</w:t>
      </w:r>
    </w:p>
    <w:p w:rsidR="000163B1" w:rsidRPr="00192168" w:rsidRDefault="000163B1" w:rsidP="000163B1">
      <w:pPr>
        <w:rPr>
          <w:rFonts w:asciiTheme="minorHAnsi" w:hAnsiTheme="minorHAnsi" w:cstheme="minorHAnsi"/>
          <w:b/>
          <w:color w:val="996633"/>
          <w:sz w:val="40"/>
        </w:rPr>
      </w:pPr>
      <w:r w:rsidRPr="00192168">
        <w:rPr>
          <w:rFonts w:asciiTheme="minorHAnsi" w:hAnsiTheme="minorHAnsi" w:cstheme="minorHAnsi"/>
          <w:b/>
          <w:color w:val="996633"/>
          <w:sz w:val="40"/>
        </w:rPr>
        <w:t>Trade statistics</w:t>
      </w:r>
    </w:p>
    <w:p w:rsidR="001B061C" w:rsidRPr="00335D2D" w:rsidRDefault="001B061C" w:rsidP="001B061C">
      <w:pPr>
        <w:rPr>
          <w:rFonts w:asciiTheme="minorHAnsi" w:hAnsiTheme="minorHAnsi" w:cstheme="minorHAnsi"/>
        </w:rPr>
      </w:pPr>
    </w:p>
    <w:p w:rsidR="00703656" w:rsidRPr="00192168" w:rsidRDefault="00703656" w:rsidP="00703656">
      <w:pPr>
        <w:rPr>
          <w:rFonts w:asciiTheme="minorHAnsi" w:hAnsiTheme="minorHAnsi" w:cstheme="minorHAnsi"/>
          <w:b/>
          <w:color w:val="4F81BD" w:themeColor="accent1"/>
        </w:rPr>
      </w:pPr>
      <w:r w:rsidRPr="00192168">
        <w:rPr>
          <w:rFonts w:asciiTheme="minorHAnsi" w:hAnsiTheme="minorHAnsi" w:cstheme="minorHAnsi"/>
          <w:b/>
          <w:color w:val="4F81BD" w:themeColor="accent1"/>
        </w:rPr>
        <w:t xml:space="preserve">Table </w:t>
      </w:r>
      <w:r w:rsidR="0078789A" w:rsidRPr="00192168">
        <w:rPr>
          <w:rFonts w:asciiTheme="minorHAnsi" w:hAnsiTheme="minorHAnsi" w:cstheme="minorHAnsi"/>
          <w:b/>
          <w:color w:val="4F81BD" w:themeColor="accent1"/>
        </w:rPr>
        <w:t>E-1</w:t>
      </w:r>
      <w:r w:rsidR="004650A6" w:rsidRPr="00192168">
        <w:rPr>
          <w:rFonts w:asciiTheme="minorHAnsi" w:hAnsiTheme="minorHAnsi" w:cstheme="minorHAnsi"/>
          <w:b/>
          <w:color w:val="4F81BD" w:themeColor="accent1"/>
        </w:rPr>
        <w:t>:</w:t>
      </w:r>
      <w:r w:rsidRPr="00192168">
        <w:rPr>
          <w:rFonts w:asciiTheme="minorHAnsi" w:hAnsiTheme="minorHAnsi" w:cstheme="minorHAnsi"/>
          <w:b/>
          <w:color w:val="4F81BD" w:themeColor="accent1"/>
        </w:rPr>
        <w:t xml:space="preserve"> </w:t>
      </w:r>
      <w:r w:rsidRPr="00192168">
        <w:rPr>
          <w:rFonts w:asciiTheme="minorHAnsi" w:hAnsiTheme="minorHAnsi" w:cstheme="minorHAnsi"/>
          <w:color w:val="4F81BD" w:themeColor="accent1"/>
        </w:rPr>
        <w:t>AUSTRALIA'S TOP 10 GOODS &amp; SERVICES EXPORTS, 2014 (a)</w:t>
      </w:r>
    </w:p>
    <w:p w:rsidR="00703656" w:rsidRPr="00335D2D" w:rsidRDefault="00703656" w:rsidP="00703656">
      <w:pPr>
        <w:rPr>
          <w:rFonts w:asciiTheme="minorHAnsi" w:hAnsiTheme="minorHAnsi" w:cstheme="minorHAnsi"/>
        </w:rPr>
      </w:pPr>
    </w:p>
    <w:tbl>
      <w:tblPr>
        <w:tblStyle w:val="Style1"/>
        <w:tblW w:w="0" w:type="auto"/>
        <w:tblLook w:val="04A0" w:firstRow="1" w:lastRow="0" w:firstColumn="1" w:lastColumn="0" w:noHBand="0" w:noVBand="1"/>
      </w:tblPr>
      <w:tblGrid>
        <w:gridCol w:w="709"/>
        <w:gridCol w:w="4820"/>
        <w:gridCol w:w="1701"/>
        <w:gridCol w:w="1134"/>
      </w:tblGrid>
      <w:tr w:rsidR="00703656" w:rsidRPr="00335D2D" w:rsidTr="00192168">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hideMark/>
          </w:tcPr>
          <w:p w:rsidR="00703656" w:rsidRPr="00335D2D" w:rsidRDefault="00703656" w:rsidP="00C41EDB">
            <w:pPr>
              <w:jc w:val="center"/>
              <w:rPr>
                <w:rFonts w:cstheme="minorHAnsi"/>
              </w:rPr>
            </w:pPr>
            <w:r w:rsidRPr="00335D2D">
              <w:rPr>
                <w:rFonts w:cstheme="minorHAnsi"/>
                <w:b w:val="0"/>
                <w:bCs w:val="0"/>
              </w:rPr>
              <w:t>Rank</w:t>
            </w:r>
          </w:p>
        </w:tc>
        <w:tc>
          <w:tcPr>
            <w:tcW w:w="4820" w:type="dxa"/>
            <w:hideMark/>
          </w:tcPr>
          <w:p w:rsidR="00703656" w:rsidRPr="00335D2D" w:rsidRDefault="00703656" w:rsidP="00C41EDB">
            <w:pPr>
              <w:cnfStyle w:val="100000000000" w:firstRow="1" w:lastRow="0" w:firstColumn="0" w:lastColumn="0" w:oddVBand="0" w:evenVBand="0" w:oddHBand="0" w:evenHBand="0" w:firstRowFirstColumn="0" w:firstRowLastColumn="0" w:lastRowFirstColumn="0" w:lastRowLastColumn="0"/>
              <w:rPr>
                <w:rFonts w:cstheme="minorHAnsi"/>
              </w:rPr>
            </w:pPr>
            <w:r w:rsidRPr="00335D2D">
              <w:rPr>
                <w:rFonts w:cstheme="minorHAnsi"/>
                <w:b w:val="0"/>
                <w:bCs w:val="0"/>
              </w:rPr>
              <w:t>Commodity</w:t>
            </w:r>
          </w:p>
        </w:tc>
        <w:tc>
          <w:tcPr>
            <w:tcW w:w="1701" w:type="dxa"/>
            <w:hideMark/>
          </w:tcPr>
          <w:p w:rsidR="00703656" w:rsidRPr="00335D2D" w:rsidRDefault="00703656" w:rsidP="00C41EDB">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335D2D">
              <w:rPr>
                <w:rFonts w:cstheme="minorHAnsi"/>
                <w:b w:val="0"/>
                <w:bCs w:val="0"/>
              </w:rPr>
              <w:t>Value (A$ mil)</w:t>
            </w:r>
          </w:p>
        </w:tc>
        <w:tc>
          <w:tcPr>
            <w:tcW w:w="1134" w:type="dxa"/>
            <w:hideMark/>
          </w:tcPr>
          <w:p w:rsidR="00703656" w:rsidRPr="00335D2D" w:rsidRDefault="00703656" w:rsidP="00C41EDB">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335D2D">
              <w:rPr>
                <w:rFonts w:cstheme="minorHAnsi"/>
                <w:b w:val="0"/>
                <w:bCs w:val="0"/>
              </w:rPr>
              <w:t>% share</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color w:val="4F81BD" w:themeColor="accent1"/>
              </w:rPr>
            </w:pPr>
          </w:p>
        </w:tc>
        <w:tc>
          <w:tcPr>
            <w:tcW w:w="4820"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Style w:val="Strong"/>
                <w:rFonts w:cstheme="minorHAnsi"/>
                <w:color w:val="4F81BD" w:themeColor="accent1"/>
              </w:rPr>
              <w:t>Total trade (b)</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Style w:val="Strong"/>
                <w:rFonts w:cstheme="minorHAnsi"/>
                <w:color w:val="4F81BD" w:themeColor="accent1"/>
              </w:rPr>
              <w:t>327,046</w:t>
            </w:r>
          </w:p>
        </w:tc>
        <w:tc>
          <w:tcPr>
            <w:tcW w:w="1134"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1</w:t>
            </w:r>
          </w:p>
        </w:tc>
        <w:tc>
          <w:tcPr>
            <w:tcW w:w="4820"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Iron ores &amp; concentrates</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66,005</w:t>
            </w:r>
          </w:p>
        </w:tc>
        <w:tc>
          <w:tcPr>
            <w:tcW w:w="1134"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20.1</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2</w:t>
            </w:r>
          </w:p>
        </w:tc>
        <w:tc>
          <w:tcPr>
            <w:tcW w:w="4820"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Coal</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37,999</w:t>
            </w:r>
          </w:p>
        </w:tc>
        <w:tc>
          <w:tcPr>
            <w:tcW w:w="1134"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11.6</w:t>
            </w: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3</w:t>
            </w:r>
          </w:p>
        </w:tc>
        <w:tc>
          <w:tcPr>
            <w:tcW w:w="4820"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Natural gas</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17,760</w:t>
            </w:r>
          </w:p>
        </w:tc>
        <w:tc>
          <w:tcPr>
            <w:tcW w:w="1134"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5.4</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4</w:t>
            </w:r>
          </w:p>
        </w:tc>
        <w:tc>
          <w:tcPr>
            <w:tcW w:w="4820"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Education-related travel services</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17,037</w:t>
            </w:r>
          </w:p>
        </w:tc>
        <w:tc>
          <w:tcPr>
            <w:tcW w:w="1134"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5.2</w:t>
            </w: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5</w:t>
            </w:r>
          </w:p>
        </w:tc>
        <w:tc>
          <w:tcPr>
            <w:tcW w:w="4820"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Personal travel (excl education) services</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14,227</w:t>
            </w:r>
          </w:p>
        </w:tc>
        <w:tc>
          <w:tcPr>
            <w:tcW w:w="1134"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4.4</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6</w:t>
            </w:r>
          </w:p>
        </w:tc>
        <w:tc>
          <w:tcPr>
            <w:tcW w:w="4820"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Gold</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13,460</w:t>
            </w:r>
          </w:p>
        </w:tc>
        <w:tc>
          <w:tcPr>
            <w:tcW w:w="1134"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4.1</w:t>
            </w: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7</w:t>
            </w:r>
          </w:p>
        </w:tc>
        <w:tc>
          <w:tcPr>
            <w:tcW w:w="4820"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Crude petroleum</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10,582</w:t>
            </w:r>
          </w:p>
        </w:tc>
        <w:tc>
          <w:tcPr>
            <w:tcW w:w="1134"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3.2</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8</w:t>
            </w:r>
          </w:p>
        </w:tc>
        <w:tc>
          <w:tcPr>
            <w:tcW w:w="4820" w:type="dxa"/>
            <w:shd w:val="clear" w:color="auto" w:fill="auto"/>
            <w:hideMark/>
          </w:tcPr>
          <w:p w:rsidR="00703656" w:rsidRPr="00BF39AB" w:rsidRDefault="00703656" w:rsidP="0011306C">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Beef</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7,751</w:t>
            </w:r>
          </w:p>
        </w:tc>
        <w:tc>
          <w:tcPr>
            <w:tcW w:w="1134"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2.4</w:t>
            </w: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9</w:t>
            </w:r>
          </w:p>
        </w:tc>
        <w:tc>
          <w:tcPr>
            <w:tcW w:w="4820"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Aluminium ores &amp; conc</w:t>
            </w:r>
            <w:r w:rsidR="004650A6" w:rsidRPr="00BF39AB">
              <w:rPr>
                <w:rFonts w:cstheme="minorHAnsi"/>
                <w:color w:val="4F81BD" w:themeColor="accent1"/>
              </w:rPr>
              <w:t>entrates</w:t>
            </w:r>
            <w:r w:rsidRPr="00BF39AB">
              <w:rPr>
                <w:rFonts w:cstheme="minorHAnsi"/>
                <w:color w:val="4F81BD" w:themeColor="accent1"/>
              </w:rPr>
              <w:t xml:space="preserve"> (incl alumina)</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6,321</w:t>
            </w:r>
          </w:p>
        </w:tc>
        <w:tc>
          <w:tcPr>
            <w:tcW w:w="1134"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1.9</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10</w:t>
            </w:r>
          </w:p>
        </w:tc>
        <w:tc>
          <w:tcPr>
            <w:tcW w:w="4820"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Wheat</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5,920</w:t>
            </w:r>
          </w:p>
        </w:tc>
        <w:tc>
          <w:tcPr>
            <w:tcW w:w="1134"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1.8</w:t>
            </w:r>
          </w:p>
        </w:tc>
      </w:tr>
    </w:tbl>
    <w:p w:rsidR="00703656" w:rsidRPr="00335D2D" w:rsidRDefault="00703656" w:rsidP="00703656">
      <w:pPr>
        <w:rPr>
          <w:rFonts w:asciiTheme="minorHAnsi" w:hAnsiTheme="minorHAnsi" w:cstheme="minorHAnsi"/>
          <w:sz w:val="20"/>
          <w:szCs w:val="20"/>
        </w:rPr>
      </w:pPr>
    </w:p>
    <w:p w:rsidR="00703656" w:rsidRPr="00BF39AB" w:rsidRDefault="00703656" w:rsidP="00703656">
      <w:pPr>
        <w:rPr>
          <w:rFonts w:asciiTheme="minorHAnsi" w:hAnsiTheme="minorHAnsi" w:cstheme="minorHAnsi"/>
          <w:color w:val="4F81BD" w:themeColor="accent1"/>
        </w:rPr>
      </w:pPr>
      <w:r w:rsidRPr="00BF39AB">
        <w:rPr>
          <w:rFonts w:asciiTheme="minorHAnsi" w:hAnsiTheme="minorHAnsi" w:cstheme="minorHAnsi"/>
          <w:color w:val="4F81BD" w:themeColor="accent1"/>
          <w:sz w:val="20"/>
          <w:szCs w:val="20"/>
        </w:rPr>
        <w:t>(a) Goods trade are on a recorded trade basis, Services trade are on a balance of payments basis.</w:t>
      </w:r>
      <w:r w:rsidRPr="00BF39AB">
        <w:rPr>
          <w:rFonts w:asciiTheme="minorHAnsi" w:hAnsiTheme="minorHAnsi" w:cstheme="minorHAnsi"/>
          <w:color w:val="4F81BD" w:themeColor="accent1"/>
          <w:sz w:val="20"/>
          <w:szCs w:val="20"/>
        </w:rPr>
        <w:br/>
        <w:t>(b) Total is balance of payments basis for all trade including top 10 commodities.</w:t>
      </w:r>
      <w:r w:rsidRPr="00BF39AB">
        <w:rPr>
          <w:rFonts w:asciiTheme="minorHAnsi" w:hAnsiTheme="minorHAnsi" w:cstheme="minorHAnsi"/>
          <w:color w:val="4F81BD" w:themeColor="accent1"/>
          <w:sz w:val="20"/>
          <w:szCs w:val="20"/>
        </w:rPr>
        <w:br/>
      </w:r>
      <w:r w:rsidRPr="00BF39AB">
        <w:rPr>
          <w:rFonts w:asciiTheme="minorHAnsi" w:hAnsiTheme="minorHAnsi" w:cstheme="minorHAnsi"/>
          <w:color w:val="4F81BD" w:themeColor="accent1"/>
          <w:sz w:val="20"/>
          <w:szCs w:val="20"/>
        </w:rPr>
        <w:br/>
        <w:t>Based on ABS trade data on DFAT STARS database and ABS catalogue 5368.0 (Mar 2015).</w:t>
      </w:r>
      <w:r w:rsidRPr="00BF39AB">
        <w:rPr>
          <w:rFonts w:asciiTheme="minorHAnsi" w:hAnsiTheme="minorHAnsi" w:cstheme="minorHAnsi"/>
          <w:color w:val="4F81BD" w:themeColor="accent1"/>
        </w:rPr>
        <w:t xml:space="preserve"> </w:t>
      </w:r>
    </w:p>
    <w:p w:rsidR="00703656" w:rsidRPr="00335D2D" w:rsidRDefault="00703656" w:rsidP="00703656">
      <w:pPr>
        <w:rPr>
          <w:rFonts w:asciiTheme="minorHAnsi" w:hAnsiTheme="minorHAnsi" w:cstheme="minorHAnsi"/>
        </w:rPr>
      </w:pPr>
    </w:p>
    <w:p w:rsidR="00703656" w:rsidRPr="00192168" w:rsidRDefault="00703656" w:rsidP="00703656">
      <w:pPr>
        <w:rPr>
          <w:rFonts w:asciiTheme="minorHAnsi" w:hAnsiTheme="minorHAnsi" w:cstheme="minorHAnsi"/>
          <w:color w:val="4F81BD" w:themeColor="accent1"/>
        </w:rPr>
      </w:pPr>
      <w:r w:rsidRPr="00192168">
        <w:rPr>
          <w:rFonts w:asciiTheme="minorHAnsi" w:hAnsiTheme="minorHAnsi" w:cstheme="minorHAnsi"/>
          <w:b/>
          <w:color w:val="4F81BD" w:themeColor="accent1"/>
        </w:rPr>
        <w:t xml:space="preserve">Table </w:t>
      </w:r>
      <w:r w:rsidR="0078789A" w:rsidRPr="00192168">
        <w:rPr>
          <w:rFonts w:asciiTheme="minorHAnsi" w:hAnsiTheme="minorHAnsi" w:cstheme="minorHAnsi"/>
          <w:b/>
          <w:color w:val="4F81BD" w:themeColor="accent1"/>
        </w:rPr>
        <w:t>E-2</w:t>
      </w:r>
      <w:r w:rsidR="004650A6" w:rsidRPr="00192168">
        <w:rPr>
          <w:rFonts w:asciiTheme="minorHAnsi" w:hAnsiTheme="minorHAnsi" w:cstheme="minorHAnsi"/>
          <w:b/>
          <w:color w:val="4F81BD" w:themeColor="accent1"/>
        </w:rPr>
        <w:t>:</w:t>
      </w:r>
      <w:r w:rsidRPr="00192168">
        <w:rPr>
          <w:rFonts w:asciiTheme="minorHAnsi" w:hAnsiTheme="minorHAnsi" w:cstheme="minorHAnsi"/>
          <w:b/>
          <w:color w:val="4F81BD" w:themeColor="accent1"/>
        </w:rPr>
        <w:t xml:space="preserve"> </w:t>
      </w:r>
      <w:r w:rsidRPr="00192168">
        <w:rPr>
          <w:rFonts w:asciiTheme="minorHAnsi" w:hAnsiTheme="minorHAnsi" w:cstheme="minorHAnsi"/>
          <w:color w:val="4F81BD" w:themeColor="accent1"/>
        </w:rPr>
        <w:t>AUSTRALIA'S TOP 10 GOODS &amp; SERVICES IMPORTS, 2014 (a)</w:t>
      </w:r>
    </w:p>
    <w:p w:rsidR="00703656" w:rsidRPr="00335D2D" w:rsidRDefault="00703656" w:rsidP="00703656">
      <w:pPr>
        <w:rPr>
          <w:rFonts w:asciiTheme="minorHAnsi" w:hAnsiTheme="minorHAnsi" w:cstheme="minorHAnsi"/>
          <w:b/>
        </w:rPr>
      </w:pPr>
    </w:p>
    <w:tbl>
      <w:tblPr>
        <w:tblStyle w:val="Style1"/>
        <w:tblW w:w="0" w:type="auto"/>
        <w:tblLook w:val="04A0" w:firstRow="1" w:lastRow="0" w:firstColumn="1" w:lastColumn="0" w:noHBand="0" w:noVBand="1"/>
      </w:tblPr>
      <w:tblGrid>
        <w:gridCol w:w="723"/>
        <w:gridCol w:w="4806"/>
        <w:gridCol w:w="1701"/>
        <w:gridCol w:w="1148"/>
      </w:tblGrid>
      <w:tr w:rsidR="00703656" w:rsidRPr="00335D2D" w:rsidTr="0019216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hideMark/>
          </w:tcPr>
          <w:p w:rsidR="00703656" w:rsidRPr="00335D2D" w:rsidRDefault="00703656" w:rsidP="00C41EDB">
            <w:pPr>
              <w:jc w:val="center"/>
              <w:rPr>
                <w:rFonts w:cstheme="minorHAnsi"/>
              </w:rPr>
            </w:pPr>
            <w:r w:rsidRPr="00335D2D">
              <w:rPr>
                <w:rFonts w:cstheme="minorHAnsi"/>
                <w:b w:val="0"/>
                <w:bCs w:val="0"/>
              </w:rPr>
              <w:t>Rank</w:t>
            </w:r>
          </w:p>
        </w:tc>
        <w:tc>
          <w:tcPr>
            <w:tcW w:w="4806" w:type="dxa"/>
            <w:hideMark/>
          </w:tcPr>
          <w:p w:rsidR="00703656" w:rsidRPr="00335D2D" w:rsidRDefault="00703656" w:rsidP="00C41EDB">
            <w:pPr>
              <w:cnfStyle w:val="100000000000" w:firstRow="1" w:lastRow="0" w:firstColumn="0" w:lastColumn="0" w:oddVBand="0" w:evenVBand="0" w:oddHBand="0" w:evenHBand="0" w:firstRowFirstColumn="0" w:firstRowLastColumn="0" w:lastRowFirstColumn="0" w:lastRowLastColumn="0"/>
              <w:rPr>
                <w:rFonts w:cstheme="minorHAnsi"/>
              </w:rPr>
            </w:pPr>
            <w:r w:rsidRPr="00335D2D">
              <w:rPr>
                <w:rFonts w:cstheme="minorHAnsi"/>
                <w:b w:val="0"/>
                <w:bCs w:val="0"/>
              </w:rPr>
              <w:t>Commodity</w:t>
            </w:r>
          </w:p>
        </w:tc>
        <w:tc>
          <w:tcPr>
            <w:tcW w:w="1701" w:type="dxa"/>
            <w:hideMark/>
          </w:tcPr>
          <w:p w:rsidR="00703656" w:rsidRPr="00335D2D" w:rsidRDefault="00703656" w:rsidP="00C41EDB">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335D2D">
              <w:rPr>
                <w:rFonts w:cstheme="minorHAnsi"/>
                <w:b w:val="0"/>
                <w:bCs w:val="0"/>
              </w:rPr>
              <w:t>Value (A$ mil)</w:t>
            </w:r>
          </w:p>
        </w:tc>
        <w:tc>
          <w:tcPr>
            <w:tcW w:w="1148" w:type="dxa"/>
            <w:hideMark/>
          </w:tcPr>
          <w:p w:rsidR="00703656" w:rsidRPr="00335D2D" w:rsidRDefault="00703656" w:rsidP="00C41EDB">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335D2D">
              <w:rPr>
                <w:rFonts w:cstheme="minorHAnsi"/>
                <w:b w:val="0"/>
                <w:bCs w:val="0"/>
              </w:rPr>
              <w:t>% share</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rPr>
                <w:rFonts w:cstheme="minorHAnsi"/>
                <w:color w:val="4F81BD" w:themeColor="accent1"/>
              </w:rPr>
            </w:pPr>
          </w:p>
        </w:tc>
        <w:tc>
          <w:tcPr>
            <w:tcW w:w="4806"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Style w:val="Strong"/>
                <w:rFonts w:cstheme="minorHAnsi"/>
                <w:color w:val="4F81BD" w:themeColor="accent1"/>
              </w:rPr>
              <w:t>Total trade (b)</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Style w:val="Strong"/>
                <w:rFonts w:cstheme="minorHAnsi"/>
                <w:color w:val="4F81BD" w:themeColor="accent1"/>
              </w:rPr>
              <w:t>336,971</w:t>
            </w:r>
          </w:p>
        </w:tc>
        <w:tc>
          <w:tcPr>
            <w:tcW w:w="1148"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1</w:t>
            </w:r>
          </w:p>
        </w:tc>
        <w:tc>
          <w:tcPr>
            <w:tcW w:w="4806"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Personal travel (excl education) services</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24,597</w:t>
            </w:r>
          </w:p>
        </w:tc>
        <w:tc>
          <w:tcPr>
            <w:tcW w:w="1148"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7.3</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2</w:t>
            </w:r>
          </w:p>
        </w:tc>
        <w:tc>
          <w:tcPr>
            <w:tcW w:w="4806"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Crude petroleum</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20,199</w:t>
            </w:r>
          </w:p>
        </w:tc>
        <w:tc>
          <w:tcPr>
            <w:tcW w:w="1148"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6.0</w:t>
            </w: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3</w:t>
            </w:r>
          </w:p>
        </w:tc>
        <w:tc>
          <w:tcPr>
            <w:tcW w:w="4806"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Refined petroleum</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18,662</w:t>
            </w:r>
          </w:p>
        </w:tc>
        <w:tc>
          <w:tcPr>
            <w:tcW w:w="1148"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5.5</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4</w:t>
            </w:r>
          </w:p>
        </w:tc>
        <w:tc>
          <w:tcPr>
            <w:tcW w:w="4806"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Passenger motor vehicles</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17,566</w:t>
            </w:r>
          </w:p>
        </w:tc>
        <w:tc>
          <w:tcPr>
            <w:tcW w:w="1148"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5.2</w:t>
            </w: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5</w:t>
            </w:r>
          </w:p>
        </w:tc>
        <w:tc>
          <w:tcPr>
            <w:tcW w:w="4806"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Telecom equipment &amp; parts</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9,845</w:t>
            </w:r>
          </w:p>
        </w:tc>
        <w:tc>
          <w:tcPr>
            <w:tcW w:w="1148"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2.9</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6</w:t>
            </w:r>
          </w:p>
        </w:tc>
        <w:tc>
          <w:tcPr>
            <w:tcW w:w="4806"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Freight transport services</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9,686</w:t>
            </w:r>
          </w:p>
        </w:tc>
        <w:tc>
          <w:tcPr>
            <w:tcW w:w="1148"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2.9</w:t>
            </w: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7</w:t>
            </w:r>
          </w:p>
        </w:tc>
        <w:tc>
          <w:tcPr>
            <w:tcW w:w="4806"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Medicaments (incl veterinary)</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7,497</w:t>
            </w:r>
          </w:p>
        </w:tc>
        <w:tc>
          <w:tcPr>
            <w:tcW w:w="1148"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2.2</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8</w:t>
            </w:r>
          </w:p>
        </w:tc>
        <w:tc>
          <w:tcPr>
            <w:tcW w:w="4806"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Computers</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7,317</w:t>
            </w:r>
          </w:p>
        </w:tc>
        <w:tc>
          <w:tcPr>
            <w:tcW w:w="1148"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2.2</w:t>
            </w:r>
          </w:p>
        </w:tc>
      </w:tr>
      <w:tr w:rsidR="00BF39AB" w:rsidRPr="00BF39AB" w:rsidTr="00BF39AB">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9</w:t>
            </w:r>
          </w:p>
        </w:tc>
        <w:tc>
          <w:tcPr>
            <w:tcW w:w="4806" w:type="dxa"/>
            <w:shd w:val="clear" w:color="auto" w:fill="auto"/>
            <w:hideMark/>
          </w:tcPr>
          <w:p w:rsidR="00703656" w:rsidRPr="00BF39AB" w:rsidRDefault="00703656" w:rsidP="00C41EDB">
            <w:pPr>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Passenger transport services (c)</w:t>
            </w:r>
          </w:p>
        </w:tc>
        <w:tc>
          <w:tcPr>
            <w:tcW w:w="1701"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6,141</w:t>
            </w:r>
          </w:p>
        </w:tc>
        <w:tc>
          <w:tcPr>
            <w:tcW w:w="1148" w:type="dxa"/>
            <w:shd w:val="clear" w:color="auto" w:fill="auto"/>
            <w:hideMark/>
          </w:tcPr>
          <w:p w:rsidR="00703656" w:rsidRPr="00BF39AB" w:rsidRDefault="00703656" w:rsidP="00C41EDB">
            <w:pPr>
              <w:jc w:val="right"/>
              <w:cnfStyle w:val="000000010000" w:firstRow="0" w:lastRow="0" w:firstColumn="0" w:lastColumn="0" w:oddVBand="0" w:evenVBand="0" w:oddHBand="0" w:evenHBand="1" w:firstRowFirstColumn="0" w:firstRowLastColumn="0" w:lastRowFirstColumn="0" w:lastRowLastColumn="0"/>
              <w:rPr>
                <w:rFonts w:cstheme="minorHAnsi"/>
                <w:color w:val="4F81BD" w:themeColor="accent1"/>
              </w:rPr>
            </w:pPr>
            <w:r w:rsidRPr="00BF39AB">
              <w:rPr>
                <w:rFonts w:cstheme="minorHAnsi"/>
                <w:color w:val="4F81BD" w:themeColor="accent1"/>
              </w:rPr>
              <w:t>1.8</w:t>
            </w:r>
          </w:p>
        </w:tc>
      </w:tr>
      <w:tr w:rsidR="00BF39AB" w:rsidRPr="00BF39AB" w:rsidTr="00BF39A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3" w:type="dxa"/>
            <w:shd w:val="clear" w:color="auto" w:fill="auto"/>
            <w:hideMark/>
          </w:tcPr>
          <w:p w:rsidR="00703656" w:rsidRPr="00BF39AB" w:rsidRDefault="00703656" w:rsidP="00C41EDB">
            <w:pPr>
              <w:jc w:val="center"/>
              <w:rPr>
                <w:rFonts w:cstheme="minorHAnsi"/>
                <w:b w:val="0"/>
                <w:color w:val="4F81BD" w:themeColor="accent1"/>
              </w:rPr>
            </w:pPr>
            <w:r w:rsidRPr="00BF39AB">
              <w:rPr>
                <w:rFonts w:cstheme="minorHAnsi"/>
                <w:b w:val="0"/>
                <w:color w:val="4F81BD" w:themeColor="accent1"/>
              </w:rPr>
              <w:t>10</w:t>
            </w:r>
          </w:p>
        </w:tc>
        <w:tc>
          <w:tcPr>
            <w:tcW w:w="4806" w:type="dxa"/>
            <w:shd w:val="clear" w:color="auto" w:fill="auto"/>
            <w:hideMark/>
          </w:tcPr>
          <w:p w:rsidR="00703656" w:rsidRPr="00BF39AB" w:rsidRDefault="00703656" w:rsidP="00C41ED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Goods vehicles</w:t>
            </w:r>
          </w:p>
        </w:tc>
        <w:tc>
          <w:tcPr>
            <w:tcW w:w="1701"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6,008</w:t>
            </w:r>
          </w:p>
        </w:tc>
        <w:tc>
          <w:tcPr>
            <w:tcW w:w="1148" w:type="dxa"/>
            <w:shd w:val="clear" w:color="auto" w:fill="auto"/>
            <w:hideMark/>
          </w:tcPr>
          <w:p w:rsidR="00703656" w:rsidRPr="00BF39AB" w:rsidRDefault="00703656" w:rsidP="00C41EDB">
            <w:pPr>
              <w:jc w:val="right"/>
              <w:cnfStyle w:val="000000100000" w:firstRow="0" w:lastRow="0" w:firstColumn="0" w:lastColumn="0" w:oddVBand="0" w:evenVBand="0" w:oddHBand="1" w:evenHBand="0" w:firstRowFirstColumn="0" w:firstRowLastColumn="0" w:lastRowFirstColumn="0" w:lastRowLastColumn="0"/>
              <w:rPr>
                <w:rFonts w:cstheme="minorHAnsi"/>
                <w:color w:val="4F81BD" w:themeColor="accent1"/>
              </w:rPr>
            </w:pPr>
            <w:r w:rsidRPr="00BF39AB">
              <w:rPr>
                <w:rFonts w:cstheme="minorHAnsi"/>
                <w:color w:val="4F81BD" w:themeColor="accent1"/>
              </w:rPr>
              <w:t>1.8</w:t>
            </w:r>
          </w:p>
        </w:tc>
      </w:tr>
    </w:tbl>
    <w:p w:rsidR="00703656" w:rsidRPr="00335D2D" w:rsidRDefault="00703656" w:rsidP="00703656">
      <w:pPr>
        <w:rPr>
          <w:rFonts w:asciiTheme="minorHAnsi" w:hAnsiTheme="minorHAnsi" w:cstheme="minorHAnsi"/>
        </w:rPr>
      </w:pPr>
    </w:p>
    <w:p w:rsidR="00703656" w:rsidRPr="00BF39AB" w:rsidRDefault="00703656" w:rsidP="00703656">
      <w:pPr>
        <w:rPr>
          <w:rFonts w:asciiTheme="minorHAnsi" w:hAnsiTheme="minorHAnsi" w:cstheme="minorHAnsi"/>
          <w:color w:val="4F81BD" w:themeColor="accent1"/>
        </w:rPr>
      </w:pPr>
      <w:r w:rsidRPr="00BF39AB">
        <w:rPr>
          <w:rFonts w:asciiTheme="minorHAnsi" w:hAnsiTheme="minorHAnsi" w:cstheme="minorHAnsi"/>
          <w:color w:val="4F81BD" w:themeColor="accent1"/>
          <w:sz w:val="20"/>
          <w:szCs w:val="20"/>
        </w:rPr>
        <w:t>(a) Goods trade are on a recorded trade basis, Services trade are on a balance of payments basis.</w:t>
      </w:r>
      <w:r w:rsidRPr="00BF39AB">
        <w:rPr>
          <w:rFonts w:asciiTheme="minorHAnsi" w:hAnsiTheme="minorHAnsi" w:cstheme="minorHAnsi"/>
          <w:color w:val="4F81BD" w:themeColor="accent1"/>
          <w:sz w:val="20"/>
          <w:szCs w:val="20"/>
        </w:rPr>
        <w:br/>
        <w:t>(b) Total is balance of payments basis for all trade including top 10 commodities.</w:t>
      </w:r>
      <w:r w:rsidRPr="00BF39AB">
        <w:rPr>
          <w:rFonts w:asciiTheme="minorHAnsi" w:hAnsiTheme="minorHAnsi" w:cstheme="minorHAnsi"/>
          <w:color w:val="4F81BD" w:themeColor="accent1"/>
          <w:sz w:val="20"/>
          <w:szCs w:val="20"/>
        </w:rPr>
        <w:br/>
        <w:t xml:space="preserve">(c) Includes </w:t>
      </w:r>
      <w:r w:rsidR="004650A6" w:rsidRPr="00BF39AB">
        <w:rPr>
          <w:rFonts w:asciiTheme="minorHAnsi" w:hAnsiTheme="minorHAnsi" w:cstheme="minorHAnsi"/>
          <w:color w:val="4F81BD" w:themeColor="accent1"/>
          <w:sz w:val="20"/>
          <w:szCs w:val="20"/>
        </w:rPr>
        <w:t>related</w:t>
      </w:r>
      <w:r w:rsidRPr="00BF39AB">
        <w:rPr>
          <w:rFonts w:asciiTheme="minorHAnsi" w:hAnsiTheme="minorHAnsi" w:cstheme="minorHAnsi"/>
          <w:color w:val="4F81BD" w:themeColor="accent1"/>
          <w:sz w:val="20"/>
          <w:szCs w:val="20"/>
        </w:rPr>
        <w:t xml:space="preserve"> agency fees &amp; commissions.</w:t>
      </w:r>
      <w:r w:rsidRPr="00BF39AB">
        <w:rPr>
          <w:rFonts w:asciiTheme="minorHAnsi" w:hAnsiTheme="minorHAnsi" w:cstheme="minorHAnsi"/>
          <w:color w:val="4F81BD" w:themeColor="accent1"/>
          <w:sz w:val="20"/>
          <w:szCs w:val="20"/>
        </w:rPr>
        <w:br/>
      </w:r>
      <w:r w:rsidRPr="00BF39AB">
        <w:rPr>
          <w:rFonts w:asciiTheme="minorHAnsi" w:hAnsiTheme="minorHAnsi" w:cstheme="minorHAnsi"/>
          <w:color w:val="4F81BD" w:themeColor="accent1"/>
          <w:sz w:val="20"/>
          <w:szCs w:val="20"/>
        </w:rPr>
        <w:br/>
        <w:t>Based on ABS trade data on DFAT STARS database and ABS catalogue 5368.0 (Mar 2015).</w:t>
      </w:r>
      <w:r w:rsidRPr="00BF39AB">
        <w:rPr>
          <w:rFonts w:asciiTheme="minorHAnsi" w:hAnsiTheme="minorHAnsi" w:cstheme="minorHAnsi"/>
          <w:color w:val="4F81BD" w:themeColor="accent1"/>
        </w:rPr>
        <w:t xml:space="preserve"> </w:t>
      </w:r>
    </w:p>
    <w:p w:rsidR="00C247B5" w:rsidRDefault="00C247B5">
      <w:pPr>
        <w:rPr>
          <w:rFonts w:asciiTheme="minorHAnsi" w:hAnsiTheme="minorHAnsi" w:cstheme="minorHAnsi"/>
        </w:rPr>
      </w:pPr>
      <w:r>
        <w:rPr>
          <w:rFonts w:asciiTheme="minorHAnsi" w:hAnsiTheme="minorHAnsi" w:cstheme="minorHAnsi"/>
        </w:rPr>
        <w:br w:type="page"/>
      </w:r>
    </w:p>
    <w:p w:rsidR="00C247B5" w:rsidRPr="00192168" w:rsidRDefault="00C247B5" w:rsidP="00C247B5">
      <w:pPr>
        <w:spacing w:after="120"/>
        <w:rPr>
          <w:rFonts w:asciiTheme="minorHAnsi" w:hAnsiTheme="minorHAnsi" w:cstheme="minorHAnsi"/>
          <w:b/>
          <w:color w:val="996633"/>
          <w:sz w:val="40"/>
        </w:rPr>
      </w:pPr>
      <w:r w:rsidRPr="00192168">
        <w:rPr>
          <w:rFonts w:asciiTheme="minorHAnsi" w:hAnsiTheme="minorHAnsi" w:cstheme="minorHAnsi"/>
          <w:b/>
          <w:color w:val="996633"/>
          <w:sz w:val="40"/>
        </w:rPr>
        <w:lastRenderedPageBreak/>
        <w:t>REFERENCES</w:t>
      </w:r>
    </w:p>
    <w:p w:rsidR="00C247B5" w:rsidRPr="000943BD" w:rsidRDefault="00C247B5" w:rsidP="00C247B5">
      <w:pPr>
        <w:spacing w:after="240"/>
        <w:rPr>
          <w:rFonts w:asciiTheme="minorHAnsi" w:hAnsiTheme="minorHAnsi" w:cstheme="minorHAnsi"/>
        </w:rPr>
      </w:pPr>
      <w:r>
        <w:rPr>
          <w:rFonts w:asciiTheme="minorHAnsi" w:hAnsiTheme="minorHAnsi" w:cstheme="minorHAnsi"/>
        </w:rPr>
        <w:t xml:space="preserve">Climate Change Authority 2014, </w:t>
      </w:r>
      <w:r>
        <w:rPr>
          <w:rFonts w:asciiTheme="minorHAnsi" w:hAnsiTheme="minorHAnsi" w:cstheme="minorHAnsi"/>
          <w:i/>
        </w:rPr>
        <w:t>Reducing Australia’s Greenhouse Gas Emissions – Targets and Progress Review</w:t>
      </w:r>
      <w:r>
        <w:rPr>
          <w:rFonts w:asciiTheme="minorHAnsi" w:hAnsiTheme="minorHAnsi" w:cstheme="minorHAnsi"/>
        </w:rPr>
        <w:t>.</w:t>
      </w:r>
    </w:p>
    <w:p w:rsidR="00C247B5" w:rsidRDefault="00C247B5" w:rsidP="00C247B5">
      <w:pPr>
        <w:spacing w:after="240"/>
        <w:rPr>
          <w:rFonts w:asciiTheme="minorHAnsi" w:hAnsiTheme="minorHAnsi" w:cstheme="minorHAnsi"/>
        </w:rPr>
      </w:pPr>
      <w:r>
        <w:rPr>
          <w:rFonts w:asciiTheme="minorHAnsi" w:hAnsiTheme="minorHAnsi" w:cstheme="minorHAnsi"/>
        </w:rPr>
        <w:t xml:space="preserve">Department of the Environment 2015, </w:t>
      </w:r>
      <w:r>
        <w:rPr>
          <w:rFonts w:asciiTheme="minorHAnsi" w:hAnsiTheme="minorHAnsi" w:cstheme="minorHAnsi"/>
          <w:i/>
        </w:rPr>
        <w:t>Australia’s emissions projections 2014-15</w:t>
      </w:r>
      <w:r>
        <w:rPr>
          <w:rFonts w:asciiTheme="minorHAnsi" w:hAnsiTheme="minorHAnsi" w:cstheme="minorHAnsi"/>
        </w:rPr>
        <w:t>, Australian Government.</w:t>
      </w:r>
    </w:p>
    <w:p w:rsidR="00F10C89" w:rsidRPr="00BF7A32" w:rsidRDefault="00AE6B50" w:rsidP="00C247B5">
      <w:pPr>
        <w:spacing w:after="240"/>
        <w:rPr>
          <w:rFonts w:asciiTheme="minorHAnsi" w:hAnsiTheme="minorHAnsi" w:cstheme="minorHAnsi"/>
          <w:i/>
        </w:rPr>
      </w:pPr>
      <w:r>
        <w:rPr>
          <w:rFonts w:asciiTheme="minorHAnsi" w:hAnsiTheme="minorHAnsi" w:cstheme="minorHAnsi"/>
        </w:rPr>
        <w:t>Department of the Treasury 2008</w:t>
      </w:r>
      <w:r w:rsidR="00F10C89">
        <w:rPr>
          <w:rFonts w:asciiTheme="minorHAnsi" w:hAnsiTheme="minorHAnsi" w:cstheme="minorHAnsi"/>
        </w:rPr>
        <w:t xml:space="preserve">, </w:t>
      </w:r>
      <w:r w:rsidR="00F10C89">
        <w:rPr>
          <w:rFonts w:asciiTheme="minorHAnsi" w:hAnsiTheme="minorHAnsi" w:cstheme="minorHAnsi"/>
          <w:i/>
        </w:rPr>
        <w:t>Australia’s Low Pollution Future: The economics of climate change mitigation</w:t>
      </w:r>
      <w:r w:rsidR="00656FF9">
        <w:rPr>
          <w:rFonts w:asciiTheme="minorHAnsi" w:hAnsiTheme="minorHAnsi" w:cstheme="minorHAnsi"/>
          <w:i/>
        </w:rPr>
        <w:t>.</w:t>
      </w:r>
    </w:p>
    <w:p w:rsidR="00C247B5" w:rsidRDefault="00CD5DCB" w:rsidP="00C247B5">
      <w:pPr>
        <w:spacing w:after="240"/>
        <w:rPr>
          <w:rFonts w:asciiTheme="minorHAnsi" w:hAnsiTheme="minorHAnsi" w:cstheme="minorHAnsi"/>
        </w:rPr>
      </w:pPr>
      <w:r>
        <w:rPr>
          <w:rFonts w:asciiTheme="minorHAnsi" w:hAnsiTheme="minorHAnsi" w:cstheme="minorHAnsi"/>
        </w:rPr>
        <w:t xml:space="preserve">Department of the </w:t>
      </w:r>
      <w:r w:rsidR="00C247B5">
        <w:rPr>
          <w:rFonts w:asciiTheme="minorHAnsi" w:hAnsiTheme="minorHAnsi" w:cstheme="minorHAnsi"/>
        </w:rPr>
        <w:t xml:space="preserve">Treasury 2011, </w:t>
      </w:r>
      <w:r w:rsidR="00C247B5">
        <w:rPr>
          <w:rFonts w:asciiTheme="minorHAnsi" w:hAnsiTheme="minorHAnsi" w:cstheme="minorHAnsi"/>
          <w:i/>
        </w:rPr>
        <w:t>Strong Growth, Low Pollution: Modelling a carbon price</w:t>
      </w:r>
      <w:r w:rsidR="00C247B5">
        <w:rPr>
          <w:rFonts w:asciiTheme="minorHAnsi" w:hAnsiTheme="minorHAnsi" w:cstheme="minorHAnsi"/>
        </w:rPr>
        <w:t>.</w:t>
      </w:r>
    </w:p>
    <w:p w:rsidR="00A87A94" w:rsidRPr="00585F61" w:rsidRDefault="00CD5DCB" w:rsidP="00C247B5">
      <w:pPr>
        <w:spacing w:after="240"/>
        <w:rPr>
          <w:rFonts w:asciiTheme="minorHAnsi" w:hAnsiTheme="minorHAnsi" w:cstheme="minorHAnsi"/>
        </w:rPr>
      </w:pPr>
      <w:r>
        <w:rPr>
          <w:rFonts w:asciiTheme="minorHAnsi" w:hAnsiTheme="minorHAnsi" w:cstheme="minorHAnsi"/>
        </w:rPr>
        <w:t xml:space="preserve">Department of the Treasury </w:t>
      </w:r>
      <w:r w:rsidR="00AA30A6">
        <w:rPr>
          <w:rFonts w:asciiTheme="minorHAnsi" w:hAnsiTheme="minorHAnsi" w:cstheme="minorHAnsi"/>
        </w:rPr>
        <w:t xml:space="preserve">2014, </w:t>
      </w:r>
      <w:r w:rsidR="00AA30A6" w:rsidRPr="00BF7A32">
        <w:rPr>
          <w:rFonts w:asciiTheme="minorHAnsi" w:hAnsiTheme="minorHAnsi" w:cstheme="minorHAnsi"/>
          <w:i/>
        </w:rPr>
        <w:t>Mid-year economic and fiscal outlook 2014-15</w:t>
      </w:r>
      <w:r w:rsidR="00AA30A6">
        <w:rPr>
          <w:rFonts w:asciiTheme="minorHAnsi" w:hAnsiTheme="minorHAnsi" w:cstheme="minorHAnsi"/>
        </w:rPr>
        <w:t>.</w:t>
      </w:r>
    </w:p>
    <w:p w:rsidR="00AA30A6" w:rsidRDefault="00AA30A6" w:rsidP="00AA30A6">
      <w:pPr>
        <w:spacing w:after="240"/>
        <w:rPr>
          <w:rFonts w:asciiTheme="minorHAnsi" w:hAnsiTheme="minorHAnsi" w:cstheme="minorHAnsi"/>
        </w:rPr>
      </w:pPr>
      <w:r>
        <w:rPr>
          <w:rFonts w:asciiTheme="minorHAnsi" w:hAnsiTheme="minorHAnsi" w:cstheme="minorHAnsi"/>
        </w:rPr>
        <w:t xml:space="preserve">Department of the Treasury and DIICCSRTE 2013, </w:t>
      </w:r>
      <w:r>
        <w:rPr>
          <w:rFonts w:asciiTheme="minorHAnsi" w:hAnsiTheme="minorHAnsi" w:cstheme="minorHAnsi"/>
          <w:i/>
        </w:rPr>
        <w:t>Climate Change Mitigation Scenarios: Modelling report provided to the Climate Change Authority in support of its Caps and Targets Review</w:t>
      </w:r>
      <w:r>
        <w:rPr>
          <w:rFonts w:asciiTheme="minorHAnsi" w:hAnsiTheme="minorHAnsi" w:cstheme="minorHAnsi"/>
        </w:rPr>
        <w:t>.</w:t>
      </w:r>
    </w:p>
    <w:p w:rsidR="00283040" w:rsidRDefault="00283040" w:rsidP="00AA30A6">
      <w:pPr>
        <w:spacing w:after="240"/>
        <w:rPr>
          <w:rFonts w:asciiTheme="minorHAnsi" w:hAnsiTheme="minorHAnsi" w:cstheme="minorHAnsi"/>
        </w:rPr>
      </w:pPr>
      <w:r w:rsidRPr="00283040">
        <w:rPr>
          <w:rFonts w:asciiTheme="minorHAnsi" w:hAnsiTheme="minorHAnsi" w:cstheme="minorHAnsi"/>
        </w:rPr>
        <w:t>Environment Canada</w:t>
      </w:r>
      <w:r>
        <w:rPr>
          <w:rFonts w:asciiTheme="minorHAnsi" w:hAnsiTheme="minorHAnsi" w:cstheme="minorHAnsi"/>
        </w:rPr>
        <w:t xml:space="preserve"> 2015</w:t>
      </w:r>
      <w:r w:rsidRPr="00283040">
        <w:rPr>
          <w:rFonts w:asciiTheme="minorHAnsi" w:hAnsiTheme="minorHAnsi" w:cstheme="minorHAnsi"/>
        </w:rPr>
        <w:t xml:space="preserve">, </w:t>
      </w:r>
      <w:r>
        <w:rPr>
          <w:rFonts w:asciiTheme="minorHAnsi" w:hAnsiTheme="minorHAnsi" w:cstheme="minorHAnsi"/>
        </w:rPr>
        <w:t>“</w:t>
      </w:r>
      <w:r w:rsidRPr="00283040">
        <w:rPr>
          <w:rFonts w:asciiTheme="minorHAnsi" w:hAnsiTheme="minorHAnsi" w:cstheme="minorHAnsi"/>
        </w:rPr>
        <w:t>16 January 2015. Regulating Canada’s Greenhouse Gas Emissions</w:t>
      </w:r>
      <w:r w:rsidRPr="006C421F">
        <w:rPr>
          <w:rFonts w:asciiTheme="minorHAnsi" w:hAnsiTheme="minorHAnsi" w:cstheme="minorHAnsi"/>
        </w:rPr>
        <w:t>” (</w:t>
      </w:r>
      <w:r w:rsidRPr="00483B3D">
        <w:rPr>
          <w:rStyle w:val="Hyperlink"/>
          <w:rFonts w:asciiTheme="minorHAnsi" w:hAnsiTheme="minorHAnsi" w:cstheme="minorHAnsi"/>
        </w:rPr>
        <w:t>http://climatechange.gc.ca/default.asp?lang=En&amp;n=4FE85A4C-1</w:t>
      </w:r>
      <w:r>
        <w:rPr>
          <w:rFonts w:asciiTheme="minorHAnsi" w:hAnsiTheme="minorHAnsi" w:cstheme="minorHAnsi"/>
        </w:rPr>
        <w:t>)</w:t>
      </w:r>
    </w:p>
    <w:p w:rsidR="004F387C" w:rsidRPr="00AA30A6" w:rsidRDefault="004F387C" w:rsidP="004F387C">
      <w:pPr>
        <w:spacing w:after="240"/>
        <w:rPr>
          <w:rFonts w:asciiTheme="minorHAnsi" w:hAnsiTheme="minorHAnsi" w:cstheme="minorHAnsi"/>
        </w:rPr>
      </w:pPr>
      <w:r>
        <w:rPr>
          <w:rFonts w:asciiTheme="minorHAnsi" w:hAnsiTheme="minorHAnsi" w:cstheme="minorHAnsi"/>
        </w:rPr>
        <w:t xml:space="preserve">International Energy Agency 2015, </w:t>
      </w:r>
      <w:r>
        <w:rPr>
          <w:rFonts w:asciiTheme="minorHAnsi" w:hAnsiTheme="minorHAnsi" w:cstheme="minorHAnsi"/>
          <w:i/>
        </w:rPr>
        <w:t>World Energy Outlook 2015</w:t>
      </w:r>
      <w:r>
        <w:rPr>
          <w:rFonts w:asciiTheme="minorHAnsi" w:hAnsiTheme="minorHAnsi" w:cstheme="minorHAnsi"/>
        </w:rPr>
        <w:t>.</w:t>
      </w:r>
    </w:p>
    <w:p w:rsidR="00AE6B9A" w:rsidRPr="00283040" w:rsidRDefault="00AE6B9A" w:rsidP="00283040">
      <w:pPr>
        <w:spacing w:after="240"/>
        <w:rPr>
          <w:rFonts w:asciiTheme="minorHAnsi" w:hAnsiTheme="minorHAnsi" w:cstheme="minorHAnsi"/>
        </w:rPr>
      </w:pPr>
      <w:r w:rsidRPr="00283040">
        <w:rPr>
          <w:rFonts w:asciiTheme="minorHAnsi" w:hAnsiTheme="minorHAnsi" w:cstheme="minorHAnsi"/>
        </w:rPr>
        <w:t>Jotzo, F</w:t>
      </w:r>
      <w:r w:rsidR="00F32CA7">
        <w:rPr>
          <w:rFonts w:asciiTheme="minorHAnsi" w:hAnsiTheme="minorHAnsi" w:cstheme="minorHAnsi"/>
        </w:rPr>
        <w:t>.</w:t>
      </w:r>
      <w:r w:rsidRPr="00283040">
        <w:rPr>
          <w:rFonts w:asciiTheme="minorHAnsi" w:hAnsiTheme="minorHAnsi" w:cstheme="minorHAnsi"/>
        </w:rPr>
        <w:t xml:space="preserve"> 2011</w:t>
      </w:r>
      <w:r w:rsidR="00F32CA7">
        <w:rPr>
          <w:rFonts w:asciiTheme="minorHAnsi" w:hAnsiTheme="minorHAnsi" w:cstheme="minorHAnsi"/>
        </w:rPr>
        <w:t>,</w:t>
      </w:r>
      <w:r w:rsidRPr="00283040">
        <w:rPr>
          <w:rFonts w:asciiTheme="minorHAnsi" w:hAnsiTheme="minorHAnsi" w:cstheme="minorHAnsi"/>
        </w:rPr>
        <w:t xml:space="preserve"> “Comparing th</w:t>
      </w:r>
      <w:r w:rsidR="00F32CA7" w:rsidRPr="00F32CA7">
        <w:rPr>
          <w:rFonts w:asciiTheme="minorHAnsi" w:hAnsiTheme="minorHAnsi" w:cstheme="minorHAnsi"/>
        </w:rPr>
        <w:t>e Copenhagen Emissions Targets”</w:t>
      </w:r>
      <w:r w:rsidR="00F32CA7">
        <w:rPr>
          <w:rFonts w:asciiTheme="minorHAnsi" w:hAnsiTheme="minorHAnsi" w:cstheme="minorHAnsi"/>
        </w:rPr>
        <w:t>,</w:t>
      </w:r>
      <w:r w:rsidRPr="00283040">
        <w:rPr>
          <w:rFonts w:asciiTheme="minorHAnsi" w:hAnsiTheme="minorHAnsi" w:cstheme="minorHAnsi"/>
        </w:rPr>
        <w:t xml:space="preserve"> Crawford School Centre for Climate Ec</w:t>
      </w:r>
      <w:r w:rsidR="00F32CA7" w:rsidRPr="00F32CA7">
        <w:rPr>
          <w:rFonts w:asciiTheme="minorHAnsi" w:hAnsiTheme="minorHAnsi" w:cstheme="minorHAnsi"/>
        </w:rPr>
        <w:t>onomics &amp; Policy Paper No. 1.10</w:t>
      </w:r>
      <w:r w:rsidRPr="00283040">
        <w:rPr>
          <w:rFonts w:asciiTheme="minorHAnsi" w:hAnsiTheme="minorHAnsi" w:cstheme="minorHAnsi"/>
        </w:rPr>
        <w:t>.</w:t>
      </w:r>
    </w:p>
    <w:p w:rsidR="007B2494" w:rsidRDefault="007B2494" w:rsidP="00AA30A6">
      <w:pPr>
        <w:spacing w:after="240"/>
        <w:rPr>
          <w:rFonts w:asciiTheme="minorHAnsi" w:hAnsiTheme="minorHAnsi" w:cstheme="minorHAnsi"/>
        </w:rPr>
      </w:pPr>
      <w:r>
        <w:rPr>
          <w:rFonts w:asciiTheme="minorHAnsi" w:hAnsiTheme="minorHAnsi" w:cstheme="minorHAnsi"/>
        </w:rPr>
        <w:t>Kuramochi, T</w:t>
      </w:r>
      <w:r w:rsidR="00F32CA7">
        <w:rPr>
          <w:rFonts w:asciiTheme="minorHAnsi" w:hAnsiTheme="minorHAnsi" w:cstheme="minorHAnsi"/>
        </w:rPr>
        <w:t>.</w:t>
      </w:r>
      <w:r>
        <w:rPr>
          <w:rFonts w:asciiTheme="minorHAnsi" w:hAnsiTheme="minorHAnsi" w:cstheme="minorHAnsi"/>
        </w:rPr>
        <w:t xml:space="preserve"> </w:t>
      </w:r>
      <w:r w:rsidRPr="007B2494">
        <w:rPr>
          <w:rFonts w:asciiTheme="minorHAnsi" w:hAnsiTheme="minorHAnsi" w:cstheme="minorHAnsi"/>
        </w:rPr>
        <w:t>2014</w:t>
      </w:r>
      <w:r>
        <w:rPr>
          <w:rFonts w:asciiTheme="minorHAnsi" w:hAnsiTheme="minorHAnsi" w:cstheme="minorHAnsi"/>
        </w:rPr>
        <w:t>,</w:t>
      </w:r>
      <w:r w:rsidRPr="007B2494">
        <w:rPr>
          <w:rFonts w:asciiTheme="minorHAnsi" w:hAnsiTheme="minorHAnsi" w:cstheme="minorHAnsi"/>
        </w:rPr>
        <w:t xml:space="preserve"> </w:t>
      </w:r>
      <w:r w:rsidRPr="00FF6D06">
        <w:rPr>
          <w:rFonts w:asciiTheme="minorHAnsi" w:hAnsiTheme="minorHAnsi" w:cstheme="minorHAnsi"/>
          <w:i/>
        </w:rPr>
        <w:t>GHG Mitigation in Japan: An Overview of the Current Policy Landscape</w:t>
      </w:r>
      <w:r>
        <w:rPr>
          <w:rFonts w:asciiTheme="minorHAnsi" w:hAnsiTheme="minorHAnsi" w:cstheme="minorHAnsi"/>
        </w:rPr>
        <w:t>, Working Paper,</w:t>
      </w:r>
      <w:r w:rsidRPr="007B2494">
        <w:rPr>
          <w:rFonts w:asciiTheme="minorHAnsi" w:hAnsiTheme="minorHAnsi" w:cstheme="minorHAnsi"/>
        </w:rPr>
        <w:t xml:space="preserve"> World Resources </w:t>
      </w:r>
      <w:r w:rsidR="004650A6" w:rsidRPr="007B2494">
        <w:rPr>
          <w:rFonts w:asciiTheme="minorHAnsi" w:hAnsiTheme="minorHAnsi" w:cstheme="minorHAnsi"/>
        </w:rPr>
        <w:t>Institute,</w:t>
      </w:r>
      <w:r>
        <w:rPr>
          <w:rFonts w:asciiTheme="minorHAnsi" w:hAnsiTheme="minorHAnsi" w:cstheme="minorHAnsi"/>
        </w:rPr>
        <w:t xml:space="preserve"> June.</w:t>
      </w:r>
    </w:p>
    <w:p w:rsidR="00F32CA7" w:rsidRPr="00283040" w:rsidRDefault="00F32CA7" w:rsidP="00283040">
      <w:pPr>
        <w:spacing w:after="240"/>
        <w:rPr>
          <w:rFonts w:asciiTheme="minorHAnsi" w:hAnsiTheme="minorHAnsi" w:cstheme="minorHAnsi"/>
        </w:rPr>
      </w:pPr>
      <w:r w:rsidRPr="00283040">
        <w:rPr>
          <w:rFonts w:asciiTheme="minorHAnsi" w:hAnsiTheme="minorHAnsi" w:cstheme="minorHAnsi"/>
        </w:rPr>
        <w:t>McKibbin</w:t>
      </w:r>
      <w:r>
        <w:rPr>
          <w:rFonts w:asciiTheme="minorHAnsi" w:hAnsiTheme="minorHAnsi" w:cstheme="minorHAnsi"/>
        </w:rPr>
        <w:t>,</w:t>
      </w:r>
      <w:r w:rsidRPr="00283040">
        <w:rPr>
          <w:rFonts w:asciiTheme="minorHAnsi" w:hAnsiTheme="minorHAnsi" w:cstheme="minorHAnsi"/>
        </w:rPr>
        <w:t xml:space="preserve"> W</w:t>
      </w:r>
      <w:r>
        <w:rPr>
          <w:rFonts w:asciiTheme="minorHAnsi" w:hAnsiTheme="minorHAnsi" w:cstheme="minorHAnsi"/>
        </w:rPr>
        <w:t>.,</w:t>
      </w:r>
      <w:r w:rsidRPr="00283040">
        <w:rPr>
          <w:rFonts w:asciiTheme="minorHAnsi" w:hAnsiTheme="minorHAnsi" w:cstheme="minorHAnsi"/>
        </w:rPr>
        <w:t xml:space="preserve"> Morris</w:t>
      </w:r>
      <w:r>
        <w:rPr>
          <w:rFonts w:asciiTheme="minorHAnsi" w:hAnsiTheme="minorHAnsi" w:cstheme="minorHAnsi"/>
        </w:rPr>
        <w:t>,</w:t>
      </w:r>
      <w:r w:rsidRPr="00283040">
        <w:rPr>
          <w:rFonts w:asciiTheme="minorHAnsi" w:hAnsiTheme="minorHAnsi" w:cstheme="minorHAnsi"/>
        </w:rPr>
        <w:t xml:space="preserve"> A</w:t>
      </w:r>
      <w:r>
        <w:rPr>
          <w:rFonts w:asciiTheme="minorHAnsi" w:hAnsiTheme="minorHAnsi" w:cstheme="minorHAnsi"/>
        </w:rPr>
        <w:t>.</w:t>
      </w:r>
      <w:r w:rsidRPr="00283040">
        <w:rPr>
          <w:rFonts w:asciiTheme="minorHAnsi" w:hAnsiTheme="minorHAnsi" w:cstheme="minorHAnsi"/>
        </w:rPr>
        <w:t xml:space="preserve"> and Wilcoxen</w:t>
      </w:r>
      <w:r>
        <w:rPr>
          <w:rFonts w:asciiTheme="minorHAnsi" w:hAnsiTheme="minorHAnsi" w:cstheme="minorHAnsi"/>
        </w:rPr>
        <w:t>,</w:t>
      </w:r>
      <w:r w:rsidRPr="00283040">
        <w:rPr>
          <w:rFonts w:asciiTheme="minorHAnsi" w:hAnsiTheme="minorHAnsi" w:cstheme="minorHAnsi"/>
        </w:rPr>
        <w:t xml:space="preserve"> P</w:t>
      </w:r>
      <w:r>
        <w:rPr>
          <w:rFonts w:asciiTheme="minorHAnsi" w:hAnsiTheme="minorHAnsi" w:cstheme="minorHAnsi"/>
        </w:rPr>
        <w:t>.</w:t>
      </w:r>
      <w:r w:rsidRPr="00283040">
        <w:rPr>
          <w:rFonts w:asciiTheme="minorHAnsi" w:hAnsiTheme="minorHAnsi" w:cstheme="minorHAnsi"/>
        </w:rPr>
        <w:t xml:space="preserve"> 2011, “Comparing Climate Commitments: A model-based analysis of the Copenhagen Accord”, </w:t>
      </w:r>
      <w:r w:rsidRPr="00283040">
        <w:rPr>
          <w:rFonts w:asciiTheme="minorHAnsi" w:hAnsiTheme="minorHAnsi" w:cstheme="minorHAnsi"/>
          <w:i/>
        </w:rPr>
        <w:t>Climate Change Economics</w:t>
      </w:r>
      <w:r w:rsidRPr="00283040">
        <w:rPr>
          <w:rFonts w:asciiTheme="minorHAnsi" w:hAnsiTheme="minorHAnsi" w:cstheme="minorHAnsi"/>
        </w:rPr>
        <w:t>, Vol 2, No 2. pp 79-103.</w:t>
      </w:r>
    </w:p>
    <w:p w:rsidR="00F32CA7" w:rsidRPr="00283040" w:rsidRDefault="00F32CA7" w:rsidP="00283040">
      <w:pPr>
        <w:spacing w:after="240"/>
        <w:rPr>
          <w:rFonts w:asciiTheme="minorHAnsi" w:hAnsiTheme="minorHAnsi" w:cstheme="minorHAnsi"/>
        </w:rPr>
      </w:pPr>
      <w:r w:rsidRPr="00283040">
        <w:rPr>
          <w:rFonts w:asciiTheme="minorHAnsi" w:hAnsiTheme="minorHAnsi" w:cstheme="minorHAnsi"/>
        </w:rPr>
        <w:t>McKibbin</w:t>
      </w:r>
      <w:r>
        <w:rPr>
          <w:rFonts w:asciiTheme="minorHAnsi" w:hAnsiTheme="minorHAnsi" w:cstheme="minorHAnsi"/>
        </w:rPr>
        <w:t>,</w:t>
      </w:r>
      <w:r w:rsidRPr="00283040">
        <w:rPr>
          <w:rFonts w:asciiTheme="minorHAnsi" w:hAnsiTheme="minorHAnsi" w:cstheme="minorHAnsi"/>
        </w:rPr>
        <w:t xml:space="preserve"> W</w:t>
      </w:r>
      <w:r>
        <w:rPr>
          <w:rFonts w:asciiTheme="minorHAnsi" w:hAnsiTheme="minorHAnsi" w:cstheme="minorHAnsi"/>
        </w:rPr>
        <w:t>.</w:t>
      </w:r>
      <w:r w:rsidRPr="00283040">
        <w:rPr>
          <w:rFonts w:asciiTheme="minorHAnsi" w:hAnsiTheme="minorHAnsi" w:cstheme="minorHAnsi"/>
        </w:rPr>
        <w:t xml:space="preserve"> and Wilcoxen</w:t>
      </w:r>
      <w:r>
        <w:rPr>
          <w:rFonts w:asciiTheme="minorHAnsi" w:hAnsiTheme="minorHAnsi" w:cstheme="minorHAnsi"/>
        </w:rPr>
        <w:t>,</w:t>
      </w:r>
      <w:r w:rsidRPr="00F32CA7">
        <w:rPr>
          <w:rFonts w:asciiTheme="minorHAnsi" w:hAnsiTheme="minorHAnsi" w:cstheme="minorHAnsi"/>
        </w:rPr>
        <w:t xml:space="preserve"> P</w:t>
      </w:r>
      <w:r>
        <w:rPr>
          <w:rFonts w:asciiTheme="minorHAnsi" w:hAnsiTheme="minorHAnsi" w:cstheme="minorHAnsi"/>
        </w:rPr>
        <w:t>.</w:t>
      </w:r>
      <w:r w:rsidRPr="00F32CA7">
        <w:rPr>
          <w:rFonts w:asciiTheme="minorHAnsi" w:hAnsiTheme="minorHAnsi" w:cstheme="minorHAnsi"/>
        </w:rPr>
        <w:t xml:space="preserve"> </w:t>
      </w:r>
      <w:r w:rsidRPr="00283040">
        <w:rPr>
          <w:rFonts w:asciiTheme="minorHAnsi" w:hAnsiTheme="minorHAnsi" w:cstheme="minorHAnsi"/>
        </w:rPr>
        <w:t xml:space="preserve">2013, </w:t>
      </w:r>
      <w:r>
        <w:rPr>
          <w:rFonts w:asciiTheme="minorHAnsi" w:hAnsiTheme="minorHAnsi" w:cstheme="minorHAnsi"/>
        </w:rPr>
        <w:t>“</w:t>
      </w:r>
      <w:r w:rsidRPr="00283040">
        <w:rPr>
          <w:rFonts w:asciiTheme="minorHAnsi" w:hAnsiTheme="minorHAnsi" w:cstheme="minorHAnsi"/>
        </w:rPr>
        <w:t>A Global Approach to Energy and the Environment: The G-cubed Model”</w:t>
      </w:r>
      <w:r>
        <w:rPr>
          <w:rFonts w:asciiTheme="minorHAnsi" w:hAnsiTheme="minorHAnsi" w:cstheme="minorHAnsi"/>
        </w:rPr>
        <w:t>,</w:t>
      </w:r>
      <w:r w:rsidRPr="00283040">
        <w:rPr>
          <w:rFonts w:asciiTheme="minorHAnsi" w:hAnsiTheme="minorHAnsi" w:cstheme="minorHAnsi"/>
        </w:rPr>
        <w:t xml:space="preserve"> </w:t>
      </w:r>
      <w:r w:rsidRPr="00283040">
        <w:rPr>
          <w:rFonts w:asciiTheme="minorHAnsi" w:hAnsiTheme="minorHAnsi" w:cstheme="minorHAnsi"/>
          <w:i/>
        </w:rPr>
        <w:t>Handbook of CGE Modeling</w:t>
      </w:r>
      <w:r w:rsidRPr="00283040">
        <w:rPr>
          <w:rFonts w:asciiTheme="minorHAnsi" w:hAnsiTheme="minorHAnsi" w:cstheme="minorHAnsi"/>
        </w:rPr>
        <w:t>, Chapter 17, North Holland, pp 995-1068</w:t>
      </w:r>
      <w:r>
        <w:rPr>
          <w:rFonts w:asciiTheme="minorHAnsi" w:hAnsiTheme="minorHAnsi" w:cstheme="minorHAnsi"/>
        </w:rPr>
        <w:t>.</w:t>
      </w:r>
    </w:p>
    <w:p w:rsidR="00AA30A6" w:rsidRDefault="00AA30A6" w:rsidP="00AA30A6">
      <w:pPr>
        <w:spacing w:after="240"/>
        <w:rPr>
          <w:rFonts w:asciiTheme="minorHAnsi" w:hAnsiTheme="minorHAnsi" w:cstheme="minorHAnsi"/>
        </w:rPr>
      </w:pPr>
      <w:r>
        <w:rPr>
          <w:rFonts w:asciiTheme="minorHAnsi" w:hAnsiTheme="minorHAnsi" w:cstheme="minorHAnsi"/>
        </w:rPr>
        <w:t xml:space="preserve">McKibbin Software Group 2015, </w:t>
      </w:r>
      <w:r>
        <w:rPr>
          <w:rFonts w:asciiTheme="minorHAnsi" w:hAnsiTheme="minorHAnsi" w:cstheme="minorHAnsi"/>
          <w:i/>
        </w:rPr>
        <w:t>Economic Modelling of Australian Climate Action Under a New Global Climate Change Agreement</w:t>
      </w:r>
      <w:r>
        <w:rPr>
          <w:rFonts w:asciiTheme="minorHAnsi" w:hAnsiTheme="minorHAnsi" w:cstheme="minorHAnsi"/>
        </w:rPr>
        <w:t>, for the Department of Foreign Affairs and Trade, July (unpublished).</w:t>
      </w:r>
    </w:p>
    <w:p w:rsidR="00E23423" w:rsidRPr="00E23423" w:rsidRDefault="00E23423" w:rsidP="00BF7A32">
      <w:pPr>
        <w:spacing w:after="240"/>
        <w:rPr>
          <w:rFonts w:asciiTheme="minorHAnsi" w:hAnsiTheme="minorHAnsi" w:cstheme="minorHAnsi"/>
        </w:rPr>
      </w:pPr>
      <w:r>
        <w:rPr>
          <w:rFonts w:asciiTheme="minorHAnsi" w:hAnsiTheme="minorHAnsi" w:cstheme="minorHAnsi"/>
        </w:rPr>
        <w:t xml:space="preserve">United Nations 2002, </w:t>
      </w:r>
      <w:r>
        <w:rPr>
          <w:rFonts w:asciiTheme="minorHAnsi" w:hAnsiTheme="minorHAnsi" w:cstheme="minorHAnsi"/>
          <w:i/>
        </w:rPr>
        <w:t>International Industrial Classification of All Economic Activities (ISIC) Revision 3.1</w:t>
      </w:r>
      <w:r>
        <w:rPr>
          <w:rFonts w:asciiTheme="minorHAnsi" w:hAnsiTheme="minorHAnsi" w:cstheme="minorHAnsi"/>
        </w:rPr>
        <w:t xml:space="preserve"> (</w:t>
      </w:r>
      <w:hyperlink r:id="rId38" w:history="1">
        <w:r w:rsidRPr="00581FE7">
          <w:rPr>
            <w:rStyle w:val="Hyperlink"/>
            <w:rFonts w:asciiTheme="minorHAnsi" w:hAnsiTheme="minorHAnsi" w:cstheme="minorHAnsi"/>
          </w:rPr>
          <w:t>http://unstats.un.org/unsd/cr/registry/regcst.asp?Cl=17</w:t>
        </w:r>
      </w:hyperlink>
      <w:r>
        <w:rPr>
          <w:rFonts w:asciiTheme="minorHAnsi" w:hAnsiTheme="minorHAnsi" w:cstheme="minorHAnsi"/>
        </w:rPr>
        <w:t>)</w:t>
      </w:r>
    </w:p>
    <w:p w:rsidR="00A87A94" w:rsidRDefault="00AA30A6" w:rsidP="00BF7A32">
      <w:pPr>
        <w:spacing w:after="240"/>
        <w:rPr>
          <w:rFonts w:asciiTheme="minorHAnsi" w:hAnsiTheme="minorHAnsi" w:cstheme="minorHAnsi"/>
        </w:rPr>
      </w:pPr>
      <w:r>
        <w:rPr>
          <w:rFonts w:asciiTheme="minorHAnsi" w:hAnsiTheme="minorHAnsi" w:cstheme="minorHAnsi"/>
        </w:rPr>
        <w:t xml:space="preserve">United Nations 2012, </w:t>
      </w:r>
      <w:r w:rsidRPr="00BF7A32">
        <w:rPr>
          <w:rFonts w:asciiTheme="minorHAnsi" w:hAnsiTheme="minorHAnsi" w:cstheme="minorHAnsi"/>
          <w:i/>
        </w:rPr>
        <w:t>World Population Prospects</w:t>
      </w:r>
      <w:r w:rsidR="004F387C" w:rsidRPr="00BF7A32">
        <w:rPr>
          <w:rFonts w:asciiTheme="minorHAnsi" w:hAnsiTheme="minorHAnsi" w:cstheme="minorHAnsi"/>
          <w:i/>
        </w:rPr>
        <w:t>, the 2012 Revision</w:t>
      </w:r>
      <w:r w:rsidR="004F387C">
        <w:rPr>
          <w:rFonts w:asciiTheme="minorHAnsi" w:hAnsiTheme="minorHAnsi" w:cstheme="minorHAnsi"/>
        </w:rPr>
        <w:t>.</w:t>
      </w:r>
    </w:p>
    <w:p w:rsidR="007B2494" w:rsidRDefault="004F387C" w:rsidP="00BF7A32">
      <w:pPr>
        <w:spacing w:after="240"/>
        <w:rPr>
          <w:rFonts w:asciiTheme="minorHAnsi" w:hAnsiTheme="minorHAnsi" w:cstheme="minorHAnsi"/>
        </w:rPr>
      </w:pPr>
      <w:r>
        <w:rPr>
          <w:rFonts w:asciiTheme="minorHAnsi" w:hAnsiTheme="minorHAnsi" w:cstheme="minorHAnsi"/>
        </w:rPr>
        <w:t xml:space="preserve">U.S. </w:t>
      </w:r>
      <w:r w:rsidR="00AA30A6">
        <w:rPr>
          <w:rFonts w:asciiTheme="minorHAnsi" w:hAnsiTheme="minorHAnsi" w:cstheme="minorHAnsi"/>
        </w:rPr>
        <w:t xml:space="preserve">Energy Information Administration 2015, </w:t>
      </w:r>
      <w:r w:rsidR="00AA30A6">
        <w:rPr>
          <w:rFonts w:asciiTheme="minorHAnsi" w:hAnsiTheme="minorHAnsi" w:cstheme="minorHAnsi"/>
          <w:i/>
        </w:rPr>
        <w:t>Annual Energy Outlook 2015</w:t>
      </w:r>
      <w:r>
        <w:rPr>
          <w:rFonts w:asciiTheme="minorHAnsi" w:hAnsiTheme="minorHAnsi" w:cstheme="minorHAnsi"/>
        </w:rPr>
        <w:t>.</w:t>
      </w:r>
    </w:p>
    <w:p w:rsidR="009975E7" w:rsidRPr="000163B1" w:rsidRDefault="00F32CA7" w:rsidP="00C84176">
      <w:pPr>
        <w:spacing w:after="240"/>
        <w:rPr>
          <w:rFonts w:asciiTheme="minorHAnsi" w:hAnsiTheme="minorHAnsi" w:cstheme="minorHAnsi"/>
        </w:rPr>
      </w:pPr>
      <w:r w:rsidRPr="00283040">
        <w:rPr>
          <w:rFonts w:asciiTheme="minorHAnsi" w:hAnsiTheme="minorHAnsi" w:cstheme="minorHAnsi"/>
        </w:rPr>
        <w:lastRenderedPageBreak/>
        <w:t xml:space="preserve">Varadarajan, U., Nelson, D., Pierpont, B. and Hervé-Mignucci, M. 2011, “The Impacts of Policy on the Financing of Renewable Projects: A Case Study Analysis”, </w:t>
      </w:r>
      <w:r w:rsidRPr="00283040">
        <w:rPr>
          <w:rFonts w:asciiTheme="minorHAnsi" w:hAnsiTheme="minorHAnsi" w:cstheme="minorHAnsi"/>
          <w:i/>
        </w:rPr>
        <w:t>Climate Policy Initiative</w:t>
      </w:r>
      <w:r w:rsidRPr="00283040">
        <w:rPr>
          <w:rFonts w:asciiTheme="minorHAnsi" w:hAnsiTheme="minorHAnsi" w:cstheme="minorHAnsi"/>
        </w:rPr>
        <w:t>, San Francisco</w:t>
      </w:r>
      <w:r>
        <w:rPr>
          <w:rFonts w:asciiTheme="minorHAnsi" w:hAnsiTheme="minorHAnsi" w:cstheme="minorHAnsi"/>
        </w:rPr>
        <w:t xml:space="preserve">. </w:t>
      </w:r>
    </w:p>
    <w:sectPr w:rsidR="009975E7" w:rsidRPr="000163B1" w:rsidSect="00926FD1">
      <w:headerReference w:type="even" r:id="rId39"/>
      <w:headerReference w:type="default" r:id="rId40"/>
      <w:footerReference w:type="even" r:id="rId41"/>
      <w:footerReference w:type="default" r:id="rId42"/>
      <w:headerReference w:type="first" r:id="rId43"/>
      <w:footerReference w:type="first" r:id="rId44"/>
      <w:footnotePr>
        <w:numFmt w:val="lowerRoman"/>
      </w:foot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D1" w:rsidRDefault="00926FD1" w:rsidP="008D6029">
      <w:r>
        <w:separator/>
      </w:r>
    </w:p>
  </w:endnote>
  <w:endnote w:type="continuationSeparator" w:id="0">
    <w:p w:rsidR="00926FD1" w:rsidRDefault="00926FD1" w:rsidP="008D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BC" w:rsidRDefault="00BE0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68628"/>
      <w:docPartObj>
        <w:docPartGallery w:val="Page Numbers (Bottom of Page)"/>
        <w:docPartUnique/>
      </w:docPartObj>
    </w:sdtPr>
    <w:sdtEndPr>
      <w:rPr>
        <w:b/>
      </w:rPr>
    </w:sdtEndPr>
    <w:sdtContent>
      <w:p w:rsidR="00926FD1" w:rsidRPr="000157C7" w:rsidDel="00971415" w:rsidRDefault="00926FD1" w:rsidP="00971415">
        <w:pPr>
          <w:pStyle w:val="Footer"/>
          <w:jc w:val="center"/>
          <w:rPr>
            <w:b/>
          </w:rPr>
        </w:pPr>
        <w:r w:rsidRPr="000157C7">
          <w:rPr>
            <w:b/>
            <w:noProof/>
            <w:lang w:eastAsia="en-AU"/>
          </w:rPr>
          <mc:AlternateContent>
            <mc:Choice Requires="wps">
              <w:drawing>
                <wp:anchor distT="0" distB="0" distL="114300" distR="114300" simplePos="0" relativeHeight="251657216" behindDoc="0" locked="0" layoutInCell="1" allowOverlap="1" wp14:anchorId="13ECB9FF" wp14:editId="7BA81837">
                  <wp:simplePos x="0" y="0"/>
                  <wp:positionH relativeFrom="rightMargin">
                    <wp:align>center</wp:align>
                  </wp:positionH>
                  <wp:positionV relativeFrom="bottomMargin">
                    <wp:align>center</wp:align>
                  </wp:positionV>
                  <wp:extent cx="565785" cy="191770"/>
                  <wp:effectExtent l="0" t="0" r="0" b="0"/>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26FD1" w:rsidRPr="00D1742A" w:rsidRDefault="00926FD1">
                              <w:pPr>
                                <w:pBdr>
                                  <w:top w:val="single" w:sz="4" w:space="1" w:color="7F7F7F" w:themeColor="background1" w:themeShade="7F"/>
                                </w:pBdr>
                                <w:jc w:val="center"/>
                                <w:rPr>
                                  <w:rFonts w:asciiTheme="majorHAnsi" w:hAnsiTheme="majorHAnsi"/>
                                  <w:b/>
                                  <w:color w:val="4F81BD" w:themeColor="accent1"/>
                                </w:rPr>
                              </w:pPr>
                              <w:r w:rsidRPr="00D1742A">
                                <w:rPr>
                                  <w:rFonts w:asciiTheme="majorHAnsi" w:hAnsiTheme="majorHAnsi"/>
                                  <w:b/>
                                  <w:color w:val="4F81BD" w:themeColor="accent1"/>
                                </w:rPr>
                                <w:fldChar w:fldCharType="begin"/>
                              </w:r>
                              <w:r w:rsidRPr="00D1742A">
                                <w:rPr>
                                  <w:rFonts w:asciiTheme="majorHAnsi" w:hAnsiTheme="majorHAnsi"/>
                                  <w:b/>
                                  <w:color w:val="4F81BD" w:themeColor="accent1"/>
                                </w:rPr>
                                <w:instrText xml:space="preserve"> PAGE   \* MERGEFORMAT </w:instrText>
                              </w:r>
                              <w:r w:rsidRPr="00D1742A">
                                <w:rPr>
                                  <w:rFonts w:asciiTheme="majorHAnsi" w:hAnsiTheme="majorHAnsi"/>
                                  <w:b/>
                                  <w:color w:val="4F81BD" w:themeColor="accent1"/>
                                </w:rPr>
                                <w:fldChar w:fldCharType="separate"/>
                              </w:r>
                              <w:r w:rsidR="004B0DD8">
                                <w:rPr>
                                  <w:rFonts w:asciiTheme="majorHAnsi" w:hAnsiTheme="majorHAnsi"/>
                                  <w:b/>
                                  <w:noProof/>
                                  <w:color w:val="4F81BD" w:themeColor="accent1"/>
                                </w:rPr>
                                <w:t>4</w:t>
                              </w:r>
                              <w:r w:rsidRPr="00D1742A">
                                <w:rPr>
                                  <w:rFonts w:asciiTheme="majorHAnsi" w:hAnsiTheme="majorHAnsi"/>
                                  <w:b/>
                                  <w:noProof/>
                                  <w:color w:val="4F81BD"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78" o:spid="_x0000_s1060" style="position:absolute;left:0;text-align:left;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" filled="f" fillcolor="#c0504d" stroked="f" strokecolor="#5c83b4" strokeweight="2.25pt">
                  <v:textbox inset=",0,,0">
                    <w:txbxContent>
                      <w:p w:rsidR="00926FD1" w:rsidRPr="00D1742A" w:rsidRDefault="00926FD1">
                        <w:pPr>
                          <w:pBdr>
                            <w:top w:val="single" w:sz="4" w:space="1" w:color="7F7F7F" w:themeColor="background1" w:themeShade="7F"/>
                          </w:pBdr>
                          <w:jc w:val="center"/>
                          <w:rPr>
                            <w:rFonts w:asciiTheme="majorHAnsi" w:hAnsiTheme="majorHAnsi"/>
                            <w:b/>
                            <w:color w:val="4F81BD" w:themeColor="accent1"/>
                          </w:rPr>
                        </w:pPr>
                        <w:r w:rsidRPr="00D1742A">
                          <w:rPr>
                            <w:rFonts w:asciiTheme="majorHAnsi" w:hAnsiTheme="majorHAnsi"/>
                            <w:b/>
                            <w:color w:val="4F81BD" w:themeColor="accent1"/>
                          </w:rPr>
                          <w:fldChar w:fldCharType="begin"/>
                        </w:r>
                        <w:r w:rsidRPr="00D1742A">
                          <w:rPr>
                            <w:rFonts w:asciiTheme="majorHAnsi" w:hAnsiTheme="majorHAnsi"/>
                            <w:b/>
                            <w:color w:val="4F81BD" w:themeColor="accent1"/>
                          </w:rPr>
                          <w:instrText xml:space="preserve"> PAGE   \* MERGEFORMAT </w:instrText>
                        </w:r>
                        <w:r w:rsidRPr="00D1742A">
                          <w:rPr>
                            <w:rFonts w:asciiTheme="majorHAnsi" w:hAnsiTheme="majorHAnsi"/>
                            <w:b/>
                            <w:color w:val="4F81BD" w:themeColor="accent1"/>
                          </w:rPr>
                          <w:fldChar w:fldCharType="separate"/>
                        </w:r>
                        <w:r w:rsidR="004B0DD8">
                          <w:rPr>
                            <w:rFonts w:asciiTheme="majorHAnsi" w:hAnsiTheme="majorHAnsi"/>
                            <w:b/>
                            <w:noProof/>
                            <w:color w:val="4F81BD" w:themeColor="accent1"/>
                          </w:rPr>
                          <w:t>4</w:t>
                        </w:r>
                        <w:r w:rsidRPr="00D1742A">
                          <w:rPr>
                            <w:rFonts w:asciiTheme="majorHAnsi" w:hAnsiTheme="majorHAnsi"/>
                            <w:b/>
                            <w:noProof/>
                            <w:color w:val="4F81BD" w:themeColor="accent1"/>
                          </w:rPr>
                          <w:fldChar w:fldCharType="end"/>
                        </w:r>
                      </w:p>
                    </w:txbxContent>
                  </v:textbox>
                  <w10:wrap anchorx="margin" anchory="margin"/>
                </v:rect>
              </w:pict>
            </mc:Fallback>
          </mc:AlternateContent>
        </w:r>
      </w:p>
      <w:p w:rsidR="00926FD1" w:rsidRPr="000157C7" w:rsidRDefault="004B0DD8" w:rsidP="00971415">
        <w:pPr>
          <w:pStyle w:val="Footer"/>
          <w:jc w:val="center"/>
          <w:rPr>
            <w:b/>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D1" w:rsidRDefault="00926FD1" w:rsidP="00BF7A32">
    <w:pPr>
      <w:pStyle w:val="Footer"/>
      <w:tabs>
        <w:tab w:val="clear" w:pos="4513"/>
        <w:tab w:val="clear" w:pos="9026"/>
        <w:tab w:val="left" w:pos="877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D1" w:rsidRDefault="00926FD1" w:rsidP="008D6029">
      <w:r>
        <w:separator/>
      </w:r>
    </w:p>
  </w:footnote>
  <w:footnote w:type="continuationSeparator" w:id="0">
    <w:p w:rsidR="00926FD1" w:rsidRDefault="00926FD1" w:rsidP="008D6029">
      <w:r>
        <w:continuationSeparator/>
      </w:r>
    </w:p>
  </w:footnote>
  <w:footnote w:id="1">
    <w:p w:rsidR="00926FD1" w:rsidRPr="00826054" w:rsidRDefault="00926FD1" w:rsidP="003374BA">
      <w:pPr>
        <w:pStyle w:val="FootnoteText"/>
        <w:rPr>
          <w:rFonts w:asciiTheme="minorHAnsi" w:hAnsiTheme="minorHAnsi" w:cstheme="minorHAnsi"/>
        </w:rPr>
      </w:pPr>
      <w:r w:rsidRPr="003323E7">
        <w:rPr>
          <w:rStyle w:val="FootnoteReference"/>
          <w:rFonts w:asciiTheme="minorHAnsi" w:hAnsiTheme="minorHAnsi" w:cstheme="minorHAnsi"/>
        </w:rPr>
        <w:footnoteRef/>
      </w:r>
      <w:r w:rsidRPr="003323E7">
        <w:rPr>
          <w:rFonts w:asciiTheme="minorHAnsi" w:hAnsiTheme="minorHAnsi" w:cstheme="minorHAnsi"/>
        </w:rPr>
        <w:t xml:space="preserve"> </w:t>
      </w:r>
      <w:r>
        <w:rPr>
          <w:rFonts w:asciiTheme="minorHAnsi" w:hAnsiTheme="minorHAnsi" w:cstheme="minorHAnsi"/>
        </w:rPr>
        <w:t xml:space="preserve">Based on DFAT analysis as at 29 April 2015. </w:t>
      </w:r>
      <w:r w:rsidRPr="003323E7">
        <w:rPr>
          <w:rFonts w:asciiTheme="minorHAnsi" w:hAnsiTheme="minorHAnsi" w:cstheme="minorHAnsi"/>
        </w:rPr>
        <w:t xml:space="preserve">See </w:t>
      </w:r>
      <w:r w:rsidRPr="00CD4768">
        <w:rPr>
          <w:rFonts w:asciiTheme="minorHAnsi" w:hAnsiTheme="minorHAnsi" w:cstheme="minorHAnsi"/>
          <w:b/>
        </w:rPr>
        <w:t xml:space="preserve">Appendix </w:t>
      </w:r>
      <w:r>
        <w:rPr>
          <w:rFonts w:asciiTheme="minorHAnsi" w:hAnsiTheme="minorHAnsi" w:cstheme="minorHAnsi"/>
          <w:b/>
        </w:rPr>
        <w:t xml:space="preserve">A </w:t>
      </w:r>
      <w:r w:rsidRPr="002470EE">
        <w:rPr>
          <w:rFonts w:asciiTheme="minorHAnsi" w:hAnsiTheme="minorHAnsi" w:cstheme="minorHAnsi"/>
        </w:rPr>
        <w:t xml:space="preserve">for a full list of countries that have put forward post-2020 targets. </w:t>
      </w:r>
    </w:p>
  </w:footnote>
  <w:footnote w:id="2">
    <w:p w:rsidR="00926FD1" w:rsidRDefault="00926FD1">
      <w:pPr>
        <w:pStyle w:val="FootnoteText"/>
      </w:pPr>
      <w:r>
        <w:rPr>
          <w:rStyle w:val="FootnoteReference"/>
        </w:rPr>
        <w:footnoteRef/>
      </w:r>
      <w:r>
        <w:t xml:space="preserve"> </w:t>
      </w:r>
      <w:r w:rsidRPr="00BF7A32">
        <w:rPr>
          <w:rFonts w:asciiTheme="minorHAnsi" w:hAnsiTheme="minorHAnsi"/>
        </w:rPr>
        <w:t>A full list of announced intended Nationally Determined Contributions is at Appendix A.</w:t>
      </w:r>
    </w:p>
  </w:footnote>
  <w:footnote w:id="3">
    <w:p w:rsidR="00926FD1" w:rsidRDefault="00926FD1" w:rsidP="003374BA">
      <w:pPr>
        <w:pStyle w:val="FootnoteText"/>
      </w:pPr>
      <w:r>
        <w:rPr>
          <w:rStyle w:val="FootnoteReference"/>
        </w:rPr>
        <w:footnoteRef/>
      </w:r>
      <w:r>
        <w:t xml:space="preserve"> </w:t>
      </w:r>
      <w:r w:rsidRPr="00BC349A">
        <w:rPr>
          <w:rFonts w:asciiTheme="minorHAnsi" w:hAnsiTheme="minorHAnsi" w:cstheme="minorHAnsi"/>
        </w:rPr>
        <w:t xml:space="preserve">Some technical adjustments were made to fit the objectives of the work. These adjustments are explained in </w:t>
      </w:r>
      <w:r w:rsidRPr="00BF7A32">
        <w:rPr>
          <w:rFonts w:asciiTheme="minorHAnsi" w:hAnsiTheme="minorHAnsi" w:cstheme="minorHAnsi"/>
        </w:rPr>
        <w:t xml:space="preserve">Appendix </w:t>
      </w:r>
      <w:r>
        <w:rPr>
          <w:rFonts w:asciiTheme="minorHAnsi" w:hAnsiTheme="minorHAnsi" w:cstheme="minorHAnsi"/>
        </w:rPr>
        <w:t>B</w:t>
      </w:r>
      <w:r w:rsidRPr="003323E7">
        <w:rPr>
          <w:rFonts w:asciiTheme="minorHAnsi" w:hAnsiTheme="minorHAnsi" w:cstheme="minorHAnsi"/>
        </w:rPr>
        <w:t>.</w:t>
      </w:r>
      <w:r>
        <w:rPr>
          <w:rFonts w:asciiTheme="minorHAnsi" w:hAnsiTheme="minorHAnsi" w:cstheme="minorHAnsi"/>
        </w:rPr>
        <w:t xml:space="preserve"> The exact model used is G-cubed version E123.</w:t>
      </w:r>
    </w:p>
  </w:footnote>
  <w:footnote w:id="4">
    <w:p w:rsidR="00926FD1" w:rsidRDefault="00926FD1">
      <w:pPr>
        <w:pStyle w:val="FootnoteText"/>
      </w:pPr>
      <w:r>
        <w:rPr>
          <w:rStyle w:val="FootnoteReference"/>
        </w:rPr>
        <w:footnoteRef/>
      </w:r>
      <w:r>
        <w:t xml:space="preserve"> </w:t>
      </w:r>
      <w:r>
        <w:rPr>
          <w:rFonts w:asciiTheme="minorHAnsi" w:hAnsiTheme="minorHAnsi" w:cstheme="minorHAnsi"/>
        </w:rPr>
        <w:t>Report 2 examines the impact of possible Australian targets, building on the modelling in Report 1.</w:t>
      </w:r>
    </w:p>
  </w:footnote>
  <w:footnote w:id="5">
    <w:p w:rsidR="00926FD1" w:rsidRDefault="00926FD1">
      <w:pPr>
        <w:pStyle w:val="FootnoteText"/>
      </w:pPr>
      <w:r>
        <w:rPr>
          <w:rStyle w:val="FootnoteReference"/>
        </w:rPr>
        <w:footnoteRef/>
      </w:r>
      <w:r>
        <w:t xml:space="preserve"> </w:t>
      </w:r>
      <w:r w:rsidRPr="00AF2688">
        <w:rPr>
          <w:rFonts w:asciiTheme="minorHAnsi" w:hAnsiTheme="minorHAnsi" w:cstheme="minorHAnsi"/>
        </w:rPr>
        <w:t xml:space="preserve">The analysis </w:t>
      </w:r>
      <w:r>
        <w:rPr>
          <w:rFonts w:asciiTheme="minorHAnsi" w:hAnsiTheme="minorHAnsi" w:cstheme="minorHAnsi"/>
        </w:rPr>
        <w:t xml:space="preserve">is based on the draft US Clean Power Plan and </w:t>
      </w:r>
      <w:r w:rsidRPr="00AF2688">
        <w:rPr>
          <w:rFonts w:asciiTheme="minorHAnsi" w:hAnsiTheme="minorHAnsi" w:cstheme="minorHAnsi"/>
        </w:rPr>
        <w:t>does not include the US Clean Power Plan announcement of 3 August 2015.</w:t>
      </w:r>
    </w:p>
  </w:footnote>
  <w:footnote w:id="6">
    <w:p w:rsidR="00926FD1" w:rsidRDefault="00926FD1">
      <w:pPr>
        <w:pStyle w:val="FootnoteText"/>
      </w:pPr>
      <w:r>
        <w:rPr>
          <w:rStyle w:val="FootnoteReference"/>
        </w:rPr>
        <w:footnoteRef/>
      </w:r>
      <w:r>
        <w:t xml:space="preserve"> </w:t>
      </w:r>
      <w:r w:rsidRPr="00AF2688">
        <w:rPr>
          <w:rFonts w:asciiTheme="minorHAnsi" w:hAnsiTheme="minorHAnsi" w:cstheme="minorHAnsi"/>
        </w:rPr>
        <w:t>At the time of modelling China had not announced a formal post-2020 target.</w:t>
      </w:r>
      <w:r>
        <w:rPr>
          <w:rFonts w:asciiTheme="minorHAnsi" w:hAnsiTheme="minorHAnsi" w:cstheme="minorHAnsi"/>
        </w:rPr>
        <w:t xml:space="preserve"> (See Appendix A.)</w:t>
      </w:r>
    </w:p>
  </w:footnote>
  <w:footnote w:id="7">
    <w:p w:rsidR="00926FD1" w:rsidRDefault="00926FD1" w:rsidP="00531CD0">
      <w:pPr>
        <w:pStyle w:val="FootnoteText"/>
      </w:pPr>
      <w:r>
        <w:rPr>
          <w:rStyle w:val="FootnoteReference"/>
        </w:rPr>
        <w:footnoteRef/>
      </w:r>
      <w:r>
        <w:t xml:space="preserve"> </w:t>
      </w:r>
      <w:r w:rsidRPr="004622EE">
        <w:rPr>
          <w:rFonts w:asciiTheme="minorHAnsi" w:hAnsiTheme="minorHAnsi" w:cstheme="minorHAnsi"/>
        </w:rPr>
        <w:t>Based on “With Measures” projection from Japan’s First Biennial Report. Excludes LULUCF emissions.</w:t>
      </w:r>
    </w:p>
  </w:footnote>
  <w:footnote w:id="8">
    <w:p w:rsidR="00926FD1" w:rsidRDefault="00926FD1" w:rsidP="00531CD0">
      <w:pPr>
        <w:pStyle w:val="FootnoteText"/>
      </w:pPr>
      <w:r>
        <w:rPr>
          <w:rStyle w:val="FootnoteReference"/>
        </w:rPr>
        <w:footnoteRef/>
      </w:r>
      <w:r>
        <w:t xml:space="preserve"> See </w:t>
      </w:r>
      <w:r w:rsidRPr="00AF2688">
        <w:rPr>
          <w:rFonts w:asciiTheme="minorHAnsi" w:hAnsiTheme="minorHAnsi" w:cstheme="minorHAnsi"/>
        </w:rPr>
        <w:t>Kuramochi (2014)</w:t>
      </w:r>
      <w:r w:rsidRPr="004622EE">
        <w:rPr>
          <w:rFonts w:asciiTheme="minorHAnsi" w:hAnsiTheme="minorHAnsi" w:cstheme="minorHAnsi"/>
        </w:rPr>
        <w:t>, p 3.</w:t>
      </w:r>
    </w:p>
  </w:footnote>
  <w:footnote w:id="9">
    <w:p w:rsidR="00926FD1" w:rsidRDefault="00926FD1" w:rsidP="001154A3">
      <w:pPr>
        <w:pStyle w:val="FootnoteText"/>
      </w:pPr>
      <w:r>
        <w:rPr>
          <w:rStyle w:val="FootnoteReference"/>
        </w:rPr>
        <w:footnoteRef/>
      </w:r>
      <w:r>
        <w:t xml:space="preserve"> </w:t>
      </w:r>
      <w:r w:rsidRPr="001154A3">
        <w:rPr>
          <w:rFonts w:asciiTheme="minorHAnsi" w:hAnsiTheme="minorHAnsi" w:cstheme="minorHAnsi"/>
        </w:rPr>
        <w:t>The first fifteen members of the European Union (Austria, Belgium, Denmark, Finland, France, Germany, Greece, Ireland, Italy, Luxembourg, Netherlands, Portugal, Spain, Sweden, United Kingdom) as well as Norway, Iceland and Switzerland.</w:t>
      </w:r>
    </w:p>
  </w:footnote>
  <w:footnote w:id="10">
    <w:p w:rsidR="00926FD1" w:rsidRPr="00A02572" w:rsidRDefault="00926FD1" w:rsidP="00531CD0">
      <w:pPr>
        <w:pStyle w:val="FootnoteText"/>
        <w:rPr>
          <w:rFonts w:asciiTheme="minorHAnsi" w:hAnsiTheme="minorHAnsi" w:cstheme="minorHAnsi"/>
        </w:rPr>
      </w:pPr>
      <w:r>
        <w:rPr>
          <w:rStyle w:val="FootnoteReference"/>
        </w:rPr>
        <w:footnoteRef/>
      </w:r>
      <w:r>
        <w:t xml:space="preserve"> </w:t>
      </w:r>
      <w:r w:rsidRPr="008A6DEF">
        <w:rPr>
          <w:rFonts w:asciiTheme="minorHAnsi" w:hAnsiTheme="minorHAnsi" w:cstheme="minorHAnsi"/>
        </w:rPr>
        <w:t>See Environment Canada (2015).</w:t>
      </w:r>
      <w:r>
        <w:rPr>
          <w:rFonts w:asciiTheme="minorHAnsi" w:hAnsiTheme="minorHAnsi" w:cstheme="minorHAnsi"/>
        </w:rPr>
        <w:t xml:space="preserve"> </w:t>
      </w:r>
    </w:p>
  </w:footnote>
  <w:footnote w:id="11">
    <w:p w:rsidR="00926FD1" w:rsidRPr="004B06DE" w:rsidRDefault="00926FD1" w:rsidP="009A23E1">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DFAT analysis based on emissions data published by Environment Canada (2015).</w:t>
      </w:r>
    </w:p>
  </w:footnote>
  <w:footnote w:id="12">
    <w:p w:rsidR="00926FD1" w:rsidRDefault="00926FD1">
      <w:pPr>
        <w:pStyle w:val="FootnoteText"/>
      </w:pPr>
      <w:r>
        <w:rPr>
          <w:rStyle w:val="FootnoteReference"/>
        </w:rPr>
        <w:footnoteRef/>
      </w:r>
      <w:r>
        <w:t xml:space="preserve"> </w:t>
      </w:r>
      <w:r w:rsidRPr="008A6DEF">
        <w:rPr>
          <w:rFonts w:asciiTheme="minorHAnsi" w:hAnsiTheme="minorHAnsi" w:cstheme="minorHAnsi"/>
          <w:lang w:val="en-US"/>
        </w:rPr>
        <w:t>This point is clearly established in McKibbin, Morris and Wilcoxen (2011) and Jotzo (2011).</w:t>
      </w:r>
    </w:p>
  </w:footnote>
  <w:footnote w:id="13">
    <w:p w:rsidR="00926FD1" w:rsidRPr="00F473E5" w:rsidRDefault="00926FD1" w:rsidP="00780791">
      <w:pPr>
        <w:rPr>
          <w:lang w:val="en-US"/>
        </w:rPr>
      </w:pPr>
      <w:r>
        <w:rPr>
          <w:rStyle w:val="FootnoteReference"/>
        </w:rPr>
        <w:footnoteRef/>
      </w:r>
      <w:r>
        <w:t xml:space="preserve"> </w:t>
      </w:r>
      <w:r w:rsidRPr="00483B3D">
        <w:rPr>
          <w:rFonts w:asciiTheme="minorHAnsi" w:hAnsiTheme="minorHAnsi" w:cstheme="minorHAnsi"/>
          <w:sz w:val="20"/>
          <w:szCs w:val="20"/>
        </w:rPr>
        <w:t>Varadajan et al (2011) found that the cost of debt varies between 200 and 600 basis points depending on the clarity around renewable energy pricing in the US.</w:t>
      </w:r>
    </w:p>
  </w:footnote>
  <w:footnote w:id="14">
    <w:p w:rsidR="00926FD1" w:rsidRDefault="00926FD1">
      <w:pPr>
        <w:pStyle w:val="FootnoteText"/>
      </w:pPr>
      <w:r>
        <w:rPr>
          <w:rStyle w:val="FootnoteReference"/>
        </w:rPr>
        <w:footnoteRef/>
      </w:r>
      <w:r>
        <w:t xml:space="preserve"> </w:t>
      </w:r>
      <w:r w:rsidRPr="00BF7A32">
        <w:rPr>
          <w:rFonts w:asciiTheme="minorHAnsi" w:hAnsiTheme="minorHAnsi"/>
        </w:rPr>
        <w:t>Department of the Treasury (2008 and 2011), Department of the Treasury and DIICCSRTE (2013).</w:t>
      </w:r>
    </w:p>
  </w:footnote>
  <w:footnote w:id="15">
    <w:p w:rsidR="00926FD1" w:rsidRDefault="00926FD1">
      <w:pPr>
        <w:pStyle w:val="FootnoteText"/>
      </w:pPr>
      <w:r>
        <w:rPr>
          <w:rStyle w:val="FootnoteReference"/>
        </w:rPr>
        <w:footnoteRef/>
      </w:r>
      <w:r>
        <w:t xml:space="preserve"> </w:t>
      </w:r>
      <w:r w:rsidRPr="00BF7A32">
        <w:rPr>
          <w:rFonts w:asciiTheme="minorHAnsi" w:hAnsiTheme="minorHAnsi"/>
        </w:rPr>
        <w:t>Department of the Treasury and DIICCSRTE (2013).</w:t>
      </w:r>
    </w:p>
  </w:footnote>
  <w:footnote w:id="16">
    <w:p w:rsidR="00926FD1" w:rsidRPr="00F473E5" w:rsidRDefault="00926FD1" w:rsidP="00F32CA7">
      <w:pPr>
        <w:pStyle w:val="FootnoteText"/>
        <w:rPr>
          <w:lang w:val="en-US"/>
        </w:rPr>
      </w:pPr>
      <w:r>
        <w:rPr>
          <w:rStyle w:val="FootnoteReference"/>
        </w:rPr>
        <w:footnoteRef/>
      </w:r>
      <w:r>
        <w:t xml:space="preserve"> </w:t>
      </w:r>
      <w:r w:rsidRPr="00483B3D">
        <w:rPr>
          <w:rFonts w:asciiTheme="minorHAnsi" w:hAnsiTheme="minorHAnsi" w:cstheme="minorHAnsi"/>
          <w:lang w:val="en-US"/>
        </w:rPr>
        <w:t>See McKibbin and Wilcoxen (2013).</w:t>
      </w:r>
    </w:p>
  </w:footnote>
  <w:footnote w:id="17">
    <w:p w:rsidR="00926FD1" w:rsidRDefault="00926FD1" w:rsidP="0078789A">
      <w:pPr>
        <w:pStyle w:val="FootnoteText"/>
      </w:pPr>
      <w:r>
        <w:rPr>
          <w:rStyle w:val="FootnoteReference"/>
        </w:rPr>
        <w:footnoteRef/>
      </w:r>
      <w:r>
        <w:t xml:space="preserve"> </w:t>
      </w:r>
      <w:r w:rsidRPr="00BF7A32">
        <w:rPr>
          <w:rFonts w:asciiTheme="minorHAnsi" w:hAnsiTheme="minorHAnsi" w:cstheme="minorHAnsi"/>
        </w:rPr>
        <w:t>United Nations (2002)</w:t>
      </w:r>
    </w:p>
  </w:footnote>
  <w:footnote w:id="18">
    <w:p w:rsidR="00926FD1" w:rsidRPr="0001276D" w:rsidRDefault="00926FD1">
      <w:pPr>
        <w:pStyle w:val="FootnoteText"/>
        <w:rPr>
          <w:rFonts w:asciiTheme="minorHAnsi" w:hAnsiTheme="minorHAnsi" w:cstheme="minorHAnsi"/>
          <w:lang w:val="en-US"/>
        </w:rPr>
      </w:pPr>
      <w:r>
        <w:rPr>
          <w:rStyle w:val="FootnoteReference"/>
        </w:rPr>
        <w:footnoteRef/>
      </w:r>
      <w:r>
        <w:t xml:space="preserve"> </w:t>
      </w:r>
      <w:r w:rsidRPr="0001276D">
        <w:rPr>
          <w:rFonts w:asciiTheme="minorHAnsi" w:hAnsiTheme="minorHAnsi" w:cstheme="minorHAnsi"/>
          <w:lang w:val="en-US"/>
        </w:rPr>
        <w:t>For most countries, electricity utilities exports are not reported because they are zero or very small. Although Canada exports electricity to the US this is not reported because the results are skewed by the presence in the ‘Rest of OECD’ grouping of New Zealand. Electricity utilities exports are reported for the EU.</w:t>
      </w:r>
    </w:p>
  </w:footnote>
  <w:footnote w:id="19">
    <w:p w:rsidR="00926FD1" w:rsidRDefault="00926FD1">
      <w:pPr>
        <w:pStyle w:val="FootnoteText"/>
      </w:pPr>
      <w:r>
        <w:rPr>
          <w:rStyle w:val="FootnoteReference"/>
        </w:rPr>
        <w:footnoteRef/>
      </w:r>
      <w:r>
        <w:t xml:space="preserve"> </w:t>
      </w:r>
      <w:r>
        <w:rPr>
          <w:rFonts w:asciiTheme="minorHAnsi" w:hAnsiTheme="minorHAnsi" w:cstheme="minorHAnsi"/>
        </w:rPr>
        <w:t>I</w:t>
      </w:r>
      <w:r w:rsidRPr="00BF7A32">
        <w:rPr>
          <w:rFonts w:asciiTheme="minorHAnsi" w:hAnsiTheme="minorHAnsi" w:cstheme="minorHAnsi"/>
        </w:rPr>
        <w:t>mpacts for the ‘</w:t>
      </w:r>
      <w:r>
        <w:rPr>
          <w:rFonts w:asciiTheme="minorHAnsi" w:hAnsiTheme="minorHAnsi" w:cstheme="minorHAnsi"/>
        </w:rPr>
        <w:t>R</w:t>
      </w:r>
      <w:r w:rsidRPr="00BF7A32">
        <w:rPr>
          <w:rFonts w:asciiTheme="minorHAnsi" w:hAnsiTheme="minorHAnsi" w:cstheme="minorHAnsi"/>
        </w:rPr>
        <w:t xml:space="preserve">est of OECD’ grouping, which consists of Canada and New Zealand, are considered indicative of the impacts on Canada because of the </w:t>
      </w:r>
      <w:r>
        <w:rPr>
          <w:rFonts w:asciiTheme="minorHAnsi" w:hAnsiTheme="minorHAnsi" w:cstheme="minorHAnsi"/>
        </w:rPr>
        <w:t xml:space="preserve">relative </w:t>
      </w:r>
      <w:r w:rsidRPr="00BF7A32">
        <w:rPr>
          <w:rFonts w:asciiTheme="minorHAnsi" w:hAnsiTheme="minorHAnsi" w:cstheme="minorHAnsi"/>
        </w:rPr>
        <w:t>size of its economy.</w:t>
      </w:r>
    </w:p>
  </w:footnote>
  <w:footnote w:id="20">
    <w:p w:rsidR="00926FD1" w:rsidRPr="00F473E5" w:rsidRDefault="00926FD1" w:rsidP="00C37AA1">
      <w:pPr>
        <w:pStyle w:val="FootnoteText"/>
        <w:rPr>
          <w:lang w:val="en-US"/>
        </w:rPr>
      </w:pPr>
      <w:r>
        <w:rPr>
          <w:rStyle w:val="FootnoteReference"/>
        </w:rPr>
        <w:footnoteRef/>
      </w:r>
      <w:r>
        <w:t xml:space="preserve"> </w:t>
      </w:r>
      <w:r w:rsidRPr="00483B3D">
        <w:rPr>
          <w:rFonts w:asciiTheme="minorHAnsi" w:hAnsiTheme="minorHAnsi" w:cstheme="minorHAnsi"/>
          <w:lang w:val="en-US"/>
        </w:rPr>
        <w:t xml:space="preserve">See </w:t>
      </w:r>
      <w:r w:rsidRPr="00483B3D">
        <w:rPr>
          <w:rFonts w:asciiTheme="minorHAnsi" w:hAnsiTheme="minorHAnsi" w:cstheme="minorHAnsi"/>
        </w:rPr>
        <w:t>Varadajan et al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BC" w:rsidRDefault="00BE0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D1" w:rsidRPr="000157C7" w:rsidRDefault="00926FD1" w:rsidP="00C33546">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BC" w:rsidRDefault="00BE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6F3"/>
    <w:multiLevelType w:val="hybridMultilevel"/>
    <w:tmpl w:val="A7B09BE6"/>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11726A"/>
    <w:multiLevelType w:val="hybridMultilevel"/>
    <w:tmpl w:val="92D68B94"/>
    <w:lvl w:ilvl="0" w:tplc="2F9488C0">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D77EDE"/>
    <w:multiLevelType w:val="hybridMultilevel"/>
    <w:tmpl w:val="7D9AF03A"/>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7070020E">
      <w:start w:val="1"/>
      <w:numFmt w:val="lowerLetter"/>
      <w:lvlText w:val="%3."/>
      <w:lvlJc w:val="left"/>
      <w:pPr>
        <w:ind w:left="2160" w:hanging="360"/>
      </w:pPr>
      <w:rPr>
        <w:rFonts w:asciiTheme="minorHAnsi" w:eastAsia="Times New Roman" w:hAnsiTheme="minorHAnsi" w:cstheme="minorHAnsi"/>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8B2974"/>
    <w:multiLevelType w:val="multilevel"/>
    <w:tmpl w:val="A14A372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nsid w:val="11F477EF"/>
    <w:multiLevelType w:val="hybridMultilevel"/>
    <w:tmpl w:val="C8B2DE1E"/>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7937AA"/>
    <w:multiLevelType w:val="hybridMultilevel"/>
    <w:tmpl w:val="A75CE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03514E"/>
    <w:multiLevelType w:val="hybridMultilevel"/>
    <w:tmpl w:val="9446C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A449A5"/>
    <w:multiLevelType w:val="hybridMultilevel"/>
    <w:tmpl w:val="1AE89ABE"/>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450C518">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676F15"/>
    <w:multiLevelType w:val="hybridMultilevel"/>
    <w:tmpl w:val="3AB0D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3F452B"/>
    <w:multiLevelType w:val="hybridMultilevel"/>
    <w:tmpl w:val="AA644E14"/>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E478C3"/>
    <w:multiLevelType w:val="hybridMultilevel"/>
    <w:tmpl w:val="36ACD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1B5F04"/>
    <w:multiLevelType w:val="hybridMultilevel"/>
    <w:tmpl w:val="ACA0F2EE"/>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A76A3D"/>
    <w:multiLevelType w:val="hybridMultilevel"/>
    <w:tmpl w:val="890C3AF6"/>
    <w:lvl w:ilvl="0" w:tplc="1662F2E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2A54F1C"/>
    <w:multiLevelType w:val="hybridMultilevel"/>
    <w:tmpl w:val="A8D481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213135"/>
    <w:multiLevelType w:val="hybridMultilevel"/>
    <w:tmpl w:val="063A30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A8D2AB9"/>
    <w:multiLevelType w:val="hybridMultilevel"/>
    <w:tmpl w:val="13B08A02"/>
    <w:lvl w:ilvl="0" w:tplc="51CA2ABE">
      <w:start w:val="2"/>
      <w:numFmt w:val="bullet"/>
      <w:lvlText w:val=""/>
      <w:lvlJc w:val="left"/>
      <w:pPr>
        <w:ind w:left="720" w:hanging="360"/>
      </w:pPr>
      <w:rPr>
        <w:rFonts w:ascii="Symbol" w:eastAsia="Times New Roman" w:hAnsi="Symbol" w:cstheme="minorHAns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685E0B"/>
    <w:multiLevelType w:val="hybridMultilevel"/>
    <w:tmpl w:val="53123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32040C"/>
    <w:multiLevelType w:val="hybridMultilevel"/>
    <w:tmpl w:val="37CA9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F51CE5"/>
    <w:multiLevelType w:val="hybridMultilevel"/>
    <w:tmpl w:val="18E42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CD6436"/>
    <w:multiLevelType w:val="hybridMultilevel"/>
    <w:tmpl w:val="5CE887E2"/>
    <w:lvl w:ilvl="0" w:tplc="68F4B76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C46D23"/>
    <w:multiLevelType w:val="hybridMultilevel"/>
    <w:tmpl w:val="64D6D17C"/>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34320D"/>
    <w:multiLevelType w:val="hybridMultilevel"/>
    <w:tmpl w:val="9D988030"/>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3D0863"/>
    <w:multiLevelType w:val="hybridMultilevel"/>
    <w:tmpl w:val="AB86B342"/>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26186A"/>
    <w:multiLevelType w:val="hybridMultilevel"/>
    <w:tmpl w:val="25F6C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D95076"/>
    <w:multiLevelType w:val="hybridMultilevel"/>
    <w:tmpl w:val="2E0A9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5079F3"/>
    <w:multiLevelType w:val="hybridMultilevel"/>
    <w:tmpl w:val="CF0C8796"/>
    <w:lvl w:ilvl="0" w:tplc="943C63B0">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994E0D"/>
    <w:multiLevelType w:val="hybridMultilevel"/>
    <w:tmpl w:val="D30AC51E"/>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DE0ED5"/>
    <w:multiLevelType w:val="hybridMultilevel"/>
    <w:tmpl w:val="4C720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BBE05A8"/>
    <w:multiLevelType w:val="hybridMultilevel"/>
    <w:tmpl w:val="23548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FC35C2"/>
    <w:multiLevelType w:val="hybridMultilevel"/>
    <w:tmpl w:val="B94AC4A2"/>
    <w:lvl w:ilvl="0" w:tplc="B67639B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7837E6D"/>
    <w:multiLevelType w:val="hybridMultilevel"/>
    <w:tmpl w:val="F61C1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A0D7248"/>
    <w:multiLevelType w:val="hybridMultilevel"/>
    <w:tmpl w:val="2288FCBA"/>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635304"/>
    <w:multiLevelType w:val="hybridMultilevel"/>
    <w:tmpl w:val="58E479A6"/>
    <w:lvl w:ilvl="0" w:tplc="EEEEA6B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7F5E20"/>
    <w:multiLevelType w:val="hybridMultilevel"/>
    <w:tmpl w:val="5DBC7D04"/>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640C79"/>
    <w:multiLevelType w:val="hybridMultilevel"/>
    <w:tmpl w:val="7EEEEE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5263388"/>
    <w:multiLevelType w:val="hybridMultilevel"/>
    <w:tmpl w:val="3C7A7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048491E"/>
    <w:multiLevelType w:val="hybridMultilevel"/>
    <w:tmpl w:val="6B96BC5C"/>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F16F77"/>
    <w:multiLevelType w:val="hybridMultilevel"/>
    <w:tmpl w:val="11400408"/>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0265B6"/>
    <w:multiLevelType w:val="hybridMultilevel"/>
    <w:tmpl w:val="5B80ACB0"/>
    <w:lvl w:ilvl="0" w:tplc="705618A2">
      <w:start w:val="4"/>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CB0086"/>
    <w:multiLevelType w:val="hybridMultilevel"/>
    <w:tmpl w:val="68B43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B7473C0"/>
    <w:multiLevelType w:val="hybridMultilevel"/>
    <w:tmpl w:val="D222F2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8A5020"/>
    <w:multiLevelType w:val="hybridMultilevel"/>
    <w:tmpl w:val="3336E772"/>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14"/>
  </w:num>
  <w:num w:numId="4">
    <w:abstractNumId w:val="8"/>
  </w:num>
  <w:num w:numId="5">
    <w:abstractNumId w:val="35"/>
  </w:num>
  <w:num w:numId="6">
    <w:abstractNumId w:val="17"/>
  </w:num>
  <w:num w:numId="7">
    <w:abstractNumId w:val="28"/>
  </w:num>
  <w:num w:numId="8">
    <w:abstractNumId w:val="18"/>
  </w:num>
  <w:num w:numId="9">
    <w:abstractNumId w:val="4"/>
  </w:num>
  <w:num w:numId="10">
    <w:abstractNumId w:val="33"/>
  </w:num>
  <w:num w:numId="11">
    <w:abstractNumId w:val="22"/>
  </w:num>
  <w:num w:numId="12">
    <w:abstractNumId w:val="30"/>
  </w:num>
  <w:num w:numId="13">
    <w:abstractNumId w:val="20"/>
  </w:num>
  <w:num w:numId="14">
    <w:abstractNumId w:val="16"/>
  </w:num>
  <w:num w:numId="15">
    <w:abstractNumId w:val="40"/>
  </w:num>
  <w:num w:numId="16">
    <w:abstractNumId w:val="21"/>
  </w:num>
  <w:num w:numId="17">
    <w:abstractNumId w:val="7"/>
  </w:num>
  <w:num w:numId="18">
    <w:abstractNumId w:val="2"/>
  </w:num>
  <w:num w:numId="19">
    <w:abstractNumId w:val="12"/>
  </w:num>
  <w:num w:numId="20">
    <w:abstractNumId w:val="37"/>
  </w:num>
  <w:num w:numId="21">
    <w:abstractNumId w:val="11"/>
  </w:num>
  <w:num w:numId="22">
    <w:abstractNumId w:val="31"/>
  </w:num>
  <w:num w:numId="23">
    <w:abstractNumId w:val="19"/>
  </w:num>
  <w:num w:numId="24">
    <w:abstractNumId w:val="9"/>
  </w:num>
  <w:num w:numId="25">
    <w:abstractNumId w:val="24"/>
  </w:num>
  <w:num w:numId="26">
    <w:abstractNumId w:val="41"/>
  </w:num>
  <w:num w:numId="27">
    <w:abstractNumId w:val="3"/>
  </w:num>
  <w:num w:numId="28">
    <w:abstractNumId w:val="10"/>
  </w:num>
  <w:num w:numId="29">
    <w:abstractNumId w:val="23"/>
  </w:num>
  <w:num w:numId="30">
    <w:abstractNumId w:val="1"/>
  </w:num>
  <w:num w:numId="31">
    <w:abstractNumId w:val="0"/>
  </w:num>
  <w:num w:numId="32">
    <w:abstractNumId w:val="9"/>
  </w:num>
  <w:num w:numId="33">
    <w:abstractNumId w:val="13"/>
  </w:num>
  <w:num w:numId="34">
    <w:abstractNumId w:val="5"/>
  </w:num>
  <w:num w:numId="35">
    <w:abstractNumId w:val="6"/>
  </w:num>
  <w:num w:numId="36">
    <w:abstractNumId w:val="26"/>
  </w:num>
  <w:num w:numId="37">
    <w:abstractNumId w:val="34"/>
  </w:num>
  <w:num w:numId="38">
    <w:abstractNumId w:val="36"/>
  </w:num>
  <w:num w:numId="39">
    <w:abstractNumId w:val="27"/>
  </w:num>
  <w:num w:numId="40">
    <w:abstractNumId w:val="38"/>
  </w:num>
  <w:num w:numId="41">
    <w:abstractNumId w:val="15"/>
  </w:num>
  <w:num w:numId="42">
    <w:abstractNumId w:val="25"/>
  </w:num>
  <w:num w:numId="4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tfield-Dodds, Steve (L&amp;W, Black Mountain)">
    <w15:presenceInfo w15:providerId="AD" w15:userId="S-1-5-21-61289985-2027487937-1858953157-81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numFmt w:val="lowerRoman"/>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FB"/>
    <w:rsid w:val="00000F02"/>
    <w:rsid w:val="000014D3"/>
    <w:rsid w:val="00003323"/>
    <w:rsid w:val="0000341E"/>
    <w:rsid w:val="000052F9"/>
    <w:rsid w:val="00011F56"/>
    <w:rsid w:val="0001276D"/>
    <w:rsid w:val="00014079"/>
    <w:rsid w:val="00014922"/>
    <w:rsid w:val="000157C7"/>
    <w:rsid w:val="000163B1"/>
    <w:rsid w:val="0002329B"/>
    <w:rsid w:val="00023645"/>
    <w:rsid w:val="0002775D"/>
    <w:rsid w:val="000312DF"/>
    <w:rsid w:val="0003224A"/>
    <w:rsid w:val="000326D3"/>
    <w:rsid w:val="00033642"/>
    <w:rsid w:val="00034756"/>
    <w:rsid w:val="00044101"/>
    <w:rsid w:val="00050BE7"/>
    <w:rsid w:val="000517E7"/>
    <w:rsid w:val="00053E94"/>
    <w:rsid w:val="000540A7"/>
    <w:rsid w:val="00057565"/>
    <w:rsid w:val="00057CEC"/>
    <w:rsid w:val="00060B1E"/>
    <w:rsid w:val="000663F8"/>
    <w:rsid w:val="00067487"/>
    <w:rsid w:val="0006767D"/>
    <w:rsid w:val="00075CEE"/>
    <w:rsid w:val="00084BA9"/>
    <w:rsid w:val="0008530A"/>
    <w:rsid w:val="00086A2E"/>
    <w:rsid w:val="00087A50"/>
    <w:rsid w:val="00092F84"/>
    <w:rsid w:val="00093F49"/>
    <w:rsid w:val="000A00B2"/>
    <w:rsid w:val="000A4DE8"/>
    <w:rsid w:val="000A73E9"/>
    <w:rsid w:val="000B016D"/>
    <w:rsid w:val="000B0EDE"/>
    <w:rsid w:val="000B18A4"/>
    <w:rsid w:val="000B3455"/>
    <w:rsid w:val="000C546B"/>
    <w:rsid w:val="000C781A"/>
    <w:rsid w:val="000D1875"/>
    <w:rsid w:val="000E337F"/>
    <w:rsid w:val="000E7AD0"/>
    <w:rsid w:val="000F7E3F"/>
    <w:rsid w:val="001103DE"/>
    <w:rsid w:val="0011164D"/>
    <w:rsid w:val="0011306C"/>
    <w:rsid w:val="00113291"/>
    <w:rsid w:val="00113809"/>
    <w:rsid w:val="001154A3"/>
    <w:rsid w:val="00117DFA"/>
    <w:rsid w:val="001207D8"/>
    <w:rsid w:val="001212C3"/>
    <w:rsid w:val="00122445"/>
    <w:rsid w:val="00124219"/>
    <w:rsid w:val="00125237"/>
    <w:rsid w:val="001263C8"/>
    <w:rsid w:val="00130F3C"/>
    <w:rsid w:val="00137572"/>
    <w:rsid w:val="00137AAE"/>
    <w:rsid w:val="00142F4B"/>
    <w:rsid w:val="00143A3D"/>
    <w:rsid w:val="00144095"/>
    <w:rsid w:val="00151C5E"/>
    <w:rsid w:val="00153FC0"/>
    <w:rsid w:val="00154199"/>
    <w:rsid w:val="00162297"/>
    <w:rsid w:val="00162646"/>
    <w:rsid w:val="00164017"/>
    <w:rsid w:val="00166BD2"/>
    <w:rsid w:val="00167678"/>
    <w:rsid w:val="00167D11"/>
    <w:rsid w:val="00170F8F"/>
    <w:rsid w:val="001712C2"/>
    <w:rsid w:val="001819F0"/>
    <w:rsid w:val="0018279F"/>
    <w:rsid w:val="00182A42"/>
    <w:rsid w:val="00185F08"/>
    <w:rsid w:val="00192168"/>
    <w:rsid w:val="00192346"/>
    <w:rsid w:val="001A0501"/>
    <w:rsid w:val="001A1993"/>
    <w:rsid w:val="001B061C"/>
    <w:rsid w:val="001B3088"/>
    <w:rsid w:val="001B622C"/>
    <w:rsid w:val="001B673B"/>
    <w:rsid w:val="001B6E3D"/>
    <w:rsid w:val="001C10C7"/>
    <w:rsid w:val="001C2F22"/>
    <w:rsid w:val="001D33B9"/>
    <w:rsid w:val="001D4727"/>
    <w:rsid w:val="001D5D3A"/>
    <w:rsid w:val="001D7C78"/>
    <w:rsid w:val="001E67EE"/>
    <w:rsid w:val="001F0E18"/>
    <w:rsid w:val="001F15BC"/>
    <w:rsid w:val="001F1D56"/>
    <w:rsid w:val="001F3F8B"/>
    <w:rsid w:val="001F7828"/>
    <w:rsid w:val="00201563"/>
    <w:rsid w:val="00202CDF"/>
    <w:rsid w:val="00207F05"/>
    <w:rsid w:val="002130EE"/>
    <w:rsid w:val="00214C7F"/>
    <w:rsid w:val="0023218C"/>
    <w:rsid w:val="00232A47"/>
    <w:rsid w:val="0023302A"/>
    <w:rsid w:val="00234448"/>
    <w:rsid w:val="002373DD"/>
    <w:rsid w:val="002413B2"/>
    <w:rsid w:val="0024421E"/>
    <w:rsid w:val="002457F3"/>
    <w:rsid w:val="00246429"/>
    <w:rsid w:val="002470EE"/>
    <w:rsid w:val="00252C25"/>
    <w:rsid w:val="00252ECB"/>
    <w:rsid w:val="00255643"/>
    <w:rsid w:val="00266A52"/>
    <w:rsid w:val="002672E3"/>
    <w:rsid w:val="00270EC5"/>
    <w:rsid w:val="00277F84"/>
    <w:rsid w:val="00282FBC"/>
    <w:rsid w:val="00283040"/>
    <w:rsid w:val="00284A05"/>
    <w:rsid w:val="00284DE5"/>
    <w:rsid w:val="002857A2"/>
    <w:rsid w:val="0028622F"/>
    <w:rsid w:val="00286CAD"/>
    <w:rsid w:val="002922A5"/>
    <w:rsid w:val="00292A5B"/>
    <w:rsid w:val="00294777"/>
    <w:rsid w:val="00297F61"/>
    <w:rsid w:val="002A4C26"/>
    <w:rsid w:val="002A60AB"/>
    <w:rsid w:val="002B01D8"/>
    <w:rsid w:val="002B4B39"/>
    <w:rsid w:val="002B5A08"/>
    <w:rsid w:val="002C3BE1"/>
    <w:rsid w:val="002D3FCC"/>
    <w:rsid w:val="002E02D2"/>
    <w:rsid w:val="002F542C"/>
    <w:rsid w:val="002F5BC8"/>
    <w:rsid w:val="002F6533"/>
    <w:rsid w:val="00301D7E"/>
    <w:rsid w:val="0031126B"/>
    <w:rsid w:val="0031227E"/>
    <w:rsid w:val="00320D23"/>
    <w:rsid w:val="0032113C"/>
    <w:rsid w:val="00321C1C"/>
    <w:rsid w:val="00322A2C"/>
    <w:rsid w:val="00326EA8"/>
    <w:rsid w:val="0033071E"/>
    <w:rsid w:val="003323E7"/>
    <w:rsid w:val="0033256E"/>
    <w:rsid w:val="003343C9"/>
    <w:rsid w:val="00334791"/>
    <w:rsid w:val="00335D2D"/>
    <w:rsid w:val="003374BA"/>
    <w:rsid w:val="0034155A"/>
    <w:rsid w:val="00344A74"/>
    <w:rsid w:val="00346629"/>
    <w:rsid w:val="00352139"/>
    <w:rsid w:val="00354DA6"/>
    <w:rsid w:val="003568E5"/>
    <w:rsid w:val="003622C5"/>
    <w:rsid w:val="00363ED0"/>
    <w:rsid w:val="00365386"/>
    <w:rsid w:val="00365757"/>
    <w:rsid w:val="003754CF"/>
    <w:rsid w:val="003766CF"/>
    <w:rsid w:val="0038050F"/>
    <w:rsid w:val="00381D10"/>
    <w:rsid w:val="00381DAC"/>
    <w:rsid w:val="00382301"/>
    <w:rsid w:val="0038478F"/>
    <w:rsid w:val="00386605"/>
    <w:rsid w:val="0038766E"/>
    <w:rsid w:val="00387CDE"/>
    <w:rsid w:val="003934B1"/>
    <w:rsid w:val="0039734B"/>
    <w:rsid w:val="00397354"/>
    <w:rsid w:val="003B02DF"/>
    <w:rsid w:val="003B0EDE"/>
    <w:rsid w:val="003B6E18"/>
    <w:rsid w:val="003C33D7"/>
    <w:rsid w:val="003C371D"/>
    <w:rsid w:val="003C5024"/>
    <w:rsid w:val="003C5AE8"/>
    <w:rsid w:val="003C60A4"/>
    <w:rsid w:val="003C6198"/>
    <w:rsid w:val="003C7628"/>
    <w:rsid w:val="003D343C"/>
    <w:rsid w:val="003D3BF8"/>
    <w:rsid w:val="003D4266"/>
    <w:rsid w:val="003D4497"/>
    <w:rsid w:val="003D4E73"/>
    <w:rsid w:val="003D77E3"/>
    <w:rsid w:val="003E126E"/>
    <w:rsid w:val="003E22AA"/>
    <w:rsid w:val="003E4389"/>
    <w:rsid w:val="003E5160"/>
    <w:rsid w:val="003E6F20"/>
    <w:rsid w:val="003F0058"/>
    <w:rsid w:val="003F12CF"/>
    <w:rsid w:val="003F77F2"/>
    <w:rsid w:val="00403DCC"/>
    <w:rsid w:val="004049E2"/>
    <w:rsid w:val="00406721"/>
    <w:rsid w:val="00407579"/>
    <w:rsid w:val="00407A4C"/>
    <w:rsid w:val="00416B69"/>
    <w:rsid w:val="004213DA"/>
    <w:rsid w:val="00430B1B"/>
    <w:rsid w:val="00442BDA"/>
    <w:rsid w:val="004467D6"/>
    <w:rsid w:val="00450366"/>
    <w:rsid w:val="00450F80"/>
    <w:rsid w:val="00454ABD"/>
    <w:rsid w:val="0045516E"/>
    <w:rsid w:val="004622EE"/>
    <w:rsid w:val="00462A30"/>
    <w:rsid w:val="004630F4"/>
    <w:rsid w:val="004650A6"/>
    <w:rsid w:val="0046647A"/>
    <w:rsid w:val="004735AD"/>
    <w:rsid w:val="004744E9"/>
    <w:rsid w:val="004751BC"/>
    <w:rsid w:val="0047724C"/>
    <w:rsid w:val="00483B3D"/>
    <w:rsid w:val="004877EF"/>
    <w:rsid w:val="00492F4E"/>
    <w:rsid w:val="00494CE3"/>
    <w:rsid w:val="00495383"/>
    <w:rsid w:val="00496C54"/>
    <w:rsid w:val="004B00B3"/>
    <w:rsid w:val="004B06DE"/>
    <w:rsid w:val="004B0DD8"/>
    <w:rsid w:val="004B21DA"/>
    <w:rsid w:val="004B7672"/>
    <w:rsid w:val="004C2372"/>
    <w:rsid w:val="004D1933"/>
    <w:rsid w:val="004D1B85"/>
    <w:rsid w:val="004D4597"/>
    <w:rsid w:val="004D5631"/>
    <w:rsid w:val="004D64CD"/>
    <w:rsid w:val="004E0408"/>
    <w:rsid w:val="004E0D34"/>
    <w:rsid w:val="004E4D04"/>
    <w:rsid w:val="004E7B9C"/>
    <w:rsid w:val="004F02A7"/>
    <w:rsid w:val="004F121D"/>
    <w:rsid w:val="004F223A"/>
    <w:rsid w:val="004F338C"/>
    <w:rsid w:val="004F36C2"/>
    <w:rsid w:val="004F387C"/>
    <w:rsid w:val="004F5042"/>
    <w:rsid w:val="005025AD"/>
    <w:rsid w:val="0050472B"/>
    <w:rsid w:val="00506096"/>
    <w:rsid w:val="0050742F"/>
    <w:rsid w:val="005127D0"/>
    <w:rsid w:val="005141B9"/>
    <w:rsid w:val="00520A3A"/>
    <w:rsid w:val="00521A7D"/>
    <w:rsid w:val="00530EE3"/>
    <w:rsid w:val="00531CD0"/>
    <w:rsid w:val="00533137"/>
    <w:rsid w:val="00533584"/>
    <w:rsid w:val="00536998"/>
    <w:rsid w:val="00537062"/>
    <w:rsid w:val="005376C4"/>
    <w:rsid w:val="00543857"/>
    <w:rsid w:val="00543863"/>
    <w:rsid w:val="0054629C"/>
    <w:rsid w:val="0055198F"/>
    <w:rsid w:val="0055456B"/>
    <w:rsid w:val="0055581C"/>
    <w:rsid w:val="005562E2"/>
    <w:rsid w:val="0056649C"/>
    <w:rsid w:val="00566FCA"/>
    <w:rsid w:val="00567FC7"/>
    <w:rsid w:val="0058120C"/>
    <w:rsid w:val="0058629A"/>
    <w:rsid w:val="0058738E"/>
    <w:rsid w:val="00591DB9"/>
    <w:rsid w:val="005978A4"/>
    <w:rsid w:val="005A2591"/>
    <w:rsid w:val="005A3728"/>
    <w:rsid w:val="005B07C5"/>
    <w:rsid w:val="005B7BAB"/>
    <w:rsid w:val="005C1CC1"/>
    <w:rsid w:val="005C21E1"/>
    <w:rsid w:val="005C2800"/>
    <w:rsid w:val="005C3664"/>
    <w:rsid w:val="005C3D38"/>
    <w:rsid w:val="005E3C84"/>
    <w:rsid w:val="005E4873"/>
    <w:rsid w:val="005F66BC"/>
    <w:rsid w:val="00603309"/>
    <w:rsid w:val="006050DE"/>
    <w:rsid w:val="006072EE"/>
    <w:rsid w:val="006102B7"/>
    <w:rsid w:val="00610844"/>
    <w:rsid w:val="0061327A"/>
    <w:rsid w:val="00614E2E"/>
    <w:rsid w:val="006207CF"/>
    <w:rsid w:val="00621B23"/>
    <w:rsid w:val="00622EF3"/>
    <w:rsid w:val="00626356"/>
    <w:rsid w:val="006347BB"/>
    <w:rsid w:val="006416C6"/>
    <w:rsid w:val="00644460"/>
    <w:rsid w:val="00644A05"/>
    <w:rsid w:val="00652768"/>
    <w:rsid w:val="006554B2"/>
    <w:rsid w:val="006554BC"/>
    <w:rsid w:val="00656FF9"/>
    <w:rsid w:val="006606A5"/>
    <w:rsid w:val="00664C74"/>
    <w:rsid w:val="0066668A"/>
    <w:rsid w:val="00667619"/>
    <w:rsid w:val="006707D3"/>
    <w:rsid w:val="0067222C"/>
    <w:rsid w:val="006747DE"/>
    <w:rsid w:val="00677112"/>
    <w:rsid w:val="0068292C"/>
    <w:rsid w:val="00682EDB"/>
    <w:rsid w:val="00690E20"/>
    <w:rsid w:val="0069598D"/>
    <w:rsid w:val="006A276A"/>
    <w:rsid w:val="006A5D5B"/>
    <w:rsid w:val="006B554F"/>
    <w:rsid w:val="006C421F"/>
    <w:rsid w:val="006C7C56"/>
    <w:rsid w:val="006D00FA"/>
    <w:rsid w:val="006D0332"/>
    <w:rsid w:val="006D1731"/>
    <w:rsid w:val="006E0BD9"/>
    <w:rsid w:val="006E3CDD"/>
    <w:rsid w:val="006F0FF5"/>
    <w:rsid w:val="006F1E85"/>
    <w:rsid w:val="006F1F9B"/>
    <w:rsid w:val="006F260D"/>
    <w:rsid w:val="006F3146"/>
    <w:rsid w:val="006F53F7"/>
    <w:rsid w:val="006F6CAA"/>
    <w:rsid w:val="00703656"/>
    <w:rsid w:val="00704561"/>
    <w:rsid w:val="00710663"/>
    <w:rsid w:val="0071128C"/>
    <w:rsid w:val="007210B5"/>
    <w:rsid w:val="00723E27"/>
    <w:rsid w:val="00724159"/>
    <w:rsid w:val="0072671D"/>
    <w:rsid w:val="00731603"/>
    <w:rsid w:val="00732E59"/>
    <w:rsid w:val="007352AD"/>
    <w:rsid w:val="0073577D"/>
    <w:rsid w:val="007370E7"/>
    <w:rsid w:val="007409D4"/>
    <w:rsid w:val="00743D90"/>
    <w:rsid w:val="0074480E"/>
    <w:rsid w:val="00746E22"/>
    <w:rsid w:val="00752B1B"/>
    <w:rsid w:val="00753337"/>
    <w:rsid w:val="007549FB"/>
    <w:rsid w:val="00757CA4"/>
    <w:rsid w:val="007649B0"/>
    <w:rsid w:val="00772964"/>
    <w:rsid w:val="00780791"/>
    <w:rsid w:val="00780F6D"/>
    <w:rsid w:val="00781A9E"/>
    <w:rsid w:val="0078789A"/>
    <w:rsid w:val="00790E47"/>
    <w:rsid w:val="00797CFB"/>
    <w:rsid w:val="007A0EAD"/>
    <w:rsid w:val="007A62EC"/>
    <w:rsid w:val="007A7487"/>
    <w:rsid w:val="007B2494"/>
    <w:rsid w:val="007C0458"/>
    <w:rsid w:val="007C2165"/>
    <w:rsid w:val="007C3BFD"/>
    <w:rsid w:val="007C6593"/>
    <w:rsid w:val="007C6FAA"/>
    <w:rsid w:val="007D0F9C"/>
    <w:rsid w:val="007D3E0C"/>
    <w:rsid w:val="007E5B47"/>
    <w:rsid w:val="007E75CD"/>
    <w:rsid w:val="007F38BC"/>
    <w:rsid w:val="007F5ADA"/>
    <w:rsid w:val="00805351"/>
    <w:rsid w:val="008060AC"/>
    <w:rsid w:val="00810C8A"/>
    <w:rsid w:val="008132AF"/>
    <w:rsid w:val="00814A08"/>
    <w:rsid w:val="00817854"/>
    <w:rsid w:val="0082408D"/>
    <w:rsid w:val="00824BFB"/>
    <w:rsid w:val="00826054"/>
    <w:rsid w:val="008267D7"/>
    <w:rsid w:val="008318CA"/>
    <w:rsid w:val="00831EE2"/>
    <w:rsid w:val="00832CA6"/>
    <w:rsid w:val="0083432A"/>
    <w:rsid w:val="00840883"/>
    <w:rsid w:val="00841F6C"/>
    <w:rsid w:val="00841FDE"/>
    <w:rsid w:val="00842DD8"/>
    <w:rsid w:val="00844E2B"/>
    <w:rsid w:val="00845CCC"/>
    <w:rsid w:val="00850717"/>
    <w:rsid w:val="00851FBC"/>
    <w:rsid w:val="00853E08"/>
    <w:rsid w:val="0085588A"/>
    <w:rsid w:val="00861334"/>
    <w:rsid w:val="00861737"/>
    <w:rsid w:val="00863BDA"/>
    <w:rsid w:val="008650F2"/>
    <w:rsid w:val="00867168"/>
    <w:rsid w:val="008736A7"/>
    <w:rsid w:val="008736DC"/>
    <w:rsid w:val="00874BFB"/>
    <w:rsid w:val="00874F24"/>
    <w:rsid w:val="008762A5"/>
    <w:rsid w:val="00876F13"/>
    <w:rsid w:val="00887B07"/>
    <w:rsid w:val="00891B1D"/>
    <w:rsid w:val="00892E24"/>
    <w:rsid w:val="00895869"/>
    <w:rsid w:val="008969C3"/>
    <w:rsid w:val="0089776E"/>
    <w:rsid w:val="008A026B"/>
    <w:rsid w:val="008A0B02"/>
    <w:rsid w:val="008A1968"/>
    <w:rsid w:val="008A19EA"/>
    <w:rsid w:val="008A1F97"/>
    <w:rsid w:val="008A2615"/>
    <w:rsid w:val="008A4177"/>
    <w:rsid w:val="008A6DEF"/>
    <w:rsid w:val="008B01ED"/>
    <w:rsid w:val="008B576E"/>
    <w:rsid w:val="008B6620"/>
    <w:rsid w:val="008C77B0"/>
    <w:rsid w:val="008D5056"/>
    <w:rsid w:val="008D6029"/>
    <w:rsid w:val="008D6B9E"/>
    <w:rsid w:val="008E7530"/>
    <w:rsid w:val="008F163E"/>
    <w:rsid w:val="008F7088"/>
    <w:rsid w:val="0090038E"/>
    <w:rsid w:val="00903233"/>
    <w:rsid w:val="0090330C"/>
    <w:rsid w:val="00911D03"/>
    <w:rsid w:val="00913F38"/>
    <w:rsid w:val="00914AA3"/>
    <w:rsid w:val="0091766D"/>
    <w:rsid w:val="00920EBF"/>
    <w:rsid w:val="00923EA3"/>
    <w:rsid w:val="00925D97"/>
    <w:rsid w:val="00926FD1"/>
    <w:rsid w:val="00927059"/>
    <w:rsid w:val="00932906"/>
    <w:rsid w:val="0093453E"/>
    <w:rsid w:val="00935DBF"/>
    <w:rsid w:val="00940D6A"/>
    <w:rsid w:val="00943BF2"/>
    <w:rsid w:val="00947E60"/>
    <w:rsid w:val="00951883"/>
    <w:rsid w:val="00952EAD"/>
    <w:rsid w:val="00952ED4"/>
    <w:rsid w:val="00956A32"/>
    <w:rsid w:val="009571BB"/>
    <w:rsid w:val="00971415"/>
    <w:rsid w:val="0097453E"/>
    <w:rsid w:val="00981BCB"/>
    <w:rsid w:val="00983E53"/>
    <w:rsid w:val="00995E75"/>
    <w:rsid w:val="009975E7"/>
    <w:rsid w:val="009A23E1"/>
    <w:rsid w:val="009B3C58"/>
    <w:rsid w:val="009B5D31"/>
    <w:rsid w:val="009C651A"/>
    <w:rsid w:val="009C71A1"/>
    <w:rsid w:val="009D0151"/>
    <w:rsid w:val="009D0DB4"/>
    <w:rsid w:val="009D2841"/>
    <w:rsid w:val="009D4E98"/>
    <w:rsid w:val="009F0D95"/>
    <w:rsid w:val="009F4F2C"/>
    <w:rsid w:val="009F628A"/>
    <w:rsid w:val="00A0192D"/>
    <w:rsid w:val="00A01AE1"/>
    <w:rsid w:val="00A02572"/>
    <w:rsid w:val="00A03894"/>
    <w:rsid w:val="00A0502F"/>
    <w:rsid w:val="00A14383"/>
    <w:rsid w:val="00A167B5"/>
    <w:rsid w:val="00A23C64"/>
    <w:rsid w:val="00A26DCB"/>
    <w:rsid w:val="00A27F93"/>
    <w:rsid w:val="00A42D6E"/>
    <w:rsid w:val="00A43BE4"/>
    <w:rsid w:val="00A5091B"/>
    <w:rsid w:val="00A52EA5"/>
    <w:rsid w:val="00A5445E"/>
    <w:rsid w:val="00A56E0E"/>
    <w:rsid w:val="00A56ECD"/>
    <w:rsid w:val="00A57C2D"/>
    <w:rsid w:val="00A60895"/>
    <w:rsid w:val="00A63BFB"/>
    <w:rsid w:val="00A66CDC"/>
    <w:rsid w:val="00A66E9B"/>
    <w:rsid w:val="00A67CC0"/>
    <w:rsid w:val="00A7166F"/>
    <w:rsid w:val="00A7230E"/>
    <w:rsid w:val="00A8302E"/>
    <w:rsid w:val="00A83953"/>
    <w:rsid w:val="00A85638"/>
    <w:rsid w:val="00A87A94"/>
    <w:rsid w:val="00A87CD5"/>
    <w:rsid w:val="00A91541"/>
    <w:rsid w:val="00A97EE1"/>
    <w:rsid w:val="00AA30A6"/>
    <w:rsid w:val="00AA65BF"/>
    <w:rsid w:val="00AB0308"/>
    <w:rsid w:val="00AB69E3"/>
    <w:rsid w:val="00AB709E"/>
    <w:rsid w:val="00AC2135"/>
    <w:rsid w:val="00AC6CC6"/>
    <w:rsid w:val="00AD0204"/>
    <w:rsid w:val="00AD4640"/>
    <w:rsid w:val="00AD50F4"/>
    <w:rsid w:val="00AD5C15"/>
    <w:rsid w:val="00AE1F18"/>
    <w:rsid w:val="00AE2B2B"/>
    <w:rsid w:val="00AE6B50"/>
    <w:rsid w:val="00AE6B9A"/>
    <w:rsid w:val="00AF0AFA"/>
    <w:rsid w:val="00AF16DB"/>
    <w:rsid w:val="00AF2688"/>
    <w:rsid w:val="00AF4D5C"/>
    <w:rsid w:val="00B002F4"/>
    <w:rsid w:val="00B029CC"/>
    <w:rsid w:val="00B02D46"/>
    <w:rsid w:val="00B04F01"/>
    <w:rsid w:val="00B0518A"/>
    <w:rsid w:val="00B106E2"/>
    <w:rsid w:val="00B11C0D"/>
    <w:rsid w:val="00B23737"/>
    <w:rsid w:val="00B26091"/>
    <w:rsid w:val="00B26171"/>
    <w:rsid w:val="00B2708B"/>
    <w:rsid w:val="00B32235"/>
    <w:rsid w:val="00B3436F"/>
    <w:rsid w:val="00B343EA"/>
    <w:rsid w:val="00B34A88"/>
    <w:rsid w:val="00B36944"/>
    <w:rsid w:val="00B4145A"/>
    <w:rsid w:val="00B45167"/>
    <w:rsid w:val="00B46257"/>
    <w:rsid w:val="00B50D1C"/>
    <w:rsid w:val="00B514E8"/>
    <w:rsid w:val="00B51C48"/>
    <w:rsid w:val="00B51C5E"/>
    <w:rsid w:val="00B544C3"/>
    <w:rsid w:val="00B55762"/>
    <w:rsid w:val="00B55EAF"/>
    <w:rsid w:val="00B604AA"/>
    <w:rsid w:val="00B60D92"/>
    <w:rsid w:val="00B62778"/>
    <w:rsid w:val="00B646BF"/>
    <w:rsid w:val="00B66847"/>
    <w:rsid w:val="00B66854"/>
    <w:rsid w:val="00B70E26"/>
    <w:rsid w:val="00B7250A"/>
    <w:rsid w:val="00B75733"/>
    <w:rsid w:val="00B81743"/>
    <w:rsid w:val="00B81EE9"/>
    <w:rsid w:val="00B82A09"/>
    <w:rsid w:val="00B84F4F"/>
    <w:rsid w:val="00B90C1C"/>
    <w:rsid w:val="00B94307"/>
    <w:rsid w:val="00B95B58"/>
    <w:rsid w:val="00BA3DF2"/>
    <w:rsid w:val="00BA428C"/>
    <w:rsid w:val="00BA6F31"/>
    <w:rsid w:val="00BB1520"/>
    <w:rsid w:val="00BC1A26"/>
    <w:rsid w:val="00BC349A"/>
    <w:rsid w:val="00BC4A82"/>
    <w:rsid w:val="00BC5087"/>
    <w:rsid w:val="00BC5302"/>
    <w:rsid w:val="00BC584A"/>
    <w:rsid w:val="00BC7C3F"/>
    <w:rsid w:val="00BD0D8C"/>
    <w:rsid w:val="00BD4118"/>
    <w:rsid w:val="00BD6B14"/>
    <w:rsid w:val="00BE01BC"/>
    <w:rsid w:val="00BE0AE6"/>
    <w:rsid w:val="00BE15B8"/>
    <w:rsid w:val="00BE2B3A"/>
    <w:rsid w:val="00BF042F"/>
    <w:rsid w:val="00BF0501"/>
    <w:rsid w:val="00BF0DF6"/>
    <w:rsid w:val="00BF1354"/>
    <w:rsid w:val="00BF2E16"/>
    <w:rsid w:val="00BF39AB"/>
    <w:rsid w:val="00BF4BA3"/>
    <w:rsid w:val="00BF7A32"/>
    <w:rsid w:val="00C03A02"/>
    <w:rsid w:val="00C042B9"/>
    <w:rsid w:val="00C04C56"/>
    <w:rsid w:val="00C061FD"/>
    <w:rsid w:val="00C06B83"/>
    <w:rsid w:val="00C11979"/>
    <w:rsid w:val="00C11F09"/>
    <w:rsid w:val="00C123E3"/>
    <w:rsid w:val="00C16C49"/>
    <w:rsid w:val="00C17DEB"/>
    <w:rsid w:val="00C247B5"/>
    <w:rsid w:val="00C31936"/>
    <w:rsid w:val="00C32F93"/>
    <w:rsid w:val="00C33414"/>
    <w:rsid w:val="00C33546"/>
    <w:rsid w:val="00C33DA6"/>
    <w:rsid w:val="00C35109"/>
    <w:rsid w:val="00C356F0"/>
    <w:rsid w:val="00C37A38"/>
    <w:rsid w:val="00C37AA1"/>
    <w:rsid w:val="00C41EDB"/>
    <w:rsid w:val="00C458B1"/>
    <w:rsid w:val="00C52436"/>
    <w:rsid w:val="00C5592D"/>
    <w:rsid w:val="00C55C94"/>
    <w:rsid w:val="00C560C9"/>
    <w:rsid w:val="00C60E19"/>
    <w:rsid w:val="00C63A5F"/>
    <w:rsid w:val="00C64EB5"/>
    <w:rsid w:val="00C72002"/>
    <w:rsid w:val="00C811FE"/>
    <w:rsid w:val="00C8375C"/>
    <w:rsid w:val="00C84176"/>
    <w:rsid w:val="00C91D10"/>
    <w:rsid w:val="00C979E5"/>
    <w:rsid w:val="00CA2220"/>
    <w:rsid w:val="00CA330B"/>
    <w:rsid w:val="00CA5330"/>
    <w:rsid w:val="00CA57E9"/>
    <w:rsid w:val="00CA5AD0"/>
    <w:rsid w:val="00CB5095"/>
    <w:rsid w:val="00CC15E5"/>
    <w:rsid w:val="00CC17A3"/>
    <w:rsid w:val="00CC7EB3"/>
    <w:rsid w:val="00CD0924"/>
    <w:rsid w:val="00CD2EAD"/>
    <w:rsid w:val="00CD4768"/>
    <w:rsid w:val="00CD5DCB"/>
    <w:rsid w:val="00CE03E2"/>
    <w:rsid w:val="00CE0EEB"/>
    <w:rsid w:val="00CE32F0"/>
    <w:rsid w:val="00CE58F6"/>
    <w:rsid w:val="00CE68DB"/>
    <w:rsid w:val="00CE7AE5"/>
    <w:rsid w:val="00CE7E09"/>
    <w:rsid w:val="00CF324C"/>
    <w:rsid w:val="00CF367C"/>
    <w:rsid w:val="00CF54BA"/>
    <w:rsid w:val="00D03DA8"/>
    <w:rsid w:val="00D03EEE"/>
    <w:rsid w:val="00D057AB"/>
    <w:rsid w:val="00D05CC4"/>
    <w:rsid w:val="00D07CF8"/>
    <w:rsid w:val="00D10E06"/>
    <w:rsid w:val="00D11B0D"/>
    <w:rsid w:val="00D11E40"/>
    <w:rsid w:val="00D1585B"/>
    <w:rsid w:val="00D1742A"/>
    <w:rsid w:val="00D17826"/>
    <w:rsid w:val="00D20037"/>
    <w:rsid w:val="00D21B8B"/>
    <w:rsid w:val="00D226CA"/>
    <w:rsid w:val="00D23170"/>
    <w:rsid w:val="00D24A5A"/>
    <w:rsid w:val="00D31415"/>
    <w:rsid w:val="00D35B36"/>
    <w:rsid w:val="00D36EEA"/>
    <w:rsid w:val="00D418B0"/>
    <w:rsid w:val="00D430BF"/>
    <w:rsid w:val="00D439EA"/>
    <w:rsid w:val="00D45398"/>
    <w:rsid w:val="00D46438"/>
    <w:rsid w:val="00D47892"/>
    <w:rsid w:val="00D60D2D"/>
    <w:rsid w:val="00D6250F"/>
    <w:rsid w:val="00D64185"/>
    <w:rsid w:val="00D645BF"/>
    <w:rsid w:val="00D75091"/>
    <w:rsid w:val="00D77BE7"/>
    <w:rsid w:val="00D815C8"/>
    <w:rsid w:val="00D82438"/>
    <w:rsid w:val="00D832E9"/>
    <w:rsid w:val="00D8394E"/>
    <w:rsid w:val="00D86F01"/>
    <w:rsid w:val="00D91C9E"/>
    <w:rsid w:val="00D922E1"/>
    <w:rsid w:val="00D9291E"/>
    <w:rsid w:val="00D92C05"/>
    <w:rsid w:val="00D94C86"/>
    <w:rsid w:val="00DA2D76"/>
    <w:rsid w:val="00DB207D"/>
    <w:rsid w:val="00DB64F3"/>
    <w:rsid w:val="00DC20FD"/>
    <w:rsid w:val="00DC6877"/>
    <w:rsid w:val="00DC6DCF"/>
    <w:rsid w:val="00DC777E"/>
    <w:rsid w:val="00DD0652"/>
    <w:rsid w:val="00DD6B28"/>
    <w:rsid w:val="00DE1250"/>
    <w:rsid w:val="00DE1CDF"/>
    <w:rsid w:val="00DF32C7"/>
    <w:rsid w:val="00DF7297"/>
    <w:rsid w:val="00E010DE"/>
    <w:rsid w:val="00E0175F"/>
    <w:rsid w:val="00E07116"/>
    <w:rsid w:val="00E10A53"/>
    <w:rsid w:val="00E14872"/>
    <w:rsid w:val="00E15A0B"/>
    <w:rsid w:val="00E16E03"/>
    <w:rsid w:val="00E17A1A"/>
    <w:rsid w:val="00E23423"/>
    <w:rsid w:val="00E23701"/>
    <w:rsid w:val="00E23B98"/>
    <w:rsid w:val="00E321E2"/>
    <w:rsid w:val="00E34062"/>
    <w:rsid w:val="00E35A2F"/>
    <w:rsid w:val="00E36D39"/>
    <w:rsid w:val="00E42502"/>
    <w:rsid w:val="00E46FC6"/>
    <w:rsid w:val="00E515E4"/>
    <w:rsid w:val="00E51713"/>
    <w:rsid w:val="00E52C68"/>
    <w:rsid w:val="00E543BF"/>
    <w:rsid w:val="00E60473"/>
    <w:rsid w:val="00E62857"/>
    <w:rsid w:val="00E6433B"/>
    <w:rsid w:val="00E754DD"/>
    <w:rsid w:val="00E806AA"/>
    <w:rsid w:val="00E845A8"/>
    <w:rsid w:val="00E84FDC"/>
    <w:rsid w:val="00E8630A"/>
    <w:rsid w:val="00E91322"/>
    <w:rsid w:val="00E960C4"/>
    <w:rsid w:val="00E97D00"/>
    <w:rsid w:val="00EA04F8"/>
    <w:rsid w:val="00EA333A"/>
    <w:rsid w:val="00EA5E44"/>
    <w:rsid w:val="00EA5F81"/>
    <w:rsid w:val="00EB0511"/>
    <w:rsid w:val="00EB17DA"/>
    <w:rsid w:val="00EB3B0F"/>
    <w:rsid w:val="00EC64FD"/>
    <w:rsid w:val="00EC7B79"/>
    <w:rsid w:val="00ED2483"/>
    <w:rsid w:val="00ED4ABC"/>
    <w:rsid w:val="00EE006D"/>
    <w:rsid w:val="00EE01F8"/>
    <w:rsid w:val="00EE475B"/>
    <w:rsid w:val="00EE6EF9"/>
    <w:rsid w:val="00EF19CA"/>
    <w:rsid w:val="00EF2E6B"/>
    <w:rsid w:val="00EF73C4"/>
    <w:rsid w:val="00F04099"/>
    <w:rsid w:val="00F047F8"/>
    <w:rsid w:val="00F051EA"/>
    <w:rsid w:val="00F10991"/>
    <w:rsid w:val="00F10C89"/>
    <w:rsid w:val="00F17C8B"/>
    <w:rsid w:val="00F211D9"/>
    <w:rsid w:val="00F32CA7"/>
    <w:rsid w:val="00F427BE"/>
    <w:rsid w:val="00F44CC1"/>
    <w:rsid w:val="00F46D07"/>
    <w:rsid w:val="00F509AB"/>
    <w:rsid w:val="00F510E6"/>
    <w:rsid w:val="00F54484"/>
    <w:rsid w:val="00F562D1"/>
    <w:rsid w:val="00F63418"/>
    <w:rsid w:val="00F646CC"/>
    <w:rsid w:val="00F65CAF"/>
    <w:rsid w:val="00F70AB7"/>
    <w:rsid w:val="00F718CB"/>
    <w:rsid w:val="00F72F47"/>
    <w:rsid w:val="00F814DA"/>
    <w:rsid w:val="00F83103"/>
    <w:rsid w:val="00F8735A"/>
    <w:rsid w:val="00F945D6"/>
    <w:rsid w:val="00F97957"/>
    <w:rsid w:val="00FA017C"/>
    <w:rsid w:val="00FA3BE8"/>
    <w:rsid w:val="00FA4230"/>
    <w:rsid w:val="00FA4F63"/>
    <w:rsid w:val="00FA79CC"/>
    <w:rsid w:val="00FB13CF"/>
    <w:rsid w:val="00FC0CD9"/>
    <w:rsid w:val="00FC373D"/>
    <w:rsid w:val="00FC3D59"/>
    <w:rsid w:val="00FC4CED"/>
    <w:rsid w:val="00FD39F4"/>
    <w:rsid w:val="00FD596C"/>
    <w:rsid w:val="00FD7716"/>
    <w:rsid w:val="00FE6BA5"/>
    <w:rsid w:val="00FE6DDA"/>
    <w:rsid w:val="00FF46A9"/>
    <w:rsid w:val="00FF561E"/>
    <w:rsid w:val="00FF5C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A1"/>
    <w:pPr>
      <w:ind w:left="720"/>
      <w:contextualSpacing/>
    </w:pPr>
  </w:style>
  <w:style w:type="character" w:styleId="Strong">
    <w:name w:val="Strong"/>
    <w:basedOn w:val="DefaultParagraphFont"/>
    <w:uiPriority w:val="22"/>
    <w:qFormat/>
    <w:rsid w:val="009C71A1"/>
    <w:rPr>
      <w:b/>
      <w:bCs/>
    </w:rPr>
  </w:style>
  <w:style w:type="table" w:styleId="TableGrid">
    <w:name w:val="Table Grid"/>
    <w:basedOn w:val="TableNormal"/>
    <w:uiPriority w:val="59"/>
    <w:rsid w:val="009C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9C71A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C6D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rsid w:val="00C64EB5"/>
    <w:rPr>
      <w:rFonts w:ascii="Tahoma" w:hAnsi="Tahoma" w:cs="Tahoma"/>
      <w:sz w:val="16"/>
      <w:szCs w:val="16"/>
    </w:rPr>
  </w:style>
  <w:style w:type="character" w:customStyle="1" w:styleId="BalloonTextChar">
    <w:name w:val="Balloon Text Char"/>
    <w:basedOn w:val="DefaultParagraphFont"/>
    <w:link w:val="BalloonText"/>
    <w:rsid w:val="00C64EB5"/>
    <w:rPr>
      <w:rFonts w:ascii="Tahoma" w:hAnsi="Tahoma" w:cs="Tahoma"/>
      <w:sz w:val="16"/>
      <w:szCs w:val="16"/>
      <w:lang w:eastAsia="en-US"/>
    </w:rPr>
  </w:style>
  <w:style w:type="paragraph" w:styleId="Header">
    <w:name w:val="header"/>
    <w:basedOn w:val="Normal"/>
    <w:link w:val="HeaderChar"/>
    <w:rsid w:val="008D6029"/>
    <w:pPr>
      <w:tabs>
        <w:tab w:val="center" w:pos="4513"/>
        <w:tab w:val="right" w:pos="9026"/>
      </w:tabs>
    </w:pPr>
  </w:style>
  <w:style w:type="character" w:customStyle="1" w:styleId="HeaderChar">
    <w:name w:val="Header Char"/>
    <w:basedOn w:val="DefaultParagraphFont"/>
    <w:link w:val="Header"/>
    <w:rsid w:val="008D6029"/>
    <w:rPr>
      <w:sz w:val="24"/>
      <w:szCs w:val="24"/>
      <w:lang w:eastAsia="en-US"/>
    </w:rPr>
  </w:style>
  <w:style w:type="paragraph" w:styleId="Footer">
    <w:name w:val="footer"/>
    <w:basedOn w:val="Normal"/>
    <w:link w:val="FooterChar"/>
    <w:uiPriority w:val="99"/>
    <w:rsid w:val="008D6029"/>
    <w:pPr>
      <w:tabs>
        <w:tab w:val="center" w:pos="4513"/>
        <w:tab w:val="right" w:pos="9026"/>
      </w:tabs>
    </w:pPr>
  </w:style>
  <w:style w:type="character" w:customStyle="1" w:styleId="FooterChar">
    <w:name w:val="Footer Char"/>
    <w:basedOn w:val="DefaultParagraphFont"/>
    <w:link w:val="Footer"/>
    <w:uiPriority w:val="99"/>
    <w:rsid w:val="008D6029"/>
    <w:rPr>
      <w:sz w:val="24"/>
      <w:szCs w:val="24"/>
      <w:lang w:eastAsia="en-US"/>
    </w:rPr>
  </w:style>
  <w:style w:type="paragraph" w:styleId="FootnoteText">
    <w:name w:val="footnote text"/>
    <w:basedOn w:val="Normal"/>
    <w:link w:val="FootnoteTextChar"/>
    <w:rsid w:val="008D6029"/>
    <w:rPr>
      <w:sz w:val="20"/>
      <w:szCs w:val="20"/>
    </w:rPr>
  </w:style>
  <w:style w:type="character" w:customStyle="1" w:styleId="FootnoteTextChar">
    <w:name w:val="Footnote Text Char"/>
    <w:basedOn w:val="DefaultParagraphFont"/>
    <w:link w:val="FootnoteText"/>
    <w:rsid w:val="008D6029"/>
    <w:rPr>
      <w:lang w:eastAsia="en-US"/>
    </w:rPr>
  </w:style>
  <w:style w:type="character" w:styleId="FootnoteReference">
    <w:name w:val="footnote reference"/>
    <w:basedOn w:val="DefaultParagraphFont"/>
    <w:rsid w:val="008D6029"/>
    <w:rPr>
      <w:vertAlign w:val="superscript"/>
    </w:rPr>
  </w:style>
  <w:style w:type="table" w:styleId="LightShading-Accent1">
    <w:name w:val="Light Shading Accent 1"/>
    <w:basedOn w:val="TableNormal"/>
    <w:uiPriority w:val="60"/>
    <w:rsid w:val="001676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442BD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42BDA"/>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442B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42BDA"/>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42BDA"/>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442BDA"/>
    <w:rPr>
      <w:rFonts w:asciiTheme="majorHAnsi" w:eastAsiaTheme="majorEastAsia" w:hAnsiTheme="majorHAnsi" w:cstheme="majorBidi"/>
      <w:i/>
      <w:iCs/>
      <w:color w:val="4F81BD" w:themeColor="accent1"/>
      <w:spacing w:val="15"/>
      <w:sz w:val="24"/>
      <w:szCs w:val="24"/>
      <w:lang w:val="en-US" w:eastAsia="ja-JP"/>
    </w:rPr>
  </w:style>
  <w:style w:type="paragraph" w:customStyle="1" w:styleId="TableText">
    <w:name w:val="TableText"/>
    <w:basedOn w:val="Normal"/>
    <w:rsid w:val="00A8302E"/>
    <w:pPr>
      <w:spacing w:before="120" w:after="120" w:line="280" w:lineRule="exact"/>
    </w:pPr>
    <w:rPr>
      <w:rFonts w:ascii="Arial" w:hAnsi="Arial"/>
      <w:sz w:val="20"/>
    </w:rPr>
  </w:style>
  <w:style w:type="paragraph" w:customStyle="1" w:styleId="Default">
    <w:name w:val="Default"/>
    <w:rsid w:val="006707D3"/>
    <w:pPr>
      <w:autoSpaceDE w:val="0"/>
      <w:autoSpaceDN w:val="0"/>
      <w:adjustRightInd w:val="0"/>
    </w:pPr>
    <w:rPr>
      <w:rFonts w:ascii="Arial" w:hAnsi="Arial" w:cs="Arial"/>
      <w:color w:val="000000"/>
      <w:sz w:val="24"/>
      <w:szCs w:val="24"/>
    </w:rPr>
  </w:style>
  <w:style w:type="character" w:styleId="Hyperlink">
    <w:name w:val="Hyperlink"/>
    <w:basedOn w:val="DefaultParagraphFont"/>
    <w:rsid w:val="00F814DA"/>
    <w:rPr>
      <w:color w:val="0000FF" w:themeColor="hyperlink"/>
      <w:u w:val="single"/>
    </w:rPr>
  </w:style>
  <w:style w:type="character" w:styleId="CommentReference">
    <w:name w:val="annotation reference"/>
    <w:basedOn w:val="DefaultParagraphFont"/>
    <w:rsid w:val="0055456B"/>
    <w:rPr>
      <w:sz w:val="16"/>
      <w:szCs w:val="16"/>
    </w:rPr>
  </w:style>
  <w:style w:type="paragraph" w:styleId="CommentText">
    <w:name w:val="annotation text"/>
    <w:basedOn w:val="Normal"/>
    <w:link w:val="CommentTextChar"/>
    <w:rsid w:val="0055456B"/>
    <w:rPr>
      <w:sz w:val="20"/>
      <w:szCs w:val="20"/>
    </w:rPr>
  </w:style>
  <w:style w:type="character" w:customStyle="1" w:styleId="CommentTextChar">
    <w:name w:val="Comment Text Char"/>
    <w:basedOn w:val="DefaultParagraphFont"/>
    <w:link w:val="CommentText"/>
    <w:rsid w:val="0055456B"/>
    <w:rPr>
      <w:lang w:eastAsia="en-US"/>
    </w:rPr>
  </w:style>
  <w:style w:type="paragraph" w:styleId="CommentSubject">
    <w:name w:val="annotation subject"/>
    <w:basedOn w:val="CommentText"/>
    <w:next w:val="CommentText"/>
    <w:link w:val="CommentSubjectChar"/>
    <w:rsid w:val="0055456B"/>
    <w:rPr>
      <w:b/>
      <w:bCs/>
    </w:rPr>
  </w:style>
  <w:style w:type="character" w:customStyle="1" w:styleId="CommentSubjectChar">
    <w:name w:val="Comment Subject Char"/>
    <w:basedOn w:val="CommentTextChar"/>
    <w:link w:val="CommentSubject"/>
    <w:rsid w:val="0055456B"/>
    <w:rPr>
      <w:b/>
      <w:bCs/>
      <w:lang w:eastAsia="en-US"/>
    </w:rPr>
  </w:style>
  <w:style w:type="paragraph" w:styleId="Revision">
    <w:name w:val="Revision"/>
    <w:hidden/>
    <w:uiPriority w:val="99"/>
    <w:semiHidden/>
    <w:rsid w:val="00781A9E"/>
    <w:rPr>
      <w:sz w:val="24"/>
      <w:szCs w:val="24"/>
      <w:lang w:eastAsia="en-US"/>
    </w:rPr>
  </w:style>
  <w:style w:type="table" w:styleId="LightShading-Accent5">
    <w:name w:val="Light Shading Accent 5"/>
    <w:basedOn w:val="TableNormal"/>
    <w:uiPriority w:val="60"/>
    <w:rsid w:val="001D472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BodyTextNEW">
    <w:name w:val="Body Text NEW"/>
    <w:uiPriority w:val="1"/>
    <w:qFormat/>
    <w:rsid w:val="00A60895"/>
    <w:pPr>
      <w:spacing w:before="176" w:line="280" w:lineRule="auto"/>
    </w:pPr>
    <w:rPr>
      <w:rFonts w:ascii="Arial" w:eastAsia="Adobe Garamond Pro" w:hAnsi="Arial"/>
      <w:color w:val="231F20"/>
      <w:lang w:val="en-US" w:eastAsia="en-US"/>
    </w:rPr>
  </w:style>
  <w:style w:type="paragraph" w:styleId="NormalWeb">
    <w:name w:val="Normal (Web)"/>
    <w:basedOn w:val="Normal"/>
    <w:uiPriority w:val="99"/>
    <w:unhideWhenUsed/>
    <w:rsid w:val="00A57C2D"/>
    <w:pPr>
      <w:spacing w:before="100" w:beforeAutospacing="1" w:after="100" w:afterAutospacing="1"/>
    </w:pPr>
    <w:rPr>
      <w:lang w:eastAsia="en-AU"/>
    </w:rPr>
  </w:style>
  <w:style w:type="character" w:styleId="Emphasis">
    <w:name w:val="Emphasis"/>
    <w:basedOn w:val="DefaultParagraphFont"/>
    <w:uiPriority w:val="20"/>
    <w:qFormat/>
    <w:rsid w:val="00A57C2D"/>
    <w:rPr>
      <w:i/>
      <w:iCs/>
    </w:rPr>
  </w:style>
  <w:style w:type="paragraph" w:styleId="PlainText">
    <w:name w:val="Plain Text"/>
    <w:basedOn w:val="Normal"/>
    <w:link w:val="PlainTextChar"/>
    <w:uiPriority w:val="99"/>
    <w:unhideWhenUsed/>
    <w:rsid w:val="005B07C5"/>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5B07C5"/>
    <w:rPr>
      <w:rFonts w:ascii="Calibri" w:eastAsiaTheme="minorHAnsi" w:hAnsi="Calibri" w:cs="Calibri"/>
      <w:sz w:val="22"/>
      <w:szCs w:val="22"/>
      <w:lang w:eastAsia="en-US"/>
    </w:rPr>
  </w:style>
  <w:style w:type="character" w:customStyle="1" w:styleId="st1">
    <w:name w:val="st1"/>
    <w:basedOn w:val="DefaultParagraphFont"/>
    <w:rsid w:val="00CA330B"/>
  </w:style>
  <w:style w:type="character" w:customStyle="1" w:styleId="tgc">
    <w:name w:val="_tgc"/>
    <w:basedOn w:val="DefaultParagraphFont"/>
    <w:rsid w:val="00CA330B"/>
  </w:style>
  <w:style w:type="table" w:customStyle="1" w:styleId="Style1">
    <w:name w:val="Style1"/>
    <w:basedOn w:val="MediumShading1-Accent1"/>
    <w:uiPriority w:val="99"/>
    <w:rsid w:val="00192168"/>
    <w:rPr>
      <w:rFonts w:asciiTheme="minorHAnsi" w:hAnsiTheme="minorHAnsi"/>
      <w:sz w:val="24"/>
    </w:rPr>
    <w:tblPr>
      <w:tblBorders>
        <w:top w:val="single" w:sz="8" w:space="0" w:color="996633"/>
        <w:left w:val="single" w:sz="8" w:space="0" w:color="996633"/>
        <w:bottom w:val="single" w:sz="8" w:space="0" w:color="996633"/>
        <w:right w:val="single" w:sz="8" w:space="0" w:color="996633"/>
        <w:insideH w:val="single" w:sz="8" w:space="0" w:color="996633"/>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996633"/>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E2C4A6"/>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A1"/>
    <w:pPr>
      <w:ind w:left="720"/>
      <w:contextualSpacing/>
    </w:pPr>
  </w:style>
  <w:style w:type="character" w:styleId="Strong">
    <w:name w:val="Strong"/>
    <w:basedOn w:val="DefaultParagraphFont"/>
    <w:uiPriority w:val="22"/>
    <w:qFormat/>
    <w:rsid w:val="009C71A1"/>
    <w:rPr>
      <w:b/>
      <w:bCs/>
    </w:rPr>
  </w:style>
  <w:style w:type="table" w:styleId="TableGrid">
    <w:name w:val="Table Grid"/>
    <w:basedOn w:val="TableNormal"/>
    <w:uiPriority w:val="59"/>
    <w:rsid w:val="009C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9C71A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C6D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rsid w:val="00C64EB5"/>
    <w:rPr>
      <w:rFonts w:ascii="Tahoma" w:hAnsi="Tahoma" w:cs="Tahoma"/>
      <w:sz w:val="16"/>
      <w:szCs w:val="16"/>
    </w:rPr>
  </w:style>
  <w:style w:type="character" w:customStyle="1" w:styleId="BalloonTextChar">
    <w:name w:val="Balloon Text Char"/>
    <w:basedOn w:val="DefaultParagraphFont"/>
    <w:link w:val="BalloonText"/>
    <w:rsid w:val="00C64EB5"/>
    <w:rPr>
      <w:rFonts w:ascii="Tahoma" w:hAnsi="Tahoma" w:cs="Tahoma"/>
      <w:sz w:val="16"/>
      <w:szCs w:val="16"/>
      <w:lang w:eastAsia="en-US"/>
    </w:rPr>
  </w:style>
  <w:style w:type="paragraph" w:styleId="Header">
    <w:name w:val="header"/>
    <w:basedOn w:val="Normal"/>
    <w:link w:val="HeaderChar"/>
    <w:rsid w:val="008D6029"/>
    <w:pPr>
      <w:tabs>
        <w:tab w:val="center" w:pos="4513"/>
        <w:tab w:val="right" w:pos="9026"/>
      </w:tabs>
    </w:pPr>
  </w:style>
  <w:style w:type="character" w:customStyle="1" w:styleId="HeaderChar">
    <w:name w:val="Header Char"/>
    <w:basedOn w:val="DefaultParagraphFont"/>
    <w:link w:val="Header"/>
    <w:rsid w:val="008D6029"/>
    <w:rPr>
      <w:sz w:val="24"/>
      <w:szCs w:val="24"/>
      <w:lang w:eastAsia="en-US"/>
    </w:rPr>
  </w:style>
  <w:style w:type="paragraph" w:styleId="Footer">
    <w:name w:val="footer"/>
    <w:basedOn w:val="Normal"/>
    <w:link w:val="FooterChar"/>
    <w:uiPriority w:val="99"/>
    <w:rsid w:val="008D6029"/>
    <w:pPr>
      <w:tabs>
        <w:tab w:val="center" w:pos="4513"/>
        <w:tab w:val="right" w:pos="9026"/>
      </w:tabs>
    </w:pPr>
  </w:style>
  <w:style w:type="character" w:customStyle="1" w:styleId="FooterChar">
    <w:name w:val="Footer Char"/>
    <w:basedOn w:val="DefaultParagraphFont"/>
    <w:link w:val="Footer"/>
    <w:uiPriority w:val="99"/>
    <w:rsid w:val="008D6029"/>
    <w:rPr>
      <w:sz w:val="24"/>
      <w:szCs w:val="24"/>
      <w:lang w:eastAsia="en-US"/>
    </w:rPr>
  </w:style>
  <w:style w:type="paragraph" w:styleId="FootnoteText">
    <w:name w:val="footnote text"/>
    <w:basedOn w:val="Normal"/>
    <w:link w:val="FootnoteTextChar"/>
    <w:rsid w:val="008D6029"/>
    <w:rPr>
      <w:sz w:val="20"/>
      <w:szCs w:val="20"/>
    </w:rPr>
  </w:style>
  <w:style w:type="character" w:customStyle="1" w:styleId="FootnoteTextChar">
    <w:name w:val="Footnote Text Char"/>
    <w:basedOn w:val="DefaultParagraphFont"/>
    <w:link w:val="FootnoteText"/>
    <w:rsid w:val="008D6029"/>
    <w:rPr>
      <w:lang w:eastAsia="en-US"/>
    </w:rPr>
  </w:style>
  <w:style w:type="character" w:styleId="FootnoteReference">
    <w:name w:val="footnote reference"/>
    <w:basedOn w:val="DefaultParagraphFont"/>
    <w:rsid w:val="008D6029"/>
    <w:rPr>
      <w:vertAlign w:val="superscript"/>
    </w:rPr>
  </w:style>
  <w:style w:type="table" w:styleId="LightShading-Accent1">
    <w:name w:val="Light Shading Accent 1"/>
    <w:basedOn w:val="TableNormal"/>
    <w:uiPriority w:val="60"/>
    <w:rsid w:val="001676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442BD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42BDA"/>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442B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42BDA"/>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42BDA"/>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442BDA"/>
    <w:rPr>
      <w:rFonts w:asciiTheme="majorHAnsi" w:eastAsiaTheme="majorEastAsia" w:hAnsiTheme="majorHAnsi" w:cstheme="majorBidi"/>
      <w:i/>
      <w:iCs/>
      <w:color w:val="4F81BD" w:themeColor="accent1"/>
      <w:spacing w:val="15"/>
      <w:sz w:val="24"/>
      <w:szCs w:val="24"/>
      <w:lang w:val="en-US" w:eastAsia="ja-JP"/>
    </w:rPr>
  </w:style>
  <w:style w:type="paragraph" w:customStyle="1" w:styleId="TableText">
    <w:name w:val="TableText"/>
    <w:basedOn w:val="Normal"/>
    <w:rsid w:val="00A8302E"/>
    <w:pPr>
      <w:spacing w:before="120" w:after="120" w:line="280" w:lineRule="exact"/>
    </w:pPr>
    <w:rPr>
      <w:rFonts w:ascii="Arial" w:hAnsi="Arial"/>
      <w:sz w:val="20"/>
    </w:rPr>
  </w:style>
  <w:style w:type="paragraph" w:customStyle="1" w:styleId="Default">
    <w:name w:val="Default"/>
    <w:rsid w:val="006707D3"/>
    <w:pPr>
      <w:autoSpaceDE w:val="0"/>
      <w:autoSpaceDN w:val="0"/>
      <w:adjustRightInd w:val="0"/>
    </w:pPr>
    <w:rPr>
      <w:rFonts w:ascii="Arial" w:hAnsi="Arial" w:cs="Arial"/>
      <w:color w:val="000000"/>
      <w:sz w:val="24"/>
      <w:szCs w:val="24"/>
    </w:rPr>
  </w:style>
  <w:style w:type="character" w:styleId="Hyperlink">
    <w:name w:val="Hyperlink"/>
    <w:basedOn w:val="DefaultParagraphFont"/>
    <w:rsid w:val="00F814DA"/>
    <w:rPr>
      <w:color w:val="0000FF" w:themeColor="hyperlink"/>
      <w:u w:val="single"/>
    </w:rPr>
  </w:style>
  <w:style w:type="character" w:styleId="CommentReference">
    <w:name w:val="annotation reference"/>
    <w:basedOn w:val="DefaultParagraphFont"/>
    <w:rsid w:val="0055456B"/>
    <w:rPr>
      <w:sz w:val="16"/>
      <w:szCs w:val="16"/>
    </w:rPr>
  </w:style>
  <w:style w:type="paragraph" w:styleId="CommentText">
    <w:name w:val="annotation text"/>
    <w:basedOn w:val="Normal"/>
    <w:link w:val="CommentTextChar"/>
    <w:rsid w:val="0055456B"/>
    <w:rPr>
      <w:sz w:val="20"/>
      <w:szCs w:val="20"/>
    </w:rPr>
  </w:style>
  <w:style w:type="character" w:customStyle="1" w:styleId="CommentTextChar">
    <w:name w:val="Comment Text Char"/>
    <w:basedOn w:val="DefaultParagraphFont"/>
    <w:link w:val="CommentText"/>
    <w:rsid w:val="0055456B"/>
    <w:rPr>
      <w:lang w:eastAsia="en-US"/>
    </w:rPr>
  </w:style>
  <w:style w:type="paragraph" w:styleId="CommentSubject">
    <w:name w:val="annotation subject"/>
    <w:basedOn w:val="CommentText"/>
    <w:next w:val="CommentText"/>
    <w:link w:val="CommentSubjectChar"/>
    <w:rsid w:val="0055456B"/>
    <w:rPr>
      <w:b/>
      <w:bCs/>
    </w:rPr>
  </w:style>
  <w:style w:type="character" w:customStyle="1" w:styleId="CommentSubjectChar">
    <w:name w:val="Comment Subject Char"/>
    <w:basedOn w:val="CommentTextChar"/>
    <w:link w:val="CommentSubject"/>
    <w:rsid w:val="0055456B"/>
    <w:rPr>
      <w:b/>
      <w:bCs/>
      <w:lang w:eastAsia="en-US"/>
    </w:rPr>
  </w:style>
  <w:style w:type="paragraph" w:styleId="Revision">
    <w:name w:val="Revision"/>
    <w:hidden/>
    <w:uiPriority w:val="99"/>
    <w:semiHidden/>
    <w:rsid w:val="00781A9E"/>
    <w:rPr>
      <w:sz w:val="24"/>
      <w:szCs w:val="24"/>
      <w:lang w:eastAsia="en-US"/>
    </w:rPr>
  </w:style>
  <w:style w:type="table" w:styleId="LightShading-Accent5">
    <w:name w:val="Light Shading Accent 5"/>
    <w:basedOn w:val="TableNormal"/>
    <w:uiPriority w:val="60"/>
    <w:rsid w:val="001D472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BodyTextNEW">
    <w:name w:val="Body Text NEW"/>
    <w:uiPriority w:val="1"/>
    <w:qFormat/>
    <w:rsid w:val="00A60895"/>
    <w:pPr>
      <w:spacing w:before="176" w:line="280" w:lineRule="auto"/>
    </w:pPr>
    <w:rPr>
      <w:rFonts w:ascii="Arial" w:eastAsia="Adobe Garamond Pro" w:hAnsi="Arial"/>
      <w:color w:val="231F20"/>
      <w:lang w:val="en-US" w:eastAsia="en-US"/>
    </w:rPr>
  </w:style>
  <w:style w:type="paragraph" w:styleId="NormalWeb">
    <w:name w:val="Normal (Web)"/>
    <w:basedOn w:val="Normal"/>
    <w:uiPriority w:val="99"/>
    <w:unhideWhenUsed/>
    <w:rsid w:val="00A57C2D"/>
    <w:pPr>
      <w:spacing w:before="100" w:beforeAutospacing="1" w:after="100" w:afterAutospacing="1"/>
    </w:pPr>
    <w:rPr>
      <w:lang w:eastAsia="en-AU"/>
    </w:rPr>
  </w:style>
  <w:style w:type="character" w:styleId="Emphasis">
    <w:name w:val="Emphasis"/>
    <w:basedOn w:val="DefaultParagraphFont"/>
    <w:uiPriority w:val="20"/>
    <w:qFormat/>
    <w:rsid w:val="00A57C2D"/>
    <w:rPr>
      <w:i/>
      <w:iCs/>
    </w:rPr>
  </w:style>
  <w:style w:type="paragraph" w:styleId="PlainText">
    <w:name w:val="Plain Text"/>
    <w:basedOn w:val="Normal"/>
    <w:link w:val="PlainTextChar"/>
    <w:uiPriority w:val="99"/>
    <w:unhideWhenUsed/>
    <w:rsid w:val="005B07C5"/>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5B07C5"/>
    <w:rPr>
      <w:rFonts w:ascii="Calibri" w:eastAsiaTheme="minorHAnsi" w:hAnsi="Calibri" w:cs="Calibri"/>
      <w:sz w:val="22"/>
      <w:szCs w:val="22"/>
      <w:lang w:eastAsia="en-US"/>
    </w:rPr>
  </w:style>
  <w:style w:type="character" w:customStyle="1" w:styleId="st1">
    <w:name w:val="st1"/>
    <w:basedOn w:val="DefaultParagraphFont"/>
    <w:rsid w:val="00CA330B"/>
  </w:style>
  <w:style w:type="character" w:customStyle="1" w:styleId="tgc">
    <w:name w:val="_tgc"/>
    <w:basedOn w:val="DefaultParagraphFont"/>
    <w:rsid w:val="00CA330B"/>
  </w:style>
  <w:style w:type="table" w:customStyle="1" w:styleId="Style1">
    <w:name w:val="Style1"/>
    <w:basedOn w:val="MediumShading1-Accent1"/>
    <w:uiPriority w:val="99"/>
    <w:rsid w:val="00192168"/>
    <w:rPr>
      <w:rFonts w:asciiTheme="minorHAnsi" w:hAnsiTheme="minorHAnsi"/>
      <w:sz w:val="24"/>
    </w:rPr>
    <w:tblPr>
      <w:tblBorders>
        <w:top w:val="single" w:sz="8" w:space="0" w:color="996633"/>
        <w:left w:val="single" w:sz="8" w:space="0" w:color="996633"/>
        <w:bottom w:val="single" w:sz="8" w:space="0" w:color="996633"/>
        <w:right w:val="single" w:sz="8" w:space="0" w:color="996633"/>
        <w:insideH w:val="single" w:sz="8" w:space="0" w:color="996633"/>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996633"/>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E2C4A6"/>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59">
      <w:bodyDiv w:val="1"/>
      <w:marLeft w:val="0"/>
      <w:marRight w:val="0"/>
      <w:marTop w:val="0"/>
      <w:marBottom w:val="0"/>
      <w:divBdr>
        <w:top w:val="none" w:sz="0" w:space="0" w:color="auto"/>
        <w:left w:val="none" w:sz="0" w:space="0" w:color="auto"/>
        <w:bottom w:val="none" w:sz="0" w:space="0" w:color="auto"/>
        <w:right w:val="none" w:sz="0" w:space="0" w:color="auto"/>
      </w:divBdr>
    </w:div>
    <w:div w:id="27803846">
      <w:bodyDiv w:val="1"/>
      <w:marLeft w:val="0"/>
      <w:marRight w:val="0"/>
      <w:marTop w:val="0"/>
      <w:marBottom w:val="0"/>
      <w:divBdr>
        <w:top w:val="none" w:sz="0" w:space="0" w:color="auto"/>
        <w:left w:val="none" w:sz="0" w:space="0" w:color="auto"/>
        <w:bottom w:val="none" w:sz="0" w:space="0" w:color="auto"/>
        <w:right w:val="none" w:sz="0" w:space="0" w:color="auto"/>
      </w:divBdr>
    </w:div>
    <w:div w:id="197007824">
      <w:bodyDiv w:val="1"/>
      <w:marLeft w:val="0"/>
      <w:marRight w:val="0"/>
      <w:marTop w:val="0"/>
      <w:marBottom w:val="0"/>
      <w:divBdr>
        <w:top w:val="none" w:sz="0" w:space="0" w:color="auto"/>
        <w:left w:val="none" w:sz="0" w:space="0" w:color="auto"/>
        <w:bottom w:val="none" w:sz="0" w:space="0" w:color="auto"/>
        <w:right w:val="none" w:sz="0" w:space="0" w:color="auto"/>
      </w:divBdr>
    </w:div>
    <w:div w:id="257755769">
      <w:bodyDiv w:val="1"/>
      <w:marLeft w:val="0"/>
      <w:marRight w:val="0"/>
      <w:marTop w:val="0"/>
      <w:marBottom w:val="0"/>
      <w:divBdr>
        <w:top w:val="none" w:sz="0" w:space="0" w:color="auto"/>
        <w:left w:val="none" w:sz="0" w:space="0" w:color="auto"/>
        <w:bottom w:val="none" w:sz="0" w:space="0" w:color="auto"/>
        <w:right w:val="none" w:sz="0" w:space="0" w:color="auto"/>
      </w:divBdr>
    </w:div>
    <w:div w:id="266741333">
      <w:bodyDiv w:val="1"/>
      <w:marLeft w:val="0"/>
      <w:marRight w:val="0"/>
      <w:marTop w:val="0"/>
      <w:marBottom w:val="0"/>
      <w:divBdr>
        <w:top w:val="none" w:sz="0" w:space="0" w:color="auto"/>
        <w:left w:val="none" w:sz="0" w:space="0" w:color="auto"/>
        <w:bottom w:val="none" w:sz="0" w:space="0" w:color="auto"/>
        <w:right w:val="none" w:sz="0" w:space="0" w:color="auto"/>
      </w:divBdr>
    </w:div>
    <w:div w:id="368725856">
      <w:bodyDiv w:val="1"/>
      <w:marLeft w:val="0"/>
      <w:marRight w:val="0"/>
      <w:marTop w:val="0"/>
      <w:marBottom w:val="0"/>
      <w:divBdr>
        <w:top w:val="none" w:sz="0" w:space="0" w:color="auto"/>
        <w:left w:val="none" w:sz="0" w:space="0" w:color="auto"/>
        <w:bottom w:val="none" w:sz="0" w:space="0" w:color="auto"/>
        <w:right w:val="none" w:sz="0" w:space="0" w:color="auto"/>
      </w:divBdr>
    </w:div>
    <w:div w:id="376131189">
      <w:bodyDiv w:val="1"/>
      <w:marLeft w:val="0"/>
      <w:marRight w:val="0"/>
      <w:marTop w:val="0"/>
      <w:marBottom w:val="0"/>
      <w:divBdr>
        <w:top w:val="none" w:sz="0" w:space="0" w:color="auto"/>
        <w:left w:val="none" w:sz="0" w:space="0" w:color="auto"/>
        <w:bottom w:val="none" w:sz="0" w:space="0" w:color="auto"/>
        <w:right w:val="none" w:sz="0" w:space="0" w:color="auto"/>
      </w:divBdr>
    </w:div>
    <w:div w:id="381096595">
      <w:bodyDiv w:val="1"/>
      <w:marLeft w:val="0"/>
      <w:marRight w:val="0"/>
      <w:marTop w:val="0"/>
      <w:marBottom w:val="0"/>
      <w:divBdr>
        <w:top w:val="none" w:sz="0" w:space="0" w:color="auto"/>
        <w:left w:val="none" w:sz="0" w:space="0" w:color="auto"/>
        <w:bottom w:val="none" w:sz="0" w:space="0" w:color="auto"/>
        <w:right w:val="none" w:sz="0" w:space="0" w:color="auto"/>
      </w:divBdr>
    </w:div>
    <w:div w:id="422265390">
      <w:bodyDiv w:val="1"/>
      <w:marLeft w:val="0"/>
      <w:marRight w:val="0"/>
      <w:marTop w:val="0"/>
      <w:marBottom w:val="0"/>
      <w:divBdr>
        <w:top w:val="none" w:sz="0" w:space="0" w:color="auto"/>
        <w:left w:val="none" w:sz="0" w:space="0" w:color="auto"/>
        <w:bottom w:val="none" w:sz="0" w:space="0" w:color="auto"/>
        <w:right w:val="none" w:sz="0" w:space="0" w:color="auto"/>
      </w:divBdr>
      <w:divsChild>
        <w:div w:id="842089003">
          <w:marLeft w:val="0"/>
          <w:marRight w:val="0"/>
          <w:marTop w:val="0"/>
          <w:marBottom w:val="0"/>
          <w:divBdr>
            <w:top w:val="none" w:sz="0" w:space="0" w:color="auto"/>
            <w:left w:val="none" w:sz="0" w:space="0" w:color="auto"/>
            <w:bottom w:val="none" w:sz="0" w:space="0" w:color="auto"/>
            <w:right w:val="none" w:sz="0" w:space="0" w:color="auto"/>
          </w:divBdr>
          <w:divsChild>
            <w:div w:id="529034909">
              <w:marLeft w:val="0"/>
              <w:marRight w:val="0"/>
              <w:marTop w:val="0"/>
              <w:marBottom w:val="0"/>
              <w:divBdr>
                <w:top w:val="none" w:sz="0" w:space="0" w:color="auto"/>
                <w:left w:val="none" w:sz="0" w:space="0" w:color="auto"/>
                <w:bottom w:val="none" w:sz="0" w:space="0" w:color="auto"/>
                <w:right w:val="none" w:sz="0" w:space="0" w:color="auto"/>
              </w:divBdr>
              <w:divsChild>
                <w:div w:id="822352512">
                  <w:marLeft w:val="0"/>
                  <w:marRight w:val="0"/>
                  <w:marTop w:val="0"/>
                  <w:marBottom w:val="0"/>
                  <w:divBdr>
                    <w:top w:val="none" w:sz="0" w:space="0" w:color="auto"/>
                    <w:left w:val="none" w:sz="0" w:space="0" w:color="auto"/>
                    <w:bottom w:val="none" w:sz="0" w:space="0" w:color="auto"/>
                    <w:right w:val="none" w:sz="0" w:space="0" w:color="auto"/>
                  </w:divBdr>
                  <w:divsChild>
                    <w:div w:id="758789555">
                      <w:marLeft w:val="0"/>
                      <w:marRight w:val="0"/>
                      <w:marTop w:val="0"/>
                      <w:marBottom w:val="0"/>
                      <w:divBdr>
                        <w:top w:val="none" w:sz="0" w:space="0" w:color="auto"/>
                        <w:left w:val="none" w:sz="0" w:space="0" w:color="auto"/>
                        <w:bottom w:val="none" w:sz="0" w:space="0" w:color="auto"/>
                        <w:right w:val="none" w:sz="0" w:space="0" w:color="auto"/>
                      </w:divBdr>
                      <w:divsChild>
                        <w:div w:id="1488090124">
                          <w:marLeft w:val="0"/>
                          <w:marRight w:val="0"/>
                          <w:marTop w:val="0"/>
                          <w:marBottom w:val="0"/>
                          <w:divBdr>
                            <w:top w:val="none" w:sz="0" w:space="0" w:color="auto"/>
                            <w:left w:val="none" w:sz="0" w:space="0" w:color="auto"/>
                            <w:bottom w:val="none" w:sz="0" w:space="0" w:color="auto"/>
                            <w:right w:val="none" w:sz="0" w:space="0" w:color="auto"/>
                          </w:divBdr>
                          <w:divsChild>
                            <w:div w:id="1720593824">
                              <w:marLeft w:val="0"/>
                              <w:marRight w:val="0"/>
                              <w:marTop w:val="0"/>
                              <w:marBottom w:val="0"/>
                              <w:divBdr>
                                <w:top w:val="none" w:sz="0" w:space="0" w:color="auto"/>
                                <w:left w:val="none" w:sz="0" w:space="0" w:color="auto"/>
                                <w:bottom w:val="none" w:sz="0" w:space="0" w:color="auto"/>
                                <w:right w:val="none" w:sz="0" w:space="0" w:color="auto"/>
                              </w:divBdr>
                              <w:divsChild>
                                <w:div w:id="1593470866">
                                  <w:marLeft w:val="0"/>
                                  <w:marRight w:val="0"/>
                                  <w:marTop w:val="0"/>
                                  <w:marBottom w:val="0"/>
                                  <w:divBdr>
                                    <w:top w:val="none" w:sz="0" w:space="0" w:color="auto"/>
                                    <w:left w:val="none" w:sz="0" w:space="0" w:color="auto"/>
                                    <w:bottom w:val="none" w:sz="0" w:space="0" w:color="auto"/>
                                    <w:right w:val="none" w:sz="0" w:space="0" w:color="auto"/>
                                  </w:divBdr>
                                  <w:divsChild>
                                    <w:div w:id="1047412356">
                                      <w:marLeft w:val="0"/>
                                      <w:marRight w:val="0"/>
                                      <w:marTop w:val="0"/>
                                      <w:marBottom w:val="0"/>
                                      <w:divBdr>
                                        <w:top w:val="none" w:sz="0" w:space="0" w:color="auto"/>
                                        <w:left w:val="none" w:sz="0" w:space="0" w:color="auto"/>
                                        <w:bottom w:val="none" w:sz="0" w:space="0" w:color="auto"/>
                                        <w:right w:val="none" w:sz="0" w:space="0" w:color="auto"/>
                                      </w:divBdr>
                                      <w:divsChild>
                                        <w:div w:id="1235435349">
                                          <w:marLeft w:val="0"/>
                                          <w:marRight w:val="0"/>
                                          <w:marTop w:val="0"/>
                                          <w:marBottom w:val="0"/>
                                          <w:divBdr>
                                            <w:top w:val="none" w:sz="0" w:space="0" w:color="auto"/>
                                            <w:left w:val="none" w:sz="0" w:space="0" w:color="auto"/>
                                            <w:bottom w:val="none" w:sz="0" w:space="0" w:color="auto"/>
                                            <w:right w:val="none" w:sz="0" w:space="0" w:color="auto"/>
                                          </w:divBdr>
                                          <w:divsChild>
                                            <w:div w:id="1682968485">
                                              <w:marLeft w:val="0"/>
                                              <w:marRight w:val="0"/>
                                              <w:marTop w:val="0"/>
                                              <w:marBottom w:val="0"/>
                                              <w:divBdr>
                                                <w:top w:val="none" w:sz="0" w:space="0" w:color="auto"/>
                                                <w:left w:val="none" w:sz="0" w:space="0" w:color="auto"/>
                                                <w:bottom w:val="none" w:sz="0" w:space="0" w:color="auto"/>
                                                <w:right w:val="none" w:sz="0" w:space="0" w:color="auto"/>
                                              </w:divBdr>
                                              <w:divsChild>
                                                <w:div w:id="2109931633">
                                                  <w:marLeft w:val="0"/>
                                                  <w:marRight w:val="0"/>
                                                  <w:marTop w:val="0"/>
                                                  <w:marBottom w:val="0"/>
                                                  <w:divBdr>
                                                    <w:top w:val="none" w:sz="0" w:space="0" w:color="auto"/>
                                                    <w:left w:val="none" w:sz="0" w:space="0" w:color="auto"/>
                                                    <w:bottom w:val="none" w:sz="0" w:space="0" w:color="auto"/>
                                                    <w:right w:val="none" w:sz="0" w:space="0" w:color="auto"/>
                                                  </w:divBdr>
                                                  <w:divsChild>
                                                    <w:div w:id="1980726794">
                                                      <w:marLeft w:val="0"/>
                                                      <w:marRight w:val="0"/>
                                                      <w:marTop w:val="0"/>
                                                      <w:marBottom w:val="0"/>
                                                      <w:divBdr>
                                                        <w:top w:val="none" w:sz="0" w:space="0" w:color="auto"/>
                                                        <w:left w:val="none" w:sz="0" w:space="0" w:color="auto"/>
                                                        <w:bottom w:val="none" w:sz="0" w:space="0" w:color="auto"/>
                                                        <w:right w:val="none" w:sz="0" w:space="0" w:color="auto"/>
                                                      </w:divBdr>
                                                      <w:divsChild>
                                                        <w:div w:id="1932395944">
                                                          <w:marLeft w:val="0"/>
                                                          <w:marRight w:val="0"/>
                                                          <w:marTop w:val="0"/>
                                                          <w:marBottom w:val="0"/>
                                                          <w:divBdr>
                                                            <w:top w:val="none" w:sz="0" w:space="0" w:color="auto"/>
                                                            <w:left w:val="none" w:sz="0" w:space="0" w:color="auto"/>
                                                            <w:bottom w:val="none" w:sz="0" w:space="0" w:color="auto"/>
                                                            <w:right w:val="none" w:sz="0" w:space="0" w:color="auto"/>
                                                          </w:divBdr>
                                                          <w:divsChild>
                                                            <w:div w:id="2112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159912">
      <w:bodyDiv w:val="1"/>
      <w:marLeft w:val="0"/>
      <w:marRight w:val="0"/>
      <w:marTop w:val="0"/>
      <w:marBottom w:val="0"/>
      <w:divBdr>
        <w:top w:val="none" w:sz="0" w:space="0" w:color="auto"/>
        <w:left w:val="none" w:sz="0" w:space="0" w:color="auto"/>
        <w:bottom w:val="none" w:sz="0" w:space="0" w:color="auto"/>
        <w:right w:val="none" w:sz="0" w:space="0" w:color="auto"/>
      </w:divBdr>
    </w:div>
    <w:div w:id="554778278">
      <w:bodyDiv w:val="1"/>
      <w:marLeft w:val="0"/>
      <w:marRight w:val="0"/>
      <w:marTop w:val="0"/>
      <w:marBottom w:val="0"/>
      <w:divBdr>
        <w:top w:val="none" w:sz="0" w:space="0" w:color="auto"/>
        <w:left w:val="none" w:sz="0" w:space="0" w:color="auto"/>
        <w:bottom w:val="none" w:sz="0" w:space="0" w:color="auto"/>
        <w:right w:val="none" w:sz="0" w:space="0" w:color="auto"/>
      </w:divBdr>
    </w:div>
    <w:div w:id="732430400">
      <w:bodyDiv w:val="1"/>
      <w:marLeft w:val="0"/>
      <w:marRight w:val="0"/>
      <w:marTop w:val="0"/>
      <w:marBottom w:val="0"/>
      <w:divBdr>
        <w:top w:val="none" w:sz="0" w:space="0" w:color="auto"/>
        <w:left w:val="none" w:sz="0" w:space="0" w:color="auto"/>
        <w:bottom w:val="none" w:sz="0" w:space="0" w:color="auto"/>
        <w:right w:val="none" w:sz="0" w:space="0" w:color="auto"/>
      </w:divBdr>
    </w:div>
    <w:div w:id="854462841">
      <w:bodyDiv w:val="1"/>
      <w:marLeft w:val="0"/>
      <w:marRight w:val="0"/>
      <w:marTop w:val="0"/>
      <w:marBottom w:val="0"/>
      <w:divBdr>
        <w:top w:val="none" w:sz="0" w:space="0" w:color="auto"/>
        <w:left w:val="none" w:sz="0" w:space="0" w:color="auto"/>
        <w:bottom w:val="none" w:sz="0" w:space="0" w:color="auto"/>
        <w:right w:val="none" w:sz="0" w:space="0" w:color="auto"/>
      </w:divBdr>
    </w:div>
    <w:div w:id="903490595">
      <w:bodyDiv w:val="1"/>
      <w:marLeft w:val="0"/>
      <w:marRight w:val="0"/>
      <w:marTop w:val="0"/>
      <w:marBottom w:val="0"/>
      <w:divBdr>
        <w:top w:val="none" w:sz="0" w:space="0" w:color="auto"/>
        <w:left w:val="none" w:sz="0" w:space="0" w:color="auto"/>
        <w:bottom w:val="none" w:sz="0" w:space="0" w:color="auto"/>
        <w:right w:val="none" w:sz="0" w:space="0" w:color="auto"/>
      </w:divBdr>
    </w:div>
    <w:div w:id="929702679">
      <w:bodyDiv w:val="1"/>
      <w:marLeft w:val="0"/>
      <w:marRight w:val="0"/>
      <w:marTop w:val="0"/>
      <w:marBottom w:val="0"/>
      <w:divBdr>
        <w:top w:val="none" w:sz="0" w:space="0" w:color="auto"/>
        <w:left w:val="none" w:sz="0" w:space="0" w:color="auto"/>
        <w:bottom w:val="none" w:sz="0" w:space="0" w:color="auto"/>
        <w:right w:val="none" w:sz="0" w:space="0" w:color="auto"/>
      </w:divBdr>
    </w:div>
    <w:div w:id="941181218">
      <w:bodyDiv w:val="1"/>
      <w:marLeft w:val="0"/>
      <w:marRight w:val="0"/>
      <w:marTop w:val="0"/>
      <w:marBottom w:val="0"/>
      <w:divBdr>
        <w:top w:val="none" w:sz="0" w:space="0" w:color="auto"/>
        <w:left w:val="none" w:sz="0" w:space="0" w:color="auto"/>
        <w:bottom w:val="none" w:sz="0" w:space="0" w:color="auto"/>
        <w:right w:val="none" w:sz="0" w:space="0" w:color="auto"/>
      </w:divBdr>
    </w:div>
    <w:div w:id="1001279547">
      <w:bodyDiv w:val="1"/>
      <w:marLeft w:val="0"/>
      <w:marRight w:val="0"/>
      <w:marTop w:val="0"/>
      <w:marBottom w:val="0"/>
      <w:divBdr>
        <w:top w:val="none" w:sz="0" w:space="0" w:color="auto"/>
        <w:left w:val="none" w:sz="0" w:space="0" w:color="auto"/>
        <w:bottom w:val="none" w:sz="0" w:space="0" w:color="auto"/>
        <w:right w:val="none" w:sz="0" w:space="0" w:color="auto"/>
      </w:divBdr>
    </w:div>
    <w:div w:id="1045837238">
      <w:bodyDiv w:val="1"/>
      <w:marLeft w:val="0"/>
      <w:marRight w:val="0"/>
      <w:marTop w:val="0"/>
      <w:marBottom w:val="0"/>
      <w:divBdr>
        <w:top w:val="none" w:sz="0" w:space="0" w:color="auto"/>
        <w:left w:val="none" w:sz="0" w:space="0" w:color="auto"/>
        <w:bottom w:val="none" w:sz="0" w:space="0" w:color="auto"/>
        <w:right w:val="none" w:sz="0" w:space="0" w:color="auto"/>
      </w:divBdr>
    </w:div>
    <w:div w:id="1203205791">
      <w:bodyDiv w:val="1"/>
      <w:marLeft w:val="0"/>
      <w:marRight w:val="0"/>
      <w:marTop w:val="0"/>
      <w:marBottom w:val="0"/>
      <w:divBdr>
        <w:top w:val="none" w:sz="0" w:space="0" w:color="auto"/>
        <w:left w:val="none" w:sz="0" w:space="0" w:color="auto"/>
        <w:bottom w:val="none" w:sz="0" w:space="0" w:color="auto"/>
        <w:right w:val="none" w:sz="0" w:space="0" w:color="auto"/>
      </w:divBdr>
    </w:div>
    <w:div w:id="1242905871">
      <w:bodyDiv w:val="1"/>
      <w:marLeft w:val="0"/>
      <w:marRight w:val="0"/>
      <w:marTop w:val="0"/>
      <w:marBottom w:val="0"/>
      <w:divBdr>
        <w:top w:val="none" w:sz="0" w:space="0" w:color="auto"/>
        <w:left w:val="none" w:sz="0" w:space="0" w:color="auto"/>
        <w:bottom w:val="none" w:sz="0" w:space="0" w:color="auto"/>
        <w:right w:val="none" w:sz="0" w:space="0" w:color="auto"/>
      </w:divBdr>
    </w:div>
    <w:div w:id="1319575105">
      <w:bodyDiv w:val="1"/>
      <w:marLeft w:val="0"/>
      <w:marRight w:val="0"/>
      <w:marTop w:val="0"/>
      <w:marBottom w:val="0"/>
      <w:divBdr>
        <w:top w:val="none" w:sz="0" w:space="0" w:color="auto"/>
        <w:left w:val="none" w:sz="0" w:space="0" w:color="auto"/>
        <w:bottom w:val="none" w:sz="0" w:space="0" w:color="auto"/>
        <w:right w:val="none" w:sz="0" w:space="0" w:color="auto"/>
      </w:divBdr>
    </w:div>
    <w:div w:id="1367412785">
      <w:bodyDiv w:val="1"/>
      <w:marLeft w:val="0"/>
      <w:marRight w:val="0"/>
      <w:marTop w:val="0"/>
      <w:marBottom w:val="0"/>
      <w:divBdr>
        <w:top w:val="none" w:sz="0" w:space="0" w:color="auto"/>
        <w:left w:val="none" w:sz="0" w:space="0" w:color="auto"/>
        <w:bottom w:val="none" w:sz="0" w:space="0" w:color="auto"/>
        <w:right w:val="none" w:sz="0" w:space="0" w:color="auto"/>
      </w:divBdr>
    </w:div>
    <w:div w:id="1385367785">
      <w:bodyDiv w:val="1"/>
      <w:marLeft w:val="0"/>
      <w:marRight w:val="0"/>
      <w:marTop w:val="0"/>
      <w:marBottom w:val="0"/>
      <w:divBdr>
        <w:top w:val="none" w:sz="0" w:space="0" w:color="auto"/>
        <w:left w:val="none" w:sz="0" w:space="0" w:color="auto"/>
        <w:bottom w:val="none" w:sz="0" w:space="0" w:color="auto"/>
        <w:right w:val="none" w:sz="0" w:space="0" w:color="auto"/>
      </w:divBdr>
    </w:div>
    <w:div w:id="1389182256">
      <w:bodyDiv w:val="1"/>
      <w:marLeft w:val="0"/>
      <w:marRight w:val="0"/>
      <w:marTop w:val="0"/>
      <w:marBottom w:val="0"/>
      <w:divBdr>
        <w:top w:val="none" w:sz="0" w:space="0" w:color="auto"/>
        <w:left w:val="none" w:sz="0" w:space="0" w:color="auto"/>
        <w:bottom w:val="none" w:sz="0" w:space="0" w:color="auto"/>
        <w:right w:val="none" w:sz="0" w:space="0" w:color="auto"/>
      </w:divBdr>
    </w:div>
    <w:div w:id="1451238333">
      <w:bodyDiv w:val="1"/>
      <w:marLeft w:val="0"/>
      <w:marRight w:val="0"/>
      <w:marTop w:val="0"/>
      <w:marBottom w:val="0"/>
      <w:divBdr>
        <w:top w:val="none" w:sz="0" w:space="0" w:color="auto"/>
        <w:left w:val="none" w:sz="0" w:space="0" w:color="auto"/>
        <w:bottom w:val="none" w:sz="0" w:space="0" w:color="auto"/>
        <w:right w:val="none" w:sz="0" w:space="0" w:color="auto"/>
      </w:divBdr>
    </w:div>
    <w:div w:id="1601908004">
      <w:bodyDiv w:val="1"/>
      <w:marLeft w:val="0"/>
      <w:marRight w:val="0"/>
      <w:marTop w:val="0"/>
      <w:marBottom w:val="0"/>
      <w:divBdr>
        <w:top w:val="none" w:sz="0" w:space="0" w:color="auto"/>
        <w:left w:val="none" w:sz="0" w:space="0" w:color="auto"/>
        <w:bottom w:val="none" w:sz="0" w:space="0" w:color="auto"/>
        <w:right w:val="none" w:sz="0" w:space="0" w:color="auto"/>
      </w:divBdr>
      <w:divsChild>
        <w:div w:id="952980238">
          <w:marLeft w:val="0"/>
          <w:marRight w:val="0"/>
          <w:marTop w:val="0"/>
          <w:marBottom w:val="0"/>
          <w:divBdr>
            <w:top w:val="none" w:sz="0" w:space="0" w:color="auto"/>
            <w:left w:val="none" w:sz="0" w:space="0" w:color="auto"/>
            <w:bottom w:val="none" w:sz="0" w:space="0" w:color="auto"/>
            <w:right w:val="none" w:sz="0" w:space="0" w:color="auto"/>
          </w:divBdr>
          <w:divsChild>
            <w:div w:id="1594315256">
              <w:marLeft w:val="0"/>
              <w:marRight w:val="0"/>
              <w:marTop w:val="0"/>
              <w:marBottom w:val="0"/>
              <w:divBdr>
                <w:top w:val="none" w:sz="0" w:space="0" w:color="auto"/>
                <w:left w:val="none" w:sz="0" w:space="0" w:color="auto"/>
                <w:bottom w:val="none" w:sz="0" w:space="0" w:color="auto"/>
                <w:right w:val="none" w:sz="0" w:space="0" w:color="auto"/>
              </w:divBdr>
              <w:divsChild>
                <w:div w:id="788940597">
                  <w:marLeft w:val="0"/>
                  <w:marRight w:val="0"/>
                  <w:marTop w:val="0"/>
                  <w:marBottom w:val="0"/>
                  <w:divBdr>
                    <w:top w:val="none" w:sz="0" w:space="0" w:color="auto"/>
                    <w:left w:val="none" w:sz="0" w:space="0" w:color="auto"/>
                    <w:bottom w:val="none" w:sz="0" w:space="0" w:color="auto"/>
                    <w:right w:val="none" w:sz="0" w:space="0" w:color="auto"/>
                  </w:divBdr>
                  <w:divsChild>
                    <w:div w:id="1856074424">
                      <w:marLeft w:val="0"/>
                      <w:marRight w:val="0"/>
                      <w:marTop w:val="0"/>
                      <w:marBottom w:val="0"/>
                      <w:divBdr>
                        <w:top w:val="none" w:sz="0" w:space="0" w:color="auto"/>
                        <w:left w:val="none" w:sz="0" w:space="0" w:color="auto"/>
                        <w:bottom w:val="none" w:sz="0" w:space="0" w:color="auto"/>
                        <w:right w:val="none" w:sz="0" w:space="0" w:color="auto"/>
                      </w:divBdr>
                      <w:divsChild>
                        <w:div w:id="834994933">
                          <w:marLeft w:val="0"/>
                          <w:marRight w:val="0"/>
                          <w:marTop w:val="0"/>
                          <w:marBottom w:val="0"/>
                          <w:divBdr>
                            <w:top w:val="none" w:sz="0" w:space="0" w:color="auto"/>
                            <w:left w:val="none" w:sz="0" w:space="0" w:color="auto"/>
                            <w:bottom w:val="none" w:sz="0" w:space="0" w:color="auto"/>
                            <w:right w:val="none" w:sz="0" w:space="0" w:color="auto"/>
                          </w:divBdr>
                          <w:divsChild>
                            <w:div w:id="107164523">
                              <w:marLeft w:val="0"/>
                              <w:marRight w:val="0"/>
                              <w:marTop w:val="0"/>
                              <w:marBottom w:val="0"/>
                              <w:divBdr>
                                <w:top w:val="none" w:sz="0" w:space="0" w:color="auto"/>
                                <w:left w:val="none" w:sz="0" w:space="0" w:color="auto"/>
                                <w:bottom w:val="none" w:sz="0" w:space="0" w:color="auto"/>
                                <w:right w:val="none" w:sz="0" w:space="0" w:color="auto"/>
                              </w:divBdr>
                              <w:divsChild>
                                <w:div w:id="1274825650">
                                  <w:marLeft w:val="0"/>
                                  <w:marRight w:val="0"/>
                                  <w:marTop w:val="0"/>
                                  <w:marBottom w:val="0"/>
                                  <w:divBdr>
                                    <w:top w:val="none" w:sz="0" w:space="0" w:color="auto"/>
                                    <w:left w:val="none" w:sz="0" w:space="0" w:color="auto"/>
                                    <w:bottom w:val="none" w:sz="0" w:space="0" w:color="auto"/>
                                    <w:right w:val="none" w:sz="0" w:space="0" w:color="auto"/>
                                  </w:divBdr>
                                  <w:divsChild>
                                    <w:div w:id="1532306536">
                                      <w:marLeft w:val="0"/>
                                      <w:marRight w:val="0"/>
                                      <w:marTop w:val="0"/>
                                      <w:marBottom w:val="0"/>
                                      <w:divBdr>
                                        <w:top w:val="none" w:sz="0" w:space="0" w:color="auto"/>
                                        <w:left w:val="none" w:sz="0" w:space="0" w:color="auto"/>
                                        <w:bottom w:val="none" w:sz="0" w:space="0" w:color="auto"/>
                                        <w:right w:val="none" w:sz="0" w:space="0" w:color="auto"/>
                                      </w:divBdr>
                                      <w:divsChild>
                                        <w:div w:id="2087729819">
                                          <w:marLeft w:val="0"/>
                                          <w:marRight w:val="0"/>
                                          <w:marTop w:val="0"/>
                                          <w:marBottom w:val="0"/>
                                          <w:divBdr>
                                            <w:top w:val="none" w:sz="0" w:space="0" w:color="auto"/>
                                            <w:left w:val="none" w:sz="0" w:space="0" w:color="auto"/>
                                            <w:bottom w:val="none" w:sz="0" w:space="0" w:color="auto"/>
                                            <w:right w:val="none" w:sz="0" w:space="0" w:color="auto"/>
                                          </w:divBdr>
                                          <w:divsChild>
                                            <w:div w:id="167838577">
                                              <w:marLeft w:val="0"/>
                                              <w:marRight w:val="0"/>
                                              <w:marTop w:val="0"/>
                                              <w:marBottom w:val="0"/>
                                              <w:divBdr>
                                                <w:top w:val="none" w:sz="0" w:space="0" w:color="auto"/>
                                                <w:left w:val="none" w:sz="0" w:space="0" w:color="auto"/>
                                                <w:bottom w:val="none" w:sz="0" w:space="0" w:color="auto"/>
                                                <w:right w:val="none" w:sz="0" w:space="0" w:color="auto"/>
                                              </w:divBdr>
                                              <w:divsChild>
                                                <w:div w:id="1919438513">
                                                  <w:marLeft w:val="0"/>
                                                  <w:marRight w:val="0"/>
                                                  <w:marTop w:val="0"/>
                                                  <w:marBottom w:val="0"/>
                                                  <w:divBdr>
                                                    <w:top w:val="none" w:sz="0" w:space="0" w:color="auto"/>
                                                    <w:left w:val="none" w:sz="0" w:space="0" w:color="auto"/>
                                                    <w:bottom w:val="none" w:sz="0" w:space="0" w:color="auto"/>
                                                    <w:right w:val="none" w:sz="0" w:space="0" w:color="auto"/>
                                                  </w:divBdr>
                                                  <w:divsChild>
                                                    <w:div w:id="591012546">
                                                      <w:marLeft w:val="0"/>
                                                      <w:marRight w:val="0"/>
                                                      <w:marTop w:val="0"/>
                                                      <w:marBottom w:val="0"/>
                                                      <w:divBdr>
                                                        <w:top w:val="none" w:sz="0" w:space="0" w:color="auto"/>
                                                        <w:left w:val="none" w:sz="0" w:space="0" w:color="auto"/>
                                                        <w:bottom w:val="none" w:sz="0" w:space="0" w:color="auto"/>
                                                        <w:right w:val="none" w:sz="0" w:space="0" w:color="auto"/>
                                                      </w:divBdr>
                                                      <w:divsChild>
                                                        <w:div w:id="2105689841">
                                                          <w:marLeft w:val="0"/>
                                                          <w:marRight w:val="0"/>
                                                          <w:marTop w:val="0"/>
                                                          <w:marBottom w:val="0"/>
                                                          <w:divBdr>
                                                            <w:top w:val="none" w:sz="0" w:space="0" w:color="auto"/>
                                                            <w:left w:val="none" w:sz="0" w:space="0" w:color="auto"/>
                                                            <w:bottom w:val="none" w:sz="0" w:space="0" w:color="auto"/>
                                                            <w:right w:val="none" w:sz="0" w:space="0" w:color="auto"/>
                                                          </w:divBdr>
                                                          <w:divsChild>
                                                            <w:div w:id="18875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908973">
      <w:bodyDiv w:val="1"/>
      <w:marLeft w:val="0"/>
      <w:marRight w:val="0"/>
      <w:marTop w:val="0"/>
      <w:marBottom w:val="0"/>
      <w:divBdr>
        <w:top w:val="none" w:sz="0" w:space="0" w:color="auto"/>
        <w:left w:val="none" w:sz="0" w:space="0" w:color="auto"/>
        <w:bottom w:val="none" w:sz="0" w:space="0" w:color="auto"/>
        <w:right w:val="none" w:sz="0" w:space="0" w:color="auto"/>
      </w:divBdr>
    </w:div>
    <w:div w:id="1738357099">
      <w:bodyDiv w:val="1"/>
      <w:marLeft w:val="0"/>
      <w:marRight w:val="0"/>
      <w:marTop w:val="0"/>
      <w:marBottom w:val="0"/>
      <w:divBdr>
        <w:top w:val="none" w:sz="0" w:space="0" w:color="auto"/>
        <w:left w:val="none" w:sz="0" w:space="0" w:color="auto"/>
        <w:bottom w:val="none" w:sz="0" w:space="0" w:color="auto"/>
        <w:right w:val="none" w:sz="0" w:space="0" w:color="auto"/>
      </w:divBdr>
    </w:div>
    <w:div w:id="1928415783">
      <w:bodyDiv w:val="1"/>
      <w:marLeft w:val="0"/>
      <w:marRight w:val="0"/>
      <w:marTop w:val="0"/>
      <w:marBottom w:val="0"/>
      <w:divBdr>
        <w:top w:val="none" w:sz="0" w:space="0" w:color="auto"/>
        <w:left w:val="none" w:sz="0" w:space="0" w:color="auto"/>
        <w:bottom w:val="none" w:sz="0" w:space="0" w:color="auto"/>
        <w:right w:val="none" w:sz="0" w:space="0" w:color="auto"/>
      </w:divBdr>
      <w:divsChild>
        <w:div w:id="807363267">
          <w:marLeft w:val="0"/>
          <w:marRight w:val="0"/>
          <w:marTop w:val="0"/>
          <w:marBottom w:val="0"/>
          <w:divBdr>
            <w:top w:val="none" w:sz="0" w:space="0" w:color="auto"/>
            <w:left w:val="none" w:sz="0" w:space="0" w:color="auto"/>
            <w:bottom w:val="none" w:sz="0" w:space="0" w:color="auto"/>
            <w:right w:val="none" w:sz="0" w:space="0" w:color="auto"/>
          </w:divBdr>
          <w:divsChild>
            <w:div w:id="1967394178">
              <w:marLeft w:val="0"/>
              <w:marRight w:val="0"/>
              <w:marTop w:val="0"/>
              <w:marBottom w:val="0"/>
              <w:divBdr>
                <w:top w:val="none" w:sz="0" w:space="0" w:color="auto"/>
                <w:left w:val="none" w:sz="0" w:space="0" w:color="auto"/>
                <w:bottom w:val="none" w:sz="0" w:space="0" w:color="auto"/>
                <w:right w:val="none" w:sz="0" w:space="0" w:color="auto"/>
              </w:divBdr>
              <w:divsChild>
                <w:div w:id="1798329109">
                  <w:marLeft w:val="0"/>
                  <w:marRight w:val="0"/>
                  <w:marTop w:val="0"/>
                  <w:marBottom w:val="0"/>
                  <w:divBdr>
                    <w:top w:val="none" w:sz="0" w:space="0" w:color="auto"/>
                    <w:left w:val="none" w:sz="0" w:space="0" w:color="auto"/>
                    <w:bottom w:val="none" w:sz="0" w:space="0" w:color="auto"/>
                    <w:right w:val="none" w:sz="0" w:space="0" w:color="auto"/>
                  </w:divBdr>
                  <w:divsChild>
                    <w:div w:id="1446733727">
                      <w:marLeft w:val="0"/>
                      <w:marRight w:val="0"/>
                      <w:marTop w:val="0"/>
                      <w:marBottom w:val="0"/>
                      <w:divBdr>
                        <w:top w:val="none" w:sz="0" w:space="0" w:color="auto"/>
                        <w:left w:val="none" w:sz="0" w:space="0" w:color="auto"/>
                        <w:bottom w:val="none" w:sz="0" w:space="0" w:color="auto"/>
                        <w:right w:val="none" w:sz="0" w:space="0" w:color="auto"/>
                      </w:divBdr>
                      <w:divsChild>
                        <w:div w:id="1631668418">
                          <w:marLeft w:val="0"/>
                          <w:marRight w:val="0"/>
                          <w:marTop w:val="0"/>
                          <w:marBottom w:val="0"/>
                          <w:divBdr>
                            <w:top w:val="none" w:sz="0" w:space="0" w:color="auto"/>
                            <w:left w:val="none" w:sz="0" w:space="0" w:color="auto"/>
                            <w:bottom w:val="none" w:sz="0" w:space="0" w:color="auto"/>
                            <w:right w:val="none" w:sz="0" w:space="0" w:color="auto"/>
                          </w:divBdr>
                          <w:divsChild>
                            <w:div w:id="153304184">
                              <w:marLeft w:val="0"/>
                              <w:marRight w:val="0"/>
                              <w:marTop w:val="0"/>
                              <w:marBottom w:val="0"/>
                              <w:divBdr>
                                <w:top w:val="none" w:sz="0" w:space="0" w:color="auto"/>
                                <w:left w:val="none" w:sz="0" w:space="0" w:color="auto"/>
                                <w:bottom w:val="none" w:sz="0" w:space="0" w:color="auto"/>
                                <w:right w:val="none" w:sz="0" w:space="0" w:color="auto"/>
                              </w:divBdr>
                              <w:divsChild>
                                <w:div w:id="1530946380">
                                  <w:marLeft w:val="0"/>
                                  <w:marRight w:val="0"/>
                                  <w:marTop w:val="0"/>
                                  <w:marBottom w:val="0"/>
                                  <w:divBdr>
                                    <w:top w:val="none" w:sz="0" w:space="0" w:color="auto"/>
                                    <w:left w:val="none" w:sz="0" w:space="0" w:color="auto"/>
                                    <w:bottom w:val="none" w:sz="0" w:space="0" w:color="auto"/>
                                    <w:right w:val="none" w:sz="0" w:space="0" w:color="auto"/>
                                  </w:divBdr>
                                  <w:divsChild>
                                    <w:div w:id="1460226642">
                                      <w:marLeft w:val="0"/>
                                      <w:marRight w:val="0"/>
                                      <w:marTop w:val="0"/>
                                      <w:marBottom w:val="0"/>
                                      <w:divBdr>
                                        <w:top w:val="none" w:sz="0" w:space="0" w:color="auto"/>
                                        <w:left w:val="none" w:sz="0" w:space="0" w:color="auto"/>
                                        <w:bottom w:val="none" w:sz="0" w:space="0" w:color="auto"/>
                                        <w:right w:val="none" w:sz="0" w:space="0" w:color="auto"/>
                                      </w:divBdr>
                                      <w:divsChild>
                                        <w:div w:id="989401462">
                                          <w:marLeft w:val="0"/>
                                          <w:marRight w:val="0"/>
                                          <w:marTop w:val="0"/>
                                          <w:marBottom w:val="0"/>
                                          <w:divBdr>
                                            <w:top w:val="none" w:sz="0" w:space="0" w:color="auto"/>
                                            <w:left w:val="none" w:sz="0" w:space="0" w:color="auto"/>
                                            <w:bottom w:val="none" w:sz="0" w:space="0" w:color="auto"/>
                                            <w:right w:val="none" w:sz="0" w:space="0" w:color="auto"/>
                                          </w:divBdr>
                                          <w:divsChild>
                                            <w:div w:id="1212310243">
                                              <w:marLeft w:val="0"/>
                                              <w:marRight w:val="0"/>
                                              <w:marTop w:val="0"/>
                                              <w:marBottom w:val="0"/>
                                              <w:divBdr>
                                                <w:top w:val="none" w:sz="0" w:space="0" w:color="auto"/>
                                                <w:left w:val="none" w:sz="0" w:space="0" w:color="auto"/>
                                                <w:bottom w:val="none" w:sz="0" w:space="0" w:color="auto"/>
                                                <w:right w:val="none" w:sz="0" w:space="0" w:color="auto"/>
                                              </w:divBdr>
                                              <w:divsChild>
                                                <w:div w:id="652294800">
                                                  <w:marLeft w:val="0"/>
                                                  <w:marRight w:val="0"/>
                                                  <w:marTop w:val="0"/>
                                                  <w:marBottom w:val="0"/>
                                                  <w:divBdr>
                                                    <w:top w:val="none" w:sz="0" w:space="0" w:color="auto"/>
                                                    <w:left w:val="none" w:sz="0" w:space="0" w:color="auto"/>
                                                    <w:bottom w:val="none" w:sz="0" w:space="0" w:color="auto"/>
                                                    <w:right w:val="none" w:sz="0" w:space="0" w:color="auto"/>
                                                  </w:divBdr>
                                                  <w:divsChild>
                                                    <w:div w:id="518854145">
                                                      <w:marLeft w:val="0"/>
                                                      <w:marRight w:val="0"/>
                                                      <w:marTop w:val="0"/>
                                                      <w:marBottom w:val="0"/>
                                                      <w:divBdr>
                                                        <w:top w:val="none" w:sz="0" w:space="0" w:color="auto"/>
                                                        <w:left w:val="none" w:sz="0" w:space="0" w:color="auto"/>
                                                        <w:bottom w:val="none" w:sz="0" w:space="0" w:color="auto"/>
                                                        <w:right w:val="none" w:sz="0" w:space="0" w:color="auto"/>
                                                      </w:divBdr>
                                                      <w:divsChild>
                                                        <w:div w:id="986398308">
                                                          <w:marLeft w:val="0"/>
                                                          <w:marRight w:val="0"/>
                                                          <w:marTop w:val="0"/>
                                                          <w:marBottom w:val="0"/>
                                                          <w:divBdr>
                                                            <w:top w:val="none" w:sz="0" w:space="0" w:color="auto"/>
                                                            <w:left w:val="none" w:sz="0" w:space="0" w:color="auto"/>
                                                            <w:bottom w:val="none" w:sz="0" w:space="0" w:color="auto"/>
                                                            <w:right w:val="none" w:sz="0" w:space="0" w:color="auto"/>
                                                          </w:divBdr>
                                                          <w:divsChild>
                                                            <w:div w:id="3117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2757069">
      <w:bodyDiv w:val="1"/>
      <w:marLeft w:val="0"/>
      <w:marRight w:val="0"/>
      <w:marTop w:val="0"/>
      <w:marBottom w:val="0"/>
      <w:divBdr>
        <w:top w:val="none" w:sz="0" w:space="0" w:color="auto"/>
        <w:left w:val="none" w:sz="0" w:space="0" w:color="auto"/>
        <w:bottom w:val="none" w:sz="0" w:space="0" w:color="auto"/>
        <w:right w:val="none" w:sz="0" w:space="0" w:color="auto"/>
      </w:divBdr>
    </w:div>
    <w:div w:id="1967732040">
      <w:bodyDiv w:val="1"/>
      <w:marLeft w:val="0"/>
      <w:marRight w:val="0"/>
      <w:marTop w:val="0"/>
      <w:marBottom w:val="0"/>
      <w:divBdr>
        <w:top w:val="none" w:sz="0" w:space="0" w:color="auto"/>
        <w:left w:val="none" w:sz="0" w:space="0" w:color="auto"/>
        <w:bottom w:val="none" w:sz="0" w:space="0" w:color="auto"/>
        <w:right w:val="none" w:sz="0" w:space="0" w:color="auto"/>
      </w:divBdr>
      <w:divsChild>
        <w:div w:id="1740439765">
          <w:marLeft w:val="0"/>
          <w:marRight w:val="0"/>
          <w:marTop w:val="0"/>
          <w:marBottom w:val="0"/>
          <w:divBdr>
            <w:top w:val="none" w:sz="0" w:space="0" w:color="auto"/>
            <w:left w:val="none" w:sz="0" w:space="0" w:color="auto"/>
            <w:bottom w:val="none" w:sz="0" w:space="0" w:color="auto"/>
            <w:right w:val="none" w:sz="0" w:space="0" w:color="auto"/>
          </w:divBdr>
          <w:divsChild>
            <w:div w:id="1856723320">
              <w:marLeft w:val="0"/>
              <w:marRight w:val="0"/>
              <w:marTop w:val="0"/>
              <w:marBottom w:val="0"/>
              <w:divBdr>
                <w:top w:val="none" w:sz="0" w:space="0" w:color="auto"/>
                <w:left w:val="none" w:sz="0" w:space="0" w:color="auto"/>
                <w:bottom w:val="none" w:sz="0" w:space="0" w:color="auto"/>
                <w:right w:val="none" w:sz="0" w:space="0" w:color="auto"/>
              </w:divBdr>
              <w:divsChild>
                <w:div w:id="1146970412">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0"/>
                      <w:divBdr>
                        <w:top w:val="none" w:sz="0" w:space="0" w:color="auto"/>
                        <w:left w:val="none" w:sz="0" w:space="0" w:color="auto"/>
                        <w:bottom w:val="none" w:sz="0" w:space="0" w:color="auto"/>
                        <w:right w:val="none" w:sz="0" w:space="0" w:color="auto"/>
                      </w:divBdr>
                      <w:divsChild>
                        <w:div w:id="216935534">
                          <w:marLeft w:val="0"/>
                          <w:marRight w:val="0"/>
                          <w:marTop w:val="0"/>
                          <w:marBottom w:val="0"/>
                          <w:divBdr>
                            <w:top w:val="none" w:sz="0" w:space="0" w:color="auto"/>
                            <w:left w:val="none" w:sz="0" w:space="0" w:color="auto"/>
                            <w:bottom w:val="none" w:sz="0" w:space="0" w:color="auto"/>
                            <w:right w:val="none" w:sz="0" w:space="0" w:color="auto"/>
                          </w:divBdr>
                          <w:divsChild>
                            <w:div w:id="1976715773">
                              <w:marLeft w:val="0"/>
                              <w:marRight w:val="0"/>
                              <w:marTop w:val="0"/>
                              <w:marBottom w:val="0"/>
                              <w:divBdr>
                                <w:top w:val="none" w:sz="0" w:space="0" w:color="auto"/>
                                <w:left w:val="none" w:sz="0" w:space="0" w:color="auto"/>
                                <w:bottom w:val="none" w:sz="0" w:space="0" w:color="auto"/>
                                <w:right w:val="none" w:sz="0" w:space="0" w:color="auto"/>
                              </w:divBdr>
                              <w:divsChild>
                                <w:div w:id="761879571">
                                  <w:marLeft w:val="0"/>
                                  <w:marRight w:val="0"/>
                                  <w:marTop w:val="0"/>
                                  <w:marBottom w:val="0"/>
                                  <w:divBdr>
                                    <w:top w:val="none" w:sz="0" w:space="0" w:color="auto"/>
                                    <w:left w:val="none" w:sz="0" w:space="0" w:color="auto"/>
                                    <w:bottom w:val="none" w:sz="0" w:space="0" w:color="auto"/>
                                    <w:right w:val="none" w:sz="0" w:space="0" w:color="auto"/>
                                  </w:divBdr>
                                  <w:divsChild>
                                    <w:div w:id="1512061010">
                                      <w:marLeft w:val="0"/>
                                      <w:marRight w:val="0"/>
                                      <w:marTop w:val="0"/>
                                      <w:marBottom w:val="0"/>
                                      <w:divBdr>
                                        <w:top w:val="none" w:sz="0" w:space="0" w:color="auto"/>
                                        <w:left w:val="none" w:sz="0" w:space="0" w:color="auto"/>
                                        <w:bottom w:val="none" w:sz="0" w:space="0" w:color="auto"/>
                                        <w:right w:val="none" w:sz="0" w:space="0" w:color="auto"/>
                                      </w:divBdr>
                                      <w:divsChild>
                                        <w:div w:id="1708070295">
                                          <w:marLeft w:val="0"/>
                                          <w:marRight w:val="0"/>
                                          <w:marTop w:val="0"/>
                                          <w:marBottom w:val="0"/>
                                          <w:divBdr>
                                            <w:top w:val="none" w:sz="0" w:space="0" w:color="auto"/>
                                            <w:left w:val="none" w:sz="0" w:space="0" w:color="auto"/>
                                            <w:bottom w:val="none" w:sz="0" w:space="0" w:color="auto"/>
                                            <w:right w:val="none" w:sz="0" w:space="0" w:color="auto"/>
                                          </w:divBdr>
                                          <w:divsChild>
                                            <w:div w:id="293102101">
                                              <w:marLeft w:val="0"/>
                                              <w:marRight w:val="0"/>
                                              <w:marTop w:val="0"/>
                                              <w:marBottom w:val="0"/>
                                              <w:divBdr>
                                                <w:top w:val="none" w:sz="0" w:space="0" w:color="auto"/>
                                                <w:left w:val="none" w:sz="0" w:space="0" w:color="auto"/>
                                                <w:bottom w:val="none" w:sz="0" w:space="0" w:color="auto"/>
                                                <w:right w:val="none" w:sz="0" w:space="0" w:color="auto"/>
                                              </w:divBdr>
                                              <w:divsChild>
                                                <w:div w:id="823282033">
                                                  <w:marLeft w:val="0"/>
                                                  <w:marRight w:val="0"/>
                                                  <w:marTop w:val="0"/>
                                                  <w:marBottom w:val="0"/>
                                                  <w:divBdr>
                                                    <w:top w:val="none" w:sz="0" w:space="0" w:color="auto"/>
                                                    <w:left w:val="none" w:sz="0" w:space="0" w:color="auto"/>
                                                    <w:bottom w:val="none" w:sz="0" w:space="0" w:color="auto"/>
                                                    <w:right w:val="none" w:sz="0" w:space="0" w:color="auto"/>
                                                  </w:divBdr>
                                                  <w:divsChild>
                                                    <w:div w:id="1881357224">
                                                      <w:marLeft w:val="0"/>
                                                      <w:marRight w:val="0"/>
                                                      <w:marTop w:val="0"/>
                                                      <w:marBottom w:val="0"/>
                                                      <w:divBdr>
                                                        <w:top w:val="none" w:sz="0" w:space="0" w:color="auto"/>
                                                        <w:left w:val="none" w:sz="0" w:space="0" w:color="auto"/>
                                                        <w:bottom w:val="none" w:sz="0" w:space="0" w:color="auto"/>
                                                        <w:right w:val="none" w:sz="0" w:space="0" w:color="auto"/>
                                                      </w:divBdr>
                                                      <w:divsChild>
                                                        <w:div w:id="2090037105">
                                                          <w:marLeft w:val="0"/>
                                                          <w:marRight w:val="0"/>
                                                          <w:marTop w:val="0"/>
                                                          <w:marBottom w:val="0"/>
                                                          <w:divBdr>
                                                            <w:top w:val="none" w:sz="0" w:space="0" w:color="auto"/>
                                                            <w:left w:val="none" w:sz="0" w:space="0" w:color="auto"/>
                                                            <w:bottom w:val="none" w:sz="0" w:space="0" w:color="auto"/>
                                                            <w:right w:val="none" w:sz="0" w:space="0" w:color="auto"/>
                                                          </w:divBdr>
                                                          <w:divsChild>
                                                            <w:div w:id="14109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3053690">
      <w:bodyDiv w:val="1"/>
      <w:marLeft w:val="0"/>
      <w:marRight w:val="0"/>
      <w:marTop w:val="0"/>
      <w:marBottom w:val="0"/>
      <w:divBdr>
        <w:top w:val="none" w:sz="0" w:space="0" w:color="auto"/>
        <w:left w:val="none" w:sz="0" w:space="0" w:color="auto"/>
        <w:bottom w:val="none" w:sz="0" w:space="0" w:color="auto"/>
        <w:right w:val="none" w:sz="0" w:space="0" w:color="auto"/>
      </w:divBdr>
    </w:div>
    <w:div w:id="2014066086">
      <w:bodyDiv w:val="1"/>
      <w:marLeft w:val="0"/>
      <w:marRight w:val="0"/>
      <w:marTop w:val="0"/>
      <w:marBottom w:val="0"/>
      <w:divBdr>
        <w:top w:val="none" w:sz="0" w:space="0" w:color="auto"/>
        <w:left w:val="none" w:sz="0" w:space="0" w:color="auto"/>
        <w:bottom w:val="none" w:sz="0" w:space="0" w:color="auto"/>
        <w:right w:val="none" w:sz="0" w:space="0" w:color="auto"/>
      </w:divBdr>
    </w:div>
    <w:div w:id="206425469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2220795">
          <w:marLeft w:val="0"/>
          <w:marRight w:val="0"/>
          <w:marTop w:val="0"/>
          <w:marBottom w:val="0"/>
          <w:divBdr>
            <w:top w:val="none" w:sz="0" w:space="0" w:color="auto"/>
            <w:left w:val="none" w:sz="0" w:space="0" w:color="auto"/>
            <w:bottom w:val="none" w:sz="0" w:space="0" w:color="auto"/>
            <w:right w:val="none" w:sz="0" w:space="0" w:color="auto"/>
          </w:divBdr>
          <w:divsChild>
            <w:div w:id="19198256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7811380">
                  <w:marLeft w:val="0"/>
                  <w:marRight w:val="0"/>
                  <w:marTop w:val="0"/>
                  <w:marBottom w:val="0"/>
                  <w:divBdr>
                    <w:top w:val="none" w:sz="0" w:space="0" w:color="auto"/>
                    <w:left w:val="none" w:sz="0" w:space="0" w:color="auto"/>
                    <w:bottom w:val="none" w:sz="0" w:space="0" w:color="auto"/>
                    <w:right w:val="none" w:sz="0" w:space="0" w:color="auto"/>
                  </w:divBdr>
                </w:div>
                <w:div w:id="2079134620">
                  <w:marLeft w:val="0"/>
                  <w:marRight w:val="0"/>
                  <w:marTop w:val="0"/>
                  <w:marBottom w:val="0"/>
                  <w:divBdr>
                    <w:top w:val="none" w:sz="0" w:space="0" w:color="auto"/>
                    <w:left w:val="none" w:sz="0" w:space="0" w:color="auto"/>
                    <w:bottom w:val="none" w:sz="0" w:space="0" w:color="auto"/>
                    <w:right w:val="none" w:sz="0" w:space="0" w:color="auto"/>
                  </w:divBdr>
                </w:div>
                <w:div w:id="1207180984">
                  <w:marLeft w:val="0"/>
                  <w:marRight w:val="0"/>
                  <w:marTop w:val="0"/>
                  <w:marBottom w:val="0"/>
                  <w:divBdr>
                    <w:top w:val="none" w:sz="0" w:space="0" w:color="auto"/>
                    <w:left w:val="none" w:sz="0" w:space="0" w:color="auto"/>
                    <w:bottom w:val="none" w:sz="0" w:space="0" w:color="auto"/>
                    <w:right w:val="none" w:sz="0" w:space="0" w:color="auto"/>
                  </w:divBdr>
                </w:div>
                <w:div w:id="371004091">
                  <w:marLeft w:val="0"/>
                  <w:marRight w:val="0"/>
                  <w:marTop w:val="0"/>
                  <w:marBottom w:val="0"/>
                  <w:divBdr>
                    <w:top w:val="none" w:sz="0" w:space="0" w:color="auto"/>
                    <w:left w:val="none" w:sz="0" w:space="0" w:color="auto"/>
                    <w:bottom w:val="none" w:sz="0" w:space="0" w:color="auto"/>
                    <w:right w:val="none" w:sz="0" w:space="0" w:color="auto"/>
                  </w:divBdr>
                </w:div>
                <w:div w:id="403455214">
                  <w:marLeft w:val="0"/>
                  <w:marRight w:val="0"/>
                  <w:marTop w:val="0"/>
                  <w:marBottom w:val="0"/>
                  <w:divBdr>
                    <w:top w:val="none" w:sz="0" w:space="0" w:color="auto"/>
                    <w:left w:val="none" w:sz="0" w:space="0" w:color="auto"/>
                    <w:bottom w:val="none" w:sz="0" w:space="0" w:color="auto"/>
                    <w:right w:val="none" w:sz="0" w:space="0" w:color="auto"/>
                  </w:divBdr>
                </w:div>
                <w:div w:id="557667952">
                  <w:marLeft w:val="0"/>
                  <w:marRight w:val="0"/>
                  <w:marTop w:val="0"/>
                  <w:marBottom w:val="0"/>
                  <w:divBdr>
                    <w:top w:val="none" w:sz="0" w:space="0" w:color="auto"/>
                    <w:left w:val="none" w:sz="0" w:space="0" w:color="auto"/>
                    <w:bottom w:val="none" w:sz="0" w:space="0" w:color="auto"/>
                    <w:right w:val="none" w:sz="0" w:space="0" w:color="auto"/>
                  </w:divBdr>
                </w:div>
                <w:div w:id="453907617">
                  <w:marLeft w:val="0"/>
                  <w:marRight w:val="0"/>
                  <w:marTop w:val="0"/>
                  <w:marBottom w:val="0"/>
                  <w:divBdr>
                    <w:top w:val="none" w:sz="0" w:space="0" w:color="auto"/>
                    <w:left w:val="none" w:sz="0" w:space="0" w:color="auto"/>
                    <w:bottom w:val="none" w:sz="0" w:space="0" w:color="auto"/>
                    <w:right w:val="none" w:sz="0" w:space="0" w:color="auto"/>
                  </w:divBdr>
                </w:div>
                <w:div w:id="21421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2.xml"/><Relationship Id="rId7" Type="http://schemas.openxmlformats.org/officeDocument/2006/relationships/webSettings" Target="web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2.xml"/><Relationship Id="rId45" Type="http://schemas.openxmlformats.org/officeDocument/2006/relationships/fontTable" Target="fontTable.xml"/><Relationship Id="rId7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3.xml"/><Relationship Id="rId73"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eader" Target="header3.xml"/><Relationship Id="rId8" Type="http://schemas.openxmlformats.org/officeDocument/2006/relationships/footnotes" Target="footnotes.xml"/><Relationship Id="rId72"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unstats.un.org/unsd/cr/registry/regcst.asp?Cl=17"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E380E3-2C3D-4C07-AB68-3C6817E737B3}"/>
</file>

<file path=customXml/itemProps2.xml><?xml version="1.0" encoding="utf-8"?>
<ds:datastoreItem xmlns:ds="http://schemas.openxmlformats.org/officeDocument/2006/customXml" ds:itemID="{F1421666-461F-4A51-B9E5-A7D179490555}"/>
</file>

<file path=customXml/itemProps3.xml><?xml version="1.0" encoding="utf-8"?>
<ds:datastoreItem xmlns:ds="http://schemas.openxmlformats.org/officeDocument/2006/customXml" ds:itemID="{4B9FB5AA-6220-42DD-89F8-5627B845F69B}"/>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B9E7779C-B658-491F-A256-DDB909A33F05}"/>
</file>

<file path=docProps/app.xml><?xml version="1.0" encoding="utf-8"?>
<Properties xmlns="http://schemas.openxmlformats.org/officeDocument/2006/extended-properties" xmlns:vt="http://schemas.openxmlformats.org/officeDocument/2006/docPropsVTypes">
  <Template>6EF611DC</Template>
  <TotalTime>0</TotalTime>
  <Pages>55</Pages>
  <Words>12669</Words>
  <Characters>70294</Characters>
  <Application>Microsoft Office Word</Application>
  <DocSecurity>0</DocSecurity>
  <Lines>1690</Lines>
  <Paragraphs>827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2015-08-20T01:57:00Z</dcterms:created>
  <dcterms:modified xsi:type="dcterms:W3CDTF">2015-08-20T04:03:00Z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963400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