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01250574"/>
        <w:docPartObj>
          <w:docPartGallery w:val="Cover Pages"/>
          <w:docPartUnique/>
        </w:docPartObj>
      </w:sdtPr>
      <w:sdtContent>
        <w:p w:rsidR="00092F84" w:rsidRPr="00335D2D" w:rsidRDefault="00D418B0">
          <w:r>
            <w:rPr>
              <w:noProof/>
              <w:lang w:eastAsia="en-AU"/>
            </w:rPr>
            <mc:AlternateContent>
              <mc:Choice Requires="wps">
                <w:drawing>
                  <wp:anchor distT="0" distB="0" distL="114300" distR="114300" simplePos="0" relativeHeight="251659264" behindDoc="0" locked="0" layoutInCell="1" allowOverlap="1" wp14:anchorId="328ADFAA" wp14:editId="14B3428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6525" cy="1026160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10261600"/>
                            </a:xfrm>
                            <a:prstGeom prst="rect">
                              <a:avLst/>
                            </a:prstGeom>
                            <a:solidFill>
                              <a:srgbClr val="E2C4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DD2" w:rsidRPr="001D5606" w:rsidRDefault="00393DD2" w:rsidP="00092F84">
                                <w:pPr>
                                  <w:pStyle w:val="Title"/>
                                  <w:pBdr>
                                    <w:bottom w:val="none" w:sz="0" w:space="0" w:color="auto"/>
                                  </w:pBdr>
                                  <w:jc w:val="right"/>
                                  <w:rPr>
                                    <w:caps/>
                                    <w:color w:val="4F81BD" w:themeColor="accent1"/>
                                    <w:sz w:val="40"/>
                                    <w:szCs w:val="72"/>
                                  </w:rPr>
                                </w:pPr>
                                <w:r w:rsidRPr="001D5606">
                                  <w:rPr>
                                    <w:caps/>
                                    <w:color w:val="4F81BD" w:themeColor="accent1"/>
                                    <w:sz w:val="40"/>
                                    <w:szCs w:val="72"/>
                                    <w:lang w:val="en-AU"/>
                                  </w:rPr>
                                  <w:t xml:space="preserve">REPORT 2: </w:t>
                                </w:r>
                                <w:r w:rsidRPr="001D5606">
                                  <w:rPr>
                                    <w:caps/>
                                    <w:color w:val="4F81BD" w:themeColor="accent1"/>
                                    <w:sz w:val="40"/>
                                    <w:szCs w:val="72"/>
                                  </w:rPr>
                                  <w:t xml:space="preserve">2015 </w:t>
                                </w:r>
                                <w:r w:rsidRPr="001D5606">
                                  <w:rPr>
                                    <w:caps/>
                                    <w:color w:val="4F81BD" w:themeColor="accent1"/>
                                    <w:sz w:val="40"/>
                                    <w:szCs w:val="72"/>
                                    <w:lang w:val="en-AU"/>
                                  </w:rPr>
                                  <w:t>Economic modelling of Australian action under a new global climate change agreement</w:t>
                                </w:r>
                              </w:p>
                              <w:p w:rsidR="00393DD2" w:rsidRPr="001D5606" w:rsidRDefault="00393DD2">
                                <w:pPr>
                                  <w:spacing w:before="240"/>
                                  <w:ind w:left="720"/>
                                  <w:jc w:val="right"/>
                                  <w:rPr>
                                    <w:color w:val="4F81BD" w:themeColor="accent1"/>
                                  </w:rPr>
                                </w:pPr>
                              </w:p>
                              <w:p w:rsidR="00393DD2" w:rsidRPr="001D5606" w:rsidRDefault="00393DD2" w:rsidP="00092F84">
                                <w:pPr>
                                  <w:spacing w:before="240"/>
                                  <w:ind w:left="1008"/>
                                  <w:jc w:val="right"/>
                                  <w:rPr>
                                    <w:color w:val="4F81BD" w:themeColor="accent1"/>
                                    <w:sz w:val="28"/>
                                    <w:szCs w:val="21"/>
                                  </w:rPr>
                                </w:pPr>
                                <w:r w:rsidRPr="001D5606">
                                  <w:rPr>
                                    <w:color w:val="4F81BD" w:themeColor="accent1"/>
                                    <w:sz w:val="28"/>
                                    <w:szCs w:val="21"/>
                                  </w:rPr>
                                  <w:t xml:space="preserve">McKibbin Software Group </w:t>
                                </w:r>
                              </w:p>
                              <w:p w:rsidR="00393DD2" w:rsidRPr="001D5606" w:rsidRDefault="00393DD2" w:rsidP="00092F84">
                                <w:pPr>
                                  <w:spacing w:before="240"/>
                                  <w:ind w:left="1008"/>
                                  <w:jc w:val="right"/>
                                  <w:rPr>
                                    <w:b/>
                                    <w:color w:val="4F81BD" w:themeColor="accent1"/>
                                    <w:sz w:val="36"/>
                                  </w:rPr>
                                </w:pPr>
                                <w:r>
                                  <w:rPr>
                                    <w:b/>
                                    <w:color w:val="4F81BD" w:themeColor="accent1"/>
                                    <w:sz w:val="28"/>
                                    <w:szCs w:val="21"/>
                                  </w:rPr>
                                  <w:t>20</w:t>
                                </w:r>
                                <w:r w:rsidRPr="001D5606">
                                  <w:rPr>
                                    <w:b/>
                                    <w:color w:val="4F81BD" w:themeColor="accent1"/>
                                    <w:sz w:val="28"/>
                                    <w:szCs w:val="21"/>
                                  </w:rPr>
                                  <w:t xml:space="preserve"> August 2015</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10.75pt;height:808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" fillcolor="#e2c4a6" stroked="f" strokeweight="2pt">
                    <v:path arrowok="t"/>
                    <v:textbox inset="21.6pt,1in,21.6pt">
                      <w:txbxContent>
                        <w:p w:rsidR="00393DD2" w:rsidRPr="001D5606" w:rsidRDefault="00393DD2" w:rsidP="00092F84">
                          <w:pPr>
                            <w:pStyle w:val="Title"/>
                            <w:pBdr>
                              <w:bottom w:val="none" w:sz="0" w:space="0" w:color="auto"/>
                            </w:pBdr>
                            <w:jc w:val="right"/>
                            <w:rPr>
                              <w:caps/>
                              <w:color w:val="4F81BD" w:themeColor="accent1"/>
                              <w:sz w:val="40"/>
                              <w:szCs w:val="72"/>
                            </w:rPr>
                          </w:pPr>
                          <w:r w:rsidRPr="001D5606">
                            <w:rPr>
                              <w:caps/>
                              <w:color w:val="4F81BD" w:themeColor="accent1"/>
                              <w:sz w:val="40"/>
                              <w:szCs w:val="72"/>
                              <w:lang w:val="en-AU"/>
                            </w:rPr>
                            <w:t xml:space="preserve">REPORT 2: </w:t>
                          </w:r>
                          <w:r w:rsidRPr="001D5606">
                            <w:rPr>
                              <w:caps/>
                              <w:color w:val="4F81BD" w:themeColor="accent1"/>
                              <w:sz w:val="40"/>
                              <w:szCs w:val="72"/>
                            </w:rPr>
                            <w:t xml:space="preserve">2015 </w:t>
                          </w:r>
                          <w:r w:rsidRPr="001D5606">
                            <w:rPr>
                              <w:caps/>
                              <w:color w:val="4F81BD" w:themeColor="accent1"/>
                              <w:sz w:val="40"/>
                              <w:szCs w:val="72"/>
                              <w:lang w:val="en-AU"/>
                            </w:rPr>
                            <w:t>Economic modelling of Australian action under a new global climate change agreement</w:t>
                          </w:r>
                        </w:p>
                        <w:p w:rsidR="00393DD2" w:rsidRPr="001D5606" w:rsidRDefault="00393DD2">
                          <w:pPr>
                            <w:spacing w:before="240"/>
                            <w:ind w:left="720"/>
                            <w:jc w:val="right"/>
                            <w:rPr>
                              <w:color w:val="4F81BD" w:themeColor="accent1"/>
                            </w:rPr>
                          </w:pPr>
                        </w:p>
                        <w:p w:rsidR="00393DD2" w:rsidRPr="001D5606" w:rsidRDefault="00393DD2" w:rsidP="00092F84">
                          <w:pPr>
                            <w:spacing w:before="240"/>
                            <w:ind w:left="1008"/>
                            <w:jc w:val="right"/>
                            <w:rPr>
                              <w:color w:val="4F81BD" w:themeColor="accent1"/>
                              <w:sz w:val="28"/>
                              <w:szCs w:val="21"/>
                            </w:rPr>
                          </w:pPr>
                          <w:r w:rsidRPr="001D5606">
                            <w:rPr>
                              <w:color w:val="4F81BD" w:themeColor="accent1"/>
                              <w:sz w:val="28"/>
                              <w:szCs w:val="21"/>
                            </w:rPr>
                            <w:t xml:space="preserve">McKibbin Software Group </w:t>
                          </w:r>
                        </w:p>
                        <w:p w:rsidR="00393DD2" w:rsidRPr="001D5606" w:rsidRDefault="00393DD2" w:rsidP="00092F84">
                          <w:pPr>
                            <w:spacing w:before="240"/>
                            <w:ind w:left="1008"/>
                            <w:jc w:val="right"/>
                            <w:rPr>
                              <w:b/>
                              <w:color w:val="4F81BD" w:themeColor="accent1"/>
                              <w:sz w:val="36"/>
                            </w:rPr>
                          </w:pPr>
                          <w:r>
                            <w:rPr>
                              <w:b/>
                              <w:color w:val="4F81BD" w:themeColor="accent1"/>
                              <w:sz w:val="28"/>
                              <w:szCs w:val="21"/>
                            </w:rPr>
                            <w:t>20</w:t>
                          </w:r>
                          <w:r w:rsidRPr="001D5606">
                            <w:rPr>
                              <w:b/>
                              <w:color w:val="4F81BD" w:themeColor="accent1"/>
                              <w:sz w:val="28"/>
                              <w:szCs w:val="21"/>
                            </w:rPr>
                            <w:t xml:space="preserve"> August 2015</w:t>
                          </w:r>
                        </w:p>
                      </w:txbxContent>
                    </v:textbox>
                    <w10:wrap anchorx="page" anchory="page"/>
                  </v:rect>
                </w:pict>
              </mc:Fallback>
            </mc:AlternateContent>
          </w:r>
          <w:r>
            <w:rPr>
              <w:noProof/>
              <w:lang w:eastAsia="en-AU"/>
            </w:rPr>
            <mc:AlternateContent>
              <mc:Choice Requires="wps">
                <w:drawing>
                  <wp:anchor distT="0" distB="0" distL="114300" distR="114300" simplePos="0" relativeHeight="251660288" behindDoc="0" locked="0" layoutInCell="1" allowOverlap="1" wp14:anchorId="3C0B9FEA" wp14:editId="2502A54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29435" cy="1026160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1600"/>
                            </a:xfrm>
                            <a:prstGeom prst="rect">
                              <a:avLst/>
                            </a:prstGeom>
                            <a:solidFill>
                              <a:srgbClr val="66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DD2" w:rsidRPr="001D5606" w:rsidRDefault="00393DD2">
                                <w:pPr>
                                  <w:pStyle w:val="Subtitle"/>
                                  <w:rPr>
                                    <w:b/>
                                    <w:sz w:val="40"/>
                                  </w:rPr>
                                </w:pPr>
                                <w:r w:rsidRPr="001D5606">
                                  <w:rPr>
                                    <w:b/>
                                    <w:sz w:val="40"/>
                                    <w:lang w:val="en-AU"/>
                                  </w:rPr>
                                  <w:t>FINAL REPORT</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4.05pt;height:808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" fillcolor="#630" stroked="f" strokeweight="2pt">
                    <v:path arrowok="t"/>
                    <v:textbox inset="14.4pt,,14.4pt">
                      <w:txbxContent>
                        <w:p w:rsidR="00393DD2" w:rsidRPr="001D5606" w:rsidRDefault="00393DD2">
                          <w:pPr>
                            <w:pStyle w:val="Subtitle"/>
                            <w:rPr>
                              <w:b/>
                              <w:sz w:val="40"/>
                            </w:rPr>
                          </w:pPr>
                          <w:r w:rsidRPr="001D5606">
                            <w:rPr>
                              <w:b/>
                              <w:sz w:val="40"/>
                              <w:lang w:val="en-AU"/>
                            </w:rPr>
                            <w:t>FINAL REPORT</w:t>
                          </w:r>
                        </w:p>
                      </w:txbxContent>
                    </v:textbox>
                    <w10:wrap anchorx="page" anchory="page"/>
                  </v:rect>
                </w:pict>
              </mc:Fallback>
            </mc:AlternateContent>
          </w:r>
        </w:p>
        <w:p w:rsidR="00092F84" w:rsidRPr="00335D2D" w:rsidRDefault="00092F84"/>
        <w:p w:rsidR="00092F84" w:rsidRPr="00335D2D" w:rsidRDefault="00092F84">
          <w:r w:rsidRPr="00335D2D">
            <w:br w:type="page"/>
          </w:r>
        </w:p>
      </w:sdtContent>
    </w:sdt>
    <w:p w:rsidR="00841F6C" w:rsidRDefault="00543863" w:rsidP="00A56E0E">
      <w:pPr>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This</w:t>
      </w:r>
      <w:r w:rsidRPr="0068292C">
        <w:rPr>
          <w:rFonts w:asciiTheme="minorHAnsi" w:hAnsiTheme="minorHAnsi" w:cstheme="minorHAnsi"/>
          <w:color w:val="000000" w:themeColor="text1"/>
          <w:sz w:val="22"/>
        </w:rPr>
        <w:t xml:space="preserve"> report </w:t>
      </w:r>
      <w:r w:rsidR="00E649A0">
        <w:rPr>
          <w:rFonts w:asciiTheme="minorHAnsi" w:hAnsiTheme="minorHAnsi" w:cstheme="minorHAnsi"/>
          <w:color w:val="000000" w:themeColor="text1"/>
          <w:sz w:val="22"/>
        </w:rPr>
        <w:t>follows</w:t>
      </w:r>
      <w:r w:rsidR="008C0AF1">
        <w:rPr>
          <w:rFonts w:asciiTheme="minorHAnsi" w:hAnsiTheme="minorHAnsi" w:cstheme="minorHAnsi"/>
          <w:color w:val="000000" w:themeColor="text1"/>
          <w:sz w:val="22"/>
        </w:rPr>
        <w:t xml:space="preserve"> </w:t>
      </w:r>
      <w:r w:rsidR="00CF66B7" w:rsidRPr="00B610DA">
        <w:rPr>
          <w:rFonts w:asciiTheme="minorHAnsi" w:hAnsiTheme="minorHAnsi" w:cstheme="minorHAnsi"/>
          <w:i/>
          <w:color w:val="000000" w:themeColor="text1"/>
          <w:sz w:val="22"/>
        </w:rPr>
        <w:t xml:space="preserve">Economic </w:t>
      </w:r>
      <w:r w:rsidR="00F00DA7" w:rsidRPr="00B610DA">
        <w:rPr>
          <w:rFonts w:asciiTheme="minorHAnsi" w:hAnsiTheme="minorHAnsi" w:cstheme="minorHAnsi"/>
          <w:i/>
          <w:color w:val="000000" w:themeColor="text1"/>
          <w:sz w:val="22"/>
        </w:rPr>
        <w:t xml:space="preserve">Modelling of International Action </w:t>
      </w:r>
      <w:r w:rsidR="00CF66B7" w:rsidRPr="00B610DA">
        <w:rPr>
          <w:rFonts w:asciiTheme="minorHAnsi" w:hAnsiTheme="minorHAnsi" w:cstheme="minorHAnsi"/>
          <w:i/>
          <w:color w:val="000000" w:themeColor="text1"/>
          <w:sz w:val="22"/>
        </w:rPr>
        <w:t>Under</w:t>
      </w:r>
      <w:r w:rsidR="00AF0BD3" w:rsidRPr="00B610DA">
        <w:rPr>
          <w:rFonts w:asciiTheme="minorHAnsi" w:hAnsiTheme="minorHAnsi" w:cstheme="minorHAnsi"/>
          <w:i/>
          <w:color w:val="000000" w:themeColor="text1"/>
          <w:sz w:val="22"/>
        </w:rPr>
        <w:t xml:space="preserve"> </w:t>
      </w:r>
      <w:r w:rsidR="00CF66B7" w:rsidRPr="00B610DA">
        <w:rPr>
          <w:rFonts w:asciiTheme="minorHAnsi" w:hAnsiTheme="minorHAnsi" w:cstheme="minorHAnsi"/>
          <w:i/>
          <w:color w:val="000000" w:themeColor="text1"/>
          <w:sz w:val="22"/>
        </w:rPr>
        <w:t>a New Climate Change Agreement</w:t>
      </w:r>
      <w:r w:rsidR="00460182">
        <w:rPr>
          <w:rFonts w:asciiTheme="minorHAnsi" w:hAnsiTheme="minorHAnsi" w:cstheme="minorHAnsi"/>
          <w:i/>
          <w:color w:val="000000" w:themeColor="text1"/>
          <w:sz w:val="22"/>
        </w:rPr>
        <w:t xml:space="preserve"> </w:t>
      </w:r>
      <w:r w:rsidR="00460182">
        <w:rPr>
          <w:rFonts w:asciiTheme="minorHAnsi" w:hAnsiTheme="minorHAnsi" w:cstheme="minorHAnsi"/>
          <w:color w:val="000000" w:themeColor="text1"/>
          <w:sz w:val="22"/>
        </w:rPr>
        <w:t>(Report 1)</w:t>
      </w:r>
      <w:r w:rsidR="00F00DA7">
        <w:rPr>
          <w:rFonts w:asciiTheme="minorHAnsi" w:hAnsiTheme="minorHAnsi" w:cstheme="minorHAnsi"/>
          <w:color w:val="000000" w:themeColor="text1"/>
          <w:sz w:val="22"/>
        </w:rPr>
        <w:t xml:space="preserve">. </w:t>
      </w:r>
      <w:r w:rsidR="00460182">
        <w:rPr>
          <w:rFonts w:asciiTheme="minorHAnsi" w:hAnsiTheme="minorHAnsi" w:cstheme="minorHAnsi"/>
          <w:color w:val="000000" w:themeColor="text1"/>
          <w:sz w:val="22"/>
        </w:rPr>
        <w:t>T</w:t>
      </w:r>
      <w:r w:rsidR="00E5388A">
        <w:rPr>
          <w:rFonts w:asciiTheme="minorHAnsi" w:hAnsiTheme="minorHAnsi" w:cstheme="minorHAnsi"/>
          <w:color w:val="000000" w:themeColor="text1"/>
          <w:sz w:val="22"/>
        </w:rPr>
        <w:t xml:space="preserve">his </w:t>
      </w:r>
      <w:r w:rsidR="006B0A46">
        <w:rPr>
          <w:rFonts w:asciiTheme="minorHAnsi" w:hAnsiTheme="minorHAnsi" w:cstheme="minorHAnsi"/>
          <w:color w:val="000000" w:themeColor="text1"/>
          <w:sz w:val="22"/>
        </w:rPr>
        <w:t xml:space="preserve">report </w:t>
      </w:r>
      <w:r w:rsidR="00F00DA7">
        <w:rPr>
          <w:rFonts w:asciiTheme="minorHAnsi" w:hAnsiTheme="minorHAnsi" w:cstheme="minorHAnsi"/>
          <w:color w:val="000000" w:themeColor="text1"/>
          <w:sz w:val="22"/>
        </w:rPr>
        <w:t>focus</w:t>
      </w:r>
      <w:r w:rsidR="00E5388A">
        <w:rPr>
          <w:rFonts w:asciiTheme="minorHAnsi" w:hAnsiTheme="minorHAnsi" w:cstheme="minorHAnsi"/>
          <w:color w:val="000000" w:themeColor="text1"/>
          <w:sz w:val="22"/>
        </w:rPr>
        <w:t>es</w:t>
      </w:r>
      <w:r w:rsidR="00CF66B7">
        <w:rPr>
          <w:rFonts w:asciiTheme="minorHAnsi" w:hAnsiTheme="minorHAnsi" w:cstheme="minorHAnsi"/>
          <w:color w:val="000000" w:themeColor="text1"/>
          <w:sz w:val="22"/>
        </w:rPr>
        <w:t xml:space="preserve"> on </w:t>
      </w:r>
      <w:r w:rsidR="00F00DA7">
        <w:rPr>
          <w:rFonts w:asciiTheme="minorHAnsi" w:hAnsiTheme="minorHAnsi" w:cstheme="minorHAnsi"/>
          <w:color w:val="000000" w:themeColor="text1"/>
          <w:sz w:val="22"/>
        </w:rPr>
        <w:t xml:space="preserve">different levels of policy commitment in Australia, under different assumptions about the scale of emission reduction targets, </w:t>
      </w:r>
      <w:r w:rsidR="00E5388A">
        <w:rPr>
          <w:rFonts w:asciiTheme="minorHAnsi" w:hAnsiTheme="minorHAnsi" w:cstheme="minorHAnsi"/>
          <w:color w:val="000000" w:themeColor="text1"/>
          <w:sz w:val="22"/>
        </w:rPr>
        <w:t>energy technology costs</w:t>
      </w:r>
      <w:r w:rsidR="00F00DA7">
        <w:rPr>
          <w:rFonts w:asciiTheme="minorHAnsi" w:hAnsiTheme="minorHAnsi" w:cstheme="minorHAnsi"/>
          <w:color w:val="000000" w:themeColor="text1"/>
          <w:sz w:val="22"/>
        </w:rPr>
        <w:t>, and</w:t>
      </w:r>
      <w:r w:rsidR="00E5388A" w:rsidRPr="00E5388A">
        <w:rPr>
          <w:rFonts w:asciiTheme="minorHAnsi" w:hAnsiTheme="minorHAnsi" w:cstheme="minorHAnsi"/>
          <w:color w:val="000000" w:themeColor="text1"/>
          <w:sz w:val="22"/>
        </w:rPr>
        <w:t xml:space="preserve"> </w:t>
      </w:r>
      <w:r w:rsidR="00E5388A">
        <w:rPr>
          <w:rFonts w:asciiTheme="minorHAnsi" w:hAnsiTheme="minorHAnsi" w:cstheme="minorHAnsi"/>
          <w:color w:val="000000" w:themeColor="text1"/>
          <w:sz w:val="22"/>
        </w:rPr>
        <w:t xml:space="preserve">the </w:t>
      </w:r>
      <w:r w:rsidR="00706307">
        <w:rPr>
          <w:rFonts w:asciiTheme="minorHAnsi" w:hAnsiTheme="minorHAnsi" w:cstheme="minorHAnsi"/>
          <w:color w:val="000000" w:themeColor="text1"/>
          <w:sz w:val="22"/>
        </w:rPr>
        <w:t>mix of policies used</w:t>
      </w:r>
      <w:r w:rsidR="00CF66B7">
        <w:rPr>
          <w:rFonts w:asciiTheme="minorHAnsi" w:hAnsiTheme="minorHAnsi" w:cstheme="minorHAnsi"/>
          <w:color w:val="000000" w:themeColor="text1"/>
          <w:sz w:val="22"/>
        </w:rPr>
        <w:t>.</w:t>
      </w:r>
      <w:r w:rsidR="00F00DA7">
        <w:rPr>
          <w:rFonts w:asciiTheme="minorHAnsi" w:hAnsiTheme="minorHAnsi" w:cstheme="minorHAnsi"/>
          <w:color w:val="000000" w:themeColor="text1"/>
          <w:sz w:val="22"/>
        </w:rPr>
        <w:t xml:space="preserve"> </w:t>
      </w:r>
      <w:r w:rsidR="00AF0BD3">
        <w:rPr>
          <w:rFonts w:asciiTheme="minorHAnsi" w:hAnsiTheme="minorHAnsi" w:cstheme="minorHAnsi"/>
          <w:color w:val="000000" w:themeColor="text1"/>
          <w:sz w:val="22"/>
        </w:rPr>
        <w:t xml:space="preserve">The results </w:t>
      </w:r>
      <w:r w:rsidR="00F00DA7">
        <w:rPr>
          <w:rFonts w:asciiTheme="minorHAnsi" w:hAnsiTheme="minorHAnsi" w:cstheme="minorHAnsi"/>
          <w:color w:val="000000" w:themeColor="text1"/>
          <w:sz w:val="22"/>
        </w:rPr>
        <w:t xml:space="preserve">highlight the range of economic outcomes and some of the uncertainties in the cost of </w:t>
      </w:r>
      <w:r w:rsidR="00E5388A">
        <w:rPr>
          <w:rFonts w:asciiTheme="minorHAnsi" w:hAnsiTheme="minorHAnsi" w:cstheme="minorHAnsi"/>
          <w:color w:val="000000" w:themeColor="text1"/>
          <w:sz w:val="22"/>
        </w:rPr>
        <w:t xml:space="preserve">an Australian </w:t>
      </w:r>
      <w:r w:rsidR="00391AE5">
        <w:rPr>
          <w:rFonts w:asciiTheme="minorHAnsi" w:hAnsiTheme="minorHAnsi" w:cstheme="minorHAnsi"/>
          <w:color w:val="000000" w:themeColor="text1"/>
          <w:sz w:val="22"/>
        </w:rPr>
        <w:t xml:space="preserve">post-2020 </w:t>
      </w:r>
      <w:r w:rsidR="00E5388A">
        <w:rPr>
          <w:rFonts w:asciiTheme="minorHAnsi" w:hAnsiTheme="minorHAnsi" w:cstheme="minorHAnsi"/>
          <w:color w:val="000000" w:themeColor="text1"/>
          <w:sz w:val="22"/>
        </w:rPr>
        <w:t>target</w:t>
      </w:r>
      <w:r w:rsidR="00F00DA7">
        <w:rPr>
          <w:rFonts w:asciiTheme="minorHAnsi" w:hAnsiTheme="minorHAnsi" w:cstheme="minorHAnsi"/>
          <w:color w:val="000000" w:themeColor="text1"/>
          <w:sz w:val="22"/>
        </w:rPr>
        <w:t xml:space="preserve">. </w:t>
      </w:r>
    </w:p>
    <w:p w:rsidR="00841F6C" w:rsidRDefault="00841F6C" w:rsidP="00A56E0E">
      <w:pPr>
        <w:rPr>
          <w:rFonts w:asciiTheme="minorHAnsi" w:hAnsiTheme="minorHAnsi" w:cstheme="minorHAnsi"/>
          <w:color w:val="000000" w:themeColor="text1"/>
          <w:sz w:val="22"/>
        </w:rPr>
      </w:pPr>
    </w:p>
    <w:p w:rsidR="00A56E0E" w:rsidRPr="00A56E0E" w:rsidRDefault="00495383" w:rsidP="00A56E0E">
      <w:pPr>
        <w:rPr>
          <w:rFonts w:asciiTheme="minorHAnsi" w:hAnsiTheme="minorHAnsi" w:cstheme="minorHAnsi"/>
          <w:color w:val="000000" w:themeColor="text1"/>
          <w:sz w:val="22"/>
        </w:rPr>
      </w:pPr>
      <w:r>
        <w:rPr>
          <w:rFonts w:asciiTheme="minorHAnsi" w:hAnsiTheme="minorHAnsi" w:cstheme="minorHAnsi"/>
          <w:color w:val="000000" w:themeColor="text1"/>
          <w:sz w:val="22"/>
        </w:rPr>
        <w:t>This report</w:t>
      </w:r>
      <w:r w:rsidR="00543863">
        <w:rPr>
          <w:rFonts w:asciiTheme="minorHAnsi" w:hAnsiTheme="minorHAnsi" w:cstheme="minorHAnsi"/>
          <w:color w:val="000000" w:themeColor="text1"/>
          <w:sz w:val="22"/>
        </w:rPr>
        <w:t xml:space="preserve"> has </w:t>
      </w:r>
      <w:r w:rsidR="00A7230E" w:rsidRPr="0068292C">
        <w:rPr>
          <w:rFonts w:asciiTheme="minorHAnsi" w:hAnsiTheme="minorHAnsi" w:cstheme="minorHAnsi"/>
          <w:color w:val="000000" w:themeColor="text1"/>
          <w:sz w:val="22"/>
        </w:rPr>
        <w:t xml:space="preserve">been prepared by </w:t>
      </w:r>
      <w:r w:rsidR="000540A7">
        <w:rPr>
          <w:rFonts w:asciiTheme="minorHAnsi" w:hAnsiTheme="minorHAnsi" w:cstheme="minorHAnsi"/>
          <w:color w:val="000000" w:themeColor="text1"/>
          <w:sz w:val="22"/>
        </w:rPr>
        <w:t xml:space="preserve">Professor Warwick J. McKibbin, Director of Research, McKibbin Software Group Pty </w:t>
      </w:r>
      <w:r w:rsidR="00EF4B91">
        <w:rPr>
          <w:rFonts w:asciiTheme="minorHAnsi" w:hAnsiTheme="minorHAnsi" w:cstheme="minorHAnsi"/>
          <w:color w:val="000000" w:themeColor="text1"/>
          <w:sz w:val="22"/>
        </w:rPr>
        <w:t>Ltd in</w:t>
      </w:r>
      <w:r w:rsidR="00F00DA7">
        <w:rPr>
          <w:rFonts w:asciiTheme="minorHAnsi" w:hAnsiTheme="minorHAnsi" w:cstheme="minorHAnsi"/>
          <w:color w:val="000000" w:themeColor="text1"/>
          <w:sz w:val="22"/>
        </w:rPr>
        <w:t xml:space="preserve"> </w:t>
      </w:r>
      <w:r w:rsidR="00934F53">
        <w:rPr>
          <w:rFonts w:asciiTheme="minorHAnsi" w:hAnsiTheme="minorHAnsi" w:cstheme="minorHAnsi"/>
          <w:color w:val="000000" w:themeColor="text1"/>
          <w:sz w:val="22"/>
        </w:rPr>
        <w:t xml:space="preserve">consultation </w:t>
      </w:r>
      <w:r w:rsidR="00F00DA7">
        <w:rPr>
          <w:rFonts w:asciiTheme="minorHAnsi" w:hAnsiTheme="minorHAnsi" w:cstheme="minorHAnsi"/>
          <w:color w:val="000000" w:themeColor="text1"/>
          <w:sz w:val="22"/>
        </w:rPr>
        <w:t xml:space="preserve">with </w:t>
      </w:r>
      <w:r w:rsidR="00E84FDC">
        <w:rPr>
          <w:rFonts w:asciiTheme="minorHAnsi" w:hAnsiTheme="minorHAnsi" w:cstheme="minorHAnsi"/>
          <w:color w:val="000000" w:themeColor="text1"/>
          <w:sz w:val="22"/>
        </w:rPr>
        <w:t>the Department of Foreign Affairs and Trade</w:t>
      </w:r>
      <w:r w:rsidR="00706307">
        <w:rPr>
          <w:rFonts w:asciiTheme="minorHAnsi" w:hAnsiTheme="minorHAnsi" w:cstheme="minorHAnsi"/>
          <w:color w:val="000000" w:themeColor="text1"/>
          <w:sz w:val="22"/>
        </w:rPr>
        <w:t xml:space="preserve"> (DFAT)</w:t>
      </w:r>
      <w:r>
        <w:rPr>
          <w:rFonts w:asciiTheme="minorHAnsi" w:hAnsiTheme="minorHAnsi" w:cstheme="minorHAnsi"/>
          <w:color w:val="000000" w:themeColor="text1"/>
          <w:sz w:val="22"/>
        </w:rPr>
        <w:t>.</w:t>
      </w:r>
      <w:r w:rsidR="00A56E0E">
        <w:rPr>
          <w:rFonts w:asciiTheme="minorHAnsi" w:hAnsiTheme="minorHAnsi" w:cstheme="minorHAnsi"/>
          <w:color w:val="000000" w:themeColor="text1"/>
          <w:sz w:val="22"/>
        </w:rPr>
        <w:t xml:space="preserve"> </w:t>
      </w:r>
    </w:p>
    <w:p w:rsidR="00A56E0E" w:rsidRDefault="00A56E0E">
      <w:pPr>
        <w:rPr>
          <w:rFonts w:asciiTheme="minorHAnsi" w:hAnsiTheme="minorHAnsi" w:cstheme="minorHAnsi"/>
          <w:color w:val="000000" w:themeColor="text1"/>
          <w:sz w:val="22"/>
        </w:rPr>
      </w:pPr>
    </w:p>
    <w:p w:rsidR="00A7230E" w:rsidRPr="0068292C" w:rsidRDefault="00543863" w:rsidP="0068292C">
      <w:pPr>
        <w:rPr>
          <w:rFonts w:asciiTheme="minorHAnsi" w:hAnsiTheme="minorHAnsi" w:cstheme="minorHAnsi"/>
          <w:color w:val="000000" w:themeColor="text1"/>
          <w:sz w:val="22"/>
        </w:rPr>
      </w:pPr>
      <w:r w:rsidRPr="0068292C">
        <w:rPr>
          <w:rFonts w:asciiTheme="minorHAnsi" w:hAnsiTheme="minorHAnsi" w:cstheme="minorHAnsi"/>
          <w:color w:val="000000" w:themeColor="text1"/>
          <w:sz w:val="22"/>
        </w:rPr>
        <w:t xml:space="preserve">Technical information and background assumptions </w:t>
      </w:r>
      <w:r>
        <w:rPr>
          <w:rFonts w:asciiTheme="minorHAnsi" w:hAnsiTheme="minorHAnsi" w:cstheme="minorHAnsi"/>
          <w:color w:val="000000" w:themeColor="text1"/>
          <w:sz w:val="22"/>
        </w:rPr>
        <w:t xml:space="preserve">are </w:t>
      </w:r>
      <w:r w:rsidR="00841F6C">
        <w:rPr>
          <w:rFonts w:asciiTheme="minorHAnsi" w:hAnsiTheme="minorHAnsi" w:cstheme="minorHAnsi"/>
          <w:color w:val="000000" w:themeColor="text1"/>
          <w:sz w:val="22"/>
        </w:rPr>
        <w:t xml:space="preserve">provided </w:t>
      </w:r>
      <w:r w:rsidRPr="0068292C">
        <w:rPr>
          <w:rFonts w:asciiTheme="minorHAnsi" w:hAnsiTheme="minorHAnsi" w:cstheme="minorHAnsi"/>
          <w:color w:val="000000" w:themeColor="text1"/>
          <w:sz w:val="22"/>
        </w:rPr>
        <w:t xml:space="preserve">in the </w:t>
      </w:r>
      <w:r w:rsidR="00FC5BE0">
        <w:rPr>
          <w:rFonts w:asciiTheme="minorHAnsi" w:hAnsiTheme="minorHAnsi" w:cstheme="minorHAnsi"/>
          <w:color w:val="000000" w:themeColor="text1"/>
          <w:sz w:val="22"/>
        </w:rPr>
        <w:t>a</w:t>
      </w:r>
      <w:r>
        <w:rPr>
          <w:rFonts w:asciiTheme="minorHAnsi" w:hAnsiTheme="minorHAnsi" w:cstheme="minorHAnsi"/>
          <w:color w:val="000000" w:themeColor="text1"/>
          <w:sz w:val="22"/>
        </w:rPr>
        <w:t>ppendices</w:t>
      </w:r>
      <w:r w:rsidR="00F00DA7">
        <w:rPr>
          <w:rFonts w:asciiTheme="minorHAnsi" w:hAnsiTheme="minorHAnsi" w:cstheme="minorHAnsi"/>
          <w:color w:val="000000" w:themeColor="text1"/>
          <w:sz w:val="22"/>
        </w:rPr>
        <w:t xml:space="preserve"> and in </w:t>
      </w:r>
      <w:r w:rsidR="008D6E55">
        <w:rPr>
          <w:rFonts w:asciiTheme="minorHAnsi" w:hAnsiTheme="minorHAnsi" w:cstheme="minorHAnsi"/>
          <w:color w:val="000000" w:themeColor="text1"/>
          <w:sz w:val="22"/>
        </w:rPr>
        <w:t>Report 1</w:t>
      </w:r>
      <w:r w:rsidR="00495383">
        <w:rPr>
          <w:rFonts w:asciiTheme="minorHAnsi" w:hAnsiTheme="minorHAnsi" w:cstheme="minorHAnsi"/>
          <w:color w:val="000000" w:themeColor="text1"/>
          <w:sz w:val="22"/>
        </w:rPr>
        <w:t>.</w:t>
      </w:r>
      <w:r w:rsidR="00A7230E" w:rsidRPr="0068292C">
        <w:rPr>
          <w:rFonts w:asciiTheme="minorHAnsi" w:hAnsiTheme="minorHAnsi" w:cstheme="minorHAnsi"/>
          <w:color w:val="000000" w:themeColor="text1"/>
          <w:sz w:val="22"/>
        </w:rPr>
        <w:t xml:space="preserve"> </w:t>
      </w:r>
      <w:r w:rsidR="00781A9E">
        <w:rPr>
          <w:rFonts w:asciiTheme="minorHAnsi" w:hAnsiTheme="minorHAnsi" w:cstheme="minorHAnsi"/>
          <w:color w:val="000000" w:themeColor="text1"/>
          <w:sz w:val="22"/>
        </w:rPr>
        <w:t>All prices are in</w:t>
      </w:r>
      <w:r w:rsidR="00460182">
        <w:rPr>
          <w:rFonts w:asciiTheme="minorHAnsi" w:hAnsiTheme="minorHAnsi" w:cstheme="minorHAnsi"/>
          <w:color w:val="000000" w:themeColor="text1"/>
          <w:sz w:val="22"/>
        </w:rPr>
        <w:t xml:space="preserve"> real</w:t>
      </w:r>
      <w:r w:rsidR="00781A9E">
        <w:rPr>
          <w:rFonts w:asciiTheme="minorHAnsi" w:hAnsiTheme="minorHAnsi" w:cstheme="minorHAnsi"/>
          <w:color w:val="000000" w:themeColor="text1"/>
          <w:sz w:val="22"/>
        </w:rPr>
        <w:t xml:space="preserve"> </w:t>
      </w:r>
      <w:r w:rsidR="00F6493A">
        <w:rPr>
          <w:rFonts w:asciiTheme="minorHAnsi" w:hAnsiTheme="minorHAnsi" w:cstheme="minorHAnsi"/>
          <w:color w:val="000000" w:themeColor="text1"/>
          <w:sz w:val="22"/>
        </w:rPr>
        <w:t xml:space="preserve">United States </w:t>
      </w:r>
      <w:r w:rsidR="006B0A46">
        <w:rPr>
          <w:rFonts w:asciiTheme="minorHAnsi" w:hAnsiTheme="minorHAnsi" w:cstheme="minorHAnsi"/>
          <w:color w:val="000000" w:themeColor="text1"/>
          <w:sz w:val="22"/>
        </w:rPr>
        <w:t xml:space="preserve">dollars </w:t>
      </w:r>
      <w:r w:rsidR="00781A9E">
        <w:rPr>
          <w:rFonts w:asciiTheme="minorHAnsi" w:hAnsiTheme="minorHAnsi" w:cstheme="minorHAnsi"/>
          <w:color w:val="000000" w:themeColor="text1"/>
          <w:sz w:val="22"/>
        </w:rPr>
        <w:t>unless otherwise indicated.</w:t>
      </w:r>
    </w:p>
    <w:p w:rsidR="00A7230E" w:rsidRPr="0068292C" w:rsidRDefault="00A7230E">
      <w:pPr>
        <w:rPr>
          <w:rFonts w:asciiTheme="minorHAnsi" w:hAnsiTheme="minorHAnsi" w:cstheme="minorHAnsi"/>
          <w:color w:val="000000" w:themeColor="text1"/>
          <w:sz w:val="22"/>
        </w:rPr>
      </w:pPr>
    </w:p>
    <w:p w:rsidR="0068292C" w:rsidRDefault="0068292C">
      <w:pPr>
        <w:rPr>
          <w:rFonts w:asciiTheme="minorHAnsi" w:hAnsiTheme="minorHAnsi" w:cstheme="minorHAnsi"/>
          <w:color w:val="000000" w:themeColor="text1"/>
          <w:sz w:val="22"/>
        </w:rPr>
      </w:pPr>
    </w:p>
    <w:p w:rsidR="0055155D" w:rsidRDefault="0055155D">
      <w:pPr>
        <w:rPr>
          <w:rFonts w:asciiTheme="minorHAnsi" w:hAnsiTheme="minorHAnsi" w:cstheme="minorHAnsi"/>
          <w:color w:val="000000" w:themeColor="text1"/>
          <w:sz w:val="22"/>
        </w:rPr>
      </w:pPr>
    </w:p>
    <w:p w:rsidR="0055155D" w:rsidRDefault="0055155D">
      <w:pPr>
        <w:rPr>
          <w:rFonts w:asciiTheme="minorHAnsi" w:hAnsiTheme="minorHAnsi" w:cstheme="minorHAnsi"/>
          <w:color w:val="000000" w:themeColor="text1"/>
          <w:sz w:val="22"/>
        </w:rPr>
      </w:pPr>
    </w:p>
    <w:p w:rsidR="0055155D" w:rsidRDefault="0055155D">
      <w:pPr>
        <w:rPr>
          <w:rFonts w:asciiTheme="minorHAnsi" w:hAnsiTheme="minorHAnsi" w:cstheme="minorHAnsi"/>
          <w:color w:val="000000" w:themeColor="text1"/>
          <w:sz w:val="22"/>
        </w:rPr>
      </w:pPr>
    </w:p>
    <w:p w:rsidR="0055155D" w:rsidRDefault="0055155D">
      <w:pPr>
        <w:rPr>
          <w:rFonts w:asciiTheme="minorHAnsi" w:hAnsiTheme="minorHAnsi" w:cstheme="minorHAnsi"/>
          <w:color w:val="000000" w:themeColor="text1"/>
          <w:sz w:val="22"/>
        </w:rPr>
      </w:pPr>
    </w:p>
    <w:p w:rsidR="0055155D" w:rsidRDefault="0055155D">
      <w:pPr>
        <w:rPr>
          <w:rFonts w:asciiTheme="minorHAnsi" w:hAnsiTheme="minorHAnsi" w:cstheme="minorHAnsi"/>
          <w:color w:val="000000" w:themeColor="text1"/>
          <w:sz w:val="22"/>
        </w:rPr>
      </w:pPr>
    </w:p>
    <w:p w:rsidR="006707D3" w:rsidRDefault="006707D3">
      <w:pPr>
        <w:rPr>
          <w:rFonts w:asciiTheme="minorHAnsi" w:hAnsiTheme="minorHAnsi" w:cstheme="minorHAnsi"/>
          <w:color w:val="000000" w:themeColor="text1"/>
          <w:sz w:val="22"/>
        </w:rPr>
      </w:pPr>
    </w:p>
    <w:p w:rsidR="006707D3" w:rsidRDefault="006707D3">
      <w:pPr>
        <w:rPr>
          <w:rFonts w:asciiTheme="minorHAnsi" w:hAnsiTheme="minorHAnsi" w:cstheme="minorHAnsi"/>
          <w:color w:val="000000" w:themeColor="text1"/>
          <w:sz w:val="22"/>
        </w:rPr>
      </w:pPr>
    </w:p>
    <w:p w:rsidR="006707D3" w:rsidRDefault="006707D3">
      <w:pPr>
        <w:rPr>
          <w:rFonts w:asciiTheme="minorHAnsi" w:hAnsiTheme="minorHAnsi" w:cstheme="minorHAnsi"/>
          <w:color w:val="000000" w:themeColor="text1"/>
          <w:sz w:val="22"/>
        </w:rPr>
      </w:pPr>
    </w:p>
    <w:p w:rsidR="006707D3" w:rsidRDefault="006707D3">
      <w:pPr>
        <w:rPr>
          <w:rFonts w:asciiTheme="minorHAnsi" w:hAnsiTheme="minorHAnsi" w:cstheme="minorHAnsi"/>
          <w:color w:val="000000" w:themeColor="text1"/>
          <w:sz w:val="22"/>
        </w:rPr>
      </w:pPr>
    </w:p>
    <w:p w:rsidR="00B82A09" w:rsidRDefault="00B82A09">
      <w:pPr>
        <w:rPr>
          <w:rFonts w:asciiTheme="minorHAnsi" w:hAnsiTheme="minorHAnsi" w:cstheme="minorHAnsi"/>
          <w:color w:val="000000" w:themeColor="text1"/>
          <w:sz w:val="22"/>
        </w:rPr>
      </w:pPr>
    </w:p>
    <w:p w:rsidR="006707D3" w:rsidRDefault="006707D3">
      <w:pPr>
        <w:rPr>
          <w:rFonts w:asciiTheme="minorHAnsi" w:hAnsiTheme="minorHAnsi" w:cstheme="minorHAnsi"/>
          <w:color w:val="000000" w:themeColor="text1"/>
          <w:sz w:val="22"/>
        </w:rPr>
      </w:pPr>
    </w:p>
    <w:p w:rsidR="00495383" w:rsidRDefault="00495383">
      <w:pPr>
        <w:rPr>
          <w:rFonts w:asciiTheme="minorHAnsi" w:hAnsiTheme="minorHAnsi" w:cstheme="minorHAnsi"/>
          <w:color w:val="000000" w:themeColor="text1"/>
          <w:sz w:val="22"/>
          <w:szCs w:val="22"/>
        </w:rPr>
      </w:pPr>
    </w:p>
    <w:p w:rsidR="00F562D1" w:rsidRPr="006707D3" w:rsidRDefault="00F562D1">
      <w:pPr>
        <w:rPr>
          <w:rFonts w:asciiTheme="minorHAnsi" w:hAnsiTheme="minorHAnsi" w:cstheme="minorHAnsi"/>
          <w:color w:val="000000" w:themeColor="text1"/>
          <w:sz w:val="22"/>
          <w:szCs w:val="22"/>
        </w:rPr>
      </w:pPr>
    </w:p>
    <w:p w:rsidR="00E84FDC" w:rsidRDefault="00E84FDC" w:rsidP="006707D3">
      <w:pPr>
        <w:pStyle w:val="Default"/>
        <w:rPr>
          <w:rFonts w:asciiTheme="minorHAnsi" w:hAnsiTheme="minorHAnsi" w:cstheme="minorHAnsi"/>
          <w:b/>
          <w:bCs/>
          <w:sz w:val="22"/>
          <w:szCs w:val="22"/>
        </w:rPr>
      </w:pPr>
    </w:p>
    <w:p w:rsidR="00AF0BD3" w:rsidRDefault="00AF0BD3">
      <w:pPr>
        <w:rPr>
          <w:rFonts w:asciiTheme="minorHAnsi" w:hAnsiTheme="minorHAnsi" w:cstheme="minorHAnsi"/>
          <w:b/>
          <w:color w:val="0070C0"/>
          <w:sz w:val="40"/>
        </w:rPr>
      </w:pPr>
      <w:r>
        <w:rPr>
          <w:rFonts w:asciiTheme="minorHAnsi" w:hAnsiTheme="minorHAnsi" w:cstheme="minorHAnsi"/>
          <w:b/>
          <w:color w:val="0070C0"/>
          <w:sz w:val="40"/>
        </w:rPr>
        <w:br w:type="page"/>
      </w:r>
    </w:p>
    <w:p w:rsidR="00A83953" w:rsidRPr="001D5606" w:rsidRDefault="00A83953" w:rsidP="00A83953">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Contents</w:t>
      </w:r>
      <w:r w:rsidR="00C8393C" w:rsidRPr="001D5606">
        <w:rPr>
          <w:rFonts w:asciiTheme="minorHAnsi" w:hAnsiTheme="minorHAnsi" w:cstheme="minorHAnsi"/>
          <w:b/>
          <w:color w:val="996633"/>
          <w:sz w:val="40"/>
        </w:rPr>
        <w:t xml:space="preserve"> </w:t>
      </w:r>
    </w:p>
    <w:p w:rsidR="00A83953" w:rsidRPr="00335D2D" w:rsidRDefault="00A83953">
      <w:pPr>
        <w:rPr>
          <w:rFonts w:asciiTheme="minorHAnsi" w:hAnsiTheme="minorHAnsi" w:cstheme="minorHAnsi"/>
          <w:b/>
          <w:color w:val="0070C0"/>
          <w:sz w:val="40"/>
        </w:rPr>
      </w:pPr>
    </w:p>
    <w:p w:rsidR="00A83953" w:rsidRPr="001D5606" w:rsidRDefault="001D5606">
      <w:pPr>
        <w:rPr>
          <w:rFonts w:asciiTheme="minorHAnsi" w:hAnsiTheme="minorHAnsi" w:cstheme="minorHAnsi"/>
          <w:b/>
          <w:color w:val="4F81BD" w:themeColor="accent1"/>
          <w:sz w:val="32"/>
          <w:u w:val="thick" w:color="996633"/>
        </w:rPr>
      </w:pPr>
      <w:r>
        <w:rPr>
          <w:rFonts w:asciiTheme="minorHAnsi" w:hAnsiTheme="minorHAnsi" w:cstheme="minorHAnsi"/>
          <w:b/>
          <w:color w:val="4F81BD" w:themeColor="accent1"/>
          <w:sz w:val="32"/>
          <w:u w:val="thick" w:color="996633"/>
        </w:rPr>
        <w:t>Executive Summary</w:t>
      </w:r>
      <w:r>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A83953" w:rsidRPr="001D5606">
        <w:rPr>
          <w:rFonts w:asciiTheme="minorHAnsi" w:hAnsiTheme="minorHAnsi" w:cstheme="minorHAnsi"/>
          <w:b/>
          <w:color w:val="4F81BD" w:themeColor="accent1"/>
          <w:sz w:val="32"/>
          <w:u w:val="thick" w:color="996633"/>
        </w:rPr>
        <w:tab/>
      </w:r>
      <w:r w:rsidR="008A19EA" w:rsidRPr="001D5606">
        <w:rPr>
          <w:rFonts w:asciiTheme="minorHAnsi" w:hAnsiTheme="minorHAnsi" w:cstheme="minorHAnsi"/>
          <w:b/>
          <w:color w:val="4F81BD" w:themeColor="accent1"/>
          <w:sz w:val="32"/>
          <w:u w:val="thick" w:color="996633"/>
        </w:rPr>
        <w:t xml:space="preserve"> </w:t>
      </w:r>
      <w:r w:rsidR="0068292C" w:rsidRPr="001D5606">
        <w:rPr>
          <w:rFonts w:asciiTheme="minorHAnsi" w:hAnsiTheme="minorHAnsi" w:cstheme="minorHAnsi"/>
          <w:b/>
          <w:color w:val="4F81BD" w:themeColor="accent1"/>
          <w:sz w:val="32"/>
          <w:u w:val="thick" w:color="996633"/>
        </w:rPr>
        <w:t xml:space="preserve"> </w:t>
      </w:r>
      <w:r w:rsidR="008A19EA" w:rsidRPr="001D5606">
        <w:rPr>
          <w:rFonts w:asciiTheme="minorHAnsi" w:hAnsiTheme="minorHAnsi" w:cstheme="minorHAnsi"/>
          <w:b/>
          <w:color w:val="4F81BD" w:themeColor="accent1"/>
          <w:sz w:val="32"/>
          <w:u w:val="thick" w:color="996633"/>
        </w:rPr>
        <w:t xml:space="preserve">         </w:t>
      </w:r>
      <w:r w:rsidR="0068292C" w:rsidRPr="001D5606">
        <w:rPr>
          <w:rFonts w:asciiTheme="minorHAnsi" w:hAnsiTheme="minorHAnsi" w:cstheme="minorHAnsi"/>
          <w:b/>
          <w:color w:val="4F81BD" w:themeColor="accent1"/>
          <w:sz w:val="32"/>
          <w:u w:val="thick" w:color="996633"/>
        </w:rPr>
        <w:t xml:space="preserve"> </w:t>
      </w:r>
      <w:r w:rsidR="001745A1">
        <w:rPr>
          <w:rFonts w:asciiTheme="minorHAnsi" w:hAnsiTheme="minorHAnsi" w:cstheme="minorHAnsi"/>
          <w:b/>
          <w:color w:val="4F81BD" w:themeColor="accent1"/>
          <w:sz w:val="32"/>
          <w:u w:val="thick" w:color="996633"/>
        </w:rPr>
        <w:t>5</w:t>
      </w:r>
    </w:p>
    <w:p w:rsidR="00A83953" w:rsidRPr="001D5606" w:rsidRDefault="00A83953">
      <w:pPr>
        <w:rPr>
          <w:rFonts w:asciiTheme="minorHAnsi" w:hAnsiTheme="minorHAnsi" w:cstheme="minorHAnsi"/>
          <w:b/>
          <w:color w:val="4F81BD" w:themeColor="accent1"/>
          <w:sz w:val="32"/>
          <w:u w:val="thick" w:color="996633"/>
        </w:rPr>
      </w:pPr>
    </w:p>
    <w:p w:rsidR="00284ADD" w:rsidRPr="001D5606" w:rsidRDefault="007C2165" w:rsidP="002B2FD1">
      <w:pPr>
        <w:spacing w:line="360" w:lineRule="auto"/>
        <w:ind w:left="357"/>
        <w:rPr>
          <w:rFonts w:asciiTheme="minorHAnsi" w:hAnsiTheme="minorHAnsi" w:cstheme="minorHAnsi"/>
          <w:b/>
          <w:color w:val="4F81BD" w:themeColor="accent1"/>
          <w:sz w:val="32"/>
          <w:u w:val="thick" w:color="996633"/>
        </w:rPr>
      </w:pPr>
      <w:r w:rsidRPr="001D5606">
        <w:rPr>
          <w:rFonts w:asciiTheme="minorHAnsi" w:hAnsiTheme="minorHAnsi" w:cstheme="minorHAnsi"/>
          <w:b/>
          <w:color w:val="4F81BD" w:themeColor="accent1"/>
          <w:sz w:val="32"/>
          <w:u w:val="thick" w:color="996633"/>
        </w:rPr>
        <w:t>Introduction</w:t>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00743D90"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00743D90"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 xml:space="preserve">   </w:t>
      </w:r>
      <w:r w:rsidRPr="001D5606">
        <w:rPr>
          <w:rFonts w:asciiTheme="minorHAnsi" w:hAnsiTheme="minorHAnsi" w:cstheme="minorHAnsi"/>
          <w:b/>
          <w:color w:val="4F81BD" w:themeColor="accent1"/>
          <w:sz w:val="32"/>
          <w:u w:val="thick" w:color="996633"/>
        </w:rPr>
        <w:tab/>
        <w:t xml:space="preserve">  </w:t>
      </w:r>
      <w:r w:rsidR="00AD3DCD" w:rsidRPr="001D5606">
        <w:rPr>
          <w:rFonts w:asciiTheme="minorHAnsi" w:hAnsiTheme="minorHAnsi" w:cstheme="minorHAnsi"/>
          <w:b/>
          <w:color w:val="4F81BD" w:themeColor="accent1"/>
          <w:sz w:val="32"/>
          <w:u w:val="thick" w:color="996633"/>
        </w:rPr>
        <w:tab/>
      </w:r>
      <w:r w:rsidR="00284ADD" w:rsidRPr="001D5606">
        <w:rPr>
          <w:rFonts w:asciiTheme="minorHAnsi" w:hAnsiTheme="minorHAnsi" w:cstheme="minorHAnsi"/>
          <w:b/>
          <w:color w:val="4F81BD" w:themeColor="accent1"/>
          <w:sz w:val="32"/>
          <w:u w:val="thick" w:color="996633"/>
        </w:rPr>
        <w:t xml:space="preserve">  </w:t>
      </w:r>
      <w:r w:rsidR="001745A1">
        <w:rPr>
          <w:rFonts w:asciiTheme="minorHAnsi" w:hAnsiTheme="minorHAnsi" w:cstheme="minorHAnsi"/>
          <w:b/>
          <w:color w:val="4F81BD" w:themeColor="accent1"/>
          <w:sz w:val="32"/>
          <w:u w:val="thick" w:color="996633"/>
        </w:rPr>
        <w:t>6</w:t>
      </w:r>
    </w:p>
    <w:p w:rsidR="007C2165" w:rsidRPr="001D5606" w:rsidRDefault="007C2165" w:rsidP="002B2FD1">
      <w:pPr>
        <w:ind w:left="357"/>
        <w:rPr>
          <w:rFonts w:asciiTheme="minorHAnsi" w:hAnsiTheme="minorHAnsi" w:cstheme="minorHAnsi"/>
          <w:b/>
          <w:color w:val="4F81BD" w:themeColor="accent1"/>
          <w:sz w:val="32"/>
          <w:u w:val="thick" w:color="996633"/>
        </w:rPr>
      </w:pPr>
    </w:p>
    <w:p w:rsidR="007C2165" w:rsidRPr="001D5606" w:rsidRDefault="007C2165" w:rsidP="002B2FD1">
      <w:pPr>
        <w:spacing w:line="360" w:lineRule="auto"/>
        <w:ind w:left="357"/>
        <w:rPr>
          <w:rFonts w:asciiTheme="minorHAnsi" w:hAnsiTheme="minorHAnsi" w:cstheme="minorHAnsi"/>
          <w:b/>
          <w:color w:val="4F81BD" w:themeColor="accent1"/>
          <w:sz w:val="32"/>
          <w:u w:val="thick" w:color="996633"/>
        </w:rPr>
      </w:pPr>
      <w:r w:rsidRPr="001D5606">
        <w:rPr>
          <w:rFonts w:asciiTheme="minorHAnsi" w:hAnsiTheme="minorHAnsi" w:cstheme="minorHAnsi"/>
          <w:b/>
          <w:color w:val="4F81BD" w:themeColor="accent1"/>
          <w:sz w:val="32"/>
          <w:u w:val="thick" w:color="996633"/>
        </w:rPr>
        <w:t>Methodology</w:t>
      </w:r>
      <w:r w:rsidR="00743D90" w:rsidRPr="001D5606">
        <w:rPr>
          <w:rFonts w:asciiTheme="minorHAnsi" w:hAnsiTheme="minorHAnsi" w:cstheme="minorHAnsi"/>
          <w:b/>
          <w:color w:val="4F81BD" w:themeColor="accent1"/>
          <w:sz w:val="32"/>
          <w:u w:val="thick" w:color="996633"/>
        </w:rPr>
        <w:tab/>
      </w:r>
      <w:r w:rsidR="00743D90"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t xml:space="preserve">   </w:t>
      </w:r>
      <w:r w:rsidR="00743D90"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 xml:space="preserve">  </w:t>
      </w:r>
      <w:r w:rsidRPr="001D5606">
        <w:rPr>
          <w:rFonts w:asciiTheme="minorHAnsi" w:hAnsiTheme="minorHAnsi" w:cstheme="minorHAnsi"/>
          <w:b/>
          <w:color w:val="4F81BD" w:themeColor="accent1"/>
          <w:sz w:val="32"/>
          <w:u w:val="thick" w:color="996633"/>
        </w:rPr>
        <w:tab/>
        <w:t xml:space="preserve">  </w:t>
      </w:r>
      <w:r w:rsidR="00AD3DCD" w:rsidRPr="001D5606">
        <w:rPr>
          <w:rFonts w:asciiTheme="minorHAnsi" w:hAnsiTheme="minorHAnsi" w:cstheme="minorHAnsi"/>
          <w:b/>
          <w:color w:val="4F81BD" w:themeColor="accent1"/>
          <w:sz w:val="32"/>
          <w:u w:val="thick" w:color="996633"/>
        </w:rPr>
        <w:tab/>
      </w:r>
      <w:r w:rsidR="00AD3DCD" w:rsidRPr="001D5606">
        <w:rPr>
          <w:rFonts w:asciiTheme="minorHAnsi" w:hAnsiTheme="minorHAnsi" w:cstheme="minorHAnsi"/>
          <w:b/>
          <w:color w:val="4F81BD" w:themeColor="accent1"/>
          <w:sz w:val="32"/>
          <w:u w:val="thick" w:color="996633"/>
        </w:rPr>
        <w:tab/>
      </w:r>
      <w:r w:rsidR="00284ADD" w:rsidRPr="001D5606">
        <w:rPr>
          <w:rFonts w:asciiTheme="minorHAnsi" w:hAnsiTheme="minorHAnsi" w:cstheme="minorHAnsi"/>
          <w:b/>
          <w:color w:val="4F81BD" w:themeColor="accent1"/>
          <w:sz w:val="32"/>
          <w:u w:val="thick" w:color="996633"/>
        </w:rPr>
        <w:t xml:space="preserve">  </w:t>
      </w:r>
      <w:r w:rsidR="001745A1">
        <w:rPr>
          <w:rFonts w:asciiTheme="minorHAnsi" w:hAnsiTheme="minorHAnsi" w:cstheme="minorHAnsi"/>
          <w:b/>
          <w:color w:val="4F81BD" w:themeColor="accent1"/>
          <w:sz w:val="32"/>
          <w:u w:val="thick" w:color="996633"/>
        </w:rPr>
        <w:t>8</w:t>
      </w:r>
    </w:p>
    <w:p w:rsidR="00A83953" w:rsidRPr="001D5606" w:rsidRDefault="00A83953" w:rsidP="002B2FD1">
      <w:pPr>
        <w:ind w:left="357"/>
        <w:rPr>
          <w:rFonts w:asciiTheme="minorHAnsi" w:hAnsiTheme="minorHAnsi" w:cstheme="minorHAnsi"/>
          <w:b/>
          <w:color w:val="4F81BD" w:themeColor="accent1"/>
          <w:sz w:val="32"/>
          <w:u w:val="thick" w:color="996633"/>
        </w:rPr>
      </w:pPr>
    </w:p>
    <w:p w:rsidR="00D05CC4" w:rsidRPr="001D5606" w:rsidRDefault="00AD3DCD" w:rsidP="002B2FD1">
      <w:pPr>
        <w:spacing w:line="360" w:lineRule="auto"/>
        <w:ind w:left="357"/>
        <w:rPr>
          <w:rFonts w:asciiTheme="minorHAnsi" w:hAnsiTheme="minorHAnsi" w:cstheme="minorHAnsi"/>
          <w:b/>
          <w:color w:val="4F81BD" w:themeColor="accent1"/>
          <w:sz w:val="32"/>
          <w:u w:val="thick" w:color="996633"/>
        </w:rPr>
      </w:pPr>
      <w:r w:rsidRPr="001D5606">
        <w:rPr>
          <w:rFonts w:asciiTheme="minorHAnsi" w:hAnsiTheme="minorHAnsi" w:cstheme="minorHAnsi"/>
          <w:b/>
          <w:color w:val="4F81BD" w:themeColor="accent1"/>
          <w:sz w:val="32"/>
          <w:u w:val="thick" w:color="996633"/>
        </w:rPr>
        <w:t>M</w:t>
      </w:r>
      <w:r w:rsidR="00AD4640" w:rsidRPr="001D5606">
        <w:rPr>
          <w:rFonts w:asciiTheme="minorHAnsi" w:hAnsiTheme="minorHAnsi" w:cstheme="minorHAnsi"/>
          <w:b/>
          <w:color w:val="4F81BD" w:themeColor="accent1"/>
          <w:sz w:val="32"/>
          <w:u w:val="thick" w:color="996633"/>
        </w:rPr>
        <w:t>odelling results</w:t>
      </w:r>
      <w:r w:rsidR="00F00DA7" w:rsidRPr="001D5606">
        <w:rPr>
          <w:rFonts w:asciiTheme="minorHAnsi" w:hAnsiTheme="minorHAnsi" w:cstheme="minorHAnsi"/>
          <w:b/>
          <w:color w:val="4F81BD" w:themeColor="accent1"/>
          <w:sz w:val="32"/>
          <w:u w:val="thick" w:color="996633"/>
        </w:rPr>
        <w:t xml:space="preserve"> for Australia </w:t>
      </w:r>
      <w:r w:rsidR="00FC373D" w:rsidRPr="001D5606">
        <w:rPr>
          <w:rFonts w:asciiTheme="minorHAnsi" w:hAnsiTheme="minorHAnsi" w:cstheme="minorHAnsi"/>
          <w:b/>
          <w:color w:val="4F81BD" w:themeColor="accent1"/>
          <w:sz w:val="32"/>
          <w:u w:val="thick" w:color="996633"/>
        </w:rPr>
        <w:tab/>
      </w:r>
      <w:r w:rsidR="0068292C" w:rsidRPr="001D5606">
        <w:rPr>
          <w:rFonts w:asciiTheme="minorHAnsi" w:hAnsiTheme="minorHAnsi" w:cstheme="minorHAnsi"/>
          <w:b/>
          <w:color w:val="4F81BD" w:themeColor="accent1"/>
          <w:sz w:val="32"/>
          <w:u w:val="thick" w:color="996633"/>
        </w:rPr>
        <w:tab/>
      </w:r>
      <w:r w:rsidR="00035E7B" w:rsidRPr="001D5606">
        <w:rPr>
          <w:rFonts w:asciiTheme="minorHAnsi" w:hAnsiTheme="minorHAnsi" w:cstheme="minorHAnsi"/>
          <w:b/>
          <w:color w:val="4F81BD" w:themeColor="accent1"/>
          <w:sz w:val="32"/>
          <w:u w:val="thick" w:color="996633"/>
        </w:rPr>
        <w:tab/>
      </w:r>
      <w:r w:rsidR="00035E7B" w:rsidRPr="001D5606">
        <w:rPr>
          <w:rFonts w:asciiTheme="minorHAnsi" w:hAnsiTheme="minorHAnsi" w:cstheme="minorHAnsi"/>
          <w:b/>
          <w:color w:val="4F81BD" w:themeColor="accent1"/>
          <w:sz w:val="32"/>
          <w:u w:val="thick" w:color="996633"/>
        </w:rPr>
        <w:tab/>
      </w:r>
      <w:r w:rsidR="00035E7B" w:rsidRPr="001D5606">
        <w:rPr>
          <w:rFonts w:asciiTheme="minorHAnsi" w:hAnsiTheme="minorHAnsi" w:cstheme="minorHAnsi"/>
          <w:b/>
          <w:color w:val="4F81BD" w:themeColor="accent1"/>
          <w:sz w:val="32"/>
          <w:u w:val="thick" w:color="996633"/>
        </w:rPr>
        <w:tab/>
      </w:r>
      <w:r w:rsidR="0068292C" w:rsidRPr="001D5606">
        <w:rPr>
          <w:rFonts w:asciiTheme="minorHAnsi" w:hAnsiTheme="minorHAnsi" w:cstheme="minorHAnsi"/>
          <w:b/>
          <w:color w:val="4F81BD" w:themeColor="accent1"/>
          <w:sz w:val="32"/>
          <w:u w:val="thick" w:color="996633"/>
        </w:rPr>
        <w:t>1</w:t>
      </w:r>
      <w:r w:rsidR="001745A1">
        <w:rPr>
          <w:rFonts w:asciiTheme="minorHAnsi" w:hAnsiTheme="minorHAnsi" w:cstheme="minorHAnsi"/>
          <w:b/>
          <w:color w:val="4F81BD" w:themeColor="accent1"/>
          <w:sz w:val="32"/>
          <w:u w:val="thick" w:color="996633"/>
        </w:rPr>
        <w:t>1</w:t>
      </w:r>
    </w:p>
    <w:p w:rsidR="00284ADD" w:rsidRPr="001D5606" w:rsidRDefault="00284ADD" w:rsidP="002B2FD1">
      <w:pPr>
        <w:ind w:left="357"/>
        <w:rPr>
          <w:rFonts w:asciiTheme="minorHAnsi" w:hAnsiTheme="minorHAnsi" w:cstheme="minorHAnsi"/>
          <w:b/>
          <w:color w:val="4F81BD" w:themeColor="accent1"/>
          <w:sz w:val="32"/>
          <w:u w:val="thick" w:color="996633"/>
        </w:rPr>
      </w:pPr>
    </w:p>
    <w:p w:rsidR="00EC64FD" w:rsidRPr="001D5606" w:rsidRDefault="00EC64FD" w:rsidP="002B2FD1">
      <w:pPr>
        <w:rPr>
          <w:rFonts w:asciiTheme="minorHAnsi" w:hAnsiTheme="minorHAnsi" w:cstheme="minorHAnsi"/>
          <w:b/>
          <w:color w:val="4F81BD" w:themeColor="accent1"/>
          <w:sz w:val="32"/>
          <w:u w:val="thick" w:color="996633"/>
        </w:rPr>
      </w:pPr>
    </w:p>
    <w:p w:rsidR="00A83953" w:rsidRPr="001D5606" w:rsidRDefault="00A83953" w:rsidP="002B2FD1">
      <w:pPr>
        <w:spacing w:line="360" w:lineRule="auto"/>
        <w:rPr>
          <w:rFonts w:asciiTheme="minorHAnsi" w:hAnsiTheme="minorHAnsi" w:cstheme="minorHAnsi"/>
          <w:b/>
          <w:color w:val="4F81BD" w:themeColor="accent1"/>
          <w:sz w:val="32"/>
          <w:u w:val="thick" w:color="996633"/>
        </w:rPr>
      </w:pPr>
      <w:r w:rsidRPr="001D5606">
        <w:rPr>
          <w:rFonts w:asciiTheme="minorHAnsi" w:hAnsiTheme="minorHAnsi" w:cstheme="minorHAnsi"/>
          <w:b/>
          <w:color w:val="4F81BD" w:themeColor="accent1"/>
          <w:sz w:val="32"/>
          <w:u w:val="thick" w:color="996633"/>
        </w:rPr>
        <w:t>A</w:t>
      </w:r>
      <w:r w:rsidR="00D05CC4" w:rsidRPr="001D5606">
        <w:rPr>
          <w:rFonts w:asciiTheme="minorHAnsi" w:hAnsiTheme="minorHAnsi" w:cstheme="minorHAnsi"/>
          <w:b/>
          <w:color w:val="4F81BD" w:themeColor="accent1"/>
          <w:sz w:val="32"/>
          <w:u w:val="thick" w:color="996633"/>
        </w:rPr>
        <w:t>ppendices</w:t>
      </w:r>
      <w:r w:rsidR="00BC7C3F" w:rsidRPr="001D5606">
        <w:rPr>
          <w:rFonts w:asciiTheme="minorHAnsi" w:hAnsiTheme="minorHAnsi" w:cstheme="minorHAnsi"/>
          <w:b/>
          <w:color w:val="4F81BD" w:themeColor="accent1"/>
          <w:sz w:val="32"/>
          <w:u w:val="thick" w:color="996633"/>
        </w:rPr>
        <w:t xml:space="preserve"> </w:t>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00D05CC4" w:rsidRPr="001D5606">
        <w:rPr>
          <w:rFonts w:asciiTheme="minorHAnsi" w:hAnsiTheme="minorHAnsi" w:cstheme="minorHAnsi"/>
          <w:b/>
          <w:color w:val="4F81BD" w:themeColor="accent1"/>
          <w:sz w:val="32"/>
          <w:u w:val="thick" w:color="996633"/>
        </w:rPr>
        <w:tab/>
      </w:r>
      <w:r w:rsidR="00AB4B32" w:rsidRPr="001D5606">
        <w:rPr>
          <w:rFonts w:asciiTheme="minorHAnsi" w:hAnsiTheme="minorHAnsi" w:cstheme="minorHAnsi"/>
          <w:b/>
          <w:color w:val="4F81BD" w:themeColor="accent1"/>
          <w:sz w:val="32"/>
          <w:u w:val="thick" w:color="996633"/>
        </w:rPr>
        <w:t>1</w:t>
      </w:r>
      <w:r w:rsidR="001745A1">
        <w:rPr>
          <w:rFonts w:asciiTheme="minorHAnsi" w:hAnsiTheme="minorHAnsi" w:cstheme="minorHAnsi"/>
          <w:b/>
          <w:color w:val="4F81BD" w:themeColor="accent1"/>
          <w:sz w:val="32"/>
          <w:u w:val="thick" w:color="996633"/>
        </w:rPr>
        <w:t>8</w:t>
      </w:r>
    </w:p>
    <w:p w:rsidR="009D1033" w:rsidRPr="001D5606" w:rsidRDefault="009D1033" w:rsidP="007102FA">
      <w:pPr>
        <w:pStyle w:val="ListParagraph"/>
        <w:numPr>
          <w:ilvl w:val="0"/>
          <w:numId w:val="36"/>
        </w:numPr>
        <w:spacing w:line="288" w:lineRule="auto"/>
        <w:rPr>
          <w:rFonts w:asciiTheme="minorHAnsi" w:hAnsiTheme="minorHAnsi" w:cstheme="minorHAnsi"/>
          <w:color w:val="4F81BD" w:themeColor="accent1"/>
          <w:sz w:val="32"/>
        </w:rPr>
      </w:pPr>
      <w:r w:rsidRPr="001D5606">
        <w:rPr>
          <w:rFonts w:asciiTheme="minorHAnsi" w:hAnsiTheme="minorHAnsi" w:cstheme="minorHAnsi"/>
          <w:color w:val="4F81BD" w:themeColor="accent1"/>
          <w:sz w:val="32"/>
        </w:rPr>
        <w:t>Emissions and abatement</w:t>
      </w:r>
      <w:r w:rsidR="00C1101A" w:rsidRPr="001D5606">
        <w:rPr>
          <w:rFonts w:asciiTheme="minorHAnsi" w:hAnsiTheme="minorHAnsi" w:cstheme="minorHAnsi"/>
          <w:color w:val="4F81BD" w:themeColor="accent1"/>
          <w:sz w:val="32"/>
        </w:rPr>
        <w:t xml:space="preserve"> under target scenarios</w:t>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t>1</w:t>
      </w:r>
      <w:r w:rsidR="001745A1">
        <w:rPr>
          <w:rFonts w:asciiTheme="minorHAnsi" w:hAnsiTheme="minorHAnsi" w:cstheme="minorHAnsi"/>
          <w:color w:val="4F81BD" w:themeColor="accent1"/>
          <w:sz w:val="32"/>
        </w:rPr>
        <w:t>8</w:t>
      </w:r>
    </w:p>
    <w:p w:rsidR="00AD3DCD" w:rsidRPr="001D5606" w:rsidRDefault="00D51A6D" w:rsidP="005D437A">
      <w:pPr>
        <w:pStyle w:val="ListParagraph"/>
        <w:spacing w:line="288" w:lineRule="auto"/>
        <w:ind w:left="357"/>
        <w:rPr>
          <w:rFonts w:asciiTheme="minorHAnsi" w:hAnsiTheme="minorHAnsi" w:cstheme="minorHAnsi"/>
          <w:color w:val="4F81BD" w:themeColor="accent1"/>
          <w:sz w:val="32"/>
        </w:rPr>
      </w:pP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19680" behindDoc="0" locked="0" layoutInCell="1" allowOverlap="1" wp14:anchorId="35E364D6" wp14:editId="6FA033AA">
                <wp:simplePos x="0" y="0"/>
                <wp:positionH relativeFrom="column">
                  <wp:posOffset>5558790</wp:posOffset>
                </wp:positionH>
                <wp:positionV relativeFrom="page">
                  <wp:posOffset>9980295</wp:posOffset>
                </wp:positionV>
                <wp:extent cx="565150" cy="381635"/>
                <wp:effectExtent l="0" t="0" r="2540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37.7pt;margin-top:785.85pt;width:44.5pt;height:3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" fillcolor="white [3212]" strokecolor="white [3212]" strokeweight="2pt">
                <v:path arrowok="t"/>
                <w10:wrap anchory="page"/>
              </v:rect>
            </w:pict>
          </mc:Fallback>
        </mc:AlternateContent>
      </w: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18656" behindDoc="0" locked="0" layoutInCell="1" allowOverlap="1" wp14:anchorId="6FEAFD5C" wp14:editId="2506B553">
                <wp:simplePos x="0" y="0"/>
                <wp:positionH relativeFrom="column">
                  <wp:posOffset>5561965</wp:posOffset>
                </wp:positionH>
                <wp:positionV relativeFrom="paragraph">
                  <wp:posOffset>2706370</wp:posOffset>
                </wp:positionV>
                <wp:extent cx="565785" cy="38100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7.95pt;margin-top:213.1pt;width:44.55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" fillcolor="white [3212]" strokecolor="white [3212]" strokeweight="2pt">
                <v:path arrowok="t"/>
              </v:rect>
            </w:pict>
          </mc:Fallback>
        </mc:AlternateContent>
      </w:r>
      <w:r w:rsidR="007102FA">
        <w:rPr>
          <w:rFonts w:asciiTheme="minorHAnsi" w:hAnsiTheme="minorHAnsi" w:cstheme="minorHAnsi"/>
          <w:color w:val="4F81BD" w:themeColor="accent1"/>
          <w:sz w:val="32"/>
        </w:rPr>
        <w:t>B.</w:t>
      </w:r>
      <w:r w:rsidR="00B90C1C" w:rsidRPr="001D5606">
        <w:rPr>
          <w:rFonts w:asciiTheme="minorHAnsi" w:hAnsiTheme="minorHAnsi" w:cstheme="minorHAnsi"/>
          <w:color w:val="4F81BD" w:themeColor="accent1"/>
          <w:sz w:val="32"/>
        </w:rPr>
        <w:t xml:space="preserve"> </w:t>
      </w:r>
      <w:r w:rsidR="00AD3DCD" w:rsidRPr="001D5606">
        <w:rPr>
          <w:rFonts w:asciiTheme="minorHAnsi" w:hAnsiTheme="minorHAnsi" w:cstheme="minorHAnsi"/>
          <w:color w:val="4F81BD" w:themeColor="accent1"/>
          <w:sz w:val="32"/>
        </w:rPr>
        <w:t>Overall economic impacts</w:t>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1745A1">
        <w:rPr>
          <w:rFonts w:asciiTheme="minorHAnsi" w:hAnsiTheme="minorHAnsi" w:cstheme="minorHAnsi"/>
          <w:color w:val="4F81BD" w:themeColor="accent1"/>
          <w:sz w:val="32"/>
        </w:rPr>
        <w:t>19</w:t>
      </w:r>
    </w:p>
    <w:p w:rsidR="00AD3DCD" w:rsidRPr="001D5606" w:rsidRDefault="007102FA" w:rsidP="005D437A">
      <w:pPr>
        <w:pStyle w:val="ListParagraph"/>
        <w:spacing w:line="288" w:lineRule="auto"/>
        <w:ind w:left="357"/>
        <w:rPr>
          <w:rFonts w:asciiTheme="minorHAnsi" w:hAnsiTheme="minorHAnsi" w:cstheme="minorHAnsi"/>
          <w:color w:val="4F81BD" w:themeColor="accent1"/>
          <w:sz w:val="32"/>
        </w:rPr>
      </w:pPr>
      <w:r>
        <w:rPr>
          <w:rFonts w:asciiTheme="minorHAnsi" w:hAnsiTheme="minorHAnsi" w:cstheme="minorHAnsi"/>
          <w:color w:val="4F81BD" w:themeColor="accent1"/>
          <w:sz w:val="32"/>
        </w:rPr>
        <w:t>C.</w:t>
      </w:r>
      <w:r w:rsidR="00AD3DCD" w:rsidRPr="001D5606">
        <w:rPr>
          <w:rFonts w:asciiTheme="minorHAnsi" w:hAnsiTheme="minorHAnsi" w:cstheme="minorHAnsi"/>
          <w:color w:val="4F81BD" w:themeColor="accent1"/>
          <w:sz w:val="32"/>
        </w:rPr>
        <w:t xml:space="preserve"> Key</w:t>
      </w:r>
      <w:r w:rsidR="000A0D12" w:rsidRPr="001D5606">
        <w:rPr>
          <w:rFonts w:asciiTheme="minorHAnsi" w:hAnsiTheme="minorHAnsi" w:cstheme="minorHAnsi"/>
          <w:color w:val="4F81BD" w:themeColor="accent1"/>
          <w:sz w:val="32"/>
        </w:rPr>
        <w:t xml:space="preserve"> economic</w:t>
      </w:r>
      <w:r w:rsidR="00AD3DCD" w:rsidRPr="001D5606">
        <w:rPr>
          <w:rFonts w:asciiTheme="minorHAnsi" w:hAnsiTheme="minorHAnsi" w:cstheme="minorHAnsi"/>
          <w:color w:val="4F81BD" w:themeColor="accent1"/>
          <w:sz w:val="32"/>
        </w:rPr>
        <w:t xml:space="preserve"> indicators </w:t>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t>2</w:t>
      </w:r>
      <w:r w:rsidR="001745A1">
        <w:rPr>
          <w:rFonts w:asciiTheme="minorHAnsi" w:hAnsiTheme="minorHAnsi" w:cstheme="minorHAnsi"/>
          <w:color w:val="4F81BD" w:themeColor="accent1"/>
          <w:sz w:val="32"/>
        </w:rPr>
        <w:t>1</w:t>
      </w:r>
    </w:p>
    <w:p w:rsidR="00AD3DCD" w:rsidRPr="001D5606" w:rsidRDefault="007102FA" w:rsidP="005D437A">
      <w:pPr>
        <w:pStyle w:val="ListParagraph"/>
        <w:spacing w:line="288" w:lineRule="auto"/>
        <w:ind w:left="357"/>
        <w:rPr>
          <w:rFonts w:asciiTheme="minorHAnsi" w:hAnsiTheme="minorHAnsi" w:cstheme="minorHAnsi"/>
          <w:color w:val="4F81BD" w:themeColor="accent1"/>
          <w:sz w:val="32"/>
        </w:rPr>
      </w:pPr>
      <w:r>
        <w:rPr>
          <w:rFonts w:asciiTheme="minorHAnsi" w:hAnsiTheme="minorHAnsi" w:cstheme="minorHAnsi"/>
          <w:color w:val="4F81BD" w:themeColor="accent1"/>
          <w:sz w:val="32"/>
        </w:rPr>
        <w:t>D.</w:t>
      </w:r>
      <w:r w:rsidR="00AD3DCD" w:rsidRPr="001D5606">
        <w:rPr>
          <w:rFonts w:asciiTheme="minorHAnsi" w:hAnsiTheme="minorHAnsi" w:cstheme="minorHAnsi"/>
          <w:color w:val="4F81BD" w:themeColor="accent1"/>
          <w:sz w:val="32"/>
        </w:rPr>
        <w:t xml:space="preserve"> Sectoral impacts</w:t>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r>
      <w:r>
        <w:rPr>
          <w:rFonts w:asciiTheme="minorHAnsi" w:hAnsiTheme="minorHAnsi" w:cstheme="minorHAnsi"/>
          <w:color w:val="4F81BD" w:themeColor="accent1"/>
          <w:sz w:val="32"/>
        </w:rPr>
        <w:tab/>
        <w:t>2</w:t>
      </w:r>
      <w:r w:rsidR="001745A1">
        <w:rPr>
          <w:rFonts w:asciiTheme="minorHAnsi" w:hAnsiTheme="minorHAnsi" w:cstheme="minorHAnsi"/>
          <w:color w:val="4F81BD" w:themeColor="accent1"/>
          <w:sz w:val="32"/>
        </w:rPr>
        <w:t>4</w:t>
      </w:r>
    </w:p>
    <w:p w:rsidR="00924C10" w:rsidRPr="001D5606" w:rsidRDefault="00D51A6D" w:rsidP="005D437A">
      <w:pPr>
        <w:pStyle w:val="ListParagraph"/>
        <w:spacing w:line="288" w:lineRule="auto"/>
        <w:ind w:left="357"/>
        <w:rPr>
          <w:rFonts w:asciiTheme="minorHAnsi" w:hAnsiTheme="minorHAnsi" w:cstheme="minorHAnsi"/>
          <w:color w:val="4F81BD" w:themeColor="accent1"/>
          <w:sz w:val="32"/>
        </w:rPr>
      </w:pP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22752" behindDoc="0" locked="0" layoutInCell="1" allowOverlap="1" wp14:anchorId="7E04BF28" wp14:editId="17264CE8">
                <wp:simplePos x="0" y="0"/>
                <wp:positionH relativeFrom="column">
                  <wp:posOffset>5558790</wp:posOffset>
                </wp:positionH>
                <wp:positionV relativeFrom="page">
                  <wp:posOffset>9980295</wp:posOffset>
                </wp:positionV>
                <wp:extent cx="565150" cy="381635"/>
                <wp:effectExtent l="0" t="0" r="25400"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37.7pt;margin-top:785.85pt;width:44.5pt;height:3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" fillcolor="white [3212]" strokecolor="white [3212]" strokeweight="2pt">
                <v:path arrowok="t"/>
                <w10:wrap anchory="page"/>
              </v:rect>
            </w:pict>
          </mc:Fallback>
        </mc:AlternateContent>
      </w: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21728" behindDoc="0" locked="0" layoutInCell="1" allowOverlap="1" wp14:anchorId="33611EFF" wp14:editId="2FEEF7C0">
                <wp:simplePos x="0" y="0"/>
                <wp:positionH relativeFrom="column">
                  <wp:posOffset>5561965</wp:posOffset>
                </wp:positionH>
                <wp:positionV relativeFrom="paragraph">
                  <wp:posOffset>2706370</wp:posOffset>
                </wp:positionV>
                <wp:extent cx="565785" cy="381000"/>
                <wp:effectExtent l="0" t="0" r="2476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7.95pt;margin-top:213.1pt;width:44.5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" fillcolor="white [3212]" strokecolor="white [3212]" strokeweight="2pt">
                <v:path arrowok="t"/>
              </v:rect>
            </w:pict>
          </mc:Fallback>
        </mc:AlternateContent>
      </w:r>
      <w:r w:rsidRPr="001D5606">
        <w:rPr>
          <w:rFonts w:asciiTheme="minorHAnsi" w:hAnsiTheme="minorHAnsi" w:cstheme="minorHAnsi"/>
          <w:color w:val="4F81BD" w:themeColor="accent1"/>
          <w:sz w:val="32"/>
        </w:rPr>
        <w:t>E</w:t>
      </w:r>
      <w:r w:rsidR="007102FA">
        <w:rPr>
          <w:rFonts w:asciiTheme="minorHAnsi" w:hAnsiTheme="minorHAnsi" w:cstheme="minorHAnsi"/>
          <w:color w:val="4F81BD" w:themeColor="accent1"/>
          <w:sz w:val="32"/>
        </w:rPr>
        <w:t>.</w:t>
      </w:r>
      <w:r w:rsidR="00924C10" w:rsidRPr="001D5606">
        <w:rPr>
          <w:rFonts w:asciiTheme="minorHAnsi" w:hAnsiTheme="minorHAnsi" w:cstheme="minorHAnsi"/>
          <w:color w:val="4F81BD" w:themeColor="accent1"/>
          <w:sz w:val="32"/>
        </w:rPr>
        <w:t xml:space="preserve"> Sensitivity to </w:t>
      </w:r>
      <w:r w:rsidR="009E08EE">
        <w:rPr>
          <w:rFonts w:asciiTheme="minorHAnsi" w:hAnsiTheme="minorHAnsi" w:cstheme="minorHAnsi"/>
          <w:color w:val="4F81BD" w:themeColor="accent1"/>
          <w:sz w:val="32"/>
        </w:rPr>
        <w:t>t</w:t>
      </w:r>
      <w:r w:rsidR="009E08EE" w:rsidRPr="001D5606">
        <w:rPr>
          <w:rFonts w:asciiTheme="minorHAnsi" w:hAnsiTheme="minorHAnsi" w:cstheme="minorHAnsi"/>
          <w:color w:val="4F81BD" w:themeColor="accent1"/>
          <w:sz w:val="32"/>
        </w:rPr>
        <w:t xml:space="preserve">echnology </w:t>
      </w:r>
      <w:r w:rsidR="009E08EE">
        <w:rPr>
          <w:rFonts w:asciiTheme="minorHAnsi" w:hAnsiTheme="minorHAnsi" w:cstheme="minorHAnsi"/>
          <w:color w:val="4F81BD" w:themeColor="accent1"/>
          <w:sz w:val="32"/>
        </w:rPr>
        <w:t>c</w:t>
      </w:r>
      <w:r w:rsidR="009E08EE" w:rsidRPr="001D5606">
        <w:rPr>
          <w:rFonts w:asciiTheme="minorHAnsi" w:hAnsiTheme="minorHAnsi" w:cstheme="minorHAnsi"/>
          <w:color w:val="4F81BD" w:themeColor="accent1"/>
          <w:sz w:val="32"/>
        </w:rPr>
        <w:t xml:space="preserve">ost </w:t>
      </w:r>
      <w:r w:rsidR="009E08EE">
        <w:rPr>
          <w:rFonts w:asciiTheme="minorHAnsi" w:hAnsiTheme="minorHAnsi" w:cstheme="minorHAnsi"/>
          <w:color w:val="4F81BD" w:themeColor="accent1"/>
          <w:sz w:val="32"/>
        </w:rPr>
        <w:t>a</w:t>
      </w:r>
      <w:r w:rsidR="009E08EE" w:rsidRPr="001D5606">
        <w:rPr>
          <w:rFonts w:asciiTheme="minorHAnsi" w:hAnsiTheme="minorHAnsi" w:cstheme="minorHAnsi"/>
          <w:color w:val="4F81BD" w:themeColor="accent1"/>
          <w:sz w:val="32"/>
        </w:rPr>
        <w:t>ssumption</w:t>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t>2</w:t>
      </w:r>
      <w:r w:rsidR="001745A1">
        <w:rPr>
          <w:rFonts w:asciiTheme="minorHAnsi" w:hAnsiTheme="minorHAnsi" w:cstheme="minorHAnsi"/>
          <w:color w:val="4F81BD" w:themeColor="accent1"/>
          <w:sz w:val="32"/>
        </w:rPr>
        <w:t>8</w:t>
      </w:r>
    </w:p>
    <w:p w:rsidR="004C018B" w:rsidRDefault="00D51A6D" w:rsidP="005D437A">
      <w:pPr>
        <w:pStyle w:val="ListParagraph"/>
        <w:spacing w:line="288" w:lineRule="auto"/>
        <w:ind w:left="357"/>
        <w:rPr>
          <w:rFonts w:asciiTheme="minorHAnsi" w:hAnsiTheme="minorHAnsi" w:cstheme="minorHAnsi"/>
          <w:color w:val="4F81BD" w:themeColor="accent1"/>
          <w:sz w:val="32"/>
        </w:rPr>
      </w:pP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25824" behindDoc="0" locked="0" layoutInCell="1" allowOverlap="1" wp14:anchorId="5484EBA5" wp14:editId="0A510D3C">
                <wp:simplePos x="0" y="0"/>
                <wp:positionH relativeFrom="column">
                  <wp:posOffset>5558790</wp:posOffset>
                </wp:positionH>
                <wp:positionV relativeFrom="page">
                  <wp:posOffset>9980295</wp:posOffset>
                </wp:positionV>
                <wp:extent cx="565150" cy="381635"/>
                <wp:effectExtent l="0" t="0" r="25400"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37.7pt;margin-top:785.85pt;width:44.5pt;height:3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" fillcolor="white [3212]" strokecolor="white [3212]" strokeweight="2pt">
                <v:path arrowok="t"/>
                <w10:wrap anchory="page"/>
              </v:rect>
            </w:pict>
          </mc:Fallback>
        </mc:AlternateContent>
      </w:r>
      <w:r w:rsidRPr="001D5606">
        <w:rPr>
          <w:rFonts w:asciiTheme="minorHAnsi" w:hAnsiTheme="minorHAnsi" w:cstheme="minorHAnsi"/>
          <w:b/>
          <w:noProof/>
          <w:color w:val="4F81BD" w:themeColor="accent1"/>
          <w:sz w:val="32"/>
          <w:lang w:eastAsia="en-AU"/>
        </w:rPr>
        <mc:AlternateContent>
          <mc:Choice Requires="wps">
            <w:drawing>
              <wp:anchor distT="0" distB="0" distL="114300" distR="114300" simplePos="0" relativeHeight="251724800" behindDoc="0" locked="0" layoutInCell="1" allowOverlap="1" wp14:anchorId="627566AD" wp14:editId="4CF0D74F">
                <wp:simplePos x="0" y="0"/>
                <wp:positionH relativeFrom="column">
                  <wp:posOffset>5561965</wp:posOffset>
                </wp:positionH>
                <wp:positionV relativeFrom="paragraph">
                  <wp:posOffset>2706370</wp:posOffset>
                </wp:positionV>
                <wp:extent cx="565785" cy="381000"/>
                <wp:effectExtent l="0" t="0" r="2476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7.95pt;margin-top:213.1pt;width:44.5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" fillcolor="white [3212]" strokecolor="white [3212]" strokeweight="2pt">
                <v:path arrowok="t"/>
              </v:rect>
            </w:pict>
          </mc:Fallback>
        </mc:AlternateContent>
      </w:r>
      <w:r w:rsidRPr="001D5606">
        <w:rPr>
          <w:rFonts w:asciiTheme="minorHAnsi" w:hAnsiTheme="minorHAnsi" w:cstheme="minorHAnsi"/>
          <w:color w:val="4F81BD" w:themeColor="accent1"/>
          <w:sz w:val="32"/>
        </w:rPr>
        <w:t>F</w:t>
      </w:r>
      <w:r w:rsidR="007102FA">
        <w:rPr>
          <w:rFonts w:asciiTheme="minorHAnsi" w:hAnsiTheme="minorHAnsi" w:cstheme="minorHAnsi"/>
          <w:color w:val="4F81BD" w:themeColor="accent1"/>
          <w:sz w:val="32"/>
        </w:rPr>
        <w:t>.</w:t>
      </w:r>
      <w:r w:rsidR="004C018B" w:rsidRPr="001D5606">
        <w:rPr>
          <w:rFonts w:asciiTheme="minorHAnsi" w:hAnsiTheme="minorHAnsi" w:cstheme="minorHAnsi"/>
          <w:color w:val="4F81BD" w:themeColor="accent1"/>
          <w:sz w:val="32"/>
        </w:rPr>
        <w:t xml:space="preserve"> Sensitivity to </w:t>
      </w:r>
      <w:r w:rsidR="009E08EE">
        <w:rPr>
          <w:rFonts w:asciiTheme="minorHAnsi" w:hAnsiTheme="minorHAnsi" w:cstheme="minorHAnsi"/>
          <w:color w:val="4F81BD" w:themeColor="accent1"/>
          <w:sz w:val="32"/>
        </w:rPr>
        <w:t>p</w:t>
      </w:r>
      <w:r w:rsidR="009E08EE" w:rsidRPr="001D5606">
        <w:rPr>
          <w:rFonts w:asciiTheme="minorHAnsi" w:hAnsiTheme="minorHAnsi" w:cstheme="minorHAnsi"/>
          <w:color w:val="4F81BD" w:themeColor="accent1"/>
          <w:sz w:val="32"/>
        </w:rPr>
        <w:t xml:space="preserve">olicy </w:t>
      </w:r>
      <w:r w:rsidR="009E08EE">
        <w:rPr>
          <w:rFonts w:asciiTheme="minorHAnsi" w:hAnsiTheme="minorHAnsi" w:cstheme="minorHAnsi"/>
          <w:color w:val="4F81BD" w:themeColor="accent1"/>
          <w:sz w:val="32"/>
        </w:rPr>
        <w:t>m</w:t>
      </w:r>
      <w:r w:rsidR="009E08EE" w:rsidRPr="001D5606">
        <w:rPr>
          <w:rFonts w:asciiTheme="minorHAnsi" w:hAnsiTheme="minorHAnsi" w:cstheme="minorHAnsi"/>
          <w:color w:val="4F81BD" w:themeColor="accent1"/>
          <w:sz w:val="32"/>
        </w:rPr>
        <w:t xml:space="preserve">ix </w:t>
      </w:r>
      <w:r w:rsidR="009E08EE">
        <w:rPr>
          <w:rFonts w:asciiTheme="minorHAnsi" w:hAnsiTheme="minorHAnsi" w:cstheme="minorHAnsi"/>
          <w:color w:val="4F81BD" w:themeColor="accent1"/>
          <w:sz w:val="32"/>
        </w:rPr>
        <w:t>a</w:t>
      </w:r>
      <w:r w:rsidR="009E08EE" w:rsidRPr="001D5606">
        <w:rPr>
          <w:rFonts w:asciiTheme="minorHAnsi" w:hAnsiTheme="minorHAnsi" w:cstheme="minorHAnsi"/>
          <w:color w:val="4F81BD" w:themeColor="accent1"/>
          <w:sz w:val="32"/>
        </w:rPr>
        <w:t>ssumption</w:t>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r>
      <w:r w:rsidR="007102FA">
        <w:rPr>
          <w:rFonts w:asciiTheme="minorHAnsi" w:hAnsiTheme="minorHAnsi" w:cstheme="minorHAnsi"/>
          <w:color w:val="4F81BD" w:themeColor="accent1"/>
          <w:sz w:val="32"/>
        </w:rPr>
        <w:tab/>
        <w:t>3</w:t>
      </w:r>
      <w:r w:rsidR="001745A1">
        <w:rPr>
          <w:rFonts w:asciiTheme="minorHAnsi" w:hAnsiTheme="minorHAnsi" w:cstheme="minorHAnsi"/>
          <w:color w:val="4F81BD" w:themeColor="accent1"/>
          <w:sz w:val="32"/>
        </w:rPr>
        <w:t>0</w:t>
      </w:r>
    </w:p>
    <w:p w:rsidR="002B2FD1" w:rsidRPr="001D5606" w:rsidRDefault="002B2FD1" w:rsidP="004C018B">
      <w:pPr>
        <w:pStyle w:val="ListParagraph"/>
        <w:spacing w:line="288" w:lineRule="auto"/>
        <w:ind w:left="1134"/>
        <w:rPr>
          <w:rFonts w:asciiTheme="minorHAnsi" w:hAnsiTheme="minorHAnsi" w:cstheme="minorHAnsi"/>
          <w:color w:val="4F81BD" w:themeColor="accent1"/>
          <w:sz w:val="32"/>
        </w:rPr>
      </w:pPr>
    </w:p>
    <w:p w:rsidR="004747A4" w:rsidRPr="001D5606" w:rsidRDefault="004747A4" w:rsidP="004747A4">
      <w:pPr>
        <w:spacing w:line="360" w:lineRule="auto"/>
        <w:rPr>
          <w:rFonts w:asciiTheme="minorHAnsi" w:hAnsiTheme="minorHAnsi" w:cstheme="minorHAnsi"/>
          <w:b/>
          <w:color w:val="4F81BD" w:themeColor="accent1"/>
          <w:sz w:val="32"/>
          <w:u w:val="thick" w:color="996633"/>
        </w:rPr>
      </w:pPr>
      <w:r w:rsidRPr="001D5606">
        <w:rPr>
          <w:rFonts w:asciiTheme="minorHAnsi" w:hAnsiTheme="minorHAnsi" w:cstheme="minorHAnsi"/>
          <w:b/>
          <w:color w:val="4F81BD" w:themeColor="accent1"/>
          <w:sz w:val="32"/>
          <w:u w:val="thick" w:color="996633"/>
        </w:rPr>
        <w:t>References</w:t>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r>
      <w:r w:rsidRPr="001D5606">
        <w:rPr>
          <w:rFonts w:asciiTheme="minorHAnsi" w:hAnsiTheme="minorHAnsi" w:cstheme="minorHAnsi"/>
          <w:b/>
          <w:color w:val="4F81BD" w:themeColor="accent1"/>
          <w:sz w:val="32"/>
          <w:u w:val="thick" w:color="996633"/>
        </w:rPr>
        <w:tab/>
        <w:t>3</w:t>
      </w:r>
      <w:r w:rsidR="001745A1">
        <w:rPr>
          <w:rFonts w:asciiTheme="minorHAnsi" w:hAnsiTheme="minorHAnsi" w:cstheme="minorHAnsi"/>
          <w:b/>
          <w:color w:val="4F81BD" w:themeColor="accent1"/>
          <w:sz w:val="32"/>
          <w:u w:val="thick" w:color="996633"/>
        </w:rPr>
        <w:t>4</w:t>
      </w:r>
    </w:p>
    <w:p w:rsidR="00EB00CE" w:rsidRDefault="00EB00CE">
      <w:pPr>
        <w:rPr>
          <w:rFonts w:asciiTheme="minorHAnsi" w:hAnsiTheme="minorHAnsi" w:cstheme="minorHAnsi"/>
          <w:b/>
          <w:color w:val="0070C0"/>
          <w:sz w:val="40"/>
        </w:rPr>
      </w:pPr>
      <w:r>
        <w:rPr>
          <w:rFonts w:asciiTheme="minorHAnsi" w:hAnsiTheme="minorHAnsi" w:cstheme="minorHAnsi"/>
          <w:b/>
          <w:color w:val="0070C0"/>
          <w:sz w:val="40"/>
        </w:rPr>
        <w:br w:type="page"/>
      </w:r>
    </w:p>
    <w:p w:rsidR="00EB00CE" w:rsidRDefault="00EB00CE" w:rsidP="00EB00CE">
      <w:pPr>
        <w:rPr>
          <w:rFonts w:asciiTheme="minorHAnsi" w:hAnsiTheme="minorHAnsi" w:cstheme="minorHAnsi"/>
          <w:b/>
          <w:color w:val="996633"/>
          <w:sz w:val="40"/>
        </w:rPr>
      </w:pPr>
      <w:r>
        <w:rPr>
          <w:rFonts w:asciiTheme="minorHAnsi" w:hAnsiTheme="minorHAnsi" w:cstheme="minorHAnsi"/>
          <w:b/>
          <w:color w:val="996633"/>
          <w:sz w:val="40"/>
        </w:rPr>
        <w:lastRenderedPageBreak/>
        <w:t>List of Tables and Figures</w:t>
      </w:r>
    </w:p>
    <w:p w:rsidR="00EB00CE" w:rsidRPr="00EB00CE" w:rsidRDefault="00EB00CE" w:rsidP="00EB00CE">
      <w:pPr>
        <w:rPr>
          <w:rFonts w:asciiTheme="minorHAnsi" w:hAnsiTheme="minorHAnsi" w:cstheme="minorHAnsi"/>
          <w:b/>
          <w:color w:val="996633"/>
          <w:sz w:val="20"/>
        </w:rPr>
      </w:pP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gridCol w:w="369"/>
      </w:tblGrid>
      <w:tr w:rsidR="007D6550" w:rsidRPr="007D6550" w:rsidTr="00B13E73">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Table 1: </w:t>
            </w:r>
            <w:r w:rsidRPr="007D6550">
              <w:rPr>
                <w:rFonts w:asciiTheme="minorHAnsi" w:hAnsiTheme="minorHAnsi" w:cstheme="minorHAnsi"/>
                <w:color w:val="4F81BD" w:themeColor="accent1"/>
                <w:sz w:val="20"/>
              </w:rPr>
              <w:t>Key indicators (percentage deviation in 2030 from Paris scenario)</w:t>
            </w:r>
          </w:p>
        </w:tc>
        <w:tc>
          <w:tcPr>
            <w:tcW w:w="369" w:type="dxa"/>
            <w:vAlign w:val="bottom"/>
          </w:tcPr>
          <w:p w:rsidR="007D6550" w:rsidRPr="007D6550" w:rsidRDefault="007D6550" w:rsidP="009F4446">
            <w:pPr>
              <w:jc w:val="right"/>
              <w:rPr>
                <w:rFonts w:asciiTheme="minorHAnsi" w:hAnsiTheme="minorHAnsi" w:cstheme="minorHAnsi"/>
                <w:color w:val="4F81BD" w:themeColor="accent1"/>
                <w:sz w:val="20"/>
              </w:rPr>
            </w:pPr>
            <w:r w:rsidRPr="007D6550">
              <w:rPr>
                <w:rFonts w:asciiTheme="minorHAnsi" w:hAnsiTheme="minorHAnsi" w:cstheme="minorHAnsi"/>
                <w:color w:val="4F81BD" w:themeColor="accent1"/>
                <w:sz w:val="20"/>
              </w:rPr>
              <w:t>1</w:t>
            </w:r>
            <w:r w:rsidR="009F4446">
              <w:rPr>
                <w:rFonts w:asciiTheme="minorHAnsi" w:hAnsiTheme="minorHAnsi" w:cstheme="minorHAnsi"/>
                <w:color w:val="4F81BD" w:themeColor="accent1"/>
                <w:sz w:val="20"/>
              </w:rPr>
              <w:t>3</w:t>
            </w:r>
          </w:p>
        </w:tc>
      </w:tr>
      <w:tr w:rsidR="007D6550" w:rsidRPr="007D6550" w:rsidTr="00B13E73">
        <w:tc>
          <w:tcPr>
            <w:tcW w:w="7937" w:type="dxa"/>
          </w:tcPr>
          <w:p w:rsidR="007D6550" w:rsidRPr="007D6550" w:rsidRDefault="007D6550" w:rsidP="00B13E73">
            <w:pPr>
              <w:pStyle w:val="ListParagraph"/>
              <w:ind w:left="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Table 2: </w:t>
            </w:r>
            <w:r w:rsidRPr="007D6550">
              <w:rPr>
                <w:rFonts w:asciiTheme="minorHAnsi" w:hAnsiTheme="minorHAnsi" w:cstheme="minorHAnsi"/>
                <w:color w:val="4F81BD" w:themeColor="accent1"/>
                <w:sz w:val="20"/>
              </w:rPr>
              <w:t>Target impacts on GDP, Australia and key countries, 2030 (percentage deviation)</w:t>
            </w:r>
          </w:p>
        </w:tc>
        <w:tc>
          <w:tcPr>
            <w:tcW w:w="369" w:type="dxa"/>
            <w:vAlign w:val="bottom"/>
          </w:tcPr>
          <w:p w:rsidR="007D6550" w:rsidRPr="007D6550" w:rsidRDefault="007D6550" w:rsidP="009F4446">
            <w:pPr>
              <w:pStyle w:val="ListParagraph"/>
              <w:ind w:left="0"/>
              <w:jc w:val="right"/>
              <w:rPr>
                <w:rFonts w:asciiTheme="minorHAnsi" w:hAnsiTheme="minorHAnsi" w:cstheme="minorHAnsi"/>
                <w:color w:val="4F81BD" w:themeColor="accent1"/>
                <w:sz w:val="20"/>
              </w:rPr>
            </w:pPr>
            <w:r w:rsidRPr="007D6550">
              <w:rPr>
                <w:rFonts w:asciiTheme="minorHAnsi" w:hAnsiTheme="minorHAnsi" w:cstheme="minorHAnsi"/>
                <w:color w:val="4F81BD" w:themeColor="accent1"/>
                <w:sz w:val="20"/>
              </w:rPr>
              <w:t>1</w:t>
            </w:r>
            <w:r w:rsidR="009F4446">
              <w:rPr>
                <w:rFonts w:asciiTheme="minorHAnsi" w:hAnsiTheme="minorHAnsi" w:cstheme="minorHAnsi"/>
                <w:color w:val="4F81BD" w:themeColor="accent1"/>
                <w:sz w:val="20"/>
              </w:rPr>
              <w:t>5</w:t>
            </w:r>
          </w:p>
        </w:tc>
      </w:tr>
      <w:tr w:rsidR="007D6550" w:rsidRPr="007D6550" w:rsidTr="00B13E73">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Table A-1: </w:t>
            </w:r>
            <w:r w:rsidRPr="007D6550">
              <w:rPr>
                <w:rFonts w:asciiTheme="minorHAnsi" w:hAnsiTheme="minorHAnsi" w:cstheme="minorHAnsi"/>
                <w:color w:val="4F81BD" w:themeColor="accent1"/>
                <w:sz w:val="20"/>
              </w:rPr>
              <w:t>Energy sector emissions and abatement – core target scenarios and policy mix sensitivity analysis, 2030 (Mt CO</w:t>
            </w:r>
            <w:r w:rsidRPr="007D6550">
              <w:rPr>
                <w:rFonts w:asciiTheme="minorHAnsi" w:hAnsiTheme="minorHAnsi" w:cstheme="minorHAnsi"/>
                <w:color w:val="4F81BD" w:themeColor="accent1"/>
                <w:sz w:val="20"/>
                <w:vertAlign w:val="subscript"/>
              </w:rPr>
              <w:t>2</w:t>
            </w:r>
            <w:r w:rsidRPr="007D6550">
              <w:rPr>
                <w:rFonts w:asciiTheme="minorHAnsi" w:hAnsiTheme="minorHAnsi" w:cstheme="minorHAnsi"/>
                <w:color w:val="4F81BD" w:themeColor="accent1"/>
                <w:sz w:val="20"/>
              </w:rPr>
              <w:t>)</w:t>
            </w:r>
          </w:p>
        </w:tc>
        <w:tc>
          <w:tcPr>
            <w:tcW w:w="369" w:type="dxa"/>
            <w:vAlign w:val="bottom"/>
          </w:tcPr>
          <w:p w:rsidR="007D6550" w:rsidRPr="007D6550" w:rsidRDefault="007D6550" w:rsidP="009F4446">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9F4446">
              <w:rPr>
                <w:rFonts w:asciiTheme="minorHAnsi" w:hAnsiTheme="minorHAnsi" w:cstheme="minorHAnsi"/>
                <w:color w:val="4F81BD" w:themeColor="accent1"/>
                <w:sz w:val="20"/>
              </w:rPr>
              <w:t>8</w:t>
            </w:r>
          </w:p>
        </w:tc>
      </w:tr>
      <w:tr w:rsidR="007D6550" w:rsidRPr="007D6550" w:rsidTr="00B13E73">
        <w:tc>
          <w:tcPr>
            <w:tcW w:w="7937" w:type="dxa"/>
          </w:tcPr>
          <w:p w:rsidR="007D6550" w:rsidRPr="007D6550" w:rsidRDefault="007D6550" w:rsidP="00B13E73">
            <w:pPr>
              <w:rPr>
                <w:rFonts w:asciiTheme="minorHAnsi" w:hAnsiTheme="minorHAnsi" w:cstheme="minorHAnsi"/>
                <w:b/>
                <w:color w:val="4F81BD" w:themeColor="accent1"/>
                <w:sz w:val="20"/>
              </w:rPr>
            </w:pPr>
            <w:r w:rsidRPr="007D6550">
              <w:rPr>
                <w:rFonts w:asciiTheme="minorHAnsi" w:hAnsiTheme="minorHAnsi" w:cstheme="minorHAnsi"/>
                <w:b/>
                <w:color w:val="4F81BD" w:themeColor="accent1"/>
                <w:sz w:val="20"/>
              </w:rPr>
              <w:t xml:space="preserve">Table C-1: </w:t>
            </w:r>
            <w:r w:rsidRPr="007D6550">
              <w:rPr>
                <w:rFonts w:asciiTheme="minorHAnsi" w:hAnsiTheme="minorHAnsi" w:cstheme="minorHAnsi"/>
                <w:color w:val="4F81BD" w:themeColor="accent1"/>
                <w:sz w:val="20"/>
              </w:rPr>
              <w:t>Key indicators – core target scenarios and policy mix sensitivity analysis, 2030 (percentage deviation from Paris scenario)</w:t>
            </w:r>
          </w:p>
        </w:tc>
        <w:tc>
          <w:tcPr>
            <w:tcW w:w="369" w:type="dxa"/>
            <w:vAlign w:val="bottom"/>
          </w:tcPr>
          <w:p w:rsidR="007D6550" w:rsidRPr="007D6550" w:rsidRDefault="007D6550" w:rsidP="009F4446">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9F4446">
              <w:rPr>
                <w:rFonts w:asciiTheme="minorHAnsi" w:hAnsiTheme="minorHAnsi" w:cstheme="minorHAnsi"/>
                <w:color w:val="4F81BD" w:themeColor="accent1"/>
                <w:sz w:val="20"/>
              </w:rPr>
              <w:t>3</w:t>
            </w:r>
          </w:p>
        </w:tc>
      </w:tr>
      <w:tr w:rsidR="007D6550" w:rsidRPr="007D6550" w:rsidTr="00B13E73">
        <w:tc>
          <w:tcPr>
            <w:tcW w:w="7937" w:type="dxa"/>
          </w:tcPr>
          <w:p w:rsidR="007D6550" w:rsidRPr="007D6550" w:rsidRDefault="007D6550" w:rsidP="00B13E73">
            <w:pPr>
              <w:rPr>
                <w:rFonts w:asciiTheme="minorHAnsi" w:hAnsiTheme="minorHAnsi" w:cstheme="minorHAnsi"/>
                <w:b/>
                <w:color w:val="4F81BD" w:themeColor="accent1"/>
                <w:sz w:val="20"/>
              </w:rPr>
            </w:pPr>
            <w:r w:rsidRPr="007D6550">
              <w:rPr>
                <w:rFonts w:asciiTheme="minorHAnsi" w:hAnsiTheme="minorHAnsi" w:cstheme="minorHAnsi"/>
                <w:b/>
                <w:color w:val="4F81BD" w:themeColor="accent1"/>
                <w:sz w:val="20"/>
              </w:rPr>
              <w:t xml:space="preserve">Table C-2: </w:t>
            </w:r>
            <w:r w:rsidRPr="007D6550">
              <w:rPr>
                <w:rFonts w:asciiTheme="minorHAnsi" w:hAnsiTheme="minorHAnsi" w:cstheme="minorHAnsi"/>
                <w:color w:val="4F81BD" w:themeColor="accent1"/>
                <w:sz w:val="20"/>
              </w:rPr>
              <w:t>Average annual GDP growth – Paris scenario, core target scenarios and policy mix sensitivity analysis, 2020 to 2030 (per cent)</w:t>
            </w:r>
          </w:p>
        </w:tc>
        <w:tc>
          <w:tcPr>
            <w:tcW w:w="369" w:type="dxa"/>
            <w:vAlign w:val="bottom"/>
          </w:tcPr>
          <w:p w:rsidR="007D6550" w:rsidRPr="007D6550" w:rsidRDefault="007D6550" w:rsidP="009F4446">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9F4446">
              <w:rPr>
                <w:rFonts w:asciiTheme="minorHAnsi" w:hAnsiTheme="minorHAnsi" w:cstheme="minorHAnsi"/>
                <w:color w:val="4F81BD" w:themeColor="accent1"/>
                <w:sz w:val="20"/>
              </w:rPr>
              <w:t>3</w:t>
            </w:r>
          </w:p>
        </w:tc>
      </w:tr>
      <w:tr w:rsidR="007D6550" w:rsidRPr="007D6550" w:rsidTr="00B13E73">
        <w:tc>
          <w:tcPr>
            <w:tcW w:w="7937" w:type="dxa"/>
          </w:tcPr>
          <w:p w:rsidR="007D6550" w:rsidRPr="007D6550" w:rsidRDefault="007D6550" w:rsidP="00B13E73">
            <w:pPr>
              <w:rPr>
                <w:rFonts w:asciiTheme="minorHAnsi" w:hAnsiTheme="minorHAnsi" w:cstheme="minorHAnsi"/>
                <w:b/>
                <w:color w:val="4F81BD" w:themeColor="accent1"/>
                <w:sz w:val="20"/>
              </w:rPr>
            </w:pPr>
            <w:r w:rsidRPr="007D6550">
              <w:rPr>
                <w:rFonts w:asciiTheme="minorHAnsi" w:hAnsiTheme="minorHAnsi" w:cstheme="minorHAnsi"/>
                <w:b/>
                <w:color w:val="4F81BD" w:themeColor="accent1"/>
                <w:sz w:val="20"/>
              </w:rPr>
              <w:t xml:space="preserve">Table E-1: </w:t>
            </w:r>
            <w:r w:rsidRPr="007D6550">
              <w:rPr>
                <w:rFonts w:asciiTheme="minorHAnsi" w:hAnsiTheme="minorHAnsi" w:cstheme="minorHAnsi"/>
                <w:color w:val="4F81BD" w:themeColor="accent1"/>
                <w:sz w:val="20"/>
              </w:rPr>
              <w:t>Average annual GDP growth – Paris scenario, core target scenarios and technology cost sensitivity scenarios, 2020 to 2030 (per cent)</w:t>
            </w:r>
          </w:p>
        </w:tc>
        <w:tc>
          <w:tcPr>
            <w:tcW w:w="369" w:type="dxa"/>
            <w:vAlign w:val="bottom"/>
          </w:tcPr>
          <w:p w:rsidR="007D6550" w:rsidRPr="007D6550" w:rsidRDefault="009F4446" w:rsidP="009F4446">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29</w:t>
            </w:r>
          </w:p>
        </w:tc>
      </w:tr>
      <w:tr w:rsidR="007D6550" w:rsidRPr="007D6550" w:rsidTr="007D6550">
        <w:tc>
          <w:tcPr>
            <w:tcW w:w="7937" w:type="dxa"/>
          </w:tcPr>
          <w:p w:rsidR="007D6550" w:rsidRPr="007D6550" w:rsidRDefault="007D6550" w:rsidP="00B13E73">
            <w:pPr>
              <w:pStyle w:val="NormalWeb"/>
              <w:spacing w:before="0" w:beforeAutospacing="0" w:after="0" w:afterAutospacing="0"/>
              <w:rPr>
                <w:rFonts w:asciiTheme="minorHAnsi" w:hAnsiTheme="minorHAnsi"/>
                <w:b/>
                <w:color w:val="4F81BD" w:themeColor="accent1"/>
                <w:sz w:val="20"/>
              </w:rPr>
            </w:pPr>
          </w:p>
        </w:tc>
        <w:tc>
          <w:tcPr>
            <w:tcW w:w="369" w:type="dxa"/>
            <w:vAlign w:val="bottom"/>
          </w:tcPr>
          <w:p w:rsidR="007D6550" w:rsidRPr="007D6550" w:rsidRDefault="007D6550" w:rsidP="007D6550">
            <w:pPr>
              <w:pStyle w:val="NormalWeb"/>
              <w:spacing w:before="0" w:beforeAutospacing="0" w:after="0" w:afterAutospacing="0"/>
              <w:jc w:val="right"/>
              <w:rPr>
                <w:rFonts w:asciiTheme="minorHAnsi" w:hAnsiTheme="minorHAnsi"/>
                <w:color w:val="4F81BD" w:themeColor="accent1"/>
                <w:sz w:val="20"/>
              </w:rPr>
            </w:pPr>
          </w:p>
        </w:tc>
      </w:tr>
      <w:tr w:rsidR="007D6550" w:rsidRPr="007D6550" w:rsidTr="007D6550">
        <w:tc>
          <w:tcPr>
            <w:tcW w:w="7937" w:type="dxa"/>
          </w:tcPr>
          <w:p w:rsidR="007D6550" w:rsidRPr="007D6550" w:rsidRDefault="007D6550" w:rsidP="00B13E73">
            <w:pPr>
              <w:pStyle w:val="NormalWeb"/>
              <w:spacing w:before="0" w:beforeAutospacing="0" w:after="0" w:afterAutospacing="0"/>
              <w:rPr>
                <w:rFonts w:asciiTheme="minorHAnsi" w:hAnsiTheme="minorHAnsi"/>
                <w:color w:val="4F81BD" w:themeColor="accent1"/>
                <w:sz w:val="20"/>
                <w:vertAlign w:val="superscript"/>
              </w:rPr>
            </w:pPr>
            <w:r w:rsidRPr="007D6550">
              <w:rPr>
                <w:rFonts w:asciiTheme="minorHAnsi" w:hAnsiTheme="minorHAnsi"/>
                <w:b/>
                <w:color w:val="4F81BD" w:themeColor="accent1"/>
                <w:sz w:val="20"/>
              </w:rPr>
              <w:t>Figure 1:</w:t>
            </w:r>
            <w:r w:rsidRPr="007D6550">
              <w:rPr>
                <w:rFonts w:asciiTheme="minorHAnsi" w:hAnsiTheme="minorHAnsi"/>
                <w:color w:val="4F81BD" w:themeColor="accent1"/>
                <w:sz w:val="20"/>
              </w:rPr>
              <w:t xml:space="preserve"> Target paths for emissions from energy, 2015 to 2030 (Mt CO</w:t>
            </w:r>
            <w:r w:rsidRPr="007D6550">
              <w:rPr>
                <w:rFonts w:asciiTheme="minorHAnsi" w:hAnsiTheme="minorHAnsi"/>
                <w:color w:val="4F81BD" w:themeColor="accent1"/>
                <w:sz w:val="20"/>
                <w:vertAlign w:val="subscript"/>
              </w:rPr>
              <w:t>2</w:t>
            </w:r>
            <w:r w:rsidRPr="007D6550">
              <w:rPr>
                <w:rFonts w:asciiTheme="minorHAnsi" w:hAnsiTheme="minorHAnsi"/>
                <w:color w:val="4F81BD" w:themeColor="accent1"/>
                <w:sz w:val="20"/>
              </w:rPr>
              <w:t>)</w:t>
            </w:r>
          </w:p>
        </w:tc>
        <w:tc>
          <w:tcPr>
            <w:tcW w:w="369" w:type="dxa"/>
            <w:vAlign w:val="bottom"/>
          </w:tcPr>
          <w:p w:rsidR="007D6550" w:rsidRPr="007D6550" w:rsidRDefault="001745A1" w:rsidP="007D6550">
            <w:pPr>
              <w:pStyle w:val="NormalWeb"/>
              <w:spacing w:before="0" w:beforeAutospacing="0" w:after="0" w:afterAutospacing="0"/>
              <w:jc w:val="right"/>
              <w:rPr>
                <w:rFonts w:asciiTheme="minorHAnsi" w:hAnsiTheme="minorHAnsi"/>
                <w:color w:val="4F81BD" w:themeColor="accent1"/>
                <w:sz w:val="20"/>
              </w:rPr>
            </w:pPr>
            <w:r>
              <w:rPr>
                <w:rFonts w:asciiTheme="minorHAnsi" w:hAnsiTheme="minorHAnsi"/>
                <w:color w:val="4F81BD" w:themeColor="accent1"/>
                <w:sz w:val="20"/>
              </w:rPr>
              <w:t>9</w:t>
            </w:r>
          </w:p>
        </w:tc>
      </w:tr>
      <w:tr w:rsidR="007D6550" w:rsidRPr="007D6550" w:rsidTr="007D6550">
        <w:tc>
          <w:tcPr>
            <w:tcW w:w="7937" w:type="dxa"/>
          </w:tcPr>
          <w:p w:rsidR="007D6550" w:rsidRPr="007D6550" w:rsidRDefault="007D6550" w:rsidP="00B13E73">
            <w:pPr>
              <w:rPr>
                <w:sz w:val="20"/>
              </w:rPr>
            </w:pPr>
            <w:r w:rsidRPr="007D6550">
              <w:rPr>
                <w:rFonts w:asciiTheme="minorHAnsi" w:hAnsiTheme="minorHAnsi"/>
                <w:b/>
                <w:color w:val="4F81BD" w:themeColor="accent1"/>
                <w:sz w:val="20"/>
              </w:rPr>
              <w:t xml:space="preserve">Figure 2: </w:t>
            </w:r>
            <w:r w:rsidRPr="007D6550">
              <w:rPr>
                <w:rFonts w:asciiTheme="minorHAnsi" w:hAnsiTheme="minorHAnsi"/>
                <w:color w:val="4F81BD" w:themeColor="accent1"/>
                <w:sz w:val="20"/>
              </w:rPr>
              <w:t xml:space="preserve">Cumulative abatement from energy, relative to the Paris scenario, 2020 to </w:t>
            </w:r>
            <w:r>
              <w:rPr>
                <w:rFonts w:asciiTheme="minorHAnsi" w:hAnsiTheme="minorHAnsi"/>
                <w:color w:val="4F81BD" w:themeColor="accent1"/>
                <w:sz w:val="20"/>
              </w:rPr>
              <w:t xml:space="preserve">2030 </w:t>
            </w:r>
            <w:r w:rsidRPr="007D6550">
              <w:rPr>
                <w:rFonts w:asciiTheme="minorHAnsi" w:hAnsiTheme="minorHAnsi"/>
                <w:color w:val="4F81BD" w:themeColor="accent1"/>
                <w:sz w:val="20"/>
              </w:rPr>
              <w:t>(Mt CO</w:t>
            </w:r>
            <w:r w:rsidRPr="007D6550">
              <w:rPr>
                <w:rFonts w:asciiTheme="minorHAnsi" w:hAnsiTheme="minorHAnsi"/>
                <w:color w:val="4F81BD" w:themeColor="accent1"/>
                <w:sz w:val="20"/>
                <w:vertAlign w:val="subscript"/>
              </w:rPr>
              <w:t>2</w:t>
            </w:r>
            <w:r w:rsidRPr="007D6550">
              <w:rPr>
                <w:rFonts w:asciiTheme="minorHAnsi" w:hAnsiTheme="minorHAnsi"/>
                <w:color w:val="4F81BD" w:themeColor="accent1"/>
                <w:sz w:val="20"/>
              </w:rPr>
              <w:t>)</w:t>
            </w:r>
          </w:p>
        </w:tc>
        <w:tc>
          <w:tcPr>
            <w:tcW w:w="369" w:type="dxa"/>
            <w:vAlign w:val="bottom"/>
          </w:tcPr>
          <w:p w:rsidR="007D6550" w:rsidRPr="007D6550" w:rsidRDefault="001745A1" w:rsidP="007D6550">
            <w:pPr>
              <w:jc w:val="right"/>
              <w:rPr>
                <w:rFonts w:asciiTheme="minorHAnsi" w:hAnsiTheme="minorHAnsi"/>
                <w:color w:val="4F81BD" w:themeColor="accent1"/>
                <w:sz w:val="20"/>
              </w:rPr>
            </w:pPr>
            <w:r>
              <w:rPr>
                <w:rFonts w:asciiTheme="minorHAnsi" w:hAnsiTheme="minorHAnsi"/>
                <w:color w:val="4F81BD" w:themeColor="accent1"/>
                <w:sz w:val="20"/>
              </w:rPr>
              <w:t>9</w:t>
            </w:r>
          </w:p>
        </w:tc>
      </w:tr>
      <w:tr w:rsidR="007D6550" w:rsidRPr="007D6550" w:rsidTr="007D6550">
        <w:tc>
          <w:tcPr>
            <w:tcW w:w="7937" w:type="dxa"/>
          </w:tcPr>
          <w:p w:rsidR="007D6550" w:rsidRPr="007D6550" w:rsidRDefault="007D6550" w:rsidP="00B13E73">
            <w:pPr>
              <w:pStyle w:val="ListParagraph"/>
              <w:ind w:left="0"/>
              <w:contextualSpacing w:val="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Figure 3:</w:t>
            </w:r>
            <w:r w:rsidRPr="007D6550">
              <w:rPr>
                <w:rFonts w:asciiTheme="minorHAnsi" w:hAnsiTheme="minorHAnsi" w:cstheme="minorHAnsi"/>
                <w:color w:val="4F81BD" w:themeColor="accent1"/>
                <w:sz w:val="20"/>
              </w:rPr>
              <w:t xml:space="preserve"> Average annual growth, real Australian GDP, core target scenarios and Paris scenario, 2020 to 2030 (per cent per year)</w:t>
            </w:r>
          </w:p>
        </w:tc>
        <w:tc>
          <w:tcPr>
            <w:tcW w:w="369" w:type="dxa"/>
            <w:vAlign w:val="bottom"/>
          </w:tcPr>
          <w:p w:rsidR="007D6550" w:rsidRPr="007D6550" w:rsidRDefault="007D6550" w:rsidP="001745A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1</w:t>
            </w:r>
          </w:p>
        </w:tc>
      </w:tr>
      <w:tr w:rsidR="007D6550" w:rsidRPr="007D6550" w:rsidTr="007D6550">
        <w:tc>
          <w:tcPr>
            <w:tcW w:w="7937" w:type="dxa"/>
          </w:tcPr>
          <w:p w:rsidR="007D6550" w:rsidRPr="007D6550" w:rsidRDefault="007D6550" w:rsidP="00B13E73">
            <w:pPr>
              <w:pStyle w:val="ListParagraph"/>
              <w:ind w:left="0"/>
              <w:contextualSpacing w:val="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Figure 4:</w:t>
            </w:r>
            <w:r w:rsidRPr="007D6550">
              <w:rPr>
                <w:rFonts w:asciiTheme="minorHAnsi" w:hAnsiTheme="minorHAnsi" w:cstheme="minorHAnsi"/>
                <w:color w:val="4F81BD" w:themeColor="accent1"/>
                <w:sz w:val="20"/>
              </w:rPr>
              <w:t xml:space="preserve"> Australian real GDP, core target scenarios, 2020 to 2030 </w:t>
            </w:r>
          </w:p>
        </w:tc>
        <w:tc>
          <w:tcPr>
            <w:tcW w:w="369" w:type="dxa"/>
            <w:vAlign w:val="bottom"/>
          </w:tcPr>
          <w:p w:rsidR="007D6550" w:rsidRPr="007D6550" w:rsidRDefault="007D6550" w:rsidP="001745A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2</w:t>
            </w:r>
          </w:p>
        </w:tc>
      </w:tr>
      <w:tr w:rsidR="007D6550" w:rsidRPr="007D6550" w:rsidTr="007D6550">
        <w:tc>
          <w:tcPr>
            <w:tcW w:w="7937" w:type="dxa"/>
          </w:tcPr>
          <w:p w:rsidR="007D6550" w:rsidRPr="007D6550" w:rsidRDefault="007D6550" w:rsidP="00B13E73">
            <w:pPr>
              <w:pStyle w:val="ListParagraph"/>
              <w:ind w:left="0"/>
              <w:contextualSpacing w:val="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Figure 5:</w:t>
            </w:r>
            <w:r w:rsidRPr="007D6550">
              <w:rPr>
                <w:rFonts w:asciiTheme="minorHAnsi" w:hAnsiTheme="minorHAnsi" w:cstheme="minorHAnsi"/>
                <w:color w:val="4F81BD" w:themeColor="accent1"/>
                <w:sz w:val="20"/>
              </w:rPr>
              <w:t xml:space="preserve"> GDP impacts, core target scenarios and technology cost sensitivity scenarios, 2030 (percentage deviation from Paris scenario)</w:t>
            </w:r>
          </w:p>
        </w:tc>
        <w:tc>
          <w:tcPr>
            <w:tcW w:w="369" w:type="dxa"/>
            <w:vAlign w:val="bottom"/>
          </w:tcPr>
          <w:p w:rsidR="007D6550" w:rsidRPr="007D6550" w:rsidRDefault="007D6550" w:rsidP="001745A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3</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6: </w:t>
            </w:r>
            <w:r w:rsidRPr="007D6550">
              <w:rPr>
                <w:rFonts w:asciiTheme="minorHAnsi" w:hAnsiTheme="minorHAnsi" w:cstheme="minorHAnsi"/>
                <w:color w:val="4F81BD" w:themeColor="accent1"/>
                <w:sz w:val="20"/>
              </w:rPr>
              <w:t>Macroeconomic impact of -26 per cent target,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4</w:t>
            </w:r>
          </w:p>
        </w:tc>
      </w:tr>
      <w:tr w:rsidR="007D6550" w:rsidRPr="007D6550" w:rsidTr="007D6550">
        <w:tc>
          <w:tcPr>
            <w:tcW w:w="7937" w:type="dxa"/>
          </w:tcPr>
          <w:p w:rsidR="007D6550" w:rsidRPr="007D6550" w:rsidRDefault="007D6550" w:rsidP="00B13E73">
            <w:pPr>
              <w:pStyle w:val="ListParagraph"/>
              <w:ind w:left="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7: </w:t>
            </w:r>
            <w:r w:rsidRPr="007D6550">
              <w:rPr>
                <w:rFonts w:asciiTheme="minorHAnsi" w:hAnsiTheme="minorHAnsi" w:cstheme="minorHAnsi"/>
                <w:color w:val="4F81BD" w:themeColor="accent1"/>
                <w:sz w:val="20"/>
              </w:rPr>
              <w:t>GDP growth, Australia and key countries, 2020 to 2030 (per cent)</w:t>
            </w:r>
          </w:p>
        </w:tc>
        <w:tc>
          <w:tcPr>
            <w:tcW w:w="369" w:type="dxa"/>
            <w:vAlign w:val="bottom"/>
          </w:tcPr>
          <w:p w:rsidR="007D6550" w:rsidRPr="007D6550" w:rsidRDefault="007D6550" w:rsidP="001745A1">
            <w:pPr>
              <w:pStyle w:val="ListParagraph"/>
              <w:ind w:left="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5</w:t>
            </w:r>
          </w:p>
        </w:tc>
      </w:tr>
      <w:tr w:rsidR="007D6550" w:rsidRPr="007D6550" w:rsidTr="007D6550">
        <w:tc>
          <w:tcPr>
            <w:tcW w:w="7937" w:type="dxa"/>
          </w:tcPr>
          <w:p w:rsidR="007D6550" w:rsidRPr="007D6550" w:rsidRDefault="007D6550" w:rsidP="00B13E73">
            <w:pPr>
              <w:pStyle w:val="ListParagraph"/>
              <w:ind w:left="0"/>
              <w:contextualSpacing w:val="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8: </w:t>
            </w:r>
            <w:r w:rsidRPr="007D6550">
              <w:rPr>
                <w:rFonts w:asciiTheme="minorHAnsi" w:hAnsiTheme="minorHAnsi" w:cstheme="minorHAnsi"/>
                <w:color w:val="4F81BD" w:themeColor="accent1"/>
                <w:sz w:val="20"/>
              </w:rPr>
              <w:t>Energy sector impacts of -26 per cent target, 2030 (percentage deviation from Paris scenario)</w:t>
            </w:r>
          </w:p>
        </w:tc>
        <w:tc>
          <w:tcPr>
            <w:tcW w:w="369" w:type="dxa"/>
            <w:vAlign w:val="bottom"/>
          </w:tcPr>
          <w:p w:rsidR="007D6550" w:rsidRPr="007D6550" w:rsidRDefault="007D6550" w:rsidP="001745A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w:t>
            </w:r>
            <w:r w:rsidR="001745A1">
              <w:rPr>
                <w:rFonts w:asciiTheme="minorHAnsi" w:hAnsiTheme="minorHAnsi" w:cstheme="minorHAnsi"/>
                <w:color w:val="4F81BD" w:themeColor="accent1"/>
                <w:sz w:val="20"/>
              </w:rPr>
              <w:t>6</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B-1: </w:t>
            </w:r>
            <w:r w:rsidRPr="007D6550">
              <w:rPr>
                <w:rFonts w:asciiTheme="minorHAnsi" w:hAnsiTheme="minorHAnsi" w:cstheme="minorHAnsi"/>
                <w:color w:val="4F81BD" w:themeColor="accent1"/>
                <w:sz w:val="20"/>
              </w:rPr>
              <w:t>Economic impacts – core target scenarios, 2015 to 2030 (percentage deviation from Paris scenario)</w:t>
            </w:r>
          </w:p>
        </w:tc>
        <w:tc>
          <w:tcPr>
            <w:tcW w:w="369" w:type="dxa"/>
            <w:vAlign w:val="bottom"/>
          </w:tcPr>
          <w:p w:rsidR="007D6550" w:rsidRPr="007D6550" w:rsidRDefault="001745A1" w:rsidP="007D6550">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19</w:t>
            </w:r>
          </w:p>
        </w:tc>
      </w:tr>
      <w:tr w:rsidR="007D6550" w:rsidRPr="007D6550" w:rsidTr="007D6550">
        <w:tc>
          <w:tcPr>
            <w:tcW w:w="7937" w:type="dxa"/>
          </w:tcPr>
          <w:p w:rsidR="007D6550" w:rsidRPr="007D6550" w:rsidRDefault="007D6550" w:rsidP="00B13E73">
            <w:pPr>
              <w:rPr>
                <w:sz w:val="20"/>
              </w:rPr>
            </w:pPr>
            <w:r w:rsidRPr="007D6550">
              <w:rPr>
                <w:rFonts w:asciiTheme="minorHAnsi" w:hAnsiTheme="minorHAnsi" w:cstheme="minorHAnsi"/>
                <w:b/>
                <w:color w:val="4F81BD" w:themeColor="accent1"/>
                <w:sz w:val="20"/>
              </w:rPr>
              <w:t xml:space="preserve">Figure B-2: </w:t>
            </w:r>
            <w:r w:rsidRPr="007D6550">
              <w:rPr>
                <w:rFonts w:asciiTheme="minorHAnsi" w:hAnsiTheme="minorHAnsi" w:cstheme="minorHAnsi"/>
                <w:color w:val="4F81BD" w:themeColor="accent1"/>
                <w:sz w:val="20"/>
              </w:rPr>
              <w:t xml:space="preserve">Economic impacts – technology cost sensitivity scenarios, 2015 to 2030 </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0</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C-1: </w:t>
            </w:r>
            <w:r w:rsidRPr="007D6550">
              <w:rPr>
                <w:rFonts w:asciiTheme="minorHAnsi" w:hAnsiTheme="minorHAnsi" w:cstheme="minorHAnsi"/>
                <w:color w:val="4F81BD" w:themeColor="accent1"/>
                <w:sz w:val="20"/>
              </w:rPr>
              <w:t>Key indicators – core target scenarios and policy mix sensitivity analysis,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1</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D-1: </w:t>
            </w:r>
            <w:r w:rsidRPr="007D6550">
              <w:rPr>
                <w:rFonts w:asciiTheme="minorHAnsi" w:hAnsiTheme="minorHAnsi" w:cstheme="minorHAnsi"/>
                <w:color w:val="4F81BD" w:themeColor="accent1"/>
                <w:sz w:val="20"/>
              </w:rPr>
              <w:t>13% reduction target – core target scenario and policy mix sensitivity analysis,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4</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D-2: </w:t>
            </w:r>
            <w:r w:rsidRPr="007D6550">
              <w:rPr>
                <w:rFonts w:asciiTheme="minorHAnsi" w:hAnsiTheme="minorHAnsi" w:cstheme="minorHAnsi"/>
                <w:color w:val="4F81BD" w:themeColor="accent1"/>
                <w:sz w:val="20"/>
              </w:rPr>
              <w:t>26% reduction target – core target scenario and policy mix sensitivity analysis,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5</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D-3: </w:t>
            </w:r>
            <w:r w:rsidRPr="007D6550">
              <w:rPr>
                <w:rFonts w:asciiTheme="minorHAnsi" w:hAnsiTheme="minorHAnsi" w:cstheme="minorHAnsi"/>
                <w:color w:val="4F81BD" w:themeColor="accent1"/>
                <w:sz w:val="20"/>
              </w:rPr>
              <w:t>35% reduction target – core target scenario and policy mix sensitivity analysis,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6</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D-4: </w:t>
            </w:r>
            <w:r w:rsidRPr="007D6550">
              <w:rPr>
                <w:rFonts w:asciiTheme="minorHAnsi" w:hAnsiTheme="minorHAnsi" w:cstheme="minorHAnsi"/>
                <w:color w:val="4F81BD" w:themeColor="accent1"/>
                <w:sz w:val="20"/>
              </w:rPr>
              <w:t>45% reduction target – core target scenario and policy mix sensitivity analysis, 2030 (percentage deviation from Paris scenario)</w:t>
            </w:r>
          </w:p>
        </w:tc>
        <w:tc>
          <w:tcPr>
            <w:tcW w:w="369" w:type="dxa"/>
            <w:vAlign w:val="bottom"/>
          </w:tcPr>
          <w:p w:rsidR="007D6550" w:rsidRPr="007D6550" w:rsidRDefault="007D6550" w:rsidP="001745A1">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w:t>
            </w:r>
            <w:r w:rsidR="001745A1">
              <w:rPr>
                <w:rFonts w:asciiTheme="minorHAnsi" w:hAnsiTheme="minorHAnsi" w:cstheme="minorHAnsi"/>
                <w:color w:val="4F81BD" w:themeColor="accent1"/>
                <w:sz w:val="20"/>
              </w:rPr>
              <w:t>7</w:t>
            </w:r>
          </w:p>
        </w:tc>
      </w:tr>
      <w:tr w:rsidR="007D6550" w:rsidRPr="007D6550" w:rsidTr="007D6550">
        <w:tc>
          <w:tcPr>
            <w:tcW w:w="7937" w:type="dxa"/>
          </w:tcPr>
          <w:p w:rsidR="007D6550" w:rsidRPr="007D6550" w:rsidRDefault="007D6550" w:rsidP="00B13E73">
            <w:pPr>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E-1: </w:t>
            </w:r>
            <w:r w:rsidRPr="007D6550">
              <w:rPr>
                <w:rFonts w:asciiTheme="minorHAnsi" w:hAnsiTheme="minorHAnsi" w:cstheme="minorHAnsi"/>
                <w:color w:val="4F81BD" w:themeColor="accent1"/>
                <w:sz w:val="20"/>
              </w:rPr>
              <w:t>Changes in GDP and GNI – core target scenarios and technology cost sensitivity scenarios, 2030 (percentage deviation from Paris scenario)</w:t>
            </w:r>
          </w:p>
        </w:tc>
        <w:tc>
          <w:tcPr>
            <w:tcW w:w="369" w:type="dxa"/>
            <w:vAlign w:val="bottom"/>
          </w:tcPr>
          <w:p w:rsidR="007D6550" w:rsidRPr="007D6550" w:rsidRDefault="001745A1" w:rsidP="007D6550">
            <w:pPr>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29</w:t>
            </w:r>
          </w:p>
        </w:tc>
      </w:tr>
      <w:tr w:rsidR="007D6550" w:rsidRPr="007D6550" w:rsidTr="007D6550">
        <w:tc>
          <w:tcPr>
            <w:tcW w:w="7937" w:type="dxa"/>
          </w:tcPr>
          <w:p w:rsidR="007D6550" w:rsidRPr="007D6550" w:rsidRDefault="007D6550" w:rsidP="00B13E73">
            <w:pPr>
              <w:pStyle w:val="NormalWeb"/>
              <w:spacing w:before="0" w:beforeAutospacing="0" w:after="0" w:afterAutospacing="0"/>
              <w:rPr>
                <w:rFonts w:asciiTheme="minorHAnsi" w:hAnsiTheme="minorHAnsi" w:cstheme="minorHAnsi"/>
                <w:color w:val="4F81BD" w:themeColor="accent1"/>
                <w:sz w:val="20"/>
              </w:rPr>
            </w:pPr>
            <w:r w:rsidRPr="007D6550">
              <w:rPr>
                <w:rFonts w:asciiTheme="minorHAnsi" w:hAnsiTheme="minorHAnsi"/>
                <w:b/>
                <w:color w:val="4F81BD" w:themeColor="accent1"/>
                <w:sz w:val="20"/>
              </w:rPr>
              <w:t xml:space="preserve">Figure F-1: </w:t>
            </w:r>
            <w:r w:rsidRPr="007D6550">
              <w:rPr>
                <w:rFonts w:asciiTheme="minorHAnsi" w:hAnsiTheme="minorHAnsi"/>
                <w:color w:val="4F81BD" w:themeColor="accent1"/>
                <w:sz w:val="20"/>
              </w:rPr>
              <w:t>Cumulative abatement, domestic abatement and international units – policy mix sensitivity analysis, 2020 to 2030 (Mt CO</w:t>
            </w:r>
            <w:r w:rsidRPr="007D6550">
              <w:rPr>
                <w:rFonts w:asciiTheme="minorHAnsi" w:hAnsiTheme="minorHAnsi"/>
                <w:color w:val="4F81BD" w:themeColor="accent1"/>
                <w:sz w:val="20"/>
                <w:vertAlign w:val="subscript"/>
              </w:rPr>
              <w:t>2</w:t>
            </w:r>
            <w:r w:rsidRPr="007D6550">
              <w:rPr>
                <w:rFonts w:asciiTheme="minorHAnsi" w:hAnsiTheme="minorHAnsi"/>
                <w:color w:val="4F81BD" w:themeColor="accent1"/>
                <w:sz w:val="20"/>
              </w:rPr>
              <w:t xml:space="preserve">) </w:t>
            </w:r>
          </w:p>
        </w:tc>
        <w:tc>
          <w:tcPr>
            <w:tcW w:w="369" w:type="dxa"/>
            <w:vAlign w:val="bottom"/>
          </w:tcPr>
          <w:p w:rsidR="007D6550" w:rsidRPr="007D6550" w:rsidRDefault="007D6550" w:rsidP="001745A1">
            <w:pPr>
              <w:pStyle w:val="NormalWeb"/>
              <w:spacing w:before="0" w:beforeAutospacing="0" w:after="0" w:afterAutospacing="0"/>
              <w:jc w:val="right"/>
              <w:rPr>
                <w:rFonts w:asciiTheme="minorHAnsi" w:hAnsiTheme="minorHAnsi"/>
                <w:color w:val="4F81BD" w:themeColor="accent1"/>
                <w:sz w:val="20"/>
              </w:rPr>
            </w:pPr>
            <w:r>
              <w:rPr>
                <w:rFonts w:asciiTheme="minorHAnsi" w:hAnsiTheme="minorHAnsi"/>
                <w:color w:val="4F81BD" w:themeColor="accent1"/>
                <w:sz w:val="20"/>
              </w:rPr>
              <w:t>3</w:t>
            </w:r>
            <w:r w:rsidR="001745A1">
              <w:rPr>
                <w:rFonts w:asciiTheme="minorHAnsi" w:hAnsiTheme="minorHAnsi"/>
                <w:color w:val="4F81BD" w:themeColor="accent1"/>
                <w:sz w:val="20"/>
              </w:rPr>
              <w:t>0</w:t>
            </w:r>
          </w:p>
        </w:tc>
      </w:tr>
      <w:tr w:rsidR="007D6550" w:rsidRPr="007D6550" w:rsidTr="007D6550">
        <w:tc>
          <w:tcPr>
            <w:tcW w:w="7937" w:type="dxa"/>
          </w:tcPr>
          <w:p w:rsidR="007D6550" w:rsidRPr="007D6550" w:rsidRDefault="007D6550" w:rsidP="00B13E73">
            <w:pPr>
              <w:pStyle w:val="ListParagraph"/>
              <w:ind w:left="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Figure F-2:</w:t>
            </w:r>
            <w:r w:rsidRPr="007D6550">
              <w:rPr>
                <w:rFonts w:asciiTheme="minorHAnsi" w:hAnsiTheme="minorHAnsi" w:cstheme="minorHAnsi"/>
                <w:color w:val="4F81BD" w:themeColor="accent1"/>
                <w:sz w:val="20"/>
              </w:rPr>
              <w:t xml:space="preserve"> GDP impacts, core target scenarios and policy mix sensitivity analysis, 2030 (percentage deviation from Paris scenario)</w:t>
            </w:r>
          </w:p>
        </w:tc>
        <w:tc>
          <w:tcPr>
            <w:tcW w:w="369" w:type="dxa"/>
            <w:vAlign w:val="bottom"/>
          </w:tcPr>
          <w:p w:rsidR="007D6550" w:rsidRPr="007D6550" w:rsidRDefault="007D6550" w:rsidP="001745A1">
            <w:pPr>
              <w:pStyle w:val="ListParagraph"/>
              <w:ind w:left="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1745A1">
              <w:rPr>
                <w:rFonts w:asciiTheme="minorHAnsi" w:hAnsiTheme="minorHAnsi" w:cstheme="minorHAnsi"/>
                <w:color w:val="4F81BD" w:themeColor="accent1"/>
                <w:sz w:val="20"/>
              </w:rPr>
              <w:t>1</w:t>
            </w:r>
          </w:p>
        </w:tc>
      </w:tr>
      <w:tr w:rsidR="007D6550" w:rsidRPr="007D6550" w:rsidTr="007D6550">
        <w:tc>
          <w:tcPr>
            <w:tcW w:w="7937" w:type="dxa"/>
          </w:tcPr>
          <w:p w:rsidR="007D6550" w:rsidRPr="007D6550" w:rsidRDefault="007D6550" w:rsidP="00B13E73">
            <w:pPr>
              <w:pStyle w:val="ListParagraph"/>
              <w:ind w:left="0"/>
              <w:contextualSpacing w:val="0"/>
              <w:rPr>
                <w:rFonts w:asciiTheme="minorHAnsi" w:hAnsiTheme="minorHAnsi" w:cstheme="minorHAnsi"/>
                <w:color w:val="4F81BD" w:themeColor="accent1"/>
                <w:sz w:val="20"/>
              </w:rPr>
            </w:pPr>
            <w:r w:rsidRPr="007D6550">
              <w:rPr>
                <w:rFonts w:asciiTheme="minorHAnsi" w:hAnsiTheme="minorHAnsi" w:cstheme="minorHAnsi"/>
                <w:b/>
                <w:color w:val="4F81BD" w:themeColor="accent1"/>
                <w:sz w:val="20"/>
              </w:rPr>
              <w:t xml:space="preserve">Figure F-3: </w:t>
            </w:r>
            <w:r w:rsidRPr="007D6550">
              <w:rPr>
                <w:rFonts w:asciiTheme="minorHAnsi" w:hAnsiTheme="minorHAnsi" w:cstheme="minorHAnsi"/>
                <w:color w:val="4F81BD" w:themeColor="accent1"/>
                <w:sz w:val="20"/>
              </w:rPr>
              <w:t>Impacts of the -26 per cent target, core target scenarios and policy mix sensitivity analysis, 2030 (percentage deviation from Paris scenario)</w:t>
            </w:r>
          </w:p>
        </w:tc>
        <w:tc>
          <w:tcPr>
            <w:tcW w:w="369" w:type="dxa"/>
            <w:vAlign w:val="bottom"/>
          </w:tcPr>
          <w:p w:rsidR="007D6550" w:rsidRPr="007D6550" w:rsidRDefault="007D6550" w:rsidP="001745A1">
            <w:pPr>
              <w:pStyle w:val="ListParagraph"/>
              <w:ind w:left="0"/>
              <w:contextualSpacing w:val="0"/>
              <w:jc w:val="right"/>
              <w:rPr>
                <w:rFonts w:asciiTheme="minorHAnsi" w:hAnsiTheme="minorHAnsi" w:cstheme="minorHAnsi"/>
                <w:color w:val="4F81BD" w:themeColor="accent1"/>
                <w:sz w:val="20"/>
              </w:rPr>
            </w:pPr>
            <w:r>
              <w:rPr>
                <w:rFonts w:asciiTheme="minorHAnsi" w:hAnsiTheme="minorHAnsi" w:cstheme="minorHAnsi"/>
                <w:color w:val="4F81BD" w:themeColor="accent1"/>
                <w:sz w:val="20"/>
              </w:rPr>
              <w:t>3</w:t>
            </w:r>
            <w:r w:rsidR="001745A1">
              <w:rPr>
                <w:rFonts w:asciiTheme="minorHAnsi" w:hAnsiTheme="minorHAnsi" w:cstheme="minorHAnsi"/>
                <w:color w:val="4F81BD" w:themeColor="accent1"/>
                <w:sz w:val="20"/>
              </w:rPr>
              <w:t>2</w:t>
            </w:r>
          </w:p>
        </w:tc>
      </w:tr>
    </w:tbl>
    <w:p w:rsidR="006B0A46" w:rsidRDefault="006B0A46">
      <w:pPr>
        <w:rPr>
          <w:rFonts w:asciiTheme="minorHAnsi" w:hAnsiTheme="minorHAnsi" w:cstheme="minorHAnsi"/>
          <w:b/>
          <w:color w:val="0070C0"/>
          <w:sz w:val="40"/>
        </w:rPr>
      </w:pPr>
      <w:r>
        <w:rPr>
          <w:rFonts w:asciiTheme="minorHAnsi" w:hAnsiTheme="minorHAnsi" w:cstheme="minorHAnsi"/>
          <w:b/>
          <w:color w:val="0070C0"/>
          <w:sz w:val="40"/>
        </w:rPr>
        <w:br w:type="page"/>
      </w:r>
    </w:p>
    <w:p w:rsidR="00B11C0D" w:rsidRPr="001D5606" w:rsidRDefault="00B11C0D" w:rsidP="00B11C0D">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Executive Summary</w:t>
      </w:r>
      <w:r w:rsidR="0027079E" w:rsidRPr="001D5606">
        <w:rPr>
          <w:rFonts w:asciiTheme="minorHAnsi" w:hAnsiTheme="minorHAnsi" w:cstheme="minorHAnsi"/>
          <w:b/>
          <w:color w:val="996633"/>
          <w:sz w:val="40"/>
        </w:rPr>
        <w:t xml:space="preserve"> </w:t>
      </w:r>
    </w:p>
    <w:p w:rsidR="004747A4" w:rsidRPr="001D5606" w:rsidRDefault="004747A4" w:rsidP="001D5606">
      <w:pPr>
        <w:pBdr>
          <w:top w:val="single" w:sz="18" w:space="1" w:color="996633"/>
          <w:left w:val="single" w:sz="18" w:space="4" w:color="996633"/>
          <w:bottom w:val="single" w:sz="18" w:space="1" w:color="996633"/>
          <w:right w:val="single" w:sz="18" w:space="4" w:color="996633"/>
        </w:pBdr>
        <w:spacing w:before="240"/>
        <w:jc w:val="both"/>
        <w:rPr>
          <w:rFonts w:ascii="Calibri" w:hAnsi="Calibri" w:cs="Calibri"/>
          <w:b/>
          <w:bCs/>
          <w:color w:val="4F81BD" w:themeColor="accent1"/>
          <w:sz w:val="12"/>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u w:val="single"/>
        </w:rPr>
        <w:t xml:space="preserve">The Australian economy </w:t>
      </w:r>
      <w:r w:rsidR="00786334" w:rsidRPr="001D5606">
        <w:rPr>
          <w:rFonts w:ascii="Calibri" w:hAnsi="Calibri" w:cs="Calibri"/>
          <w:b/>
          <w:bCs/>
          <w:color w:val="4F81BD" w:themeColor="accent1"/>
          <w:sz w:val="21"/>
          <w:szCs w:val="21"/>
          <w:u w:val="single"/>
        </w:rPr>
        <w:t>is expected</w:t>
      </w:r>
      <w:r w:rsidRPr="001D5606">
        <w:rPr>
          <w:rFonts w:ascii="Calibri" w:hAnsi="Calibri" w:cs="Calibri"/>
          <w:b/>
          <w:bCs/>
          <w:color w:val="4F81BD" w:themeColor="accent1"/>
          <w:sz w:val="21"/>
          <w:szCs w:val="21"/>
          <w:u w:val="single"/>
        </w:rPr>
        <w:t xml:space="preserve"> to grow strongly to 2030 regardless of whether Australia adopts a post-2020 target.</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78633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The m</w:t>
      </w:r>
      <w:r w:rsidR="004747A4" w:rsidRPr="001D5606">
        <w:rPr>
          <w:rFonts w:ascii="Calibri" w:hAnsi="Calibri" w:cs="Calibri"/>
          <w:b/>
          <w:bCs/>
          <w:color w:val="4F81BD" w:themeColor="accent1"/>
          <w:sz w:val="21"/>
          <w:szCs w:val="21"/>
        </w:rPr>
        <w:t xml:space="preserve">odelling explores four Australian targets for 2030, and compares these targets to Australia taking no further action after 2020 to limit emissions. </w:t>
      </w:r>
      <w:r w:rsidR="008A77EC" w:rsidRPr="001D5606">
        <w:rPr>
          <w:rFonts w:ascii="Calibri" w:hAnsi="Calibri" w:cs="Calibri"/>
          <w:b/>
          <w:bCs/>
          <w:color w:val="4F81BD" w:themeColor="accent1"/>
          <w:sz w:val="21"/>
          <w:szCs w:val="21"/>
        </w:rPr>
        <w:t xml:space="preserve">The impact of the future costs of new energy </w:t>
      </w:r>
      <w:r w:rsidRPr="001D5606">
        <w:rPr>
          <w:rFonts w:ascii="Calibri" w:hAnsi="Calibri" w:cs="Calibri"/>
          <w:b/>
          <w:bCs/>
          <w:color w:val="4F81BD" w:themeColor="accent1"/>
          <w:sz w:val="21"/>
          <w:szCs w:val="21"/>
        </w:rPr>
        <w:t>technologies</w:t>
      </w:r>
      <w:r w:rsidR="008A77EC" w:rsidRPr="001D5606">
        <w:rPr>
          <w:rFonts w:ascii="Calibri" w:hAnsi="Calibri" w:cs="Calibri"/>
          <w:b/>
          <w:bCs/>
          <w:color w:val="4F81BD" w:themeColor="accent1"/>
          <w:sz w:val="21"/>
          <w:szCs w:val="21"/>
        </w:rPr>
        <w:t xml:space="preserve"> is also investigated. </w:t>
      </w:r>
      <w:r w:rsidR="004747A4" w:rsidRPr="001D5606">
        <w:rPr>
          <w:rFonts w:ascii="Calibri" w:hAnsi="Calibri" w:cs="Calibri"/>
          <w:b/>
          <w:bCs/>
          <w:color w:val="4F81BD" w:themeColor="accent1"/>
          <w:sz w:val="21"/>
          <w:szCs w:val="21"/>
        </w:rPr>
        <w:t xml:space="preserve">The analysis accounts for the costs of achieving abatement in the energy sector, and builds on previous </w:t>
      </w:r>
      <w:r w:rsidR="006B0A46" w:rsidRPr="001D5606">
        <w:rPr>
          <w:rFonts w:ascii="Calibri" w:hAnsi="Calibri" w:cs="Calibri"/>
          <w:b/>
          <w:bCs/>
          <w:color w:val="4F81BD" w:themeColor="accent1"/>
          <w:sz w:val="21"/>
          <w:szCs w:val="21"/>
        </w:rPr>
        <w:t xml:space="preserve">commissioned </w:t>
      </w:r>
      <w:r w:rsidR="004747A4" w:rsidRPr="001D5606">
        <w:rPr>
          <w:rFonts w:ascii="Calibri" w:hAnsi="Calibri" w:cs="Calibri"/>
          <w:b/>
          <w:bCs/>
          <w:color w:val="4F81BD" w:themeColor="accent1"/>
          <w:sz w:val="21"/>
          <w:szCs w:val="21"/>
        </w:rPr>
        <w:t xml:space="preserve">modelling </w:t>
      </w:r>
      <w:r w:rsidR="006B0A46" w:rsidRPr="001D5606">
        <w:rPr>
          <w:rFonts w:ascii="Calibri" w:hAnsi="Calibri" w:cs="Calibri"/>
          <w:b/>
          <w:bCs/>
          <w:color w:val="4F81BD" w:themeColor="accent1"/>
          <w:sz w:val="21"/>
          <w:szCs w:val="21"/>
        </w:rPr>
        <w:t xml:space="preserve">(Report 1) </w:t>
      </w:r>
      <w:r w:rsidR="004747A4" w:rsidRPr="001D5606">
        <w:rPr>
          <w:rFonts w:ascii="Calibri" w:hAnsi="Calibri" w:cs="Calibri"/>
          <w:b/>
          <w:bCs/>
          <w:color w:val="4F81BD" w:themeColor="accent1"/>
          <w:sz w:val="21"/>
          <w:szCs w:val="21"/>
        </w:rPr>
        <w:t>of the impacts of other countries’ post-2020 targets.</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Under all four targets, average annual GDP growth continues to be above 2 per cent. Stronger targets have larger economic impacts. Growth rates range from 2.09 to 2.18 per cent a year.</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8A77EC"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u w:val="single"/>
        </w:rPr>
        <w:t>A post-2020 target will cause a small slowing of economic growth.</w:t>
      </w:r>
      <w:r w:rsidRPr="001D5606">
        <w:rPr>
          <w:rFonts w:ascii="Calibri" w:hAnsi="Calibri" w:cs="Calibri"/>
          <w:b/>
          <w:bCs/>
          <w:color w:val="4F81BD" w:themeColor="accent1"/>
          <w:sz w:val="21"/>
          <w:szCs w:val="21"/>
        </w:rPr>
        <w:t xml:space="preserve"> By 2030, all impacts are no more than one per cent of GDP. A 2030 target of -13 per cent (relative to 2005 levels) holds emissions constant from 2020 through to 2030. This results in GDP being </w:t>
      </w:r>
      <w:r w:rsidR="008A77EC" w:rsidRPr="001D5606">
        <w:rPr>
          <w:rFonts w:ascii="Calibri" w:hAnsi="Calibri" w:cs="Calibri"/>
          <w:b/>
          <w:bCs/>
          <w:color w:val="4F81BD" w:themeColor="accent1"/>
          <w:sz w:val="21"/>
          <w:szCs w:val="21"/>
        </w:rPr>
        <w:t xml:space="preserve">0.2 to </w:t>
      </w:r>
      <w:r w:rsidRPr="001D5606">
        <w:rPr>
          <w:rFonts w:ascii="Calibri" w:hAnsi="Calibri" w:cs="Calibri"/>
          <w:b/>
          <w:bCs/>
          <w:color w:val="4F81BD" w:themeColor="accent1"/>
          <w:sz w:val="21"/>
          <w:szCs w:val="21"/>
        </w:rPr>
        <w:t xml:space="preserve">0.3 per cent lower in 2030 than it would be with no target. </w:t>
      </w:r>
      <w:r w:rsidR="008A77EC" w:rsidRPr="001D5606">
        <w:rPr>
          <w:rFonts w:ascii="Calibri" w:hAnsi="Calibri" w:cs="Calibri"/>
          <w:b/>
          <w:bCs/>
          <w:color w:val="4F81BD" w:themeColor="accent1"/>
          <w:sz w:val="21"/>
          <w:szCs w:val="21"/>
        </w:rPr>
        <w:t>This range reflects different technology cost assumptions in the modelling.</w:t>
      </w:r>
    </w:p>
    <w:p w:rsidR="008A77EC" w:rsidRPr="001D5606" w:rsidRDefault="008A77EC"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Targets of -26, -35 and -45 per cent relative to 2005 result in GDP being</w:t>
      </w:r>
      <w:r w:rsidR="008A77EC" w:rsidRPr="001D5606">
        <w:rPr>
          <w:rFonts w:ascii="Calibri" w:hAnsi="Calibri" w:cs="Calibri"/>
          <w:b/>
          <w:bCs/>
          <w:color w:val="4F81BD" w:themeColor="accent1"/>
          <w:sz w:val="21"/>
          <w:szCs w:val="21"/>
        </w:rPr>
        <w:t xml:space="preserve"> from </w:t>
      </w:r>
      <w:r w:rsidRPr="001D5606">
        <w:rPr>
          <w:rFonts w:ascii="Calibri" w:hAnsi="Calibri" w:cs="Calibri"/>
          <w:b/>
          <w:bCs/>
          <w:color w:val="4F81BD" w:themeColor="accent1"/>
          <w:sz w:val="21"/>
          <w:szCs w:val="21"/>
        </w:rPr>
        <w:t>0.</w:t>
      </w:r>
      <w:r w:rsidR="008A77EC" w:rsidRPr="001D5606">
        <w:rPr>
          <w:rFonts w:ascii="Calibri" w:hAnsi="Calibri" w:cs="Calibri"/>
          <w:b/>
          <w:bCs/>
          <w:color w:val="4F81BD" w:themeColor="accent1"/>
          <w:sz w:val="21"/>
          <w:szCs w:val="21"/>
        </w:rPr>
        <w:t>4 to</w:t>
      </w:r>
      <w:r w:rsidRPr="001D5606">
        <w:rPr>
          <w:rFonts w:ascii="Calibri" w:hAnsi="Calibri" w:cs="Calibri"/>
          <w:b/>
          <w:bCs/>
          <w:color w:val="4F81BD" w:themeColor="accent1"/>
          <w:sz w:val="21"/>
          <w:szCs w:val="21"/>
        </w:rPr>
        <w:t xml:space="preserve"> 1.0 per cent lower in 2030 than with no target.</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 xml:space="preserve">Relative to holding emissions constant from 2020 – that is, compared against a -13 per cent target – a target of -26 per cent is estimated to reduce GDP in 2030 by </w:t>
      </w:r>
      <w:r w:rsidR="008A77EC" w:rsidRPr="001D5606">
        <w:rPr>
          <w:rFonts w:ascii="Calibri" w:hAnsi="Calibri" w:cs="Calibri"/>
          <w:b/>
          <w:bCs/>
          <w:color w:val="4F81BD" w:themeColor="accent1"/>
          <w:sz w:val="21"/>
          <w:szCs w:val="21"/>
        </w:rPr>
        <w:t xml:space="preserve">0.2 to </w:t>
      </w:r>
      <w:r w:rsidRPr="001D5606">
        <w:rPr>
          <w:rFonts w:ascii="Calibri" w:hAnsi="Calibri" w:cs="Calibri"/>
          <w:b/>
          <w:bCs/>
          <w:color w:val="4F81BD" w:themeColor="accent1"/>
          <w:sz w:val="21"/>
          <w:szCs w:val="21"/>
        </w:rPr>
        <w:t xml:space="preserve">0.3 per cent. Higher targets of -35 and -45 per cent would reduce GDP in 2030 by </w:t>
      </w:r>
      <w:r w:rsidR="008A77EC" w:rsidRPr="001D5606">
        <w:rPr>
          <w:rFonts w:ascii="Calibri" w:hAnsi="Calibri" w:cs="Calibri"/>
          <w:b/>
          <w:bCs/>
          <w:color w:val="4F81BD" w:themeColor="accent1"/>
          <w:sz w:val="21"/>
          <w:szCs w:val="21"/>
        </w:rPr>
        <w:t xml:space="preserve">0.3 to </w:t>
      </w:r>
      <w:r w:rsidRPr="001D5606">
        <w:rPr>
          <w:rFonts w:ascii="Calibri" w:hAnsi="Calibri" w:cs="Calibri"/>
          <w:b/>
          <w:bCs/>
          <w:color w:val="4F81BD" w:themeColor="accent1"/>
          <w:sz w:val="21"/>
          <w:szCs w:val="21"/>
        </w:rPr>
        <w:t xml:space="preserve">0.5 per cent and </w:t>
      </w:r>
      <w:r w:rsidR="008A77EC" w:rsidRPr="001D5606">
        <w:rPr>
          <w:rFonts w:ascii="Calibri" w:hAnsi="Calibri" w:cs="Calibri"/>
          <w:b/>
          <w:bCs/>
          <w:color w:val="4F81BD" w:themeColor="accent1"/>
          <w:sz w:val="21"/>
          <w:szCs w:val="21"/>
        </w:rPr>
        <w:t xml:space="preserve">0.5 to </w:t>
      </w:r>
      <w:r w:rsidRPr="001D5606">
        <w:rPr>
          <w:rFonts w:ascii="Calibri" w:hAnsi="Calibri" w:cs="Calibri"/>
          <w:b/>
          <w:bCs/>
          <w:color w:val="4F81BD" w:themeColor="accent1"/>
          <w:sz w:val="21"/>
          <w:szCs w:val="21"/>
        </w:rPr>
        <w:t>0.7 per cent respectively, relative to the -13 target.</w:t>
      </w:r>
    </w:p>
    <w:p w:rsidR="00934F53" w:rsidRDefault="00934F53"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934F53" w:rsidRPr="001D5606" w:rsidRDefault="00934F53"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934F53">
        <w:rPr>
          <w:rFonts w:ascii="Calibri" w:hAnsi="Calibri" w:cs="Calibri"/>
          <w:b/>
          <w:bCs/>
          <w:color w:val="4F81BD" w:themeColor="accent1"/>
          <w:sz w:val="21"/>
          <w:szCs w:val="21"/>
        </w:rPr>
        <w:t>The cost impacts for Australia in this report do not include the cost impacts from Report 1.</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u w:val="single"/>
        </w:rPr>
        <w:t>A post-2020 target will have a slightly higher impact on Australia’s economy than most other developed economies</w:t>
      </w:r>
      <w:r w:rsidRPr="001D5606">
        <w:rPr>
          <w:rFonts w:ascii="Calibri" w:hAnsi="Calibri" w:cs="Calibri"/>
          <w:b/>
          <w:bCs/>
          <w:color w:val="4F81BD" w:themeColor="accent1"/>
          <w:sz w:val="21"/>
          <w:szCs w:val="21"/>
        </w:rPr>
        <w:t xml:space="preserve">, but Australia </w:t>
      </w:r>
      <w:r w:rsidR="00786334" w:rsidRPr="001D5606">
        <w:rPr>
          <w:rFonts w:ascii="Calibri" w:hAnsi="Calibri" w:cs="Calibri"/>
          <w:b/>
          <w:bCs/>
          <w:color w:val="4F81BD" w:themeColor="accent1"/>
          <w:sz w:val="21"/>
          <w:szCs w:val="21"/>
        </w:rPr>
        <w:t xml:space="preserve">is expected to </w:t>
      </w:r>
      <w:r w:rsidRPr="001D5606">
        <w:rPr>
          <w:rFonts w:ascii="Calibri" w:hAnsi="Calibri" w:cs="Calibri"/>
          <w:b/>
          <w:bCs/>
          <w:color w:val="4F81BD" w:themeColor="accent1"/>
          <w:sz w:val="21"/>
          <w:szCs w:val="21"/>
        </w:rPr>
        <w:t>grow faster than Japan, the EU and Canada. Consistent with other studies, the modelling finds that Australia faces larger economic impacts than most other developed economies to achieve similar emissions reductions relative to a historical base year.</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The impacts for Australia are higher than the GDP impacts of the US and EU targets, and around the same impact as China’s target – noting China has much lower income and emissions per person than Australia. Canada is the exception, with the modelling indicating Canada’s GDP impacts from its announced post-2020 target would be higher than either a -26 or a -35 target for Australia.</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u w:val="single"/>
        </w:rPr>
        <w:t>Target impacts are sensitive to future costs of new energy technologies.</w:t>
      </w:r>
      <w:r w:rsidRPr="001D5606">
        <w:rPr>
          <w:rFonts w:ascii="Calibri" w:hAnsi="Calibri" w:cs="Calibri"/>
          <w:b/>
          <w:bCs/>
          <w:color w:val="4F81BD" w:themeColor="accent1"/>
          <w:sz w:val="21"/>
          <w:szCs w:val="21"/>
        </w:rPr>
        <w:t xml:space="preserve"> The core</w:t>
      </w:r>
      <w:r w:rsidR="00361581" w:rsidRPr="001D5606">
        <w:rPr>
          <w:rFonts w:ascii="Calibri" w:hAnsi="Calibri" w:cs="Calibri"/>
          <w:b/>
          <w:bCs/>
          <w:color w:val="4F81BD" w:themeColor="accent1"/>
          <w:sz w:val="21"/>
          <w:szCs w:val="21"/>
        </w:rPr>
        <w:t xml:space="preserve"> target</w:t>
      </w:r>
      <w:r w:rsidRPr="001D5606">
        <w:rPr>
          <w:rFonts w:ascii="Calibri" w:hAnsi="Calibri" w:cs="Calibri"/>
          <w:b/>
          <w:bCs/>
          <w:color w:val="4F81BD" w:themeColor="accent1"/>
          <w:sz w:val="21"/>
          <w:szCs w:val="21"/>
        </w:rPr>
        <w:t xml:space="preserve"> scenarios assume relatively high abatement costs in the energy sector. Sensitivity analysis finds that economic impacts might be around 30 per cent less with lower, but still plausible, assumptions about future energy technology costs.</w:t>
      </w:r>
    </w:p>
    <w:p w:rsidR="004747A4" w:rsidRPr="001D5606"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p>
    <w:p w:rsidR="004747A4" w:rsidRPr="001D5606" w:rsidRDefault="0065135E"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color w:val="4F81BD" w:themeColor="accent1"/>
          <w:sz w:val="21"/>
          <w:szCs w:val="21"/>
        </w:rPr>
      </w:pPr>
      <w:r w:rsidRPr="001D5606">
        <w:rPr>
          <w:rFonts w:ascii="Calibri" w:hAnsi="Calibri" w:cs="Calibri"/>
          <w:b/>
          <w:bCs/>
          <w:color w:val="4F81BD" w:themeColor="accent1"/>
          <w:sz w:val="21"/>
          <w:szCs w:val="21"/>
        </w:rPr>
        <w:t xml:space="preserve">A further </w:t>
      </w:r>
      <w:r w:rsidR="004747A4" w:rsidRPr="001D5606">
        <w:rPr>
          <w:rFonts w:ascii="Calibri" w:hAnsi="Calibri" w:cs="Calibri"/>
          <w:b/>
          <w:bCs/>
          <w:color w:val="4F81BD" w:themeColor="accent1"/>
          <w:sz w:val="21"/>
          <w:szCs w:val="21"/>
        </w:rPr>
        <w:t xml:space="preserve">sensitivity </w:t>
      </w:r>
      <w:r w:rsidRPr="001D5606">
        <w:rPr>
          <w:rFonts w:ascii="Calibri" w:hAnsi="Calibri" w:cs="Calibri"/>
          <w:b/>
          <w:bCs/>
          <w:color w:val="4F81BD" w:themeColor="accent1"/>
          <w:sz w:val="21"/>
          <w:szCs w:val="21"/>
        </w:rPr>
        <w:t xml:space="preserve">scenario </w:t>
      </w:r>
      <w:r w:rsidR="004747A4" w:rsidRPr="001D5606">
        <w:rPr>
          <w:rFonts w:ascii="Calibri" w:hAnsi="Calibri" w:cs="Calibri"/>
          <w:b/>
          <w:bCs/>
          <w:color w:val="4F81BD" w:themeColor="accent1"/>
          <w:sz w:val="21"/>
          <w:szCs w:val="21"/>
        </w:rPr>
        <w:t>examine</w:t>
      </w:r>
      <w:r w:rsidRPr="001D5606">
        <w:rPr>
          <w:rFonts w:ascii="Calibri" w:hAnsi="Calibri" w:cs="Calibri"/>
          <w:b/>
          <w:bCs/>
          <w:color w:val="4F81BD" w:themeColor="accent1"/>
          <w:sz w:val="21"/>
          <w:szCs w:val="21"/>
        </w:rPr>
        <w:t>s</w:t>
      </w:r>
      <w:r w:rsidR="004747A4" w:rsidRPr="001D5606">
        <w:rPr>
          <w:rFonts w:ascii="Calibri" w:hAnsi="Calibri" w:cs="Calibri"/>
          <w:b/>
          <w:bCs/>
          <w:color w:val="4F81BD" w:themeColor="accent1"/>
          <w:sz w:val="21"/>
          <w:szCs w:val="21"/>
        </w:rPr>
        <w:t xml:space="preserve"> how assumptions about the policy mix used to achieve Australia’s post-2020 target influence impacts under the four target scenarios.</w:t>
      </w:r>
    </w:p>
    <w:p w:rsidR="004747A4" w:rsidRPr="008F50C1" w:rsidRDefault="004747A4" w:rsidP="001D5606">
      <w:pPr>
        <w:pBdr>
          <w:top w:val="single" w:sz="18" w:space="1" w:color="996633"/>
          <w:left w:val="single" w:sz="18" w:space="4" w:color="996633"/>
          <w:bottom w:val="single" w:sz="18" w:space="1" w:color="996633"/>
          <w:right w:val="single" w:sz="18" w:space="4" w:color="996633"/>
        </w:pBdr>
        <w:jc w:val="both"/>
        <w:rPr>
          <w:rFonts w:ascii="Calibri" w:hAnsi="Calibri" w:cs="Calibri"/>
          <w:b/>
          <w:bCs/>
          <w:sz w:val="21"/>
          <w:szCs w:val="21"/>
        </w:rPr>
      </w:pPr>
    </w:p>
    <w:p w:rsidR="00CE7008" w:rsidRDefault="00D418B0">
      <w:pPr>
        <w:rPr>
          <w:rFonts w:asciiTheme="minorHAnsi" w:hAnsiTheme="minorHAnsi" w:cstheme="minorHAnsi"/>
          <w:b/>
          <w:color w:val="0070C0"/>
          <w:sz w:val="40"/>
        </w:rPr>
      </w:pPr>
      <w:r>
        <w:rPr>
          <w:rFonts w:asciiTheme="minorHAnsi" w:hAnsiTheme="minorHAnsi" w:cstheme="minorHAnsi"/>
          <w:b/>
          <w:noProof/>
          <w:color w:val="000000" w:themeColor="text1"/>
          <w:sz w:val="32"/>
          <w:lang w:eastAsia="en-AU"/>
        </w:rPr>
        <mc:AlternateContent>
          <mc:Choice Requires="wps">
            <w:drawing>
              <wp:anchor distT="0" distB="0" distL="114300" distR="114300" simplePos="0" relativeHeight="251684864" behindDoc="0" locked="0" layoutInCell="1" allowOverlap="1" wp14:anchorId="609B57AF" wp14:editId="427FC51E">
                <wp:simplePos x="0" y="0"/>
                <wp:positionH relativeFrom="column">
                  <wp:posOffset>5558790</wp:posOffset>
                </wp:positionH>
                <wp:positionV relativeFrom="page">
                  <wp:posOffset>9947910</wp:posOffset>
                </wp:positionV>
                <wp:extent cx="565150" cy="381635"/>
                <wp:effectExtent l="0" t="0" r="2540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81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37.7pt;margin-top:783.3pt;width:44.5pt;height:3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" fillcolor="white [3212]" strokecolor="white [3212]" strokeweight="2pt">
                <v:path arrowok="t"/>
                <w10:wrap anchory="page"/>
              </v:rect>
            </w:pict>
          </mc:Fallback>
        </mc:AlternateContent>
      </w:r>
      <w:r w:rsidR="00CE7008">
        <w:rPr>
          <w:rFonts w:asciiTheme="minorHAnsi" w:hAnsiTheme="minorHAnsi" w:cstheme="minorHAnsi"/>
          <w:b/>
          <w:color w:val="0070C0"/>
          <w:sz w:val="40"/>
        </w:rPr>
        <w:br w:type="page"/>
      </w:r>
    </w:p>
    <w:p w:rsidR="00B55EAF" w:rsidRPr="001D5606" w:rsidRDefault="00D439EA" w:rsidP="00B55EAF">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Introduction</w:t>
      </w:r>
    </w:p>
    <w:p w:rsidR="00335D2D" w:rsidRPr="00CD4768" w:rsidRDefault="009E08EE" w:rsidP="00B55EAF">
      <w:pPr>
        <w:rPr>
          <w:rFonts w:asciiTheme="minorHAnsi" w:hAnsiTheme="minorHAnsi" w:cstheme="minorHAnsi"/>
          <w:sz w:val="32"/>
        </w:rPr>
      </w:pPr>
      <w:r>
        <w:rPr>
          <w:rFonts w:asciiTheme="minorHAnsi" w:hAnsiTheme="minorHAnsi" w:cstheme="minorHAnsi"/>
          <w:noProof/>
          <w:lang w:eastAsia="en-AU"/>
        </w:rPr>
        <mc:AlternateContent>
          <mc:Choice Requires="wps">
            <w:drawing>
              <wp:anchor distT="0" distB="0" distL="114300" distR="114300" simplePos="0" relativeHeight="251674624" behindDoc="0" locked="0" layoutInCell="1" allowOverlap="1" wp14:anchorId="4E54F9CD" wp14:editId="2CFFFE8C">
                <wp:simplePos x="0" y="0"/>
                <wp:positionH relativeFrom="column">
                  <wp:posOffset>8255</wp:posOffset>
                </wp:positionH>
                <wp:positionV relativeFrom="paragraph">
                  <wp:posOffset>198120</wp:posOffset>
                </wp:positionV>
                <wp:extent cx="5200650" cy="1873250"/>
                <wp:effectExtent l="0" t="0" r="19050"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873250"/>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393DD2" w:rsidRPr="001D5606" w:rsidRDefault="00393DD2" w:rsidP="00B5400C">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DFAT COMMISSIONED ECONOMIC MODELLING to ASSESS THE IMPACT on Australia of differeNt Domestic emissions targets. Additional modelling Assesses the impact of assumptions about energy technology costs and the policy mix.</w:t>
                            </w:r>
                          </w:p>
                          <w:p w:rsidR="00393DD2" w:rsidRPr="001D5606" w:rsidRDefault="00393DD2" w:rsidP="00F82A77">
                            <w:pPr>
                              <w:spacing w:line="276" w:lineRule="auto"/>
                              <w:rPr>
                                <w:rFonts w:asciiTheme="minorHAnsi" w:hAnsiTheme="minorHAnsi" w:cstheme="minorHAnsi"/>
                                <w:caps/>
                                <w:color w:val="4F81BD" w:themeColor="accent1"/>
                                <w:sz w:val="22"/>
                              </w:rPr>
                            </w:pPr>
                          </w:p>
                          <w:p w:rsidR="00393DD2" w:rsidRPr="001D5606" w:rsidRDefault="00393DD2" w:rsidP="00F82A77">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this report builds on PREVIOUS commissioned modelling (Report 1) that assessed the impacts globally and in Australia of other countries’ targets</w:t>
                            </w:r>
                          </w:p>
                          <w:p w:rsidR="00393DD2" w:rsidRPr="001D5606" w:rsidRDefault="00393DD2" w:rsidP="00F82A77">
                            <w:pPr>
                              <w:spacing w:line="276" w:lineRule="auto"/>
                              <w:rPr>
                                <w:rFonts w:asciiTheme="minorHAnsi" w:hAnsiTheme="minorHAnsi" w:cstheme="minorHAnsi"/>
                                <w:caps/>
                                <w:color w:val="4F81BD" w:themeColor="accent1"/>
                                <w:sz w:val="22"/>
                              </w:rPr>
                            </w:pP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5pt;margin-top:15.6pt;width:409.5pt;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" fillcolor="white [3201]" strokecolor="#963" strokeweight="2pt">
                <v:textbox inset="4mm,3mm,4mm,3mm">
                  <w:txbxContent>
                    <w:p w:rsidR="00393DD2" w:rsidRPr="001D5606" w:rsidRDefault="00393DD2" w:rsidP="00B5400C">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DFAT COMMISSIONED ECONOMIC MODELLING to ASSESS THE IMPACT on Australia of differeNt Domestic emissions targets. Additional modelling Assesses the impact of assumptions about energy technology costs and the policy mix.</w:t>
                      </w:r>
                    </w:p>
                    <w:p w:rsidR="00393DD2" w:rsidRPr="001D5606" w:rsidRDefault="00393DD2" w:rsidP="00F82A77">
                      <w:pPr>
                        <w:spacing w:line="276" w:lineRule="auto"/>
                        <w:rPr>
                          <w:rFonts w:asciiTheme="minorHAnsi" w:hAnsiTheme="minorHAnsi" w:cstheme="minorHAnsi"/>
                          <w:caps/>
                          <w:color w:val="4F81BD" w:themeColor="accent1"/>
                          <w:sz w:val="22"/>
                        </w:rPr>
                      </w:pPr>
                    </w:p>
                    <w:p w:rsidR="00393DD2" w:rsidRPr="001D5606" w:rsidRDefault="00393DD2" w:rsidP="00F82A77">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this report builds on PREVIOUS commissioned modelling (Report 1) that assessed the impacts globally and in Australia of other countries’ targets</w:t>
                      </w:r>
                    </w:p>
                    <w:p w:rsidR="00393DD2" w:rsidRPr="001D5606" w:rsidRDefault="00393DD2" w:rsidP="00F82A77">
                      <w:pPr>
                        <w:spacing w:line="276" w:lineRule="auto"/>
                        <w:rPr>
                          <w:rFonts w:asciiTheme="minorHAnsi" w:hAnsiTheme="minorHAnsi" w:cstheme="minorHAnsi"/>
                          <w:caps/>
                          <w:color w:val="4F81BD" w:themeColor="accent1"/>
                          <w:sz w:val="22"/>
                        </w:rPr>
                      </w:pPr>
                    </w:p>
                  </w:txbxContent>
                </v:textbox>
                <w10:wrap type="topAndBottom"/>
              </v:shape>
            </w:pict>
          </mc:Fallback>
        </mc:AlternateContent>
      </w:r>
      <w:r w:rsidR="000F7E3F">
        <w:rPr>
          <w:rFonts w:asciiTheme="minorHAnsi" w:hAnsiTheme="minorHAnsi" w:cstheme="minorHAnsi"/>
        </w:rPr>
        <w:t xml:space="preserve"> </w:t>
      </w:r>
    </w:p>
    <w:p w:rsidR="00533137" w:rsidRPr="001D5606" w:rsidRDefault="006554BC" w:rsidP="00CD4768">
      <w:pPr>
        <w:pStyle w:val="ListParagraph"/>
        <w:spacing w:line="360" w:lineRule="auto"/>
        <w:ind w:left="0"/>
        <w:rPr>
          <w:color w:val="996633"/>
        </w:rPr>
      </w:pPr>
      <w:r w:rsidRPr="001D5606">
        <w:rPr>
          <w:rFonts w:asciiTheme="minorHAnsi" w:hAnsiTheme="minorHAnsi" w:cstheme="minorHAnsi"/>
          <w:b/>
          <w:color w:val="996633"/>
        </w:rPr>
        <w:t xml:space="preserve">A new global </w:t>
      </w:r>
      <w:r w:rsidR="00170F8F" w:rsidRPr="001D5606">
        <w:rPr>
          <w:rFonts w:asciiTheme="minorHAnsi" w:hAnsiTheme="minorHAnsi" w:cstheme="minorHAnsi"/>
          <w:b/>
          <w:color w:val="996633"/>
        </w:rPr>
        <w:t>agreement</w:t>
      </w:r>
    </w:p>
    <w:p w:rsidR="00CC15E5" w:rsidRPr="00644487" w:rsidRDefault="00D92C05" w:rsidP="00B610DA">
      <w:pPr>
        <w:pStyle w:val="NormalWeb"/>
        <w:spacing w:before="0" w:beforeAutospacing="0"/>
        <w:rPr>
          <w:rFonts w:asciiTheme="minorHAnsi" w:hAnsiTheme="minorHAnsi"/>
        </w:rPr>
      </w:pPr>
      <w:r w:rsidRPr="00644487">
        <w:rPr>
          <w:rFonts w:asciiTheme="minorHAnsi" w:hAnsiTheme="minorHAnsi"/>
        </w:rPr>
        <w:t xml:space="preserve">Parties </w:t>
      </w:r>
      <w:r w:rsidR="000540A7" w:rsidRPr="00644487">
        <w:rPr>
          <w:rFonts w:asciiTheme="minorHAnsi" w:hAnsiTheme="minorHAnsi"/>
        </w:rPr>
        <w:t xml:space="preserve">to </w:t>
      </w:r>
      <w:r w:rsidR="00170F8F" w:rsidRPr="00644487">
        <w:rPr>
          <w:rFonts w:asciiTheme="minorHAnsi" w:hAnsiTheme="minorHAnsi"/>
        </w:rPr>
        <w:t xml:space="preserve">the United Nations have agreed under the Framework Convention on Climate Change </w:t>
      </w:r>
      <w:r w:rsidRPr="00644487">
        <w:rPr>
          <w:rFonts w:asciiTheme="minorHAnsi" w:hAnsiTheme="minorHAnsi"/>
        </w:rPr>
        <w:t xml:space="preserve">to negotiate a new global agreement </w:t>
      </w:r>
      <w:r w:rsidR="000540A7" w:rsidRPr="00644487">
        <w:rPr>
          <w:rFonts w:asciiTheme="minorHAnsi" w:hAnsiTheme="minorHAnsi"/>
        </w:rPr>
        <w:t xml:space="preserve">with </w:t>
      </w:r>
      <w:r w:rsidRPr="00644487">
        <w:rPr>
          <w:rFonts w:asciiTheme="minorHAnsi" w:hAnsiTheme="minorHAnsi"/>
        </w:rPr>
        <w:t>all countries taking action</w:t>
      </w:r>
      <w:r w:rsidR="000540A7" w:rsidRPr="00644487">
        <w:rPr>
          <w:rFonts w:asciiTheme="minorHAnsi" w:hAnsiTheme="minorHAnsi"/>
        </w:rPr>
        <w:t xml:space="preserve"> in the period after 2020</w:t>
      </w:r>
      <w:r w:rsidRPr="00644487">
        <w:rPr>
          <w:rFonts w:asciiTheme="minorHAnsi" w:hAnsiTheme="minorHAnsi"/>
        </w:rPr>
        <w:t xml:space="preserve"> to reduce greenhouse gas emissions.</w:t>
      </w:r>
      <w:r w:rsidR="00CC15E5" w:rsidRPr="00644487">
        <w:rPr>
          <w:rFonts w:asciiTheme="minorHAnsi" w:hAnsiTheme="minorHAnsi"/>
        </w:rPr>
        <w:t xml:space="preserve"> </w:t>
      </w:r>
      <w:r w:rsidR="000540A7" w:rsidRPr="00644487">
        <w:rPr>
          <w:rFonts w:asciiTheme="minorHAnsi" w:hAnsiTheme="minorHAnsi"/>
        </w:rPr>
        <w:t xml:space="preserve">These nationally </w:t>
      </w:r>
      <w:r w:rsidR="00A66E9B" w:rsidRPr="00644487">
        <w:rPr>
          <w:rFonts w:asciiTheme="minorHAnsi" w:hAnsiTheme="minorHAnsi"/>
        </w:rPr>
        <w:t>determined e</w:t>
      </w:r>
      <w:r w:rsidR="009D4E98" w:rsidRPr="00644487">
        <w:rPr>
          <w:rFonts w:asciiTheme="minorHAnsi" w:hAnsiTheme="minorHAnsi"/>
        </w:rPr>
        <w:t>mission reduction</w:t>
      </w:r>
      <w:r w:rsidR="002B4B39" w:rsidRPr="00644487">
        <w:rPr>
          <w:rFonts w:asciiTheme="minorHAnsi" w:hAnsiTheme="minorHAnsi"/>
        </w:rPr>
        <w:t xml:space="preserve"> targets</w:t>
      </w:r>
      <w:r w:rsidR="00A66E9B" w:rsidRPr="00644487">
        <w:rPr>
          <w:rFonts w:asciiTheme="minorHAnsi" w:hAnsiTheme="minorHAnsi"/>
        </w:rPr>
        <w:t xml:space="preserve"> </w:t>
      </w:r>
      <w:r w:rsidR="00CC15E5" w:rsidRPr="00644487">
        <w:rPr>
          <w:rFonts w:asciiTheme="minorHAnsi" w:hAnsiTheme="minorHAnsi"/>
        </w:rPr>
        <w:t>will form</w:t>
      </w:r>
      <w:r w:rsidR="00A66E9B" w:rsidRPr="00644487">
        <w:rPr>
          <w:rFonts w:asciiTheme="minorHAnsi" w:hAnsiTheme="minorHAnsi"/>
        </w:rPr>
        <w:t xml:space="preserve"> the core of </w:t>
      </w:r>
      <w:r w:rsidR="00CC15E5" w:rsidRPr="00644487">
        <w:rPr>
          <w:rFonts w:asciiTheme="minorHAnsi" w:hAnsiTheme="minorHAnsi"/>
        </w:rPr>
        <w:t xml:space="preserve">this </w:t>
      </w:r>
      <w:r w:rsidR="000540A7" w:rsidRPr="00644487">
        <w:rPr>
          <w:rFonts w:asciiTheme="minorHAnsi" w:hAnsiTheme="minorHAnsi"/>
        </w:rPr>
        <w:t xml:space="preserve">new </w:t>
      </w:r>
      <w:r w:rsidR="009D4E98" w:rsidRPr="00644487">
        <w:rPr>
          <w:rFonts w:asciiTheme="minorHAnsi" w:hAnsiTheme="minorHAnsi"/>
        </w:rPr>
        <w:t>agreement</w:t>
      </w:r>
      <w:r w:rsidR="00A66E9B" w:rsidRPr="00644487">
        <w:rPr>
          <w:rFonts w:asciiTheme="minorHAnsi" w:hAnsiTheme="minorHAnsi"/>
        </w:rPr>
        <w:t xml:space="preserve">. </w:t>
      </w:r>
      <w:r w:rsidR="002A1A7C" w:rsidRPr="00644487">
        <w:rPr>
          <w:rFonts w:asciiTheme="minorHAnsi" w:hAnsiTheme="minorHAnsi"/>
        </w:rPr>
        <w:t xml:space="preserve"> </w:t>
      </w:r>
    </w:p>
    <w:p w:rsidR="00E84FDC" w:rsidRPr="001D5606" w:rsidRDefault="00E84FDC" w:rsidP="00CC15E5">
      <w:pPr>
        <w:pStyle w:val="ListParagraph"/>
        <w:spacing w:line="360" w:lineRule="auto"/>
        <w:ind w:left="0"/>
        <w:rPr>
          <w:rFonts w:asciiTheme="minorHAnsi" w:hAnsiTheme="minorHAnsi" w:cstheme="minorHAnsi"/>
          <w:b/>
          <w:color w:val="996633"/>
        </w:rPr>
      </w:pPr>
      <w:r w:rsidRPr="001D5606">
        <w:rPr>
          <w:rFonts w:asciiTheme="minorHAnsi" w:hAnsiTheme="minorHAnsi" w:cstheme="minorHAnsi"/>
          <w:b/>
          <w:color w:val="996633"/>
        </w:rPr>
        <w:t>Economic modelling can</w:t>
      </w:r>
      <w:r w:rsidR="00326EA8" w:rsidRPr="001D5606">
        <w:rPr>
          <w:rFonts w:asciiTheme="minorHAnsi" w:hAnsiTheme="minorHAnsi" w:cstheme="minorHAnsi"/>
          <w:b/>
          <w:color w:val="996633"/>
        </w:rPr>
        <w:t xml:space="preserve"> help to</w:t>
      </w:r>
      <w:r w:rsidRPr="001D5606">
        <w:rPr>
          <w:rFonts w:asciiTheme="minorHAnsi" w:hAnsiTheme="minorHAnsi" w:cstheme="minorHAnsi"/>
          <w:b/>
          <w:color w:val="996633"/>
        </w:rPr>
        <w:t xml:space="preserve"> assess the impacts </w:t>
      </w:r>
    </w:p>
    <w:p w:rsidR="00F44CC1" w:rsidRPr="00644487" w:rsidRDefault="006662E4" w:rsidP="00B610DA">
      <w:pPr>
        <w:pStyle w:val="NormalWeb"/>
        <w:spacing w:before="0" w:beforeAutospacing="0"/>
        <w:rPr>
          <w:rFonts w:asciiTheme="minorHAnsi" w:hAnsiTheme="minorHAnsi"/>
        </w:rPr>
      </w:pPr>
      <w:r w:rsidRPr="00644487">
        <w:rPr>
          <w:rFonts w:asciiTheme="minorHAnsi" w:hAnsiTheme="minorHAnsi"/>
        </w:rPr>
        <w:t>In a first stage of modelling t</w:t>
      </w:r>
      <w:r w:rsidR="004E7B9C" w:rsidRPr="00644487">
        <w:rPr>
          <w:rFonts w:asciiTheme="minorHAnsi" w:hAnsiTheme="minorHAnsi"/>
        </w:rPr>
        <w:t>o assess the</w:t>
      </w:r>
      <w:r w:rsidR="006F3146" w:rsidRPr="00644487">
        <w:rPr>
          <w:rFonts w:asciiTheme="minorHAnsi" w:hAnsiTheme="minorHAnsi"/>
        </w:rPr>
        <w:t xml:space="preserve"> </w:t>
      </w:r>
      <w:r w:rsidR="004E7B9C" w:rsidRPr="00644487">
        <w:rPr>
          <w:rFonts w:asciiTheme="minorHAnsi" w:hAnsiTheme="minorHAnsi"/>
        </w:rPr>
        <w:t xml:space="preserve">impact of </w:t>
      </w:r>
      <w:r w:rsidR="005025AD" w:rsidRPr="00644487">
        <w:rPr>
          <w:rFonts w:asciiTheme="minorHAnsi" w:hAnsiTheme="minorHAnsi"/>
        </w:rPr>
        <w:t xml:space="preserve">the </w:t>
      </w:r>
      <w:r w:rsidR="001263C8" w:rsidRPr="00644487">
        <w:rPr>
          <w:rFonts w:asciiTheme="minorHAnsi" w:hAnsiTheme="minorHAnsi"/>
        </w:rPr>
        <w:t xml:space="preserve">new global </w:t>
      </w:r>
      <w:r w:rsidR="005025AD" w:rsidRPr="00644487">
        <w:rPr>
          <w:rFonts w:asciiTheme="minorHAnsi" w:hAnsiTheme="minorHAnsi"/>
        </w:rPr>
        <w:t>agreement</w:t>
      </w:r>
      <w:r w:rsidR="006B0A46">
        <w:rPr>
          <w:rFonts w:asciiTheme="minorHAnsi" w:hAnsiTheme="minorHAnsi"/>
        </w:rPr>
        <w:t xml:space="preserve"> (Report 1)</w:t>
      </w:r>
      <w:r w:rsidR="006F3146" w:rsidRPr="00644487">
        <w:rPr>
          <w:rFonts w:asciiTheme="minorHAnsi" w:hAnsiTheme="minorHAnsi"/>
        </w:rPr>
        <w:t xml:space="preserve">, DFAT commissioned McKibbin Software Group to </w:t>
      </w:r>
      <w:r w:rsidR="00E33609">
        <w:rPr>
          <w:rFonts w:asciiTheme="minorHAnsi" w:hAnsiTheme="minorHAnsi"/>
        </w:rPr>
        <w:t xml:space="preserve">use the G-Cubed Multi-Country Model of McKibbin and Wilcoxen (2013) to </w:t>
      </w:r>
      <w:r w:rsidR="005025AD" w:rsidRPr="00644487">
        <w:rPr>
          <w:rFonts w:asciiTheme="minorHAnsi" w:hAnsiTheme="minorHAnsi"/>
        </w:rPr>
        <w:t>undertake economic modelling of key countries’</w:t>
      </w:r>
      <w:r w:rsidR="00F44CC1" w:rsidRPr="00644487">
        <w:rPr>
          <w:rFonts w:asciiTheme="minorHAnsi" w:hAnsiTheme="minorHAnsi"/>
        </w:rPr>
        <w:t xml:space="preserve"> post-2020 targets, with two objectives:</w:t>
      </w:r>
    </w:p>
    <w:p w:rsidR="00B4145A" w:rsidRPr="00652768" w:rsidRDefault="00B4145A" w:rsidP="00B4145A">
      <w:pPr>
        <w:pStyle w:val="ListParagraph"/>
        <w:numPr>
          <w:ilvl w:val="0"/>
          <w:numId w:val="8"/>
        </w:numPr>
        <w:spacing w:line="276" w:lineRule="auto"/>
        <w:rPr>
          <w:rFonts w:asciiTheme="minorHAnsi" w:hAnsiTheme="minorHAnsi" w:cstheme="minorHAnsi"/>
        </w:rPr>
      </w:pPr>
      <w:r w:rsidRPr="00652768">
        <w:rPr>
          <w:rFonts w:asciiTheme="minorHAnsi" w:hAnsiTheme="minorHAnsi" w:cstheme="minorHAnsi"/>
        </w:rPr>
        <w:t>Assess the impact on the US, China, Japan, E</w:t>
      </w:r>
      <w:r w:rsidRPr="00387CDE">
        <w:rPr>
          <w:rFonts w:asciiTheme="minorHAnsi" w:hAnsiTheme="minorHAnsi" w:cstheme="minorHAnsi"/>
        </w:rPr>
        <w:t xml:space="preserve">urope and the </w:t>
      </w:r>
      <w:r w:rsidR="006662E4" w:rsidRPr="00387CDE">
        <w:rPr>
          <w:rFonts w:asciiTheme="minorHAnsi" w:hAnsiTheme="minorHAnsi" w:cstheme="minorHAnsi"/>
        </w:rPr>
        <w:t>w</w:t>
      </w:r>
      <w:r w:rsidR="006662E4" w:rsidRPr="00652768">
        <w:rPr>
          <w:rFonts w:asciiTheme="minorHAnsi" w:hAnsiTheme="minorHAnsi" w:cstheme="minorHAnsi"/>
        </w:rPr>
        <w:t xml:space="preserve">orld </w:t>
      </w:r>
      <w:r w:rsidRPr="00652768">
        <w:rPr>
          <w:rFonts w:asciiTheme="minorHAnsi" w:hAnsiTheme="minorHAnsi" w:cstheme="minorHAnsi"/>
        </w:rPr>
        <w:t>of collective international post-2020 climate change targets and policies; and</w:t>
      </w:r>
    </w:p>
    <w:p w:rsidR="00B4145A" w:rsidRPr="00652768" w:rsidRDefault="00B4145A" w:rsidP="00652768">
      <w:pPr>
        <w:pStyle w:val="ListParagraph"/>
        <w:numPr>
          <w:ilvl w:val="0"/>
          <w:numId w:val="8"/>
        </w:numPr>
        <w:spacing w:line="276" w:lineRule="auto"/>
        <w:rPr>
          <w:rFonts w:asciiTheme="minorHAnsi" w:hAnsiTheme="minorHAnsi" w:cstheme="minorHAnsi"/>
        </w:rPr>
      </w:pPr>
      <w:r w:rsidRPr="00387CDE">
        <w:rPr>
          <w:rFonts w:asciiTheme="minorHAnsi" w:hAnsiTheme="minorHAnsi" w:cstheme="minorHAnsi"/>
        </w:rPr>
        <w:t>Assess the impact on A</w:t>
      </w:r>
      <w:r w:rsidRPr="00652768">
        <w:rPr>
          <w:rFonts w:asciiTheme="minorHAnsi" w:hAnsiTheme="minorHAnsi" w:cstheme="minorHAnsi"/>
        </w:rPr>
        <w:t>ustralia of international action by those countries and others, in the absence of additio</w:t>
      </w:r>
      <w:r w:rsidRPr="00387CDE">
        <w:rPr>
          <w:rFonts w:asciiTheme="minorHAnsi" w:hAnsiTheme="minorHAnsi" w:cstheme="minorHAnsi"/>
        </w:rPr>
        <w:t>nal commitments or policies by A</w:t>
      </w:r>
      <w:r w:rsidRPr="00652768">
        <w:rPr>
          <w:rFonts w:asciiTheme="minorHAnsi" w:hAnsiTheme="minorHAnsi" w:cstheme="minorHAnsi"/>
        </w:rPr>
        <w:t>ustralia.</w:t>
      </w:r>
    </w:p>
    <w:p w:rsidR="00A60895" w:rsidRPr="00B610DA" w:rsidRDefault="00166793" w:rsidP="00B610DA">
      <w:pPr>
        <w:pStyle w:val="NormalWeb"/>
        <w:spacing w:before="120" w:beforeAutospacing="0"/>
        <w:rPr>
          <w:rFonts w:asciiTheme="minorHAnsi" w:hAnsiTheme="minorHAnsi"/>
        </w:rPr>
      </w:pPr>
      <w:r w:rsidRPr="00644487">
        <w:rPr>
          <w:rFonts w:asciiTheme="minorHAnsi" w:hAnsiTheme="minorHAnsi"/>
        </w:rPr>
        <w:t>Results of the first stage of modelling</w:t>
      </w:r>
      <w:r w:rsidR="00091788" w:rsidRPr="00644487">
        <w:rPr>
          <w:rFonts w:asciiTheme="minorHAnsi" w:hAnsiTheme="minorHAnsi"/>
        </w:rPr>
        <w:t xml:space="preserve"> are</w:t>
      </w:r>
      <w:r w:rsidRPr="00644487">
        <w:rPr>
          <w:rFonts w:asciiTheme="minorHAnsi" w:hAnsiTheme="minorHAnsi"/>
        </w:rPr>
        <w:t xml:space="preserve"> </w:t>
      </w:r>
      <w:r w:rsidR="005137E7" w:rsidRPr="00644487">
        <w:rPr>
          <w:rFonts w:asciiTheme="minorHAnsi" w:hAnsiTheme="minorHAnsi"/>
        </w:rPr>
        <w:t xml:space="preserve">in the companion report </w:t>
      </w:r>
      <w:r w:rsidR="001F2BE1" w:rsidRPr="00B610DA">
        <w:rPr>
          <w:rFonts w:asciiTheme="minorHAnsi" w:hAnsiTheme="minorHAnsi"/>
          <w:i/>
        </w:rPr>
        <w:t>Economic Modelling of International Action Under a New Climate Change Agreement</w:t>
      </w:r>
      <w:r w:rsidR="00460182">
        <w:rPr>
          <w:rFonts w:asciiTheme="minorHAnsi" w:hAnsiTheme="minorHAnsi"/>
        </w:rPr>
        <w:t xml:space="preserve"> (</w:t>
      </w:r>
      <w:r w:rsidR="00D51A6D">
        <w:rPr>
          <w:rFonts w:asciiTheme="minorHAnsi" w:hAnsiTheme="minorHAnsi"/>
        </w:rPr>
        <w:t>Report </w:t>
      </w:r>
      <w:r w:rsidR="00460182">
        <w:rPr>
          <w:rFonts w:asciiTheme="minorHAnsi" w:hAnsiTheme="minorHAnsi"/>
        </w:rPr>
        <w:t>1)</w:t>
      </w:r>
      <w:r w:rsidR="006662E4" w:rsidRPr="00B610DA">
        <w:rPr>
          <w:rFonts w:asciiTheme="minorHAnsi" w:hAnsiTheme="minorHAnsi"/>
        </w:rPr>
        <w:t>.</w:t>
      </w:r>
      <w:r w:rsidR="001F2BE1" w:rsidRPr="00B610DA">
        <w:rPr>
          <w:rFonts w:asciiTheme="minorHAnsi" w:hAnsiTheme="minorHAnsi"/>
        </w:rPr>
        <w:t xml:space="preserve"> </w:t>
      </w:r>
    </w:p>
    <w:p w:rsidR="00166793" w:rsidRPr="00644487" w:rsidRDefault="006C7D60" w:rsidP="00B610DA">
      <w:pPr>
        <w:pStyle w:val="NormalWeb"/>
        <w:spacing w:before="0" w:beforeAutospacing="0"/>
        <w:rPr>
          <w:rFonts w:asciiTheme="minorHAnsi" w:hAnsiTheme="minorHAnsi"/>
        </w:rPr>
      </w:pPr>
      <w:r w:rsidRPr="00644487">
        <w:rPr>
          <w:rFonts w:asciiTheme="minorHAnsi" w:hAnsiTheme="minorHAnsi"/>
        </w:rPr>
        <w:t xml:space="preserve">This report extends that analysis to action by Australia. </w:t>
      </w:r>
    </w:p>
    <w:p w:rsidR="000540A7" w:rsidRPr="001D5606" w:rsidRDefault="000540A7" w:rsidP="00F82A77">
      <w:pPr>
        <w:spacing w:after="120"/>
        <w:rPr>
          <w:rFonts w:asciiTheme="minorHAnsi" w:hAnsiTheme="minorHAnsi" w:cstheme="minorHAnsi"/>
          <w:i/>
          <w:color w:val="996633"/>
        </w:rPr>
      </w:pPr>
      <w:r w:rsidRPr="001D5606">
        <w:rPr>
          <w:rFonts w:asciiTheme="minorHAnsi" w:hAnsiTheme="minorHAnsi" w:cstheme="minorHAnsi"/>
          <w:i/>
          <w:color w:val="996633"/>
        </w:rPr>
        <w:t xml:space="preserve">Scope and Limitations of </w:t>
      </w:r>
      <w:r w:rsidR="00460182" w:rsidRPr="001D5606">
        <w:rPr>
          <w:rFonts w:asciiTheme="minorHAnsi" w:hAnsiTheme="minorHAnsi" w:cstheme="minorHAnsi"/>
          <w:i/>
          <w:color w:val="996633"/>
        </w:rPr>
        <w:t>Modelling</w:t>
      </w:r>
    </w:p>
    <w:p w:rsidR="006C7D60" w:rsidRPr="00644487" w:rsidRDefault="00460182" w:rsidP="00B610DA">
      <w:pPr>
        <w:pStyle w:val="NormalWeb"/>
        <w:spacing w:before="0" w:beforeAutospacing="0"/>
        <w:rPr>
          <w:rFonts w:asciiTheme="minorHAnsi" w:hAnsiTheme="minorHAnsi"/>
        </w:rPr>
      </w:pPr>
      <w:r>
        <w:rPr>
          <w:rFonts w:asciiTheme="minorHAnsi" w:hAnsiTheme="minorHAnsi"/>
        </w:rPr>
        <w:t xml:space="preserve">The </w:t>
      </w:r>
      <w:r w:rsidR="006C7D60" w:rsidRPr="00644487">
        <w:rPr>
          <w:rFonts w:asciiTheme="minorHAnsi" w:hAnsiTheme="minorHAnsi"/>
        </w:rPr>
        <w:t xml:space="preserve">modelling takes as given the policies that are modelled in </w:t>
      </w:r>
      <w:r>
        <w:rPr>
          <w:rFonts w:asciiTheme="minorHAnsi" w:hAnsiTheme="minorHAnsi"/>
        </w:rPr>
        <w:t>Report 1</w:t>
      </w:r>
      <w:r w:rsidR="006C7D60" w:rsidRPr="00644487">
        <w:rPr>
          <w:rFonts w:asciiTheme="minorHAnsi" w:hAnsiTheme="minorHAnsi"/>
        </w:rPr>
        <w:t>.</w:t>
      </w:r>
      <w:r w:rsidR="0023151B" w:rsidRPr="00644487">
        <w:rPr>
          <w:rFonts w:asciiTheme="minorHAnsi" w:hAnsiTheme="minorHAnsi"/>
        </w:rPr>
        <w:t xml:space="preserve"> </w:t>
      </w:r>
    </w:p>
    <w:p w:rsidR="00EA46AF" w:rsidRDefault="00E8153C" w:rsidP="00B610DA">
      <w:pPr>
        <w:pStyle w:val="NormalWeb"/>
        <w:spacing w:before="0" w:beforeAutospacing="0"/>
        <w:rPr>
          <w:rFonts w:asciiTheme="minorHAnsi" w:hAnsiTheme="minorHAnsi"/>
        </w:rPr>
      </w:pPr>
      <w:r>
        <w:rPr>
          <w:rFonts w:asciiTheme="minorHAnsi" w:hAnsiTheme="minorHAnsi"/>
        </w:rPr>
        <w:t>Policy implementation is focused on reductions in carbon dioxide (CO</w:t>
      </w:r>
      <w:r w:rsidRPr="00F021CE">
        <w:rPr>
          <w:rFonts w:asciiTheme="minorHAnsi" w:hAnsiTheme="minorHAnsi"/>
          <w:vertAlign w:val="subscript"/>
        </w:rPr>
        <w:t>2</w:t>
      </w:r>
      <w:r>
        <w:rPr>
          <w:rFonts w:asciiTheme="minorHAnsi" w:hAnsiTheme="minorHAnsi"/>
        </w:rPr>
        <w:t xml:space="preserve">) emissions from the </w:t>
      </w:r>
      <w:r w:rsidR="00F62146">
        <w:rPr>
          <w:rFonts w:asciiTheme="minorHAnsi" w:hAnsiTheme="minorHAnsi"/>
        </w:rPr>
        <w:t xml:space="preserve">electricity </w:t>
      </w:r>
      <w:r>
        <w:rPr>
          <w:rFonts w:asciiTheme="minorHAnsi" w:hAnsiTheme="minorHAnsi"/>
        </w:rPr>
        <w:t xml:space="preserve">sector, consistent with the emphasis of policies and targets announced by key countries. It </w:t>
      </w:r>
      <w:r w:rsidR="00F27ABE">
        <w:rPr>
          <w:rFonts w:asciiTheme="minorHAnsi" w:hAnsiTheme="minorHAnsi"/>
        </w:rPr>
        <w:t>does not account for potential reductions in non-energy industrial emissions (such as CO</w:t>
      </w:r>
      <w:r w:rsidR="00F27ABE" w:rsidRPr="00F021CE">
        <w:rPr>
          <w:rFonts w:asciiTheme="minorHAnsi" w:hAnsiTheme="minorHAnsi"/>
          <w:vertAlign w:val="subscript"/>
        </w:rPr>
        <w:t>2</w:t>
      </w:r>
      <w:r w:rsidR="00F27ABE">
        <w:rPr>
          <w:rFonts w:asciiTheme="minorHAnsi" w:hAnsiTheme="minorHAnsi"/>
        </w:rPr>
        <w:t xml:space="preserve"> from cement manufacturing), non-CO</w:t>
      </w:r>
      <w:r w:rsidR="00F27ABE" w:rsidRPr="00F021CE">
        <w:rPr>
          <w:rFonts w:asciiTheme="minorHAnsi" w:hAnsiTheme="minorHAnsi"/>
          <w:vertAlign w:val="subscript"/>
        </w:rPr>
        <w:t>2</w:t>
      </w:r>
      <w:r w:rsidR="00F27ABE">
        <w:rPr>
          <w:rFonts w:asciiTheme="minorHAnsi" w:hAnsiTheme="minorHAnsi"/>
        </w:rPr>
        <w:t xml:space="preserve"> emissions from livestock, or potential emissions and sequestration associated with land use change. </w:t>
      </w:r>
    </w:p>
    <w:p w:rsidR="00F27ABE" w:rsidRDefault="00E8153C" w:rsidP="0032003F">
      <w:pPr>
        <w:pStyle w:val="NormalWeb"/>
        <w:spacing w:before="0" w:beforeAutospacing="0"/>
        <w:rPr>
          <w:rFonts w:asciiTheme="minorHAnsi" w:hAnsiTheme="minorHAnsi"/>
        </w:rPr>
      </w:pPr>
      <w:r>
        <w:rPr>
          <w:rFonts w:asciiTheme="minorHAnsi" w:hAnsiTheme="minorHAnsi"/>
        </w:rPr>
        <w:lastRenderedPageBreak/>
        <w:t>The model accounts for energy sector carbon dioxide (CO</w:t>
      </w:r>
      <w:r w:rsidRPr="00F021CE">
        <w:rPr>
          <w:rFonts w:asciiTheme="minorHAnsi" w:hAnsiTheme="minorHAnsi"/>
          <w:vertAlign w:val="subscript"/>
        </w:rPr>
        <w:t>2</w:t>
      </w:r>
      <w:r>
        <w:rPr>
          <w:rFonts w:asciiTheme="minorHAnsi" w:hAnsiTheme="minorHAnsi"/>
        </w:rPr>
        <w:t>) emissions – specifically, emissions from fuel combustion. Fugitive emissions from fuels are not covered.</w:t>
      </w:r>
      <w:r w:rsidR="00563782">
        <w:rPr>
          <w:rFonts w:asciiTheme="minorHAnsi" w:hAnsiTheme="minorHAnsi"/>
        </w:rPr>
        <w:t xml:space="preserve"> Unless specified otherwise, </w:t>
      </w:r>
      <w:r w:rsidR="00486352">
        <w:rPr>
          <w:rFonts w:asciiTheme="minorHAnsi" w:hAnsiTheme="minorHAnsi"/>
        </w:rPr>
        <w:t>n</w:t>
      </w:r>
      <w:r w:rsidR="00563782">
        <w:rPr>
          <w:rFonts w:asciiTheme="minorHAnsi" w:hAnsiTheme="minorHAnsi"/>
        </w:rPr>
        <w:t>o assumptions are made</w:t>
      </w:r>
      <w:r w:rsidR="00F47C94">
        <w:rPr>
          <w:rFonts w:asciiTheme="minorHAnsi" w:hAnsiTheme="minorHAnsi"/>
        </w:rPr>
        <w:t xml:space="preserve"> about the cost of </w:t>
      </w:r>
      <w:r w:rsidR="00EA46AF">
        <w:rPr>
          <w:rFonts w:asciiTheme="minorHAnsi" w:hAnsiTheme="minorHAnsi"/>
        </w:rPr>
        <w:t xml:space="preserve">reducing </w:t>
      </w:r>
      <w:r w:rsidR="00F47C94">
        <w:rPr>
          <w:rFonts w:asciiTheme="minorHAnsi" w:hAnsiTheme="minorHAnsi"/>
        </w:rPr>
        <w:t xml:space="preserve">emissions </w:t>
      </w:r>
      <w:r w:rsidR="00DD0C0C">
        <w:rPr>
          <w:rFonts w:asciiTheme="minorHAnsi" w:hAnsiTheme="minorHAnsi"/>
        </w:rPr>
        <w:t>not covered by the model</w:t>
      </w:r>
      <w:r w:rsidR="00F47C94">
        <w:rPr>
          <w:rFonts w:asciiTheme="minorHAnsi" w:hAnsiTheme="minorHAnsi"/>
        </w:rPr>
        <w:t>.</w:t>
      </w:r>
      <w:r w:rsidR="00F27ABE">
        <w:rPr>
          <w:rFonts w:asciiTheme="minorHAnsi" w:hAnsiTheme="minorHAnsi"/>
        </w:rPr>
        <w:t xml:space="preserve"> </w:t>
      </w:r>
    </w:p>
    <w:p w:rsidR="00506B2B" w:rsidRDefault="00091788" w:rsidP="00B610DA">
      <w:pPr>
        <w:pStyle w:val="NormalWeb"/>
        <w:spacing w:before="0" w:beforeAutospacing="0"/>
        <w:rPr>
          <w:rFonts w:asciiTheme="minorHAnsi" w:hAnsiTheme="minorHAnsi"/>
        </w:rPr>
      </w:pPr>
      <w:r w:rsidRPr="00B87AD0">
        <w:rPr>
          <w:rFonts w:asciiTheme="minorHAnsi" w:hAnsiTheme="minorHAnsi"/>
        </w:rPr>
        <w:t>Energy emissions policies are represented in a stylised way for Australia</w:t>
      </w:r>
      <w:r w:rsidR="000836D6">
        <w:rPr>
          <w:rFonts w:asciiTheme="minorHAnsi" w:hAnsiTheme="minorHAnsi"/>
        </w:rPr>
        <w:t>;</w:t>
      </w:r>
      <w:r w:rsidRPr="00B87AD0">
        <w:rPr>
          <w:rFonts w:asciiTheme="minorHAnsi" w:hAnsiTheme="minorHAnsi"/>
        </w:rPr>
        <w:t xml:space="preserve"> </w:t>
      </w:r>
      <w:r w:rsidR="000836D6">
        <w:rPr>
          <w:rFonts w:asciiTheme="minorHAnsi" w:hAnsiTheme="minorHAnsi"/>
        </w:rPr>
        <w:t>o</w:t>
      </w:r>
      <w:r w:rsidR="000836D6" w:rsidRPr="00B87AD0">
        <w:rPr>
          <w:rFonts w:asciiTheme="minorHAnsi" w:hAnsiTheme="minorHAnsi"/>
        </w:rPr>
        <w:t xml:space="preserve">ther </w:t>
      </w:r>
      <w:r w:rsidRPr="00B87AD0">
        <w:rPr>
          <w:rFonts w:asciiTheme="minorHAnsi" w:hAnsiTheme="minorHAnsi"/>
        </w:rPr>
        <w:t>policies relating to non-energy and non-</w:t>
      </w:r>
      <w:r w:rsidR="00F021CE">
        <w:rPr>
          <w:rFonts w:asciiTheme="minorHAnsi" w:hAnsiTheme="minorHAnsi"/>
        </w:rPr>
        <w:t>CO</w:t>
      </w:r>
      <w:r w:rsidR="00F021CE" w:rsidRPr="00015CEE">
        <w:rPr>
          <w:rFonts w:asciiTheme="minorHAnsi" w:hAnsiTheme="minorHAnsi"/>
          <w:vertAlign w:val="subscript"/>
        </w:rPr>
        <w:t>2</w:t>
      </w:r>
      <w:r w:rsidRPr="00B87AD0">
        <w:rPr>
          <w:rFonts w:asciiTheme="minorHAnsi" w:hAnsiTheme="minorHAnsi"/>
        </w:rPr>
        <w:t xml:space="preserve"> sectors are not covered. As a result, the modelling results are not a complete picture for abatement in non-</w:t>
      </w:r>
      <w:r w:rsidR="00E8153C">
        <w:rPr>
          <w:rFonts w:asciiTheme="minorHAnsi" w:hAnsiTheme="minorHAnsi"/>
        </w:rPr>
        <w:t>energy</w:t>
      </w:r>
      <w:r w:rsidRPr="00B87AD0">
        <w:rPr>
          <w:rFonts w:asciiTheme="minorHAnsi" w:hAnsiTheme="minorHAnsi"/>
        </w:rPr>
        <w:t xml:space="preserve"> sectors. </w:t>
      </w:r>
      <w:r w:rsidR="00506B2B">
        <w:rPr>
          <w:rFonts w:asciiTheme="minorHAnsi" w:hAnsiTheme="minorHAnsi"/>
        </w:rPr>
        <w:t xml:space="preserve">The </w:t>
      </w:r>
      <w:r w:rsidR="00460182">
        <w:rPr>
          <w:rFonts w:asciiTheme="minorHAnsi" w:hAnsiTheme="minorHAnsi"/>
        </w:rPr>
        <w:t xml:space="preserve">modelling </w:t>
      </w:r>
      <w:r w:rsidR="00506B2B">
        <w:rPr>
          <w:rFonts w:asciiTheme="minorHAnsi" w:hAnsiTheme="minorHAnsi"/>
        </w:rPr>
        <w:t>assesses policies that have been announced or that are considered likely to be implemented, and assumes that implemented policies are cost effective.</w:t>
      </w:r>
    </w:p>
    <w:p w:rsidR="00952EAD" w:rsidRPr="00644487" w:rsidRDefault="000836D6" w:rsidP="00B610DA">
      <w:pPr>
        <w:pStyle w:val="NormalWeb"/>
        <w:spacing w:before="0" w:beforeAutospacing="0"/>
        <w:rPr>
          <w:rFonts w:asciiTheme="minorHAnsi" w:hAnsiTheme="minorHAnsi"/>
        </w:rPr>
      </w:pPr>
      <w:r w:rsidRPr="00644487">
        <w:rPr>
          <w:rFonts w:asciiTheme="minorHAnsi" w:hAnsiTheme="minorHAnsi"/>
        </w:rPr>
        <w:t>While t</w:t>
      </w:r>
      <w:r w:rsidR="000540A7" w:rsidRPr="00644487">
        <w:rPr>
          <w:rFonts w:asciiTheme="minorHAnsi" w:hAnsiTheme="minorHAnsi"/>
        </w:rPr>
        <w:t xml:space="preserve">he modelling can help </w:t>
      </w:r>
      <w:r w:rsidR="00952EAD" w:rsidRPr="00644487">
        <w:rPr>
          <w:rFonts w:asciiTheme="minorHAnsi" w:hAnsiTheme="minorHAnsi"/>
        </w:rPr>
        <w:t>explain</w:t>
      </w:r>
      <w:r w:rsidR="00CC15E5" w:rsidRPr="00644487">
        <w:rPr>
          <w:rFonts w:asciiTheme="minorHAnsi" w:hAnsiTheme="minorHAnsi"/>
        </w:rPr>
        <w:t xml:space="preserve"> the </w:t>
      </w:r>
      <w:r w:rsidR="00952EAD" w:rsidRPr="00644487">
        <w:rPr>
          <w:rFonts w:asciiTheme="minorHAnsi" w:hAnsiTheme="minorHAnsi"/>
        </w:rPr>
        <w:t xml:space="preserve">economic </w:t>
      </w:r>
      <w:r w:rsidR="00CC15E5" w:rsidRPr="00644487">
        <w:rPr>
          <w:rFonts w:asciiTheme="minorHAnsi" w:hAnsiTheme="minorHAnsi"/>
        </w:rPr>
        <w:t>con</w:t>
      </w:r>
      <w:r w:rsidR="00924C10" w:rsidRPr="00644487">
        <w:rPr>
          <w:rFonts w:asciiTheme="minorHAnsi" w:hAnsiTheme="minorHAnsi"/>
        </w:rPr>
        <w:t>sequences of alternative</w:t>
      </w:r>
      <w:r w:rsidR="000540A7" w:rsidRPr="00644487">
        <w:rPr>
          <w:rFonts w:asciiTheme="minorHAnsi" w:hAnsiTheme="minorHAnsi"/>
        </w:rPr>
        <w:t xml:space="preserve"> post-2020 climate change action</w:t>
      </w:r>
      <w:r w:rsidRPr="00644487">
        <w:rPr>
          <w:rFonts w:asciiTheme="minorHAnsi" w:hAnsiTheme="minorHAnsi"/>
        </w:rPr>
        <w:t>,</w:t>
      </w:r>
      <w:r w:rsidR="006F3146" w:rsidRPr="00644487">
        <w:rPr>
          <w:rFonts w:asciiTheme="minorHAnsi" w:hAnsiTheme="minorHAnsi"/>
        </w:rPr>
        <w:t xml:space="preserve"> there are other factors that could be considered in target setting that are not </w:t>
      </w:r>
      <w:r w:rsidR="00B46257" w:rsidRPr="00644487">
        <w:rPr>
          <w:rFonts w:asciiTheme="minorHAnsi" w:hAnsiTheme="minorHAnsi"/>
        </w:rPr>
        <w:t>addressed</w:t>
      </w:r>
      <w:r w:rsidR="006F3146" w:rsidRPr="00644487">
        <w:rPr>
          <w:rFonts w:asciiTheme="minorHAnsi" w:hAnsiTheme="minorHAnsi"/>
        </w:rPr>
        <w:t xml:space="preserve"> in this </w:t>
      </w:r>
      <w:r w:rsidR="00460182">
        <w:rPr>
          <w:rFonts w:asciiTheme="minorHAnsi" w:hAnsiTheme="minorHAnsi"/>
        </w:rPr>
        <w:t>modelling</w:t>
      </w:r>
      <w:r w:rsidRPr="00644487">
        <w:rPr>
          <w:rFonts w:asciiTheme="minorHAnsi" w:hAnsiTheme="minorHAnsi"/>
        </w:rPr>
        <w:t xml:space="preserve">. These </w:t>
      </w:r>
      <w:r w:rsidR="006F3146" w:rsidRPr="00644487">
        <w:rPr>
          <w:rFonts w:asciiTheme="minorHAnsi" w:hAnsiTheme="minorHAnsi"/>
        </w:rPr>
        <w:t>includ</w:t>
      </w:r>
      <w:r w:rsidRPr="00644487">
        <w:rPr>
          <w:rFonts w:asciiTheme="minorHAnsi" w:hAnsiTheme="minorHAnsi"/>
        </w:rPr>
        <w:t>e</w:t>
      </w:r>
      <w:r w:rsidR="006F3146" w:rsidRPr="00644487">
        <w:rPr>
          <w:rFonts w:asciiTheme="minorHAnsi" w:hAnsiTheme="minorHAnsi"/>
        </w:rPr>
        <w:t xml:space="preserve"> the economic advantages of avoided climate damages</w:t>
      </w:r>
      <w:r w:rsidR="00091AB3" w:rsidRPr="00644487">
        <w:rPr>
          <w:rFonts w:asciiTheme="minorHAnsi" w:hAnsiTheme="minorHAnsi"/>
        </w:rPr>
        <w:t>, a</w:t>
      </w:r>
      <w:r w:rsidR="0080435C" w:rsidRPr="00644487">
        <w:rPr>
          <w:rFonts w:asciiTheme="minorHAnsi" w:hAnsiTheme="minorHAnsi"/>
        </w:rPr>
        <w:t>nd</w:t>
      </w:r>
      <w:r w:rsidR="001263C8" w:rsidRPr="00644487">
        <w:rPr>
          <w:rFonts w:asciiTheme="minorHAnsi" w:hAnsiTheme="minorHAnsi"/>
        </w:rPr>
        <w:t xml:space="preserve"> long-term targets and economic transition beyond 2030.</w:t>
      </w:r>
    </w:p>
    <w:p w:rsidR="00934F53" w:rsidRDefault="00A12088" w:rsidP="0061775F">
      <w:pPr>
        <w:pStyle w:val="NormalWeb"/>
        <w:spacing w:before="0" w:beforeAutospacing="0"/>
        <w:rPr>
          <w:rFonts w:asciiTheme="minorHAnsi" w:hAnsiTheme="minorHAnsi"/>
        </w:rPr>
      </w:pPr>
      <w:r w:rsidRPr="00644487">
        <w:rPr>
          <w:rFonts w:asciiTheme="minorHAnsi" w:hAnsiTheme="minorHAnsi"/>
        </w:rPr>
        <w:t>The results are sensitive to the specific assumptions made, including future technology costs</w:t>
      </w:r>
      <w:r w:rsidR="005025AD" w:rsidRPr="00644487">
        <w:rPr>
          <w:rFonts w:asciiTheme="minorHAnsi" w:hAnsiTheme="minorHAnsi"/>
        </w:rPr>
        <w:t>. Given the difficulty of predicting future economic conditions and countries’ actions, all results should be understood to be an expected outcome with a relatively large band of uncertainty around the estimates. The</w:t>
      </w:r>
      <w:r w:rsidR="006C7D60" w:rsidRPr="00644487">
        <w:rPr>
          <w:rFonts w:asciiTheme="minorHAnsi" w:hAnsiTheme="minorHAnsi"/>
        </w:rPr>
        <w:t>y</w:t>
      </w:r>
      <w:r w:rsidR="005025AD" w:rsidRPr="00644487">
        <w:rPr>
          <w:rFonts w:asciiTheme="minorHAnsi" w:hAnsiTheme="minorHAnsi"/>
        </w:rPr>
        <w:t xml:space="preserve"> should be treated as indicative of the orders of magnitude of policy </w:t>
      </w:r>
      <w:r w:rsidR="00533137" w:rsidRPr="00644487">
        <w:rPr>
          <w:rFonts w:asciiTheme="minorHAnsi" w:hAnsiTheme="minorHAnsi"/>
        </w:rPr>
        <w:t>impacts</w:t>
      </w:r>
      <w:r w:rsidR="00387CDE" w:rsidRPr="00644487">
        <w:rPr>
          <w:rFonts w:asciiTheme="minorHAnsi" w:hAnsiTheme="minorHAnsi"/>
        </w:rPr>
        <w:t xml:space="preserve"> and the likely relative size of impacts across sectors and countries</w:t>
      </w:r>
      <w:r w:rsidR="005025AD" w:rsidRPr="00644487">
        <w:rPr>
          <w:rFonts w:asciiTheme="minorHAnsi" w:hAnsiTheme="minorHAnsi"/>
        </w:rPr>
        <w:t>.</w:t>
      </w:r>
      <w:r w:rsidR="00934F53">
        <w:rPr>
          <w:rFonts w:asciiTheme="minorHAnsi" w:hAnsiTheme="minorHAnsi"/>
        </w:rPr>
        <w:t xml:space="preserve"> </w:t>
      </w:r>
    </w:p>
    <w:p w:rsidR="003323E7" w:rsidRDefault="00934F53" w:rsidP="0061775F">
      <w:pPr>
        <w:pStyle w:val="NormalWeb"/>
        <w:spacing w:before="0" w:beforeAutospacing="0"/>
        <w:rPr>
          <w:rFonts w:asciiTheme="minorHAnsi" w:hAnsiTheme="minorHAnsi" w:cstheme="minorHAnsi"/>
        </w:rPr>
      </w:pPr>
      <w:r>
        <w:rPr>
          <w:rFonts w:asciiTheme="minorHAnsi" w:hAnsiTheme="minorHAnsi"/>
        </w:rPr>
        <w:t xml:space="preserve">The cost impacts for Australia in this report do not include the </w:t>
      </w:r>
      <w:r w:rsidR="00521704">
        <w:rPr>
          <w:rFonts w:asciiTheme="minorHAnsi" w:hAnsiTheme="minorHAnsi"/>
        </w:rPr>
        <w:t xml:space="preserve">economic </w:t>
      </w:r>
      <w:r>
        <w:rPr>
          <w:rFonts w:asciiTheme="minorHAnsi" w:hAnsiTheme="minorHAnsi"/>
        </w:rPr>
        <w:t>impact</w:t>
      </w:r>
      <w:r w:rsidR="00521704">
        <w:rPr>
          <w:rFonts w:asciiTheme="minorHAnsi" w:hAnsiTheme="minorHAnsi"/>
        </w:rPr>
        <w:t xml:space="preserve"> on Australia of other countries’ post-2020 targets. These are examined in</w:t>
      </w:r>
      <w:r>
        <w:rPr>
          <w:rFonts w:asciiTheme="minorHAnsi" w:hAnsiTheme="minorHAnsi"/>
        </w:rPr>
        <w:t xml:space="preserve"> Report 1.</w:t>
      </w:r>
      <w:r w:rsidR="003323E7">
        <w:rPr>
          <w:rFonts w:asciiTheme="minorHAnsi" w:hAnsiTheme="minorHAnsi" w:cstheme="minorHAnsi"/>
        </w:rPr>
        <w:br w:type="page"/>
      </w:r>
    </w:p>
    <w:p w:rsidR="00185F08" w:rsidRPr="001D5606" w:rsidRDefault="0058120C" w:rsidP="004613D9">
      <w:pPr>
        <w:spacing w:after="120"/>
        <w:rPr>
          <w:rFonts w:asciiTheme="minorHAnsi" w:hAnsiTheme="minorHAnsi" w:cstheme="minorHAnsi"/>
          <w:b/>
          <w:color w:val="996633"/>
          <w:sz w:val="40"/>
        </w:rPr>
      </w:pPr>
      <w:r w:rsidRPr="001D5606">
        <w:rPr>
          <w:rFonts w:asciiTheme="minorHAnsi" w:hAnsiTheme="minorHAnsi" w:cstheme="minorHAnsi"/>
          <w:b/>
          <w:color w:val="996633"/>
          <w:sz w:val="40"/>
        </w:rPr>
        <w:lastRenderedPageBreak/>
        <w:t>Methodology</w:t>
      </w:r>
    </w:p>
    <w:p w:rsidR="00335D2D" w:rsidRDefault="00D418B0" w:rsidP="004F5042">
      <w:pPr>
        <w:pStyle w:val="ListParagraph"/>
        <w:spacing w:line="360" w:lineRule="auto"/>
        <w:ind w:left="0"/>
        <w:rPr>
          <w:rFonts w:asciiTheme="minorHAnsi" w:hAnsiTheme="minorHAnsi" w:cstheme="minorHAnsi"/>
          <w:b/>
        </w:rPr>
      </w:pPr>
      <w:r>
        <w:rPr>
          <w:rFonts w:asciiTheme="minorHAnsi" w:hAnsiTheme="minorHAnsi" w:cstheme="minorHAnsi"/>
          <w:noProof/>
          <w:lang w:eastAsia="en-AU"/>
        </w:rPr>
        <mc:AlternateContent>
          <mc:Choice Requires="wps">
            <w:drawing>
              <wp:anchor distT="0" distB="0" distL="114300" distR="114300" simplePos="0" relativeHeight="251676672" behindDoc="0" locked="0" layoutInCell="1" allowOverlap="1" wp14:anchorId="039F611D" wp14:editId="145D420C">
                <wp:simplePos x="0" y="0"/>
                <wp:positionH relativeFrom="column">
                  <wp:posOffset>8467</wp:posOffset>
                </wp:positionH>
                <wp:positionV relativeFrom="paragraph">
                  <wp:posOffset>246099</wp:posOffset>
                </wp:positionV>
                <wp:extent cx="5200650" cy="14224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22400"/>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393DD2" w:rsidRPr="001D5606" w:rsidRDefault="00393DD2" w:rsidP="00D1585B">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FOUr alternative target paths</w:t>
                            </w:r>
                            <w:r>
                              <w:rPr>
                                <w:rFonts w:asciiTheme="minorHAnsi" w:hAnsiTheme="minorHAnsi" w:cstheme="minorHAnsi"/>
                                <w:caps/>
                                <w:color w:val="4F81BD" w:themeColor="accent1"/>
                                <w:sz w:val="22"/>
                              </w:rPr>
                              <w:t xml:space="preserve"> </w:t>
                            </w:r>
                            <w:r w:rsidRPr="001D5606">
                              <w:rPr>
                                <w:rFonts w:asciiTheme="minorHAnsi" w:hAnsiTheme="minorHAnsi" w:cstheme="minorHAnsi"/>
                                <w:caps/>
                                <w:color w:val="4F81BD" w:themeColor="accent1"/>
                                <w:sz w:val="22"/>
                              </w:rPr>
                              <w:t xml:space="preserve">capture the potential impacts on australia of post-2020 action. </w:t>
                            </w:r>
                          </w:p>
                          <w:p w:rsidR="00393DD2" w:rsidRPr="001D5606" w:rsidRDefault="00393DD2" w:rsidP="005978A4">
                            <w:pPr>
                              <w:pStyle w:val="ListParagraph"/>
                              <w:numPr>
                                <w:ilvl w:val="0"/>
                                <w:numId w:val="13"/>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Emissions targets are modelled focussing on changing the energy structure of the Australian economy. </w:t>
                            </w:r>
                          </w:p>
                          <w:p w:rsidR="00393DD2" w:rsidRPr="001D5606" w:rsidRDefault="00393DD2" w:rsidP="005978A4">
                            <w:pPr>
                              <w:pStyle w:val="ListParagraph"/>
                              <w:numPr>
                                <w:ilvl w:val="0"/>
                                <w:numId w:val="13"/>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Sensitivity analysis provides information on how energy technology costs and the policy mix affect impacts.</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pt;margin-top:19.4pt;width:409.5pt;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" fillcolor="white [3201]" strokecolor="#963" strokeweight="2pt">
                <v:textbox inset="4mm,3mm,4mm,3mm">
                  <w:txbxContent>
                    <w:p w:rsidR="00393DD2" w:rsidRPr="001D5606" w:rsidRDefault="00393DD2" w:rsidP="00D1585B">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FOUr alternative target paths</w:t>
                      </w:r>
                      <w:r>
                        <w:rPr>
                          <w:rFonts w:asciiTheme="minorHAnsi" w:hAnsiTheme="minorHAnsi" w:cstheme="minorHAnsi"/>
                          <w:caps/>
                          <w:color w:val="4F81BD" w:themeColor="accent1"/>
                          <w:sz w:val="22"/>
                        </w:rPr>
                        <w:t xml:space="preserve"> </w:t>
                      </w:r>
                      <w:r w:rsidRPr="001D5606">
                        <w:rPr>
                          <w:rFonts w:asciiTheme="minorHAnsi" w:hAnsiTheme="minorHAnsi" w:cstheme="minorHAnsi"/>
                          <w:caps/>
                          <w:color w:val="4F81BD" w:themeColor="accent1"/>
                          <w:sz w:val="22"/>
                        </w:rPr>
                        <w:t xml:space="preserve">capture the potential impacts on australia of post-2020 action. </w:t>
                      </w:r>
                    </w:p>
                    <w:p w:rsidR="00393DD2" w:rsidRPr="001D5606" w:rsidRDefault="00393DD2" w:rsidP="005978A4">
                      <w:pPr>
                        <w:pStyle w:val="ListParagraph"/>
                        <w:numPr>
                          <w:ilvl w:val="0"/>
                          <w:numId w:val="13"/>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Emissions targets are modelled focussing on changing the energy structure of the Australian economy. </w:t>
                      </w:r>
                    </w:p>
                    <w:p w:rsidR="00393DD2" w:rsidRPr="001D5606" w:rsidRDefault="00393DD2" w:rsidP="005978A4">
                      <w:pPr>
                        <w:pStyle w:val="ListParagraph"/>
                        <w:numPr>
                          <w:ilvl w:val="0"/>
                          <w:numId w:val="13"/>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Sensitivity analysis provides information on how energy technology costs and the policy mix affect impacts.</w:t>
                      </w:r>
                    </w:p>
                  </w:txbxContent>
                </v:textbox>
              </v:shape>
            </w:pict>
          </mc:Fallback>
        </mc:AlternateContent>
      </w:r>
    </w:p>
    <w:p w:rsidR="00DD4E0F" w:rsidRDefault="00DD4E0F" w:rsidP="004F5042">
      <w:pPr>
        <w:pStyle w:val="ListParagraph"/>
        <w:spacing w:line="360" w:lineRule="auto"/>
        <w:ind w:left="0"/>
        <w:rPr>
          <w:rFonts w:asciiTheme="minorHAnsi" w:hAnsiTheme="minorHAnsi" w:cstheme="minorHAnsi"/>
          <w:b/>
        </w:rPr>
      </w:pPr>
    </w:p>
    <w:p w:rsidR="00DD4E0F" w:rsidRPr="00335D2D" w:rsidRDefault="00DD4E0F" w:rsidP="004F5042">
      <w:pPr>
        <w:pStyle w:val="ListParagraph"/>
        <w:spacing w:line="360" w:lineRule="auto"/>
        <w:ind w:left="0"/>
        <w:rPr>
          <w:rFonts w:asciiTheme="minorHAnsi" w:hAnsiTheme="minorHAnsi" w:cstheme="minorHAnsi"/>
          <w:b/>
        </w:rPr>
      </w:pPr>
    </w:p>
    <w:p w:rsidR="00335D2D" w:rsidRPr="00335D2D" w:rsidRDefault="00335D2D" w:rsidP="004F5042">
      <w:pPr>
        <w:pStyle w:val="ListParagraph"/>
        <w:spacing w:line="360" w:lineRule="auto"/>
        <w:ind w:left="0"/>
        <w:rPr>
          <w:rFonts w:asciiTheme="minorHAnsi" w:hAnsiTheme="minorHAnsi" w:cstheme="minorHAnsi"/>
          <w:b/>
        </w:rPr>
      </w:pPr>
    </w:p>
    <w:p w:rsidR="00335D2D" w:rsidRDefault="00335D2D" w:rsidP="004F5042">
      <w:pPr>
        <w:pStyle w:val="ListParagraph"/>
        <w:spacing w:line="360" w:lineRule="auto"/>
        <w:ind w:left="0"/>
        <w:rPr>
          <w:rFonts w:asciiTheme="minorHAnsi" w:hAnsiTheme="minorHAnsi" w:cstheme="minorHAnsi"/>
          <w:b/>
        </w:rPr>
      </w:pPr>
    </w:p>
    <w:p w:rsidR="002A3DBF" w:rsidRDefault="002A3DBF" w:rsidP="004F5042">
      <w:pPr>
        <w:pStyle w:val="ListParagraph"/>
        <w:spacing w:line="360" w:lineRule="auto"/>
        <w:ind w:left="0"/>
        <w:rPr>
          <w:rFonts w:asciiTheme="minorHAnsi" w:hAnsiTheme="minorHAnsi" w:cstheme="minorHAnsi"/>
          <w:b/>
        </w:rPr>
      </w:pPr>
    </w:p>
    <w:p w:rsidR="002A3DBF" w:rsidRPr="00335D2D" w:rsidRDefault="002A3DBF" w:rsidP="004F5042">
      <w:pPr>
        <w:pStyle w:val="ListParagraph"/>
        <w:spacing w:line="360" w:lineRule="auto"/>
        <w:ind w:left="0"/>
        <w:rPr>
          <w:rFonts w:asciiTheme="minorHAnsi" w:hAnsiTheme="minorHAnsi" w:cstheme="minorHAnsi"/>
          <w:b/>
        </w:rPr>
      </w:pPr>
    </w:p>
    <w:p w:rsidR="00A57C2D" w:rsidRDefault="00CC3FD7" w:rsidP="00A57C2D">
      <w:pPr>
        <w:pStyle w:val="NormalWeb"/>
        <w:spacing w:before="0" w:beforeAutospacing="0"/>
        <w:rPr>
          <w:rFonts w:asciiTheme="minorHAnsi" w:hAnsiTheme="minorHAnsi"/>
        </w:rPr>
      </w:pPr>
      <w:r>
        <w:rPr>
          <w:rFonts w:asciiTheme="minorHAnsi" w:hAnsiTheme="minorHAnsi"/>
        </w:rPr>
        <w:t>T</w:t>
      </w:r>
      <w:r w:rsidR="001F2BE1">
        <w:rPr>
          <w:rFonts w:asciiTheme="minorHAnsi" w:hAnsiTheme="minorHAnsi"/>
        </w:rPr>
        <w:t xml:space="preserve">his report </w:t>
      </w:r>
      <w:r>
        <w:rPr>
          <w:rFonts w:asciiTheme="minorHAnsi" w:hAnsiTheme="minorHAnsi"/>
        </w:rPr>
        <w:t xml:space="preserve">looks at </w:t>
      </w:r>
      <w:r w:rsidR="001F2BE1">
        <w:rPr>
          <w:rFonts w:asciiTheme="minorHAnsi" w:hAnsiTheme="minorHAnsi"/>
        </w:rPr>
        <w:t xml:space="preserve">the outcomes for Australia of different </w:t>
      </w:r>
      <w:r w:rsidR="00794653">
        <w:rPr>
          <w:rFonts w:asciiTheme="minorHAnsi" w:hAnsiTheme="minorHAnsi"/>
        </w:rPr>
        <w:t xml:space="preserve">domestic </w:t>
      </w:r>
      <w:r w:rsidR="001F2BE1">
        <w:rPr>
          <w:rFonts w:asciiTheme="minorHAnsi" w:hAnsiTheme="minorHAnsi"/>
        </w:rPr>
        <w:t>emission targets</w:t>
      </w:r>
      <w:r w:rsidR="00934EF0">
        <w:rPr>
          <w:rFonts w:asciiTheme="minorHAnsi" w:hAnsiTheme="minorHAnsi"/>
        </w:rPr>
        <w:t xml:space="preserve"> to 2030</w:t>
      </w:r>
      <w:r w:rsidR="00A57C2D" w:rsidRPr="00A57C2D">
        <w:rPr>
          <w:rFonts w:asciiTheme="minorHAnsi" w:hAnsiTheme="minorHAnsi"/>
        </w:rPr>
        <w:t>.</w:t>
      </w:r>
      <w:r w:rsidR="001F2BE1">
        <w:rPr>
          <w:rFonts w:asciiTheme="minorHAnsi" w:hAnsiTheme="minorHAnsi"/>
        </w:rPr>
        <w:t xml:space="preserve"> The</w:t>
      </w:r>
      <w:r w:rsidR="00E20F00">
        <w:rPr>
          <w:rFonts w:asciiTheme="minorHAnsi" w:hAnsiTheme="minorHAnsi"/>
        </w:rPr>
        <w:t xml:space="preserve"> impact</w:t>
      </w:r>
      <w:r w:rsidR="001F2BE1">
        <w:rPr>
          <w:rFonts w:asciiTheme="minorHAnsi" w:hAnsiTheme="minorHAnsi"/>
        </w:rPr>
        <w:t xml:space="preserve"> of </w:t>
      </w:r>
      <w:r w:rsidR="00E20F00">
        <w:rPr>
          <w:rFonts w:asciiTheme="minorHAnsi" w:hAnsiTheme="minorHAnsi"/>
        </w:rPr>
        <w:t xml:space="preserve">varying </w:t>
      </w:r>
      <w:r w:rsidR="001F2BE1">
        <w:rPr>
          <w:rFonts w:asciiTheme="minorHAnsi" w:hAnsiTheme="minorHAnsi"/>
        </w:rPr>
        <w:t>assumption</w:t>
      </w:r>
      <w:r w:rsidR="00EF4B91">
        <w:rPr>
          <w:rFonts w:asciiTheme="minorHAnsi" w:hAnsiTheme="minorHAnsi"/>
        </w:rPr>
        <w:t>s</w:t>
      </w:r>
      <w:r w:rsidR="001F2BE1">
        <w:rPr>
          <w:rFonts w:asciiTheme="minorHAnsi" w:hAnsiTheme="minorHAnsi"/>
        </w:rPr>
        <w:t xml:space="preserve"> about the cost of taking action in the </w:t>
      </w:r>
      <w:r w:rsidR="00EF4B91">
        <w:rPr>
          <w:rFonts w:asciiTheme="minorHAnsi" w:hAnsiTheme="minorHAnsi"/>
        </w:rPr>
        <w:t xml:space="preserve">energy </w:t>
      </w:r>
      <w:r w:rsidR="001F2BE1">
        <w:rPr>
          <w:rFonts w:asciiTheme="minorHAnsi" w:hAnsiTheme="minorHAnsi"/>
        </w:rPr>
        <w:t>sector</w:t>
      </w:r>
      <w:r w:rsidR="00E20F00">
        <w:rPr>
          <w:rFonts w:asciiTheme="minorHAnsi" w:hAnsiTheme="minorHAnsi"/>
        </w:rPr>
        <w:t xml:space="preserve"> is also examined</w:t>
      </w:r>
      <w:r w:rsidR="00924C10">
        <w:rPr>
          <w:rFonts w:asciiTheme="minorHAnsi" w:hAnsiTheme="minorHAnsi"/>
        </w:rPr>
        <w:t xml:space="preserve">. </w:t>
      </w:r>
    </w:p>
    <w:p w:rsidR="00E20F00" w:rsidRPr="00A57C2D" w:rsidRDefault="00934EF0" w:rsidP="00A57C2D">
      <w:pPr>
        <w:pStyle w:val="NormalWeb"/>
        <w:spacing w:before="0" w:beforeAutospacing="0"/>
        <w:rPr>
          <w:rFonts w:asciiTheme="minorHAnsi" w:hAnsiTheme="minorHAnsi"/>
        </w:rPr>
      </w:pPr>
      <w:r>
        <w:rPr>
          <w:rFonts w:asciiTheme="minorHAnsi" w:hAnsiTheme="minorHAnsi"/>
        </w:rPr>
        <w:t>I</w:t>
      </w:r>
      <w:r w:rsidR="00E20F00">
        <w:rPr>
          <w:rFonts w:asciiTheme="minorHAnsi" w:hAnsiTheme="minorHAnsi"/>
        </w:rPr>
        <w:t xml:space="preserve">mpacts are estimated by comparing results for each target with results for Australia from the ‘Paris’ scenario </w:t>
      </w:r>
      <w:r>
        <w:rPr>
          <w:rFonts w:asciiTheme="minorHAnsi" w:hAnsiTheme="minorHAnsi"/>
        </w:rPr>
        <w:t>(</w:t>
      </w:r>
      <w:r w:rsidR="00460182">
        <w:rPr>
          <w:rFonts w:asciiTheme="minorHAnsi" w:hAnsiTheme="minorHAnsi"/>
        </w:rPr>
        <w:t>Report 1</w:t>
      </w:r>
      <w:r>
        <w:rPr>
          <w:rFonts w:asciiTheme="minorHAnsi" w:hAnsiTheme="minorHAnsi"/>
        </w:rPr>
        <w:t>)</w:t>
      </w:r>
      <w:r w:rsidR="00E20F00">
        <w:rPr>
          <w:rFonts w:asciiTheme="minorHAnsi" w:hAnsiTheme="minorHAnsi"/>
        </w:rPr>
        <w:t xml:space="preserve">. </w:t>
      </w:r>
      <w:r w:rsidR="00E95E22">
        <w:rPr>
          <w:rFonts w:asciiTheme="minorHAnsi" w:hAnsiTheme="minorHAnsi"/>
        </w:rPr>
        <w:t xml:space="preserve">The Paris scenario modelled the economic impact of ‘Nationally Determined Contributions’ and commitments under the new global agreement that is due to be finalised in Paris in December 2015. </w:t>
      </w:r>
      <w:r w:rsidR="00E20F00">
        <w:rPr>
          <w:rFonts w:asciiTheme="minorHAnsi" w:hAnsiTheme="minorHAnsi"/>
        </w:rPr>
        <w:t xml:space="preserve">In the Paris scenario, all </w:t>
      </w:r>
      <w:r w:rsidR="00A12088">
        <w:rPr>
          <w:rFonts w:asciiTheme="minorHAnsi" w:hAnsiTheme="minorHAnsi"/>
        </w:rPr>
        <w:t xml:space="preserve">major </w:t>
      </w:r>
      <w:r w:rsidR="00E20F00">
        <w:rPr>
          <w:rFonts w:asciiTheme="minorHAnsi" w:hAnsiTheme="minorHAnsi"/>
        </w:rPr>
        <w:t xml:space="preserve">countries other than Australia were assumed to take on </w:t>
      </w:r>
      <w:r w:rsidR="00C974C8">
        <w:rPr>
          <w:rFonts w:asciiTheme="minorHAnsi" w:hAnsiTheme="minorHAnsi"/>
        </w:rPr>
        <w:t xml:space="preserve">and achieve </w:t>
      </w:r>
      <w:r>
        <w:rPr>
          <w:rFonts w:asciiTheme="minorHAnsi" w:hAnsiTheme="minorHAnsi"/>
        </w:rPr>
        <w:t xml:space="preserve">post-2020 </w:t>
      </w:r>
      <w:r w:rsidR="00E20F00">
        <w:rPr>
          <w:rFonts w:asciiTheme="minorHAnsi" w:hAnsiTheme="minorHAnsi"/>
        </w:rPr>
        <w:t xml:space="preserve">targets. Comparing against </w:t>
      </w:r>
      <w:r w:rsidR="00E95E22">
        <w:rPr>
          <w:rFonts w:asciiTheme="minorHAnsi" w:hAnsiTheme="minorHAnsi"/>
        </w:rPr>
        <w:t xml:space="preserve">the Paris scenario </w:t>
      </w:r>
      <w:r w:rsidR="00E20F00">
        <w:rPr>
          <w:rFonts w:asciiTheme="minorHAnsi" w:hAnsiTheme="minorHAnsi"/>
        </w:rPr>
        <w:t xml:space="preserve">shows the impact of Australian target policies, </w:t>
      </w:r>
      <w:r w:rsidR="00CC3FD7">
        <w:rPr>
          <w:rFonts w:asciiTheme="minorHAnsi" w:hAnsiTheme="minorHAnsi"/>
        </w:rPr>
        <w:t>separate from</w:t>
      </w:r>
      <w:r w:rsidR="00E20F00">
        <w:rPr>
          <w:rFonts w:asciiTheme="minorHAnsi" w:hAnsiTheme="minorHAnsi"/>
        </w:rPr>
        <w:t xml:space="preserve"> the</w:t>
      </w:r>
      <w:r w:rsidR="00E8153C">
        <w:rPr>
          <w:rFonts w:asciiTheme="minorHAnsi" w:hAnsiTheme="minorHAnsi"/>
        </w:rPr>
        <w:t xml:space="preserve"> unavoidable</w:t>
      </w:r>
      <w:r w:rsidR="00E20F00">
        <w:rPr>
          <w:rFonts w:asciiTheme="minorHAnsi" w:hAnsiTheme="minorHAnsi"/>
        </w:rPr>
        <w:t xml:space="preserve"> impacts on Australia of other countries’ actions.</w:t>
      </w:r>
    </w:p>
    <w:p w:rsidR="000540A7" w:rsidRPr="001D5606" w:rsidRDefault="001F2BE1" w:rsidP="00F82A77">
      <w:pPr>
        <w:pStyle w:val="NormalWeb"/>
        <w:spacing w:before="0" w:beforeAutospacing="0" w:after="120" w:afterAutospacing="0"/>
        <w:rPr>
          <w:rFonts w:asciiTheme="minorHAnsi" w:hAnsiTheme="minorHAnsi"/>
          <w:i/>
          <w:color w:val="996633"/>
        </w:rPr>
      </w:pPr>
      <w:r w:rsidRPr="001D5606">
        <w:rPr>
          <w:rFonts w:asciiTheme="minorHAnsi" w:hAnsiTheme="minorHAnsi"/>
          <w:i/>
          <w:color w:val="996633"/>
        </w:rPr>
        <w:t>Alternative Targets</w:t>
      </w:r>
    </w:p>
    <w:p w:rsidR="00A50932" w:rsidRDefault="00F27ABE" w:rsidP="00A57C2D">
      <w:pPr>
        <w:pStyle w:val="NormalWeb"/>
        <w:spacing w:before="0" w:beforeAutospacing="0"/>
        <w:rPr>
          <w:rFonts w:asciiTheme="minorHAnsi" w:hAnsiTheme="minorHAnsi"/>
        </w:rPr>
      </w:pPr>
      <w:r>
        <w:rPr>
          <w:rFonts w:asciiTheme="minorHAnsi" w:hAnsiTheme="minorHAnsi"/>
        </w:rPr>
        <w:t>F</w:t>
      </w:r>
      <w:r w:rsidR="00924C10">
        <w:rPr>
          <w:rFonts w:asciiTheme="minorHAnsi" w:hAnsiTheme="minorHAnsi"/>
        </w:rPr>
        <w:t>our</w:t>
      </w:r>
      <w:r w:rsidR="001F2BE1">
        <w:rPr>
          <w:rFonts w:asciiTheme="minorHAnsi" w:hAnsiTheme="minorHAnsi"/>
        </w:rPr>
        <w:t xml:space="preserve"> different </w:t>
      </w:r>
      <w:r>
        <w:rPr>
          <w:rFonts w:asciiTheme="minorHAnsi" w:hAnsiTheme="minorHAnsi"/>
        </w:rPr>
        <w:t xml:space="preserve">post-2020 </w:t>
      </w:r>
      <w:r w:rsidR="001F2BE1">
        <w:rPr>
          <w:rFonts w:asciiTheme="minorHAnsi" w:hAnsiTheme="minorHAnsi"/>
        </w:rPr>
        <w:t>target</w:t>
      </w:r>
      <w:r w:rsidR="0091166B">
        <w:rPr>
          <w:rFonts w:asciiTheme="minorHAnsi" w:hAnsiTheme="minorHAnsi"/>
        </w:rPr>
        <w:t>s</w:t>
      </w:r>
      <w:r w:rsidR="001F2BE1">
        <w:rPr>
          <w:rFonts w:asciiTheme="minorHAnsi" w:hAnsiTheme="minorHAnsi"/>
        </w:rPr>
        <w:t xml:space="preserve"> are considered. </w:t>
      </w:r>
      <w:r w:rsidR="00934EF0">
        <w:rPr>
          <w:rFonts w:asciiTheme="minorHAnsi" w:hAnsiTheme="minorHAnsi"/>
        </w:rPr>
        <w:t xml:space="preserve">The </w:t>
      </w:r>
      <w:r w:rsidR="001F2BE1">
        <w:rPr>
          <w:rFonts w:asciiTheme="minorHAnsi" w:hAnsiTheme="minorHAnsi"/>
        </w:rPr>
        <w:t xml:space="preserve">model focusses on emissions from </w:t>
      </w:r>
      <w:r w:rsidR="00794653">
        <w:rPr>
          <w:rFonts w:asciiTheme="minorHAnsi" w:hAnsiTheme="minorHAnsi"/>
        </w:rPr>
        <w:t>fuel combustion</w:t>
      </w:r>
      <w:r w:rsidR="00924C10">
        <w:rPr>
          <w:rFonts w:asciiTheme="minorHAnsi" w:hAnsiTheme="minorHAnsi"/>
        </w:rPr>
        <w:t>,</w:t>
      </w:r>
      <w:r w:rsidR="001F2BE1">
        <w:rPr>
          <w:rFonts w:asciiTheme="minorHAnsi" w:hAnsiTheme="minorHAnsi"/>
        </w:rPr>
        <w:t xml:space="preserve"> rather than economy wide emissions, </w:t>
      </w:r>
      <w:r w:rsidR="00934EF0">
        <w:rPr>
          <w:rFonts w:asciiTheme="minorHAnsi" w:hAnsiTheme="minorHAnsi"/>
        </w:rPr>
        <w:t xml:space="preserve">and </w:t>
      </w:r>
      <w:r w:rsidR="002A1A7C">
        <w:rPr>
          <w:rFonts w:asciiTheme="minorHAnsi" w:hAnsiTheme="minorHAnsi"/>
        </w:rPr>
        <w:t>assume</w:t>
      </w:r>
      <w:r w:rsidR="00934EF0">
        <w:rPr>
          <w:rFonts w:asciiTheme="minorHAnsi" w:hAnsiTheme="minorHAnsi"/>
        </w:rPr>
        <w:t>s</w:t>
      </w:r>
      <w:r w:rsidR="002A1A7C">
        <w:rPr>
          <w:rFonts w:asciiTheme="minorHAnsi" w:hAnsiTheme="minorHAnsi"/>
        </w:rPr>
        <w:t xml:space="preserve"> that for the </w:t>
      </w:r>
      <w:r w:rsidR="00924C10">
        <w:rPr>
          <w:rFonts w:asciiTheme="minorHAnsi" w:hAnsiTheme="minorHAnsi"/>
        </w:rPr>
        <w:t>four</w:t>
      </w:r>
      <w:r w:rsidR="002A1A7C">
        <w:rPr>
          <w:rFonts w:asciiTheme="minorHAnsi" w:hAnsiTheme="minorHAnsi"/>
        </w:rPr>
        <w:t xml:space="preserve"> target scenarios</w:t>
      </w:r>
      <w:r w:rsidR="001F2BE1">
        <w:rPr>
          <w:rFonts w:asciiTheme="minorHAnsi" w:hAnsiTheme="minorHAnsi"/>
        </w:rPr>
        <w:t xml:space="preserve">, emissions abatement in the energy sector contributes two thirds of the “effort” </w:t>
      </w:r>
      <w:r w:rsidR="00CC3FD7">
        <w:rPr>
          <w:rFonts w:asciiTheme="minorHAnsi" w:hAnsiTheme="minorHAnsi"/>
        </w:rPr>
        <w:t xml:space="preserve">of </w:t>
      </w:r>
      <w:r w:rsidR="001F2BE1">
        <w:rPr>
          <w:rFonts w:asciiTheme="minorHAnsi" w:hAnsiTheme="minorHAnsi"/>
        </w:rPr>
        <w:t>the abatement task.</w:t>
      </w:r>
      <w:r w:rsidR="008260B4">
        <w:rPr>
          <w:rStyle w:val="FootnoteReference"/>
          <w:rFonts w:asciiTheme="minorHAnsi" w:hAnsiTheme="minorHAnsi"/>
        </w:rPr>
        <w:footnoteReference w:id="1"/>
      </w:r>
      <w:r w:rsidR="001F2BE1">
        <w:rPr>
          <w:rFonts w:asciiTheme="minorHAnsi" w:hAnsiTheme="minorHAnsi"/>
        </w:rPr>
        <w:t xml:space="preserve"> </w:t>
      </w:r>
      <w:r w:rsidR="00BE2BF2">
        <w:rPr>
          <w:rFonts w:asciiTheme="minorHAnsi" w:hAnsiTheme="minorHAnsi"/>
        </w:rPr>
        <w:t xml:space="preserve"> </w:t>
      </w:r>
      <w:r w:rsidR="007224F5">
        <w:rPr>
          <w:rFonts w:asciiTheme="minorHAnsi" w:hAnsiTheme="minorHAnsi"/>
        </w:rPr>
        <w:t xml:space="preserve">Official </w:t>
      </w:r>
      <w:r w:rsidR="004D61CB">
        <w:rPr>
          <w:rFonts w:asciiTheme="minorHAnsi" w:hAnsiTheme="minorHAnsi"/>
        </w:rPr>
        <w:t>Government projections estimate that the e</w:t>
      </w:r>
      <w:r w:rsidR="00391AE5">
        <w:rPr>
          <w:rFonts w:asciiTheme="minorHAnsi" w:hAnsiTheme="minorHAnsi"/>
        </w:rPr>
        <w:t xml:space="preserve">nergy sector </w:t>
      </w:r>
      <w:r w:rsidR="004D61CB">
        <w:rPr>
          <w:rFonts w:asciiTheme="minorHAnsi" w:hAnsiTheme="minorHAnsi"/>
        </w:rPr>
        <w:t xml:space="preserve">will contribute </w:t>
      </w:r>
      <w:r w:rsidR="00A06B7F">
        <w:rPr>
          <w:rFonts w:asciiTheme="minorHAnsi" w:hAnsiTheme="minorHAnsi"/>
        </w:rPr>
        <w:t>around two thirds</w:t>
      </w:r>
      <w:r w:rsidR="004D61CB">
        <w:rPr>
          <w:rFonts w:asciiTheme="minorHAnsi" w:hAnsiTheme="minorHAnsi"/>
        </w:rPr>
        <w:t xml:space="preserve"> of </w:t>
      </w:r>
      <w:r w:rsidR="00391AE5">
        <w:rPr>
          <w:rFonts w:asciiTheme="minorHAnsi" w:hAnsiTheme="minorHAnsi"/>
        </w:rPr>
        <w:t xml:space="preserve">Australia’s emissions </w:t>
      </w:r>
      <w:r w:rsidR="004D61CB">
        <w:rPr>
          <w:rFonts w:asciiTheme="minorHAnsi" w:hAnsiTheme="minorHAnsi"/>
        </w:rPr>
        <w:t>in 2020 and 2030 (from all gases).</w:t>
      </w:r>
      <w:r w:rsidR="004D61CB">
        <w:rPr>
          <w:rStyle w:val="FootnoteReference"/>
          <w:rFonts w:asciiTheme="minorHAnsi" w:hAnsiTheme="minorHAnsi"/>
        </w:rPr>
        <w:footnoteReference w:id="2"/>
      </w:r>
      <w:r w:rsidR="004D61CB">
        <w:rPr>
          <w:rFonts w:asciiTheme="minorHAnsi" w:hAnsiTheme="minorHAnsi"/>
        </w:rPr>
        <w:t xml:space="preserve"> </w:t>
      </w:r>
    </w:p>
    <w:p w:rsidR="00AE070B" w:rsidRDefault="00934EF0" w:rsidP="00A57C2D">
      <w:pPr>
        <w:pStyle w:val="NormalWeb"/>
        <w:spacing w:before="0" w:beforeAutospacing="0"/>
        <w:rPr>
          <w:rFonts w:asciiTheme="minorHAnsi" w:hAnsiTheme="minorHAnsi"/>
        </w:rPr>
      </w:pPr>
      <w:r>
        <w:rPr>
          <w:rFonts w:asciiTheme="minorHAnsi" w:hAnsiTheme="minorHAnsi"/>
        </w:rPr>
        <w:t>E</w:t>
      </w:r>
      <w:r w:rsidR="006E272B">
        <w:rPr>
          <w:rFonts w:asciiTheme="minorHAnsi" w:hAnsiTheme="minorHAnsi"/>
        </w:rPr>
        <w:t xml:space="preserve">missions reductions </w:t>
      </w:r>
      <w:r>
        <w:rPr>
          <w:rFonts w:asciiTheme="minorHAnsi" w:hAnsiTheme="minorHAnsi"/>
        </w:rPr>
        <w:t xml:space="preserve">targets of </w:t>
      </w:r>
      <w:r w:rsidR="00A50932">
        <w:rPr>
          <w:rFonts w:asciiTheme="minorHAnsi" w:hAnsiTheme="minorHAnsi"/>
        </w:rPr>
        <w:t xml:space="preserve">26, 35 and 45 per cent below 2005 </w:t>
      </w:r>
      <w:r w:rsidR="006E272B">
        <w:rPr>
          <w:rFonts w:asciiTheme="minorHAnsi" w:hAnsiTheme="minorHAnsi"/>
        </w:rPr>
        <w:t xml:space="preserve">levels </w:t>
      </w:r>
      <w:r>
        <w:rPr>
          <w:rFonts w:asciiTheme="minorHAnsi" w:hAnsiTheme="minorHAnsi"/>
        </w:rPr>
        <w:t xml:space="preserve">by 2030 </w:t>
      </w:r>
      <w:r w:rsidR="00A50932">
        <w:rPr>
          <w:rFonts w:asciiTheme="minorHAnsi" w:hAnsiTheme="minorHAnsi"/>
        </w:rPr>
        <w:t xml:space="preserve">are modelled. A fourth benchmark scenario models a 13 per cent reduction on 2005 emissions, </w:t>
      </w:r>
      <w:r w:rsidR="006E272B">
        <w:rPr>
          <w:rFonts w:asciiTheme="minorHAnsi" w:hAnsiTheme="minorHAnsi"/>
        </w:rPr>
        <w:t xml:space="preserve">which </w:t>
      </w:r>
      <w:r w:rsidR="00CC3FD7">
        <w:rPr>
          <w:rFonts w:asciiTheme="minorHAnsi" w:hAnsiTheme="minorHAnsi"/>
        </w:rPr>
        <w:t xml:space="preserve">would </w:t>
      </w:r>
      <w:r w:rsidR="002A3DBF">
        <w:rPr>
          <w:rFonts w:asciiTheme="minorHAnsi" w:hAnsiTheme="minorHAnsi"/>
        </w:rPr>
        <w:t xml:space="preserve">hold </w:t>
      </w:r>
      <w:r w:rsidR="00A50932">
        <w:rPr>
          <w:rFonts w:asciiTheme="minorHAnsi" w:hAnsiTheme="minorHAnsi"/>
        </w:rPr>
        <w:t xml:space="preserve">total emissions </w:t>
      </w:r>
      <w:r w:rsidR="002A3DBF">
        <w:rPr>
          <w:rFonts w:asciiTheme="minorHAnsi" w:hAnsiTheme="minorHAnsi"/>
        </w:rPr>
        <w:t xml:space="preserve">constant at </w:t>
      </w:r>
      <w:r w:rsidR="00284BDB">
        <w:rPr>
          <w:rFonts w:asciiTheme="minorHAnsi" w:hAnsiTheme="minorHAnsi"/>
        </w:rPr>
        <w:t xml:space="preserve">the level of Australia’s 2020 target </w:t>
      </w:r>
      <w:r w:rsidR="00A50932">
        <w:rPr>
          <w:rFonts w:asciiTheme="minorHAnsi" w:hAnsiTheme="minorHAnsi"/>
        </w:rPr>
        <w:t>from 2020 to 2030</w:t>
      </w:r>
      <w:r w:rsidR="00CC3FD7">
        <w:rPr>
          <w:rFonts w:asciiTheme="minorHAnsi" w:hAnsiTheme="minorHAnsi"/>
        </w:rPr>
        <w:t>.</w:t>
      </w:r>
      <w:r w:rsidR="00794653">
        <w:rPr>
          <w:rFonts w:asciiTheme="minorHAnsi" w:hAnsiTheme="minorHAnsi"/>
        </w:rPr>
        <w:t xml:space="preserve"> </w:t>
      </w:r>
    </w:p>
    <w:p w:rsidR="00A57C2D" w:rsidRDefault="00AE070B" w:rsidP="00A57C2D">
      <w:pPr>
        <w:pStyle w:val="NormalWeb"/>
        <w:spacing w:before="0" w:beforeAutospacing="0"/>
        <w:rPr>
          <w:rFonts w:asciiTheme="minorHAnsi" w:hAnsiTheme="minorHAnsi"/>
        </w:rPr>
      </w:pPr>
      <w:r>
        <w:rPr>
          <w:rFonts w:asciiTheme="minorHAnsi" w:hAnsiTheme="minorHAnsi"/>
        </w:rPr>
        <w:t>The target trajectories are assumed to start from Australia’s 2020 emissions target of 5 per cent below 2000 levels.</w:t>
      </w:r>
    </w:p>
    <w:p w:rsidR="007224F5" w:rsidRPr="00A57C2D" w:rsidRDefault="00563782" w:rsidP="007224F5">
      <w:pPr>
        <w:pStyle w:val="NormalWeb"/>
        <w:spacing w:before="0" w:beforeAutospacing="0"/>
        <w:rPr>
          <w:rFonts w:asciiTheme="minorHAnsi" w:hAnsiTheme="minorHAnsi"/>
        </w:rPr>
      </w:pPr>
      <w:r>
        <w:rPr>
          <w:rFonts w:asciiTheme="minorHAnsi" w:hAnsiTheme="minorHAnsi"/>
        </w:rPr>
        <w:t>Emissions pathways for t</w:t>
      </w:r>
      <w:r w:rsidR="002A1A7C" w:rsidRPr="002A1A7C">
        <w:rPr>
          <w:rFonts w:asciiTheme="minorHAnsi" w:hAnsiTheme="minorHAnsi"/>
        </w:rPr>
        <w:t>he four</w:t>
      </w:r>
      <w:r w:rsidR="00436C0A">
        <w:rPr>
          <w:rFonts w:asciiTheme="minorHAnsi" w:hAnsiTheme="minorHAnsi"/>
        </w:rPr>
        <w:t xml:space="preserve"> modelled</w:t>
      </w:r>
      <w:r w:rsidR="007224F5">
        <w:rPr>
          <w:rFonts w:asciiTheme="minorHAnsi" w:hAnsiTheme="minorHAnsi"/>
        </w:rPr>
        <w:t xml:space="preserve"> target</w:t>
      </w:r>
      <w:r w:rsidR="0091166B">
        <w:rPr>
          <w:rFonts w:asciiTheme="minorHAnsi" w:hAnsiTheme="minorHAnsi"/>
        </w:rPr>
        <w:t>s</w:t>
      </w:r>
      <w:r w:rsidR="002A1A7C" w:rsidRPr="002A1A7C">
        <w:rPr>
          <w:rFonts w:asciiTheme="minorHAnsi" w:hAnsiTheme="minorHAnsi"/>
        </w:rPr>
        <w:t xml:space="preserve"> </w:t>
      </w:r>
      <w:r w:rsidR="002A1A7C">
        <w:rPr>
          <w:rFonts w:asciiTheme="minorHAnsi" w:hAnsiTheme="minorHAnsi"/>
        </w:rPr>
        <w:t xml:space="preserve">are summarized in </w:t>
      </w:r>
      <w:r w:rsidR="00436C0A">
        <w:rPr>
          <w:rFonts w:asciiTheme="minorHAnsi" w:hAnsiTheme="minorHAnsi"/>
        </w:rPr>
        <w:t>Figure </w:t>
      </w:r>
      <w:r w:rsidR="002A1A7C">
        <w:rPr>
          <w:rFonts w:asciiTheme="minorHAnsi" w:hAnsiTheme="minorHAnsi"/>
        </w:rPr>
        <w:t>1.</w:t>
      </w:r>
      <w:r w:rsidR="00CC3FD7">
        <w:rPr>
          <w:rFonts w:asciiTheme="minorHAnsi" w:hAnsiTheme="minorHAnsi"/>
        </w:rPr>
        <w:t xml:space="preserve"> Results are reported relative to the Paris scenario (labelled ‘Paris’</w:t>
      </w:r>
      <w:r w:rsidR="00CC3FD7" w:rsidRPr="00855DCE">
        <w:rPr>
          <w:rFonts w:asciiTheme="minorHAnsi" w:hAnsiTheme="minorHAnsi"/>
        </w:rPr>
        <w:t>).</w:t>
      </w:r>
      <w:r w:rsidR="00061436">
        <w:rPr>
          <w:rFonts w:asciiTheme="minorHAnsi" w:hAnsiTheme="minorHAnsi"/>
        </w:rPr>
        <w:t xml:space="preserve"> </w:t>
      </w:r>
      <w:r w:rsidR="00FE748E">
        <w:rPr>
          <w:rFonts w:asciiTheme="minorHAnsi" w:hAnsiTheme="minorHAnsi"/>
        </w:rPr>
        <w:t>T</w:t>
      </w:r>
      <w:r w:rsidR="00061436">
        <w:rPr>
          <w:rFonts w:asciiTheme="minorHAnsi" w:hAnsiTheme="minorHAnsi"/>
        </w:rPr>
        <w:t>he 13</w:t>
      </w:r>
      <w:r w:rsidR="00FE748E">
        <w:rPr>
          <w:rFonts w:asciiTheme="minorHAnsi" w:hAnsiTheme="minorHAnsi"/>
        </w:rPr>
        <w:t> </w:t>
      </w:r>
      <w:r w:rsidR="00061436">
        <w:rPr>
          <w:rFonts w:asciiTheme="minorHAnsi" w:hAnsiTheme="minorHAnsi"/>
        </w:rPr>
        <w:t xml:space="preserve">per cent </w:t>
      </w:r>
      <w:r w:rsidR="00061436">
        <w:rPr>
          <w:rFonts w:asciiTheme="minorHAnsi" w:hAnsiTheme="minorHAnsi"/>
        </w:rPr>
        <w:lastRenderedPageBreak/>
        <w:t xml:space="preserve">path rises slightly as the energy sector </w:t>
      </w:r>
      <w:r>
        <w:rPr>
          <w:rFonts w:asciiTheme="minorHAnsi" w:hAnsiTheme="minorHAnsi"/>
        </w:rPr>
        <w:t xml:space="preserve">share </w:t>
      </w:r>
      <w:r w:rsidR="00061436">
        <w:rPr>
          <w:rFonts w:asciiTheme="minorHAnsi" w:hAnsiTheme="minorHAnsi"/>
        </w:rPr>
        <w:t>of total emissions</w:t>
      </w:r>
      <w:r>
        <w:rPr>
          <w:rFonts w:asciiTheme="minorHAnsi" w:hAnsiTheme="minorHAnsi"/>
        </w:rPr>
        <w:t xml:space="preserve"> increases over time in the Paris scenario</w:t>
      </w:r>
      <w:r w:rsidR="00061436">
        <w:rPr>
          <w:rFonts w:asciiTheme="minorHAnsi" w:hAnsiTheme="minorHAnsi"/>
        </w:rPr>
        <w:t>.</w:t>
      </w:r>
      <w:r>
        <w:rPr>
          <w:rFonts w:asciiTheme="minorHAnsi" w:hAnsiTheme="minorHAnsi"/>
        </w:rPr>
        <w:t xml:space="preserve"> Figure 2 shows cumulative abatement </w:t>
      </w:r>
      <w:r w:rsidR="0009020F">
        <w:rPr>
          <w:rFonts w:asciiTheme="minorHAnsi" w:hAnsiTheme="minorHAnsi"/>
        </w:rPr>
        <w:t xml:space="preserve">from energy </w:t>
      </w:r>
      <w:r>
        <w:rPr>
          <w:rFonts w:asciiTheme="minorHAnsi" w:hAnsiTheme="minorHAnsi"/>
        </w:rPr>
        <w:t>under the target</w:t>
      </w:r>
      <w:r w:rsidR="0091166B">
        <w:rPr>
          <w:rFonts w:asciiTheme="minorHAnsi" w:hAnsiTheme="minorHAnsi"/>
        </w:rPr>
        <w:t>s</w:t>
      </w:r>
      <w:r w:rsidR="00934F53">
        <w:rPr>
          <w:rFonts w:asciiTheme="minorHAnsi" w:hAnsiTheme="minorHAnsi"/>
        </w:rPr>
        <w:t xml:space="preserve"> relative to the Paris </w:t>
      </w:r>
      <w:r w:rsidR="00957940">
        <w:rPr>
          <w:rFonts w:asciiTheme="minorHAnsi" w:hAnsiTheme="minorHAnsi"/>
        </w:rPr>
        <w:t>scenario</w:t>
      </w:r>
      <w:r>
        <w:rPr>
          <w:rFonts w:asciiTheme="minorHAnsi" w:hAnsiTheme="minorHAnsi"/>
        </w:rPr>
        <w:t>.</w:t>
      </w:r>
      <w:r w:rsidR="007224F5">
        <w:rPr>
          <w:rFonts w:asciiTheme="minorHAnsi" w:hAnsiTheme="minorHAnsi"/>
        </w:rPr>
        <w:t xml:space="preserve"> Appendix </w:t>
      </w:r>
      <w:r w:rsidR="0061775F">
        <w:rPr>
          <w:rFonts w:asciiTheme="minorHAnsi" w:hAnsiTheme="minorHAnsi"/>
        </w:rPr>
        <w:t xml:space="preserve">A </w:t>
      </w:r>
      <w:r w:rsidR="007224F5">
        <w:rPr>
          <w:rFonts w:asciiTheme="minorHAnsi" w:hAnsiTheme="minorHAnsi"/>
        </w:rPr>
        <w:t xml:space="preserve">presents economy-wide and energy sector emissions and abatement under the </w:t>
      </w:r>
      <w:r w:rsidR="0091166B">
        <w:rPr>
          <w:rFonts w:asciiTheme="minorHAnsi" w:hAnsiTheme="minorHAnsi"/>
        </w:rPr>
        <w:t xml:space="preserve">four </w:t>
      </w:r>
      <w:r w:rsidR="007224F5">
        <w:rPr>
          <w:rFonts w:asciiTheme="minorHAnsi" w:hAnsiTheme="minorHAnsi"/>
        </w:rPr>
        <w:t>target</w:t>
      </w:r>
      <w:r w:rsidR="0091166B">
        <w:rPr>
          <w:rFonts w:asciiTheme="minorHAnsi" w:hAnsiTheme="minorHAnsi"/>
        </w:rPr>
        <w:t>s</w:t>
      </w:r>
      <w:r w:rsidR="007224F5">
        <w:rPr>
          <w:rFonts w:asciiTheme="minorHAnsi" w:hAnsiTheme="minorHAnsi"/>
        </w:rPr>
        <w:t xml:space="preserve">. </w:t>
      </w:r>
    </w:p>
    <w:p w:rsidR="00924C10" w:rsidRPr="001D5606" w:rsidRDefault="001F2BE1" w:rsidP="00B610DA">
      <w:pPr>
        <w:pStyle w:val="NormalWeb"/>
        <w:keepNext/>
        <w:spacing w:after="0" w:afterAutospacing="0" w:line="276" w:lineRule="auto"/>
        <w:rPr>
          <w:rFonts w:asciiTheme="minorHAnsi" w:hAnsiTheme="minorHAnsi"/>
          <w:color w:val="4F81BD" w:themeColor="accent1"/>
          <w:vertAlign w:val="superscript"/>
        </w:rPr>
      </w:pPr>
      <w:r w:rsidRPr="001D5606">
        <w:rPr>
          <w:rFonts w:asciiTheme="minorHAnsi" w:hAnsiTheme="minorHAnsi"/>
          <w:b/>
          <w:color w:val="4F81BD" w:themeColor="accent1"/>
        </w:rPr>
        <w:t xml:space="preserve">Figure </w:t>
      </w:r>
      <w:r w:rsidR="003323E7" w:rsidRPr="001D5606">
        <w:rPr>
          <w:rFonts w:asciiTheme="minorHAnsi" w:hAnsiTheme="minorHAnsi"/>
          <w:b/>
          <w:color w:val="4F81BD" w:themeColor="accent1"/>
        </w:rPr>
        <w:t>1</w:t>
      </w:r>
      <w:r w:rsidR="001F4469" w:rsidRPr="001D5606">
        <w:rPr>
          <w:rFonts w:asciiTheme="minorHAnsi" w:hAnsiTheme="minorHAnsi"/>
          <w:b/>
          <w:color w:val="4F81BD" w:themeColor="accent1"/>
        </w:rPr>
        <w:t>:</w:t>
      </w:r>
      <w:r w:rsidR="00924C10" w:rsidRPr="001D5606">
        <w:rPr>
          <w:rFonts w:asciiTheme="minorHAnsi" w:hAnsiTheme="minorHAnsi"/>
          <w:color w:val="4F81BD" w:themeColor="accent1"/>
        </w:rPr>
        <w:t xml:space="preserve"> T</w:t>
      </w:r>
      <w:r w:rsidR="00FB36F7" w:rsidRPr="001D5606">
        <w:rPr>
          <w:rFonts w:asciiTheme="minorHAnsi" w:hAnsiTheme="minorHAnsi"/>
          <w:color w:val="4F81BD" w:themeColor="accent1"/>
        </w:rPr>
        <w:t xml:space="preserve">arget </w:t>
      </w:r>
      <w:r w:rsidR="00AB62EA" w:rsidRPr="001D5606">
        <w:rPr>
          <w:rFonts w:asciiTheme="minorHAnsi" w:hAnsiTheme="minorHAnsi"/>
          <w:color w:val="4F81BD" w:themeColor="accent1"/>
        </w:rPr>
        <w:t>paths for emissions from energy</w:t>
      </w:r>
      <w:r w:rsidR="00794653" w:rsidRPr="001D5606">
        <w:rPr>
          <w:rFonts w:asciiTheme="minorHAnsi" w:hAnsiTheme="minorHAnsi"/>
          <w:color w:val="4F81BD" w:themeColor="accent1"/>
        </w:rPr>
        <w:t>, 20</w:t>
      </w:r>
      <w:r w:rsidR="00EF0CCC" w:rsidRPr="001D5606">
        <w:rPr>
          <w:rFonts w:asciiTheme="minorHAnsi" w:hAnsiTheme="minorHAnsi"/>
          <w:color w:val="4F81BD" w:themeColor="accent1"/>
        </w:rPr>
        <w:t>15</w:t>
      </w:r>
      <w:r w:rsidR="00794653" w:rsidRPr="001D5606">
        <w:rPr>
          <w:rFonts w:asciiTheme="minorHAnsi" w:hAnsiTheme="minorHAnsi"/>
          <w:color w:val="4F81BD" w:themeColor="accent1"/>
        </w:rPr>
        <w:t xml:space="preserve"> to 2030 (Mt CO</w:t>
      </w:r>
      <w:r w:rsidR="00794653" w:rsidRPr="001D5606">
        <w:rPr>
          <w:rFonts w:asciiTheme="minorHAnsi" w:hAnsiTheme="minorHAnsi"/>
          <w:color w:val="4F81BD" w:themeColor="accent1"/>
          <w:vertAlign w:val="subscript"/>
        </w:rPr>
        <w:t>2</w:t>
      </w:r>
      <w:r w:rsidR="00794653" w:rsidRPr="001D5606">
        <w:rPr>
          <w:rFonts w:asciiTheme="minorHAnsi" w:hAnsiTheme="minorHAnsi"/>
          <w:color w:val="4F81BD" w:themeColor="accent1"/>
        </w:rPr>
        <w:t>)</w:t>
      </w:r>
      <w:r w:rsidR="002A00BC" w:rsidRPr="001D5606">
        <w:rPr>
          <w:rFonts w:asciiTheme="minorHAnsi" w:hAnsiTheme="minorHAnsi"/>
          <w:color w:val="4F81BD" w:themeColor="accent1"/>
        </w:rPr>
        <w:t>*</w:t>
      </w:r>
    </w:p>
    <w:p w:rsidR="00012400" w:rsidRPr="001D5606" w:rsidRDefault="00667304" w:rsidP="003323E7">
      <w:pPr>
        <w:pStyle w:val="ListParagraph"/>
        <w:ind w:left="0"/>
        <w:rPr>
          <w:rFonts w:asciiTheme="minorHAnsi" w:hAnsiTheme="minorHAnsi" w:cstheme="minorHAnsi"/>
          <w:color w:val="4F81BD" w:themeColor="accent1"/>
        </w:rPr>
      </w:pPr>
      <w:r w:rsidRPr="001D5606">
        <w:rPr>
          <w:noProof/>
          <w:color w:val="4F81BD" w:themeColor="accent1"/>
          <w:lang w:eastAsia="en-AU"/>
        </w:rPr>
        <w:drawing>
          <wp:inline distT="0" distB="0" distL="0" distR="0" wp14:anchorId="5EB018CD" wp14:editId="24B45A93">
            <wp:extent cx="4942857" cy="2933334"/>
            <wp:effectExtent l="0" t="0" r="0" b="635"/>
            <wp:docPr id="666" name="Picture 666" descr="This figure shows energy emissions from 2015 to 2030 under the Paris scenario and 2030 emissions reduction targets of 13, 26, 35 and 45 per cent. Emissions start at 357 Mt CO2 in 2015. &#10;Under the Paris scenario, emissions fall to 307 Mt CO2 in 2020 and then increase to 375 Mt CO2 in 2030. Emissions under the -13 per cent target fall to 308 Mt CO2 in 2020 and then increase to 330 Mt CO2 in 2030.&#10;Emissions fall under the other target scenarios. Emissions under the -26 target are 278 Mt CO2 in 2030. The -45 per cent target has the steepest fall in emissions and reaches 200 Mt CO2 in 2030.&#10;" title="Figure 1: Target paths for emissions from energy, 2015 to 2030 (Mt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42857" cy="2933334"/>
                    </a:xfrm>
                    <a:prstGeom prst="rect">
                      <a:avLst/>
                    </a:prstGeom>
                  </pic:spPr>
                </pic:pic>
              </a:graphicData>
            </a:graphic>
          </wp:inline>
        </w:drawing>
      </w:r>
      <w:r w:rsidRPr="001D5606">
        <w:rPr>
          <w:color w:val="4F81BD" w:themeColor="accent1"/>
        </w:rPr>
        <w:t xml:space="preserve"> </w:t>
      </w:r>
      <w:r w:rsidR="00B96173" w:rsidRPr="001D5606">
        <w:rPr>
          <w:noProof/>
          <w:color w:val="4F81BD" w:themeColor="accent1"/>
          <w:lang w:eastAsia="en-AU"/>
        </w:rPr>
        <w:t xml:space="preserve"> </w:t>
      </w:r>
      <w:r w:rsidR="00CA0910" w:rsidRPr="001D5606">
        <w:rPr>
          <w:noProof/>
          <w:color w:val="4F81BD" w:themeColor="accent1"/>
          <w:lang w:eastAsia="en-AU"/>
        </w:rPr>
        <w:t xml:space="preserve"> </w:t>
      </w:r>
    </w:p>
    <w:p w:rsidR="002A00BC" w:rsidRPr="001D5606" w:rsidRDefault="002A00BC" w:rsidP="003323E7">
      <w:pPr>
        <w:pStyle w:val="ListParagraph"/>
        <w:ind w:left="0"/>
        <w:rPr>
          <w:rFonts w:asciiTheme="minorHAnsi" w:hAnsiTheme="minorHAnsi" w:cstheme="minorHAnsi"/>
          <w:color w:val="4F81BD" w:themeColor="accent1"/>
          <w:sz w:val="16"/>
          <w:vertAlign w:val="subscript"/>
        </w:rPr>
      </w:pPr>
      <w:r w:rsidRPr="001D5606">
        <w:rPr>
          <w:rFonts w:asciiTheme="minorHAnsi" w:hAnsiTheme="minorHAnsi" w:cstheme="minorHAnsi"/>
          <w:color w:val="4F81BD" w:themeColor="accent1"/>
          <w:sz w:val="16"/>
        </w:rPr>
        <w:t>* Million tonnes of carbon dioxide</w:t>
      </w:r>
    </w:p>
    <w:p w:rsidR="00563782" w:rsidRPr="001D5606" w:rsidRDefault="00563782" w:rsidP="00B610DA">
      <w:pPr>
        <w:pStyle w:val="NormalWeb"/>
        <w:keepNext/>
        <w:spacing w:after="0" w:afterAutospacing="0"/>
        <w:rPr>
          <w:rFonts w:asciiTheme="minorHAnsi" w:hAnsiTheme="minorHAnsi" w:cstheme="minorHAnsi"/>
          <w:color w:val="4F81BD" w:themeColor="accent1"/>
        </w:rPr>
      </w:pPr>
      <w:r w:rsidRPr="001D5606">
        <w:rPr>
          <w:rFonts w:asciiTheme="minorHAnsi" w:hAnsiTheme="minorHAnsi"/>
          <w:b/>
          <w:color w:val="4F81BD" w:themeColor="accent1"/>
        </w:rPr>
        <w:t xml:space="preserve">Figure 2: </w:t>
      </w:r>
      <w:r w:rsidRPr="001D5606">
        <w:rPr>
          <w:rFonts w:asciiTheme="minorHAnsi" w:hAnsiTheme="minorHAnsi"/>
          <w:color w:val="4F81BD" w:themeColor="accent1"/>
        </w:rPr>
        <w:t>Cumulative abatement</w:t>
      </w:r>
      <w:r w:rsidR="002D4E4A" w:rsidRPr="001D5606">
        <w:rPr>
          <w:rFonts w:asciiTheme="minorHAnsi" w:hAnsiTheme="minorHAnsi"/>
          <w:color w:val="4F81BD" w:themeColor="accent1"/>
        </w:rPr>
        <w:t xml:space="preserve"> from energy,</w:t>
      </w:r>
      <w:r w:rsidR="007010AE">
        <w:rPr>
          <w:rFonts w:asciiTheme="minorHAnsi" w:hAnsiTheme="minorHAnsi"/>
          <w:color w:val="4F81BD" w:themeColor="accent1"/>
        </w:rPr>
        <w:t xml:space="preserve"> relative to the Paris scenario,</w:t>
      </w:r>
      <w:r w:rsidR="002D4E4A" w:rsidRPr="001D5606">
        <w:rPr>
          <w:rFonts w:asciiTheme="minorHAnsi" w:hAnsiTheme="minorHAnsi"/>
          <w:color w:val="4F81BD" w:themeColor="accent1"/>
        </w:rPr>
        <w:t xml:space="preserve"> </w:t>
      </w:r>
      <w:r w:rsidRPr="001D5606">
        <w:rPr>
          <w:rFonts w:asciiTheme="minorHAnsi" w:hAnsiTheme="minorHAnsi"/>
          <w:color w:val="4F81BD" w:themeColor="accent1"/>
        </w:rPr>
        <w:t>2020 to 2030 (Mt</w:t>
      </w:r>
      <w:r w:rsidR="002D4E4A" w:rsidRPr="001D5606">
        <w:rPr>
          <w:rFonts w:asciiTheme="minorHAnsi" w:hAnsiTheme="minorHAnsi"/>
          <w:color w:val="4F81BD" w:themeColor="accent1"/>
        </w:rPr>
        <w:t> </w:t>
      </w:r>
      <w:r w:rsidRPr="001D5606">
        <w:rPr>
          <w:rFonts w:asciiTheme="minorHAnsi" w:hAnsiTheme="minorHAnsi"/>
          <w:color w:val="4F81BD" w:themeColor="accent1"/>
        </w:rPr>
        <w:t>CO</w:t>
      </w:r>
      <w:r w:rsidRPr="001D5606">
        <w:rPr>
          <w:rFonts w:asciiTheme="minorHAnsi" w:hAnsiTheme="minorHAnsi"/>
          <w:color w:val="4F81BD" w:themeColor="accent1"/>
          <w:vertAlign w:val="subscript"/>
        </w:rPr>
        <w:t>2</w:t>
      </w:r>
      <w:r w:rsidRPr="001D5606">
        <w:rPr>
          <w:rFonts w:asciiTheme="minorHAnsi" w:hAnsiTheme="minorHAnsi"/>
          <w:color w:val="4F81BD" w:themeColor="accent1"/>
        </w:rPr>
        <w:t>)</w:t>
      </w:r>
    </w:p>
    <w:p w:rsidR="00563782" w:rsidRPr="001D5606" w:rsidRDefault="00176BF6" w:rsidP="00B610DA">
      <w:pPr>
        <w:pStyle w:val="ListParagraph"/>
        <w:keepNext/>
        <w:spacing w:before="360" w:line="360" w:lineRule="auto"/>
        <w:ind w:left="0"/>
        <w:contextualSpacing w:val="0"/>
        <w:rPr>
          <w:rFonts w:asciiTheme="minorHAnsi" w:hAnsiTheme="minorHAnsi"/>
          <w:color w:val="4F81BD" w:themeColor="accent1"/>
          <w:sz w:val="16"/>
        </w:rPr>
      </w:pPr>
      <w:r>
        <w:rPr>
          <w:noProof/>
          <w:color w:val="4F81BD" w:themeColor="accent1"/>
          <w:lang w:eastAsia="en-AU"/>
        </w:rPr>
        <w:drawing>
          <wp:inline distT="0" distB="0" distL="0" distR="0" wp14:anchorId="310EA09B" wp14:editId="19343007">
            <wp:extent cx="5962650" cy="3169920"/>
            <wp:effectExtent l="0" t="0" r="0" b="0"/>
            <wp:docPr id="24" name="Picture 24" descr="Different Australian targets require the following cumulative abatement from energy in million tonnes of carbon dioxide, relative to the Paris scenario, from 2020 to 2030: -13% (244), -26% (534), -35% (735), -45% (959).&#10;" title="Figure 2: Cumulative abatement from energy, relative to the Paris scenario, 2020 to 2030 (Mt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3169920"/>
                    </a:xfrm>
                    <a:prstGeom prst="rect">
                      <a:avLst/>
                    </a:prstGeom>
                    <a:noFill/>
                  </pic:spPr>
                </pic:pic>
              </a:graphicData>
            </a:graphic>
          </wp:inline>
        </w:drawing>
      </w:r>
    </w:p>
    <w:p w:rsidR="00563782" w:rsidRDefault="00563782" w:rsidP="00B610DA">
      <w:pPr>
        <w:pStyle w:val="ListParagraph"/>
        <w:spacing w:before="120" w:line="360" w:lineRule="auto"/>
        <w:ind w:left="0"/>
        <w:contextualSpacing w:val="0"/>
        <w:rPr>
          <w:rFonts w:asciiTheme="minorHAnsi" w:hAnsiTheme="minorHAnsi"/>
          <w:sz w:val="16"/>
        </w:rPr>
      </w:pPr>
    </w:p>
    <w:p w:rsidR="00AD3DCD" w:rsidRPr="001D5606" w:rsidRDefault="00AD3DCD" w:rsidP="00B610DA">
      <w:pPr>
        <w:pStyle w:val="ListParagraph"/>
        <w:keepNext/>
        <w:spacing w:before="360" w:line="360" w:lineRule="auto"/>
        <w:ind w:left="0"/>
        <w:contextualSpacing w:val="0"/>
        <w:rPr>
          <w:rFonts w:asciiTheme="minorHAnsi" w:hAnsiTheme="minorHAnsi" w:cstheme="minorHAnsi"/>
          <w:b/>
          <w:color w:val="996633"/>
        </w:rPr>
      </w:pPr>
      <w:r w:rsidRPr="001D5606">
        <w:rPr>
          <w:rFonts w:asciiTheme="minorHAnsi" w:hAnsiTheme="minorHAnsi" w:cstheme="minorHAnsi"/>
          <w:b/>
          <w:color w:val="996633"/>
        </w:rPr>
        <w:lastRenderedPageBreak/>
        <w:t xml:space="preserve">Australian policy modelled as sector-based policies </w:t>
      </w:r>
    </w:p>
    <w:p w:rsidR="00AD3DCD" w:rsidRPr="00B610DA" w:rsidRDefault="00AD3DCD" w:rsidP="00B610DA">
      <w:pPr>
        <w:pStyle w:val="NormalWeb"/>
        <w:spacing w:before="0" w:beforeAutospacing="0"/>
        <w:rPr>
          <w:rFonts w:asciiTheme="minorHAnsi" w:hAnsiTheme="minorHAnsi"/>
          <w:vertAlign w:val="subscript"/>
        </w:rPr>
      </w:pPr>
      <w:r>
        <w:rPr>
          <w:rFonts w:asciiTheme="minorHAnsi" w:hAnsiTheme="minorHAnsi"/>
        </w:rPr>
        <w:t>The modelling achieves</w:t>
      </w:r>
      <w:r w:rsidR="00A06B7F">
        <w:rPr>
          <w:rFonts w:asciiTheme="minorHAnsi" w:hAnsiTheme="minorHAnsi"/>
        </w:rPr>
        <w:t xml:space="preserve"> the energy component of</w:t>
      </w:r>
      <w:r>
        <w:rPr>
          <w:rFonts w:asciiTheme="minorHAnsi" w:hAnsiTheme="minorHAnsi"/>
        </w:rPr>
        <w:t xml:space="preserve"> Australia’s targets through reducing </w:t>
      </w:r>
      <w:r w:rsidR="00F021CE">
        <w:rPr>
          <w:rFonts w:asciiTheme="minorHAnsi" w:hAnsiTheme="minorHAnsi"/>
        </w:rPr>
        <w:t>CO</w:t>
      </w:r>
      <w:r w:rsidR="00F021CE" w:rsidRPr="00015CEE">
        <w:rPr>
          <w:rFonts w:asciiTheme="minorHAnsi" w:hAnsiTheme="minorHAnsi"/>
          <w:vertAlign w:val="subscript"/>
        </w:rPr>
        <w:t>2</w:t>
      </w:r>
      <w:r w:rsidR="00F021CE" w:rsidRPr="00B610DA">
        <w:rPr>
          <w:rFonts w:asciiTheme="minorHAnsi" w:hAnsiTheme="minorHAnsi"/>
        </w:rPr>
        <w:t xml:space="preserve"> </w:t>
      </w:r>
      <w:r>
        <w:rPr>
          <w:rFonts w:asciiTheme="minorHAnsi" w:hAnsiTheme="minorHAnsi"/>
        </w:rPr>
        <w:t xml:space="preserve">emissions from the energy sector. </w:t>
      </w:r>
      <w:r w:rsidRPr="000A6ED4">
        <w:rPr>
          <w:rFonts w:asciiTheme="minorHAnsi" w:hAnsiTheme="minorHAnsi"/>
        </w:rPr>
        <w:t>This involves reducing the share of coal-powered electricity and increasing the shares of gas and renewable energy, along with investments to improve energy efficiency</w:t>
      </w:r>
      <w:r>
        <w:rPr>
          <w:rFonts w:asciiTheme="minorHAnsi" w:hAnsiTheme="minorHAnsi"/>
        </w:rPr>
        <w:t xml:space="preserve">. </w:t>
      </w:r>
    </w:p>
    <w:p w:rsidR="00AD3DCD" w:rsidRDefault="002A00BC" w:rsidP="00B610DA">
      <w:pPr>
        <w:pStyle w:val="NormalWeb"/>
        <w:spacing w:before="0" w:beforeAutospacing="0"/>
        <w:rPr>
          <w:rFonts w:asciiTheme="minorHAnsi" w:hAnsiTheme="minorHAnsi"/>
        </w:rPr>
      </w:pPr>
      <w:r>
        <w:rPr>
          <w:rFonts w:asciiTheme="minorHAnsi" w:hAnsiTheme="minorHAnsi"/>
        </w:rPr>
        <w:t xml:space="preserve">This </w:t>
      </w:r>
      <w:r w:rsidR="00AD3DCD">
        <w:rPr>
          <w:rFonts w:asciiTheme="minorHAnsi" w:hAnsiTheme="minorHAnsi"/>
        </w:rPr>
        <w:t xml:space="preserve">approach to modelling Australia’s targets is similar to </w:t>
      </w:r>
      <w:r w:rsidR="00FE748E">
        <w:rPr>
          <w:rFonts w:asciiTheme="minorHAnsi" w:hAnsiTheme="minorHAnsi"/>
        </w:rPr>
        <w:t xml:space="preserve">the approach </w:t>
      </w:r>
      <w:r w:rsidR="00AD3DCD">
        <w:rPr>
          <w:rFonts w:asciiTheme="minorHAnsi" w:hAnsiTheme="minorHAnsi"/>
        </w:rPr>
        <w:t xml:space="preserve">in </w:t>
      </w:r>
      <w:r w:rsidR="006B0A46">
        <w:rPr>
          <w:rFonts w:asciiTheme="minorHAnsi" w:hAnsiTheme="minorHAnsi"/>
        </w:rPr>
        <w:t xml:space="preserve">Report 1 </w:t>
      </w:r>
      <w:r w:rsidR="00FE748E">
        <w:rPr>
          <w:rFonts w:asciiTheme="minorHAnsi" w:hAnsiTheme="minorHAnsi"/>
        </w:rPr>
        <w:t xml:space="preserve">in which </w:t>
      </w:r>
      <w:r w:rsidR="00AD3DCD">
        <w:rPr>
          <w:rFonts w:asciiTheme="minorHAnsi" w:hAnsiTheme="minorHAnsi"/>
        </w:rPr>
        <w:t>countries pursue a mix of energy efficiency and energy sector policies to reach the policy commitment</w:t>
      </w:r>
      <w:r w:rsidR="006B0A46">
        <w:rPr>
          <w:rFonts w:asciiTheme="minorHAnsi" w:hAnsiTheme="minorHAnsi"/>
        </w:rPr>
        <w:t>.</w:t>
      </w:r>
      <w:r w:rsidR="00AD3DCD">
        <w:rPr>
          <w:rFonts w:asciiTheme="minorHAnsi" w:hAnsiTheme="minorHAnsi"/>
        </w:rPr>
        <w:t xml:space="preserve"> </w:t>
      </w:r>
      <w:r w:rsidR="006B0A46">
        <w:rPr>
          <w:rFonts w:asciiTheme="minorHAnsi" w:hAnsiTheme="minorHAnsi"/>
        </w:rPr>
        <w:t xml:space="preserve">Further detail is contained </w:t>
      </w:r>
      <w:r w:rsidR="00AD3DCD">
        <w:rPr>
          <w:rFonts w:asciiTheme="minorHAnsi" w:hAnsiTheme="minorHAnsi"/>
        </w:rPr>
        <w:t xml:space="preserve">in </w:t>
      </w:r>
      <w:r w:rsidR="00FE748E">
        <w:rPr>
          <w:rFonts w:asciiTheme="minorHAnsi" w:hAnsiTheme="minorHAnsi"/>
        </w:rPr>
        <w:t>R</w:t>
      </w:r>
      <w:r w:rsidR="00AD3DCD">
        <w:rPr>
          <w:rFonts w:asciiTheme="minorHAnsi" w:hAnsiTheme="minorHAnsi"/>
        </w:rPr>
        <w:t>eport</w:t>
      </w:r>
      <w:r w:rsidR="00FE748E">
        <w:rPr>
          <w:rFonts w:asciiTheme="minorHAnsi" w:hAnsiTheme="minorHAnsi"/>
        </w:rPr>
        <w:t xml:space="preserve"> 1</w:t>
      </w:r>
      <w:r w:rsidR="00AD3DCD">
        <w:rPr>
          <w:rFonts w:asciiTheme="minorHAnsi" w:hAnsiTheme="minorHAnsi"/>
        </w:rPr>
        <w:t>.</w:t>
      </w:r>
    </w:p>
    <w:p w:rsidR="00AD3DCD" w:rsidRDefault="00AD3DCD" w:rsidP="00B610DA">
      <w:pPr>
        <w:pStyle w:val="NormalWeb"/>
        <w:spacing w:before="0" w:beforeAutospacing="0"/>
        <w:rPr>
          <w:rFonts w:asciiTheme="minorHAnsi" w:hAnsiTheme="minorHAnsi"/>
        </w:rPr>
      </w:pPr>
      <w:r>
        <w:rPr>
          <w:rFonts w:asciiTheme="minorHAnsi" w:hAnsiTheme="minorHAnsi"/>
        </w:rPr>
        <w:t xml:space="preserve">The modelling </w:t>
      </w:r>
      <w:r w:rsidR="00FE748E">
        <w:rPr>
          <w:rFonts w:asciiTheme="minorHAnsi" w:hAnsiTheme="minorHAnsi"/>
        </w:rPr>
        <w:t xml:space="preserve">does </w:t>
      </w:r>
      <w:r>
        <w:rPr>
          <w:rFonts w:asciiTheme="minorHAnsi" w:hAnsiTheme="minorHAnsi"/>
        </w:rPr>
        <w:t xml:space="preserve">not provide </w:t>
      </w:r>
      <w:r w:rsidR="00FE748E">
        <w:rPr>
          <w:rFonts w:asciiTheme="minorHAnsi" w:hAnsiTheme="minorHAnsi"/>
        </w:rPr>
        <w:t xml:space="preserve">a </w:t>
      </w:r>
      <w:r>
        <w:rPr>
          <w:rFonts w:asciiTheme="minorHAnsi" w:hAnsiTheme="minorHAnsi"/>
        </w:rPr>
        <w:t>robust estimate of the costs or potential to reduce Australia’s non-energy greenhouse emissions, such as CO</w:t>
      </w:r>
      <w:r w:rsidRPr="00F021CE">
        <w:rPr>
          <w:rFonts w:asciiTheme="minorHAnsi" w:hAnsiTheme="minorHAnsi"/>
          <w:vertAlign w:val="subscript"/>
        </w:rPr>
        <w:t>2</w:t>
      </w:r>
      <w:r>
        <w:rPr>
          <w:rFonts w:asciiTheme="minorHAnsi" w:hAnsiTheme="minorHAnsi"/>
        </w:rPr>
        <w:t xml:space="preserve"> and non-CO</w:t>
      </w:r>
      <w:r w:rsidRPr="00FE1157">
        <w:rPr>
          <w:rFonts w:asciiTheme="minorHAnsi" w:hAnsiTheme="minorHAnsi"/>
          <w:vertAlign w:val="subscript"/>
        </w:rPr>
        <w:t>2</w:t>
      </w:r>
      <w:r>
        <w:rPr>
          <w:rFonts w:asciiTheme="minorHAnsi" w:hAnsiTheme="minorHAnsi"/>
        </w:rPr>
        <w:t xml:space="preserve"> emissions from non-energy industrial processes (including from cement manufacturing and aluminium production), non-CO</w:t>
      </w:r>
      <w:r w:rsidRPr="00F021CE">
        <w:rPr>
          <w:rFonts w:asciiTheme="minorHAnsi" w:hAnsiTheme="minorHAnsi"/>
          <w:vertAlign w:val="subscript"/>
        </w:rPr>
        <w:t>2</w:t>
      </w:r>
      <w:r>
        <w:rPr>
          <w:rFonts w:asciiTheme="minorHAnsi" w:hAnsiTheme="minorHAnsi"/>
        </w:rPr>
        <w:t xml:space="preserve"> emissions from livestock, or potential emissions and sequestration associated with land use change.</w:t>
      </w:r>
      <w:r w:rsidR="00934F53" w:rsidDel="00934F53">
        <w:rPr>
          <w:rFonts w:asciiTheme="minorHAnsi" w:hAnsiTheme="minorHAnsi"/>
        </w:rPr>
        <w:t xml:space="preserve"> </w:t>
      </w:r>
    </w:p>
    <w:p w:rsidR="00A06B7F" w:rsidRDefault="00FE748E" w:rsidP="00B610DA">
      <w:pPr>
        <w:pStyle w:val="NormalWeb"/>
        <w:spacing w:before="0" w:beforeAutospacing="0"/>
        <w:rPr>
          <w:rFonts w:asciiTheme="minorHAnsi" w:hAnsiTheme="minorHAnsi"/>
        </w:rPr>
      </w:pPr>
      <w:r>
        <w:rPr>
          <w:rFonts w:asciiTheme="minorHAnsi" w:hAnsiTheme="minorHAnsi"/>
        </w:rPr>
        <w:t xml:space="preserve">As a result, </w:t>
      </w:r>
      <w:r w:rsidR="00AD3DCD">
        <w:rPr>
          <w:rFonts w:asciiTheme="minorHAnsi" w:hAnsiTheme="minorHAnsi"/>
        </w:rPr>
        <w:t>the modelling is deliberately conservative, and assumes the costs of reducing energy emissions are relatively high (through assumptions at the high end of the range for energy technology costs).</w:t>
      </w:r>
      <w:r w:rsidR="00EB707B">
        <w:rPr>
          <w:rFonts w:asciiTheme="minorHAnsi" w:hAnsiTheme="minorHAnsi"/>
        </w:rPr>
        <w:t xml:space="preserve"> </w:t>
      </w:r>
    </w:p>
    <w:p w:rsidR="00AD3DCD" w:rsidRDefault="00AD3DCD" w:rsidP="00B610DA">
      <w:pPr>
        <w:pStyle w:val="NormalWeb"/>
        <w:spacing w:before="0" w:beforeAutospacing="0"/>
        <w:rPr>
          <w:rFonts w:asciiTheme="minorHAnsi" w:hAnsiTheme="minorHAnsi"/>
        </w:rPr>
      </w:pPr>
      <w:r>
        <w:rPr>
          <w:rFonts w:asciiTheme="minorHAnsi" w:hAnsiTheme="minorHAnsi"/>
        </w:rPr>
        <w:t xml:space="preserve">The implications of lower technology costs </w:t>
      </w:r>
      <w:r w:rsidR="00A06B7F">
        <w:rPr>
          <w:rFonts w:asciiTheme="minorHAnsi" w:hAnsiTheme="minorHAnsi"/>
        </w:rPr>
        <w:t>are</w:t>
      </w:r>
      <w:r>
        <w:rPr>
          <w:rFonts w:asciiTheme="minorHAnsi" w:hAnsiTheme="minorHAnsi"/>
        </w:rPr>
        <w:t xml:space="preserve"> </w:t>
      </w:r>
      <w:r w:rsidR="00FE748E">
        <w:rPr>
          <w:rFonts w:asciiTheme="minorHAnsi" w:hAnsiTheme="minorHAnsi"/>
        </w:rPr>
        <w:t xml:space="preserve">addressed </w:t>
      </w:r>
      <w:r>
        <w:rPr>
          <w:rFonts w:asciiTheme="minorHAnsi" w:hAnsiTheme="minorHAnsi"/>
        </w:rPr>
        <w:t xml:space="preserve">in sensitivity analysis </w:t>
      </w:r>
      <w:r w:rsidR="0091166B">
        <w:rPr>
          <w:rFonts w:asciiTheme="minorHAnsi" w:hAnsiTheme="minorHAnsi"/>
        </w:rPr>
        <w:t xml:space="preserve">on each of the four targets </w:t>
      </w:r>
      <w:r>
        <w:rPr>
          <w:rFonts w:asciiTheme="minorHAnsi" w:hAnsiTheme="minorHAnsi"/>
        </w:rPr>
        <w:t>in Appendi</w:t>
      </w:r>
      <w:r w:rsidR="00776B7C">
        <w:rPr>
          <w:rFonts w:asciiTheme="minorHAnsi" w:hAnsiTheme="minorHAnsi"/>
        </w:rPr>
        <w:t xml:space="preserve">x </w:t>
      </w:r>
      <w:r w:rsidR="0061775F">
        <w:rPr>
          <w:rFonts w:asciiTheme="minorHAnsi" w:hAnsiTheme="minorHAnsi"/>
        </w:rPr>
        <w:t>D</w:t>
      </w:r>
      <w:r>
        <w:rPr>
          <w:rFonts w:asciiTheme="minorHAnsi" w:hAnsiTheme="minorHAnsi"/>
        </w:rPr>
        <w:t xml:space="preserve">. The </w:t>
      </w:r>
      <w:r w:rsidR="00C46124">
        <w:rPr>
          <w:rFonts w:asciiTheme="minorHAnsi" w:hAnsiTheme="minorHAnsi"/>
        </w:rPr>
        <w:t xml:space="preserve">lower technology costs </w:t>
      </w:r>
      <w:r>
        <w:rPr>
          <w:rFonts w:asciiTheme="minorHAnsi" w:hAnsiTheme="minorHAnsi"/>
        </w:rPr>
        <w:t xml:space="preserve">align with technology cost assumptions applied to key countries in </w:t>
      </w:r>
      <w:r w:rsidR="006B0A46">
        <w:rPr>
          <w:rFonts w:asciiTheme="minorHAnsi" w:hAnsiTheme="minorHAnsi"/>
        </w:rPr>
        <w:t>Report 1</w:t>
      </w:r>
      <w:r>
        <w:rPr>
          <w:rFonts w:asciiTheme="minorHAnsi" w:hAnsiTheme="minorHAnsi"/>
        </w:rPr>
        <w:t>.</w:t>
      </w:r>
    </w:p>
    <w:p w:rsidR="00185F08" w:rsidRPr="00B610DA" w:rsidRDefault="00A06B7F" w:rsidP="00B610DA">
      <w:pPr>
        <w:pStyle w:val="NormalWeb"/>
        <w:spacing w:before="0" w:beforeAutospacing="0"/>
        <w:rPr>
          <w:rFonts w:asciiTheme="minorHAnsi" w:hAnsiTheme="minorHAnsi"/>
        </w:rPr>
      </w:pPr>
      <w:r>
        <w:rPr>
          <w:rFonts w:asciiTheme="minorHAnsi" w:hAnsiTheme="minorHAnsi"/>
        </w:rPr>
        <w:t>The implications of</w:t>
      </w:r>
      <w:r w:rsidR="00BD289A">
        <w:rPr>
          <w:rFonts w:asciiTheme="minorHAnsi" w:hAnsiTheme="minorHAnsi"/>
        </w:rPr>
        <w:t xml:space="preserve"> varying the policy mix are</w:t>
      </w:r>
      <w:r w:rsidR="002D4E4A">
        <w:rPr>
          <w:rFonts w:asciiTheme="minorHAnsi" w:hAnsiTheme="minorHAnsi"/>
        </w:rPr>
        <w:t xml:space="preserve"> investigated</w:t>
      </w:r>
      <w:r>
        <w:rPr>
          <w:rFonts w:asciiTheme="minorHAnsi" w:hAnsiTheme="minorHAnsi"/>
        </w:rPr>
        <w:t xml:space="preserve"> </w:t>
      </w:r>
      <w:r w:rsidR="002D4E4A">
        <w:rPr>
          <w:rFonts w:asciiTheme="minorHAnsi" w:hAnsiTheme="minorHAnsi"/>
        </w:rPr>
        <w:t xml:space="preserve">in sensitivity analysis in Appendix </w:t>
      </w:r>
      <w:r w:rsidR="0061775F">
        <w:rPr>
          <w:rFonts w:asciiTheme="minorHAnsi" w:hAnsiTheme="minorHAnsi"/>
        </w:rPr>
        <w:t>E</w:t>
      </w:r>
      <w:r w:rsidR="002D4E4A">
        <w:rPr>
          <w:rFonts w:asciiTheme="minorHAnsi" w:hAnsiTheme="minorHAnsi"/>
        </w:rPr>
        <w:t xml:space="preserve">. The sensitivity analysis allows </w:t>
      </w:r>
      <w:r>
        <w:rPr>
          <w:rFonts w:asciiTheme="minorHAnsi" w:hAnsiTheme="minorHAnsi"/>
        </w:rPr>
        <w:t xml:space="preserve">international units to meet some – around 45 per cent </w:t>
      </w:r>
      <w:r w:rsidR="00C46124">
        <w:rPr>
          <w:rFonts w:asciiTheme="minorHAnsi" w:hAnsiTheme="minorHAnsi"/>
        </w:rPr>
        <w:t>–</w:t>
      </w:r>
      <w:r>
        <w:rPr>
          <w:rFonts w:asciiTheme="minorHAnsi" w:hAnsiTheme="minorHAnsi"/>
        </w:rPr>
        <w:t xml:space="preserve"> of the emissions abatement for each of the target scenarios. The analysis assumes these offsets are purchased from low income countries in the ‘rest of the world’ grouping, which includes developing countries other than China. </w:t>
      </w:r>
      <w:r w:rsidR="00185F08" w:rsidRPr="00B610DA">
        <w:rPr>
          <w:rFonts w:asciiTheme="minorHAnsi" w:hAnsiTheme="minorHAnsi"/>
        </w:rPr>
        <w:br w:type="page"/>
      </w:r>
    </w:p>
    <w:p w:rsidR="00A0502F" w:rsidRPr="001D5606" w:rsidRDefault="009469E3" w:rsidP="00A0502F">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M</w:t>
      </w:r>
      <w:r w:rsidR="008A19EA" w:rsidRPr="001D5606">
        <w:rPr>
          <w:rFonts w:asciiTheme="minorHAnsi" w:hAnsiTheme="minorHAnsi" w:cstheme="minorHAnsi"/>
          <w:b/>
          <w:color w:val="996633"/>
          <w:sz w:val="40"/>
        </w:rPr>
        <w:t>odelling results</w:t>
      </w:r>
      <w:r w:rsidR="00A25FA9" w:rsidRPr="001D5606">
        <w:rPr>
          <w:rFonts w:asciiTheme="minorHAnsi" w:hAnsiTheme="minorHAnsi" w:cstheme="minorHAnsi"/>
          <w:b/>
          <w:color w:val="996633"/>
          <w:sz w:val="40"/>
        </w:rPr>
        <w:t xml:space="preserve"> for</w:t>
      </w:r>
      <w:r w:rsidR="00B30355" w:rsidRPr="001D5606">
        <w:rPr>
          <w:rFonts w:asciiTheme="minorHAnsi" w:hAnsiTheme="minorHAnsi" w:cstheme="minorHAnsi"/>
          <w:b/>
          <w:color w:val="996633"/>
          <w:sz w:val="40"/>
        </w:rPr>
        <w:t xml:space="preserve"> </w:t>
      </w:r>
      <w:r w:rsidR="00A25FA9" w:rsidRPr="001D5606">
        <w:rPr>
          <w:rFonts w:asciiTheme="minorHAnsi" w:hAnsiTheme="minorHAnsi" w:cstheme="minorHAnsi"/>
          <w:b/>
          <w:color w:val="996633"/>
          <w:sz w:val="40"/>
        </w:rPr>
        <w:t>Australia</w:t>
      </w:r>
      <w:r w:rsidR="008A19EA" w:rsidRPr="001D5606">
        <w:rPr>
          <w:rFonts w:asciiTheme="minorHAnsi" w:hAnsiTheme="minorHAnsi" w:cstheme="minorHAnsi"/>
          <w:b/>
          <w:color w:val="996633"/>
          <w:sz w:val="40"/>
        </w:rPr>
        <w:t xml:space="preserve"> </w:t>
      </w:r>
    </w:p>
    <w:p w:rsidR="00A0502F" w:rsidRPr="00335D2D" w:rsidRDefault="00D418B0" w:rsidP="00A0502F">
      <w:pPr>
        <w:spacing w:line="276" w:lineRule="auto"/>
        <w:rPr>
          <w:rFonts w:asciiTheme="minorHAnsi" w:hAnsiTheme="minorHAnsi" w:cstheme="minorHAnsi"/>
          <w:b/>
        </w:rPr>
      </w:pPr>
      <w:r>
        <w:rPr>
          <w:rFonts w:asciiTheme="minorHAnsi" w:hAnsiTheme="minorHAnsi" w:cstheme="minorHAnsi"/>
          <w:noProof/>
          <w:lang w:eastAsia="en-AU"/>
        </w:rPr>
        <mc:AlternateContent>
          <mc:Choice Requires="wps">
            <w:drawing>
              <wp:anchor distT="0" distB="0" distL="114300" distR="114300" simplePos="0" relativeHeight="251698176" behindDoc="0" locked="0" layoutInCell="1" allowOverlap="1" wp14:anchorId="6E654F76" wp14:editId="3FA66152">
                <wp:simplePos x="0" y="0"/>
                <wp:positionH relativeFrom="column">
                  <wp:posOffset>31044</wp:posOffset>
                </wp:positionH>
                <wp:positionV relativeFrom="paragraph">
                  <wp:posOffset>96520</wp:posOffset>
                </wp:positionV>
                <wp:extent cx="5200650" cy="1049867"/>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049867"/>
                        </a:xfrm>
                        <a:prstGeom prst="rect">
                          <a:avLst/>
                        </a:prstGeom>
                        <a:ln>
                          <a:solidFill>
                            <a:srgbClr val="996633"/>
                          </a:solidFill>
                          <a:headEnd/>
                          <a:tailEnd/>
                        </a:ln>
                      </wps:spPr>
                      <wps:style>
                        <a:lnRef idx="2">
                          <a:schemeClr val="accent1"/>
                        </a:lnRef>
                        <a:fillRef idx="1">
                          <a:schemeClr val="lt1"/>
                        </a:fillRef>
                        <a:effectRef idx="0">
                          <a:schemeClr val="accent1"/>
                        </a:effectRef>
                        <a:fontRef idx="minor">
                          <a:schemeClr val="dk1"/>
                        </a:fontRef>
                      </wps:style>
                      <wps:txbx>
                        <w:txbxContent>
                          <w:p w:rsidR="00393DD2" w:rsidRPr="001D5606" w:rsidRDefault="00393DD2" w:rsidP="008A19EA">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Australia continues to grow under each of the post-2020 targets. </w:t>
                            </w:r>
                          </w:p>
                          <w:p w:rsidR="00393DD2" w:rsidRPr="001D5606" w:rsidRDefault="00393DD2" w:rsidP="00DC6877">
                            <w:pPr>
                              <w:pStyle w:val="ListParagraph"/>
                              <w:numPr>
                                <w:ilvl w:val="0"/>
                                <w:numId w:val="21"/>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An Australian emissions target in 2030 of between 13 per cent and 45 per cent below 2005 LEVELS IS estimated to reduce real gDP by between 0.2 Per cent and 1.0 per cent by 2030. </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5pt;margin-top:7.6pt;width:409.5pt;height:8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" fillcolor="white [3201]" strokecolor="#963" strokeweight="2pt">
                <v:textbox inset="4mm,3mm,4mm,3mm">
                  <w:txbxContent>
                    <w:p w:rsidR="00393DD2" w:rsidRPr="001D5606" w:rsidRDefault="00393DD2" w:rsidP="008A19EA">
                      <w:p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Australia continues to grow under each of the post-2020 targets. </w:t>
                      </w:r>
                    </w:p>
                    <w:p w:rsidR="00393DD2" w:rsidRPr="001D5606" w:rsidRDefault="00393DD2" w:rsidP="00DC6877">
                      <w:pPr>
                        <w:pStyle w:val="ListParagraph"/>
                        <w:numPr>
                          <w:ilvl w:val="0"/>
                          <w:numId w:val="21"/>
                        </w:numPr>
                        <w:spacing w:line="276" w:lineRule="auto"/>
                        <w:rPr>
                          <w:rFonts w:asciiTheme="minorHAnsi" w:hAnsiTheme="minorHAnsi" w:cstheme="minorHAnsi"/>
                          <w:caps/>
                          <w:color w:val="4F81BD" w:themeColor="accent1"/>
                          <w:sz w:val="22"/>
                        </w:rPr>
                      </w:pPr>
                      <w:r w:rsidRPr="001D5606">
                        <w:rPr>
                          <w:rFonts w:asciiTheme="minorHAnsi" w:hAnsiTheme="minorHAnsi" w:cstheme="minorHAnsi"/>
                          <w:caps/>
                          <w:color w:val="4F81BD" w:themeColor="accent1"/>
                          <w:sz w:val="22"/>
                        </w:rPr>
                        <w:t xml:space="preserve">An Australian emissions target in 2030 of between 13 per cent and 45 per cent below 2005 LEVELS IS estimated to reduce real gDP by between 0.2 Per cent and 1.0 per cent by 2030. </w:t>
                      </w:r>
                    </w:p>
                  </w:txbxContent>
                </v:textbox>
              </v:shape>
            </w:pict>
          </mc:Fallback>
        </mc:AlternateContent>
      </w:r>
    </w:p>
    <w:p w:rsidR="00A0502F" w:rsidRPr="00335D2D" w:rsidRDefault="00A0502F" w:rsidP="00A0502F">
      <w:pPr>
        <w:spacing w:line="276" w:lineRule="auto"/>
        <w:rPr>
          <w:rFonts w:asciiTheme="minorHAnsi" w:hAnsiTheme="minorHAnsi" w:cstheme="minorHAnsi"/>
          <w:b/>
        </w:rPr>
      </w:pPr>
    </w:p>
    <w:p w:rsidR="00A0502F" w:rsidRPr="00335D2D" w:rsidRDefault="00A0502F" w:rsidP="00A0502F">
      <w:pPr>
        <w:spacing w:line="276" w:lineRule="auto"/>
        <w:rPr>
          <w:rFonts w:asciiTheme="minorHAnsi" w:hAnsiTheme="minorHAnsi" w:cstheme="minorHAnsi"/>
          <w:b/>
        </w:rPr>
      </w:pPr>
    </w:p>
    <w:p w:rsidR="00A0502F" w:rsidRDefault="00A0502F" w:rsidP="00A0502F">
      <w:pPr>
        <w:spacing w:line="276" w:lineRule="auto"/>
        <w:rPr>
          <w:rFonts w:asciiTheme="minorHAnsi" w:hAnsiTheme="minorHAnsi" w:cstheme="minorHAnsi"/>
          <w:b/>
        </w:rPr>
      </w:pPr>
    </w:p>
    <w:p w:rsidR="008A19EA" w:rsidRDefault="008A19EA" w:rsidP="00A0502F">
      <w:pPr>
        <w:spacing w:line="276" w:lineRule="auto"/>
        <w:rPr>
          <w:rFonts w:asciiTheme="minorHAnsi" w:hAnsiTheme="minorHAnsi" w:cstheme="minorHAnsi"/>
          <w:b/>
        </w:rPr>
      </w:pPr>
    </w:p>
    <w:p w:rsidR="008A19EA" w:rsidRPr="00335D2D" w:rsidRDefault="008A19EA" w:rsidP="00A0502F">
      <w:pPr>
        <w:spacing w:line="276" w:lineRule="auto"/>
        <w:rPr>
          <w:rFonts w:asciiTheme="minorHAnsi" w:hAnsiTheme="minorHAnsi" w:cstheme="minorHAnsi"/>
          <w:b/>
        </w:rPr>
      </w:pPr>
    </w:p>
    <w:p w:rsidR="003D3BD9" w:rsidRDefault="003D3BD9" w:rsidP="003D3BD9"/>
    <w:p w:rsidR="00346712" w:rsidRDefault="003D3BD9" w:rsidP="00B610DA">
      <w:pPr>
        <w:pStyle w:val="NormalWeb"/>
        <w:spacing w:before="0" w:beforeAutospacing="0"/>
        <w:rPr>
          <w:rFonts w:asciiTheme="minorHAnsi" w:hAnsiTheme="minorHAnsi"/>
        </w:rPr>
      </w:pPr>
      <w:r w:rsidRPr="00C26F5D">
        <w:rPr>
          <w:rFonts w:asciiTheme="minorHAnsi" w:hAnsiTheme="minorHAnsi"/>
        </w:rPr>
        <w:t>Australian</w:t>
      </w:r>
      <w:r w:rsidR="00BD289A">
        <w:rPr>
          <w:rFonts w:asciiTheme="minorHAnsi" w:hAnsiTheme="minorHAnsi"/>
        </w:rPr>
        <w:t xml:space="preserve"> real</w:t>
      </w:r>
      <w:r w:rsidR="00525189" w:rsidRPr="00C26F5D">
        <w:rPr>
          <w:rFonts w:asciiTheme="minorHAnsi" w:hAnsiTheme="minorHAnsi"/>
        </w:rPr>
        <w:t xml:space="preserve"> gross domestic product (</w:t>
      </w:r>
      <w:r w:rsidRPr="00C26F5D">
        <w:rPr>
          <w:rFonts w:asciiTheme="minorHAnsi" w:hAnsiTheme="minorHAnsi"/>
        </w:rPr>
        <w:t>GDP</w:t>
      </w:r>
      <w:r w:rsidR="00525189" w:rsidRPr="00C26F5D">
        <w:rPr>
          <w:rFonts w:asciiTheme="minorHAnsi" w:hAnsiTheme="minorHAnsi"/>
        </w:rPr>
        <w:t>)</w:t>
      </w:r>
      <w:r w:rsidRPr="00C26F5D">
        <w:rPr>
          <w:rFonts w:asciiTheme="minorHAnsi" w:hAnsiTheme="minorHAnsi"/>
        </w:rPr>
        <w:t xml:space="preserve"> is projected to grow between 2.</w:t>
      </w:r>
      <w:r w:rsidR="000A4352" w:rsidRPr="00C26F5D">
        <w:rPr>
          <w:rFonts w:asciiTheme="minorHAnsi" w:hAnsiTheme="minorHAnsi"/>
        </w:rPr>
        <w:t>09</w:t>
      </w:r>
      <w:r w:rsidRPr="00C26F5D">
        <w:rPr>
          <w:rFonts w:asciiTheme="minorHAnsi" w:hAnsiTheme="minorHAnsi"/>
        </w:rPr>
        <w:t xml:space="preserve"> and 2.</w:t>
      </w:r>
      <w:r w:rsidR="00284ADD" w:rsidRPr="00C26F5D">
        <w:rPr>
          <w:rFonts w:asciiTheme="minorHAnsi" w:hAnsiTheme="minorHAnsi"/>
        </w:rPr>
        <w:t>18</w:t>
      </w:r>
      <w:r w:rsidRPr="00C26F5D">
        <w:rPr>
          <w:rFonts w:asciiTheme="minorHAnsi" w:hAnsiTheme="minorHAnsi"/>
        </w:rPr>
        <w:t xml:space="preserve"> per cent per year (on average) from 2020 to 2030 across the range of Australian emissions targets</w:t>
      </w:r>
      <w:r w:rsidR="00385ABD">
        <w:rPr>
          <w:rFonts w:asciiTheme="minorHAnsi" w:hAnsiTheme="minorHAnsi"/>
        </w:rPr>
        <w:t xml:space="preserve"> (the ‘core target scenarios’)</w:t>
      </w:r>
      <w:r w:rsidR="009469E3" w:rsidRPr="00C26F5D">
        <w:rPr>
          <w:rFonts w:asciiTheme="minorHAnsi" w:hAnsiTheme="minorHAnsi"/>
        </w:rPr>
        <w:t xml:space="preserve">, based on the technology costs assumed in the core </w:t>
      </w:r>
      <w:r w:rsidR="00BD289A">
        <w:rPr>
          <w:rFonts w:asciiTheme="minorHAnsi" w:hAnsiTheme="minorHAnsi"/>
        </w:rPr>
        <w:t>target</w:t>
      </w:r>
      <w:r w:rsidR="00BD289A" w:rsidRPr="00C26F5D">
        <w:rPr>
          <w:rFonts w:asciiTheme="minorHAnsi" w:hAnsiTheme="minorHAnsi"/>
        </w:rPr>
        <w:t xml:space="preserve"> </w:t>
      </w:r>
      <w:r w:rsidR="009469E3" w:rsidRPr="00C26F5D">
        <w:rPr>
          <w:rFonts w:asciiTheme="minorHAnsi" w:hAnsiTheme="minorHAnsi"/>
        </w:rPr>
        <w:t>scenario</w:t>
      </w:r>
      <w:r w:rsidR="00CC466D" w:rsidRPr="00C26F5D">
        <w:rPr>
          <w:rFonts w:asciiTheme="minorHAnsi" w:hAnsiTheme="minorHAnsi"/>
        </w:rPr>
        <w:t>s</w:t>
      </w:r>
      <w:r w:rsidR="00DF1E22">
        <w:rPr>
          <w:rFonts w:asciiTheme="minorHAnsi" w:hAnsiTheme="minorHAnsi"/>
        </w:rPr>
        <w:t xml:space="preserve"> (Figure 3)</w:t>
      </w:r>
      <w:r w:rsidRPr="00C26F5D">
        <w:rPr>
          <w:rFonts w:asciiTheme="minorHAnsi" w:hAnsiTheme="minorHAnsi"/>
        </w:rPr>
        <w:t>.</w:t>
      </w:r>
      <w:r w:rsidR="00E401D3" w:rsidRPr="00C26F5D">
        <w:rPr>
          <w:rFonts w:asciiTheme="minorHAnsi" w:hAnsiTheme="minorHAnsi"/>
        </w:rPr>
        <w:t xml:space="preserve"> Without a post-2020 target</w:t>
      </w:r>
      <w:r w:rsidR="00DF1E22">
        <w:rPr>
          <w:rFonts w:asciiTheme="minorHAnsi" w:hAnsiTheme="minorHAnsi"/>
        </w:rPr>
        <w:t xml:space="preserve"> (the ‘Paris’ scenario)</w:t>
      </w:r>
      <w:r w:rsidR="00E401D3" w:rsidRPr="00C26F5D">
        <w:rPr>
          <w:rFonts w:asciiTheme="minorHAnsi" w:hAnsiTheme="minorHAnsi"/>
        </w:rPr>
        <w:t xml:space="preserve">, it is estimated GDP growth would average 2.21 per cent per year. </w:t>
      </w:r>
    </w:p>
    <w:p w:rsidR="00346712" w:rsidRPr="001D5606" w:rsidRDefault="00346712" w:rsidP="00B610DA">
      <w:pPr>
        <w:pStyle w:val="ListParagraph"/>
        <w:keepNext/>
        <w:spacing w:after="120"/>
        <w:ind w:left="0"/>
        <w:contextualSpacing w:val="0"/>
        <w:rPr>
          <w:rFonts w:asciiTheme="minorHAnsi" w:hAnsiTheme="minorHAnsi" w:cstheme="minorHAnsi"/>
          <w:color w:val="4F81BD" w:themeColor="accent1"/>
        </w:rPr>
      </w:pPr>
      <w:r w:rsidRPr="001D5606">
        <w:rPr>
          <w:rFonts w:asciiTheme="minorHAnsi" w:hAnsiTheme="minorHAnsi" w:cstheme="minorHAnsi"/>
          <w:b/>
          <w:color w:val="4F81BD" w:themeColor="accent1"/>
        </w:rPr>
        <w:t>Figure 3:</w:t>
      </w:r>
      <w:r w:rsidRPr="001D5606">
        <w:rPr>
          <w:rFonts w:asciiTheme="minorHAnsi" w:hAnsiTheme="minorHAnsi" w:cstheme="minorHAnsi"/>
          <w:color w:val="4F81BD" w:themeColor="accent1"/>
        </w:rPr>
        <w:t xml:space="preserve"> Average annual growth, real Australian GDP, core </w:t>
      </w:r>
      <w:r w:rsidR="00385ABD"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scenarios</w:t>
      </w:r>
      <w:r w:rsidR="00DF1E22" w:rsidRPr="001D5606">
        <w:rPr>
          <w:rFonts w:asciiTheme="minorHAnsi" w:hAnsiTheme="minorHAnsi" w:cstheme="minorHAnsi"/>
          <w:color w:val="4F81BD" w:themeColor="accent1"/>
        </w:rPr>
        <w:t xml:space="preserve"> and Paris </w:t>
      </w:r>
      <w:r w:rsidR="001F4469" w:rsidRPr="001D5606">
        <w:rPr>
          <w:rFonts w:asciiTheme="minorHAnsi" w:hAnsiTheme="minorHAnsi" w:cstheme="minorHAnsi"/>
          <w:color w:val="4F81BD" w:themeColor="accent1"/>
        </w:rPr>
        <w:t>scenario</w:t>
      </w:r>
      <w:r w:rsidRPr="001D5606">
        <w:rPr>
          <w:rFonts w:asciiTheme="minorHAnsi" w:hAnsiTheme="minorHAnsi" w:cstheme="minorHAnsi"/>
          <w:color w:val="4F81BD" w:themeColor="accent1"/>
        </w:rPr>
        <w:t xml:space="preserve">, 2020 to 2030 </w:t>
      </w:r>
      <w:r w:rsidR="00DF1E22" w:rsidRPr="001D5606">
        <w:rPr>
          <w:rFonts w:asciiTheme="minorHAnsi" w:hAnsiTheme="minorHAnsi" w:cstheme="minorHAnsi"/>
          <w:color w:val="4F81BD" w:themeColor="accent1"/>
        </w:rPr>
        <w:t>(per cent per year)</w:t>
      </w:r>
    </w:p>
    <w:p w:rsidR="006B0A46" w:rsidRDefault="00346712" w:rsidP="001F4469">
      <w:pPr>
        <w:pStyle w:val="NormalWeb"/>
        <w:spacing w:before="0" w:beforeAutospacing="0" w:after="240" w:afterAutospacing="0"/>
        <w:rPr>
          <w:rFonts w:asciiTheme="minorHAnsi" w:hAnsiTheme="minorHAnsi"/>
        </w:rPr>
      </w:pPr>
      <w:r w:rsidRPr="00346712">
        <w:rPr>
          <w:noProof/>
        </w:rPr>
        <w:drawing>
          <wp:inline distT="0" distB="0" distL="0" distR="0" wp14:anchorId="6C823D04" wp14:editId="5B6BAD00">
            <wp:extent cx="5228572" cy="3247619"/>
            <wp:effectExtent l="0" t="0" r="0" b="0"/>
            <wp:docPr id="63" name="Picture 63" descr="Average annual growth in real Australian GDP from 2020 to 2030 for different target scenarios: Paris scenario (2.21%), -13% target (2.18%), -26% (2.14%), -35% (2.12%), -45% (2.09%).&#10;" title="Figure 3: Average annual growth, real Australian GDP, core target scenarios and Paris scenario, 2020 to 2030 (per cent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28572" cy="3247619"/>
                    </a:xfrm>
                    <a:prstGeom prst="rect">
                      <a:avLst/>
                    </a:prstGeom>
                  </pic:spPr>
                </pic:pic>
              </a:graphicData>
            </a:graphic>
          </wp:inline>
        </w:drawing>
      </w:r>
    </w:p>
    <w:p w:rsidR="00D3262D" w:rsidRPr="00C26F5D" w:rsidRDefault="00D3262D" w:rsidP="001F4469">
      <w:pPr>
        <w:pStyle w:val="NormalWeb"/>
        <w:spacing w:before="0" w:beforeAutospacing="0" w:after="360" w:afterAutospacing="0"/>
        <w:rPr>
          <w:rFonts w:asciiTheme="minorHAnsi" w:hAnsiTheme="minorHAnsi"/>
        </w:rPr>
      </w:pPr>
      <w:r w:rsidRPr="00C26F5D">
        <w:rPr>
          <w:rFonts w:asciiTheme="minorHAnsi" w:hAnsiTheme="minorHAnsi"/>
        </w:rPr>
        <w:t xml:space="preserve">Figure </w:t>
      </w:r>
      <w:r w:rsidR="00DF1E22">
        <w:rPr>
          <w:rFonts w:asciiTheme="minorHAnsi" w:hAnsiTheme="minorHAnsi"/>
        </w:rPr>
        <w:t>4</w:t>
      </w:r>
      <w:r w:rsidRPr="00C26F5D">
        <w:rPr>
          <w:rFonts w:asciiTheme="minorHAnsi" w:hAnsiTheme="minorHAnsi"/>
        </w:rPr>
        <w:t xml:space="preserve"> shows GDP </w:t>
      </w:r>
      <w:r w:rsidR="00EE48FB">
        <w:rPr>
          <w:rFonts w:asciiTheme="minorHAnsi" w:hAnsiTheme="minorHAnsi"/>
        </w:rPr>
        <w:t xml:space="preserve">results from 2015 to 2030 </w:t>
      </w:r>
      <w:r w:rsidRPr="00C26F5D">
        <w:rPr>
          <w:rFonts w:asciiTheme="minorHAnsi" w:hAnsiTheme="minorHAnsi"/>
        </w:rPr>
        <w:t xml:space="preserve">under each of the four core </w:t>
      </w:r>
      <w:r w:rsidR="0091166B">
        <w:rPr>
          <w:rFonts w:asciiTheme="minorHAnsi" w:hAnsiTheme="minorHAnsi"/>
        </w:rPr>
        <w:t xml:space="preserve">target </w:t>
      </w:r>
      <w:r w:rsidRPr="00C26F5D">
        <w:rPr>
          <w:rFonts w:asciiTheme="minorHAnsi" w:hAnsiTheme="minorHAnsi"/>
        </w:rPr>
        <w:t>scenarios (</w:t>
      </w:r>
      <w:r w:rsidRPr="00C26F5D">
        <w:rPr>
          <w:rFonts w:asciiTheme="minorHAnsi" w:hAnsiTheme="minorHAnsi"/>
        </w:rPr>
        <w:noBreakHyphen/>
        <w:t xml:space="preserve">13%, </w:t>
      </w:r>
      <w:r w:rsidRPr="00C26F5D">
        <w:rPr>
          <w:rFonts w:asciiTheme="minorHAnsi" w:hAnsiTheme="minorHAnsi"/>
        </w:rPr>
        <w:noBreakHyphen/>
        <w:t xml:space="preserve">26%, -35% and -45%) and the Paris scenario with no Australian post-2020 target. The upper panel shows the percentage difference in GDP relative to no </w:t>
      </w:r>
      <w:r w:rsidR="00481926">
        <w:rPr>
          <w:rFonts w:asciiTheme="minorHAnsi" w:hAnsiTheme="minorHAnsi"/>
        </w:rPr>
        <w:t>Australian target</w:t>
      </w:r>
      <w:r w:rsidR="00FE748E">
        <w:rPr>
          <w:rFonts w:asciiTheme="minorHAnsi" w:hAnsiTheme="minorHAnsi"/>
        </w:rPr>
        <w:t xml:space="preserve"> (the ‘Paris’ scenario)</w:t>
      </w:r>
      <w:r w:rsidRPr="00C26F5D">
        <w:rPr>
          <w:rFonts w:asciiTheme="minorHAnsi" w:hAnsiTheme="minorHAnsi"/>
        </w:rPr>
        <w:t xml:space="preserve">. The lower panel shows the absolute level of GDP under </w:t>
      </w:r>
      <w:r w:rsidR="00FE748E">
        <w:rPr>
          <w:rFonts w:asciiTheme="minorHAnsi" w:hAnsiTheme="minorHAnsi"/>
        </w:rPr>
        <w:t xml:space="preserve">the </w:t>
      </w:r>
      <w:r w:rsidR="00385ABD">
        <w:rPr>
          <w:rFonts w:asciiTheme="minorHAnsi" w:hAnsiTheme="minorHAnsi"/>
        </w:rPr>
        <w:t>core</w:t>
      </w:r>
      <w:r w:rsidR="00FE748E">
        <w:rPr>
          <w:rFonts w:asciiTheme="minorHAnsi" w:hAnsiTheme="minorHAnsi"/>
        </w:rPr>
        <w:t xml:space="preserve"> target</w:t>
      </w:r>
      <w:r w:rsidR="0091166B">
        <w:rPr>
          <w:rFonts w:asciiTheme="minorHAnsi" w:hAnsiTheme="minorHAnsi"/>
        </w:rPr>
        <w:t xml:space="preserve"> </w:t>
      </w:r>
      <w:r w:rsidR="00FE748E">
        <w:rPr>
          <w:rFonts w:asciiTheme="minorHAnsi" w:hAnsiTheme="minorHAnsi"/>
        </w:rPr>
        <w:t>s</w:t>
      </w:r>
      <w:r w:rsidR="0091166B">
        <w:rPr>
          <w:rFonts w:asciiTheme="minorHAnsi" w:hAnsiTheme="minorHAnsi"/>
        </w:rPr>
        <w:t>cenarios</w:t>
      </w:r>
      <w:r w:rsidR="00FE748E">
        <w:rPr>
          <w:rFonts w:asciiTheme="minorHAnsi" w:hAnsiTheme="minorHAnsi"/>
        </w:rPr>
        <w:t xml:space="preserve"> and the Paris s</w:t>
      </w:r>
      <w:r w:rsidRPr="00C26F5D">
        <w:rPr>
          <w:rFonts w:asciiTheme="minorHAnsi" w:hAnsiTheme="minorHAnsi"/>
        </w:rPr>
        <w:t xml:space="preserve">cenario.  The closeness of the five trajectories in the lower panel arises because the spread across the scenarios in 2030 is 1 per cent of GDP. </w:t>
      </w:r>
    </w:p>
    <w:p w:rsidR="00481926" w:rsidRPr="00C26F5D" w:rsidRDefault="00481926" w:rsidP="00481926">
      <w:pPr>
        <w:pStyle w:val="NormalWeb"/>
        <w:spacing w:before="0" w:beforeAutospacing="0"/>
        <w:rPr>
          <w:rFonts w:asciiTheme="minorHAnsi" w:hAnsiTheme="minorHAnsi"/>
        </w:rPr>
      </w:pPr>
      <w:r w:rsidRPr="00C26F5D">
        <w:rPr>
          <w:rFonts w:asciiTheme="minorHAnsi" w:hAnsiTheme="minorHAnsi"/>
        </w:rPr>
        <w:t xml:space="preserve">The modelling projects that </w:t>
      </w:r>
      <w:r w:rsidR="00FB38F5">
        <w:rPr>
          <w:rFonts w:asciiTheme="minorHAnsi" w:hAnsiTheme="minorHAnsi"/>
        </w:rPr>
        <w:t xml:space="preserve">the </w:t>
      </w:r>
      <w:r w:rsidRPr="00C26F5D">
        <w:rPr>
          <w:rFonts w:asciiTheme="minorHAnsi" w:hAnsiTheme="minorHAnsi"/>
        </w:rPr>
        <w:t xml:space="preserve">announcement of the </w:t>
      </w:r>
      <w:r w:rsidR="00FB38F5">
        <w:rPr>
          <w:rFonts w:asciiTheme="minorHAnsi" w:hAnsiTheme="minorHAnsi"/>
        </w:rPr>
        <w:t>post-2020 target in 2015</w:t>
      </w:r>
      <w:r w:rsidR="00FB38F5" w:rsidRPr="00C26F5D">
        <w:rPr>
          <w:rFonts w:asciiTheme="minorHAnsi" w:hAnsiTheme="minorHAnsi"/>
        </w:rPr>
        <w:t xml:space="preserve"> </w:t>
      </w:r>
      <w:r w:rsidRPr="00C26F5D">
        <w:rPr>
          <w:rFonts w:asciiTheme="minorHAnsi" w:hAnsiTheme="minorHAnsi"/>
        </w:rPr>
        <w:t xml:space="preserve">provides a modest stimulus to GDP growth before 2020, due to increased </w:t>
      </w:r>
      <w:r w:rsidRPr="00C26F5D">
        <w:rPr>
          <w:rFonts w:asciiTheme="minorHAnsi" w:hAnsiTheme="minorHAnsi"/>
        </w:rPr>
        <w:lastRenderedPageBreak/>
        <w:t xml:space="preserve">investment in electricity generation assets, but slightly lower trend economic growth after 2020. </w:t>
      </w:r>
    </w:p>
    <w:p w:rsidR="003D3BD9" w:rsidRPr="001D5606" w:rsidRDefault="003D3BD9" w:rsidP="00DD4E0F">
      <w:pPr>
        <w:pStyle w:val="ListParagraph"/>
        <w:keepNext/>
        <w:spacing w:after="120"/>
        <w:ind w:left="0"/>
        <w:contextualSpacing w:val="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DF1E22" w:rsidRPr="001D5606">
        <w:rPr>
          <w:rFonts w:asciiTheme="minorHAnsi" w:hAnsiTheme="minorHAnsi" w:cstheme="minorHAnsi"/>
          <w:b/>
          <w:color w:val="4F81BD" w:themeColor="accent1"/>
        </w:rPr>
        <w:t>4</w:t>
      </w:r>
      <w:r w:rsidRPr="001D5606">
        <w:rPr>
          <w:rFonts w:asciiTheme="minorHAnsi" w:hAnsiTheme="minorHAnsi" w:cstheme="minorHAnsi"/>
          <w:b/>
          <w:color w:val="4F81BD" w:themeColor="accent1"/>
        </w:rPr>
        <w:t>:</w:t>
      </w:r>
      <w:r w:rsidRPr="001D5606">
        <w:rPr>
          <w:rFonts w:asciiTheme="minorHAnsi" w:hAnsiTheme="minorHAnsi" w:cstheme="minorHAnsi"/>
          <w:color w:val="4F81BD" w:themeColor="accent1"/>
        </w:rPr>
        <w:t xml:space="preserve"> Australian </w:t>
      </w:r>
      <w:r w:rsidR="009B274B" w:rsidRPr="001D5606">
        <w:rPr>
          <w:rFonts w:asciiTheme="minorHAnsi" w:hAnsiTheme="minorHAnsi" w:cstheme="minorHAnsi"/>
          <w:color w:val="4F81BD" w:themeColor="accent1"/>
        </w:rPr>
        <w:t>r</w:t>
      </w:r>
      <w:r w:rsidRPr="001D5606">
        <w:rPr>
          <w:rFonts w:asciiTheme="minorHAnsi" w:hAnsiTheme="minorHAnsi" w:cstheme="minorHAnsi"/>
          <w:color w:val="4F81BD" w:themeColor="accent1"/>
        </w:rPr>
        <w:t>eal GDP</w:t>
      </w:r>
      <w:r w:rsidR="00B61D6B" w:rsidRPr="001D5606">
        <w:rPr>
          <w:rFonts w:asciiTheme="minorHAnsi" w:hAnsiTheme="minorHAnsi" w:cstheme="minorHAnsi"/>
          <w:color w:val="4F81BD" w:themeColor="accent1"/>
        </w:rPr>
        <w:t>,</w:t>
      </w:r>
      <w:r w:rsidRPr="001D5606">
        <w:rPr>
          <w:rFonts w:asciiTheme="minorHAnsi" w:hAnsiTheme="minorHAnsi" w:cstheme="minorHAnsi"/>
          <w:color w:val="4F81BD" w:themeColor="accent1"/>
        </w:rPr>
        <w:t xml:space="preserve"> </w:t>
      </w:r>
      <w:r w:rsidR="00D44EAD" w:rsidRPr="001D5606">
        <w:rPr>
          <w:rFonts w:asciiTheme="minorHAnsi" w:hAnsiTheme="minorHAnsi" w:cstheme="minorHAnsi"/>
          <w:color w:val="4F81BD" w:themeColor="accent1"/>
        </w:rPr>
        <w:t xml:space="preserve">core </w:t>
      </w:r>
      <w:r w:rsidR="00385ABD" w:rsidRPr="001D5606">
        <w:rPr>
          <w:rFonts w:asciiTheme="minorHAnsi" w:hAnsiTheme="minorHAnsi" w:cstheme="minorHAnsi"/>
          <w:color w:val="4F81BD" w:themeColor="accent1"/>
        </w:rPr>
        <w:t xml:space="preserve">target </w:t>
      </w:r>
      <w:r w:rsidR="00B61D6B" w:rsidRPr="001D5606">
        <w:rPr>
          <w:rFonts w:asciiTheme="minorHAnsi" w:hAnsiTheme="minorHAnsi" w:cstheme="minorHAnsi"/>
          <w:color w:val="4F81BD" w:themeColor="accent1"/>
        </w:rPr>
        <w:t>scenarios</w:t>
      </w:r>
      <w:r w:rsidRPr="001D5606">
        <w:rPr>
          <w:rFonts w:asciiTheme="minorHAnsi" w:hAnsiTheme="minorHAnsi" w:cstheme="minorHAnsi"/>
          <w:color w:val="4F81BD" w:themeColor="accent1"/>
        </w:rPr>
        <w:t xml:space="preserve">, 2020 to 2030 </w:t>
      </w:r>
    </w:p>
    <w:p w:rsidR="003D3BD9" w:rsidRPr="001D5606" w:rsidRDefault="00B61D6B" w:rsidP="004506D7">
      <w:pPr>
        <w:pStyle w:val="ListParagraph"/>
        <w:keepNext/>
        <w:ind w:left="0"/>
        <w:rPr>
          <w:rFonts w:asciiTheme="minorHAnsi" w:hAnsiTheme="minorHAnsi" w:cstheme="minorHAnsi"/>
          <w:i/>
          <w:color w:val="4F81BD" w:themeColor="accent1"/>
        </w:rPr>
      </w:pPr>
      <w:r w:rsidRPr="001D5606">
        <w:rPr>
          <w:rFonts w:asciiTheme="minorHAnsi" w:hAnsiTheme="minorHAnsi" w:cstheme="minorHAnsi"/>
          <w:i/>
          <w:color w:val="4F81BD" w:themeColor="accent1"/>
        </w:rPr>
        <w:t>D</w:t>
      </w:r>
      <w:r w:rsidR="003D3BD9" w:rsidRPr="001D5606">
        <w:rPr>
          <w:rFonts w:asciiTheme="minorHAnsi" w:hAnsiTheme="minorHAnsi" w:cstheme="minorHAnsi"/>
          <w:i/>
          <w:color w:val="4F81BD" w:themeColor="accent1"/>
        </w:rPr>
        <w:t xml:space="preserve">eviation from </w:t>
      </w:r>
      <w:r w:rsidRPr="001D5606">
        <w:rPr>
          <w:rFonts w:asciiTheme="minorHAnsi" w:hAnsiTheme="minorHAnsi" w:cstheme="minorHAnsi"/>
          <w:i/>
          <w:color w:val="4F81BD" w:themeColor="accent1"/>
        </w:rPr>
        <w:t>Paris scenario (per cent)</w:t>
      </w:r>
    </w:p>
    <w:p w:rsidR="000A6479" w:rsidRPr="001D5606" w:rsidRDefault="00F51147" w:rsidP="004506D7">
      <w:pPr>
        <w:pStyle w:val="ListParagraph"/>
        <w:keepNext/>
        <w:ind w:left="0"/>
        <w:rPr>
          <w:rFonts w:asciiTheme="minorHAnsi" w:hAnsiTheme="minorHAnsi" w:cstheme="minorHAnsi"/>
          <w:i/>
          <w:color w:val="4F81BD" w:themeColor="accent1"/>
        </w:rPr>
      </w:pPr>
      <w:r w:rsidRPr="001D5606">
        <w:rPr>
          <w:noProof/>
          <w:color w:val="4F81BD" w:themeColor="accent1"/>
          <w:lang w:eastAsia="en-AU"/>
        </w:rPr>
        <w:drawing>
          <wp:inline distT="0" distB="0" distL="0" distR="0" wp14:anchorId="0F8DFFAD" wp14:editId="55965169">
            <wp:extent cx="5238096" cy="3114286"/>
            <wp:effectExtent l="0" t="0" r="1270" b="0"/>
            <wp:docPr id="59" name="Picture 59" descr="This figure has two parts. This part shows the percentage change annually from 2015 to 2030 in Australian GDP, relative to the Paris Scenario, under  2030 emissions reduction targets of 13, 26, 35 and 45 per cent below 2005 levels. &#10;The change in GDP is small and positive from 2015 to 2020 for all targets. The largest increase is under the -45 per cent target, where GDP increases 0.22 per cent in 2020.&#10;After 2020 all the lines decrease. By 2030, GDP under the -13 per cent target is 0.3 per cent lower than under the Paris scenario. The -45 per cent target has the largest fall in GDP in 2030 relative to the Paris scenario.&#10;" title="Figure 4: Australian real GDP, core target scenarios, 2020 to 20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38096" cy="3114286"/>
                    </a:xfrm>
                    <a:prstGeom prst="rect">
                      <a:avLst/>
                    </a:prstGeom>
                  </pic:spPr>
                </pic:pic>
              </a:graphicData>
            </a:graphic>
          </wp:inline>
        </w:drawing>
      </w:r>
      <w:r w:rsidR="00B61D6B" w:rsidRPr="001D5606">
        <w:rPr>
          <w:noProof/>
          <w:color w:val="4F81BD" w:themeColor="accent1"/>
          <w:lang w:eastAsia="en-AU"/>
        </w:rPr>
        <w:t xml:space="preserve"> </w:t>
      </w:r>
    </w:p>
    <w:p w:rsidR="003D3BD9" w:rsidRPr="001D5606" w:rsidRDefault="003D3BD9" w:rsidP="003D3BD9">
      <w:pPr>
        <w:pStyle w:val="ListParagraph"/>
        <w:keepNext/>
        <w:keepLines/>
        <w:ind w:left="0"/>
        <w:rPr>
          <w:rFonts w:asciiTheme="minorHAnsi" w:hAnsiTheme="minorHAnsi" w:cstheme="minorHAnsi"/>
          <w:i/>
          <w:color w:val="4F81BD" w:themeColor="accent1"/>
        </w:rPr>
      </w:pPr>
      <w:r w:rsidRPr="001D5606">
        <w:rPr>
          <w:rFonts w:asciiTheme="minorHAnsi" w:hAnsiTheme="minorHAnsi" w:cstheme="minorHAnsi"/>
          <w:i/>
          <w:color w:val="4F81BD" w:themeColor="accent1"/>
        </w:rPr>
        <w:t xml:space="preserve">Absolute level </w:t>
      </w:r>
      <w:r w:rsidR="00B61D6B" w:rsidRPr="001D5606">
        <w:rPr>
          <w:rFonts w:asciiTheme="minorHAnsi" w:hAnsiTheme="minorHAnsi" w:cstheme="minorHAnsi"/>
          <w:i/>
          <w:color w:val="4F81BD" w:themeColor="accent1"/>
        </w:rPr>
        <w:t>(2012 US trillion dollars)</w:t>
      </w:r>
    </w:p>
    <w:p w:rsidR="003D3BD9" w:rsidRPr="001D5606" w:rsidRDefault="009B274B" w:rsidP="003D3BD9">
      <w:pPr>
        <w:pStyle w:val="ListParagraph"/>
        <w:ind w:left="0"/>
        <w:rPr>
          <w:noProof/>
          <w:color w:val="4F81BD" w:themeColor="accent1"/>
          <w:lang w:eastAsia="en-AU"/>
        </w:rPr>
      </w:pPr>
      <w:r w:rsidRPr="001D5606">
        <w:rPr>
          <w:noProof/>
          <w:color w:val="4F81BD" w:themeColor="accent1"/>
          <w:lang w:eastAsia="en-AU"/>
        </w:rPr>
        <w:t xml:space="preserve"> </w:t>
      </w:r>
      <w:r w:rsidR="00B61D6B" w:rsidRPr="001D5606">
        <w:rPr>
          <w:noProof/>
          <w:color w:val="4F81BD" w:themeColor="accent1"/>
          <w:lang w:eastAsia="en-AU"/>
        </w:rPr>
        <w:t xml:space="preserve"> </w:t>
      </w:r>
      <w:r w:rsidR="00F51147" w:rsidRPr="001D5606">
        <w:rPr>
          <w:noProof/>
          <w:color w:val="4F81BD" w:themeColor="accent1"/>
          <w:lang w:eastAsia="en-AU"/>
        </w:rPr>
        <w:drawing>
          <wp:inline distT="0" distB="0" distL="0" distR="0" wp14:anchorId="3653E1DC" wp14:editId="4B0C7D74">
            <wp:extent cx="5247619" cy="2723810"/>
            <wp:effectExtent l="0" t="0" r="0" b="635"/>
            <wp:docPr id="60" name="Picture 60" descr="This second part of Figure 4 shows the level of GDP in real (2012) US trillion dollars from 2015 to 2030 under the Paris scenario and the four target scenarios.&#10;GDP starts at 1.64 trillion US dollars in 2015 and increase steadily. The highest level of GDP in 2030 is under the Paris scenario (2.33 trillion US dollars). The lowest level of GDP in 2030 is under the -45 per cent scenario (2.31 trillion US dollars).&#10;" title="Figure 4 - second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47619" cy="2723810"/>
                    </a:xfrm>
                    <a:prstGeom prst="rect">
                      <a:avLst/>
                    </a:prstGeom>
                  </pic:spPr>
                </pic:pic>
              </a:graphicData>
            </a:graphic>
          </wp:inline>
        </w:drawing>
      </w:r>
      <w:r w:rsidR="004C7055" w:rsidRPr="001D5606">
        <w:rPr>
          <w:color w:val="4F81BD" w:themeColor="accent1"/>
        </w:rPr>
        <w:t xml:space="preserve"> </w:t>
      </w:r>
    </w:p>
    <w:p w:rsidR="00703D1D" w:rsidRPr="001D5606" w:rsidRDefault="00703D1D" w:rsidP="00B610DA">
      <w:pPr>
        <w:pStyle w:val="ListParagraph"/>
        <w:spacing w:after="240"/>
        <w:ind w:left="0"/>
        <w:rPr>
          <w:rFonts w:asciiTheme="minorHAnsi" w:hAnsiTheme="minorHAnsi" w:cstheme="minorHAnsi"/>
          <w:color w:val="4F81BD" w:themeColor="accent1"/>
          <w:sz w:val="16"/>
        </w:rPr>
      </w:pPr>
      <w:r w:rsidRPr="001D5606">
        <w:rPr>
          <w:noProof/>
          <w:color w:val="4F81BD" w:themeColor="accent1"/>
          <w:sz w:val="16"/>
          <w:lang w:eastAsia="en-AU"/>
        </w:rPr>
        <w:t xml:space="preserve">Note: </w:t>
      </w:r>
      <w:r w:rsidR="00BD5A62" w:rsidRPr="001D5606">
        <w:rPr>
          <w:noProof/>
          <w:color w:val="4F81BD" w:themeColor="accent1"/>
          <w:sz w:val="16"/>
          <w:lang w:eastAsia="en-AU"/>
        </w:rPr>
        <w:t>Closeness of trajectories in bottom panel reflects that d</w:t>
      </w:r>
      <w:r w:rsidRPr="001D5606">
        <w:rPr>
          <w:noProof/>
          <w:color w:val="4F81BD" w:themeColor="accent1"/>
          <w:sz w:val="16"/>
          <w:lang w:eastAsia="en-AU"/>
        </w:rPr>
        <w:t>ifference in GDP in 2030 from highest to lowest scenario is 1 per cent</w:t>
      </w:r>
      <w:r w:rsidR="00BD5A62" w:rsidRPr="001D5606">
        <w:rPr>
          <w:noProof/>
          <w:color w:val="4F81BD" w:themeColor="accent1"/>
          <w:sz w:val="16"/>
          <w:lang w:eastAsia="en-AU"/>
        </w:rPr>
        <w:t xml:space="preserve"> of GDP, as shown in the top panel</w:t>
      </w:r>
      <w:r w:rsidRPr="001D5606">
        <w:rPr>
          <w:noProof/>
          <w:color w:val="4F81BD" w:themeColor="accent1"/>
          <w:sz w:val="16"/>
          <w:lang w:eastAsia="en-AU"/>
        </w:rPr>
        <w:t>.</w:t>
      </w:r>
    </w:p>
    <w:p w:rsidR="00481926" w:rsidRPr="001D5606" w:rsidRDefault="00481926" w:rsidP="00B610DA">
      <w:pPr>
        <w:pStyle w:val="NormalWeb"/>
        <w:keepNext/>
        <w:spacing w:before="0" w:beforeAutospacing="0"/>
        <w:rPr>
          <w:rFonts w:asciiTheme="minorHAnsi" w:hAnsiTheme="minorHAnsi"/>
          <w:b/>
          <w:color w:val="996633"/>
        </w:rPr>
      </w:pPr>
      <w:r w:rsidRPr="001D5606">
        <w:rPr>
          <w:rFonts w:asciiTheme="minorHAnsi" w:hAnsiTheme="minorHAnsi"/>
          <w:b/>
          <w:color w:val="996633"/>
        </w:rPr>
        <w:t>Impacts in 2030</w:t>
      </w:r>
    </w:p>
    <w:p w:rsidR="008E2C5A" w:rsidRPr="00C26F5D" w:rsidRDefault="008E2C5A" w:rsidP="008E2C5A">
      <w:pPr>
        <w:pStyle w:val="NormalWeb"/>
        <w:spacing w:before="0" w:beforeAutospacing="0"/>
        <w:rPr>
          <w:rFonts w:asciiTheme="minorHAnsi" w:hAnsiTheme="minorHAnsi"/>
        </w:rPr>
      </w:pPr>
      <w:r w:rsidRPr="00C26F5D">
        <w:rPr>
          <w:rFonts w:asciiTheme="minorHAnsi" w:hAnsiTheme="minorHAnsi"/>
        </w:rPr>
        <w:t xml:space="preserve">The core </w:t>
      </w:r>
      <w:r w:rsidR="00361581">
        <w:rPr>
          <w:rFonts w:asciiTheme="minorHAnsi" w:hAnsiTheme="minorHAnsi"/>
        </w:rPr>
        <w:t xml:space="preserve">target </w:t>
      </w:r>
      <w:r w:rsidRPr="00C26F5D">
        <w:rPr>
          <w:rFonts w:asciiTheme="minorHAnsi" w:hAnsiTheme="minorHAnsi"/>
        </w:rPr>
        <w:t xml:space="preserve">scenarios estimate that targets ranging from -26 to -45 per cent would result in GDP being 0.6 to 1.0 per cent lower in 2030 </w:t>
      </w:r>
      <w:r>
        <w:rPr>
          <w:rFonts w:asciiTheme="minorHAnsi" w:hAnsiTheme="minorHAnsi"/>
        </w:rPr>
        <w:t xml:space="preserve">compared to without a target </w:t>
      </w:r>
      <w:r w:rsidRPr="00C26F5D">
        <w:rPr>
          <w:rFonts w:asciiTheme="minorHAnsi" w:hAnsiTheme="minorHAnsi"/>
        </w:rPr>
        <w:t xml:space="preserve">(Figure </w:t>
      </w:r>
      <w:r w:rsidR="00DF1E22">
        <w:rPr>
          <w:rFonts w:asciiTheme="minorHAnsi" w:hAnsiTheme="minorHAnsi"/>
        </w:rPr>
        <w:t>5</w:t>
      </w:r>
      <w:r w:rsidR="005D437A">
        <w:rPr>
          <w:rFonts w:asciiTheme="minorHAnsi" w:hAnsiTheme="minorHAnsi"/>
        </w:rPr>
        <w:t xml:space="preserve"> and Table 1</w:t>
      </w:r>
      <w:r w:rsidRPr="00C26F5D">
        <w:rPr>
          <w:rFonts w:asciiTheme="minorHAnsi" w:hAnsiTheme="minorHAnsi"/>
        </w:rPr>
        <w:t xml:space="preserve">). </w:t>
      </w:r>
    </w:p>
    <w:p w:rsidR="008E2C5A" w:rsidRPr="00C26F5D" w:rsidRDefault="008E2C5A" w:rsidP="008E2C5A">
      <w:pPr>
        <w:pStyle w:val="NormalWeb"/>
        <w:spacing w:before="0" w:beforeAutospacing="0"/>
        <w:rPr>
          <w:rFonts w:asciiTheme="minorHAnsi" w:hAnsiTheme="minorHAnsi"/>
        </w:rPr>
      </w:pPr>
      <w:r w:rsidRPr="00C26F5D">
        <w:rPr>
          <w:rFonts w:asciiTheme="minorHAnsi" w:hAnsiTheme="minorHAnsi"/>
        </w:rPr>
        <w:lastRenderedPageBreak/>
        <w:t xml:space="preserve">These projected impacts are sensitive to the underlying assumptions. Assuming lower energy technology costs reduces these impacts by around </w:t>
      </w:r>
      <w:r>
        <w:rPr>
          <w:rFonts w:asciiTheme="minorHAnsi" w:hAnsiTheme="minorHAnsi"/>
        </w:rPr>
        <w:t>one third</w:t>
      </w:r>
      <w:r w:rsidRPr="00C26F5D">
        <w:rPr>
          <w:rFonts w:asciiTheme="minorHAnsi" w:hAnsiTheme="minorHAnsi"/>
        </w:rPr>
        <w:t>. Under the lower cost assumptions, targets ranging from -26 to -45 per cent would reduce GDP in 2030 by between 0.4 and 0.7 per cent.</w:t>
      </w:r>
      <w:r w:rsidR="00481926">
        <w:rPr>
          <w:rFonts w:asciiTheme="minorHAnsi" w:hAnsiTheme="minorHAnsi"/>
        </w:rPr>
        <w:t xml:space="preserve"> </w:t>
      </w:r>
      <w:r w:rsidR="00481926" w:rsidRPr="00C26F5D">
        <w:rPr>
          <w:rFonts w:asciiTheme="minorHAnsi" w:hAnsiTheme="minorHAnsi"/>
        </w:rPr>
        <w:t xml:space="preserve">(Sensitivity analysis on energy technology costs is presented in Appendix </w:t>
      </w:r>
      <w:r w:rsidR="0061775F">
        <w:rPr>
          <w:rFonts w:asciiTheme="minorHAnsi" w:hAnsiTheme="minorHAnsi"/>
        </w:rPr>
        <w:t>E</w:t>
      </w:r>
      <w:r w:rsidR="00481926" w:rsidRPr="00C26F5D">
        <w:rPr>
          <w:rFonts w:asciiTheme="minorHAnsi" w:hAnsiTheme="minorHAnsi"/>
        </w:rPr>
        <w:t xml:space="preserve"> and Table 1).</w:t>
      </w:r>
    </w:p>
    <w:p w:rsidR="008E2C5A" w:rsidRPr="001D5606" w:rsidRDefault="008E2C5A" w:rsidP="008E2C5A">
      <w:pPr>
        <w:pStyle w:val="ListParagraph"/>
        <w:ind w:left="0"/>
        <w:contextualSpacing w:val="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DF1E22" w:rsidRPr="001D5606">
        <w:rPr>
          <w:rFonts w:asciiTheme="minorHAnsi" w:hAnsiTheme="minorHAnsi" w:cstheme="minorHAnsi"/>
          <w:b/>
          <w:color w:val="4F81BD" w:themeColor="accent1"/>
        </w:rPr>
        <w:t>5</w:t>
      </w:r>
      <w:r w:rsidRPr="001D5606">
        <w:rPr>
          <w:rFonts w:asciiTheme="minorHAnsi" w:hAnsiTheme="minorHAnsi" w:cstheme="minorHAnsi"/>
          <w:b/>
          <w:color w:val="4F81BD" w:themeColor="accent1"/>
        </w:rPr>
        <w:t>:</w:t>
      </w:r>
      <w:r w:rsidRPr="001D5606">
        <w:rPr>
          <w:rFonts w:asciiTheme="minorHAnsi" w:hAnsiTheme="minorHAnsi" w:cstheme="minorHAnsi"/>
          <w:color w:val="4F81BD" w:themeColor="accent1"/>
        </w:rPr>
        <w:t xml:space="preserve"> GDP impacts, core </w:t>
      </w:r>
      <w:r w:rsidR="00361581"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scenarios and technology cost sensitivity scenarios, 2030 (percentage deviation</w:t>
      </w:r>
      <w:r w:rsidR="00957940">
        <w:rPr>
          <w:rFonts w:asciiTheme="minorHAnsi" w:hAnsiTheme="minorHAnsi" w:cstheme="minorHAnsi"/>
          <w:color w:val="4F81BD" w:themeColor="accent1"/>
        </w:rPr>
        <w:t xml:space="preserve"> from Paris scenario</w:t>
      </w:r>
      <w:r w:rsidRPr="001D5606">
        <w:rPr>
          <w:rFonts w:asciiTheme="minorHAnsi" w:hAnsiTheme="minorHAnsi" w:cstheme="minorHAnsi"/>
          <w:color w:val="4F81BD" w:themeColor="accent1"/>
        </w:rPr>
        <w:t>)</w:t>
      </w:r>
    </w:p>
    <w:p w:rsidR="008E2C5A" w:rsidRDefault="008E2C5A" w:rsidP="008E2C5A">
      <w:pPr>
        <w:pStyle w:val="ListParagraph"/>
        <w:ind w:left="0"/>
        <w:rPr>
          <w:rFonts w:asciiTheme="minorHAnsi" w:hAnsiTheme="minorHAnsi" w:cstheme="minorHAnsi"/>
          <w:b/>
        </w:rPr>
      </w:pPr>
      <w:r w:rsidRPr="00BD289A">
        <w:rPr>
          <w:noProof/>
          <w:lang w:eastAsia="en-AU"/>
        </w:rPr>
        <w:drawing>
          <wp:inline distT="0" distB="0" distL="0" distR="0" wp14:anchorId="5DD10293" wp14:editId="365C9E04">
            <wp:extent cx="4600000" cy="2676191"/>
            <wp:effectExtent l="0" t="0" r="0" b="0"/>
            <wp:docPr id="645" name="Picture 645" descr="Percentage deviation in real Australian GDP under the core scenario for different target scenarios in 2030, from the Paris scenario: -13% target (-0.3%), -26% (-0.6%), -35% (-0.8%), -45% (-1.0%).&#10;Percentage deviation in real Australian GDP under the technology cost sensitivity scenario for different target scenarios in 2030, from the Paris scenario: -13% target (-0.2%), -26% (-0.4%), -35% (-0.5%), -45% (-0.7%).&#10;" title="Figure 5: GDP impacts, core target scenarios and technology cost sensitivity scenario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00000" cy="2676191"/>
                    </a:xfrm>
                    <a:prstGeom prst="rect">
                      <a:avLst/>
                    </a:prstGeom>
                  </pic:spPr>
                </pic:pic>
              </a:graphicData>
            </a:graphic>
          </wp:inline>
        </w:drawing>
      </w:r>
    </w:p>
    <w:p w:rsidR="00D3262D" w:rsidRPr="001D5606" w:rsidRDefault="00D3262D" w:rsidP="00D3262D">
      <w:pPr>
        <w:keepNext/>
        <w:spacing w:before="360" w:after="12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Table 1: </w:t>
      </w:r>
      <w:r w:rsidRPr="001D5606">
        <w:rPr>
          <w:rFonts w:asciiTheme="minorHAnsi" w:hAnsiTheme="minorHAnsi" w:cstheme="minorHAnsi"/>
          <w:color w:val="4F81BD" w:themeColor="accent1"/>
        </w:rPr>
        <w:t>Key indicators (</w:t>
      </w:r>
      <w:r w:rsidR="00FC1AE7" w:rsidRPr="001D5606">
        <w:rPr>
          <w:rFonts w:asciiTheme="minorHAnsi" w:hAnsiTheme="minorHAnsi" w:cstheme="minorHAnsi"/>
          <w:color w:val="4F81BD" w:themeColor="accent1"/>
        </w:rPr>
        <w:t>percentage</w:t>
      </w:r>
      <w:r w:rsidRPr="001D5606">
        <w:rPr>
          <w:rFonts w:asciiTheme="minorHAnsi" w:hAnsiTheme="minorHAnsi" w:cstheme="minorHAnsi"/>
          <w:color w:val="4F81BD" w:themeColor="accent1"/>
        </w:rPr>
        <w:t xml:space="preserve"> deviation in 2030 from </w:t>
      </w:r>
      <w:r w:rsidR="00957940">
        <w:rPr>
          <w:rFonts w:asciiTheme="minorHAnsi" w:hAnsiTheme="minorHAnsi" w:cstheme="minorHAnsi"/>
          <w:color w:val="4F81BD" w:themeColor="accent1"/>
        </w:rPr>
        <w:t>Paris scenario</w:t>
      </w:r>
      <w:r w:rsidRPr="001D5606">
        <w:rPr>
          <w:rFonts w:asciiTheme="minorHAnsi" w:hAnsiTheme="minorHAnsi" w:cstheme="minorHAnsi"/>
          <w:color w:val="4F81BD" w:themeColor="accent1"/>
        </w:rPr>
        <w:t>)</w:t>
      </w:r>
    </w:p>
    <w:tbl>
      <w:tblPr>
        <w:tblStyle w:val="LightList-Accent1"/>
        <w:tblW w:w="5053" w:type="pct"/>
        <w:tblBorders>
          <w:top w:val="single" w:sz="8" w:space="0" w:color="996633"/>
          <w:left w:val="single" w:sz="8" w:space="0" w:color="996633"/>
          <w:bottom w:val="single" w:sz="8" w:space="0" w:color="996633"/>
          <w:right w:val="single" w:sz="8" w:space="0" w:color="996633"/>
          <w:insideH w:val="single" w:sz="8" w:space="0" w:color="996633"/>
        </w:tblBorders>
        <w:tblLayout w:type="fixed"/>
        <w:tblLook w:val="04A0" w:firstRow="1" w:lastRow="0" w:firstColumn="1" w:lastColumn="0" w:noHBand="0" w:noVBand="1"/>
      </w:tblPr>
      <w:tblGrid>
        <w:gridCol w:w="1783"/>
        <w:gridCol w:w="849"/>
        <w:gridCol w:w="849"/>
        <w:gridCol w:w="849"/>
        <w:gridCol w:w="882"/>
        <w:gridCol w:w="822"/>
        <w:gridCol w:w="849"/>
        <w:gridCol w:w="849"/>
        <w:gridCol w:w="880"/>
      </w:tblGrid>
      <w:tr w:rsidR="00D3262D" w:rsidRPr="001D5606" w:rsidTr="001D5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shd w:val="clear" w:color="auto" w:fill="996633"/>
          </w:tcPr>
          <w:p w:rsidR="00D3262D" w:rsidRPr="001D5606" w:rsidRDefault="00D3262D" w:rsidP="00D93142">
            <w:pPr>
              <w:keepNext/>
              <w:rPr>
                <w:rFonts w:asciiTheme="minorHAnsi" w:hAnsiTheme="minorHAnsi" w:cstheme="minorHAnsi"/>
                <w:color w:val="auto"/>
              </w:rPr>
            </w:pPr>
          </w:p>
        </w:tc>
        <w:tc>
          <w:tcPr>
            <w:tcW w:w="1991" w:type="pct"/>
            <w:gridSpan w:val="4"/>
            <w:shd w:val="clear" w:color="auto" w:fill="996633"/>
          </w:tcPr>
          <w:p w:rsidR="00D3262D" w:rsidRPr="001D5606" w:rsidRDefault="00D3262D" w:rsidP="00361581">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D5606">
              <w:rPr>
                <w:rFonts w:asciiTheme="minorHAnsi" w:hAnsiTheme="minorHAnsi" w:cstheme="minorHAnsi"/>
              </w:rPr>
              <w:t xml:space="preserve">Core </w:t>
            </w:r>
            <w:r w:rsidR="00361581" w:rsidRPr="001D5606">
              <w:rPr>
                <w:rFonts w:asciiTheme="minorHAnsi" w:hAnsiTheme="minorHAnsi" w:cstheme="minorHAnsi"/>
              </w:rPr>
              <w:t xml:space="preserve">target </w:t>
            </w:r>
            <w:r w:rsidRPr="001D5606">
              <w:rPr>
                <w:rFonts w:asciiTheme="minorHAnsi" w:hAnsiTheme="minorHAnsi" w:cstheme="minorHAnsi"/>
              </w:rPr>
              <w:t>scenarios</w:t>
            </w:r>
          </w:p>
        </w:tc>
        <w:tc>
          <w:tcPr>
            <w:tcW w:w="1974" w:type="pct"/>
            <w:gridSpan w:val="4"/>
            <w:shd w:val="clear" w:color="auto" w:fill="996633"/>
          </w:tcPr>
          <w:p w:rsidR="00D3262D" w:rsidRPr="001D5606" w:rsidRDefault="00D3262D" w:rsidP="006E05AB">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D5606">
              <w:rPr>
                <w:rFonts w:asciiTheme="minorHAnsi" w:hAnsiTheme="minorHAnsi" w:cstheme="minorHAnsi"/>
              </w:rPr>
              <w:t>Sensiti</w:t>
            </w:r>
            <w:r w:rsidR="006E05AB" w:rsidRPr="001D5606">
              <w:rPr>
                <w:rFonts w:asciiTheme="minorHAnsi" w:hAnsiTheme="minorHAnsi" w:cstheme="minorHAnsi"/>
              </w:rPr>
              <w:t>vity scenarios - t</w:t>
            </w:r>
            <w:r w:rsidRPr="001D5606">
              <w:rPr>
                <w:rFonts w:asciiTheme="minorHAnsi" w:hAnsiTheme="minorHAnsi" w:cstheme="minorHAnsi"/>
              </w:rPr>
              <w:t>echnology cost</w:t>
            </w:r>
            <w:r w:rsidR="006E05AB" w:rsidRPr="001D5606">
              <w:rPr>
                <w:rFonts w:asciiTheme="minorHAnsi" w:hAnsiTheme="minorHAnsi" w:cstheme="minorHAnsi"/>
              </w:rPr>
              <w:t>s</w:t>
            </w:r>
          </w:p>
        </w:tc>
      </w:tr>
      <w:tr w:rsidR="00D3262D" w:rsidRPr="00713957" w:rsidTr="001D5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none" w:sz="0" w:space="0" w:color="auto"/>
              <w:left w:val="none" w:sz="0" w:space="0" w:color="auto"/>
              <w:bottom w:val="none" w:sz="0" w:space="0" w:color="auto"/>
            </w:tcBorders>
            <w:shd w:val="clear" w:color="auto" w:fill="E2C4A6"/>
          </w:tcPr>
          <w:p w:rsidR="00D3262D" w:rsidRPr="001D5606" w:rsidRDefault="00D3262D" w:rsidP="00D93142">
            <w:pPr>
              <w:keepNext/>
              <w:rPr>
                <w:rFonts w:asciiTheme="minorHAnsi" w:hAnsiTheme="minorHAnsi" w:cstheme="minorHAnsi"/>
                <w:color w:val="4F81BD" w:themeColor="accent1"/>
              </w:rPr>
            </w:pPr>
            <w:r w:rsidRPr="001D5606">
              <w:rPr>
                <w:rFonts w:asciiTheme="minorHAnsi" w:hAnsiTheme="minorHAnsi" w:cstheme="minorHAnsi"/>
                <w:color w:val="4F81BD" w:themeColor="accent1"/>
              </w:rPr>
              <w:t>Target</w:t>
            </w:r>
          </w:p>
        </w:tc>
        <w:tc>
          <w:tcPr>
            <w:tcW w:w="493"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-13%</w:t>
            </w:r>
          </w:p>
        </w:tc>
        <w:tc>
          <w:tcPr>
            <w:tcW w:w="493"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-26%</w:t>
            </w:r>
          </w:p>
        </w:tc>
        <w:tc>
          <w:tcPr>
            <w:tcW w:w="493"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-35%</w:t>
            </w:r>
          </w:p>
        </w:tc>
        <w:tc>
          <w:tcPr>
            <w:tcW w:w="512"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-45%</w:t>
            </w:r>
          </w:p>
        </w:tc>
        <w:tc>
          <w:tcPr>
            <w:tcW w:w="477"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-13%</w:t>
            </w:r>
          </w:p>
        </w:tc>
        <w:tc>
          <w:tcPr>
            <w:tcW w:w="493"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-26%</w:t>
            </w:r>
          </w:p>
        </w:tc>
        <w:tc>
          <w:tcPr>
            <w:tcW w:w="493" w:type="pct"/>
            <w:tcBorders>
              <w:top w:val="none" w:sz="0" w:space="0" w:color="auto"/>
              <w:bottom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-35%</w:t>
            </w:r>
          </w:p>
        </w:tc>
        <w:tc>
          <w:tcPr>
            <w:tcW w:w="511" w:type="pct"/>
            <w:tcBorders>
              <w:top w:val="none" w:sz="0" w:space="0" w:color="auto"/>
              <w:bottom w:val="none" w:sz="0" w:space="0" w:color="auto"/>
              <w:right w:val="none" w:sz="0" w:space="0" w:color="auto"/>
            </w:tcBorders>
            <w:shd w:val="clear" w:color="auto" w:fill="E2C4A6"/>
          </w:tcPr>
          <w:p w:rsidR="00D3262D" w:rsidRPr="001D5606" w:rsidRDefault="00D3262D" w:rsidP="00D93142">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b/>
                <w:color w:val="4F81BD" w:themeColor="accent1"/>
              </w:rPr>
              <w:t>-45%</w:t>
            </w:r>
          </w:p>
        </w:tc>
      </w:tr>
      <w:tr w:rsidR="00D3262D" w:rsidRPr="00713957" w:rsidTr="001D5606">
        <w:tc>
          <w:tcPr>
            <w:cnfStyle w:val="001000000000" w:firstRow="0" w:lastRow="0" w:firstColumn="1" w:lastColumn="0" w:oddVBand="0" w:evenVBand="0" w:oddHBand="0" w:evenHBand="0" w:firstRowFirstColumn="0" w:firstRowLastColumn="0" w:lastRowFirstColumn="0" w:lastRowLastColumn="0"/>
            <w:tcW w:w="1035" w:type="pct"/>
          </w:tcPr>
          <w:p w:rsidR="00D3262D" w:rsidRPr="001D5606" w:rsidRDefault="00D3262D" w:rsidP="00D93142">
            <w:pPr>
              <w:rPr>
                <w:rFonts w:asciiTheme="minorHAnsi" w:hAnsiTheme="minorHAnsi" w:cstheme="minorHAnsi"/>
                <w:color w:val="4F81BD" w:themeColor="accent1"/>
              </w:rPr>
            </w:pPr>
            <w:r w:rsidRPr="001D5606">
              <w:rPr>
                <w:rFonts w:asciiTheme="minorHAnsi" w:hAnsiTheme="minorHAnsi" w:cstheme="minorHAnsi"/>
                <w:color w:val="4F81BD" w:themeColor="accent1"/>
              </w:rPr>
              <w:t>Real GDP</w:t>
            </w:r>
          </w:p>
        </w:tc>
        <w:tc>
          <w:tcPr>
            <w:tcW w:w="493"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-0.29</w:t>
            </w:r>
          </w:p>
        </w:tc>
        <w:tc>
          <w:tcPr>
            <w:tcW w:w="493"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-0.58</w:t>
            </w:r>
          </w:p>
        </w:tc>
        <w:tc>
          <w:tcPr>
            <w:tcW w:w="493"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-0.78</w:t>
            </w:r>
          </w:p>
        </w:tc>
        <w:tc>
          <w:tcPr>
            <w:tcW w:w="512"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-1.00</w:t>
            </w:r>
          </w:p>
        </w:tc>
        <w:tc>
          <w:tcPr>
            <w:tcW w:w="477"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-0.20</w:t>
            </w:r>
          </w:p>
        </w:tc>
        <w:tc>
          <w:tcPr>
            <w:tcW w:w="493"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-0.39</w:t>
            </w:r>
          </w:p>
        </w:tc>
        <w:tc>
          <w:tcPr>
            <w:tcW w:w="493"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-0.53</w:t>
            </w:r>
          </w:p>
        </w:tc>
        <w:tc>
          <w:tcPr>
            <w:tcW w:w="511" w:type="pct"/>
          </w:tcPr>
          <w:p w:rsidR="00D3262D" w:rsidRPr="001D5606" w:rsidRDefault="00D3262D"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-0.68</w:t>
            </w:r>
          </w:p>
        </w:tc>
      </w:tr>
      <w:tr w:rsidR="00D3262D" w:rsidRPr="00713957" w:rsidTr="001D5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none" w:sz="0" w:space="0" w:color="auto"/>
              <w:left w:val="none" w:sz="0" w:space="0" w:color="auto"/>
              <w:bottom w:val="none" w:sz="0" w:space="0" w:color="auto"/>
            </w:tcBorders>
          </w:tcPr>
          <w:p w:rsidR="00D3262D" w:rsidRPr="001D5606" w:rsidRDefault="00D3262D" w:rsidP="00D93142">
            <w:pPr>
              <w:rPr>
                <w:rFonts w:asciiTheme="minorHAnsi" w:hAnsiTheme="minorHAnsi" w:cstheme="minorHAnsi"/>
                <w:color w:val="4F81BD" w:themeColor="accent1"/>
                <w:vertAlign w:val="superscript"/>
              </w:rPr>
            </w:pPr>
            <w:r w:rsidRPr="001D5606">
              <w:rPr>
                <w:rFonts w:asciiTheme="minorHAnsi" w:hAnsiTheme="minorHAnsi" w:cstheme="minorHAnsi"/>
                <w:color w:val="4F81BD" w:themeColor="accent1"/>
              </w:rPr>
              <w:t>Real GNI</w:t>
            </w:r>
            <w:r w:rsidRPr="001D5606">
              <w:rPr>
                <w:rFonts w:asciiTheme="minorHAnsi" w:hAnsiTheme="minorHAnsi" w:cstheme="minorHAnsi"/>
                <w:color w:val="4F81BD" w:themeColor="accent1"/>
                <w:vertAlign w:val="superscript"/>
              </w:rPr>
              <w:t>1</w:t>
            </w:r>
          </w:p>
        </w:tc>
        <w:tc>
          <w:tcPr>
            <w:tcW w:w="493" w:type="pct"/>
            <w:tcBorders>
              <w:top w:val="none" w:sz="0" w:space="0" w:color="auto"/>
              <w:bottom w:val="none" w:sz="0" w:space="0" w:color="auto"/>
            </w:tcBorders>
          </w:tcPr>
          <w:p w:rsidR="00D3262D" w:rsidRPr="001D5606" w:rsidRDefault="00D3262D"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-0.27</w:t>
            </w:r>
          </w:p>
        </w:tc>
        <w:tc>
          <w:tcPr>
            <w:tcW w:w="493" w:type="pct"/>
            <w:tcBorders>
              <w:top w:val="none" w:sz="0" w:space="0" w:color="auto"/>
              <w:bottom w:val="none" w:sz="0" w:space="0" w:color="auto"/>
            </w:tcBorders>
          </w:tcPr>
          <w:p w:rsidR="00D3262D" w:rsidRPr="001D5606" w:rsidRDefault="00D3262D"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-0.56</w:t>
            </w:r>
          </w:p>
        </w:tc>
        <w:tc>
          <w:tcPr>
            <w:tcW w:w="493" w:type="pct"/>
            <w:tcBorders>
              <w:top w:val="none" w:sz="0" w:space="0" w:color="auto"/>
              <w:bottom w:val="none" w:sz="0" w:space="0" w:color="auto"/>
            </w:tcBorders>
          </w:tcPr>
          <w:p w:rsidR="00D3262D" w:rsidRPr="001D5606" w:rsidRDefault="00D3262D"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-0.76</w:t>
            </w:r>
          </w:p>
        </w:tc>
        <w:tc>
          <w:tcPr>
            <w:tcW w:w="512" w:type="pct"/>
            <w:tcBorders>
              <w:top w:val="none" w:sz="0" w:space="0" w:color="auto"/>
              <w:bottom w:val="none" w:sz="0" w:space="0" w:color="auto"/>
            </w:tcBorders>
          </w:tcPr>
          <w:p w:rsidR="00D3262D" w:rsidRPr="001D5606" w:rsidRDefault="00D3262D"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-0.98</w:t>
            </w:r>
          </w:p>
        </w:tc>
        <w:tc>
          <w:tcPr>
            <w:tcW w:w="477" w:type="pct"/>
            <w:tcBorders>
              <w:top w:val="none" w:sz="0" w:space="0" w:color="auto"/>
              <w:bottom w:val="none" w:sz="0" w:space="0" w:color="auto"/>
            </w:tcBorders>
          </w:tcPr>
          <w:p w:rsidR="00D3262D" w:rsidRPr="001D5606" w:rsidRDefault="00D3262D" w:rsidP="002B2FD1">
            <w:pPr>
              <w:tabs>
                <w:tab w:val="left" w:pos="335"/>
                <w:tab w:val="left" w:pos="368"/>
              </w:tabs>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-0.18</w:t>
            </w:r>
          </w:p>
        </w:tc>
        <w:tc>
          <w:tcPr>
            <w:tcW w:w="493" w:type="pct"/>
            <w:tcBorders>
              <w:top w:val="none" w:sz="0" w:space="0" w:color="auto"/>
              <w:bottom w:val="none" w:sz="0" w:space="0" w:color="auto"/>
            </w:tcBorders>
          </w:tcPr>
          <w:p w:rsidR="00D3262D" w:rsidRPr="001D5606" w:rsidRDefault="00D3262D" w:rsidP="002B2FD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-0.3</w:t>
            </w:r>
            <w:r w:rsidR="002B2FD1">
              <w:rPr>
                <w:rFonts w:asciiTheme="minorHAnsi" w:hAnsiTheme="minorHAnsi" w:cstheme="minorHAnsi"/>
                <w:color w:val="4F81BD" w:themeColor="accent1"/>
              </w:rPr>
              <w:t>8</w:t>
            </w:r>
          </w:p>
        </w:tc>
        <w:tc>
          <w:tcPr>
            <w:tcW w:w="493" w:type="pct"/>
            <w:tcBorders>
              <w:top w:val="none" w:sz="0" w:space="0" w:color="auto"/>
              <w:bottom w:val="none" w:sz="0" w:space="0" w:color="auto"/>
            </w:tcBorders>
          </w:tcPr>
          <w:p w:rsidR="00D3262D" w:rsidRPr="001D5606" w:rsidRDefault="00D3262D" w:rsidP="002B2FD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-0.52</w:t>
            </w:r>
          </w:p>
        </w:tc>
        <w:tc>
          <w:tcPr>
            <w:tcW w:w="511" w:type="pct"/>
            <w:tcBorders>
              <w:top w:val="none" w:sz="0" w:space="0" w:color="auto"/>
              <w:bottom w:val="none" w:sz="0" w:space="0" w:color="auto"/>
              <w:right w:val="none" w:sz="0" w:space="0" w:color="auto"/>
            </w:tcBorders>
          </w:tcPr>
          <w:p w:rsidR="00D3262D" w:rsidRPr="001D5606" w:rsidRDefault="00D3262D"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1D5606">
              <w:rPr>
                <w:rFonts w:asciiTheme="minorHAnsi" w:hAnsiTheme="minorHAnsi" w:cstheme="minorHAnsi"/>
                <w:color w:val="4F81BD" w:themeColor="accent1"/>
              </w:rPr>
              <w:t>-0.67</w:t>
            </w:r>
          </w:p>
        </w:tc>
      </w:tr>
    </w:tbl>
    <w:p w:rsidR="00D3262D" w:rsidRPr="001D5606" w:rsidRDefault="00D3262D" w:rsidP="00D3262D">
      <w:pPr>
        <w:spacing w:after="240"/>
        <w:rPr>
          <w:rFonts w:asciiTheme="minorHAnsi" w:hAnsiTheme="minorHAnsi" w:cstheme="minorHAnsi"/>
          <w:b/>
          <w:color w:val="4F81BD" w:themeColor="accent1"/>
          <w:sz w:val="16"/>
        </w:rPr>
      </w:pPr>
      <w:r w:rsidRPr="001D5606">
        <w:rPr>
          <w:rFonts w:asciiTheme="minorHAnsi" w:hAnsiTheme="minorHAnsi" w:cstheme="minorHAnsi"/>
          <w:b/>
          <w:color w:val="4F81BD" w:themeColor="accent1"/>
          <w:sz w:val="16"/>
        </w:rPr>
        <w:t>1. Gross national income</w:t>
      </w:r>
    </w:p>
    <w:p w:rsidR="00D3262D" w:rsidRPr="00C26F5D" w:rsidRDefault="00D3262D" w:rsidP="00D3262D">
      <w:pPr>
        <w:pStyle w:val="NormalWeb"/>
        <w:spacing w:before="0" w:beforeAutospacing="0"/>
        <w:rPr>
          <w:rFonts w:asciiTheme="minorHAnsi" w:hAnsiTheme="minorHAnsi"/>
        </w:rPr>
      </w:pPr>
      <w:r w:rsidRPr="00C26F5D">
        <w:rPr>
          <w:rFonts w:asciiTheme="minorHAnsi" w:hAnsiTheme="minorHAnsi"/>
        </w:rPr>
        <w:t>The emissions target</w:t>
      </w:r>
      <w:r w:rsidR="00385ABD">
        <w:rPr>
          <w:rFonts w:asciiTheme="minorHAnsi" w:hAnsiTheme="minorHAnsi"/>
        </w:rPr>
        <w:t>s</w:t>
      </w:r>
      <w:r w:rsidRPr="00C26F5D">
        <w:rPr>
          <w:rFonts w:asciiTheme="minorHAnsi" w:hAnsiTheme="minorHAnsi"/>
        </w:rPr>
        <w:t xml:space="preserve"> </w:t>
      </w:r>
      <w:r w:rsidR="00385ABD">
        <w:rPr>
          <w:rFonts w:asciiTheme="minorHAnsi" w:hAnsiTheme="minorHAnsi"/>
        </w:rPr>
        <w:t xml:space="preserve">are </w:t>
      </w:r>
      <w:r w:rsidRPr="00C26F5D">
        <w:rPr>
          <w:rFonts w:asciiTheme="minorHAnsi" w:hAnsiTheme="minorHAnsi"/>
        </w:rPr>
        <w:t xml:space="preserve">achieved by replacing existing capital in the electricity generation sector by lower emission or non-fossil fuel technologies. </w:t>
      </w:r>
      <w:r w:rsidR="006B47B1">
        <w:rPr>
          <w:rFonts w:asciiTheme="minorHAnsi" w:hAnsiTheme="minorHAnsi"/>
        </w:rPr>
        <w:t xml:space="preserve">As these technologies are more expensive, the price of electricity rises. This </w:t>
      </w:r>
      <w:r w:rsidRPr="00C26F5D">
        <w:rPr>
          <w:rFonts w:asciiTheme="minorHAnsi" w:hAnsiTheme="minorHAnsi"/>
        </w:rPr>
        <w:t xml:space="preserve">reduces </w:t>
      </w:r>
      <w:r w:rsidR="006B47B1">
        <w:rPr>
          <w:rFonts w:asciiTheme="minorHAnsi" w:hAnsiTheme="minorHAnsi"/>
        </w:rPr>
        <w:t xml:space="preserve">demand for </w:t>
      </w:r>
      <w:r w:rsidRPr="00C26F5D">
        <w:rPr>
          <w:rFonts w:asciiTheme="minorHAnsi" w:hAnsiTheme="minorHAnsi"/>
        </w:rPr>
        <w:t>electricity and for fossil fuels in generating electricity</w:t>
      </w:r>
      <w:r w:rsidR="006B47B1">
        <w:rPr>
          <w:rFonts w:asciiTheme="minorHAnsi" w:hAnsiTheme="minorHAnsi"/>
        </w:rPr>
        <w:t xml:space="preserve">, and increases </w:t>
      </w:r>
      <w:r w:rsidRPr="00C26F5D">
        <w:rPr>
          <w:rFonts w:asciiTheme="minorHAnsi" w:hAnsiTheme="minorHAnsi"/>
        </w:rPr>
        <w:t xml:space="preserve">energy </w:t>
      </w:r>
      <w:r w:rsidR="006B47B1">
        <w:rPr>
          <w:rFonts w:asciiTheme="minorHAnsi" w:hAnsiTheme="minorHAnsi"/>
        </w:rPr>
        <w:t xml:space="preserve">costs </w:t>
      </w:r>
      <w:r w:rsidRPr="00C26F5D">
        <w:rPr>
          <w:rFonts w:asciiTheme="minorHAnsi" w:hAnsiTheme="minorHAnsi"/>
        </w:rPr>
        <w:t>for the entire economy</w:t>
      </w:r>
      <w:r w:rsidR="006B47B1">
        <w:rPr>
          <w:rFonts w:asciiTheme="minorHAnsi" w:hAnsiTheme="minorHAnsi"/>
        </w:rPr>
        <w:t xml:space="preserve">. </w:t>
      </w:r>
      <w:r w:rsidR="006B47B1" w:rsidRPr="00C26F5D">
        <w:rPr>
          <w:rFonts w:asciiTheme="minorHAnsi" w:hAnsiTheme="minorHAnsi"/>
        </w:rPr>
        <w:t xml:space="preserve">The inputs used to produce these technologies are mostly purchased from the durable goods sector. </w:t>
      </w:r>
      <w:r w:rsidR="00E050D7">
        <w:rPr>
          <w:rFonts w:asciiTheme="minorHAnsi" w:hAnsiTheme="minorHAnsi"/>
        </w:rPr>
        <w:t>Producing these new technologies increases durable goods demand from the electricity sector, although this growth does not fully offset the effects of higher energy costs</w:t>
      </w:r>
      <w:r w:rsidR="001F4469">
        <w:rPr>
          <w:rFonts w:asciiTheme="minorHAnsi" w:hAnsiTheme="minorHAnsi"/>
        </w:rPr>
        <w:t>.</w:t>
      </w:r>
      <w:r w:rsidR="00E050D7" w:rsidRPr="00C26F5D">
        <w:rPr>
          <w:rFonts w:asciiTheme="minorHAnsi" w:hAnsiTheme="minorHAnsi"/>
        </w:rPr>
        <w:t xml:space="preserve"> </w:t>
      </w:r>
    </w:p>
    <w:p w:rsidR="00D3262D" w:rsidRPr="00C26F5D" w:rsidRDefault="00F62146" w:rsidP="008D6E55">
      <w:pPr>
        <w:pStyle w:val="NormalWeb"/>
        <w:spacing w:before="0" w:beforeAutospacing="0"/>
        <w:rPr>
          <w:rFonts w:asciiTheme="minorHAnsi" w:hAnsiTheme="minorHAnsi"/>
        </w:rPr>
      </w:pPr>
      <w:r w:rsidRPr="001F4469">
        <w:rPr>
          <w:rFonts w:asciiTheme="minorHAnsi" w:hAnsiTheme="minorHAnsi"/>
        </w:rPr>
        <w:t>The investment in the electricity sector that is required to meet the emissions target is partly funded through lower private consumption before 2030.  Real income and GDP both grow more slowly as a result of higher energy prices</w:t>
      </w:r>
      <w:r w:rsidR="00014AE7" w:rsidRPr="001F4469">
        <w:rPr>
          <w:rStyle w:val="FootnoteReference"/>
          <w:rFonts w:asciiTheme="minorHAnsi" w:hAnsiTheme="minorHAnsi"/>
        </w:rPr>
        <w:footnoteReference w:id="3"/>
      </w:r>
      <w:r w:rsidR="00D3262D" w:rsidRPr="00C26F5D">
        <w:rPr>
          <w:rFonts w:asciiTheme="minorHAnsi" w:hAnsiTheme="minorHAnsi"/>
        </w:rPr>
        <w:t xml:space="preserve"> </w:t>
      </w:r>
      <w:r w:rsidRPr="001F4469">
        <w:rPr>
          <w:rFonts w:asciiTheme="minorHAnsi" w:hAnsiTheme="minorHAnsi"/>
        </w:rPr>
        <w:t xml:space="preserve">and business input costs. </w:t>
      </w:r>
      <w:r w:rsidR="00FB38F5">
        <w:rPr>
          <w:rFonts w:asciiTheme="minorHAnsi" w:hAnsiTheme="minorHAnsi"/>
        </w:rPr>
        <w:t>T</w:t>
      </w:r>
      <w:r w:rsidR="00D3262D" w:rsidRPr="00C26F5D">
        <w:rPr>
          <w:rFonts w:asciiTheme="minorHAnsi" w:hAnsiTheme="minorHAnsi"/>
        </w:rPr>
        <w:t xml:space="preserve">he fall in GDP from higher input costs is consistent with the mix of lower </w:t>
      </w:r>
      <w:r w:rsidR="00D3262D" w:rsidRPr="00C26F5D">
        <w:rPr>
          <w:rFonts w:asciiTheme="minorHAnsi" w:hAnsiTheme="minorHAnsi"/>
        </w:rPr>
        <w:lastRenderedPageBreak/>
        <w:t>consumption and higher investment in the Australian economy.</w:t>
      </w:r>
      <w:r w:rsidR="00597B83">
        <w:rPr>
          <w:rFonts w:asciiTheme="minorHAnsi" w:hAnsiTheme="minorHAnsi"/>
        </w:rPr>
        <w:t xml:space="preserve"> This is illustrated in Figure </w:t>
      </w:r>
      <w:r w:rsidR="00DF1E22">
        <w:rPr>
          <w:rFonts w:asciiTheme="minorHAnsi" w:hAnsiTheme="minorHAnsi"/>
        </w:rPr>
        <w:t>6</w:t>
      </w:r>
      <w:r w:rsidR="00597B83">
        <w:rPr>
          <w:rFonts w:asciiTheme="minorHAnsi" w:hAnsiTheme="minorHAnsi"/>
        </w:rPr>
        <w:t xml:space="preserve"> for the -26 per cent target. Full results for the core </w:t>
      </w:r>
      <w:r w:rsidR="00361581">
        <w:rPr>
          <w:rFonts w:asciiTheme="minorHAnsi" w:hAnsiTheme="minorHAnsi"/>
        </w:rPr>
        <w:t xml:space="preserve">target </w:t>
      </w:r>
      <w:r w:rsidR="00597B83">
        <w:rPr>
          <w:rFonts w:asciiTheme="minorHAnsi" w:hAnsiTheme="minorHAnsi"/>
        </w:rPr>
        <w:t xml:space="preserve">scenarios are reported in Appendix </w:t>
      </w:r>
      <w:r w:rsidR="0061775F">
        <w:rPr>
          <w:rFonts w:asciiTheme="minorHAnsi" w:hAnsiTheme="minorHAnsi"/>
        </w:rPr>
        <w:t>C</w:t>
      </w:r>
      <w:r w:rsidR="00597B83">
        <w:rPr>
          <w:rFonts w:asciiTheme="minorHAnsi" w:hAnsiTheme="minorHAnsi"/>
        </w:rPr>
        <w:t>.</w:t>
      </w:r>
    </w:p>
    <w:p w:rsidR="00597B83" w:rsidRPr="001D5606" w:rsidRDefault="00597B83" w:rsidP="00B610DA">
      <w:pPr>
        <w:keepNext/>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DF1E22" w:rsidRPr="001D5606">
        <w:rPr>
          <w:rFonts w:asciiTheme="minorHAnsi" w:hAnsiTheme="minorHAnsi" w:cstheme="minorHAnsi"/>
          <w:b/>
          <w:color w:val="4F81BD" w:themeColor="accent1"/>
        </w:rPr>
        <w:t>6</w:t>
      </w:r>
      <w:r w:rsidRPr="001D5606">
        <w:rPr>
          <w:rFonts w:asciiTheme="minorHAnsi" w:hAnsiTheme="minorHAnsi" w:cstheme="minorHAnsi"/>
          <w:b/>
          <w:color w:val="4F81BD" w:themeColor="accent1"/>
        </w:rPr>
        <w:t xml:space="preserve">: </w:t>
      </w:r>
      <w:r w:rsidRPr="001D5606">
        <w:rPr>
          <w:rFonts w:asciiTheme="minorHAnsi" w:hAnsiTheme="minorHAnsi" w:cstheme="minorHAnsi"/>
          <w:color w:val="4F81BD" w:themeColor="accent1"/>
        </w:rPr>
        <w:t>Macroeconomic impact of -26 per cent target, 2030 (</w:t>
      </w:r>
      <w:r w:rsidR="00FC1AE7" w:rsidRPr="001D5606">
        <w:rPr>
          <w:rFonts w:asciiTheme="minorHAnsi" w:hAnsiTheme="minorHAnsi" w:cstheme="minorHAnsi"/>
          <w:color w:val="4F81BD" w:themeColor="accent1"/>
        </w:rPr>
        <w:t>percentage</w:t>
      </w:r>
      <w:r w:rsidRPr="001D5606">
        <w:rPr>
          <w:rFonts w:asciiTheme="minorHAnsi" w:hAnsiTheme="minorHAnsi" w:cstheme="minorHAnsi"/>
          <w:color w:val="4F81BD" w:themeColor="accent1"/>
        </w:rPr>
        <w:t xml:space="preserve"> deviation</w:t>
      </w:r>
      <w:r w:rsidR="00957940">
        <w:rPr>
          <w:rFonts w:asciiTheme="minorHAnsi" w:hAnsiTheme="minorHAnsi" w:cstheme="minorHAnsi"/>
          <w:color w:val="4F81BD" w:themeColor="accent1"/>
        </w:rPr>
        <w:t xml:space="preserve"> from Paris scenario</w:t>
      </w:r>
      <w:r w:rsidRPr="001D5606">
        <w:rPr>
          <w:rFonts w:asciiTheme="minorHAnsi" w:hAnsiTheme="minorHAnsi" w:cstheme="minorHAnsi"/>
          <w:color w:val="4F81BD" w:themeColor="accent1"/>
        </w:rPr>
        <w:t>)</w:t>
      </w:r>
    </w:p>
    <w:p w:rsidR="000A4352" w:rsidRDefault="00513E34">
      <w:pPr>
        <w:rPr>
          <w:rFonts w:asciiTheme="minorHAnsi" w:hAnsiTheme="minorHAnsi" w:cstheme="minorHAnsi"/>
        </w:rPr>
      </w:pPr>
      <w:r w:rsidRPr="00513E34">
        <w:rPr>
          <w:noProof/>
          <w:lang w:eastAsia="en-AU"/>
        </w:rPr>
        <w:drawing>
          <wp:inline distT="0" distB="0" distL="0" distR="0" wp14:anchorId="45D3EF87" wp14:editId="6E98FB10">
            <wp:extent cx="4466667" cy="2771429"/>
            <wp:effectExtent l="0" t="0" r="0" b="0"/>
            <wp:docPr id="646" name="Picture 646" descr="Macroeconomic impacts of a -26 per cent target on Australia, percentage deviation from Paris scenario in 2030: real GDP (-0.6%), consumption (-0.8%), investment (-1.4%), trade balance (-0.0%).&#10;" title="Figure 6: Macroeconomic impact of -26 per cent target,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66667" cy="2771429"/>
                    </a:xfrm>
                    <a:prstGeom prst="rect">
                      <a:avLst/>
                    </a:prstGeom>
                  </pic:spPr>
                </pic:pic>
              </a:graphicData>
            </a:graphic>
          </wp:inline>
        </w:drawing>
      </w:r>
    </w:p>
    <w:p w:rsidR="0067014B" w:rsidRDefault="0067014B" w:rsidP="00137AAE">
      <w:pPr>
        <w:pStyle w:val="ListParagraph"/>
        <w:ind w:left="0"/>
        <w:rPr>
          <w:rFonts w:asciiTheme="minorHAnsi" w:hAnsiTheme="minorHAnsi" w:cstheme="minorHAnsi"/>
        </w:rPr>
      </w:pPr>
    </w:p>
    <w:p w:rsidR="00313647" w:rsidRPr="001D5606" w:rsidRDefault="00E639EA" w:rsidP="001D5606">
      <w:pPr>
        <w:pStyle w:val="ListParagraph"/>
        <w:keepNext/>
        <w:spacing w:after="120"/>
        <w:ind w:left="0"/>
        <w:contextualSpacing w:val="0"/>
        <w:rPr>
          <w:rFonts w:asciiTheme="minorHAnsi" w:hAnsiTheme="minorHAnsi" w:cstheme="minorHAnsi"/>
          <w:b/>
          <w:color w:val="996633"/>
        </w:rPr>
      </w:pPr>
      <w:r w:rsidRPr="001D5606">
        <w:rPr>
          <w:rFonts w:asciiTheme="minorHAnsi" w:hAnsiTheme="minorHAnsi" w:cstheme="minorHAnsi"/>
          <w:b/>
          <w:color w:val="996633"/>
        </w:rPr>
        <w:t>Compari</w:t>
      </w:r>
      <w:r w:rsidR="00FB38F5" w:rsidRPr="001D5606">
        <w:rPr>
          <w:rFonts w:asciiTheme="minorHAnsi" w:hAnsiTheme="minorHAnsi" w:cstheme="minorHAnsi"/>
          <w:b/>
          <w:color w:val="996633"/>
        </w:rPr>
        <w:t>son</w:t>
      </w:r>
      <w:r w:rsidRPr="001D5606">
        <w:rPr>
          <w:rFonts w:asciiTheme="minorHAnsi" w:hAnsiTheme="minorHAnsi" w:cstheme="minorHAnsi"/>
          <w:b/>
          <w:color w:val="996633"/>
        </w:rPr>
        <w:t xml:space="preserve"> with impacts </w:t>
      </w:r>
      <w:r w:rsidR="00D44EAD" w:rsidRPr="001D5606">
        <w:rPr>
          <w:rFonts w:asciiTheme="minorHAnsi" w:hAnsiTheme="minorHAnsi" w:cstheme="minorHAnsi"/>
          <w:b/>
          <w:color w:val="996633"/>
        </w:rPr>
        <w:t xml:space="preserve">on </w:t>
      </w:r>
      <w:r w:rsidRPr="001D5606">
        <w:rPr>
          <w:rFonts w:asciiTheme="minorHAnsi" w:hAnsiTheme="minorHAnsi" w:cstheme="minorHAnsi"/>
          <w:b/>
          <w:color w:val="996633"/>
        </w:rPr>
        <w:t xml:space="preserve">other countries </w:t>
      </w:r>
      <w:r w:rsidR="00D44EAD" w:rsidRPr="001D5606">
        <w:rPr>
          <w:rFonts w:asciiTheme="minorHAnsi" w:hAnsiTheme="minorHAnsi" w:cstheme="minorHAnsi"/>
          <w:b/>
          <w:color w:val="996633"/>
        </w:rPr>
        <w:t xml:space="preserve">of </w:t>
      </w:r>
      <w:r w:rsidRPr="001D5606">
        <w:rPr>
          <w:rFonts w:asciiTheme="minorHAnsi" w:hAnsiTheme="minorHAnsi" w:cstheme="minorHAnsi"/>
          <w:b/>
          <w:color w:val="996633"/>
        </w:rPr>
        <w:t xml:space="preserve">their </w:t>
      </w:r>
      <w:r w:rsidR="00D44EAD" w:rsidRPr="001D5606">
        <w:rPr>
          <w:rFonts w:asciiTheme="minorHAnsi" w:hAnsiTheme="minorHAnsi" w:cstheme="minorHAnsi"/>
          <w:b/>
          <w:color w:val="996633"/>
        </w:rPr>
        <w:t xml:space="preserve">own </w:t>
      </w:r>
      <w:r w:rsidR="00313647" w:rsidRPr="001D5606">
        <w:rPr>
          <w:rFonts w:asciiTheme="minorHAnsi" w:hAnsiTheme="minorHAnsi" w:cstheme="minorHAnsi"/>
          <w:b/>
          <w:color w:val="996633"/>
        </w:rPr>
        <w:t>target</w:t>
      </w:r>
      <w:r w:rsidRPr="001D5606">
        <w:rPr>
          <w:rFonts w:asciiTheme="minorHAnsi" w:hAnsiTheme="minorHAnsi" w:cstheme="minorHAnsi"/>
          <w:b/>
          <w:color w:val="996633"/>
        </w:rPr>
        <w:t>s</w:t>
      </w:r>
    </w:p>
    <w:p w:rsidR="006F081A" w:rsidRPr="00C26F5D" w:rsidRDefault="006F081A" w:rsidP="00B610DA">
      <w:pPr>
        <w:pStyle w:val="NormalWeb"/>
        <w:spacing w:before="0" w:beforeAutospacing="0"/>
        <w:rPr>
          <w:rFonts w:asciiTheme="minorHAnsi" w:hAnsiTheme="minorHAnsi"/>
        </w:rPr>
      </w:pPr>
      <w:r w:rsidRPr="00C26F5D">
        <w:rPr>
          <w:rFonts w:asciiTheme="minorHAnsi" w:hAnsiTheme="minorHAnsi"/>
        </w:rPr>
        <w:t>Th</w:t>
      </w:r>
      <w:r w:rsidR="00161EE0">
        <w:rPr>
          <w:rFonts w:asciiTheme="minorHAnsi" w:hAnsiTheme="minorHAnsi"/>
        </w:rPr>
        <w:t>e</w:t>
      </w:r>
      <w:r w:rsidRPr="00C26F5D">
        <w:rPr>
          <w:rFonts w:asciiTheme="minorHAnsi" w:hAnsiTheme="minorHAnsi"/>
        </w:rPr>
        <w:t xml:space="preserve"> modelling</w:t>
      </w:r>
      <w:r w:rsidR="00E639EA" w:rsidRPr="00C26F5D">
        <w:rPr>
          <w:rFonts w:asciiTheme="minorHAnsi" w:hAnsiTheme="minorHAnsi"/>
        </w:rPr>
        <w:t xml:space="preserve">, together with </w:t>
      </w:r>
      <w:r w:rsidR="00460182">
        <w:rPr>
          <w:rFonts w:asciiTheme="minorHAnsi" w:hAnsiTheme="minorHAnsi"/>
        </w:rPr>
        <w:t>Report 1</w:t>
      </w:r>
      <w:r w:rsidR="00E639EA" w:rsidRPr="00C26F5D">
        <w:rPr>
          <w:rFonts w:asciiTheme="minorHAnsi" w:hAnsiTheme="minorHAnsi"/>
        </w:rPr>
        <w:t>,</w:t>
      </w:r>
      <w:r w:rsidRPr="00C26F5D">
        <w:rPr>
          <w:rFonts w:asciiTheme="minorHAnsi" w:hAnsiTheme="minorHAnsi"/>
        </w:rPr>
        <w:t xml:space="preserve"> finds that Australia and Canada face larger economic impacts than other developed economies, including the US and EU, in achieving similar emissions reductions relative to a historical baseline. </w:t>
      </w:r>
    </w:p>
    <w:p w:rsidR="00CB7856" w:rsidRPr="00C26F5D" w:rsidRDefault="00460182" w:rsidP="00B610DA">
      <w:pPr>
        <w:pStyle w:val="NormalWeb"/>
        <w:spacing w:before="0" w:beforeAutospacing="0"/>
        <w:rPr>
          <w:rFonts w:asciiTheme="minorHAnsi" w:hAnsiTheme="minorHAnsi"/>
        </w:rPr>
      </w:pPr>
      <w:r>
        <w:rPr>
          <w:rFonts w:asciiTheme="minorHAnsi" w:hAnsiTheme="minorHAnsi"/>
        </w:rPr>
        <w:t>Report 1</w:t>
      </w:r>
      <w:r w:rsidR="003349DF" w:rsidRPr="00C26F5D">
        <w:rPr>
          <w:rFonts w:asciiTheme="minorHAnsi" w:hAnsiTheme="minorHAnsi"/>
        </w:rPr>
        <w:t>, which examines the impacts other countries</w:t>
      </w:r>
      <w:r w:rsidR="00B52B0D" w:rsidRPr="00C26F5D">
        <w:rPr>
          <w:rFonts w:asciiTheme="minorHAnsi" w:hAnsiTheme="minorHAnsi"/>
        </w:rPr>
        <w:t xml:space="preserve"> experience from their post-2020</w:t>
      </w:r>
      <w:r w:rsidR="003349DF" w:rsidRPr="00C26F5D">
        <w:rPr>
          <w:rFonts w:asciiTheme="minorHAnsi" w:hAnsiTheme="minorHAnsi"/>
        </w:rPr>
        <w:t xml:space="preserve"> targets, </w:t>
      </w:r>
      <w:r w:rsidR="00B52B0D" w:rsidRPr="00C26F5D">
        <w:rPr>
          <w:rFonts w:asciiTheme="minorHAnsi" w:hAnsiTheme="minorHAnsi"/>
        </w:rPr>
        <w:t>assumed a Canadian target in 2030 of 22</w:t>
      </w:r>
      <w:r w:rsidR="006F081A" w:rsidRPr="00C26F5D">
        <w:rPr>
          <w:rFonts w:asciiTheme="minorHAnsi" w:hAnsiTheme="minorHAnsi"/>
        </w:rPr>
        <w:t> </w:t>
      </w:r>
      <w:r w:rsidR="00B52B0D" w:rsidRPr="00C26F5D">
        <w:rPr>
          <w:rFonts w:asciiTheme="minorHAnsi" w:hAnsiTheme="minorHAnsi"/>
        </w:rPr>
        <w:t>per cent below 2005</w:t>
      </w:r>
      <w:r w:rsidR="00525189" w:rsidRPr="00C26F5D">
        <w:rPr>
          <w:rFonts w:asciiTheme="minorHAnsi" w:hAnsiTheme="minorHAnsi"/>
        </w:rPr>
        <w:t xml:space="preserve"> levels</w:t>
      </w:r>
      <w:r w:rsidR="00B52B0D" w:rsidRPr="00C26F5D">
        <w:rPr>
          <w:rFonts w:asciiTheme="minorHAnsi" w:hAnsiTheme="minorHAnsi"/>
        </w:rPr>
        <w:t xml:space="preserve">. It </w:t>
      </w:r>
      <w:r w:rsidR="003349DF" w:rsidRPr="00C26F5D">
        <w:rPr>
          <w:rFonts w:asciiTheme="minorHAnsi" w:hAnsiTheme="minorHAnsi"/>
        </w:rPr>
        <w:t>estimate</w:t>
      </w:r>
      <w:r w:rsidR="00B52B0D" w:rsidRPr="00C26F5D">
        <w:rPr>
          <w:rFonts w:asciiTheme="minorHAnsi" w:hAnsiTheme="minorHAnsi"/>
        </w:rPr>
        <w:t>d</w:t>
      </w:r>
      <w:r w:rsidR="003349DF" w:rsidRPr="00C26F5D">
        <w:rPr>
          <w:rFonts w:asciiTheme="minorHAnsi" w:hAnsiTheme="minorHAnsi"/>
        </w:rPr>
        <w:t xml:space="preserve"> </w:t>
      </w:r>
      <w:r w:rsidR="006F081A" w:rsidRPr="00C26F5D">
        <w:rPr>
          <w:rFonts w:asciiTheme="minorHAnsi" w:hAnsiTheme="minorHAnsi"/>
        </w:rPr>
        <w:t xml:space="preserve">such a target would reduce </w:t>
      </w:r>
      <w:r w:rsidR="003349DF" w:rsidRPr="00C26F5D">
        <w:rPr>
          <w:rFonts w:asciiTheme="minorHAnsi" w:hAnsiTheme="minorHAnsi"/>
        </w:rPr>
        <w:t>Canada</w:t>
      </w:r>
      <w:r w:rsidR="00B52B0D" w:rsidRPr="00C26F5D">
        <w:rPr>
          <w:rFonts w:asciiTheme="minorHAnsi" w:hAnsiTheme="minorHAnsi"/>
        </w:rPr>
        <w:t>’s GDP</w:t>
      </w:r>
      <w:r w:rsidR="003349DF" w:rsidRPr="00C26F5D">
        <w:rPr>
          <w:rFonts w:asciiTheme="minorHAnsi" w:hAnsiTheme="minorHAnsi"/>
        </w:rPr>
        <w:t xml:space="preserve"> </w:t>
      </w:r>
      <w:r w:rsidR="006F081A" w:rsidRPr="00C26F5D">
        <w:rPr>
          <w:rFonts w:asciiTheme="minorHAnsi" w:hAnsiTheme="minorHAnsi"/>
        </w:rPr>
        <w:t xml:space="preserve">by </w:t>
      </w:r>
      <w:r w:rsidR="003349DF" w:rsidRPr="00C26F5D">
        <w:rPr>
          <w:rFonts w:asciiTheme="minorHAnsi" w:hAnsiTheme="minorHAnsi"/>
        </w:rPr>
        <w:t xml:space="preserve">around 0.8 per cent </w:t>
      </w:r>
      <w:r w:rsidR="00CB7856" w:rsidRPr="00C26F5D">
        <w:rPr>
          <w:rFonts w:asciiTheme="minorHAnsi" w:hAnsiTheme="minorHAnsi"/>
        </w:rPr>
        <w:t xml:space="preserve">in </w:t>
      </w:r>
      <w:r w:rsidR="003349DF" w:rsidRPr="00C26F5D">
        <w:rPr>
          <w:rFonts w:asciiTheme="minorHAnsi" w:hAnsiTheme="minorHAnsi"/>
        </w:rPr>
        <w:t>2030</w:t>
      </w:r>
      <w:r w:rsidR="00B549CB" w:rsidRPr="00C26F5D">
        <w:rPr>
          <w:rFonts w:asciiTheme="minorHAnsi" w:hAnsiTheme="minorHAnsi"/>
        </w:rPr>
        <w:t xml:space="preserve"> (Table 2)</w:t>
      </w:r>
      <w:r w:rsidR="003349DF" w:rsidRPr="00C26F5D">
        <w:rPr>
          <w:rFonts w:asciiTheme="minorHAnsi" w:hAnsiTheme="minorHAnsi"/>
        </w:rPr>
        <w:t xml:space="preserve">. </w:t>
      </w:r>
      <w:r w:rsidR="006F081A" w:rsidRPr="00C26F5D">
        <w:rPr>
          <w:rFonts w:asciiTheme="minorHAnsi" w:hAnsiTheme="minorHAnsi"/>
        </w:rPr>
        <w:t xml:space="preserve">Canada has since announced a </w:t>
      </w:r>
      <w:r w:rsidR="00FB38F5">
        <w:rPr>
          <w:rFonts w:asciiTheme="minorHAnsi" w:hAnsiTheme="minorHAnsi"/>
        </w:rPr>
        <w:t xml:space="preserve">target of </w:t>
      </w:r>
      <w:r w:rsidR="00525189" w:rsidRPr="00C26F5D">
        <w:rPr>
          <w:rFonts w:asciiTheme="minorHAnsi" w:hAnsiTheme="minorHAnsi"/>
        </w:rPr>
        <w:t>30 </w:t>
      </w:r>
      <w:r w:rsidR="006F081A" w:rsidRPr="00C26F5D">
        <w:rPr>
          <w:rFonts w:asciiTheme="minorHAnsi" w:hAnsiTheme="minorHAnsi"/>
        </w:rPr>
        <w:t xml:space="preserve">per cent </w:t>
      </w:r>
      <w:r w:rsidR="00FB38F5">
        <w:rPr>
          <w:rFonts w:asciiTheme="minorHAnsi" w:hAnsiTheme="minorHAnsi"/>
        </w:rPr>
        <w:t>below 2005</w:t>
      </w:r>
      <w:r w:rsidR="006F081A" w:rsidRPr="00C26F5D">
        <w:rPr>
          <w:rFonts w:asciiTheme="minorHAnsi" w:hAnsiTheme="minorHAnsi"/>
        </w:rPr>
        <w:t xml:space="preserve">, </w:t>
      </w:r>
      <w:r w:rsidR="00385ABD">
        <w:rPr>
          <w:rFonts w:asciiTheme="minorHAnsi" w:hAnsiTheme="minorHAnsi"/>
        </w:rPr>
        <w:t xml:space="preserve">so </w:t>
      </w:r>
      <w:r w:rsidR="006F081A" w:rsidRPr="00C26F5D">
        <w:rPr>
          <w:rFonts w:asciiTheme="minorHAnsi" w:hAnsiTheme="minorHAnsi"/>
        </w:rPr>
        <w:t xml:space="preserve">the modelled result </w:t>
      </w:r>
      <w:r w:rsidR="00B52B0D" w:rsidRPr="00C26F5D">
        <w:rPr>
          <w:rFonts w:asciiTheme="minorHAnsi" w:hAnsiTheme="minorHAnsi"/>
        </w:rPr>
        <w:t xml:space="preserve">is likely an </w:t>
      </w:r>
      <w:r w:rsidR="006F081A" w:rsidRPr="00C26F5D">
        <w:rPr>
          <w:rFonts w:asciiTheme="minorHAnsi" w:hAnsiTheme="minorHAnsi"/>
        </w:rPr>
        <w:t>underestimat</w:t>
      </w:r>
      <w:r w:rsidR="00E050D7">
        <w:rPr>
          <w:rFonts w:asciiTheme="minorHAnsi" w:hAnsiTheme="minorHAnsi"/>
        </w:rPr>
        <w:t>ion</w:t>
      </w:r>
      <w:r w:rsidR="00B52B0D" w:rsidRPr="00C26F5D">
        <w:rPr>
          <w:rFonts w:asciiTheme="minorHAnsi" w:hAnsiTheme="minorHAnsi"/>
        </w:rPr>
        <w:t>.</w:t>
      </w:r>
    </w:p>
    <w:p w:rsidR="001E043F" w:rsidRPr="00C26F5D" w:rsidRDefault="001E043F" w:rsidP="00B610DA">
      <w:pPr>
        <w:pStyle w:val="NormalWeb"/>
        <w:spacing w:before="0" w:beforeAutospacing="0"/>
        <w:rPr>
          <w:rFonts w:asciiTheme="minorHAnsi" w:hAnsiTheme="minorHAnsi"/>
        </w:rPr>
      </w:pPr>
      <w:r w:rsidRPr="00C26F5D">
        <w:rPr>
          <w:rFonts w:asciiTheme="minorHAnsi" w:hAnsiTheme="minorHAnsi"/>
        </w:rPr>
        <w:t xml:space="preserve">Depending on future technology costs, the </w:t>
      </w:r>
      <w:r w:rsidR="00D44EAD" w:rsidRPr="00C26F5D">
        <w:rPr>
          <w:rFonts w:asciiTheme="minorHAnsi" w:hAnsiTheme="minorHAnsi"/>
        </w:rPr>
        <w:t xml:space="preserve">current </w:t>
      </w:r>
      <w:r w:rsidRPr="00C26F5D">
        <w:rPr>
          <w:rFonts w:asciiTheme="minorHAnsi" w:hAnsiTheme="minorHAnsi"/>
        </w:rPr>
        <w:t xml:space="preserve">modelling estimates that a 2030 target of -26 per cent would reduce Australian GDP by 0.4 to 0.6 per cent, compared against no target. A </w:t>
      </w:r>
      <w:r w:rsidRPr="00C26F5D">
        <w:rPr>
          <w:rFonts w:asciiTheme="minorHAnsi" w:hAnsiTheme="minorHAnsi"/>
        </w:rPr>
        <w:noBreakHyphen/>
        <w:t>35 per cent target would reduce Australian GDP by 0.5 to 0.</w:t>
      </w:r>
      <w:r w:rsidR="0009020F" w:rsidRPr="00C26F5D">
        <w:rPr>
          <w:rFonts w:asciiTheme="minorHAnsi" w:hAnsiTheme="minorHAnsi"/>
        </w:rPr>
        <w:t>8</w:t>
      </w:r>
      <w:r w:rsidR="0009020F">
        <w:rPr>
          <w:rFonts w:asciiTheme="minorHAnsi" w:hAnsiTheme="minorHAnsi"/>
        </w:rPr>
        <w:t> </w:t>
      </w:r>
      <w:r w:rsidRPr="00C26F5D">
        <w:rPr>
          <w:rFonts w:asciiTheme="minorHAnsi" w:hAnsiTheme="minorHAnsi"/>
        </w:rPr>
        <w:t>per cent</w:t>
      </w:r>
      <w:r w:rsidR="00C141C2">
        <w:rPr>
          <w:rFonts w:asciiTheme="minorHAnsi" w:hAnsiTheme="minorHAnsi"/>
        </w:rPr>
        <w:t xml:space="preserve"> </w:t>
      </w:r>
      <w:r w:rsidR="00C141C2" w:rsidRPr="00C26F5D">
        <w:rPr>
          <w:rFonts w:asciiTheme="minorHAnsi" w:hAnsiTheme="minorHAnsi"/>
        </w:rPr>
        <w:t xml:space="preserve">(Figure </w:t>
      </w:r>
      <w:r w:rsidR="00C141C2">
        <w:rPr>
          <w:rFonts w:asciiTheme="minorHAnsi" w:hAnsiTheme="minorHAnsi"/>
        </w:rPr>
        <w:t>5</w:t>
      </w:r>
      <w:r w:rsidR="00C141C2" w:rsidRPr="00C26F5D">
        <w:rPr>
          <w:rFonts w:asciiTheme="minorHAnsi" w:hAnsiTheme="minorHAnsi"/>
        </w:rPr>
        <w:t>)</w:t>
      </w:r>
      <w:r w:rsidRPr="00C26F5D">
        <w:rPr>
          <w:rFonts w:asciiTheme="minorHAnsi" w:hAnsiTheme="minorHAnsi"/>
        </w:rPr>
        <w:t xml:space="preserve">. </w:t>
      </w:r>
    </w:p>
    <w:p w:rsidR="00B52B0D" w:rsidRPr="00C26F5D" w:rsidRDefault="001E043F" w:rsidP="00B610DA">
      <w:pPr>
        <w:pStyle w:val="NormalWeb"/>
        <w:spacing w:before="0" w:beforeAutospacing="0"/>
        <w:rPr>
          <w:rFonts w:asciiTheme="minorHAnsi" w:hAnsiTheme="minorHAnsi"/>
        </w:rPr>
      </w:pPr>
      <w:r w:rsidRPr="00C26F5D">
        <w:rPr>
          <w:rFonts w:asciiTheme="minorHAnsi" w:hAnsiTheme="minorHAnsi"/>
        </w:rPr>
        <w:t>Impacts for Australia</w:t>
      </w:r>
      <w:r w:rsidR="00A30CD6" w:rsidRPr="00C26F5D">
        <w:rPr>
          <w:rFonts w:asciiTheme="minorHAnsi" w:hAnsiTheme="minorHAnsi"/>
        </w:rPr>
        <w:t xml:space="preserve"> </w:t>
      </w:r>
      <w:r w:rsidRPr="00C26F5D">
        <w:rPr>
          <w:rFonts w:asciiTheme="minorHAnsi" w:hAnsiTheme="minorHAnsi"/>
        </w:rPr>
        <w:t xml:space="preserve">are </w:t>
      </w:r>
      <w:r w:rsidR="00A30CD6" w:rsidRPr="00C26F5D">
        <w:rPr>
          <w:rFonts w:asciiTheme="minorHAnsi" w:hAnsiTheme="minorHAnsi"/>
        </w:rPr>
        <w:t>stronger than t</w:t>
      </w:r>
      <w:r w:rsidR="003349DF" w:rsidRPr="00C26F5D">
        <w:rPr>
          <w:rFonts w:asciiTheme="minorHAnsi" w:hAnsiTheme="minorHAnsi"/>
        </w:rPr>
        <w:t xml:space="preserve">he </w:t>
      </w:r>
      <w:r w:rsidRPr="00C26F5D">
        <w:rPr>
          <w:rFonts w:asciiTheme="minorHAnsi" w:hAnsiTheme="minorHAnsi"/>
        </w:rPr>
        <w:t xml:space="preserve">impacts </w:t>
      </w:r>
      <w:r w:rsidR="00FB38F5">
        <w:rPr>
          <w:rFonts w:asciiTheme="minorHAnsi" w:hAnsiTheme="minorHAnsi"/>
        </w:rPr>
        <w:t xml:space="preserve">the </w:t>
      </w:r>
      <w:r w:rsidR="003349DF" w:rsidRPr="00C26F5D">
        <w:rPr>
          <w:rFonts w:asciiTheme="minorHAnsi" w:hAnsiTheme="minorHAnsi"/>
        </w:rPr>
        <w:t>US</w:t>
      </w:r>
      <w:r w:rsidR="00A30CD6" w:rsidRPr="00C26F5D">
        <w:rPr>
          <w:rFonts w:asciiTheme="minorHAnsi" w:hAnsiTheme="minorHAnsi"/>
        </w:rPr>
        <w:t xml:space="preserve">, </w:t>
      </w:r>
      <w:r w:rsidR="00FB38F5">
        <w:rPr>
          <w:rFonts w:asciiTheme="minorHAnsi" w:hAnsiTheme="minorHAnsi"/>
        </w:rPr>
        <w:t xml:space="preserve">the </w:t>
      </w:r>
      <w:r w:rsidR="00A30CD6" w:rsidRPr="00C26F5D">
        <w:rPr>
          <w:rFonts w:asciiTheme="minorHAnsi" w:hAnsiTheme="minorHAnsi"/>
        </w:rPr>
        <w:t>EU</w:t>
      </w:r>
      <w:r w:rsidRPr="00C26F5D">
        <w:rPr>
          <w:rFonts w:asciiTheme="minorHAnsi" w:hAnsiTheme="minorHAnsi"/>
        </w:rPr>
        <w:t xml:space="preserve"> and</w:t>
      </w:r>
      <w:r w:rsidR="003349DF" w:rsidRPr="00C26F5D">
        <w:rPr>
          <w:rFonts w:asciiTheme="minorHAnsi" w:hAnsiTheme="minorHAnsi"/>
        </w:rPr>
        <w:t xml:space="preserve"> Japan </w:t>
      </w:r>
      <w:r w:rsidR="00781E1C" w:rsidRPr="00C26F5D">
        <w:rPr>
          <w:rFonts w:asciiTheme="minorHAnsi" w:hAnsiTheme="minorHAnsi"/>
        </w:rPr>
        <w:t>would experience from their targets</w:t>
      </w:r>
      <w:r w:rsidR="00A30CD6" w:rsidRPr="00C26F5D">
        <w:rPr>
          <w:rFonts w:asciiTheme="minorHAnsi" w:hAnsiTheme="minorHAnsi"/>
        </w:rPr>
        <w:t>.</w:t>
      </w:r>
      <w:r w:rsidR="00781E1C" w:rsidRPr="00C26F5D">
        <w:rPr>
          <w:rFonts w:asciiTheme="minorHAnsi" w:hAnsiTheme="minorHAnsi"/>
        </w:rPr>
        <w:t xml:space="preserve"> The US and Japan</w:t>
      </w:r>
      <w:r w:rsidR="00A30CD6" w:rsidRPr="00C26F5D">
        <w:rPr>
          <w:rFonts w:asciiTheme="minorHAnsi" w:hAnsiTheme="minorHAnsi"/>
        </w:rPr>
        <w:t xml:space="preserve"> </w:t>
      </w:r>
      <w:r w:rsidR="003349DF" w:rsidRPr="00C26F5D">
        <w:rPr>
          <w:rFonts w:asciiTheme="minorHAnsi" w:hAnsiTheme="minorHAnsi"/>
        </w:rPr>
        <w:t xml:space="preserve">are estimated to experience the smallest impacts from their targets, with GDP reduced by 0.1 per cent </w:t>
      </w:r>
      <w:r w:rsidR="00CB7856" w:rsidRPr="00C26F5D">
        <w:rPr>
          <w:rFonts w:asciiTheme="minorHAnsi" w:hAnsiTheme="minorHAnsi"/>
        </w:rPr>
        <w:t>and 0.02 per cent respectively in 2030</w:t>
      </w:r>
      <w:r w:rsidR="003349DF" w:rsidRPr="00C26F5D">
        <w:rPr>
          <w:rFonts w:asciiTheme="minorHAnsi" w:hAnsiTheme="minorHAnsi"/>
        </w:rPr>
        <w:t>. GDP in the European Union is estimated to be reduced by around 0.</w:t>
      </w:r>
      <w:r w:rsidRPr="00C26F5D">
        <w:rPr>
          <w:rFonts w:asciiTheme="minorHAnsi" w:hAnsiTheme="minorHAnsi"/>
        </w:rPr>
        <w:t>2</w:t>
      </w:r>
      <w:r w:rsidR="003349DF" w:rsidRPr="00C26F5D">
        <w:rPr>
          <w:rFonts w:asciiTheme="minorHAnsi" w:hAnsiTheme="minorHAnsi"/>
        </w:rPr>
        <w:t xml:space="preserve"> per cent </w:t>
      </w:r>
      <w:r w:rsidR="00DC7C89" w:rsidRPr="00C26F5D">
        <w:rPr>
          <w:rFonts w:asciiTheme="minorHAnsi" w:hAnsiTheme="minorHAnsi"/>
        </w:rPr>
        <w:t xml:space="preserve">in </w:t>
      </w:r>
      <w:r w:rsidR="003349DF" w:rsidRPr="00C26F5D">
        <w:rPr>
          <w:rFonts w:asciiTheme="minorHAnsi" w:hAnsiTheme="minorHAnsi"/>
        </w:rPr>
        <w:t xml:space="preserve">2030 as a result of </w:t>
      </w:r>
      <w:r w:rsidRPr="00C26F5D">
        <w:rPr>
          <w:rFonts w:asciiTheme="minorHAnsi" w:hAnsiTheme="minorHAnsi"/>
        </w:rPr>
        <w:t xml:space="preserve">its </w:t>
      </w:r>
      <w:r w:rsidR="003349DF" w:rsidRPr="00C26F5D">
        <w:rPr>
          <w:rFonts w:asciiTheme="minorHAnsi" w:hAnsiTheme="minorHAnsi"/>
        </w:rPr>
        <w:t xml:space="preserve">targets. </w:t>
      </w:r>
    </w:p>
    <w:p w:rsidR="001E043F" w:rsidRPr="00C26F5D" w:rsidRDefault="001E043F" w:rsidP="00B610DA">
      <w:pPr>
        <w:pStyle w:val="NormalWeb"/>
        <w:spacing w:before="0" w:beforeAutospacing="0"/>
        <w:rPr>
          <w:rFonts w:asciiTheme="minorHAnsi" w:hAnsiTheme="minorHAnsi"/>
        </w:rPr>
      </w:pPr>
      <w:r w:rsidRPr="00C26F5D">
        <w:rPr>
          <w:rFonts w:asciiTheme="minorHAnsi" w:hAnsiTheme="minorHAnsi"/>
        </w:rPr>
        <w:t xml:space="preserve">The impact on Australia is estimated to be similar to the impact </w:t>
      </w:r>
      <w:r w:rsidR="00385ABD">
        <w:rPr>
          <w:rFonts w:asciiTheme="minorHAnsi" w:hAnsiTheme="minorHAnsi"/>
        </w:rPr>
        <w:t xml:space="preserve">for </w:t>
      </w:r>
      <w:r w:rsidRPr="00C26F5D">
        <w:rPr>
          <w:rFonts w:asciiTheme="minorHAnsi" w:hAnsiTheme="minorHAnsi"/>
        </w:rPr>
        <w:t>China. China’s target is estimated to reduce its GDP in 2030 by 0.</w:t>
      </w:r>
      <w:r w:rsidR="00D11C5F" w:rsidRPr="00C26F5D">
        <w:rPr>
          <w:rFonts w:asciiTheme="minorHAnsi" w:hAnsiTheme="minorHAnsi"/>
        </w:rPr>
        <w:t>45</w:t>
      </w:r>
      <w:r w:rsidRPr="00C26F5D">
        <w:rPr>
          <w:rFonts w:asciiTheme="minorHAnsi" w:hAnsiTheme="minorHAnsi"/>
        </w:rPr>
        <w:t xml:space="preserve"> per cent.</w:t>
      </w:r>
    </w:p>
    <w:p w:rsidR="00B549CB" w:rsidRPr="001D5606" w:rsidRDefault="00B549CB" w:rsidP="00B610DA">
      <w:pPr>
        <w:pStyle w:val="ListParagraph"/>
        <w:spacing w:after="120"/>
        <w:ind w:left="0"/>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Table 2: </w:t>
      </w:r>
      <w:r w:rsidR="00525189" w:rsidRPr="001D5606">
        <w:rPr>
          <w:rFonts w:asciiTheme="minorHAnsi" w:hAnsiTheme="minorHAnsi" w:cstheme="minorHAnsi"/>
          <w:color w:val="4F81BD" w:themeColor="accent1"/>
        </w:rPr>
        <w:t xml:space="preserve">Target impacts on </w:t>
      </w:r>
      <w:r w:rsidRPr="001D5606">
        <w:rPr>
          <w:rFonts w:asciiTheme="minorHAnsi" w:hAnsiTheme="minorHAnsi" w:cstheme="minorHAnsi"/>
          <w:color w:val="4F81BD" w:themeColor="accent1"/>
        </w:rPr>
        <w:t>GDP</w:t>
      </w:r>
      <w:r w:rsidR="00644487" w:rsidRPr="001D5606">
        <w:rPr>
          <w:rFonts w:asciiTheme="minorHAnsi" w:hAnsiTheme="minorHAnsi" w:cstheme="minorHAnsi"/>
          <w:color w:val="4F81BD" w:themeColor="accent1"/>
        </w:rPr>
        <w:t>,</w:t>
      </w:r>
      <w:r w:rsidRPr="001D5606">
        <w:rPr>
          <w:rFonts w:asciiTheme="minorHAnsi" w:hAnsiTheme="minorHAnsi" w:cstheme="minorHAnsi"/>
          <w:color w:val="4F81BD" w:themeColor="accent1"/>
        </w:rPr>
        <w:t xml:space="preserve"> Australia and key countries, 2030 (</w:t>
      </w:r>
      <w:r w:rsidR="00FC1AE7" w:rsidRPr="001D5606">
        <w:rPr>
          <w:rFonts w:asciiTheme="minorHAnsi" w:hAnsiTheme="minorHAnsi" w:cstheme="minorHAnsi"/>
          <w:color w:val="4F81BD" w:themeColor="accent1"/>
        </w:rPr>
        <w:t>percentage</w:t>
      </w:r>
      <w:r w:rsidR="00525189" w:rsidRPr="001D5606">
        <w:rPr>
          <w:rFonts w:asciiTheme="minorHAnsi" w:hAnsiTheme="minorHAnsi" w:cstheme="minorHAnsi"/>
          <w:color w:val="4F81BD" w:themeColor="accent1"/>
        </w:rPr>
        <w:t xml:space="preserve"> deviation</w:t>
      </w:r>
      <w:r w:rsidRPr="001D5606">
        <w:rPr>
          <w:rFonts w:asciiTheme="minorHAnsi" w:hAnsiTheme="minorHAnsi" w:cstheme="minorHAnsi"/>
          <w:color w:val="4F81BD" w:themeColor="accent1"/>
        </w:rPr>
        <w:t>)</w:t>
      </w:r>
    </w:p>
    <w:tbl>
      <w:tblPr>
        <w:tblStyle w:val="LightList-Accent1"/>
        <w:tblW w:w="8221" w:type="dxa"/>
        <w:tblInd w:w="250" w:type="dxa"/>
        <w:tblLook w:val="04A0" w:firstRow="1" w:lastRow="0" w:firstColumn="1" w:lastColumn="0" w:noHBand="0" w:noVBand="1"/>
      </w:tblPr>
      <w:tblGrid>
        <w:gridCol w:w="1701"/>
        <w:gridCol w:w="2268"/>
        <w:gridCol w:w="2126"/>
        <w:gridCol w:w="2126"/>
      </w:tblGrid>
      <w:tr w:rsidR="002B2FD1" w:rsidRPr="002B2FD1" w:rsidTr="002B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96633"/>
              <w:left w:val="single" w:sz="8" w:space="0" w:color="996633"/>
              <w:bottom w:val="single" w:sz="8" w:space="0" w:color="996633"/>
              <w:right w:val="nil"/>
            </w:tcBorders>
            <w:shd w:val="clear" w:color="auto" w:fill="996633"/>
          </w:tcPr>
          <w:p w:rsidR="00C37434" w:rsidRPr="002B2FD1" w:rsidRDefault="00C37434">
            <w:pPr>
              <w:rPr>
                <w:rFonts w:ascii="Calibri" w:hAnsi="Calibri" w:cs="Calibri"/>
              </w:rPr>
            </w:pPr>
          </w:p>
        </w:tc>
        <w:tc>
          <w:tcPr>
            <w:tcW w:w="2268" w:type="dxa"/>
            <w:tcBorders>
              <w:top w:val="single" w:sz="8" w:space="0" w:color="996633"/>
              <w:left w:val="nil"/>
              <w:bottom w:val="single" w:sz="8" w:space="0" w:color="996633"/>
              <w:right w:val="nil"/>
            </w:tcBorders>
            <w:shd w:val="clear" w:color="auto" w:fill="996633"/>
            <w:hideMark/>
          </w:tcPr>
          <w:p w:rsidR="00C37434" w:rsidRPr="002B2FD1" w:rsidRDefault="00C374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B2FD1">
              <w:rPr>
                <w:rFonts w:ascii="Calibri" w:hAnsi="Calibri" w:cs="Calibri"/>
                <w:sz w:val="22"/>
                <w:szCs w:val="22"/>
                <w:lang w:eastAsia="en-AU"/>
              </w:rPr>
              <w:t>Modelled emissions pathway (2005-2030)</w:t>
            </w:r>
          </w:p>
        </w:tc>
        <w:tc>
          <w:tcPr>
            <w:tcW w:w="4252" w:type="dxa"/>
            <w:gridSpan w:val="2"/>
            <w:tcBorders>
              <w:top w:val="single" w:sz="8" w:space="0" w:color="996633"/>
              <w:left w:val="nil"/>
              <w:bottom w:val="single" w:sz="8" w:space="0" w:color="996633"/>
              <w:right w:val="single" w:sz="8" w:space="0" w:color="996633"/>
            </w:tcBorders>
            <w:shd w:val="clear" w:color="auto" w:fill="996633"/>
            <w:hideMark/>
          </w:tcPr>
          <w:p w:rsidR="00C37434" w:rsidRPr="002B2FD1" w:rsidRDefault="00C374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szCs w:val="22"/>
              </w:rPr>
            </w:pPr>
            <w:r w:rsidRPr="002B2FD1">
              <w:rPr>
                <w:rFonts w:ascii="Calibri" w:hAnsi="Calibri" w:cs="Calibri"/>
                <w:bCs w:val="0"/>
                <w:sz w:val="22"/>
                <w:szCs w:val="22"/>
                <w:lang w:eastAsia="en-AU"/>
              </w:rPr>
              <w:t xml:space="preserve">Change in GDP </w:t>
            </w:r>
          </w:p>
          <w:p w:rsidR="00C37434" w:rsidRPr="002B2FD1" w:rsidRDefault="00C374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B2FD1">
              <w:rPr>
                <w:rFonts w:ascii="Calibri" w:hAnsi="Calibri" w:cs="Calibri"/>
                <w:bCs w:val="0"/>
                <w:sz w:val="22"/>
                <w:szCs w:val="22"/>
                <w:lang w:eastAsia="en-AU"/>
              </w:rPr>
              <w:t>(per cent)</w:t>
            </w:r>
          </w:p>
        </w:tc>
      </w:tr>
      <w:tr w:rsidR="001D5606" w:rsidRPr="001D5606"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96633"/>
              <w:left w:val="single" w:sz="8" w:space="0" w:color="996633"/>
              <w:bottom w:val="nil"/>
              <w:right w:val="nil"/>
            </w:tcBorders>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US</w:t>
            </w:r>
          </w:p>
        </w:tc>
        <w:tc>
          <w:tcPr>
            <w:tcW w:w="2268" w:type="dxa"/>
            <w:tcBorders>
              <w:top w:val="single" w:sz="8" w:space="0" w:color="996633"/>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rPr>
            </w:pPr>
            <w:r w:rsidRPr="001D5606">
              <w:rPr>
                <w:rFonts w:ascii="Calibri" w:hAnsi="Calibri" w:cs="Calibri"/>
                <w:b/>
                <w:color w:val="4F81BD" w:themeColor="accent1"/>
                <w:szCs w:val="22"/>
                <w:lang w:eastAsia="en-AU"/>
              </w:rPr>
              <w:t>-37%</w:t>
            </w:r>
            <w:r w:rsidR="00FB38F5" w:rsidRPr="001D5606">
              <w:rPr>
                <w:rFonts w:ascii="Calibri" w:hAnsi="Calibri" w:cs="Calibri"/>
                <w:b/>
                <w:color w:val="4F81BD" w:themeColor="accent1"/>
                <w:szCs w:val="22"/>
                <w:vertAlign w:val="superscript"/>
                <w:lang w:eastAsia="en-AU"/>
              </w:rPr>
              <w:t>1</w:t>
            </w:r>
          </w:p>
        </w:tc>
        <w:tc>
          <w:tcPr>
            <w:tcW w:w="4252" w:type="dxa"/>
            <w:gridSpan w:val="2"/>
            <w:tcBorders>
              <w:top w:val="single" w:sz="8" w:space="0" w:color="996633"/>
              <w:left w:val="nil"/>
              <w:bottom w:val="nil"/>
              <w:right w:val="single" w:sz="8" w:space="0" w:color="996633"/>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-0.1</w:t>
            </w:r>
          </w:p>
        </w:tc>
      </w:tr>
      <w:tr w:rsidR="001D5606" w:rsidRPr="001D5606" w:rsidTr="002B2FD1">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Japan</w:t>
            </w:r>
          </w:p>
        </w:tc>
        <w:tc>
          <w:tcPr>
            <w:tcW w:w="2268" w:type="dxa"/>
            <w:tcBorders>
              <w:top w:val="nil"/>
              <w:left w:val="nil"/>
              <w:bottom w:val="nil"/>
              <w:right w:val="nil"/>
            </w:tcBorders>
            <w:hideMark/>
          </w:tcPr>
          <w:p w:rsidR="00C37434" w:rsidRPr="001D5606" w:rsidRDefault="00C37434" w:rsidP="00FB38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Cs w:val="22"/>
              </w:rPr>
            </w:pPr>
            <w:r w:rsidRPr="001D5606">
              <w:rPr>
                <w:rFonts w:ascii="Calibri" w:hAnsi="Calibri" w:cs="Calibri"/>
                <w:b/>
                <w:color w:val="4F81BD" w:themeColor="accent1"/>
                <w:szCs w:val="22"/>
                <w:lang w:eastAsia="en-AU"/>
              </w:rPr>
              <w:t>-22%</w:t>
            </w:r>
            <w:r w:rsidR="00FB38F5" w:rsidRPr="001D5606">
              <w:rPr>
                <w:rFonts w:ascii="Calibri" w:hAnsi="Calibri" w:cs="Calibri"/>
                <w:b/>
                <w:color w:val="4F81BD" w:themeColor="accent1"/>
                <w:szCs w:val="22"/>
                <w:vertAlign w:val="superscript"/>
                <w:lang w:eastAsia="en-AU"/>
              </w:rPr>
              <w:t>2</w:t>
            </w:r>
          </w:p>
        </w:tc>
        <w:tc>
          <w:tcPr>
            <w:tcW w:w="4252" w:type="dxa"/>
            <w:gridSpan w:val="2"/>
            <w:tcBorders>
              <w:top w:val="nil"/>
              <w:left w:val="nil"/>
              <w:bottom w:val="nil"/>
              <w:right w:val="single" w:sz="8" w:space="0" w:color="996633"/>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-0.02</w:t>
            </w:r>
          </w:p>
        </w:tc>
      </w:tr>
      <w:tr w:rsidR="001D5606" w:rsidRPr="001D5606"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Europe</w:t>
            </w:r>
          </w:p>
        </w:tc>
        <w:tc>
          <w:tcPr>
            <w:tcW w:w="2268" w:type="dxa"/>
            <w:tcBorders>
              <w:top w:val="nil"/>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rPr>
            </w:pPr>
            <w:r w:rsidRPr="001D5606">
              <w:rPr>
                <w:rFonts w:ascii="Calibri" w:hAnsi="Calibri" w:cs="Calibri"/>
                <w:b/>
                <w:color w:val="4F81BD" w:themeColor="accent1"/>
                <w:szCs w:val="22"/>
                <w:lang w:eastAsia="en-AU"/>
              </w:rPr>
              <w:t>-34%</w:t>
            </w:r>
          </w:p>
        </w:tc>
        <w:tc>
          <w:tcPr>
            <w:tcW w:w="4252" w:type="dxa"/>
            <w:gridSpan w:val="2"/>
            <w:tcBorders>
              <w:top w:val="nil"/>
              <w:left w:val="nil"/>
              <w:bottom w:val="nil"/>
              <w:right w:val="single" w:sz="8" w:space="0" w:color="996633"/>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-0.2</w:t>
            </w:r>
          </w:p>
        </w:tc>
      </w:tr>
      <w:tr w:rsidR="001D5606" w:rsidRPr="001D5606" w:rsidTr="002B2FD1">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Canada</w:t>
            </w:r>
          </w:p>
        </w:tc>
        <w:tc>
          <w:tcPr>
            <w:tcW w:w="2268" w:type="dxa"/>
            <w:tcBorders>
              <w:top w:val="nil"/>
              <w:left w:val="nil"/>
              <w:bottom w:val="nil"/>
              <w:right w:val="nil"/>
            </w:tcBorders>
            <w:hideMark/>
          </w:tcPr>
          <w:p w:rsidR="00C37434" w:rsidRPr="001D5606" w:rsidRDefault="00C37434" w:rsidP="00FB38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Cs w:val="22"/>
              </w:rPr>
            </w:pPr>
            <w:r w:rsidRPr="001D5606">
              <w:rPr>
                <w:rFonts w:ascii="Calibri" w:hAnsi="Calibri" w:cs="Calibri"/>
                <w:b/>
                <w:color w:val="4F81BD" w:themeColor="accent1"/>
                <w:szCs w:val="22"/>
                <w:lang w:eastAsia="en-AU"/>
              </w:rPr>
              <w:t>-22%</w:t>
            </w:r>
            <w:r w:rsidR="00FB38F5" w:rsidRPr="001D5606">
              <w:rPr>
                <w:rFonts w:ascii="Calibri" w:hAnsi="Calibri" w:cs="Calibri"/>
                <w:b/>
                <w:color w:val="4F81BD" w:themeColor="accent1"/>
                <w:szCs w:val="22"/>
                <w:vertAlign w:val="superscript"/>
                <w:lang w:eastAsia="en-AU"/>
              </w:rPr>
              <w:t>2</w:t>
            </w:r>
          </w:p>
        </w:tc>
        <w:tc>
          <w:tcPr>
            <w:tcW w:w="4252" w:type="dxa"/>
            <w:gridSpan w:val="2"/>
            <w:tcBorders>
              <w:top w:val="nil"/>
              <w:left w:val="nil"/>
              <w:bottom w:val="nil"/>
              <w:right w:val="single" w:sz="8" w:space="0" w:color="996633"/>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-0.8</w:t>
            </w:r>
          </w:p>
        </w:tc>
      </w:tr>
      <w:tr w:rsidR="001D5606" w:rsidRPr="001D5606"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single" w:sz="8" w:space="0" w:color="996633"/>
              <w:right w:val="nil"/>
            </w:tcBorders>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China</w:t>
            </w:r>
          </w:p>
        </w:tc>
        <w:tc>
          <w:tcPr>
            <w:tcW w:w="2268" w:type="dxa"/>
            <w:tcBorders>
              <w:top w:val="nil"/>
              <w:left w:val="nil"/>
              <w:bottom w:val="single" w:sz="8" w:space="0" w:color="996633"/>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szCs w:val="22"/>
              </w:rPr>
            </w:pPr>
            <w:r w:rsidRPr="001D5606">
              <w:rPr>
                <w:rFonts w:ascii="Calibri" w:hAnsi="Calibri" w:cs="Calibri"/>
                <w:b/>
                <w:color w:val="4F81BD" w:themeColor="accent1"/>
                <w:szCs w:val="22"/>
                <w:lang w:eastAsia="en-AU"/>
              </w:rPr>
              <w:t>Peaking in 2030</w:t>
            </w:r>
          </w:p>
        </w:tc>
        <w:tc>
          <w:tcPr>
            <w:tcW w:w="4252" w:type="dxa"/>
            <w:gridSpan w:val="2"/>
            <w:tcBorders>
              <w:top w:val="nil"/>
              <w:left w:val="nil"/>
              <w:bottom w:val="single" w:sz="8" w:space="0" w:color="996633"/>
              <w:right w:val="single" w:sz="8" w:space="0" w:color="996633"/>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-0.4</w:t>
            </w:r>
          </w:p>
        </w:tc>
      </w:tr>
      <w:tr w:rsidR="001D5606" w:rsidRPr="001D5606" w:rsidTr="002B2FD1">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996633"/>
              <w:left w:val="single" w:sz="8" w:space="0" w:color="996633"/>
              <w:bottom w:val="nil"/>
              <w:right w:val="nil"/>
            </w:tcBorders>
            <w:vAlign w:val="center"/>
            <w:hideMark/>
          </w:tcPr>
          <w:p w:rsidR="00C37434" w:rsidRPr="001D5606" w:rsidRDefault="00C37434">
            <w:pPr>
              <w:rPr>
                <w:rFonts w:ascii="Calibri" w:hAnsi="Calibri" w:cs="Calibri"/>
                <w:color w:val="4F81BD" w:themeColor="accent1"/>
              </w:rPr>
            </w:pPr>
            <w:r w:rsidRPr="001D5606">
              <w:rPr>
                <w:rFonts w:ascii="Calibri" w:hAnsi="Calibri" w:cs="Calibri"/>
                <w:color w:val="4F81BD" w:themeColor="accent1"/>
                <w:lang w:eastAsia="en-AU"/>
              </w:rPr>
              <w:t xml:space="preserve">Australia  </w:t>
            </w:r>
          </w:p>
        </w:tc>
        <w:tc>
          <w:tcPr>
            <w:tcW w:w="2268" w:type="dxa"/>
            <w:tcBorders>
              <w:top w:val="single" w:sz="8" w:space="0" w:color="996633"/>
              <w:left w:val="nil"/>
              <w:bottom w:val="nil"/>
              <w:right w:val="nil"/>
            </w:tcBorders>
          </w:tcPr>
          <w:p w:rsidR="00C37434" w:rsidRPr="001D5606" w:rsidRDefault="00C37434">
            <w:pP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 w:val="22"/>
                <w:szCs w:val="22"/>
              </w:rPr>
            </w:pPr>
          </w:p>
        </w:tc>
        <w:tc>
          <w:tcPr>
            <w:tcW w:w="2126" w:type="dxa"/>
            <w:tcBorders>
              <w:top w:val="single" w:sz="8" w:space="0" w:color="996633"/>
              <w:left w:val="nil"/>
              <w:bottom w:val="nil"/>
              <w:right w:val="nil"/>
            </w:tcBorders>
            <w:vAlign w:val="center"/>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 w:val="22"/>
                <w:szCs w:val="22"/>
              </w:rPr>
            </w:pPr>
            <w:r w:rsidRPr="001D5606">
              <w:rPr>
                <w:rFonts w:ascii="Calibri" w:hAnsi="Calibri" w:cs="Calibri"/>
                <w:b/>
                <w:color w:val="4F81BD" w:themeColor="accent1"/>
                <w:sz w:val="22"/>
                <w:szCs w:val="22"/>
                <w:lang w:eastAsia="en-AU"/>
              </w:rPr>
              <w:t>Core</w:t>
            </w:r>
            <w:r w:rsidR="00361581" w:rsidRPr="001D5606">
              <w:rPr>
                <w:rFonts w:ascii="Calibri" w:hAnsi="Calibri" w:cs="Calibri"/>
                <w:b/>
                <w:color w:val="4F81BD" w:themeColor="accent1"/>
                <w:sz w:val="22"/>
                <w:szCs w:val="22"/>
                <w:lang w:eastAsia="en-AU"/>
              </w:rPr>
              <w:t xml:space="preserve"> target</w:t>
            </w:r>
            <w:r w:rsidRPr="001D5606">
              <w:rPr>
                <w:rFonts w:ascii="Calibri" w:hAnsi="Calibri" w:cs="Calibri"/>
                <w:b/>
                <w:color w:val="4F81BD" w:themeColor="accent1"/>
                <w:sz w:val="22"/>
                <w:szCs w:val="22"/>
                <w:lang w:eastAsia="en-AU"/>
              </w:rPr>
              <w:t xml:space="preserve"> scenarios</w:t>
            </w:r>
          </w:p>
        </w:tc>
        <w:tc>
          <w:tcPr>
            <w:tcW w:w="2126" w:type="dxa"/>
            <w:tcBorders>
              <w:top w:val="single" w:sz="8" w:space="0" w:color="996633"/>
              <w:left w:val="nil"/>
              <w:bottom w:val="nil"/>
              <w:right w:val="single" w:sz="8" w:space="0" w:color="996633"/>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sz w:val="22"/>
                <w:szCs w:val="22"/>
              </w:rPr>
            </w:pPr>
            <w:r w:rsidRPr="001D5606">
              <w:rPr>
                <w:rFonts w:ascii="Calibri" w:hAnsi="Calibri" w:cs="Calibri"/>
                <w:b/>
                <w:color w:val="4F81BD" w:themeColor="accent1"/>
                <w:sz w:val="22"/>
                <w:szCs w:val="22"/>
                <w:lang w:eastAsia="en-AU"/>
              </w:rPr>
              <w:t>Sensitivity scenarios - technology costs</w:t>
            </w:r>
          </w:p>
        </w:tc>
      </w:tr>
      <w:tr w:rsidR="001D5606" w:rsidRPr="001D5606"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tcPr>
          <w:p w:rsidR="00C37434" w:rsidRPr="001D5606" w:rsidRDefault="00C37434">
            <w:pPr>
              <w:jc w:val="right"/>
              <w:rPr>
                <w:rFonts w:ascii="Calibri" w:hAnsi="Calibri" w:cs="Calibri"/>
                <w:color w:val="4F81BD" w:themeColor="accent1"/>
              </w:rPr>
            </w:pPr>
          </w:p>
        </w:tc>
        <w:tc>
          <w:tcPr>
            <w:tcW w:w="2268" w:type="dxa"/>
            <w:tcBorders>
              <w:top w:val="nil"/>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rPr>
            </w:pPr>
            <w:r w:rsidRPr="001D5606">
              <w:rPr>
                <w:rFonts w:ascii="Calibri" w:hAnsi="Calibri" w:cs="Calibri"/>
                <w:b/>
                <w:color w:val="4F81BD" w:themeColor="accent1"/>
                <w:lang w:eastAsia="en-AU"/>
              </w:rPr>
              <w:t>-13%</w:t>
            </w:r>
          </w:p>
        </w:tc>
        <w:tc>
          <w:tcPr>
            <w:tcW w:w="2126" w:type="dxa"/>
            <w:tcBorders>
              <w:top w:val="nil"/>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-0.3</w:t>
            </w:r>
          </w:p>
        </w:tc>
        <w:tc>
          <w:tcPr>
            <w:tcW w:w="2126" w:type="dxa"/>
            <w:tcBorders>
              <w:top w:val="nil"/>
              <w:left w:val="nil"/>
              <w:bottom w:val="nil"/>
              <w:right w:val="single" w:sz="8" w:space="0" w:color="996633"/>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-0.2</w:t>
            </w:r>
          </w:p>
        </w:tc>
      </w:tr>
      <w:tr w:rsidR="001D5606" w:rsidRPr="001D5606" w:rsidTr="002B2FD1">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tcPr>
          <w:p w:rsidR="00C37434" w:rsidRPr="001D5606" w:rsidRDefault="00C37434">
            <w:pPr>
              <w:jc w:val="right"/>
              <w:rPr>
                <w:rFonts w:ascii="Calibri" w:hAnsi="Calibri" w:cs="Calibri"/>
                <w:color w:val="4F81BD" w:themeColor="accent1"/>
              </w:rPr>
            </w:pPr>
          </w:p>
        </w:tc>
        <w:tc>
          <w:tcPr>
            <w:tcW w:w="2268" w:type="dxa"/>
            <w:tcBorders>
              <w:top w:val="nil"/>
              <w:left w:val="nil"/>
              <w:bottom w:val="nil"/>
              <w:right w:val="nil"/>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rPr>
            </w:pPr>
            <w:r w:rsidRPr="001D5606">
              <w:rPr>
                <w:rFonts w:ascii="Calibri" w:hAnsi="Calibri" w:cs="Calibri"/>
                <w:b/>
                <w:color w:val="4F81BD" w:themeColor="accent1"/>
                <w:lang w:eastAsia="en-AU"/>
              </w:rPr>
              <w:t>-26%</w:t>
            </w:r>
          </w:p>
        </w:tc>
        <w:tc>
          <w:tcPr>
            <w:tcW w:w="2126" w:type="dxa"/>
            <w:tcBorders>
              <w:top w:val="nil"/>
              <w:left w:val="nil"/>
              <w:bottom w:val="nil"/>
              <w:right w:val="nil"/>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-0.6</w:t>
            </w:r>
          </w:p>
        </w:tc>
        <w:tc>
          <w:tcPr>
            <w:tcW w:w="2126" w:type="dxa"/>
            <w:tcBorders>
              <w:top w:val="nil"/>
              <w:left w:val="nil"/>
              <w:bottom w:val="nil"/>
              <w:right w:val="single" w:sz="8" w:space="0" w:color="996633"/>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-0.4</w:t>
            </w:r>
          </w:p>
        </w:tc>
      </w:tr>
      <w:tr w:rsidR="001D5606" w:rsidRPr="001D5606"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nil"/>
              <w:right w:val="nil"/>
            </w:tcBorders>
          </w:tcPr>
          <w:p w:rsidR="00C37434" w:rsidRPr="001D5606" w:rsidRDefault="00C37434">
            <w:pPr>
              <w:jc w:val="right"/>
              <w:rPr>
                <w:rFonts w:ascii="Calibri" w:hAnsi="Calibri" w:cs="Calibri"/>
                <w:color w:val="4F81BD" w:themeColor="accent1"/>
              </w:rPr>
            </w:pPr>
          </w:p>
        </w:tc>
        <w:tc>
          <w:tcPr>
            <w:tcW w:w="2268" w:type="dxa"/>
            <w:tcBorders>
              <w:top w:val="nil"/>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4F81BD" w:themeColor="accent1"/>
              </w:rPr>
            </w:pPr>
            <w:r w:rsidRPr="001D5606">
              <w:rPr>
                <w:rFonts w:ascii="Calibri" w:hAnsi="Calibri" w:cs="Calibri"/>
                <w:b/>
                <w:color w:val="4F81BD" w:themeColor="accent1"/>
                <w:lang w:eastAsia="en-AU"/>
              </w:rPr>
              <w:t>-35%</w:t>
            </w:r>
          </w:p>
        </w:tc>
        <w:tc>
          <w:tcPr>
            <w:tcW w:w="2126" w:type="dxa"/>
            <w:tcBorders>
              <w:top w:val="nil"/>
              <w:left w:val="nil"/>
              <w:bottom w:val="nil"/>
              <w:right w:val="nil"/>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-0.8</w:t>
            </w:r>
          </w:p>
        </w:tc>
        <w:tc>
          <w:tcPr>
            <w:tcW w:w="2126" w:type="dxa"/>
            <w:tcBorders>
              <w:top w:val="nil"/>
              <w:left w:val="nil"/>
              <w:bottom w:val="nil"/>
              <w:right w:val="single" w:sz="8" w:space="0" w:color="996633"/>
            </w:tcBorders>
            <w:hideMark/>
          </w:tcPr>
          <w:p w:rsidR="00C37434" w:rsidRPr="001D5606" w:rsidRDefault="00C374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-0.5</w:t>
            </w:r>
          </w:p>
        </w:tc>
      </w:tr>
      <w:tr w:rsidR="001D5606" w:rsidRPr="001D5606" w:rsidTr="002B2FD1">
        <w:tc>
          <w:tcPr>
            <w:cnfStyle w:val="001000000000" w:firstRow="0" w:lastRow="0" w:firstColumn="1" w:lastColumn="0" w:oddVBand="0" w:evenVBand="0" w:oddHBand="0" w:evenHBand="0" w:firstRowFirstColumn="0" w:firstRowLastColumn="0" w:lastRowFirstColumn="0" w:lastRowLastColumn="0"/>
            <w:tcW w:w="1701" w:type="dxa"/>
            <w:tcBorders>
              <w:top w:val="nil"/>
              <w:left w:val="single" w:sz="8" w:space="0" w:color="996633"/>
              <w:bottom w:val="single" w:sz="8" w:space="0" w:color="996633"/>
              <w:right w:val="nil"/>
            </w:tcBorders>
          </w:tcPr>
          <w:p w:rsidR="00C37434" w:rsidRPr="001D5606" w:rsidRDefault="00C37434">
            <w:pPr>
              <w:jc w:val="right"/>
              <w:rPr>
                <w:rFonts w:ascii="Calibri" w:hAnsi="Calibri" w:cs="Calibri"/>
                <w:color w:val="4F81BD" w:themeColor="accent1"/>
              </w:rPr>
            </w:pPr>
          </w:p>
        </w:tc>
        <w:tc>
          <w:tcPr>
            <w:tcW w:w="2268" w:type="dxa"/>
            <w:tcBorders>
              <w:top w:val="nil"/>
              <w:left w:val="nil"/>
              <w:bottom w:val="single" w:sz="8" w:space="0" w:color="996633"/>
              <w:right w:val="nil"/>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4F81BD" w:themeColor="accent1"/>
              </w:rPr>
            </w:pPr>
            <w:r w:rsidRPr="001D5606">
              <w:rPr>
                <w:rFonts w:ascii="Calibri" w:hAnsi="Calibri" w:cs="Calibri"/>
                <w:b/>
                <w:color w:val="4F81BD" w:themeColor="accent1"/>
                <w:lang w:eastAsia="en-AU"/>
              </w:rPr>
              <w:t>-45%</w:t>
            </w:r>
          </w:p>
        </w:tc>
        <w:tc>
          <w:tcPr>
            <w:tcW w:w="2126" w:type="dxa"/>
            <w:tcBorders>
              <w:top w:val="nil"/>
              <w:left w:val="nil"/>
              <w:bottom w:val="single" w:sz="8" w:space="0" w:color="996633"/>
              <w:right w:val="nil"/>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-1.0</w:t>
            </w:r>
          </w:p>
        </w:tc>
        <w:tc>
          <w:tcPr>
            <w:tcW w:w="2126" w:type="dxa"/>
            <w:tcBorders>
              <w:top w:val="nil"/>
              <w:left w:val="nil"/>
              <w:bottom w:val="single" w:sz="8" w:space="0" w:color="996633"/>
              <w:right w:val="single" w:sz="8" w:space="0" w:color="996633"/>
            </w:tcBorders>
            <w:hideMark/>
          </w:tcPr>
          <w:p w:rsidR="00C37434" w:rsidRPr="001D5606" w:rsidRDefault="00C374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4F81BD" w:themeColor="accent1"/>
                <w:sz w:val="22"/>
                <w:szCs w:val="22"/>
              </w:rPr>
            </w:pPr>
            <w:r w:rsidRPr="001D5606">
              <w:rPr>
                <w:rFonts w:ascii="Calibri" w:hAnsi="Calibri" w:cs="Calibri"/>
                <w:color w:val="4F81BD" w:themeColor="accent1"/>
                <w:sz w:val="22"/>
                <w:szCs w:val="22"/>
                <w:lang w:eastAsia="en-AU"/>
              </w:rPr>
              <w:t>-0.7</w:t>
            </w:r>
          </w:p>
        </w:tc>
      </w:tr>
    </w:tbl>
    <w:p w:rsidR="00FB38F5" w:rsidRPr="001D5606" w:rsidRDefault="00C37434" w:rsidP="001F4469">
      <w:pPr>
        <w:rPr>
          <w:rFonts w:asciiTheme="minorHAnsi" w:hAnsiTheme="minorHAnsi" w:cstheme="minorHAnsi"/>
          <w:color w:val="4F81BD" w:themeColor="accent1"/>
          <w:sz w:val="16"/>
        </w:rPr>
      </w:pPr>
      <w:r w:rsidRPr="001D5606">
        <w:rPr>
          <w:rFonts w:asciiTheme="minorHAnsi" w:hAnsiTheme="minorHAnsi" w:cstheme="minorHAnsi"/>
          <w:color w:val="4F81BD" w:themeColor="accent1"/>
          <w:sz w:val="16"/>
        </w:rPr>
        <w:t xml:space="preserve">1 </w:t>
      </w:r>
      <w:r w:rsidR="00FB38F5" w:rsidRPr="001D5606">
        <w:rPr>
          <w:rFonts w:asciiTheme="minorHAnsi" w:hAnsiTheme="minorHAnsi" w:cstheme="minorHAnsi"/>
          <w:color w:val="4F81BD" w:themeColor="accent1"/>
          <w:sz w:val="16"/>
        </w:rPr>
        <w:t>The straight line extension of the trajectory from the US target 2020 target to its 2025 target.</w:t>
      </w:r>
    </w:p>
    <w:p w:rsidR="00C37434" w:rsidRPr="001D5606" w:rsidRDefault="00FB38F5" w:rsidP="00B610DA">
      <w:pPr>
        <w:spacing w:after="240"/>
        <w:rPr>
          <w:rFonts w:asciiTheme="minorHAnsi" w:hAnsiTheme="minorHAnsi" w:cstheme="minorHAnsi"/>
          <w:color w:val="4F81BD" w:themeColor="accent1"/>
          <w:sz w:val="16"/>
        </w:rPr>
      </w:pPr>
      <w:r w:rsidRPr="001D5606">
        <w:rPr>
          <w:rFonts w:asciiTheme="minorHAnsi" w:hAnsiTheme="minorHAnsi" w:cstheme="minorHAnsi"/>
          <w:color w:val="4F81BD" w:themeColor="accent1"/>
          <w:sz w:val="16"/>
        </w:rPr>
        <w:t xml:space="preserve">2. </w:t>
      </w:r>
      <w:r w:rsidR="00DC08A2" w:rsidRPr="001D5606">
        <w:rPr>
          <w:rFonts w:asciiTheme="minorHAnsi" w:hAnsiTheme="minorHAnsi" w:cstheme="minorHAnsi"/>
          <w:color w:val="4F81BD" w:themeColor="accent1"/>
          <w:sz w:val="16"/>
        </w:rPr>
        <w:t xml:space="preserve">Japan and Canada have since announced targets of -25.4 percent and </w:t>
      </w:r>
      <w:r w:rsidR="00C37434" w:rsidRPr="001D5606">
        <w:rPr>
          <w:rFonts w:asciiTheme="minorHAnsi" w:hAnsiTheme="minorHAnsi" w:cstheme="minorHAnsi"/>
          <w:color w:val="4F81BD" w:themeColor="accent1"/>
          <w:sz w:val="16"/>
        </w:rPr>
        <w:noBreakHyphen/>
        <w:t xml:space="preserve">30 per cent </w:t>
      </w:r>
      <w:r w:rsidR="00DC08A2" w:rsidRPr="001D5606">
        <w:rPr>
          <w:rFonts w:asciiTheme="minorHAnsi" w:hAnsiTheme="minorHAnsi" w:cstheme="minorHAnsi"/>
          <w:color w:val="4F81BD" w:themeColor="accent1"/>
          <w:sz w:val="16"/>
        </w:rPr>
        <w:t>below 2005 levels, respectively.</w:t>
      </w:r>
    </w:p>
    <w:p w:rsidR="00066F22" w:rsidRPr="00C26F5D" w:rsidRDefault="00781E1C" w:rsidP="00B610DA">
      <w:pPr>
        <w:pStyle w:val="NormalWeb"/>
        <w:spacing w:before="0" w:beforeAutospacing="0"/>
        <w:rPr>
          <w:rFonts w:asciiTheme="minorHAnsi" w:hAnsiTheme="minorHAnsi"/>
        </w:rPr>
      </w:pPr>
      <w:r w:rsidRPr="00C26F5D">
        <w:rPr>
          <w:rFonts w:asciiTheme="minorHAnsi" w:hAnsiTheme="minorHAnsi"/>
        </w:rPr>
        <w:t xml:space="preserve">Figure </w:t>
      </w:r>
      <w:r w:rsidR="00DF1E22">
        <w:rPr>
          <w:rFonts w:asciiTheme="minorHAnsi" w:hAnsiTheme="minorHAnsi"/>
        </w:rPr>
        <w:t>7</w:t>
      </w:r>
      <w:r w:rsidRPr="00C26F5D">
        <w:rPr>
          <w:rFonts w:asciiTheme="minorHAnsi" w:hAnsiTheme="minorHAnsi"/>
        </w:rPr>
        <w:t xml:space="preserve"> shows t</w:t>
      </w:r>
      <w:r w:rsidR="00B52B0D" w:rsidRPr="00C26F5D">
        <w:rPr>
          <w:rFonts w:asciiTheme="minorHAnsi" w:hAnsiTheme="minorHAnsi"/>
        </w:rPr>
        <w:t>he</w:t>
      </w:r>
      <w:r w:rsidRPr="00C26F5D">
        <w:rPr>
          <w:rFonts w:asciiTheme="minorHAnsi" w:hAnsiTheme="minorHAnsi"/>
        </w:rPr>
        <w:t>se</w:t>
      </w:r>
      <w:r w:rsidR="00B52B0D" w:rsidRPr="00C26F5D">
        <w:rPr>
          <w:rFonts w:asciiTheme="minorHAnsi" w:hAnsiTheme="minorHAnsi"/>
        </w:rPr>
        <w:t xml:space="preserve"> estimated </w:t>
      </w:r>
      <w:r w:rsidRPr="00C26F5D">
        <w:rPr>
          <w:rFonts w:asciiTheme="minorHAnsi" w:hAnsiTheme="minorHAnsi"/>
        </w:rPr>
        <w:t xml:space="preserve">target </w:t>
      </w:r>
      <w:r w:rsidR="00B52B0D" w:rsidRPr="00C26F5D">
        <w:rPr>
          <w:rFonts w:asciiTheme="minorHAnsi" w:hAnsiTheme="minorHAnsi"/>
        </w:rPr>
        <w:t xml:space="preserve">impacts for Australia and </w:t>
      </w:r>
      <w:r w:rsidRPr="00C26F5D">
        <w:rPr>
          <w:rFonts w:asciiTheme="minorHAnsi" w:hAnsiTheme="minorHAnsi"/>
        </w:rPr>
        <w:t xml:space="preserve">other </w:t>
      </w:r>
      <w:r w:rsidR="00B52B0D" w:rsidRPr="00C26F5D">
        <w:rPr>
          <w:rFonts w:asciiTheme="minorHAnsi" w:hAnsiTheme="minorHAnsi"/>
        </w:rPr>
        <w:t xml:space="preserve">countries. </w:t>
      </w:r>
      <w:r w:rsidRPr="00C26F5D">
        <w:rPr>
          <w:rFonts w:asciiTheme="minorHAnsi" w:hAnsiTheme="minorHAnsi"/>
        </w:rPr>
        <w:t>A</w:t>
      </w:r>
      <w:r w:rsidR="00B52B0D" w:rsidRPr="00C26F5D">
        <w:rPr>
          <w:rFonts w:asciiTheme="minorHAnsi" w:hAnsiTheme="minorHAnsi"/>
        </w:rPr>
        <w:t xml:space="preserve">ll the economies, including Australia, continue to grow and </w:t>
      </w:r>
      <w:r w:rsidRPr="00C26F5D">
        <w:rPr>
          <w:rFonts w:asciiTheme="minorHAnsi" w:hAnsiTheme="minorHAnsi"/>
        </w:rPr>
        <w:t xml:space="preserve">at similar rates to their </w:t>
      </w:r>
      <w:r w:rsidR="00B52B0D" w:rsidRPr="00C26F5D">
        <w:rPr>
          <w:rFonts w:asciiTheme="minorHAnsi" w:hAnsiTheme="minorHAnsi"/>
        </w:rPr>
        <w:t>growth in the absence of targets.</w:t>
      </w:r>
      <w:r w:rsidR="004C0F03" w:rsidRPr="00C26F5D">
        <w:rPr>
          <w:rFonts w:asciiTheme="minorHAnsi" w:hAnsiTheme="minorHAnsi"/>
        </w:rPr>
        <w:t xml:space="preserve"> </w:t>
      </w:r>
    </w:p>
    <w:p w:rsidR="00313647" w:rsidRPr="001D5606" w:rsidRDefault="00313647" w:rsidP="008D6E55">
      <w:pPr>
        <w:pStyle w:val="ListParagraph"/>
        <w:keepNext/>
        <w:spacing w:after="120"/>
        <w:ind w:left="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DF1E22" w:rsidRPr="001D5606">
        <w:rPr>
          <w:rFonts w:asciiTheme="minorHAnsi" w:hAnsiTheme="minorHAnsi" w:cstheme="minorHAnsi"/>
          <w:b/>
          <w:color w:val="4F81BD" w:themeColor="accent1"/>
        </w:rPr>
        <w:t>7</w:t>
      </w:r>
      <w:r w:rsidRPr="001D5606">
        <w:rPr>
          <w:rFonts w:asciiTheme="minorHAnsi" w:hAnsiTheme="minorHAnsi" w:cstheme="minorHAnsi"/>
          <w:b/>
          <w:color w:val="4F81BD" w:themeColor="accent1"/>
        </w:rPr>
        <w:t xml:space="preserve">: </w:t>
      </w:r>
      <w:r w:rsidR="00066F22" w:rsidRPr="001D5606">
        <w:rPr>
          <w:rFonts w:asciiTheme="minorHAnsi" w:hAnsiTheme="minorHAnsi" w:cstheme="minorHAnsi"/>
          <w:color w:val="4F81BD" w:themeColor="accent1"/>
        </w:rPr>
        <w:t>G</w:t>
      </w:r>
      <w:r w:rsidR="00644487" w:rsidRPr="001D5606">
        <w:rPr>
          <w:rFonts w:asciiTheme="minorHAnsi" w:hAnsiTheme="minorHAnsi" w:cstheme="minorHAnsi"/>
          <w:color w:val="4F81BD" w:themeColor="accent1"/>
        </w:rPr>
        <w:t>DP g</w:t>
      </w:r>
      <w:r w:rsidR="00066F22" w:rsidRPr="001D5606">
        <w:rPr>
          <w:rFonts w:asciiTheme="minorHAnsi" w:hAnsiTheme="minorHAnsi" w:cstheme="minorHAnsi"/>
          <w:color w:val="4F81BD" w:themeColor="accent1"/>
        </w:rPr>
        <w:t>rowth</w:t>
      </w:r>
      <w:r w:rsidR="00644487" w:rsidRPr="001D5606">
        <w:rPr>
          <w:rFonts w:asciiTheme="minorHAnsi" w:hAnsiTheme="minorHAnsi" w:cstheme="minorHAnsi"/>
          <w:color w:val="4F81BD" w:themeColor="accent1"/>
        </w:rPr>
        <w:t>,</w:t>
      </w:r>
      <w:r w:rsidRPr="001D5606">
        <w:rPr>
          <w:rFonts w:asciiTheme="minorHAnsi" w:hAnsiTheme="minorHAnsi" w:cstheme="minorHAnsi"/>
          <w:color w:val="4F81BD" w:themeColor="accent1"/>
        </w:rPr>
        <w:t xml:space="preserve"> Australia and key countries, </w:t>
      </w:r>
      <w:r w:rsidR="00066F22" w:rsidRPr="001D5606">
        <w:rPr>
          <w:rFonts w:asciiTheme="minorHAnsi" w:hAnsiTheme="minorHAnsi" w:cstheme="minorHAnsi"/>
          <w:color w:val="4F81BD" w:themeColor="accent1"/>
        </w:rPr>
        <w:t xml:space="preserve">2020 to </w:t>
      </w:r>
      <w:r w:rsidRPr="001D5606">
        <w:rPr>
          <w:rFonts w:asciiTheme="minorHAnsi" w:hAnsiTheme="minorHAnsi" w:cstheme="minorHAnsi"/>
          <w:color w:val="4F81BD" w:themeColor="accent1"/>
        </w:rPr>
        <w:t>2030 (per cent)</w:t>
      </w:r>
    </w:p>
    <w:p w:rsidR="00B549CB" w:rsidRPr="001D5606" w:rsidRDefault="00066F22" w:rsidP="00B610DA">
      <w:pPr>
        <w:pStyle w:val="ListParagraph"/>
        <w:ind w:left="0"/>
        <w:rPr>
          <w:rFonts w:asciiTheme="minorHAnsi" w:hAnsiTheme="minorHAnsi" w:cstheme="minorHAnsi"/>
          <w:b/>
          <w:color w:val="4F81BD" w:themeColor="accent1"/>
        </w:rPr>
      </w:pPr>
      <w:r w:rsidRPr="001D5606">
        <w:rPr>
          <w:noProof/>
          <w:color w:val="4F81BD" w:themeColor="accent1"/>
          <w:lang w:eastAsia="en-AU"/>
        </w:rPr>
        <w:drawing>
          <wp:inline distT="0" distB="0" distL="0" distR="0" wp14:anchorId="63362757" wp14:editId="2F9024D9">
            <wp:extent cx="5274310" cy="2956093"/>
            <wp:effectExtent l="0" t="0" r="2540" b="0"/>
            <wp:docPr id="45" name="Picture 45" descr="Per cent GDP growth for different Australian target scenarios from 2020-2030: Without target (24.5%), -13% (24.1%), -26% (23.6%), -35% (23.3%), -45% (23.0%).&#10;Per cent GDP growth for different countries from 2020-2030 with no emission targets: US (24.7%), Japan (18.7%), Europe (21.5%), Canada (22.9%), China (38.5%).&#10;Per cent GDP growth for different countries from 2020-2030 with emission targets: US (24.6%), Japan (18.6%), Europe (21.1%), Canada (22.0%), China (38.1%).&#10;" title="Figure 7: GDP growth, Australia and key countries, 2020 to 203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2956093"/>
                    </a:xfrm>
                    <a:prstGeom prst="rect">
                      <a:avLst/>
                    </a:prstGeom>
                  </pic:spPr>
                </pic:pic>
              </a:graphicData>
            </a:graphic>
          </wp:inline>
        </w:drawing>
      </w:r>
    </w:p>
    <w:p w:rsidR="006E05AB" w:rsidRPr="001D5606" w:rsidRDefault="006E05AB" w:rsidP="00B610DA">
      <w:pPr>
        <w:spacing w:after="240"/>
        <w:rPr>
          <w:rFonts w:asciiTheme="minorHAnsi" w:hAnsiTheme="minorHAnsi" w:cstheme="minorHAnsi"/>
          <w:color w:val="4F81BD" w:themeColor="accent1"/>
          <w:sz w:val="16"/>
        </w:rPr>
      </w:pPr>
      <w:r w:rsidRPr="001D5606">
        <w:rPr>
          <w:rFonts w:asciiTheme="minorHAnsi" w:hAnsiTheme="minorHAnsi" w:cstheme="minorHAnsi"/>
          <w:color w:val="4F81BD" w:themeColor="accent1"/>
          <w:sz w:val="16"/>
        </w:rPr>
        <w:t xml:space="preserve">Note: </w:t>
      </w:r>
      <w:r w:rsidR="006F1A8F" w:rsidRPr="001D5606">
        <w:rPr>
          <w:rFonts w:asciiTheme="minorHAnsi" w:hAnsiTheme="minorHAnsi" w:cstheme="minorHAnsi"/>
          <w:color w:val="4F81BD" w:themeColor="accent1"/>
          <w:sz w:val="16"/>
        </w:rPr>
        <w:t xml:space="preserve">Report 1 </w:t>
      </w:r>
      <w:r w:rsidRPr="001D5606">
        <w:rPr>
          <w:rFonts w:asciiTheme="minorHAnsi" w:hAnsiTheme="minorHAnsi" w:cstheme="minorHAnsi"/>
          <w:color w:val="4F81BD" w:themeColor="accent1"/>
          <w:sz w:val="16"/>
        </w:rPr>
        <w:t>modelled a 2030 target of 22 per cent below 2005 levels for Canada.</w:t>
      </w:r>
    </w:p>
    <w:p w:rsidR="00A76E7D" w:rsidRPr="001D5606" w:rsidRDefault="00C25577" w:rsidP="00C8393C">
      <w:pPr>
        <w:pStyle w:val="ListParagraph"/>
        <w:keepNext/>
        <w:spacing w:after="120"/>
        <w:ind w:left="0"/>
        <w:contextualSpacing w:val="0"/>
        <w:rPr>
          <w:rFonts w:asciiTheme="minorHAnsi" w:hAnsiTheme="minorHAnsi" w:cstheme="minorHAnsi"/>
          <w:b/>
          <w:color w:val="996633"/>
        </w:rPr>
      </w:pPr>
      <w:r w:rsidRPr="001D5606">
        <w:rPr>
          <w:rFonts w:asciiTheme="minorHAnsi" w:hAnsiTheme="minorHAnsi" w:cstheme="minorHAnsi"/>
          <w:b/>
          <w:color w:val="996633"/>
        </w:rPr>
        <w:t xml:space="preserve">Energy-focussed policy concentrates </w:t>
      </w:r>
      <w:r w:rsidR="005A280B" w:rsidRPr="001D5606">
        <w:rPr>
          <w:rFonts w:asciiTheme="minorHAnsi" w:hAnsiTheme="minorHAnsi" w:cstheme="minorHAnsi"/>
          <w:b/>
          <w:color w:val="996633"/>
        </w:rPr>
        <w:t>impacts in energy sectors</w:t>
      </w:r>
      <w:r w:rsidRPr="001D5606">
        <w:rPr>
          <w:rFonts w:asciiTheme="minorHAnsi" w:hAnsiTheme="minorHAnsi" w:cstheme="minorHAnsi"/>
          <w:b/>
          <w:color w:val="996633"/>
        </w:rPr>
        <w:t>,</w:t>
      </w:r>
      <w:r w:rsidR="005A280B" w:rsidRPr="001D5606">
        <w:rPr>
          <w:rFonts w:asciiTheme="minorHAnsi" w:hAnsiTheme="minorHAnsi" w:cstheme="minorHAnsi"/>
          <w:b/>
          <w:color w:val="996633"/>
        </w:rPr>
        <w:t xml:space="preserve"> particularly coal</w:t>
      </w:r>
    </w:p>
    <w:p w:rsidR="008F23AE" w:rsidRPr="00C26F5D" w:rsidRDefault="00385ABD" w:rsidP="00B610DA">
      <w:pPr>
        <w:pStyle w:val="NormalWeb"/>
        <w:spacing w:before="0" w:beforeAutospacing="0"/>
        <w:rPr>
          <w:rFonts w:asciiTheme="minorHAnsi" w:hAnsiTheme="minorHAnsi"/>
        </w:rPr>
      </w:pPr>
      <w:r>
        <w:rPr>
          <w:rFonts w:asciiTheme="minorHAnsi" w:hAnsiTheme="minorHAnsi"/>
        </w:rPr>
        <w:t>T</w:t>
      </w:r>
      <w:r w:rsidR="00C25577" w:rsidRPr="00C26F5D">
        <w:rPr>
          <w:rFonts w:asciiTheme="minorHAnsi" w:hAnsiTheme="minorHAnsi"/>
        </w:rPr>
        <w:t xml:space="preserve">he model covers </w:t>
      </w:r>
      <w:r>
        <w:rPr>
          <w:rFonts w:asciiTheme="minorHAnsi" w:hAnsiTheme="minorHAnsi"/>
        </w:rPr>
        <w:t xml:space="preserve">only </w:t>
      </w:r>
      <w:r w:rsidR="00C25577" w:rsidRPr="00C26F5D">
        <w:rPr>
          <w:rFonts w:asciiTheme="minorHAnsi" w:hAnsiTheme="minorHAnsi"/>
        </w:rPr>
        <w:t>energy-related CO</w:t>
      </w:r>
      <w:r w:rsidR="00C25577" w:rsidRPr="001F4469">
        <w:rPr>
          <w:rFonts w:asciiTheme="minorHAnsi" w:hAnsiTheme="minorHAnsi"/>
          <w:vertAlign w:val="subscript"/>
        </w:rPr>
        <w:t>2</w:t>
      </w:r>
      <w:r w:rsidR="00C25577" w:rsidRPr="00C26F5D">
        <w:rPr>
          <w:rFonts w:asciiTheme="minorHAnsi" w:hAnsiTheme="minorHAnsi"/>
        </w:rPr>
        <w:t xml:space="preserve"> emissions </w:t>
      </w:r>
      <w:r>
        <w:rPr>
          <w:rFonts w:asciiTheme="minorHAnsi" w:hAnsiTheme="minorHAnsi"/>
        </w:rPr>
        <w:t xml:space="preserve">so </w:t>
      </w:r>
      <w:r w:rsidR="00C25577" w:rsidRPr="00C26F5D">
        <w:rPr>
          <w:rFonts w:asciiTheme="minorHAnsi" w:hAnsiTheme="minorHAnsi"/>
        </w:rPr>
        <w:t xml:space="preserve">the policy mix </w:t>
      </w:r>
      <w:r>
        <w:rPr>
          <w:rFonts w:asciiTheme="minorHAnsi" w:hAnsiTheme="minorHAnsi"/>
        </w:rPr>
        <w:t xml:space="preserve">assessed </w:t>
      </w:r>
      <w:r w:rsidR="00C25577" w:rsidRPr="00C26F5D">
        <w:rPr>
          <w:rFonts w:asciiTheme="minorHAnsi" w:hAnsiTheme="minorHAnsi"/>
        </w:rPr>
        <w:t>impacts directly on energy sectors, and indirectly on other sectors.</w:t>
      </w:r>
      <w:r w:rsidR="00331380" w:rsidRPr="00C26F5D">
        <w:rPr>
          <w:rFonts w:asciiTheme="minorHAnsi" w:hAnsiTheme="minorHAnsi"/>
        </w:rPr>
        <w:t xml:space="preserve"> Coal</w:t>
      </w:r>
      <w:r w:rsidR="000D69AD" w:rsidRPr="00C26F5D">
        <w:rPr>
          <w:rFonts w:asciiTheme="minorHAnsi" w:hAnsiTheme="minorHAnsi"/>
        </w:rPr>
        <w:t xml:space="preserve"> production</w:t>
      </w:r>
      <w:r w:rsidR="00331380" w:rsidRPr="00C26F5D">
        <w:rPr>
          <w:rFonts w:asciiTheme="minorHAnsi" w:hAnsiTheme="minorHAnsi"/>
        </w:rPr>
        <w:t xml:space="preserve"> is most strongly affected</w:t>
      </w:r>
      <w:r w:rsidR="000D69AD" w:rsidRPr="00C26F5D">
        <w:rPr>
          <w:rFonts w:asciiTheme="minorHAnsi" w:hAnsiTheme="minorHAnsi"/>
        </w:rPr>
        <w:t xml:space="preserve"> by a domestic target</w:t>
      </w:r>
      <w:r w:rsidR="00331380" w:rsidRPr="00C26F5D">
        <w:rPr>
          <w:rFonts w:asciiTheme="minorHAnsi" w:hAnsiTheme="minorHAnsi"/>
        </w:rPr>
        <w:t xml:space="preserve">, as </w:t>
      </w:r>
      <w:r w:rsidR="008F23AE" w:rsidRPr="00C26F5D">
        <w:rPr>
          <w:rFonts w:asciiTheme="minorHAnsi" w:hAnsiTheme="minorHAnsi"/>
        </w:rPr>
        <w:t xml:space="preserve">shown for the </w:t>
      </w:r>
      <w:r w:rsidR="003831B9" w:rsidRPr="00C26F5D">
        <w:rPr>
          <w:rFonts w:asciiTheme="minorHAnsi" w:hAnsiTheme="minorHAnsi"/>
        </w:rPr>
        <w:t>-</w:t>
      </w:r>
      <w:r w:rsidR="008F23AE" w:rsidRPr="00C26F5D">
        <w:rPr>
          <w:rFonts w:asciiTheme="minorHAnsi" w:hAnsiTheme="minorHAnsi"/>
        </w:rPr>
        <w:t>26</w:t>
      </w:r>
      <w:r w:rsidR="003831B9" w:rsidRPr="00C26F5D">
        <w:rPr>
          <w:rFonts w:asciiTheme="minorHAnsi" w:hAnsiTheme="minorHAnsi"/>
        </w:rPr>
        <w:t xml:space="preserve"> per cent</w:t>
      </w:r>
      <w:r w:rsidR="008F23AE" w:rsidRPr="00C26F5D">
        <w:rPr>
          <w:rFonts w:asciiTheme="minorHAnsi" w:hAnsiTheme="minorHAnsi"/>
        </w:rPr>
        <w:t xml:space="preserve"> reduction target</w:t>
      </w:r>
      <w:r w:rsidR="005D7BBD" w:rsidRPr="00C26F5D">
        <w:rPr>
          <w:rFonts w:asciiTheme="minorHAnsi" w:hAnsiTheme="minorHAnsi"/>
        </w:rPr>
        <w:t xml:space="preserve"> in Figure </w:t>
      </w:r>
      <w:r w:rsidR="00DF1E22">
        <w:rPr>
          <w:rFonts w:asciiTheme="minorHAnsi" w:hAnsiTheme="minorHAnsi"/>
        </w:rPr>
        <w:t>8</w:t>
      </w:r>
      <w:r w:rsidR="00331380" w:rsidRPr="00C26F5D">
        <w:rPr>
          <w:rFonts w:asciiTheme="minorHAnsi" w:hAnsiTheme="minorHAnsi"/>
        </w:rPr>
        <w:t>. Coal mining o</w:t>
      </w:r>
      <w:r w:rsidR="008F23AE" w:rsidRPr="00C26F5D">
        <w:rPr>
          <w:rFonts w:asciiTheme="minorHAnsi" w:hAnsiTheme="minorHAnsi"/>
        </w:rPr>
        <w:t xml:space="preserve">utput is </w:t>
      </w:r>
      <w:r w:rsidR="00D44017" w:rsidRPr="00C26F5D">
        <w:rPr>
          <w:rFonts w:asciiTheme="minorHAnsi" w:hAnsiTheme="minorHAnsi"/>
        </w:rPr>
        <w:t>14</w:t>
      </w:r>
      <w:r w:rsidR="000D69AD" w:rsidRPr="00C26F5D">
        <w:rPr>
          <w:rFonts w:asciiTheme="minorHAnsi" w:hAnsiTheme="minorHAnsi"/>
        </w:rPr>
        <w:t xml:space="preserve"> </w:t>
      </w:r>
      <w:r w:rsidR="00331380" w:rsidRPr="00C26F5D">
        <w:rPr>
          <w:rFonts w:asciiTheme="minorHAnsi" w:hAnsiTheme="minorHAnsi"/>
        </w:rPr>
        <w:t>per cent</w:t>
      </w:r>
      <w:r w:rsidR="008F23AE" w:rsidRPr="00C26F5D">
        <w:rPr>
          <w:rFonts w:asciiTheme="minorHAnsi" w:hAnsiTheme="minorHAnsi"/>
        </w:rPr>
        <w:t xml:space="preserve"> lower than </w:t>
      </w:r>
      <w:r w:rsidR="00331380" w:rsidRPr="00C26F5D">
        <w:rPr>
          <w:rFonts w:asciiTheme="minorHAnsi" w:hAnsiTheme="minorHAnsi"/>
        </w:rPr>
        <w:t xml:space="preserve">without an Australian target. This reflects </w:t>
      </w:r>
      <w:r w:rsidR="00D44017" w:rsidRPr="00C26F5D">
        <w:rPr>
          <w:rFonts w:asciiTheme="minorHAnsi" w:hAnsiTheme="minorHAnsi"/>
        </w:rPr>
        <w:t>the fact that coal has the highest CO</w:t>
      </w:r>
      <w:r w:rsidR="00D44017" w:rsidRPr="001F4469">
        <w:rPr>
          <w:rFonts w:asciiTheme="minorHAnsi" w:hAnsiTheme="minorHAnsi"/>
          <w:vertAlign w:val="subscript"/>
        </w:rPr>
        <w:t>2</w:t>
      </w:r>
      <w:r w:rsidR="00D44017" w:rsidRPr="00C26F5D">
        <w:rPr>
          <w:rFonts w:asciiTheme="minorHAnsi" w:hAnsiTheme="minorHAnsi"/>
        </w:rPr>
        <w:t xml:space="preserve"> emissions per unit of energy</w:t>
      </w:r>
      <w:r w:rsidR="00FB5196" w:rsidRPr="00C26F5D">
        <w:rPr>
          <w:rFonts w:asciiTheme="minorHAnsi" w:hAnsiTheme="minorHAnsi"/>
        </w:rPr>
        <w:t>,</w:t>
      </w:r>
      <w:r w:rsidR="00300E14" w:rsidRPr="00C26F5D">
        <w:rPr>
          <w:rFonts w:asciiTheme="minorHAnsi" w:hAnsiTheme="minorHAnsi"/>
        </w:rPr>
        <w:t xml:space="preserve"> and electricity generators </w:t>
      </w:r>
      <w:r w:rsidR="00FB5196" w:rsidRPr="00C26F5D">
        <w:rPr>
          <w:rFonts w:asciiTheme="minorHAnsi" w:hAnsiTheme="minorHAnsi"/>
        </w:rPr>
        <w:t xml:space="preserve">shift away from coal towards gas and </w:t>
      </w:r>
      <w:r w:rsidR="00300E14" w:rsidRPr="00C26F5D">
        <w:rPr>
          <w:rFonts w:asciiTheme="minorHAnsi" w:hAnsiTheme="minorHAnsi"/>
        </w:rPr>
        <w:t>renewable</w:t>
      </w:r>
      <w:r w:rsidR="00FB5196" w:rsidRPr="00C26F5D">
        <w:rPr>
          <w:rFonts w:asciiTheme="minorHAnsi" w:hAnsiTheme="minorHAnsi"/>
        </w:rPr>
        <w:t xml:space="preserve"> </w:t>
      </w:r>
      <w:r w:rsidR="00FB5196" w:rsidRPr="00C26F5D">
        <w:rPr>
          <w:rFonts w:asciiTheme="minorHAnsi" w:hAnsiTheme="minorHAnsi"/>
        </w:rPr>
        <w:lastRenderedPageBreak/>
        <w:t>energy</w:t>
      </w:r>
      <w:r w:rsidR="00300E14" w:rsidRPr="00C26F5D">
        <w:rPr>
          <w:rFonts w:asciiTheme="minorHAnsi" w:hAnsiTheme="minorHAnsi"/>
        </w:rPr>
        <w:t>.</w:t>
      </w:r>
      <w:r w:rsidR="00141302">
        <w:rPr>
          <w:rFonts w:asciiTheme="minorHAnsi" w:hAnsiTheme="minorHAnsi"/>
        </w:rPr>
        <w:t xml:space="preserve"> The coal, gas and petroleum extraction sectors remain a significant part of the economy, contributing around 2 per cent of output and one sixth of exports in 2030 – relatively unchanged from the Paris scenario.</w:t>
      </w:r>
      <w:r w:rsidR="00331380" w:rsidRPr="00C26F5D">
        <w:rPr>
          <w:rFonts w:asciiTheme="minorHAnsi" w:hAnsiTheme="minorHAnsi"/>
        </w:rPr>
        <w:t xml:space="preserve"> </w:t>
      </w:r>
      <w:r w:rsidR="000D69AD" w:rsidRPr="00C26F5D">
        <w:rPr>
          <w:rFonts w:asciiTheme="minorHAnsi" w:hAnsiTheme="minorHAnsi"/>
        </w:rPr>
        <w:t>The r</w:t>
      </w:r>
      <w:r w:rsidR="00331380" w:rsidRPr="00C26F5D">
        <w:rPr>
          <w:rFonts w:asciiTheme="minorHAnsi" w:hAnsiTheme="minorHAnsi"/>
        </w:rPr>
        <w:t xml:space="preserve">esults </w:t>
      </w:r>
      <w:r w:rsidR="000D69AD" w:rsidRPr="00C26F5D">
        <w:rPr>
          <w:rFonts w:asciiTheme="minorHAnsi" w:hAnsiTheme="minorHAnsi"/>
        </w:rPr>
        <w:t xml:space="preserve">in Figure </w:t>
      </w:r>
      <w:r w:rsidR="00D51A6D">
        <w:rPr>
          <w:rFonts w:asciiTheme="minorHAnsi" w:hAnsiTheme="minorHAnsi"/>
        </w:rPr>
        <w:t>8</w:t>
      </w:r>
      <w:r w:rsidR="00D51A6D" w:rsidRPr="00C26F5D">
        <w:rPr>
          <w:rFonts w:asciiTheme="minorHAnsi" w:hAnsiTheme="minorHAnsi"/>
        </w:rPr>
        <w:t xml:space="preserve"> </w:t>
      </w:r>
      <w:r w:rsidR="00331380" w:rsidRPr="00C26F5D">
        <w:rPr>
          <w:rFonts w:asciiTheme="minorHAnsi" w:hAnsiTheme="minorHAnsi"/>
        </w:rPr>
        <w:t xml:space="preserve">are similar in relativities for the other </w:t>
      </w:r>
      <w:r>
        <w:rPr>
          <w:rFonts w:asciiTheme="minorHAnsi" w:hAnsiTheme="minorHAnsi"/>
        </w:rPr>
        <w:t xml:space="preserve">core target </w:t>
      </w:r>
      <w:r w:rsidR="00331380" w:rsidRPr="00C26F5D">
        <w:rPr>
          <w:rFonts w:asciiTheme="minorHAnsi" w:hAnsiTheme="minorHAnsi"/>
        </w:rPr>
        <w:t xml:space="preserve">scenarios. Impacts across all sectors and for all </w:t>
      </w:r>
      <w:r>
        <w:rPr>
          <w:rFonts w:asciiTheme="minorHAnsi" w:hAnsiTheme="minorHAnsi"/>
        </w:rPr>
        <w:t xml:space="preserve">four core </w:t>
      </w:r>
      <w:r w:rsidR="00331380" w:rsidRPr="00C26F5D">
        <w:rPr>
          <w:rFonts w:asciiTheme="minorHAnsi" w:hAnsiTheme="minorHAnsi"/>
        </w:rPr>
        <w:t>target</w:t>
      </w:r>
      <w:r>
        <w:rPr>
          <w:rFonts w:asciiTheme="minorHAnsi" w:hAnsiTheme="minorHAnsi"/>
        </w:rPr>
        <w:t xml:space="preserve"> scenarios</w:t>
      </w:r>
      <w:r w:rsidR="00331380" w:rsidRPr="00C26F5D">
        <w:rPr>
          <w:rFonts w:asciiTheme="minorHAnsi" w:hAnsiTheme="minorHAnsi"/>
        </w:rPr>
        <w:t xml:space="preserve"> are presented</w:t>
      </w:r>
      <w:r w:rsidR="008F23AE" w:rsidRPr="00C26F5D">
        <w:rPr>
          <w:rFonts w:asciiTheme="minorHAnsi" w:hAnsiTheme="minorHAnsi"/>
        </w:rPr>
        <w:t xml:space="preserve"> </w:t>
      </w:r>
      <w:r w:rsidR="00331380" w:rsidRPr="00C26F5D">
        <w:rPr>
          <w:rFonts w:asciiTheme="minorHAnsi" w:hAnsiTheme="minorHAnsi"/>
        </w:rPr>
        <w:t xml:space="preserve">in Appendix </w:t>
      </w:r>
      <w:r w:rsidR="0061775F">
        <w:rPr>
          <w:rFonts w:asciiTheme="minorHAnsi" w:hAnsiTheme="minorHAnsi"/>
        </w:rPr>
        <w:t>D</w:t>
      </w:r>
      <w:r w:rsidR="00331380" w:rsidRPr="00C26F5D">
        <w:rPr>
          <w:rFonts w:asciiTheme="minorHAnsi" w:hAnsiTheme="minorHAnsi"/>
        </w:rPr>
        <w:t>.</w:t>
      </w:r>
    </w:p>
    <w:p w:rsidR="005A280B" w:rsidRPr="001D5606" w:rsidRDefault="005D7BBD" w:rsidP="00B610DA">
      <w:pPr>
        <w:pStyle w:val="ListParagraph"/>
        <w:keepNext/>
        <w:spacing w:after="120"/>
        <w:ind w:left="0"/>
        <w:contextualSpacing w:val="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DF1E22" w:rsidRPr="001D5606">
        <w:rPr>
          <w:rFonts w:asciiTheme="minorHAnsi" w:hAnsiTheme="minorHAnsi" w:cstheme="minorHAnsi"/>
          <w:b/>
          <w:color w:val="4F81BD" w:themeColor="accent1"/>
        </w:rPr>
        <w:t>8</w:t>
      </w:r>
      <w:r w:rsidR="00094AA4" w:rsidRPr="001D5606">
        <w:rPr>
          <w:rFonts w:asciiTheme="minorHAnsi" w:hAnsiTheme="minorHAnsi" w:cstheme="minorHAnsi"/>
          <w:b/>
          <w:color w:val="4F81BD" w:themeColor="accent1"/>
        </w:rPr>
        <w:t xml:space="preserve">: </w:t>
      </w:r>
      <w:r w:rsidR="00094AA4" w:rsidRPr="001D5606">
        <w:rPr>
          <w:rFonts w:asciiTheme="minorHAnsi" w:hAnsiTheme="minorHAnsi" w:cstheme="minorHAnsi"/>
          <w:color w:val="4F81BD" w:themeColor="accent1"/>
        </w:rPr>
        <w:t>Energy sector impacts of -26 per cent target, 2030 (</w:t>
      </w:r>
      <w:r w:rsidR="00FC1AE7" w:rsidRPr="001D5606">
        <w:rPr>
          <w:rFonts w:asciiTheme="minorHAnsi" w:hAnsiTheme="minorHAnsi" w:cstheme="minorHAnsi"/>
          <w:color w:val="4F81BD" w:themeColor="accent1"/>
        </w:rPr>
        <w:t>percentage</w:t>
      </w:r>
      <w:r w:rsidR="00094AA4" w:rsidRPr="001D5606">
        <w:rPr>
          <w:rFonts w:asciiTheme="minorHAnsi" w:hAnsiTheme="minorHAnsi" w:cstheme="minorHAnsi"/>
          <w:color w:val="4F81BD" w:themeColor="accent1"/>
        </w:rPr>
        <w:t xml:space="preserve"> </w:t>
      </w:r>
      <w:r w:rsidRPr="001D5606">
        <w:rPr>
          <w:rFonts w:asciiTheme="minorHAnsi" w:hAnsiTheme="minorHAnsi" w:cstheme="minorHAnsi"/>
          <w:color w:val="4F81BD" w:themeColor="accent1"/>
        </w:rPr>
        <w:t>deviation</w:t>
      </w:r>
      <w:r w:rsidR="00957940">
        <w:rPr>
          <w:rFonts w:asciiTheme="minorHAnsi" w:hAnsiTheme="minorHAnsi" w:cstheme="minorHAnsi"/>
          <w:color w:val="4F81BD" w:themeColor="accent1"/>
        </w:rPr>
        <w:t xml:space="preserve"> from Paris scenario</w:t>
      </w:r>
      <w:r w:rsidRPr="001D5606">
        <w:rPr>
          <w:rFonts w:asciiTheme="minorHAnsi" w:hAnsiTheme="minorHAnsi" w:cstheme="minorHAnsi"/>
          <w:color w:val="4F81BD" w:themeColor="accent1"/>
        </w:rPr>
        <w:t>)</w:t>
      </w:r>
    </w:p>
    <w:p w:rsidR="005D7BBD" w:rsidRPr="001D5606" w:rsidRDefault="005D7BBD" w:rsidP="00B610DA">
      <w:pPr>
        <w:pStyle w:val="ListParagraph"/>
        <w:keepNext/>
        <w:ind w:left="0"/>
        <w:rPr>
          <w:rFonts w:asciiTheme="minorHAnsi" w:hAnsiTheme="minorHAnsi" w:cstheme="minorHAnsi"/>
          <w:i/>
          <w:color w:val="4F81BD" w:themeColor="accent1"/>
        </w:rPr>
      </w:pPr>
      <w:r w:rsidRPr="001D5606">
        <w:rPr>
          <w:rFonts w:asciiTheme="minorHAnsi" w:hAnsiTheme="minorHAnsi" w:cstheme="minorHAnsi"/>
          <w:i/>
          <w:color w:val="4F81BD" w:themeColor="accent1"/>
        </w:rPr>
        <w:t>Output</w:t>
      </w:r>
    </w:p>
    <w:p w:rsidR="005D7BBD" w:rsidRPr="001D5606" w:rsidRDefault="005D7BBD" w:rsidP="00F82A77">
      <w:pPr>
        <w:pStyle w:val="ListParagraph"/>
        <w:ind w:left="0"/>
        <w:rPr>
          <w:rFonts w:asciiTheme="minorHAnsi" w:hAnsiTheme="minorHAnsi" w:cstheme="minorHAnsi"/>
          <w:b/>
          <w:color w:val="4F81BD" w:themeColor="accent1"/>
        </w:rPr>
      </w:pPr>
      <w:r w:rsidRPr="001D5606">
        <w:rPr>
          <w:noProof/>
          <w:color w:val="4F81BD" w:themeColor="accent1"/>
          <w:lang w:eastAsia="en-AU"/>
        </w:rPr>
        <w:drawing>
          <wp:inline distT="0" distB="0" distL="0" distR="0" wp14:anchorId="349C7791" wp14:editId="71A3B716">
            <wp:extent cx="4457143" cy="2771429"/>
            <wp:effectExtent l="0" t="0" r="635" b="0"/>
            <wp:docPr id="57" name="Picture 57" descr="Energy Sector output impacts of a -26 per cent target, percentage deviation from Paris scenario: Gas extraction output (-6.1%), Crude extraction output (-3.8%), Coal mining output (-14.3%), Petroleum refining output (-2.6%), Gas utilities output (-3.3%), Electric utilities output (-11.0%).&#10;" title="Figure 8: Energy sector impacts of -26 per cent target, 2030 (percentage deviation from Paris scenario) -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57143" cy="2771429"/>
                    </a:xfrm>
                    <a:prstGeom prst="rect">
                      <a:avLst/>
                    </a:prstGeom>
                  </pic:spPr>
                </pic:pic>
              </a:graphicData>
            </a:graphic>
          </wp:inline>
        </w:drawing>
      </w:r>
    </w:p>
    <w:p w:rsidR="005D7BBD" w:rsidRPr="001D5606" w:rsidRDefault="005D7BBD" w:rsidP="00B610DA">
      <w:pPr>
        <w:pStyle w:val="ListParagraph"/>
        <w:keepNext/>
        <w:ind w:left="0"/>
        <w:rPr>
          <w:rFonts w:asciiTheme="minorHAnsi" w:hAnsiTheme="minorHAnsi" w:cstheme="minorHAnsi"/>
          <w:i/>
          <w:color w:val="4F81BD" w:themeColor="accent1"/>
        </w:rPr>
      </w:pPr>
      <w:r w:rsidRPr="001D5606">
        <w:rPr>
          <w:rFonts w:asciiTheme="minorHAnsi" w:hAnsiTheme="minorHAnsi" w:cstheme="minorHAnsi"/>
          <w:i/>
          <w:color w:val="4F81BD" w:themeColor="accent1"/>
        </w:rPr>
        <w:t>Exports</w:t>
      </w:r>
    </w:p>
    <w:p w:rsidR="005D7BBD" w:rsidRDefault="005D7BBD" w:rsidP="008D6E55">
      <w:pPr>
        <w:pStyle w:val="ListParagraph"/>
        <w:spacing w:after="240"/>
        <w:ind w:left="0"/>
        <w:contextualSpacing w:val="0"/>
        <w:rPr>
          <w:rFonts w:asciiTheme="minorHAnsi" w:hAnsiTheme="minorHAnsi" w:cstheme="minorHAnsi"/>
          <w:i/>
        </w:rPr>
      </w:pPr>
      <w:r w:rsidRPr="005D7BBD">
        <w:rPr>
          <w:noProof/>
          <w:lang w:eastAsia="en-AU"/>
        </w:rPr>
        <w:drawing>
          <wp:inline distT="0" distB="0" distL="0" distR="0" wp14:anchorId="7C59B11E" wp14:editId="17ECB420">
            <wp:extent cx="4476191" cy="2771429"/>
            <wp:effectExtent l="0" t="0" r="635" b="0"/>
            <wp:docPr id="58" name="Picture 58" descr="Energy Sector export impacts of a -26 per cent target, percentage deviation from Paris scenario: Gas extraction exports (-1.4%), Crude extraction exports (-2.4%), Coal mining exports (-1.6%), Petroleum refining exports (-2.4%), Gas utilities exports (-0.9%).&#10;" title="Figure 8: Energy sector impacts of -26 per cent target, 2030 (percentage deviation from Paris scenario) -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76191" cy="2771429"/>
                    </a:xfrm>
                    <a:prstGeom prst="rect">
                      <a:avLst/>
                    </a:prstGeom>
                  </pic:spPr>
                </pic:pic>
              </a:graphicData>
            </a:graphic>
          </wp:inline>
        </w:drawing>
      </w:r>
    </w:p>
    <w:p w:rsidR="001F4469" w:rsidRPr="00B610DA" w:rsidRDefault="001F4469" w:rsidP="008D6E55">
      <w:pPr>
        <w:pStyle w:val="ListParagraph"/>
        <w:spacing w:after="240"/>
        <w:ind w:left="0"/>
        <w:contextualSpacing w:val="0"/>
        <w:rPr>
          <w:rFonts w:asciiTheme="minorHAnsi" w:hAnsiTheme="minorHAnsi" w:cstheme="minorHAnsi"/>
          <w:i/>
        </w:rPr>
      </w:pPr>
    </w:p>
    <w:p w:rsidR="0065135E" w:rsidRPr="00C26F5D" w:rsidRDefault="00161EE0" w:rsidP="0065135E">
      <w:pPr>
        <w:pStyle w:val="NormalWeb"/>
        <w:spacing w:before="0" w:beforeAutospacing="0"/>
        <w:rPr>
          <w:rFonts w:asciiTheme="minorHAnsi" w:hAnsiTheme="minorHAnsi"/>
        </w:rPr>
      </w:pPr>
      <w:r>
        <w:rPr>
          <w:rFonts w:asciiTheme="minorHAnsi" w:hAnsiTheme="minorHAnsi"/>
        </w:rPr>
        <w:t>A</w:t>
      </w:r>
      <w:r w:rsidRPr="00C26F5D">
        <w:rPr>
          <w:rFonts w:asciiTheme="minorHAnsi" w:hAnsiTheme="minorHAnsi"/>
        </w:rPr>
        <w:t xml:space="preserve"> domestic target </w:t>
      </w:r>
      <w:r>
        <w:rPr>
          <w:rFonts w:asciiTheme="minorHAnsi" w:hAnsiTheme="minorHAnsi"/>
        </w:rPr>
        <w:t>is estimated to have a limited impact on e</w:t>
      </w:r>
      <w:r w:rsidR="0065135E" w:rsidRPr="00C26F5D">
        <w:rPr>
          <w:rFonts w:asciiTheme="minorHAnsi" w:hAnsiTheme="minorHAnsi"/>
        </w:rPr>
        <w:t>nergy exports. Most CO</w:t>
      </w:r>
      <w:r w:rsidR="0065135E" w:rsidRPr="00F021CE">
        <w:rPr>
          <w:rFonts w:asciiTheme="minorHAnsi" w:hAnsiTheme="minorHAnsi"/>
          <w:vertAlign w:val="subscript"/>
        </w:rPr>
        <w:t>2</w:t>
      </w:r>
      <w:r w:rsidR="0065135E" w:rsidRPr="00C26F5D">
        <w:rPr>
          <w:rFonts w:asciiTheme="minorHAnsi" w:hAnsiTheme="minorHAnsi"/>
        </w:rPr>
        <w:t xml:space="preserve"> emissions associated with energy arise from fuel combustion, which occurs in the country of export, rather than from Australian mining or extraction activities. (</w:t>
      </w:r>
      <w:r w:rsidR="00FB38F5">
        <w:rPr>
          <w:rFonts w:asciiTheme="minorHAnsi" w:hAnsiTheme="minorHAnsi"/>
        </w:rPr>
        <w:t>R</w:t>
      </w:r>
      <w:r w:rsidR="00FB38F5" w:rsidRPr="00C26F5D">
        <w:rPr>
          <w:rFonts w:asciiTheme="minorHAnsi" w:hAnsiTheme="minorHAnsi"/>
        </w:rPr>
        <w:t>eport</w:t>
      </w:r>
      <w:r w:rsidR="00FB38F5">
        <w:rPr>
          <w:rFonts w:asciiTheme="minorHAnsi" w:hAnsiTheme="minorHAnsi"/>
        </w:rPr>
        <w:t xml:space="preserve"> 1</w:t>
      </w:r>
      <w:r w:rsidR="00FB38F5" w:rsidRPr="00C26F5D">
        <w:rPr>
          <w:rFonts w:asciiTheme="minorHAnsi" w:hAnsiTheme="minorHAnsi"/>
        </w:rPr>
        <w:t xml:space="preserve"> </w:t>
      </w:r>
      <w:r w:rsidR="0065135E" w:rsidRPr="00C26F5D">
        <w:rPr>
          <w:rFonts w:asciiTheme="minorHAnsi" w:hAnsiTheme="minorHAnsi"/>
        </w:rPr>
        <w:t xml:space="preserve">finds that Australian energy exports and production are affected by the targets </w:t>
      </w:r>
      <w:r w:rsidR="0065135E" w:rsidRPr="00C26F5D">
        <w:rPr>
          <w:rFonts w:asciiTheme="minorHAnsi" w:hAnsiTheme="minorHAnsi"/>
        </w:rPr>
        <w:lastRenderedPageBreak/>
        <w:t xml:space="preserve">adopted in Australia’s energy export markets, as energy demand in those countries is impacted by their </w:t>
      </w:r>
      <w:r w:rsidR="00FB38F5">
        <w:rPr>
          <w:rFonts w:asciiTheme="minorHAnsi" w:hAnsiTheme="minorHAnsi"/>
        </w:rPr>
        <w:t xml:space="preserve">respective </w:t>
      </w:r>
      <w:r w:rsidR="0065135E" w:rsidRPr="00C26F5D">
        <w:rPr>
          <w:rFonts w:asciiTheme="minorHAnsi" w:hAnsiTheme="minorHAnsi"/>
        </w:rPr>
        <w:t xml:space="preserve">targets.) </w:t>
      </w:r>
    </w:p>
    <w:p w:rsidR="0065135E" w:rsidRPr="00C26F5D" w:rsidRDefault="0065135E" w:rsidP="0065135E">
      <w:pPr>
        <w:pStyle w:val="NormalWeb"/>
        <w:spacing w:before="0" w:beforeAutospacing="0"/>
        <w:rPr>
          <w:rFonts w:asciiTheme="minorHAnsi" w:hAnsiTheme="minorHAnsi"/>
        </w:rPr>
      </w:pPr>
      <w:r w:rsidRPr="00C26F5D">
        <w:rPr>
          <w:rFonts w:asciiTheme="minorHAnsi" w:hAnsiTheme="minorHAnsi"/>
        </w:rPr>
        <w:t xml:space="preserve">The impacts on non-energy sectors from an Australian target are small, as they are </w:t>
      </w:r>
      <w:r w:rsidR="00FB38F5">
        <w:rPr>
          <w:rFonts w:asciiTheme="minorHAnsi" w:hAnsiTheme="minorHAnsi"/>
        </w:rPr>
        <w:t xml:space="preserve">impacted only indirectly by the </w:t>
      </w:r>
      <w:r w:rsidRPr="00C26F5D">
        <w:rPr>
          <w:rFonts w:asciiTheme="minorHAnsi" w:hAnsiTheme="minorHAnsi"/>
        </w:rPr>
        <w:t xml:space="preserve">energy </w:t>
      </w:r>
      <w:r w:rsidR="00FB38F5">
        <w:rPr>
          <w:rFonts w:asciiTheme="minorHAnsi" w:hAnsiTheme="minorHAnsi"/>
        </w:rPr>
        <w:t>sector policies modelled</w:t>
      </w:r>
      <w:r w:rsidRPr="00C26F5D">
        <w:rPr>
          <w:rFonts w:asciiTheme="minorHAnsi" w:hAnsiTheme="minorHAnsi"/>
        </w:rPr>
        <w:t xml:space="preserve">. </w:t>
      </w:r>
    </w:p>
    <w:p w:rsidR="00A86BEC" w:rsidRDefault="006B0A46">
      <w:pPr>
        <w:rPr>
          <w:rFonts w:asciiTheme="minorHAnsi" w:hAnsiTheme="minorHAnsi" w:cstheme="minorHAnsi"/>
          <w:b/>
          <w:color w:val="0070C0"/>
          <w:sz w:val="40"/>
        </w:rPr>
      </w:pPr>
      <w:r w:rsidRPr="006B0A46">
        <w:rPr>
          <w:rFonts w:asciiTheme="minorHAnsi" w:hAnsiTheme="minorHAnsi"/>
        </w:rPr>
        <w:t xml:space="preserve">Appendix </w:t>
      </w:r>
      <w:r w:rsidR="0061775F">
        <w:rPr>
          <w:rFonts w:asciiTheme="minorHAnsi" w:hAnsiTheme="minorHAnsi"/>
        </w:rPr>
        <w:t>F</w:t>
      </w:r>
      <w:r w:rsidRPr="006B0A46">
        <w:rPr>
          <w:rFonts w:asciiTheme="minorHAnsi" w:hAnsiTheme="minorHAnsi"/>
        </w:rPr>
        <w:t xml:space="preserve"> presents sensitivity analysis on changing the policy mix. It finds that allowing some use of international units – around 45 per cent of abatement – reduces economic impacts by between one third and two thirds depending on the </w:t>
      </w:r>
      <w:r w:rsidR="00385ABD">
        <w:rPr>
          <w:rFonts w:asciiTheme="minorHAnsi" w:hAnsiTheme="minorHAnsi"/>
        </w:rPr>
        <w:t>target</w:t>
      </w:r>
      <w:r w:rsidRPr="006B0A46">
        <w:rPr>
          <w:rFonts w:asciiTheme="minorHAnsi" w:hAnsiTheme="minorHAnsi"/>
        </w:rPr>
        <w:t>.</w:t>
      </w:r>
      <w:r w:rsidR="00A86BEC">
        <w:rPr>
          <w:rFonts w:asciiTheme="minorHAnsi" w:hAnsiTheme="minorHAnsi" w:cstheme="minorHAnsi"/>
          <w:b/>
          <w:color w:val="0070C0"/>
          <w:sz w:val="40"/>
        </w:rPr>
        <w:br w:type="page"/>
      </w:r>
    </w:p>
    <w:p w:rsidR="009D1033" w:rsidRDefault="009D1033" w:rsidP="00D85150">
      <w:pPr>
        <w:pStyle w:val="ListParagraph"/>
        <w:ind w:left="0"/>
        <w:rPr>
          <w:rFonts w:asciiTheme="minorHAnsi" w:hAnsiTheme="minorHAnsi" w:cstheme="minorHAnsi"/>
        </w:rPr>
      </w:pPr>
    </w:p>
    <w:p w:rsidR="00D93142" w:rsidRPr="001D5606" w:rsidRDefault="00D93142" w:rsidP="00D93142">
      <w:pPr>
        <w:spacing w:after="120"/>
        <w:rPr>
          <w:rFonts w:asciiTheme="minorHAnsi" w:hAnsiTheme="minorHAnsi" w:cstheme="minorHAnsi"/>
          <w:b/>
          <w:color w:val="996633"/>
          <w:sz w:val="40"/>
        </w:rPr>
      </w:pPr>
      <w:r w:rsidRPr="001D5606">
        <w:rPr>
          <w:rFonts w:asciiTheme="minorHAnsi" w:hAnsiTheme="minorHAnsi" w:cstheme="minorHAnsi"/>
          <w:b/>
          <w:color w:val="996633"/>
          <w:sz w:val="40"/>
        </w:rPr>
        <w:t xml:space="preserve">Appendix </w:t>
      </w:r>
      <w:r w:rsidR="0061775F" w:rsidRPr="001D5606">
        <w:rPr>
          <w:rFonts w:asciiTheme="minorHAnsi" w:hAnsiTheme="minorHAnsi" w:cstheme="minorHAnsi"/>
          <w:b/>
          <w:color w:val="996633"/>
          <w:sz w:val="40"/>
        </w:rPr>
        <w:t>A</w:t>
      </w:r>
      <w:r w:rsidRPr="001D5606">
        <w:rPr>
          <w:rFonts w:asciiTheme="minorHAnsi" w:hAnsiTheme="minorHAnsi" w:cstheme="minorHAnsi"/>
          <w:b/>
          <w:color w:val="996633"/>
          <w:sz w:val="40"/>
        </w:rPr>
        <w:t>: Emissions and abatement</w:t>
      </w:r>
      <w:r w:rsidR="00C1101A" w:rsidRPr="001D5606">
        <w:rPr>
          <w:rFonts w:asciiTheme="minorHAnsi" w:hAnsiTheme="minorHAnsi" w:cstheme="minorHAnsi"/>
          <w:b/>
          <w:color w:val="996633"/>
          <w:sz w:val="40"/>
        </w:rPr>
        <w:t xml:space="preserve"> under target scenarios</w:t>
      </w:r>
    </w:p>
    <w:p w:rsidR="00D93142" w:rsidRPr="001D5606" w:rsidRDefault="00D93142" w:rsidP="00D93142">
      <w:pPr>
        <w:spacing w:after="12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Table </w:t>
      </w:r>
      <w:r w:rsidR="0061775F" w:rsidRPr="001D5606">
        <w:rPr>
          <w:rFonts w:asciiTheme="minorHAnsi" w:hAnsiTheme="minorHAnsi" w:cstheme="minorHAnsi"/>
          <w:b/>
          <w:color w:val="4F81BD" w:themeColor="accent1"/>
        </w:rPr>
        <w:t>A</w:t>
      </w:r>
      <w:r w:rsidRPr="001D5606">
        <w:rPr>
          <w:rFonts w:asciiTheme="minorHAnsi" w:hAnsiTheme="minorHAnsi" w:cstheme="minorHAnsi"/>
          <w:b/>
          <w:color w:val="4F81BD" w:themeColor="accent1"/>
        </w:rPr>
        <w:t xml:space="preserve">-1: </w:t>
      </w:r>
      <w:r w:rsidR="003800AE" w:rsidRPr="003800AE">
        <w:rPr>
          <w:rFonts w:asciiTheme="minorHAnsi" w:hAnsiTheme="minorHAnsi" w:cstheme="minorHAnsi"/>
          <w:color w:val="4F81BD" w:themeColor="accent1"/>
        </w:rPr>
        <w:t>Energy sector e</w:t>
      </w:r>
      <w:r w:rsidRPr="001D5606">
        <w:rPr>
          <w:rFonts w:asciiTheme="minorHAnsi" w:hAnsiTheme="minorHAnsi" w:cstheme="minorHAnsi"/>
          <w:color w:val="4F81BD" w:themeColor="accent1"/>
        </w:rPr>
        <w:t>missions and abatement</w:t>
      </w:r>
      <w:r w:rsidR="003800AE">
        <w:rPr>
          <w:rFonts w:asciiTheme="minorHAnsi" w:hAnsiTheme="minorHAnsi" w:cstheme="minorHAnsi"/>
          <w:color w:val="4F81BD" w:themeColor="accent1"/>
        </w:rPr>
        <w:t xml:space="preserve"> </w:t>
      </w:r>
      <w:r w:rsidRPr="001D5606">
        <w:rPr>
          <w:rFonts w:asciiTheme="minorHAnsi" w:hAnsiTheme="minorHAnsi" w:cstheme="minorHAnsi"/>
          <w:color w:val="4F81BD" w:themeColor="accent1"/>
        </w:rPr>
        <w:t xml:space="preserve">– core </w:t>
      </w:r>
      <w:r w:rsidR="00385ABD"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 xml:space="preserve">scenarios and </w:t>
      </w:r>
      <w:r w:rsidR="00C64E4A" w:rsidRPr="001D5606">
        <w:rPr>
          <w:rFonts w:asciiTheme="minorHAnsi" w:hAnsiTheme="minorHAnsi" w:cstheme="minorHAnsi"/>
          <w:color w:val="4F81BD" w:themeColor="accent1"/>
        </w:rPr>
        <w:t xml:space="preserve">policy mix </w:t>
      </w:r>
      <w:r w:rsidRPr="001D5606">
        <w:rPr>
          <w:rFonts w:asciiTheme="minorHAnsi" w:hAnsiTheme="minorHAnsi" w:cstheme="minorHAnsi"/>
          <w:color w:val="4F81BD" w:themeColor="accent1"/>
        </w:rPr>
        <w:t>sensitivity analysis, 2030 (Mt CO</w:t>
      </w:r>
      <w:r w:rsidRPr="001D5606">
        <w:rPr>
          <w:rFonts w:asciiTheme="minorHAnsi" w:hAnsiTheme="minorHAnsi" w:cstheme="minorHAnsi"/>
          <w:color w:val="4F81BD" w:themeColor="accent1"/>
          <w:vertAlign w:val="subscript"/>
        </w:rPr>
        <w:t>2</w:t>
      </w:r>
      <w:r w:rsidRPr="001D5606">
        <w:rPr>
          <w:rFonts w:asciiTheme="minorHAnsi" w:hAnsiTheme="minorHAnsi" w:cstheme="minorHAnsi"/>
          <w:color w:val="4F81BD" w:themeColor="accent1"/>
        </w:rPr>
        <w:t>)</w:t>
      </w:r>
    </w:p>
    <w:tbl>
      <w:tblPr>
        <w:tblStyle w:val="LightList-Accent1"/>
        <w:tblW w:w="8897" w:type="dxa"/>
        <w:tblLayout w:type="fixed"/>
        <w:tblLook w:val="04A0" w:firstRow="1" w:lastRow="0" w:firstColumn="1" w:lastColumn="0" w:noHBand="0" w:noVBand="1"/>
      </w:tblPr>
      <w:tblGrid>
        <w:gridCol w:w="2093"/>
        <w:gridCol w:w="850"/>
        <w:gridCol w:w="851"/>
        <w:gridCol w:w="850"/>
        <w:gridCol w:w="851"/>
        <w:gridCol w:w="850"/>
        <w:gridCol w:w="851"/>
        <w:gridCol w:w="850"/>
        <w:gridCol w:w="851"/>
      </w:tblGrid>
      <w:tr w:rsidR="00D93142" w:rsidRPr="002B2FD1" w:rsidTr="002B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996633"/>
              <w:left w:val="single" w:sz="8" w:space="0" w:color="996633"/>
              <w:bottom w:val="single" w:sz="8" w:space="0" w:color="996633"/>
            </w:tcBorders>
            <w:shd w:val="clear" w:color="auto" w:fill="996633"/>
          </w:tcPr>
          <w:p w:rsidR="00D93142" w:rsidRPr="002B2FD1" w:rsidRDefault="00D93142" w:rsidP="00D93142">
            <w:pPr>
              <w:rPr>
                <w:rFonts w:asciiTheme="minorHAnsi" w:hAnsiTheme="minorHAnsi" w:cstheme="minorHAnsi"/>
                <w:color w:val="auto"/>
                <w:sz w:val="22"/>
                <w:szCs w:val="22"/>
              </w:rPr>
            </w:pPr>
          </w:p>
        </w:tc>
        <w:tc>
          <w:tcPr>
            <w:tcW w:w="3402" w:type="dxa"/>
            <w:gridSpan w:val="4"/>
            <w:tcBorders>
              <w:top w:val="single" w:sz="8" w:space="0" w:color="996633"/>
              <w:bottom w:val="single" w:sz="8" w:space="0" w:color="996633"/>
            </w:tcBorders>
            <w:shd w:val="clear" w:color="auto" w:fill="996633"/>
          </w:tcPr>
          <w:p w:rsidR="00D93142" w:rsidRPr="002B2FD1" w:rsidRDefault="00C64E4A" w:rsidP="00D9314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2B2FD1">
              <w:rPr>
                <w:rFonts w:asciiTheme="minorHAnsi" w:hAnsiTheme="minorHAnsi" w:cstheme="minorHAnsi"/>
                <w:sz w:val="22"/>
                <w:szCs w:val="22"/>
              </w:rPr>
              <w:t xml:space="preserve">Core </w:t>
            </w:r>
            <w:r w:rsidR="00385ABD" w:rsidRPr="002B2FD1">
              <w:rPr>
                <w:rFonts w:asciiTheme="minorHAnsi" w:hAnsiTheme="minorHAnsi" w:cstheme="minorHAnsi"/>
                <w:sz w:val="22"/>
                <w:szCs w:val="22"/>
              </w:rPr>
              <w:t xml:space="preserve">target </w:t>
            </w:r>
            <w:r w:rsidRPr="002B2FD1">
              <w:rPr>
                <w:rFonts w:asciiTheme="minorHAnsi" w:hAnsiTheme="minorHAnsi" w:cstheme="minorHAnsi"/>
                <w:sz w:val="22"/>
                <w:szCs w:val="22"/>
              </w:rPr>
              <w:t>scenarios</w:t>
            </w:r>
          </w:p>
        </w:tc>
        <w:tc>
          <w:tcPr>
            <w:tcW w:w="3402" w:type="dxa"/>
            <w:gridSpan w:val="4"/>
            <w:tcBorders>
              <w:top w:val="single" w:sz="8" w:space="0" w:color="996633"/>
              <w:bottom w:val="single" w:sz="8" w:space="0" w:color="996633"/>
              <w:right w:val="single" w:sz="8" w:space="0" w:color="996633"/>
            </w:tcBorders>
            <w:shd w:val="clear" w:color="auto" w:fill="996633"/>
          </w:tcPr>
          <w:p w:rsidR="00D93142" w:rsidRPr="002B2FD1" w:rsidRDefault="00C64E4A" w:rsidP="00C64E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2FD1">
              <w:rPr>
                <w:rFonts w:asciiTheme="minorHAnsi" w:hAnsiTheme="minorHAnsi" w:cstheme="minorHAnsi"/>
                <w:sz w:val="22"/>
                <w:szCs w:val="22"/>
              </w:rPr>
              <w:t xml:space="preserve">Sensitivity scenarios – </w:t>
            </w:r>
          </w:p>
          <w:p w:rsidR="00C64E4A" w:rsidRPr="002B2FD1" w:rsidRDefault="00C64E4A" w:rsidP="00C64E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2FD1">
              <w:rPr>
                <w:rFonts w:asciiTheme="minorHAnsi" w:hAnsiTheme="minorHAnsi" w:cstheme="minorHAnsi"/>
                <w:sz w:val="22"/>
                <w:szCs w:val="22"/>
              </w:rPr>
              <w:t>policy mix</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996633"/>
              <w:left w:val="single" w:sz="8" w:space="0" w:color="996633"/>
              <w:bottom w:val="single" w:sz="8" w:space="0" w:color="996633"/>
            </w:tcBorders>
            <w:shd w:val="clear" w:color="auto" w:fill="E2C4A6"/>
          </w:tcPr>
          <w:p w:rsidR="00D93142" w:rsidRPr="002B2FD1" w:rsidRDefault="00D93142" w:rsidP="00D93142">
            <w:pPr>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Target</w:t>
            </w:r>
          </w:p>
        </w:tc>
        <w:tc>
          <w:tcPr>
            <w:tcW w:w="850"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-13%</w:t>
            </w:r>
          </w:p>
        </w:tc>
        <w:tc>
          <w:tcPr>
            <w:tcW w:w="851"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-26%</w:t>
            </w:r>
          </w:p>
        </w:tc>
        <w:tc>
          <w:tcPr>
            <w:tcW w:w="850"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-35%</w:t>
            </w:r>
          </w:p>
        </w:tc>
        <w:tc>
          <w:tcPr>
            <w:tcW w:w="851"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-45%</w:t>
            </w:r>
          </w:p>
        </w:tc>
        <w:tc>
          <w:tcPr>
            <w:tcW w:w="850"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-13%</w:t>
            </w:r>
          </w:p>
        </w:tc>
        <w:tc>
          <w:tcPr>
            <w:tcW w:w="851"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-26%</w:t>
            </w:r>
          </w:p>
        </w:tc>
        <w:tc>
          <w:tcPr>
            <w:tcW w:w="850" w:type="dxa"/>
            <w:tcBorders>
              <w:top w:val="single" w:sz="8" w:space="0" w:color="996633"/>
              <w:bottom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-35%</w:t>
            </w:r>
          </w:p>
        </w:tc>
        <w:tc>
          <w:tcPr>
            <w:tcW w:w="851" w:type="dxa"/>
            <w:tcBorders>
              <w:top w:val="single" w:sz="8" w:space="0" w:color="996633"/>
              <w:bottom w:val="single" w:sz="8" w:space="0" w:color="996633"/>
              <w:right w:val="single" w:sz="8" w:space="0" w:color="996633"/>
            </w:tcBorders>
            <w:shd w:val="clear" w:color="auto" w:fill="E2C4A6"/>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b/>
                <w:color w:val="4F81BD" w:themeColor="accent1"/>
                <w:sz w:val="22"/>
                <w:szCs w:val="22"/>
              </w:rPr>
              <w:t>-45%</w:t>
            </w:r>
          </w:p>
        </w:tc>
      </w:tr>
      <w:tr w:rsidR="002B2FD1" w:rsidRPr="002B2FD1" w:rsidTr="002B2FD1">
        <w:tc>
          <w:tcPr>
            <w:cnfStyle w:val="001000000000" w:firstRow="0" w:lastRow="0" w:firstColumn="1" w:lastColumn="0" w:oddVBand="0" w:evenVBand="0" w:oddHBand="0" w:evenHBand="0" w:firstRowFirstColumn="0" w:firstRowLastColumn="0" w:lastRowFirstColumn="0" w:lastRowLastColumn="0"/>
            <w:tcW w:w="2093" w:type="dxa"/>
            <w:tcBorders>
              <w:top w:val="nil"/>
              <w:left w:val="single" w:sz="8" w:space="0" w:color="996633"/>
              <w:bottom w:val="nil"/>
              <w:right w:val="nil"/>
            </w:tcBorders>
          </w:tcPr>
          <w:p w:rsidR="00D93142" w:rsidRPr="002B2FD1" w:rsidRDefault="00D93142" w:rsidP="00D93142">
            <w:pPr>
              <w:spacing w:after="12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Target emissions</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330.4</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277.6</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241.1</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200.5</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330.4</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277.6</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241.1</w:t>
            </w:r>
          </w:p>
        </w:tc>
        <w:tc>
          <w:tcPr>
            <w:tcW w:w="851" w:type="dxa"/>
            <w:tcBorders>
              <w:top w:val="nil"/>
              <w:left w:val="nil"/>
              <w:bottom w:val="nil"/>
              <w:right w:val="single" w:sz="8" w:space="0" w:color="996633"/>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200.5</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single" w:sz="8" w:space="0" w:color="996633"/>
              <w:bottom w:val="nil"/>
              <w:right w:val="nil"/>
            </w:tcBorders>
          </w:tcPr>
          <w:p w:rsidR="00D93142" w:rsidRPr="002B2FD1" w:rsidRDefault="00D93142" w:rsidP="00D93142">
            <w:pPr>
              <w:spacing w:after="12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Emissions reduction</w:t>
            </w:r>
          </w:p>
        </w:tc>
        <w:tc>
          <w:tcPr>
            <w:tcW w:w="850"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45.6</w:t>
            </w:r>
          </w:p>
        </w:tc>
        <w:tc>
          <w:tcPr>
            <w:tcW w:w="851"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98.4</w:t>
            </w:r>
          </w:p>
        </w:tc>
        <w:tc>
          <w:tcPr>
            <w:tcW w:w="850"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134.9</w:t>
            </w:r>
          </w:p>
        </w:tc>
        <w:tc>
          <w:tcPr>
            <w:tcW w:w="851"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175.5</w:t>
            </w:r>
          </w:p>
        </w:tc>
        <w:tc>
          <w:tcPr>
            <w:tcW w:w="850"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45.6</w:t>
            </w:r>
          </w:p>
        </w:tc>
        <w:tc>
          <w:tcPr>
            <w:tcW w:w="851"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98.4</w:t>
            </w:r>
          </w:p>
        </w:tc>
        <w:tc>
          <w:tcPr>
            <w:tcW w:w="850" w:type="dxa"/>
            <w:tcBorders>
              <w:top w:val="nil"/>
              <w:left w:val="nil"/>
              <w:bottom w:val="nil"/>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134.9</w:t>
            </w:r>
          </w:p>
        </w:tc>
        <w:tc>
          <w:tcPr>
            <w:tcW w:w="851" w:type="dxa"/>
            <w:tcBorders>
              <w:top w:val="nil"/>
              <w:left w:val="nil"/>
              <w:bottom w:val="nil"/>
              <w:right w:val="single" w:sz="8" w:space="0" w:color="996633"/>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175.5</w:t>
            </w:r>
          </w:p>
        </w:tc>
      </w:tr>
      <w:tr w:rsidR="002B2FD1" w:rsidRPr="002B2FD1" w:rsidTr="002B2FD1">
        <w:tc>
          <w:tcPr>
            <w:cnfStyle w:val="001000000000" w:firstRow="0" w:lastRow="0" w:firstColumn="1" w:lastColumn="0" w:oddVBand="0" w:evenVBand="0" w:oddHBand="0" w:evenHBand="0" w:firstRowFirstColumn="0" w:firstRowLastColumn="0" w:lastRowFirstColumn="0" w:lastRowLastColumn="0"/>
            <w:tcW w:w="2093" w:type="dxa"/>
            <w:tcBorders>
              <w:top w:val="nil"/>
              <w:left w:val="single" w:sz="8" w:space="0" w:color="996633"/>
              <w:bottom w:val="nil"/>
              <w:right w:val="nil"/>
            </w:tcBorders>
          </w:tcPr>
          <w:p w:rsidR="00D93142" w:rsidRPr="002B2FD1" w:rsidRDefault="00D93142" w:rsidP="00D93142">
            <w:pPr>
              <w:ind w:left="142"/>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Domestic abatement</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45.6</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98.4</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134.9</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175.5</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25.3</w:t>
            </w:r>
          </w:p>
        </w:tc>
        <w:tc>
          <w:tcPr>
            <w:tcW w:w="851"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54.5</w:t>
            </w:r>
          </w:p>
        </w:tc>
        <w:tc>
          <w:tcPr>
            <w:tcW w:w="850" w:type="dxa"/>
            <w:tcBorders>
              <w:top w:val="nil"/>
              <w:left w:val="nil"/>
              <w:bottom w:val="nil"/>
              <w:right w:val="nil"/>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74.8</w:t>
            </w:r>
          </w:p>
        </w:tc>
        <w:tc>
          <w:tcPr>
            <w:tcW w:w="851" w:type="dxa"/>
            <w:tcBorders>
              <w:top w:val="nil"/>
              <w:left w:val="nil"/>
              <w:bottom w:val="nil"/>
              <w:right w:val="single" w:sz="8" w:space="0" w:color="996633"/>
            </w:tcBorders>
          </w:tcPr>
          <w:p w:rsidR="00D93142" w:rsidRPr="002B2FD1" w:rsidRDefault="00D93142" w:rsidP="00D9314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97.3</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single" w:sz="8" w:space="0" w:color="996633"/>
              <w:bottom w:val="single" w:sz="8" w:space="0" w:color="996633"/>
              <w:right w:val="nil"/>
            </w:tcBorders>
          </w:tcPr>
          <w:p w:rsidR="00D93142" w:rsidRPr="002B2FD1" w:rsidRDefault="00D93142" w:rsidP="00D93142">
            <w:pPr>
              <w:ind w:left="142"/>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International units</w:t>
            </w:r>
          </w:p>
        </w:tc>
        <w:tc>
          <w:tcPr>
            <w:tcW w:w="850"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na</w:t>
            </w:r>
          </w:p>
        </w:tc>
        <w:tc>
          <w:tcPr>
            <w:tcW w:w="851"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na</w:t>
            </w:r>
          </w:p>
        </w:tc>
        <w:tc>
          <w:tcPr>
            <w:tcW w:w="850"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na</w:t>
            </w:r>
          </w:p>
        </w:tc>
        <w:tc>
          <w:tcPr>
            <w:tcW w:w="851"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na</w:t>
            </w:r>
          </w:p>
        </w:tc>
        <w:tc>
          <w:tcPr>
            <w:tcW w:w="850"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20.3</w:t>
            </w:r>
          </w:p>
        </w:tc>
        <w:tc>
          <w:tcPr>
            <w:tcW w:w="851"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43.8</w:t>
            </w:r>
          </w:p>
        </w:tc>
        <w:tc>
          <w:tcPr>
            <w:tcW w:w="850" w:type="dxa"/>
            <w:tcBorders>
              <w:top w:val="nil"/>
              <w:left w:val="nil"/>
              <w:bottom w:val="single" w:sz="8" w:space="0" w:color="996633"/>
              <w:right w:val="nil"/>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60.1</w:t>
            </w:r>
          </w:p>
        </w:tc>
        <w:tc>
          <w:tcPr>
            <w:tcW w:w="851" w:type="dxa"/>
            <w:tcBorders>
              <w:top w:val="nil"/>
              <w:left w:val="nil"/>
              <w:bottom w:val="single" w:sz="8" w:space="0" w:color="996633"/>
              <w:right w:val="single" w:sz="8" w:space="0" w:color="996633"/>
            </w:tcBorders>
          </w:tcPr>
          <w:p w:rsidR="00D93142" w:rsidRPr="002B2FD1" w:rsidRDefault="00D93142" w:rsidP="00D9314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sz w:val="22"/>
                <w:szCs w:val="22"/>
              </w:rPr>
            </w:pPr>
            <w:r w:rsidRPr="002B2FD1">
              <w:rPr>
                <w:rFonts w:asciiTheme="minorHAnsi" w:hAnsiTheme="minorHAnsi" w:cstheme="minorHAnsi"/>
                <w:color w:val="4F81BD" w:themeColor="accent1"/>
                <w:sz w:val="22"/>
                <w:szCs w:val="22"/>
              </w:rPr>
              <w:t>78.2</w:t>
            </w:r>
          </w:p>
        </w:tc>
      </w:tr>
    </w:tbl>
    <w:p w:rsidR="00D93142" w:rsidRDefault="00D93142" w:rsidP="00D93142">
      <w:pPr>
        <w:spacing w:before="120" w:after="120"/>
        <w:rPr>
          <w:rFonts w:asciiTheme="minorHAnsi" w:hAnsiTheme="minorHAnsi" w:cstheme="minorHAnsi"/>
          <w:b/>
        </w:rPr>
      </w:pPr>
    </w:p>
    <w:p w:rsidR="00D93142" w:rsidRDefault="00D93142">
      <w:pPr>
        <w:rPr>
          <w:rFonts w:asciiTheme="minorHAnsi" w:hAnsiTheme="minorHAnsi" w:cstheme="minorHAnsi"/>
          <w:b/>
        </w:rPr>
      </w:pPr>
      <w:r>
        <w:rPr>
          <w:rFonts w:asciiTheme="minorHAnsi" w:hAnsiTheme="minorHAnsi" w:cstheme="minorHAnsi"/>
          <w:b/>
        </w:rPr>
        <w:br w:type="page"/>
      </w:r>
    </w:p>
    <w:p w:rsidR="00A936C4" w:rsidRPr="001D5606" w:rsidRDefault="00A936C4" w:rsidP="00C8393C">
      <w:pPr>
        <w:spacing w:after="120"/>
        <w:rPr>
          <w:rFonts w:asciiTheme="minorHAnsi" w:hAnsiTheme="minorHAnsi" w:cstheme="minorHAnsi"/>
          <w:b/>
          <w:color w:val="996633"/>
          <w:sz w:val="40"/>
        </w:rPr>
      </w:pPr>
      <w:r w:rsidRPr="001D5606">
        <w:rPr>
          <w:rFonts w:asciiTheme="minorHAnsi" w:hAnsiTheme="minorHAnsi" w:cstheme="minorHAnsi"/>
          <w:b/>
          <w:color w:val="996633"/>
          <w:sz w:val="40"/>
        </w:rPr>
        <w:lastRenderedPageBreak/>
        <w:t xml:space="preserve">APPENDIX </w:t>
      </w:r>
      <w:r w:rsidR="0061775F" w:rsidRPr="001D5606">
        <w:rPr>
          <w:rFonts w:asciiTheme="minorHAnsi" w:hAnsiTheme="minorHAnsi" w:cstheme="minorHAnsi"/>
          <w:b/>
          <w:color w:val="996633"/>
          <w:sz w:val="40"/>
        </w:rPr>
        <w:t>B</w:t>
      </w:r>
      <w:r w:rsidRPr="001D5606">
        <w:rPr>
          <w:rFonts w:asciiTheme="minorHAnsi" w:hAnsiTheme="minorHAnsi" w:cstheme="minorHAnsi"/>
          <w:b/>
          <w:color w:val="996633"/>
          <w:sz w:val="40"/>
        </w:rPr>
        <w:t>: Overall economic impacts</w:t>
      </w:r>
    </w:p>
    <w:p w:rsidR="00386E67" w:rsidRPr="001D5606" w:rsidRDefault="00386E67" w:rsidP="00386E67">
      <w:pPr>
        <w:keepNext/>
        <w:spacing w:before="120" w:after="12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61775F" w:rsidRPr="001D5606">
        <w:rPr>
          <w:rFonts w:asciiTheme="minorHAnsi" w:hAnsiTheme="minorHAnsi" w:cstheme="minorHAnsi"/>
          <w:b/>
          <w:color w:val="4F81BD" w:themeColor="accent1"/>
        </w:rPr>
        <w:t>B</w:t>
      </w:r>
      <w:r w:rsidRPr="001D5606">
        <w:rPr>
          <w:rFonts w:asciiTheme="minorHAnsi" w:hAnsiTheme="minorHAnsi" w:cstheme="minorHAnsi"/>
          <w:b/>
          <w:color w:val="4F81BD" w:themeColor="accent1"/>
        </w:rPr>
        <w:t xml:space="preserve">-1: </w:t>
      </w:r>
      <w:r w:rsidRPr="001D5606">
        <w:rPr>
          <w:rFonts w:asciiTheme="minorHAnsi" w:hAnsiTheme="minorHAnsi" w:cstheme="minorHAnsi"/>
          <w:color w:val="4F81BD" w:themeColor="accent1"/>
        </w:rPr>
        <w:t>Economic impacts</w:t>
      </w:r>
      <w:r w:rsidR="0058087E" w:rsidRPr="001D5606">
        <w:rPr>
          <w:rFonts w:asciiTheme="minorHAnsi" w:hAnsiTheme="minorHAnsi" w:cstheme="minorHAnsi"/>
          <w:color w:val="4F81BD" w:themeColor="accent1"/>
        </w:rPr>
        <w:t xml:space="preserve"> – c</w:t>
      </w:r>
      <w:r w:rsidRPr="001D5606">
        <w:rPr>
          <w:rFonts w:asciiTheme="minorHAnsi" w:hAnsiTheme="minorHAnsi" w:cstheme="minorHAnsi"/>
          <w:color w:val="4F81BD" w:themeColor="accent1"/>
        </w:rPr>
        <w:t>ore target sce</w:t>
      </w:r>
      <w:r w:rsidR="00E8072C" w:rsidRPr="001D5606">
        <w:rPr>
          <w:rFonts w:asciiTheme="minorHAnsi" w:hAnsiTheme="minorHAnsi" w:cstheme="minorHAnsi"/>
          <w:color w:val="4F81BD" w:themeColor="accent1"/>
        </w:rPr>
        <w:t>narios, 2015 to 2030 (</w:t>
      </w:r>
      <w:r w:rsidR="00FC1AE7" w:rsidRPr="001D5606">
        <w:rPr>
          <w:rFonts w:asciiTheme="minorHAnsi" w:hAnsiTheme="minorHAnsi" w:cstheme="minorHAnsi"/>
          <w:color w:val="4F81BD" w:themeColor="accent1"/>
        </w:rPr>
        <w:t>percentage</w:t>
      </w:r>
      <w:r w:rsidRPr="001D5606">
        <w:rPr>
          <w:rFonts w:asciiTheme="minorHAnsi" w:hAnsiTheme="minorHAnsi" w:cstheme="minorHAnsi"/>
          <w:color w:val="4F81BD" w:themeColor="accent1"/>
        </w:rPr>
        <w:t xml:space="preserve"> deviation</w:t>
      </w:r>
      <w:r w:rsidR="00957940">
        <w:rPr>
          <w:rFonts w:asciiTheme="minorHAnsi" w:hAnsiTheme="minorHAnsi" w:cstheme="minorHAnsi"/>
          <w:color w:val="4F81BD" w:themeColor="accent1"/>
        </w:rPr>
        <w:t xml:space="preserve"> from Paris scenario</w:t>
      </w:r>
      <w:r w:rsidRPr="001D5606">
        <w:rPr>
          <w:rFonts w:asciiTheme="minorHAnsi" w:hAnsiTheme="minorHAnsi" w:cstheme="minorHAnsi"/>
          <w:color w:val="4F81BD" w:themeColor="accent1"/>
        </w:rPr>
        <w:t>)</w:t>
      </w:r>
    </w:p>
    <w:p w:rsidR="00DB5E78" w:rsidRPr="001D5606" w:rsidRDefault="00386E67" w:rsidP="00A936C4">
      <w:pPr>
        <w:keepNext/>
        <w:spacing w:before="120" w:after="120"/>
        <w:rPr>
          <w:rFonts w:asciiTheme="minorHAnsi" w:hAnsiTheme="minorHAnsi" w:cstheme="minorHAnsi"/>
          <w:b/>
          <w:color w:val="4F81BD" w:themeColor="accent1"/>
        </w:rPr>
      </w:pPr>
      <w:r w:rsidRPr="001D5606">
        <w:rPr>
          <w:rFonts w:asciiTheme="minorHAnsi" w:hAnsiTheme="minorHAnsi" w:cstheme="minorHAnsi"/>
          <w:i/>
          <w:color w:val="4F81BD" w:themeColor="accent1"/>
        </w:rPr>
        <w:t>Real GDP</w:t>
      </w:r>
    </w:p>
    <w:p w:rsidR="00A936C4" w:rsidRPr="001D5606" w:rsidRDefault="00E96E32" w:rsidP="00A936C4">
      <w:pPr>
        <w:rPr>
          <w:rFonts w:asciiTheme="minorHAnsi" w:hAnsiTheme="minorHAnsi" w:cstheme="minorHAnsi"/>
          <w:b/>
          <w:color w:val="4F81BD" w:themeColor="accent1"/>
        </w:rPr>
      </w:pPr>
      <w:r w:rsidRPr="001D5606">
        <w:rPr>
          <w:noProof/>
          <w:color w:val="4F81BD" w:themeColor="accent1"/>
          <w:lang w:eastAsia="en-AU"/>
        </w:rPr>
        <w:drawing>
          <wp:inline distT="0" distB="0" distL="0" distR="0" wp14:anchorId="029439E3" wp14:editId="0B7D6082">
            <wp:extent cx="5152381" cy="3123810"/>
            <wp:effectExtent l="0" t="0" r="0" b="635"/>
            <wp:docPr id="655" name="Picture 655" descr="This figure consists of two parts. The first shows the percentage change annually from 2015 to 2030 in Australian GDP, relative to the Paris Scenario, under  2030 emissions reduction targets of 13, 26, 35 and 45 per cent below 2005 levels. &#10;The change in GDP is small and positive from 2015 to 2020 for all targets. The largest increase is under the -45 per cent target, where GDP increases 0.22 per cent in 2020.&#10;After 2020 all the lines decrease. By 2030, GDP under the -13 per cent target is 0.3 per cent lower than under the Paris scenario. The -45 per cent target has the largest fall in GDP in 2030 relative to the Paris scenario.&#10;" title="Figure B-1: Economic impacts – core target scenarios, 2015 to 2030 (percentage deviation from Paris scenario) - Real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52381" cy="3123810"/>
                    </a:xfrm>
                    <a:prstGeom prst="rect">
                      <a:avLst/>
                    </a:prstGeom>
                  </pic:spPr>
                </pic:pic>
              </a:graphicData>
            </a:graphic>
          </wp:inline>
        </w:drawing>
      </w:r>
    </w:p>
    <w:p w:rsidR="00386E67" w:rsidRPr="001D5606" w:rsidRDefault="00386E67" w:rsidP="00386E67">
      <w:pPr>
        <w:keepNext/>
        <w:spacing w:before="120" w:after="120"/>
        <w:rPr>
          <w:rFonts w:asciiTheme="minorHAnsi" w:hAnsiTheme="minorHAnsi" w:cstheme="minorHAnsi"/>
          <w:b/>
          <w:color w:val="4F81BD" w:themeColor="accent1"/>
        </w:rPr>
      </w:pPr>
      <w:r w:rsidRPr="001D5606">
        <w:rPr>
          <w:rFonts w:asciiTheme="minorHAnsi" w:hAnsiTheme="minorHAnsi" w:cstheme="minorHAnsi"/>
          <w:i/>
          <w:color w:val="4F81BD" w:themeColor="accent1"/>
        </w:rPr>
        <w:t>Real GNI</w:t>
      </w:r>
    </w:p>
    <w:p w:rsidR="00E96E32" w:rsidRDefault="00386E67" w:rsidP="00A936C4">
      <w:pPr>
        <w:rPr>
          <w:noProof/>
          <w:lang w:eastAsia="en-AU"/>
        </w:rPr>
      </w:pPr>
      <w:r w:rsidRPr="00386E67">
        <w:rPr>
          <w:noProof/>
          <w:lang w:eastAsia="en-AU"/>
        </w:rPr>
        <w:t xml:space="preserve"> </w:t>
      </w:r>
      <w:r w:rsidR="00E96E32" w:rsidRPr="00E96E32">
        <w:rPr>
          <w:noProof/>
          <w:lang w:eastAsia="en-AU"/>
        </w:rPr>
        <w:drawing>
          <wp:inline distT="0" distB="0" distL="0" distR="0" wp14:anchorId="5F9F4B92" wp14:editId="7D23118E">
            <wp:extent cx="5085715" cy="3114286"/>
            <wp:effectExtent l="0" t="0" r="635" b="0"/>
            <wp:docPr id="656" name="Picture 656" descr="The second part shows the same result for GNI. The change in GNI is also small and positive from 2015 to 2020 for all targets. The largest increase is under the -45 per cent target, where GDP increases 0.34 per cent in 2020.&#10;After 2020 all the lines decrease. By 2030, GNI under the -13 per cent target is 0.3 per cent lower than under the Paris scenario. The -45 per cent target has the largest fall in GNI in 2030 relative to the Paris scenario.&#10;" title="Figure B-1: Economic impacts – core target scenarios, 2015 to 2030 (percentage deviation from Paris scenario) - Real G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85715" cy="3114286"/>
                    </a:xfrm>
                    <a:prstGeom prst="rect">
                      <a:avLst/>
                    </a:prstGeom>
                  </pic:spPr>
                </pic:pic>
              </a:graphicData>
            </a:graphic>
          </wp:inline>
        </w:drawing>
      </w:r>
    </w:p>
    <w:p w:rsidR="00A936C4" w:rsidRPr="001A56E2" w:rsidRDefault="00A936C4" w:rsidP="00A936C4">
      <w:pPr>
        <w:rPr>
          <w:rFonts w:asciiTheme="minorHAnsi" w:hAnsiTheme="minorHAnsi" w:cstheme="minorHAnsi"/>
          <w:color w:val="0070C0"/>
        </w:rPr>
      </w:pPr>
    </w:p>
    <w:p w:rsidR="002058DF" w:rsidRPr="001D5606" w:rsidRDefault="002058DF" w:rsidP="002058DF">
      <w:pPr>
        <w:keepNext/>
        <w:spacing w:before="120" w:after="120"/>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61775F" w:rsidRPr="001D5606">
        <w:rPr>
          <w:rFonts w:asciiTheme="minorHAnsi" w:hAnsiTheme="minorHAnsi" w:cstheme="minorHAnsi"/>
          <w:b/>
          <w:color w:val="4F81BD" w:themeColor="accent1"/>
        </w:rPr>
        <w:t>B</w:t>
      </w:r>
      <w:r w:rsidRPr="001D5606">
        <w:rPr>
          <w:rFonts w:asciiTheme="minorHAnsi" w:hAnsiTheme="minorHAnsi" w:cstheme="minorHAnsi"/>
          <w:b/>
          <w:color w:val="4F81BD" w:themeColor="accent1"/>
        </w:rPr>
        <w:t xml:space="preserve">-2: </w:t>
      </w:r>
      <w:r w:rsidRPr="001D5606">
        <w:rPr>
          <w:rFonts w:asciiTheme="minorHAnsi" w:hAnsiTheme="minorHAnsi" w:cstheme="minorHAnsi"/>
          <w:color w:val="4F81BD" w:themeColor="accent1"/>
        </w:rPr>
        <w:t>Economic impacts</w:t>
      </w:r>
      <w:r w:rsidR="0058087E" w:rsidRPr="001D5606">
        <w:rPr>
          <w:rFonts w:asciiTheme="minorHAnsi" w:hAnsiTheme="minorHAnsi" w:cstheme="minorHAnsi"/>
          <w:color w:val="4F81BD" w:themeColor="accent1"/>
        </w:rPr>
        <w:t xml:space="preserve"> – </w:t>
      </w:r>
      <w:r w:rsidR="00C8642C" w:rsidRPr="001D5606">
        <w:rPr>
          <w:rFonts w:asciiTheme="minorHAnsi" w:hAnsiTheme="minorHAnsi" w:cstheme="minorHAnsi"/>
          <w:color w:val="4F81BD" w:themeColor="accent1"/>
        </w:rPr>
        <w:t xml:space="preserve">technology cost sensitivity </w:t>
      </w:r>
      <w:r w:rsidRPr="001D5606">
        <w:rPr>
          <w:rFonts w:asciiTheme="minorHAnsi" w:hAnsiTheme="minorHAnsi" w:cstheme="minorHAnsi"/>
          <w:color w:val="4F81BD" w:themeColor="accent1"/>
        </w:rPr>
        <w:t>sce</w:t>
      </w:r>
      <w:r w:rsidR="00E8072C" w:rsidRPr="001D5606">
        <w:rPr>
          <w:rFonts w:asciiTheme="minorHAnsi" w:hAnsiTheme="minorHAnsi" w:cstheme="minorHAnsi"/>
          <w:color w:val="4F81BD" w:themeColor="accent1"/>
        </w:rPr>
        <w:t>narios, 2015 to 2030 (</w:t>
      </w:r>
      <w:r w:rsidR="00FC1AE7" w:rsidRPr="001D5606">
        <w:rPr>
          <w:rFonts w:asciiTheme="minorHAnsi" w:hAnsiTheme="minorHAnsi" w:cstheme="minorHAnsi"/>
          <w:color w:val="4F81BD" w:themeColor="accent1"/>
        </w:rPr>
        <w:t>percentage</w:t>
      </w:r>
      <w:r w:rsidRPr="001D5606">
        <w:rPr>
          <w:rFonts w:asciiTheme="minorHAnsi" w:hAnsiTheme="minorHAnsi" w:cstheme="minorHAnsi"/>
          <w:color w:val="4F81BD" w:themeColor="accent1"/>
        </w:rPr>
        <w:t xml:space="preserve"> 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Pr="001D5606">
        <w:rPr>
          <w:rFonts w:asciiTheme="minorHAnsi" w:hAnsiTheme="minorHAnsi" w:cstheme="minorHAnsi"/>
          <w:color w:val="4F81BD" w:themeColor="accent1"/>
        </w:rPr>
        <w:t>)</w:t>
      </w:r>
    </w:p>
    <w:p w:rsidR="002058DF" w:rsidRPr="001D5606" w:rsidRDefault="002058DF" w:rsidP="002058DF">
      <w:pPr>
        <w:keepNext/>
        <w:spacing w:before="120" w:after="120"/>
        <w:rPr>
          <w:rFonts w:asciiTheme="minorHAnsi" w:hAnsiTheme="minorHAnsi" w:cstheme="minorHAnsi"/>
          <w:b/>
          <w:color w:val="4F81BD" w:themeColor="accent1"/>
        </w:rPr>
      </w:pPr>
      <w:r w:rsidRPr="001D5606">
        <w:rPr>
          <w:rFonts w:asciiTheme="minorHAnsi" w:hAnsiTheme="minorHAnsi" w:cstheme="minorHAnsi"/>
          <w:i/>
          <w:color w:val="4F81BD" w:themeColor="accent1"/>
        </w:rPr>
        <w:t>Real GDP</w:t>
      </w:r>
    </w:p>
    <w:p w:rsidR="00DB5E78" w:rsidRPr="001D5606" w:rsidRDefault="00E96E32" w:rsidP="00DD4E0F">
      <w:pPr>
        <w:spacing w:before="240" w:after="120"/>
        <w:rPr>
          <w:rFonts w:asciiTheme="minorHAnsi" w:hAnsiTheme="minorHAnsi" w:cstheme="minorHAnsi"/>
          <w:b/>
          <w:color w:val="4F81BD" w:themeColor="accent1"/>
        </w:rPr>
      </w:pPr>
      <w:r w:rsidRPr="001D5606">
        <w:rPr>
          <w:noProof/>
          <w:color w:val="4F81BD" w:themeColor="accent1"/>
          <w:lang w:eastAsia="en-AU"/>
        </w:rPr>
        <w:drawing>
          <wp:inline distT="0" distB="0" distL="0" distR="0" wp14:anchorId="56B38175" wp14:editId="3F7A523A">
            <wp:extent cx="5219048" cy="3123810"/>
            <wp:effectExtent l="0" t="0" r="1270" b="635"/>
            <wp:docPr id="658" name="Picture 658" descr="This figure shows the economic impacts of technology senstivity scenarios. &#10;It consists of two parts. The first shows the percentage change annually from 2015 to 2030 in Australian GDP, relative to the Paris Scenario, under  2030 emissions reduction targets of 13, 26, 35 and 45 per cent below 2005 levels. &#10;The change in GDP is small and positive from 2015 to 2020 for all targets. The largest increase is under the -45 per cent target, where GDP increases 0.21 per cent in 2020.&#10;After 2020 all the lines decrease. By 2030, GDP under the -13 per cent target is 0.2 per cent lower than under the Paris scenario. The -45 per cent target has the largest fall in GDP in 2030 relative to the Paris scenario.&#10;" title="Figure B-2: Economic impacts – technology cost sensitivity scenarios, 2015 to 2030 (percentage deviation from Paris scenario) - Real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19048" cy="3123810"/>
                    </a:xfrm>
                    <a:prstGeom prst="rect">
                      <a:avLst/>
                    </a:prstGeom>
                  </pic:spPr>
                </pic:pic>
              </a:graphicData>
            </a:graphic>
          </wp:inline>
        </w:drawing>
      </w:r>
    </w:p>
    <w:p w:rsidR="002058DF" w:rsidRPr="001D5606" w:rsidRDefault="002058DF" w:rsidP="002058DF">
      <w:pPr>
        <w:keepNext/>
        <w:spacing w:before="120" w:after="120"/>
        <w:rPr>
          <w:rFonts w:asciiTheme="minorHAnsi" w:hAnsiTheme="minorHAnsi" w:cstheme="minorHAnsi"/>
          <w:i/>
          <w:color w:val="4F81BD" w:themeColor="accent1"/>
        </w:rPr>
      </w:pPr>
      <w:r w:rsidRPr="001D5606">
        <w:rPr>
          <w:rFonts w:asciiTheme="minorHAnsi" w:hAnsiTheme="minorHAnsi" w:cstheme="minorHAnsi"/>
          <w:i/>
          <w:color w:val="4F81BD" w:themeColor="accent1"/>
        </w:rPr>
        <w:t>Real GNI</w:t>
      </w:r>
    </w:p>
    <w:p w:rsidR="00D0475A" w:rsidRDefault="00D0475A" w:rsidP="00DD4E0F">
      <w:pPr>
        <w:spacing w:before="120" w:after="120"/>
        <w:rPr>
          <w:rFonts w:asciiTheme="minorHAnsi" w:hAnsiTheme="minorHAnsi" w:cstheme="minorHAnsi"/>
          <w:b/>
        </w:rPr>
      </w:pPr>
      <w:r w:rsidRPr="00D0475A">
        <w:rPr>
          <w:noProof/>
          <w:lang w:eastAsia="en-AU"/>
        </w:rPr>
        <w:drawing>
          <wp:inline distT="0" distB="0" distL="0" distR="0" wp14:anchorId="6C2DC15F" wp14:editId="32604722">
            <wp:extent cx="5238096" cy="3133334"/>
            <wp:effectExtent l="0" t="0" r="1270" b="0"/>
            <wp:docPr id="661" name="Picture 661" descr="The second part shows the same result for GNI. The change in GNI is also small and positive from 2015 to 2020 for all targets. The largest increase is under the -45 per cent target, where GDP increases 0.31 per cent in 2020.&#10;After 2020 all the lines decrease. By 2030, GNI under the -13 per cent target is 0.2 per cent lower than under the Paris scenario. The -45 per cent target has the largest fall in GNI in 2030 relative to the Paris scenario.&#10;" title="Figure B-2: Economic impacts – technology cost sensitivity scenarios, 2015 to 2030 (percentage deviation from Paris scenario) - Real G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38096" cy="3133334"/>
                    </a:xfrm>
                    <a:prstGeom prst="rect">
                      <a:avLst/>
                    </a:prstGeom>
                  </pic:spPr>
                </pic:pic>
              </a:graphicData>
            </a:graphic>
          </wp:inline>
        </w:drawing>
      </w:r>
    </w:p>
    <w:p w:rsidR="002058DF" w:rsidRDefault="002058DF" w:rsidP="00DD4E0F">
      <w:pPr>
        <w:spacing w:before="120" w:after="120"/>
        <w:rPr>
          <w:rFonts w:asciiTheme="minorHAnsi" w:hAnsiTheme="minorHAnsi" w:cstheme="minorHAnsi"/>
          <w:b/>
        </w:rPr>
      </w:pPr>
    </w:p>
    <w:p w:rsidR="00CB6459" w:rsidRDefault="00CB6459" w:rsidP="00A936C4">
      <w:pPr>
        <w:rPr>
          <w:rFonts w:asciiTheme="minorHAnsi" w:hAnsiTheme="minorHAnsi" w:cstheme="minorHAnsi"/>
          <w:b/>
          <w:color w:val="0070C0"/>
          <w:sz w:val="40"/>
        </w:rPr>
        <w:sectPr w:rsidR="00CB6459" w:rsidSect="00335D2D">
          <w:headerReference w:type="even" r:id="rId24"/>
          <w:headerReference w:type="default" r:id="rId25"/>
          <w:footerReference w:type="even" r:id="rId26"/>
          <w:footerReference w:type="default" r:id="rId27"/>
          <w:headerReference w:type="first" r:id="rId28"/>
          <w:footerReference w:type="first" r:id="rId29"/>
          <w:footnotePr>
            <w:numFmt w:val="lowerRoman"/>
          </w:footnotePr>
          <w:pgSz w:w="11906" w:h="16838"/>
          <w:pgMar w:top="1440" w:right="1800" w:bottom="1440" w:left="1800" w:header="708" w:footer="708" w:gutter="0"/>
          <w:pgNumType w:start="1"/>
          <w:cols w:space="708"/>
          <w:titlePg/>
          <w:docGrid w:linePitch="360"/>
        </w:sectPr>
      </w:pPr>
    </w:p>
    <w:p w:rsidR="00A936C4" w:rsidRPr="001D5606" w:rsidRDefault="00A936C4" w:rsidP="00A936C4">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 xml:space="preserve">APPENDIX </w:t>
      </w:r>
      <w:r w:rsidR="0061775F" w:rsidRPr="001D5606">
        <w:rPr>
          <w:rFonts w:asciiTheme="minorHAnsi" w:hAnsiTheme="minorHAnsi" w:cstheme="minorHAnsi"/>
          <w:b/>
          <w:color w:val="996633"/>
          <w:sz w:val="40"/>
        </w:rPr>
        <w:t>C</w:t>
      </w:r>
      <w:r w:rsidRPr="001D5606">
        <w:rPr>
          <w:rFonts w:asciiTheme="minorHAnsi" w:hAnsiTheme="minorHAnsi" w:cstheme="minorHAnsi"/>
          <w:b/>
          <w:color w:val="996633"/>
          <w:sz w:val="40"/>
        </w:rPr>
        <w:t xml:space="preserve">: Key </w:t>
      </w:r>
      <w:r w:rsidR="000A0D12" w:rsidRPr="001D5606">
        <w:rPr>
          <w:rFonts w:asciiTheme="minorHAnsi" w:hAnsiTheme="minorHAnsi" w:cstheme="minorHAnsi"/>
          <w:b/>
          <w:color w:val="996633"/>
          <w:sz w:val="40"/>
        </w:rPr>
        <w:t xml:space="preserve">economic </w:t>
      </w:r>
      <w:r w:rsidRPr="001D5606">
        <w:rPr>
          <w:rFonts w:asciiTheme="minorHAnsi" w:hAnsiTheme="minorHAnsi" w:cstheme="minorHAnsi"/>
          <w:b/>
          <w:color w:val="996633"/>
          <w:sz w:val="40"/>
        </w:rPr>
        <w:t>indicators</w:t>
      </w:r>
    </w:p>
    <w:p w:rsidR="00A936C4" w:rsidRPr="001D5606" w:rsidRDefault="00A936C4" w:rsidP="00A936C4">
      <w:pPr>
        <w:keepNext/>
        <w:spacing w:before="240" w:after="12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61775F" w:rsidRPr="001D5606">
        <w:rPr>
          <w:rFonts w:asciiTheme="minorHAnsi" w:hAnsiTheme="minorHAnsi" w:cstheme="minorHAnsi"/>
          <w:b/>
          <w:color w:val="4F81BD" w:themeColor="accent1"/>
        </w:rPr>
        <w:t>C</w:t>
      </w:r>
      <w:r w:rsidRPr="001D5606">
        <w:rPr>
          <w:rFonts w:asciiTheme="minorHAnsi" w:hAnsiTheme="minorHAnsi" w:cstheme="minorHAnsi"/>
          <w:b/>
          <w:color w:val="4F81BD" w:themeColor="accent1"/>
        </w:rPr>
        <w:t xml:space="preserve">-1: </w:t>
      </w:r>
      <w:r w:rsidR="00406ADA" w:rsidRPr="001D5606">
        <w:rPr>
          <w:rFonts w:asciiTheme="minorHAnsi" w:hAnsiTheme="minorHAnsi" w:cstheme="minorHAnsi"/>
          <w:color w:val="4F81BD" w:themeColor="accent1"/>
        </w:rPr>
        <w:t>Key indicators</w:t>
      </w:r>
      <w:r w:rsidR="0058087E" w:rsidRPr="001D5606">
        <w:rPr>
          <w:rFonts w:asciiTheme="minorHAnsi" w:hAnsiTheme="minorHAnsi" w:cstheme="minorHAnsi"/>
          <w:color w:val="4F81BD" w:themeColor="accent1"/>
        </w:rPr>
        <w:t xml:space="preserve"> – core target scenarios and </w:t>
      </w:r>
      <w:r w:rsidR="00C64E4A" w:rsidRPr="001D5606">
        <w:rPr>
          <w:rFonts w:asciiTheme="minorHAnsi" w:hAnsiTheme="minorHAnsi" w:cstheme="minorHAnsi"/>
          <w:color w:val="4F81BD" w:themeColor="accent1"/>
        </w:rPr>
        <w:t xml:space="preserve">policy mix </w:t>
      </w:r>
      <w:r w:rsidR="0058087E" w:rsidRPr="001D5606">
        <w:rPr>
          <w:rFonts w:asciiTheme="minorHAnsi" w:hAnsiTheme="minorHAnsi" w:cstheme="minorHAnsi"/>
          <w:color w:val="4F81BD" w:themeColor="accent1"/>
        </w:rPr>
        <w:t>sensitivity ana</w:t>
      </w:r>
      <w:r w:rsidR="004C49FD" w:rsidRPr="001D5606">
        <w:rPr>
          <w:rFonts w:asciiTheme="minorHAnsi" w:hAnsiTheme="minorHAnsi" w:cstheme="minorHAnsi"/>
          <w:color w:val="4F81BD" w:themeColor="accent1"/>
        </w:rPr>
        <w:t>l</w:t>
      </w:r>
      <w:r w:rsidR="0058087E" w:rsidRPr="001D5606">
        <w:rPr>
          <w:rFonts w:asciiTheme="minorHAnsi" w:hAnsiTheme="minorHAnsi" w:cstheme="minorHAnsi"/>
          <w:color w:val="4F81BD" w:themeColor="accent1"/>
        </w:rPr>
        <w:t>ysis</w:t>
      </w:r>
      <w:r w:rsidR="00406ADA" w:rsidRPr="001D5606">
        <w:rPr>
          <w:rFonts w:asciiTheme="minorHAnsi" w:hAnsiTheme="minorHAnsi" w:cstheme="minorHAnsi"/>
          <w:color w:val="4F81BD" w:themeColor="accent1"/>
        </w:rPr>
        <w:t xml:space="preserve">, 2030 </w:t>
      </w:r>
      <w:r w:rsidR="00B54E1E" w:rsidRPr="001D5606">
        <w:rPr>
          <w:rFonts w:asciiTheme="minorHAnsi" w:hAnsiTheme="minorHAnsi" w:cstheme="minorHAnsi"/>
          <w:color w:val="4F81BD" w:themeColor="accent1"/>
        </w:rPr>
        <w:t>(</w:t>
      </w:r>
      <w:r w:rsidR="00FC1AE7" w:rsidRPr="001D5606">
        <w:rPr>
          <w:rFonts w:asciiTheme="minorHAnsi" w:hAnsiTheme="minorHAnsi" w:cstheme="minorHAnsi"/>
          <w:color w:val="4F81BD" w:themeColor="accent1"/>
        </w:rPr>
        <w:t>percentage</w:t>
      </w:r>
      <w:r w:rsidR="00E8072C" w:rsidRPr="001D5606">
        <w:rPr>
          <w:rFonts w:asciiTheme="minorHAnsi" w:hAnsiTheme="minorHAnsi" w:cstheme="minorHAnsi"/>
          <w:color w:val="4F81BD" w:themeColor="accent1"/>
        </w:rPr>
        <w:t xml:space="preserve"> </w:t>
      </w:r>
      <w:r w:rsidR="00B54E1E" w:rsidRPr="001D5606">
        <w:rPr>
          <w:rFonts w:asciiTheme="minorHAnsi" w:hAnsiTheme="minorHAnsi" w:cstheme="minorHAnsi"/>
          <w:color w:val="4F81BD" w:themeColor="accent1"/>
        </w:rPr>
        <w:t>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B54E1E" w:rsidRPr="001D5606">
        <w:rPr>
          <w:rFonts w:asciiTheme="minorHAnsi" w:hAnsiTheme="minorHAnsi" w:cstheme="minorHAnsi"/>
          <w:color w:val="4F81BD" w:themeColor="accent1"/>
        </w:rPr>
        <w:t>)</w:t>
      </w:r>
    </w:p>
    <w:p w:rsidR="00C34993" w:rsidRPr="001D5606" w:rsidRDefault="00C34993" w:rsidP="00B610DA">
      <w:pPr>
        <w:keepNext/>
        <w:spacing w:before="120" w:after="120"/>
        <w:rPr>
          <w:rFonts w:asciiTheme="minorHAnsi" w:hAnsiTheme="minorHAnsi" w:cstheme="minorHAnsi"/>
          <w:i/>
          <w:color w:val="4F81BD" w:themeColor="accent1"/>
        </w:rPr>
      </w:pPr>
      <w:r w:rsidRPr="001D5606">
        <w:rPr>
          <w:rFonts w:asciiTheme="minorHAnsi" w:hAnsiTheme="minorHAnsi" w:cstheme="minorHAnsi"/>
          <w:i/>
          <w:color w:val="4F81BD" w:themeColor="accent1"/>
        </w:rPr>
        <w:t>Real GDP, consumption, investment, trade balance</w:t>
      </w:r>
    </w:p>
    <w:p w:rsidR="00406ADA" w:rsidRPr="001D5606" w:rsidRDefault="00C34993" w:rsidP="00A936C4">
      <w:pPr>
        <w:rPr>
          <w:color w:val="4F81BD" w:themeColor="accent1"/>
          <w:sz w:val="16"/>
        </w:rPr>
      </w:pPr>
      <w:r w:rsidRPr="001D5606">
        <w:rPr>
          <w:noProof/>
          <w:color w:val="4F81BD" w:themeColor="accent1"/>
          <w:lang w:eastAsia="en-AU"/>
        </w:rPr>
        <w:drawing>
          <wp:inline distT="0" distB="0" distL="0" distR="0" wp14:anchorId="57CD2DDB" wp14:editId="756507D7">
            <wp:extent cx="6964326" cy="4114607"/>
            <wp:effectExtent l="0" t="0" r="8255" b="635"/>
            <wp:docPr id="19" name="Picture 19" descr="A -13 per cent target without using international units has the following macroeconomic impacts on the Australian economy: Real GDP (-0.3%), Consumption (-0.4%), Investment (0.7%), Trade Balance (-0.0%).&#10;A -13 per cent target with international units has the following macroeconomic impacts on the Australian economy: Real GDP (-0.1%), Consumption (-0.2%), Investment (0.3%), Trade Balance (+0.0%).&#10;A -26 per cent target without using international units has the following macroeconomic impacts on the Australian economy: Real GDP (-0.6%), Consumption (-0.8%), Investment (1.4%), Trade Balance (-0.0%).&#10;A -26 per cent target with international units has the following macroeconomic impacts on the Australian economy: Real GDP (-0.3%), Consumption (-0.5%), Investment (0.7%), Trade Balance (+0.0%).&#10;A -35 per cent target without using international units has the following macroeconomic impacts on the Australian economy: Real GDP (-0.8%), Consumption (-1.1%), Investment (1.9%), Trade Balance (-0.1%).&#10;A -35 per cent target with international units has the following macroeconomic impacts on the Australian economy: Real GDP (-0.5%), Consumption (-0.7%), Investment (1%), Trade Balance (-0.0%).&#10;A -45 per cent target without using international units has the following macroeconomic impacts on the Australian economy: Real GDP (-1%), Consumption (-1.4%), Investment (2.4%), Trade Balance (-0.1%).&#10;A -45 per cent target with international units has the following macroeconomic impacts on the Australian economy: Real GDP (-0.6%), Consumption (-0.8%), Investment (1.2%), Trade Balance (-0.0%).&#10;" title="Figure C-1: Key indicators – core target scenarios and policy mix sensitivity analysis, 2030 (percentage deviation from Paris scenario) - Real GDP, consumption, investment, trade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75215" cy="4121041"/>
                    </a:xfrm>
                    <a:prstGeom prst="rect">
                      <a:avLst/>
                    </a:prstGeom>
                  </pic:spPr>
                </pic:pic>
              </a:graphicData>
            </a:graphic>
          </wp:inline>
        </w:drawing>
      </w:r>
    </w:p>
    <w:p w:rsidR="00C34993" w:rsidRPr="001D5606" w:rsidRDefault="00406ADA" w:rsidP="00A936C4">
      <w:pPr>
        <w:rPr>
          <w:color w:val="4F81BD" w:themeColor="accent1"/>
          <w:sz w:val="16"/>
        </w:rPr>
      </w:pPr>
      <w:r w:rsidRPr="001D5606">
        <w:rPr>
          <w:color w:val="4F81BD" w:themeColor="accent1"/>
          <w:sz w:val="16"/>
        </w:rPr>
        <w:t>Note: IUs refers to</w:t>
      </w:r>
      <w:r w:rsidR="006E05AB" w:rsidRPr="001D5606">
        <w:rPr>
          <w:color w:val="4F81BD" w:themeColor="accent1"/>
          <w:sz w:val="16"/>
        </w:rPr>
        <w:t xml:space="preserve"> sensitivity analysis o</w:t>
      </w:r>
      <w:r w:rsidR="00587CA5" w:rsidRPr="001D5606">
        <w:rPr>
          <w:color w:val="4F81BD" w:themeColor="accent1"/>
          <w:sz w:val="16"/>
        </w:rPr>
        <w:t>n</w:t>
      </w:r>
      <w:r w:rsidR="006E05AB" w:rsidRPr="001D5606">
        <w:rPr>
          <w:color w:val="4F81BD" w:themeColor="accent1"/>
          <w:sz w:val="16"/>
        </w:rPr>
        <w:t xml:space="preserve"> the policy mix, where the use of some</w:t>
      </w:r>
      <w:r w:rsidRPr="001D5606">
        <w:rPr>
          <w:color w:val="4F81BD" w:themeColor="accent1"/>
          <w:sz w:val="16"/>
        </w:rPr>
        <w:t xml:space="preserve"> international unit</w:t>
      </w:r>
      <w:r w:rsidR="006E05AB" w:rsidRPr="001D5606">
        <w:rPr>
          <w:color w:val="4F81BD" w:themeColor="accent1"/>
          <w:sz w:val="16"/>
        </w:rPr>
        <w:t xml:space="preserve">s is assumed (see Appendix </w:t>
      </w:r>
      <w:r w:rsidR="00385ABD" w:rsidRPr="001D5606">
        <w:rPr>
          <w:color w:val="4F81BD" w:themeColor="accent1"/>
          <w:sz w:val="16"/>
        </w:rPr>
        <w:t>F</w:t>
      </w:r>
      <w:r w:rsidR="00361581" w:rsidRPr="001D5606">
        <w:rPr>
          <w:color w:val="4F81BD" w:themeColor="accent1"/>
          <w:sz w:val="16"/>
        </w:rPr>
        <w:t xml:space="preserve"> </w:t>
      </w:r>
      <w:r w:rsidR="006E05AB" w:rsidRPr="001D5606">
        <w:rPr>
          <w:color w:val="4F81BD" w:themeColor="accent1"/>
          <w:sz w:val="16"/>
        </w:rPr>
        <w:t>for details).</w:t>
      </w:r>
    </w:p>
    <w:p w:rsidR="00C34993" w:rsidRPr="001D5606" w:rsidRDefault="00C34993" w:rsidP="00C34993">
      <w:pPr>
        <w:keepNext/>
        <w:spacing w:before="120" w:after="120"/>
        <w:rPr>
          <w:rFonts w:asciiTheme="minorHAnsi" w:hAnsiTheme="minorHAnsi" w:cstheme="minorHAnsi"/>
          <w:i/>
          <w:color w:val="4F81BD" w:themeColor="accent1"/>
        </w:rPr>
      </w:pPr>
      <w:r w:rsidRPr="001D5606">
        <w:rPr>
          <w:rFonts w:asciiTheme="minorHAnsi" w:hAnsiTheme="minorHAnsi" w:cstheme="minorHAnsi"/>
          <w:i/>
          <w:color w:val="4F81BD" w:themeColor="accent1"/>
        </w:rPr>
        <w:lastRenderedPageBreak/>
        <w:t>Employment, real wage, price</w:t>
      </w:r>
    </w:p>
    <w:p w:rsidR="00C34993" w:rsidRPr="001D5606" w:rsidRDefault="00C34993" w:rsidP="00A936C4">
      <w:pPr>
        <w:rPr>
          <w:color w:val="4F81BD" w:themeColor="accent1"/>
          <w:sz w:val="16"/>
        </w:rPr>
      </w:pPr>
      <w:r w:rsidRPr="001D5606">
        <w:rPr>
          <w:noProof/>
          <w:color w:val="4F81BD" w:themeColor="accent1"/>
          <w:lang w:eastAsia="en-AU"/>
        </w:rPr>
        <w:drawing>
          <wp:inline distT="0" distB="0" distL="0" distR="0" wp14:anchorId="6FAEF0C7" wp14:editId="25580725">
            <wp:extent cx="7230140" cy="4280923"/>
            <wp:effectExtent l="0" t="0" r="8890" b="5715"/>
            <wp:docPr id="20" name="Picture 20" descr="A -13 per cent target without using international units has the following macroeconomic impacts on the Australian economy: Employment (-0.1%), Real wage (-0.7%), Weighted price of domestic output (0.9%).&#10;A -13 per cent target with international units has the following macroeconomic impacts on the Australian economy: Employment (-0.0%), Real wage (-0.3%), Weighted price of domestic output (0.4%).&#10;A -26 per cent target without using international units has the following macroeconomic impacts on the Australian economy: Employment (-0.2%), Real wage (-1.5%), Weighted price of domestic output (1.9%), &#10;A -26 per cent target with international units has the following macroeconomic impacts on the Australian economy: Employment (-0.1%), Real wage (-0.9%), Weighted price of domestic output (1%), &#10;A -35 per cent target without using international units has the following macroeconomic impacts on the Australian economy: Employment (-0.3%), Real wage (-2.1%), Weighted price of domestic output (2.6%), &#10;A -35 per cent target with international units has the following macroeconomic impacts on the Australian economy: Employment (-0.2%), Real wage (-1.2%), Weighted price of domestic output (1.4%), &#10;A -45 per cent target without using international units has the following macroeconomic impacts on the Australian economy: Employment (-0.4%), Real wage (-2.7%), Weighted price of domestic output (3.3%), &#10;A -45 per cent target with international units has the following macroeconomic impacts on the Australian economy: Employment (-0.2%), Real wage (-1.5%), Weighted price of domestic output (1.8%), &#10;" title="Figure C-1: Key indicators – core target scenarios and policy mix sensitivity analysis, 2030 (percentage deviation from Paris scenario) - Employment, real wag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7230140" cy="4280923"/>
                    </a:xfrm>
                    <a:prstGeom prst="rect">
                      <a:avLst/>
                    </a:prstGeom>
                  </pic:spPr>
                </pic:pic>
              </a:graphicData>
            </a:graphic>
          </wp:inline>
        </w:drawing>
      </w:r>
    </w:p>
    <w:p w:rsidR="006E05AB" w:rsidRPr="001D5606" w:rsidRDefault="006E05AB" w:rsidP="006E05AB">
      <w:pPr>
        <w:rPr>
          <w:color w:val="4F81BD" w:themeColor="accent1"/>
          <w:sz w:val="16"/>
        </w:rPr>
      </w:pPr>
      <w:r w:rsidRPr="001D5606">
        <w:rPr>
          <w:color w:val="4F81BD" w:themeColor="accent1"/>
          <w:sz w:val="16"/>
        </w:rPr>
        <w:t>Note: IUs refers to sensitivity analysis o</w:t>
      </w:r>
      <w:r w:rsidR="00587CA5" w:rsidRPr="001D5606">
        <w:rPr>
          <w:color w:val="4F81BD" w:themeColor="accent1"/>
          <w:sz w:val="16"/>
        </w:rPr>
        <w:t>n</w:t>
      </w:r>
      <w:r w:rsidRPr="001D5606">
        <w:rPr>
          <w:color w:val="4F81BD" w:themeColor="accent1"/>
          <w:sz w:val="16"/>
        </w:rPr>
        <w:t xml:space="preserve"> the policy mix, where the use of some international units is assumed (see Appendix </w:t>
      </w:r>
      <w:r w:rsidR="00361581" w:rsidRPr="001D5606">
        <w:rPr>
          <w:color w:val="4F81BD" w:themeColor="accent1"/>
          <w:sz w:val="16"/>
        </w:rPr>
        <w:t>F</w:t>
      </w:r>
      <w:r w:rsidRPr="001D5606">
        <w:rPr>
          <w:color w:val="4F81BD" w:themeColor="accent1"/>
          <w:sz w:val="16"/>
        </w:rPr>
        <w:t xml:space="preserve"> for details).</w:t>
      </w:r>
    </w:p>
    <w:p w:rsidR="00C34993" w:rsidRPr="001D5606" w:rsidRDefault="00C34993" w:rsidP="00A936C4">
      <w:pPr>
        <w:rPr>
          <w:color w:val="4F81BD" w:themeColor="accent1"/>
          <w:sz w:val="16"/>
        </w:rPr>
        <w:sectPr w:rsidR="00C34993" w:rsidRPr="001D5606" w:rsidSect="00DD4E0F">
          <w:footnotePr>
            <w:numFmt w:val="lowerRoman"/>
          </w:footnotePr>
          <w:pgSz w:w="16838" w:h="11906" w:orient="landscape"/>
          <w:pgMar w:top="1800" w:right="1440" w:bottom="1800" w:left="1440" w:header="708" w:footer="708" w:gutter="0"/>
          <w:cols w:space="708"/>
          <w:docGrid w:linePitch="360"/>
        </w:sectPr>
      </w:pPr>
    </w:p>
    <w:p w:rsidR="00A936C4" w:rsidRDefault="00A936C4" w:rsidP="00A936C4">
      <w:pPr>
        <w:rPr>
          <w:rFonts w:asciiTheme="minorHAnsi" w:hAnsiTheme="minorHAnsi" w:cstheme="minorHAnsi"/>
          <w:b/>
        </w:rPr>
      </w:pPr>
    </w:p>
    <w:p w:rsidR="00A936C4" w:rsidRPr="001D5606" w:rsidRDefault="00A936C4" w:rsidP="00B87AD0">
      <w:pPr>
        <w:spacing w:before="360" w:after="120"/>
        <w:rPr>
          <w:rFonts w:asciiTheme="minorHAnsi" w:hAnsiTheme="minorHAnsi" w:cstheme="minorHAnsi"/>
          <w:b/>
          <w:color w:val="4F81BD" w:themeColor="accent1"/>
        </w:rPr>
      </w:pPr>
      <w:r w:rsidRPr="001D5606">
        <w:rPr>
          <w:rFonts w:asciiTheme="minorHAnsi" w:hAnsiTheme="minorHAnsi" w:cstheme="minorHAnsi"/>
          <w:b/>
          <w:color w:val="4F81BD" w:themeColor="accent1"/>
        </w:rPr>
        <w:t xml:space="preserve">Table </w:t>
      </w:r>
      <w:r w:rsidR="0061775F" w:rsidRPr="001D5606">
        <w:rPr>
          <w:rFonts w:asciiTheme="minorHAnsi" w:hAnsiTheme="minorHAnsi" w:cstheme="minorHAnsi"/>
          <w:b/>
          <w:color w:val="4F81BD" w:themeColor="accent1"/>
        </w:rPr>
        <w:t>C</w:t>
      </w:r>
      <w:r w:rsidRPr="001D5606">
        <w:rPr>
          <w:rFonts w:asciiTheme="minorHAnsi" w:hAnsiTheme="minorHAnsi" w:cstheme="minorHAnsi"/>
          <w:b/>
          <w:color w:val="4F81BD" w:themeColor="accent1"/>
        </w:rPr>
        <w:t xml:space="preserve">-1: </w:t>
      </w:r>
      <w:r w:rsidRPr="001D5606">
        <w:rPr>
          <w:rFonts w:asciiTheme="minorHAnsi" w:hAnsiTheme="minorHAnsi" w:cstheme="minorHAnsi"/>
          <w:color w:val="4F81BD" w:themeColor="accent1"/>
        </w:rPr>
        <w:t>Key indicators</w:t>
      </w:r>
      <w:r w:rsidR="0058087E" w:rsidRPr="001D5606">
        <w:rPr>
          <w:rFonts w:asciiTheme="minorHAnsi" w:hAnsiTheme="minorHAnsi" w:cstheme="minorHAnsi"/>
          <w:color w:val="4F81BD" w:themeColor="accent1"/>
        </w:rPr>
        <w:t xml:space="preserve"> – core </w:t>
      </w:r>
      <w:r w:rsidR="00385ABD" w:rsidRPr="001D5606">
        <w:rPr>
          <w:rFonts w:asciiTheme="minorHAnsi" w:hAnsiTheme="minorHAnsi" w:cstheme="minorHAnsi"/>
          <w:color w:val="4F81BD" w:themeColor="accent1"/>
        </w:rPr>
        <w:t xml:space="preserve">target </w:t>
      </w:r>
      <w:r w:rsidR="0058087E" w:rsidRPr="001D5606">
        <w:rPr>
          <w:rFonts w:asciiTheme="minorHAnsi" w:hAnsiTheme="minorHAnsi" w:cstheme="minorHAnsi"/>
          <w:color w:val="4F81BD" w:themeColor="accent1"/>
        </w:rPr>
        <w:t xml:space="preserve">scenarios and </w:t>
      </w:r>
      <w:r w:rsidR="00587CA5" w:rsidRPr="001D5606">
        <w:rPr>
          <w:rFonts w:asciiTheme="minorHAnsi" w:hAnsiTheme="minorHAnsi" w:cstheme="minorHAnsi"/>
          <w:color w:val="4F81BD" w:themeColor="accent1"/>
        </w:rPr>
        <w:t>policy mix</w:t>
      </w:r>
      <w:r w:rsidR="0058087E" w:rsidRPr="001D5606">
        <w:rPr>
          <w:rFonts w:asciiTheme="minorHAnsi" w:hAnsiTheme="minorHAnsi" w:cstheme="minorHAnsi"/>
          <w:color w:val="4F81BD" w:themeColor="accent1"/>
        </w:rPr>
        <w:t xml:space="preserve"> sensitivity ana</w:t>
      </w:r>
      <w:r w:rsidR="004C49FD" w:rsidRPr="001D5606">
        <w:rPr>
          <w:rFonts w:asciiTheme="minorHAnsi" w:hAnsiTheme="minorHAnsi" w:cstheme="minorHAnsi"/>
          <w:color w:val="4F81BD" w:themeColor="accent1"/>
        </w:rPr>
        <w:t>l</w:t>
      </w:r>
      <w:r w:rsidR="0058087E" w:rsidRPr="001D5606">
        <w:rPr>
          <w:rFonts w:asciiTheme="minorHAnsi" w:hAnsiTheme="minorHAnsi" w:cstheme="minorHAnsi"/>
          <w:color w:val="4F81BD" w:themeColor="accent1"/>
        </w:rPr>
        <w:t>ysis, 2030</w:t>
      </w:r>
      <w:r w:rsidRPr="001D5606">
        <w:rPr>
          <w:rFonts w:asciiTheme="minorHAnsi" w:hAnsiTheme="minorHAnsi" w:cstheme="minorHAnsi"/>
          <w:color w:val="4F81BD" w:themeColor="accent1"/>
        </w:rPr>
        <w:t xml:space="preserve"> (</w:t>
      </w:r>
      <w:r w:rsidR="00FC1AE7" w:rsidRPr="001D5606">
        <w:rPr>
          <w:rFonts w:asciiTheme="minorHAnsi" w:hAnsiTheme="minorHAnsi" w:cstheme="minorHAnsi"/>
          <w:color w:val="4F81BD" w:themeColor="accent1"/>
        </w:rPr>
        <w:t>percentage</w:t>
      </w:r>
      <w:r w:rsidRPr="001D5606">
        <w:rPr>
          <w:rFonts w:asciiTheme="minorHAnsi" w:hAnsiTheme="minorHAnsi" w:cstheme="minorHAnsi"/>
          <w:color w:val="4F81BD" w:themeColor="accent1"/>
        </w:rPr>
        <w:t xml:space="preserve"> 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Pr="001D5606">
        <w:rPr>
          <w:rFonts w:asciiTheme="minorHAnsi" w:hAnsiTheme="minorHAnsi" w:cstheme="minorHAnsi"/>
          <w:color w:val="4F81BD" w:themeColor="accent1"/>
        </w:rPr>
        <w:t>)</w:t>
      </w:r>
    </w:p>
    <w:tbl>
      <w:tblPr>
        <w:tblStyle w:val="LightList-Accent1"/>
        <w:tblW w:w="5053" w:type="pct"/>
        <w:tblLayout w:type="fixed"/>
        <w:tblLook w:val="04A0" w:firstRow="1" w:lastRow="0" w:firstColumn="1" w:lastColumn="0" w:noHBand="0" w:noVBand="1"/>
      </w:tblPr>
      <w:tblGrid>
        <w:gridCol w:w="1783"/>
        <w:gridCol w:w="849"/>
        <w:gridCol w:w="849"/>
        <w:gridCol w:w="849"/>
        <w:gridCol w:w="882"/>
        <w:gridCol w:w="822"/>
        <w:gridCol w:w="849"/>
        <w:gridCol w:w="849"/>
        <w:gridCol w:w="880"/>
      </w:tblGrid>
      <w:tr w:rsidR="00F03FEC" w:rsidRPr="002B2FD1" w:rsidTr="002B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single" w:sz="8" w:space="0" w:color="996633"/>
              <w:left w:val="single" w:sz="8" w:space="0" w:color="996633"/>
              <w:bottom w:val="single" w:sz="8" w:space="0" w:color="996633"/>
            </w:tcBorders>
            <w:shd w:val="clear" w:color="auto" w:fill="996633"/>
          </w:tcPr>
          <w:p w:rsidR="00A936C4" w:rsidRPr="002B2FD1" w:rsidRDefault="00A936C4" w:rsidP="000968BA">
            <w:pPr>
              <w:rPr>
                <w:rFonts w:asciiTheme="minorHAnsi" w:hAnsiTheme="minorHAnsi" w:cstheme="minorHAnsi"/>
                <w:color w:val="auto"/>
              </w:rPr>
            </w:pPr>
          </w:p>
        </w:tc>
        <w:tc>
          <w:tcPr>
            <w:tcW w:w="1991" w:type="pct"/>
            <w:gridSpan w:val="4"/>
            <w:tcBorders>
              <w:top w:val="single" w:sz="8" w:space="0" w:color="996633"/>
              <w:bottom w:val="single" w:sz="8" w:space="0" w:color="996633"/>
            </w:tcBorders>
            <w:shd w:val="clear" w:color="auto" w:fill="996633"/>
          </w:tcPr>
          <w:p w:rsidR="00A936C4" w:rsidRPr="002B2FD1" w:rsidRDefault="00587CA5" w:rsidP="00B87A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2B2FD1">
              <w:rPr>
                <w:rFonts w:asciiTheme="minorHAnsi" w:hAnsiTheme="minorHAnsi" w:cstheme="minorHAnsi"/>
              </w:rPr>
              <w:t xml:space="preserve">Core </w:t>
            </w:r>
            <w:r w:rsidR="00385ABD" w:rsidRPr="002B2FD1">
              <w:rPr>
                <w:rFonts w:asciiTheme="minorHAnsi" w:hAnsiTheme="minorHAnsi" w:cstheme="minorHAnsi"/>
              </w:rPr>
              <w:t xml:space="preserve">target </w:t>
            </w:r>
            <w:r w:rsidRPr="002B2FD1">
              <w:rPr>
                <w:rFonts w:asciiTheme="minorHAnsi" w:hAnsiTheme="minorHAnsi" w:cstheme="minorHAnsi"/>
              </w:rPr>
              <w:t>scenarios</w:t>
            </w:r>
          </w:p>
        </w:tc>
        <w:tc>
          <w:tcPr>
            <w:tcW w:w="1974" w:type="pct"/>
            <w:gridSpan w:val="4"/>
            <w:tcBorders>
              <w:top w:val="single" w:sz="8" w:space="0" w:color="996633"/>
              <w:bottom w:val="single" w:sz="8" w:space="0" w:color="996633"/>
              <w:right w:val="single" w:sz="8" w:space="0" w:color="996633"/>
            </w:tcBorders>
            <w:shd w:val="clear" w:color="auto" w:fill="996633"/>
          </w:tcPr>
          <w:p w:rsidR="00A936C4" w:rsidRPr="002B2FD1" w:rsidRDefault="00587CA5" w:rsidP="00587CA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2FD1">
              <w:rPr>
                <w:rFonts w:asciiTheme="minorHAnsi" w:hAnsiTheme="minorHAnsi" w:cstheme="minorHAnsi"/>
              </w:rPr>
              <w:t>Sensitivity scenarios – policy mix (w</w:t>
            </w:r>
            <w:r w:rsidR="00A936C4" w:rsidRPr="002B2FD1">
              <w:rPr>
                <w:rFonts w:asciiTheme="minorHAnsi" w:hAnsiTheme="minorHAnsi" w:cstheme="minorHAnsi"/>
              </w:rPr>
              <w:t>ith international units</w:t>
            </w:r>
            <w:r w:rsidRPr="002B2FD1">
              <w:rPr>
                <w:rFonts w:asciiTheme="minorHAnsi" w:hAnsiTheme="minorHAnsi" w:cstheme="minorHAnsi"/>
              </w:rPr>
              <w:t>)</w:t>
            </w:r>
          </w:p>
        </w:tc>
      </w:tr>
      <w:tr w:rsidR="00F03FEC"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single" w:sz="8" w:space="0" w:color="996633"/>
              <w:left w:val="single" w:sz="8" w:space="0" w:color="996633"/>
              <w:bottom w:val="single" w:sz="8" w:space="0" w:color="996633"/>
            </w:tcBorders>
            <w:shd w:val="clear" w:color="auto" w:fill="E2C4A6"/>
          </w:tcPr>
          <w:p w:rsidR="00A936C4" w:rsidRPr="002B2FD1" w:rsidRDefault="00A936C4" w:rsidP="000968BA">
            <w:pPr>
              <w:rPr>
                <w:rFonts w:asciiTheme="minorHAnsi" w:hAnsiTheme="minorHAnsi" w:cstheme="minorHAnsi"/>
                <w:color w:val="4F81BD" w:themeColor="accent1"/>
              </w:rPr>
            </w:pPr>
          </w:p>
        </w:tc>
        <w:tc>
          <w:tcPr>
            <w:tcW w:w="493"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-13%</w:t>
            </w:r>
          </w:p>
        </w:tc>
        <w:tc>
          <w:tcPr>
            <w:tcW w:w="493"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-26%</w:t>
            </w:r>
          </w:p>
        </w:tc>
        <w:tc>
          <w:tcPr>
            <w:tcW w:w="493"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-35%</w:t>
            </w:r>
          </w:p>
        </w:tc>
        <w:tc>
          <w:tcPr>
            <w:tcW w:w="512"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-45%</w:t>
            </w:r>
          </w:p>
        </w:tc>
        <w:tc>
          <w:tcPr>
            <w:tcW w:w="477"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-13%</w:t>
            </w:r>
          </w:p>
        </w:tc>
        <w:tc>
          <w:tcPr>
            <w:tcW w:w="493"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-26%</w:t>
            </w:r>
          </w:p>
        </w:tc>
        <w:tc>
          <w:tcPr>
            <w:tcW w:w="493" w:type="pct"/>
            <w:tcBorders>
              <w:top w:val="single" w:sz="8" w:space="0" w:color="996633"/>
              <w:bottom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-35%</w:t>
            </w:r>
          </w:p>
        </w:tc>
        <w:tc>
          <w:tcPr>
            <w:tcW w:w="511" w:type="pct"/>
            <w:tcBorders>
              <w:top w:val="single" w:sz="8" w:space="0" w:color="996633"/>
              <w:bottom w:val="single" w:sz="8" w:space="0" w:color="996633"/>
              <w:right w:val="single" w:sz="8" w:space="0" w:color="996633"/>
            </w:tcBorders>
            <w:shd w:val="clear" w:color="auto" w:fill="E2C4A6"/>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b/>
                <w:color w:val="4F81BD" w:themeColor="accent1"/>
              </w:rPr>
              <w:t>-45%</w:t>
            </w:r>
          </w:p>
        </w:tc>
      </w:tr>
      <w:tr w:rsidR="00F03FEC" w:rsidRPr="00713957" w:rsidTr="002B2FD1">
        <w:tc>
          <w:tcPr>
            <w:cnfStyle w:val="001000000000" w:firstRow="0" w:lastRow="0" w:firstColumn="1" w:lastColumn="0" w:oddVBand="0" w:evenVBand="0" w:oddHBand="0" w:evenHBand="0" w:firstRowFirstColumn="0" w:firstRowLastColumn="0" w:lastRowFirstColumn="0" w:lastRowLastColumn="0"/>
            <w:tcW w:w="1035" w:type="pct"/>
            <w:tcBorders>
              <w:top w:val="single" w:sz="8" w:space="0" w:color="996633"/>
              <w:left w:val="single" w:sz="8" w:space="0" w:color="996633"/>
              <w:bottom w:val="nil"/>
            </w:tcBorders>
          </w:tcPr>
          <w:p w:rsidR="00A936C4" w:rsidRPr="002B2FD1" w:rsidRDefault="00A936C4" w:rsidP="000968BA">
            <w:pPr>
              <w:rPr>
                <w:rFonts w:asciiTheme="minorHAnsi" w:hAnsiTheme="minorHAnsi" w:cstheme="minorHAnsi"/>
                <w:color w:val="4F81BD" w:themeColor="accent1"/>
              </w:rPr>
            </w:pPr>
            <w:r w:rsidRPr="002B2FD1">
              <w:rPr>
                <w:rFonts w:asciiTheme="minorHAnsi" w:hAnsiTheme="minorHAnsi" w:cstheme="minorHAnsi"/>
                <w:color w:val="4F81BD" w:themeColor="accent1"/>
              </w:rPr>
              <w:t>Real GDP</w:t>
            </w:r>
          </w:p>
        </w:tc>
        <w:tc>
          <w:tcPr>
            <w:tcW w:w="493"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-0.29</w:t>
            </w:r>
          </w:p>
        </w:tc>
        <w:tc>
          <w:tcPr>
            <w:tcW w:w="493"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-0.58</w:t>
            </w:r>
          </w:p>
        </w:tc>
        <w:tc>
          <w:tcPr>
            <w:tcW w:w="493"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-0.78</w:t>
            </w:r>
          </w:p>
        </w:tc>
        <w:tc>
          <w:tcPr>
            <w:tcW w:w="512"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w:t>
            </w:r>
            <w:r w:rsidR="00F03FEC" w:rsidRPr="002B2FD1">
              <w:rPr>
                <w:rFonts w:asciiTheme="minorHAnsi" w:hAnsiTheme="minorHAnsi" w:cstheme="minorHAnsi"/>
                <w:color w:val="4F81BD" w:themeColor="accent1"/>
              </w:rPr>
              <w:t>1.00</w:t>
            </w:r>
          </w:p>
        </w:tc>
        <w:tc>
          <w:tcPr>
            <w:tcW w:w="477"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-0.12</w:t>
            </w:r>
          </w:p>
        </w:tc>
        <w:tc>
          <w:tcPr>
            <w:tcW w:w="493"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-0.34</w:t>
            </w:r>
          </w:p>
        </w:tc>
        <w:tc>
          <w:tcPr>
            <w:tcW w:w="493" w:type="pct"/>
            <w:tcBorders>
              <w:top w:val="single" w:sz="8" w:space="0" w:color="996633"/>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-0.45</w:t>
            </w:r>
          </w:p>
        </w:tc>
        <w:tc>
          <w:tcPr>
            <w:tcW w:w="511" w:type="pct"/>
            <w:tcBorders>
              <w:top w:val="single" w:sz="8" w:space="0" w:color="996633"/>
              <w:bottom w:val="nil"/>
              <w:right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-0.58</w:t>
            </w:r>
          </w:p>
        </w:tc>
      </w:tr>
      <w:tr w:rsidR="00F03FEC"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nil"/>
              <w:left w:val="single" w:sz="8" w:space="0" w:color="996633"/>
              <w:bottom w:val="nil"/>
            </w:tcBorders>
          </w:tcPr>
          <w:p w:rsidR="00F03FEC" w:rsidRPr="002B2FD1" w:rsidRDefault="00F03FEC" w:rsidP="000968BA">
            <w:pPr>
              <w:rPr>
                <w:rFonts w:asciiTheme="minorHAnsi" w:hAnsiTheme="minorHAnsi" w:cstheme="minorHAnsi"/>
                <w:color w:val="4F81BD" w:themeColor="accent1"/>
              </w:rPr>
            </w:pPr>
            <w:r w:rsidRPr="002B2FD1">
              <w:rPr>
                <w:rFonts w:asciiTheme="minorHAnsi" w:hAnsiTheme="minorHAnsi" w:cstheme="minorHAnsi"/>
                <w:color w:val="4F81BD" w:themeColor="accent1"/>
              </w:rPr>
              <w:t>Real GNI</w:t>
            </w:r>
          </w:p>
        </w:tc>
        <w:tc>
          <w:tcPr>
            <w:tcW w:w="493"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-0.27</w:t>
            </w:r>
          </w:p>
        </w:tc>
        <w:tc>
          <w:tcPr>
            <w:tcW w:w="493"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-0.56</w:t>
            </w:r>
          </w:p>
        </w:tc>
        <w:tc>
          <w:tcPr>
            <w:tcW w:w="493"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-0.76</w:t>
            </w:r>
          </w:p>
        </w:tc>
        <w:tc>
          <w:tcPr>
            <w:tcW w:w="512"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-0.98</w:t>
            </w:r>
          </w:p>
        </w:tc>
        <w:tc>
          <w:tcPr>
            <w:tcW w:w="477"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-0.11</w:t>
            </w:r>
          </w:p>
        </w:tc>
        <w:tc>
          <w:tcPr>
            <w:tcW w:w="493"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-0.33</w:t>
            </w:r>
          </w:p>
        </w:tc>
        <w:tc>
          <w:tcPr>
            <w:tcW w:w="493" w:type="pct"/>
            <w:tcBorders>
              <w:top w:val="nil"/>
              <w:bottom w:val="nil"/>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-0.45</w:t>
            </w:r>
          </w:p>
        </w:tc>
        <w:tc>
          <w:tcPr>
            <w:tcW w:w="511" w:type="pct"/>
            <w:tcBorders>
              <w:top w:val="nil"/>
              <w:bottom w:val="nil"/>
              <w:right w:val="single" w:sz="8" w:space="0" w:color="996633"/>
            </w:tcBorders>
          </w:tcPr>
          <w:p w:rsidR="00F03FEC" w:rsidRPr="002B2FD1" w:rsidRDefault="00F03FEC"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-0.59</w:t>
            </w:r>
          </w:p>
        </w:tc>
      </w:tr>
      <w:tr w:rsidR="00F03FEC" w:rsidRPr="00713957" w:rsidTr="002B2FD1">
        <w:tc>
          <w:tcPr>
            <w:cnfStyle w:val="001000000000" w:firstRow="0" w:lastRow="0" w:firstColumn="1" w:lastColumn="0" w:oddVBand="0" w:evenVBand="0" w:oddHBand="0" w:evenHBand="0" w:firstRowFirstColumn="0" w:firstRowLastColumn="0" w:lastRowFirstColumn="0" w:lastRowLastColumn="0"/>
            <w:tcW w:w="1035" w:type="pct"/>
            <w:tcBorders>
              <w:top w:val="nil"/>
              <w:left w:val="single" w:sz="8" w:space="0" w:color="996633"/>
              <w:bottom w:val="nil"/>
            </w:tcBorders>
          </w:tcPr>
          <w:p w:rsidR="00A936C4" w:rsidRPr="002B2FD1" w:rsidRDefault="00A936C4" w:rsidP="000968BA">
            <w:pPr>
              <w:rPr>
                <w:rFonts w:asciiTheme="minorHAnsi" w:hAnsiTheme="minorHAnsi" w:cstheme="minorHAnsi"/>
                <w:color w:val="4F81BD" w:themeColor="accent1"/>
              </w:rPr>
            </w:pPr>
            <w:r w:rsidRPr="002B2FD1">
              <w:rPr>
                <w:rFonts w:asciiTheme="minorHAnsi" w:hAnsiTheme="minorHAnsi" w:cstheme="minorHAnsi"/>
                <w:color w:val="4F81BD" w:themeColor="accent1"/>
              </w:rPr>
              <w:t>Consumption</w:t>
            </w:r>
          </w:p>
        </w:tc>
        <w:tc>
          <w:tcPr>
            <w:tcW w:w="493"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-0.44</w:t>
            </w:r>
          </w:p>
        </w:tc>
        <w:tc>
          <w:tcPr>
            <w:tcW w:w="493"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-0.82</w:t>
            </w:r>
          </w:p>
        </w:tc>
        <w:tc>
          <w:tcPr>
            <w:tcW w:w="493"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-1.09</w:t>
            </w:r>
          </w:p>
        </w:tc>
        <w:tc>
          <w:tcPr>
            <w:tcW w:w="512"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-1.</w:t>
            </w:r>
            <w:r w:rsidR="00E008BE" w:rsidRPr="002B2FD1">
              <w:rPr>
                <w:rFonts w:asciiTheme="minorHAnsi" w:hAnsiTheme="minorHAnsi" w:cstheme="minorHAnsi"/>
                <w:color w:val="4F81BD" w:themeColor="accent1"/>
              </w:rPr>
              <w:t>38</w:t>
            </w:r>
          </w:p>
        </w:tc>
        <w:tc>
          <w:tcPr>
            <w:tcW w:w="477"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-0.24</w:t>
            </w:r>
          </w:p>
        </w:tc>
        <w:tc>
          <w:tcPr>
            <w:tcW w:w="493"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-0.51</w:t>
            </w:r>
          </w:p>
        </w:tc>
        <w:tc>
          <w:tcPr>
            <w:tcW w:w="493" w:type="pct"/>
            <w:tcBorders>
              <w:top w:val="nil"/>
              <w:bottom w:val="nil"/>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-0.66</w:t>
            </w:r>
          </w:p>
        </w:tc>
        <w:tc>
          <w:tcPr>
            <w:tcW w:w="511" w:type="pct"/>
            <w:tcBorders>
              <w:top w:val="nil"/>
              <w:bottom w:val="nil"/>
              <w:right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-0.83</w:t>
            </w:r>
          </w:p>
        </w:tc>
      </w:tr>
      <w:tr w:rsidR="00F03FEC"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pct"/>
            <w:tcBorders>
              <w:top w:val="nil"/>
              <w:left w:val="single" w:sz="8" w:space="0" w:color="996633"/>
              <w:bottom w:val="nil"/>
            </w:tcBorders>
          </w:tcPr>
          <w:p w:rsidR="00A936C4" w:rsidRPr="002B2FD1" w:rsidRDefault="00A936C4" w:rsidP="000968BA">
            <w:pPr>
              <w:rPr>
                <w:rFonts w:asciiTheme="minorHAnsi" w:hAnsiTheme="minorHAnsi" w:cstheme="minorHAnsi"/>
                <w:color w:val="4F81BD" w:themeColor="accent1"/>
              </w:rPr>
            </w:pPr>
            <w:r w:rsidRPr="002B2FD1">
              <w:rPr>
                <w:rFonts w:asciiTheme="minorHAnsi" w:hAnsiTheme="minorHAnsi" w:cstheme="minorHAnsi"/>
                <w:color w:val="4F81BD" w:themeColor="accent1"/>
              </w:rPr>
              <w:t xml:space="preserve">Investment </w:t>
            </w:r>
          </w:p>
        </w:tc>
        <w:tc>
          <w:tcPr>
            <w:tcW w:w="493"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0.72</w:t>
            </w:r>
          </w:p>
        </w:tc>
        <w:tc>
          <w:tcPr>
            <w:tcW w:w="493"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1.40</w:t>
            </w:r>
          </w:p>
        </w:tc>
        <w:tc>
          <w:tcPr>
            <w:tcW w:w="493"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1.88</w:t>
            </w:r>
          </w:p>
        </w:tc>
        <w:tc>
          <w:tcPr>
            <w:tcW w:w="512"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2.4</w:t>
            </w:r>
            <w:r w:rsidR="00E008BE" w:rsidRPr="002B2FD1">
              <w:rPr>
                <w:rFonts w:asciiTheme="minorHAnsi" w:hAnsiTheme="minorHAnsi" w:cstheme="minorHAnsi"/>
                <w:color w:val="4F81BD" w:themeColor="accent1"/>
              </w:rPr>
              <w:t>2</w:t>
            </w:r>
          </w:p>
        </w:tc>
        <w:tc>
          <w:tcPr>
            <w:tcW w:w="477"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0.34</w:t>
            </w:r>
          </w:p>
        </w:tc>
        <w:tc>
          <w:tcPr>
            <w:tcW w:w="493"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0.70</w:t>
            </w:r>
          </w:p>
        </w:tc>
        <w:tc>
          <w:tcPr>
            <w:tcW w:w="493" w:type="pct"/>
            <w:tcBorders>
              <w:top w:val="nil"/>
              <w:bottom w:val="nil"/>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0.96</w:t>
            </w:r>
          </w:p>
        </w:tc>
        <w:tc>
          <w:tcPr>
            <w:tcW w:w="511" w:type="pct"/>
            <w:tcBorders>
              <w:top w:val="nil"/>
              <w:bottom w:val="nil"/>
              <w:right w:val="single" w:sz="8" w:space="0" w:color="996633"/>
            </w:tcBorders>
          </w:tcPr>
          <w:p w:rsidR="00A936C4" w:rsidRPr="002B2FD1" w:rsidRDefault="00A936C4" w:rsidP="00B87AD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1.24</w:t>
            </w:r>
          </w:p>
        </w:tc>
      </w:tr>
      <w:tr w:rsidR="00F03FEC" w:rsidRPr="00713957" w:rsidTr="002B2FD1">
        <w:tc>
          <w:tcPr>
            <w:cnfStyle w:val="001000000000" w:firstRow="0" w:lastRow="0" w:firstColumn="1" w:lastColumn="0" w:oddVBand="0" w:evenVBand="0" w:oddHBand="0" w:evenHBand="0" w:firstRowFirstColumn="0" w:firstRowLastColumn="0" w:lastRowFirstColumn="0" w:lastRowLastColumn="0"/>
            <w:tcW w:w="1035" w:type="pct"/>
            <w:tcBorders>
              <w:top w:val="nil"/>
              <w:left w:val="single" w:sz="8" w:space="0" w:color="996633"/>
              <w:bottom w:val="single" w:sz="8" w:space="0" w:color="996633"/>
            </w:tcBorders>
          </w:tcPr>
          <w:p w:rsidR="00A936C4" w:rsidRPr="002B2FD1" w:rsidRDefault="00A936C4" w:rsidP="000968BA">
            <w:pPr>
              <w:rPr>
                <w:rFonts w:asciiTheme="minorHAnsi" w:hAnsiTheme="minorHAnsi" w:cstheme="minorHAnsi"/>
                <w:color w:val="4F81BD" w:themeColor="accent1"/>
              </w:rPr>
            </w:pPr>
            <w:r w:rsidRPr="002B2FD1">
              <w:rPr>
                <w:rFonts w:asciiTheme="minorHAnsi" w:hAnsiTheme="minorHAnsi" w:cstheme="minorHAnsi"/>
                <w:color w:val="4F81BD" w:themeColor="accent1"/>
              </w:rPr>
              <w:t>Trade balance</w:t>
            </w:r>
          </w:p>
        </w:tc>
        <w:tc>
          <w:tcPr>
            <w:tcW w:w="493"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-0.01</w:t>
            </w:r>
          </w:p>
        </w:tc>
        <w:tc>
          <w:tcPr>
            <w:tcW w:w="493"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-0.04</w:t>
            </w:r>
          </w:p>
        </w:tc>
        <w:tc>
          <w:tcPr>
            <w:tcW w:w="493"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-0.07</w:t>
            </w:r>
          </w:p>
        </w:tc>
        <w:tc>
          <w:tcPr>
            <w:tcW w:w="512"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w:t>
            </w:r>
            <w:r w:rsidR="00E008BE" w:rsidRPr="002B2FD1">
              <w:rPr>
                <w:rFonts w:asciiTheme="minorHAnsi" w:hAnsiTheme="minorHAnsi" w:cstheme="minorHAnsi"/>
                <w:color w:val="4F81BD" w:themeColor="accent1"/>
              </w:rPr>
              <w:t>10</w:t>
            </w:r>
          </w:p>
        </w:tc>
        <w:tc>
          <w:tcPr>
            <w:tcW w:w="477"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0.01</w:t>
            </w:r>
          </w:p>
        </w:tc>
        <w:tc>
          <w:tcPr>
            <w:tcW w:w="493"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0.00</w:t>
            </w:r>
          </w:p>
        </w:tc>
        <w:tc>
          <w:tcPr>
            <w:tcW w:w="493" w:type="pct"/>
            <w:tcBorders>
              <w:top w:val="nil"/>
              <w:bottom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-0.01</w:t>
            </w:r>
          </w:p>
        </w:tc>
        <w:tc>
          <w:tcPr>
            <w:tcW w:w="511" w:type="pct"/>
            <w:tcBorders>
              <w:top w:val="nil"/>
              <w:bottom w:val="single" w:sz="8" w:space="0" w:color="996633"/>
              <w:right w:val="single" w:sz="8" w:space="0" w:color="996633"/>
            </w:tcBorders>
          </w:tcPr>
          <w:p w:rsidR="00A936C4" w:rsidRPr="002B2FD1" w:rsidRDefault="00A936C4" w:rsidP="00B87AD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-0.02</w:t>
            </w:r>
          </w:p>
        </w:tc>
      </w:tr>
    </w:tbl>
    <w:p w:rsidR="0000022C" w:rsidRPr="001D5606" w:rsidRDefault="0000022C" w:rsidP="0000022C">
      <w:pPr>
        <w:spacing w:before="360" w:after="120"/>
        <w:rPr>
          <w:rFonts w:asciiTheme="minorHAnsi" w:hAnsiTheme="minorHAnsi" w:cstheme="minorHAnsi"/>
          <w:b/>
          <w:color w:val="4F81BD" w:themeColor="accent1"/>
        </w:rPr>
      </w:pPr>
      <w:r w:rsidRPr="001D5606">
        <w:rPr>
          <w:rFonts w:asciiTheme="minorHAnsi" w:hAnsiTheme="minorHAnsi" w:cstheme="minorHAnsi"/>
          <w:b/>
          <w:color w:val="4F81BD" w:themeColor="accent1"/>
        </w:rPr>
        <w:t xml:space="preserve">Table </w:t>
      </w:r>
      <w:r w:rsidR="0061775F" w:rsidRPr="001D5606">
        <w:rPr>
          <w:rFonts w:asciiTheme="minorHAnsi" w:hAnsiTheme="minorHAnsi" w:cstheme="minorHAnsi"/>
          <w:b/>
          <w:color w:val="4F81BD" w:themeColor="accent1"/>
        </w:rPr>
        <w:t>C</w:t>
      </w:r>
      <w:r w:rsidRPr="001D5606">
        <w:rPr>
          <w:rFonts w:asciiTheme="minorHAnsi" w:hAnsiTheme="minorHAnsi" w:cstheme="minorHAnsi"/>
          <w:b/>
          <w:color w:val="4F81BD" w:themeColor="accent1"/>
        </w:rPr>
        <w:t xml:space="preserve">-2: </w:t>
      </w:r>
      <w:r w:rsidRPr="001D5606">
        <w:rPr>
          <w:rFonts w:asciiTheme="minorHAnsi" w:hAnsiTheme="minorHAnsi" w:cstheme="minorHAnsi"/>
          <w:color w:val="4F81BD" w:themeColor="accent1"/>
        </w:rPr>
        <w:t xml:space="preserve">Average annual GDP growth – Paris scenario, core </w:t>
      </w:r>
      <w:r w:rsidR="00385ABD"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 xml:space="preserve">scenarios and </w:t>
      </w:r>
      <w:r w:rsidR="00587CA5" w:rsidRPr="001D5606">
        <w:rPr>
          <w:rFonts w:asciiTheme="minorHAnsi" w:hAnsiTheme="minorHAnsi" w:cstheme="minorHAnsi"/>
          <w:color w:val="4F81BD" w:themeColor="accent1"/>
        </w:rPr>
        <w:t xml:space="preserve">policy mix </w:t>
      </w:r>
      <w:r w:rsidRPr="001D5606">
        <w:rPr>
          <w:rFonts w:asciiTheme="minorHAnsi" w:hAnsiTheme="minorHAnsi" w:cstheme="minorHAnsi"/>
          <w:color w:val="4F81BD" w:themeColor="accent1"/>
        </w:rPr>
        <w:t>sensitivity ana</w:t>
      </w:r>
      <w:r w:rsidR="004C49FD" w:rsidRPr="001D5606">
        <w:rPr>
          <w:rFonts w:asciiTheme="minorHAnsi" w:hAnsiTheme="minorHAnsi" w:cstheme="minorHAnsi"/>
          <w:color w:val="4F81BD" w:themeColor="accent1"/>
        </w:rPr>
        <w:t>l</w:t>
      </w:r>
      <w:r w:rsidRPr="001D5606">
        <w:rPr>
          <w:rFonts w:asciiTheme="minorHAnsi" w:hAnsiTheme="minorHAnsi" w:cstheme="minorHAnsi"/>
          <w:color w:val="4F81BD" w:themeColor="accent1"/>
        </w:rPr>
        <w:t>ysis, 2020 to 2030 (per cent)</w:t>
      </w:r>
    </w:p>
    <w:tbl>
      <w:tblPr>
        <w:tblStyle w:val="LightList-Accent1"/>
        <w:tblW w:w="4055" w:type="pct"/>
        <w:tblLayout w:type="fixed"/>
        <w:tblLook w:val="04A0" w:firstRow="1" w:lastRow="0" w:firstColumn="1" w:lastColumn="0" w:noHBand="0" w:noVBand="1"/>
      </w:tblPr>
      <w:tblGrid>
        <w:gridCol w:w="2374"/>
        <w:gridCol w:w="2129"/>
        <w:gridCol w:w="2408"/>
      </w:tblGrid>
      <w:tr w:rsidR="00587CA5" w:rsidRPr="002B2FD1" w:rsidTr="002B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single" w:sz="8" w:space="0" w:color="996633"/>
              <w:left w:val="single" w:sz="8" w:space="0" w:color="996633"/>
              <w:bottom w:val="single" w:sz="8" w:space="0" w:color="996633"/>
            </w:tcBorders>
            <w:shd w:val="clear" w:color="auto" w:fill="996633"/>
          </w:tcPr>
          <w:p w:rsidR="00587CA5" w:rsidRPr="002B2FD1" w:rsidRDefault="00587CA5" w:rsidP="00B5400C">
            <w:pPr>
              <w:rPr>
                <w:rFonts w:asciiTheme="minorHAnsi" w:hAnsiTheme="minorHAnsi" w:cstheme="minorHAnsi"/>
                <w:color w:val="auto"/>
              </w:rPr>
            </w:pPr>
          </w:p>
        </w:tc>
        <w:tc>
          <w:tcPr>
            <w:tcW w:w="1540" w:type="pct"/>
            <w:tcBorders>
              <w:top w:val="single" w:sz="8" w:space="0" w:color="996633"/>
              <w:bottom w:val="single" w:sz="8" w:space="0" w:color="996633"/>
            </w:tcBorders>
            <w:shd w:val="clear" w:color="auto" w:fill="996633"/>
          </w:tcPr>
          <w:p w:rsidR="00587CA5" w:rsidRPr="002B2FD1" w:rsidRDefault="00587CA5" w:rsidP="00B540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2B2FD1">
              <w:rPr>
                <w:rFonts w:asciiTheme="minorHAnsi" w:hAnsiTheme="minorHAnsi" w:cstheme="minorHAnsi"/>
              </w:rPr>
              <w:t xml:space="preserve">Core </w:t>
            </w:r>
            <w:r w:rsidR="00385ABD" w:rsidRPr="002B2FD1">
              <w:rPr>
                <w:rFonts w:asciiTheme="minorHAnsi" w:hAnsiTheme="minorHAnsi" w:cstheme="minorHAnsi"/>
              </w:rPr>
              <w:t xml:space="preserve">target </w:t>
            </w:r>
            <w:r w:rsidRPr="002B2FD1">
              <w:rPr>
                <w:rFonts w:asciiTheme="minorHAnsi" w:hAnsiTheme="minorHAnsi" w:cstheme="minorHAnsi"/>
              </w:rPr>
              <w:t>scenarios</w:t>
            </w:r>
          </w:p>
        </w:tc>
        <w:tc>
          <w:tcPr>
            <w:tcW w:w="1742" w:type="pct"/>
            <w:tcBorders>
              <w:top w:val="single" w:sz="8" w:space="0" w:color="996633"/>
              <w:bottom w:val="single" w:sz="8" w:space="0" w:color="996633"/>
              <w:right w:val="single" w:sz="8" w:space="0" w:color="996633"/>
            </w:tcBorders>
            <w:shd w:val="clear" w:color="auto" w:fill="996633"/>
          </w:tcPr>
          <w:p w:rsidR="00587CA5" w:rsidRPr="002B2FD1" w:rsidRDefault="00587CA5" w:rsidP="00B540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2FD1">
              <w:rPr>
                <w:rFonts w:asciiTheme="minorHAnsi" w:hAnsiTheme="minorHAnsi" w:cstheme="minorHAnsi"/>
              </w:rPr>
              <w:t>Sensitivity scenarios – policy mix (with international units)</w:t>
            </w:r>
          </w:p>
        </w:tc>
      </w:tr>
      <w:tr w:rsidR="00E2242B"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single" w:sz="8" w:space="0" w:color="996633"/>
              <w:left w:val="single" w:sz="8" w:space="0" w:color="996633"/>
              <w:bottom w:val="nil"/>
            </w:tcBorders>
          </w:tcPr>
          <w:p w:rsidR="00E2242B" w:rsidRPr="002B2FD1" w:rsidRDefault="00E2242B"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Paris scenario</w:t>
            </w:r>
          </w:p>
        </w:tc>
        <w:tc>
          <w:tcPr>
            <w:tcW w:w="1540" w:type="pct"/>
            <w:tcBorders>
              <w:top w:val="single" w:sz="8" w:space="0" w:color="996633"/>
              <w:bottom w:val="nil"/>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2.21</w:t>
            </w:r>
          </w:p>
        </w:tc>
        <w:tc>
          <w:tcPr>
            <w:tcW w:w="1742" w:type="pct"/>
            <w:tcBorders>
              <w:top w:val="single" w:sz="8" w:space="0" w:color="996633"/>
              <w:bottom w:val="nil"/>
              <w:right w:val="single" w:sz="8" w:space="0" w:color="996633"/>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w:t>
            </w:r>
          </w:p>
        </w:tc>
      </w:tr>
      <w:tr w:rsidR="00E2242B" w:rsidRPr="00713957" w:rsidTr="002B2FD1">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E2242B" w:rsidRPr="002B2FD1" w:rsidRDefault="00E2242B"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-13%</w:t>
            </w:r>
          </w:p>
        </w:tc>
        <w:tc>
          <w:tcPr>
            <w:tcW w:w="1540" w:type="pct"/>
            <w:tcBorders>
              <w:top w:val="nil"/>
              <w:bottom w:val="nil"/>
            </w:tcBorders>
          </w:tcPr>
          <w:p w:rsidR="00E2242B" w:rsidRPr="002B2FD1" w:rsidRDefault="00E2242B" w:rsidP="00DD4E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2.18</w:t>
            </w:r>
          </w:p>
        </w:tc>
        <w:tc>
          <w:tcPr>
            <w:tcW w:w="1742" w:type="pct"/>
            <w:tcBorders>
              <w:top w:val="nil"/>
              <w:bottom w:val="nil"/>
              <w:right w:val="single" w:sz="8" w:space="0" w:color="996633"/>
            </w:tcBorders>
          </w:tcPr>
          <w:p w:rsidR="00E2242B" w:rsidRPr="002B2FD1" w:rsidRDefault="00E2242B" w:rsidP="00DD4E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2.20</w:t>
            </w:r>
          </w:p>
        </w:tc>
      </w:tr>
      <w:tr w:rsidR="00E2242B"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E2242B" w:rsidRPr="002B2FD1" w:rsidRDefault="00E2242B"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-26%</w:t>
            </w:r>
          </w:p>
        </w:tc>
        <w:tc>
          <w:tcPr>
            <w:tcW w:w="1540" w:type="pct"/>
            <w:tcBorders>
              <w:top w:val="nil"/>
              <w:bottom w:val="nil"/>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2.14</w:t>
            </w:r>
          </w:p>
        </w:tc>
        <w:tc>
          <w:tcPr>
            <w:tcW w:w="1742" w:type="pct"/>
            <w:tcBorders>
              <w:top w:val="nil"/>
              <w:bottom w:val="nil"/>
              <w:right w:val="single" w:sz="8" w:space="0" w:color="996633"/>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2.18</w:t>
            </w:r>
          </w:p>
        </w:tc>
      </w:tr>
      <w:tr w:rsidR="00E2242B" w:rsidRPr="00713957" w:rsidTr="002B2FD1">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E2242B" w:rsidRPr="002B2FD1" w:rsidRDefault="00E2242B"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-35%</w:t>
            </w:r>
          </w:p>
        </w:tc>
        <w:tc>
          <w:tcPr>
            <w:tcW w:w="1540" w:type="pct"/>
            <w:tcBorders>
              <w:top w:val="nil"/>
              <w:bottom w:val="nil"/>
            </w:tcBorders>
          </w:tcPr>
          <w:p w:rsidR="00E2242B" w:rsidRPr="002B2FD1" w:rsidRDefault="00E2242B" w:rsidP="00DD4E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2.12</w:t>
            </w:r>
          </w:p>
        </w:tc>
        <w:tc>
          <w:tcPr>
            <w:tcW w:w="1742" w:type="pct"/>
            <w:tcBorders>
              <w:top w:val="nil"/>
              <w:bottom w:val="nil"/>
              <w:right w:val="single" w:sz="8" w:space="0" w:color="996633"/>
            </w:tcBorders>
          </w:tcPr>
          <w:p w:rsidR="00E2242B" w:rsidRPr="002B2FD1" w:rsidRDefault="00E2242B" w:rsidP="00DD4E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2.16</w:t>
            </w:r>
          </w:p>
        </w:tc>
      </w:tr>
      <w:tr w:rsidR="00E2242B" w:rsidRPr="00713957"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single" w:sz="8" w:space="0" w:color="996633"/>
            </w:tcBorders>
          </w:tcPr>
          <w:p w:rsidR="00E2242B" w:rsidRPr="002B2FD1" w:rsidRDefault="00E2242B"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-45%</w:t>
            </w:r>
          </w:p>
        </w:tc>
        <w:tc>
          <w:tcPr>
            <w:tcW w:w="1540" w:type="pct"/>
            <w:tcBorders>
              <w:top w:val="nil"/>
              <w:bottom w:val="single" w:sz="8" w:space="0" w:color="996633"/>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2.09</w:t>
            </w:r>
          </w:p>
        </w:tc>
        <w:tc>
          <w:tcPr>
            <w:tcW w:w="1742" w:type="pct"/>
            <w:tcBorders>
              <w:top w:val="nil"/>
              <w:bottom w:val="single" w:sz="8" w:space="0" w:color="996633"/>
              <w:right w:val="single" w:sz="8" w:space="0" w:color="996633"/>
            </w:tcBorders>
          </w:tcPr>
          <w:p w:rsidR="00E2242B" w:rsidRPr="002B2FD1" w:rsidRDefault="00E2242B" w:rsidP="00DD4E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2.15</w:t>
            </w:r>
          </w:p>
        </w:tc>
      </w:tr>
    </w:tbl>
    <w:p w:rsidR="0058087E" w:rsidRDefault="0058087E" w:rsidP="0058087E">
      <w:pPr>
        <w:rPr>
          <w:rFonts w:asciiTheme="minorHAnsi" w:hAnsiTheme="minorHAnsi" w:cstheme="minorHAnsi"/>
          <w:b/>
        </w:rPr>
      </w:pPr>
    </w:p>
    <w:p w:rsidR="0058087E" w:rsidRDefault="0058087E" w:rsidP="00A936C4">
      <w:pPr>
        <w:rPr>
          <w:rFonts w:asciiTheme="minorHAnsi" w:hAnsiTheme="minorHAnsi" w:cstheme="minorHAnsi"/>
          <w:b/>
        </w:rPr>
      </w:pPr>
    </w:p>
    <w:p w:rsidR="0058087E" w:rsidRDefault="0058087E" w:rsidP="00A936C4">
      <w:pPr>
        <w:rPr>
          <w:rFonts w:asciiTheme="minorHAnsi" w:hAnsiTheme="minorHAnsi" w:cstheme="minorHAnsi"/>
          <w:b/>
        </w:rPr>
        <w:sectPr w:rsidR="0058087E" w:rsidSect="00DD4E0F">
          <w:footnotePr>
            <w:numFmt w:val="lowerRoman"/>
          </w:footnotePr>
          <w:pgSz w:w="11906" w:h="16838"/>
          <w:pgMar w:top="1440" w:right="1800" w:bottom="1440" w:left="1800" w:header="708" w:footer="708" w:gutter="0"/>
          <w:cols w:space="708"/>
          <w:docGrid w:linePitch="360"/>
        </w:sectPr>
      </w:pPr>
    </w:p>
    <w:p w:rsidR="00A936C4" w:rsidRPr="001D5606" w:rsidRDefault="00A936C4" w:rsidP="00C8393C">
      <w:pPr>
        <w:spacing w:after="120"/>
        <w:rPr>
          <w:rFonts w:asciiTheme="minorHAnsi" w:hAnsiTheme="minorHAnsi" w:cstheme="minorHAnsi"/>
          <w:b/>
          <w:color w:val="996633"/>
          <w:sz w:val="40"/>
        </w:rPr>
      </w:pPr>
      <w:r w:rsidRPr="001D5606">
        <w:rPr>
          <w:rFonts w:asciiTheme="minorHAnsi" w:hAnsiTheme="minorHAnsi" w:cstheme="minorHAnsi"/>
          <w:b/>
          <w:color w:val="996633"/>
          <w:sz w:val="40"/>
        </w:rPr>
        <w:lastRenderedPageBreak/>
        <w:t xml:space="preserve">APPENDIX </w:t>
      </w:r>
      <w:r w:rsidR="0061775F" w:rsidRPr="001D5606">
        <w:rPr>
          <w:rFonts w:asciiTheme="minorHAnsi" w:hAnsiTheme="minorHAnsi" w:cstheme="minorHAnsi"/>
          <w:b/>
          <w:color w:val="996633"/>
          <w:sz w:val="40"/>
        </w:rPr>
        <w:t>D</w:t>
      </w:r>
      <w:r w:rsidRPr="001D5606">
        <w:rPr>
          <w:rFonts w:asciiTheme="minorHAnsi" w:hAnsiTheme="minorHAnsi" w:cstheme="minorHAnsi"/>
          <w:b/>
          <w:color w:val="996633"/>
          <w:sz w:val="40"/>
        </w:rPr>
        <w:t>: Sectoral impacts</w:t>
      </w:r>
    </w:p>
    <w:p w:rsidR="00A936C4" w:rsidRPr="001D5606" w:rsidRDefault="00C83822" w:rsidP="004506D7">
      <w:pPr>
        <w:spacing w:after="120"/>
        <w:ind w:left="1276" w:hanging="1276"/>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61775F" w:rsidRPr="001D5606">
        <w:rPr>
          <w:rFonts w:asciiTheme="minorHAnsi" w:hAnsiTheme="minorHAnsi" w:cstheme="minorHAnsi"/>
          <w:b/>
          <w:color w:val="4F81BD" w:themeColor="accent1"/>
        </w:rPr>
        <w:t>D</w:t>
      </w:r>
      <w:r w:rsidRPr="001D5606">
        <w:rPr>
          <w:rFonts w:asciiTheme="minorHAnsi" w:hAnsiTheme="minorHAnsi" w:cstheme="minorHAnsi"/>
          <w:b/>
          <w:color w:val="4F81BD" w:themeColor="accent1"/>
        </w:rPr>
        <w:t>-</w:t>
      </w:r>
      <w:r w:rsidR="00A936C4" w:rsidRPr="001D5606">
        <w:rPr>
          <w:rFonts w:asciiTheme="minorHAnsi" w:hAnsiTheme="minorHAnsi" w:cstheme="minorHAnsi"/>
          <w:b/>
          <w:color w:val="4F81BD" w:themeColor="accent1"/>
        </w:rPr>
        <w:t xml:space="preserve">1: </w:t>
      </w:r>
      <w:r w:rsidR="00A936C4" w:rsidRPr="001D5606">
        <w:rPr>
          <w:rFonts w:asciiTheme="minorHAnsi" w:hAnsiTheme="minorHAnsi" w:cstheme="minorHAnsi"/>
          <w:color w:val="4F81BD" w:themeColor="accent1"/>
        </w:rPr>
        <w:t xml:space="preserve">13% </w:t>
      </w:r>
      <w:r w:rsidRPr="001D5606">
        <w:rPr>
          <w:rFonts w:asciiTheme="minorHAnsi" w:hAnsiTheme="minorHAnsi" w:cstheme="minorHAnsi"/>
          <w:color w:val="4F81BD" w:themeColor="accent1"/>
        </w:rPr>
        <w:t>r</w:t>
      </w:r>
      <w:r w:rsidR="00A936C4" w:rsidRPr="001D5606">
        <w:rPr>
          <w:rFonts w:asciiTheme="minorHAnsi" w:hAnsiTheme="minorHAnsi" w:cstheme="minorHAnsi"/>
          <w:color w:val="4F81BD" w:themeColor="accent1"/>
        </w:rPr>
        <w:t xml:space="preserve">eduction </w:t>
      </w:r>
      <w:r w:rsidRPr="001D5606">
        <w:rPr>
          <w:rFonts w:asciiTheme="minorHAnsi" w:hAnsiTheme="minorHAnsi" w:cstheme="minorHAnsi"/>
          <w:color w:val="4F81BD" w:themeColor="accent1"/>
        </w:rPr>
        <w:t>t</w:t>
      </w:r>
      <w:r w:rsidR="00B54E1E" w:rsidRPr="001D5606">
        <w:rPr>
          <w:rFonts w:asciiTheme="minorHAnsi" w:hAnsiTheme="minorHAnsi" w:cstheme="minorHAnsi"/>
          <w:color w:val="4F81BD" w:themeColor="accent1"/>
        </w:rPr>
        <w:t xml:space="preserve">arget </w:t>
      </w:r>
      <w:r w:rsidR="00E8072C" w:rsidRPr="001D5606">
        <w:rPr>
          <w:rFonts w:asciiTheme="minorHAnsi" w:hAnsiTheme="minorHAnsi" w:cstheme="minorHAnsi"/>
          <w:color w:val="4F81BD" w:themeColor="accent1"/>
        </w:rPr>
        <w:t xml:space="preserve">– core </w:t>
      </w:r>
      <w:r w:rsidR="00361581" w:rsidRPr="001D5606">
        <w:rPr>
          <w:rFonts w:asciiTheme="minorHAnsi" w:hAnsiTheme="minorHAnsi" w:cstheme="minorHAnsi"/>
          <w:color w:val="4F81BD" w:themeColor="accent1"/>
        </w:rPr>
        <w:t xml:space="preserve">target </w:t>
      </w:r>
      <w:r w:rsidR="00E8072C" w:rsidRPr="001D5606">
        <w:rPr>
          <w:rFonts w:asciiTheme="minorHAnsi" w:hAnsiTheme="minorHAnsi" w:cstheme="minorHAnsi"/>
          <w:color w:val="4F81BD" w:themeColor="accent1"/>
        </w:rPr>
        <w:t xml:space="preserve">scenario and </w:t>
      </w:r>
      <w:r w:rsidR="00587CA5" w:rsidRPr="001D5606">
        <w:rPr>
          <w:rFonts w:asciiTheme="minorHAnsi" w:hAnsiTheme="minorHAnsi" w:cstheme="minorHAnsi"/>
          <w:color w:val="4F81BD" w:themeColor="accent1"/>
        </w:rPr>
        <w:t xml:space="preserve">policy mix </w:t>
      </w:r>
      <w:r w:rsidR="00E8072C" w:rsidRPr="001D5606">
        <w:rPr>
          <w:rFonts w:asciiTheme="minorHAnsi" w:hAnsiTheme="minorHAnsi" w:cstheme="minorHAnsi"/>
          <w:color w:val="4F81BD" w:themeColor="accent1"/>
        </w:rPr>
        <w:t>sensitivity ana</w:t>
      </w:r>
      <w:r w:rsidR="004C018B" w:rsidRPr="001D5606">
        <w:rPr>
          <w:rFonts w:asciiTheme="minorHAnsi" w:hAnsiTheme="minorHAnsi" w:cstheme="minorHAnsi"/>
          <w:color w:val="4F81BD" w:themeColor="accent1"/>
        </w:rPr>
        <w:t>l</w:t>
      </w:r>
      <w:r w:rsidR="00E8072C" w:rsidRPr="001D5606">
        <w:rPr>
          <w:rFonts w:asciiTheme="minorHAnsi" w:hAnsiTheme="minorHAnsi" w:cstheme="minorHAnsi"/>
          <w:color w:val="4F81BD" w:themeColor="accent1"/>
        </w:rPr>
        <w:t xml:space="preserve">ysis, 2030 </w:t>
      </w:r>
      <w:r w:rsidR="00B54E1E" w:rsidRPr="001D5606">
        <w:rPr>
          <w:rFonts w:asciiTheme="minorHAnsi" w:hAnsiTheme="minorHAnsi" w:cstheme="minorHAnsi"/>
          <w:color w:val="4F81BD" w:themeColor="accent1"/>
        </w:rPr>
        <w:t>(</w:t>
      </w:r>
      <w:r w:rsidR="00FC1AE7" w:rsidRPr="001D5606">
        <w:rPr>
          <w:rFonts w:asciiTheme="minorHAnsi" w:hAnsiTheme="minorHAnsi" w:cstheme="minorHAnsi"/>
          <w:color w:val="4F81BD" w:themeColor="accent1"/>
        </w:rPr>
        <w:t>percentage</w:t>
      </w:r>
      <w:r w:rsidR="00E8072C" w:rsidRPr="001D5606">
        <w:rPr>
          <w:rFonts w:asciiTheme="minorHAnsi" w:hAnsiTheme="minorHAnsi" w:cstheme="minorHAnsi"/>
          <w:color w:val="4F81BD" w:themeColor="accent1"/>
        </w:rPr>
        <w:t xml:space="preserve"> </w:t>
      </w:r>
      <w:r w:rsidR="00B54E1E" w:rsidRPr="001D5606">
        <w:rPr>
          <w:rFonts w:asciiTheme="minorHAnsi" w:hAnsiTheme="minorHAnsi" w:cstheme="minorHAnsi"/>
          <w:color w:val="4F81BD" w:themeColor="accent1"/>
        </w:rPr>
        <w:t>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B54E1E" w:rsidRPr="001D5606">
        <w:rPr>
          <w:rFonts w:asciiTheme="minorHAnsi" w:hAnsiTheme="minorHAnsi" w:cstheme="minorHAnsi"/>
          <w:color w:val="4F81BD" w:themeColor="accent1"/>
        </w:rPr>
        <w:t>)</w:t>
      </w:r>
    </w:p>
    <w:p w:rsidR="0058087E" w:rsidRDefault="00235D97" w:rsidP="00A936C4">
      <w:pPr>
        <w:rPr>
          <w:rFonts w:asciiTheme="minorHAnsi" w:hAnsiTheme="minorHAnsi" w:cstheme="minorHAnsi"/>
          <w:b/>
        </w:rPr>
      </w:pPr>
      <w:r w:rsidRPr="00235D97">
        <w:rPr>
          <w:noProof/>
          <w:lang w:eastAsia="en-AU"/>
        </w:rPr>
        <w:drawing>
          <wp:inline distT="0" distB="0" distL="0" distR="0" wp14:anchorId="17636DFF" wp14:editId="5C7F97B7">
            <wp:extent cx="7410893" cy="4463163"/>
            <wp:effectExtent l="0" t="0" r="0" b="0"/>
            <wp:docPr id="15" name="Picture 15" descr="A -13 per cent target without using international units has the following impacts on Australian sectoral outputs: Gas extraction output (-2.7%), Crude extraction output (-1.7%), Coal mining output (-6.7%), Petroleum refining output (-1.2%), Gas utilities output (-1.5%), Electric utilities output (-5.1%), Services Output (-0.3%), Transportation output (-0.4%), Non-Durable Manufacturing output (-0.4%), Durable Manufacturing output (-0.1%), Agriculture output (-0.2%), Other Mining output (-0.3%).&#10;A -13 per cent target with international units has the following impacts on Australian sectoral outputs: Gas extraction output (-1.4%), Crude extraction output (-0.7%), Coal mining output (-3.4%), Petroleum refining output (-0.6%), Gas utilities output (-0.8%), Electric utilities output (-2.2%), Services Output (-0.1%), Transportation output (-0.2%), Non-Durable Manufacturing output (-0.2%), Durable Manufacturing output (-0.0%), Agriculture output (-0.1%), Other Mining output (-0.1%).&#10;A -13 per cent target without using international units has the following impacts on Australian sectoral exports: Gas extraction exports (-0.6%), Crude extraction exports (-0.9%), Coal mining exports (-0.9%), Petroleum refining exports (-1.0%), Gas utilities exports (-0.4%), Services exports (-0.2%), Transportation exports (-0.3%), Non-Durable Manufacturing exports (-0.3%), Durable Manufacturing exports (-0.6%), Agriculture exports (-0.1%), Other Mining exports (-0.5%).&#10;A -13 per cent target without using international units has the following impacts on Australian sectoral exports: Gas extraction exports (-0.2%), Crude extraction exports (-0.3%), Coal mining exports (-0.2%), Petroleum refining exports (-0.3%), Gas utilities exports (-0.1%), Services exports (0.1%), Transportation exports (+0.0%), Non-Durable Manufacturing exports (+0.0%), Durable Manufacturing exports (-0.1%), Agriculture exports (+0.0%), Other Mining exports (-0.1%).&#10;" title="Figure D-1: 13% reduction target – core target scenario and policy mix sensitivity analysi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7412827" cy="4464328"/>
                    </a:xfrm>
                    <a:prstGeom prst="rect">
                      <a:avLst/>
                    </a:prstGeom>
                  </pic:spPr>
                </pic:pic>
              </a:graphicData>
            </a:graphic>
          </wp:inline>
        </w:drawing>
      </w:r>
    </w:p>
    <w:p w:rsidR="00A936C4" w:rsidRPr="001D5606" w:rsidRDefault="00587CA5" w:rsidP="00A936C4">
      <w:pPr>
        <w:rPr>
          <w:rFonts w:asciiTheme="minorHAnsi" w:hAnsiTheme="minorHAnsi" w:cstheme="minorHAnsi"/>
          <w:b/>
          <w:color w:val="4F81BD" w:themeColor="accent1"/>
        </w:rPr>
      </w:pPr>
      <w:r w:rsidRPr="001D5606">
        <w:rPr>
          <w:color w:val="4F81BD" w:themeColor="accent1"/>
          <w:sz w:val="16"/>
        </w:rPr>
        <w:t xml:space="preserve">Note: IUs refers to sensitivity analysis on the policy mix, where the use of some international units is assumed (see Appendix </w:t>
      </w:r>
      <w:r w:rsidR="00361581" w:rsidRPr="001D5606">
        <w:rPr>
          <w:color w:val="4F81BD" w:themeColor="accent1"/>
          <w:sz w:val="16"/>
        </w:rPr>
        <w:t>F</w:t>
      </w:r>
      <w:r w:rsidRPr="001D5606">
        <w:rPr>
          <w:color w:val="4F81BD" w:themeColor="accent1"/>
          <w:sz w:val="16"/>
        </w:rPr>
        <w:t xml:space="preserve"> for details).</w:t>
      </w:r>
      <w:r w:rsidR="0058087E" w:rsidRPr="001D5606">
        <w:rPr>
          <w:rFonts w:asciiTheme="minorHAnsi" w:hAnsiTheme="minorHAnsi" w:cstheme="minorHAnsi"/>
          <w:b/>
          <w:color w:val="4F81BD" w:themeColor="accent1"/>
        </w:rPr>
        <w:t xml:space="preserve"> </w:t>
      </w:r>
      <w:r w:rsidR="00A936C4" w:rsidRPr="001D5606">
        <w:rPr>
          <w:rFonts w:asciiTheme="minorHAnsi" w:hAnsiTheme="minorHAnsi" w:cstheme="minorHAnsi"/>
          <w:b/>
          <w:color w:val="4F81BD" w:themeColor="accent1"/>
        </w:rPr>
        <w:br w:type="page"/>
      </w:r>
    </w:p>
    <w:p w:rsidR="00A936C4" w:rsidRPr="001D5606" w:rsidRDefault="00C83822" w:rsidP="004506D7">
      <w:pPr>
        <w:spacing w:after="120"/>
        <w:ind w:left="1276" w:hanging="1276"/>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61775F" w:rsidRPr="001D5606">
        <w:rPr>
          <w:rFonts w:asciiTheme="minorHAnsi" w:hAnsiTheme="minorHAnsi" w:cstheme="minorHAnsi"/>
          <w:b/>
          <w:color w:val="4F81BD" w:themeColor="accent1"/>
        </w:rPr>
        <w:t>D</w:t>
      </w:r>
      <w:r w:rsidRPr="001D5606">
        <w:rPr>
          <w:rFonts w:asciiTheme="minorHAnsi" w:hAnsiTheme="minorHAnsi" w:cstheme="minorHAnsi"/>
          <w:b/>
          <w:color w:val="4F81BD" w:themeColor="accent1"/>
        </w:rPr>
        <w:t>-</w:t>
      </w:r>
      <w:r w:rsidR="00A936C4" w:rsidRPr="001D5606">
        <w:rPr>
          <w:rFonts w:asciiTheme="minorHAnsi" w:hAnsiTheme="minorHAnsi" w:cstheme="minorHAnsi"/>
          <w:b/>
          <w:color w:val="4F81BD" w:themeColor="accent1"/>
        </w:rPr>
        <w:t xml:space="preserve">2: </w:t>
      </w:r>
      <w:r w:rsidR="00A936C4" w:rsidRPr="001D5606">
        <w:rPr>
          <w:rFonts w:asciiTheme="minorHAnsi" w:hAnsiTheme="minorHAnsi" w:cstheme="minorHAnsi"/>
          <w:color w:val="4F81BD" w:themeColor="accent1"/>
        </w:rPr>
        <w:t xml:space="preserve">26% </w:t>
      </w:r>
      <w:r w:rsidRPr="001D5606">
        <w:rPr>
          <w:rFonts w:asciiTheme="minorHAnsi" w:hAnsiTheme="minorHAnsi" w:cstheme="minorHAnsi"/>
          <w:color w:val="4F81BD" w:themeColor="accent1"/>
        </w:rPr>
        <w:t xml:space="preserve">reduction target </w:t>
      </w:r>
      <w:r w:rsidR="00E8072C" w:rsidRPr="001D5606">
        <w:rPr>
          <w:rFonts w:asciiTheme="minorHAnsi" w:hAnsiTheme="minorHAnsi" w:cstheme="minorHAnsi"/>
          <w:color w:val="4F81BD" w:themeColor="accent1"/>
        </w:rPr>
        <w:t xml:space="preserve">– core </w:t>
      </w:r>
      <w:r w:rsidR="00361581" w:rsidRPr="001D5606">
        <w:rPr>
          <w:rFonts w:asciiTheme="minorHAnsi" w:hAnsiTheme="minorHAnsi" w:cstheme="minorHAnsi"/>
          <w:color w:val="4F81BD" w:themeColor="accent1"/>
        </w:rPr>
        <w:t xml:space="preserve">target </w:t>
      </w:r>
      <w:r w:rsidR="00E8072C" w:rsidRPr="001D5606">
        <w:rPr>
          <w:rFonts w:asciiTheme="minorHAnsi" w:hAnsiTheme="minorHAnsi" w:cstheme="minorHAnsi"/>
          <w:color w:val="4F81BD" w:themeColor="accent1"/>
        </w:rPr>
        <w:t xml:space="preserve">scenario and </w:t>
      </w:r>
      <w:r w:rsidR="00C64E4A" w:rsidRPr="001D5606">
        <w:rPr>
          <w:rFonts w:asciiTheme="minorHAnsi" w:hAnsiTheme="minorHAnsi" w:cstheme="minorHAnsi"/>
          <w:color w:val="4F81BD" w:themeColor="accent1"/>
        </w:rPr>
        <w:t xml:space="preserve">policy mix </w:t>
      </w:r>
      <w:r w:rsidR="00E8072C" w:rsidRPr="001D5606">
        <w:rPr>
          <w:rFonts w:asciiTheme="minorHAnsi" w:hAnsiTheme="minorHAnsi" w:cstheme="minorHAnsi"/>
          <w:color w:val="4F81BD" w:themeColor="accent1"/>
        </w:rPr>
        <w:t>sensitivity ana</w:t>
      </w:r>
      <w:r w:rsidR="004C018B" w:rsidRPr="001D5606">
        <w:rPr>
          <w:rFonts w:asciiTheme="minorHAnsi" w:hAnsiTheme="minorHAnsi" w:cstheme="minorHAnsi"/>
          <w:color w:val="4F81BD" w:themeColor="accent1"/>
        </w:rPr>
        <w:t>l</w:t>
      </w:r>
      <w:r w:rsidR="00E8072C" w:rsidRPr="001D5606">
        <w:rPr>
          <w:rFonts w:asciiTheme="minorHAnsi" w:hAnsiTheme="minorHAnsi" w:cstheme="minorHAnsi"/>
          <w:color w:val="4F81BD" w:themeColor="accent1"/>
        </w:rPr>
        <w:t xml:space="preserve">ysis, 2030 </w:t>
      </w:r>
      <w:r w:rsidR="00B54E1E" w:rsidRPr="001D5606">
        <w:rPr>
          <w:rFonts w:asciiTheme="minorHAnsi" w:hAnsiTheme="minorHAnsi" w:cstheme="minorHAnsi"/>
          <w:color w:val="4F81BD" w:themeColor="accent1"/>
        </w:rPr>
        <w:t>(</w:t>
      </w:r>
      <w:r w:rsidR="00FC1AE7" w:rsidRPr="001D5606">
        <w:rPr>
          <w:rFonts w:asciiTheme="minorHAnsi" w:hAnsiTheme="minorHAnsi" w:cstheme="minorHAnsi"/>
          <w:color w:val="4F81BD" w:themeColor="accent1"/>
        </w:rPr>
        <w:t>percentage</w:t>
      </w:r>
      <w:r w:rsidR="00E8072C" w:rsidRPr="001D5606">
        <w:rPr>
          <w:rFonts w:asciiTheme="minorHAnsi" w:hAnsiTheme="minorHAnsi" w:cstheme="minorHAnsi"/>
          <w:color w:val="4F81BD" w:themeColor="accent1"/>
        </w:rPr>
        <w:t xml:space="preserve"> </w:t>
      </w:r>
      <w:r w:rsidR="00B54E1E" w:rsidRPr="001D5606">
        <w:rPr>
          <w:rFonts w:asciiTheme="minorHAnsi" w:hAnsiTheme="minorHAnsi" w:cstheme="minorHAnsi"/>
          <w:color w:val="4F81BD" w:themeColor="accent1"/>
        </w:rPr>
        <w:t>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B54E1E" w:rsidRPr="001D5606">
        <w:rPr>
          <w:rFonts w:asciiTheme="minorHAnsi" w:hAnsiTheme="minorHAnsi" w:cstheme="minorHAnsi"/>
          <w:color w:val="4F81BD" w:themeColor="accent1"/>
        </w:rPr>
        <w:t>)</w:t>
      </w:r>
    </w:p>
    <w:p w:rsidR="00047369" w:rsidRDefault="00E8072C" w:rsidP="00047369">
      <w:pPr>
        <w:rPr>
          <w:sz w:val="16"/>
        </w:rPr>
      </w:pPr>
      <w:r w:rsidRPr="00E8072C">
        <w:rPr>
          <w:noProof/>
          <w:lang w:eastAsia="en-AU"/>
        </w:rPr>
        <w:drawing>
          <wp:inline distT="0" distB="0" distL="0" distR="0" wp14:anchorId="25EC3DA5" wp14:editId="7305A793">
            <wp:extent cx="7634177" cy="4621286"/>
            <wp:effectExtent l="0" t="0" r="5080" b="8255"/>
            <wp:docPr id="13" name="Picture 13" descr="A -26 per cent target without using international units has the following impacts on Australian sectoral outputs: Gas extraction output (-6.1%), Crude extraction output (-3.8%), Coal mining output (-14.3%), Petroleum refining output (-2.6%), Gas utilities output (-3.3%), Electric utilities output (-11%), Services Output (-0.5%), Transportation output (-0.9%), Non-Durable Manufacturing output (-0.8%), Durable Manufacturing output (-0.3%), Agriculture output (-0.4%), Other Mining output (-0.7%).&#10;A -26 per cent target with international units has the following impacts on Australian sectoral outputs: Gas extraction output (-3.3%), Crude extraction output (-2.0%), Coal mining output (-7.7%), Petroleum refining output (-1.5%), Gas utilities output (-1.8%), Electric utilities output (-6.1%), Services Output (-0.3%), Transportation output (-0.5%), Non-Durable Manufacturing output (-0.4%), Durable Manufacturing output (-0.2%), Agriculture output (-0.2%), Other Mining output (-0.3%).&#10;A -26 per cent target without using international units has the following impacts on Australian sectoral exports: Gas extraction exports (-1.4%), Crude extraction exports (-2.4%), Coal mining exports (-1.6%), Petroleum refining exports (-2.4%), Gas utilities exports (-0.9%), Services exports (-0.6%), Transportation exports (-0.8%), Non-Durable Manufacturing exports (-0.9%), Durable Manufacturing exports (-1.4%), Agriculture exports (-0.5%), Other Mining exports (-1.0%).&#10;A -26 per cent target without using international units has the following impacts on Australian sectoral exports: Gas extraction exports (-0.7%), Crude extraction exports (-1.1%), Coal mining exports (-0.8%), Petroleum refining exports (-1.1%), Gas utilities exports (-0.4%), Services exports (-0.1%), Transportation exports (-0.2%), Non-Durable Manufacturing exports (-0.3%), Durable Manufacturing exports (-0.7%), Agriculture exports (-0.1%), Other Mining exports (-0.5%).&#10;" title="Figure D-2: 26% reduction target – core target scenario and policy mix sensitivity analysi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7660998" cy="4637522"/>
                    </a:xfrm>
                    <a:prstGeom prst="rect">
                      <a:avLst/>
                    </a:prstGeom>
                  </pic:spPr>
                </pic:pic>
              </a:graphicData>
            </a:graphic>
          </wp:inline>
        </w:drawing>
      </w:r>
      <w:r w:rsidR="00047369" w:rsidRPr="00047369">
        <w:rPr>
          <w:sz w:val="16"/>
        </w:rPr>
        <w:t xml:space="preserve"> </w:t>
      </w:r>
    </w:p>
    <w:p w:rsidR="00047369" w:rsidRPr="001D5606" w:rsidRDefault="00587CA5" w:rsidP="00047369">
      <w:pPr>
        <w:rPr>
          <w:rFonts w:asciiTheme="minorHAnsi" w:hAnsiTheme="minorHAnsi" w:cstheme="minorHAnsi"/>
          <w:b/>
          <w:color w:val="4F81BD" w:themeColor="accent1"/>
        </w:rPr>
      </w:pPr>
      <w:r w:rsidRPr="001D5606">
        <w:rPr>
          <w:color w:val="4F81BD" w:themeColor="accent1"/>
          <w:sz w:val="16"/>
        </w:rPr>
        <w:t xml:space="preserve">Note: IUs refers to sensitivity analysis on the policy mix, where the use of some international units is assumed (see Appendix </w:t>
      </w:r>
      <w:r w:rsidR="00361581" w:rsidRPr="001D5606">
        <w:rPr>
          <w:color w:val="4F81BD" w:themeColor="accent1"/>
          <w:sz w:val="16"/>
        </w:rPr>
        <w:t>F</w:t>
      </w:r>
      <w:r w:rsidRPr="001D5606">
        <w:rPr>
          <w:color w:val="4F81BD" w:themeColor="accent1"/>
          <w:sz w:val="16"/>
        </w:rPr>
        <w:t xml:space="preserve"> for details).</w:t>
      </w:r>
      <w:r w:rsidR="00047369" w:rsidRPr="001D5606">
        <w:rPr>
          <w:rFonts w:asciiTheme="minorHAnsi" w:hAnsiTheme="minorHAnsi" w:cstheme="minorHAnsi"/>
          <w:b/>
          <w:color w:val="4F81BD" w:themeColor="accent1"/>
        </w:rPr>
        <w:t xml:space="preserve"> </w:t>
      </w:r>
      <w:r w:rsidR="00047369" w:rsidRPr="001D5606">
        <w:rPr>
          <w:rFonts w:asciiTheme="minorHAnsi" w:hAnsiTheme="minorHAnsi" w:cstheme="minorHAnsi"/>
          <w:b/>
          <w:color w:val="4F81BD" w:themeColor="accent1"/>
        </w:rPr>
        <w:br w:type="page"/>
      </w:r>
    </w:p>
    <w:p w:rsidR="00A936C4" w:rsidRPr="001D5606" w:rsidRDefault="00C83822" w:rsidP="004506D7">
      <w:pPr>
        <w:spacing w:after="120"/>
        <w:ind w:left="1276" w:hanging="1276"/>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A5454F" w:rsidRPr="001D5606">
        <w:rPr>
          <w:rFonts w:asciiTheme="minorHAnsi" w:hAnsiTheme="minorHAnsi" w:cstheme="minorHAnsi"/>
          <w:b/>
          <w:color w:val="4F81BD" w:themeColor="accent1"/>
        </w:rPr>
        <w:t>D</w:t>
      </w:r>
      <w:r w:rsidRPr="001D5606">
        <w:rPr>
          <w:rFonts w:asciiTheme="minorHAnsi" w:hAnsiTheme="minorHAnsi" w:cstheme="minorHAnsi"/>
          <w:b/>
          <w:color w:val="4F81BD" w:themeColor="accent1"/>
        </w:rPr>
        <w:t>-</w:t>
      </w:r>
      <w:r w:rsidR="00A936C4" w:rsidRPr="001D5606">
        <w:rPr>
          <w:rFonts w:asciiTheme="minorHAnsi" w:hAnsiTheme="minorHAnsi" w:cstheme="minorHAnsi"/>
          <w:b/>
          <w:color w:val="4F81BD" w:themeColor="accent1"/>
        </w:rPr>
        <w:t xml:space="preserve">3: </w:t>
      </w:r>
      <w:r w:rsidR="00A936C4" w:rsidRPr="001D5606">
        <w:rPr>
          <w:rFonts w:asciiTheme="minorHAnsi" w:hAnsiTheme="minorHAnsi" w:cstheme="minorHAnsi"/>
          <w:color w:val="4F81BD" w:themeColor="accent1"/>
        </w:rPr>
        <w:t xml:space="preserve">35% </w:t>
      </w:r>
      <w:r w:rsidRPr="001D5606">
        <w:rPr>
          <w:rFonts w:asciiTheme="minorHAnsi" w:hAnsiTheme="minorHAnsi" w:cstheme="minorHAnsi"/>
          <w:color w:val="4F81BD" w:themeColor="accent1"/>
        </w:rPr>
        <w:t xml:space="preserve">reduction target </w:t>
      </w:r>
      <w:r w:rsidR="00E8072C" w:rsidRPr="001D5606">
        <w:rPr>
          <w:rFonts w:asciiTheme="minorHAnsi" w:hAnsiTheme="minorHAnsi" w:cstheme="minorHAnsi"/>
          <w:color w:val="4F81BD" w:themeColor="accent1"/>
        </w:rPr>
        <w:t xml:space="preserve">– core </w:t>
      </w:r>
      <w:r w:rsidR="00361581" w:rsidRPr="001D5606">
        <w:rPr>
          <w:rFonts w:asciiTheme="minorHAnsi" w:hAnsiTheme="minorHAnsi" w:cstheme="minorHAnsi"/>
          <w:color w:val="4F81BD" w:themeColor="accent1"/>
        </w:rPr>
        <w:t xml:space="preserve">target </w:t>
      </w:r>
      <w:r w:rsidR="00E8072C" w:rsidRPr="001D5606">
        <w:rPr>
          <w:rFonts w:asciiTheme="minorHAnsi" w:hAnsiTheme="minorHAnsi" w:cstheme="minorHAnsi"/>
          <w:color w:val="4F81BD" w:themeColor="accent1"/>
        </w:rPr>
        <w:t xml:space="preserve">scenario and </w:t>
      </w:r>
      <w:r w:rsidR="00C64E4A" w:rsidRPr="001D5606">
        <w:rPr>
          <w:rFonts w:asciiTheme="minorHAnsi" w:hAnsiTheme="minorHAnsi" w:cstheme="minorHAnsi"/>
          <w:color w:val="4F81BD" w:themeColor="accent1"/>
        </w:rPr>
        <w:t xml:space="preserve">policy mix </w:t>
      </w:r>
      <w:r w:rsidR="00E8072C" w:rsidRPr="001D5606">
        <w:rPr>
          <w:rFonts w:asciiTheme="minorHAnsi" w:hAnsiTheme="minorHAnsi" w:cstheme="minorHAnsi"/>
          <w:color w:val="4F81BD" w:themeColor="accent1"/>
        </w:rPr>
        <w:t>sensitivity ana</w:t>
      </w:r>
      <w:r w:rsidR="004C018B" w:rsidRPr="001D5606">
        <w:rPr>
          <w:rFonts w:asciiTheme="minorHAnsi" w:hAnsiTheme="minorHAnsi" w:cstheme="minorHAnsi"/>
          <w:color w:val="4F81BD" w:themeColor="accent1"/>
        </w:rPr>
        <w:t>l</w:t>
      </w:r>
      <w:r w:rsidR="00E8072C" w:rsidRPr="001D5606">
        <w:rPr>
          <w:rFonts w:asciiTheme="minorHAnsi" w:hAnsiTheme="minorHAnsi" w:cstheme="minorHAnsi"/>
          <w:color w:val="4F81BD" w:themeColor="accent1"/>
        </w:rPr>
        <w:t xml:space="preserve">ysis, 2030 </w:t>
      </w:r>
      <w:r w:rsidR="00B54E1E" w:rsidRPr="001D5606">
        <w:rPr>
          <w:rFonts w:asciiTheme="minorHAnsi" w:hAnsiTheme="minorHAnsi" w:cstheme="minorHAnsi"/>
          <w:color w:val="4F81BD" w:themeColor="accent1"/>
        </w:rPr>
        <w:t>(</w:t>
      </w:r>
      <w:r w:rsidR="00FC1AE7" w:rsidRPr="001D5606">
        <w:rPr>
          <w:rFonts w:asciiTheme="minorHAnsi" w:hAnsiTheme="minorHAnsi" w:cstheme="minorHAnsi"/>
          <w:color w:val="4F81BD" w:themeColor="accent1"/>
        </w:rPr>
        <w:t>percentage</w:t>
      </w:r>
      <w:r w:rsidR="00E8072C" w:rsidRPr="001D5606">
        <w:rPr>
          <w:rFonts w:asciiTheme="minorHAnsi" w:hAnsiTheme="minorHAnsi" w:cstheme="minorHAnsi"/>
          <w:color w:val="4F81BD" w:themeColor="accent1"/>
        </w:rPr>
        <w:t xml:space="preserve"> </w:t>
      </w:r>
      <w:r w:rsidR="00B54E1E" w:rsidRPr="001D5606">
        <w:rPr>
          <w:rFonts w:asciiTheme="minorHAnsi" w:hAnsiTheme="minorHAnsi" w:cstheme="minorHAnsi"/>
          <w:color w:val="4F81BD" w:themeColor="accent1"/>
        </w:rPr>
        <w:t>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B54E1E" w:rsidRPr="001D5606">
        <w:rPr>
          <w:rFonts w:asciiTheme="minorHAnsi" w:hAnsiTheme="minorHAnsi" w:cstheme="minorHAnsi"/>
          <w:color w:val="4F81BD" w:themeColor="accent1"/>
        </w:rPr>
        <w:t>)</w:t>
      </w:r>
    </w:p>
    <w:p w:rsidR="00A936C4" w:rsidRPr="001D5606" w:rsidRDefault="00235D97" w:rsidP="00A936C4">
      <w:pPr>
        <w:rPr>
          <w:rFonts w:asciiTheme="minorHAnsi" w:hAnsiTheme="minorHAnsi" w:cstheme="minorHAnsi"/>
          <w:b/>
          <w:color w:val="4F81BD" w:themeColor="accent1"/>
        </w:rPr>
      </w:pPr>
      <w:r w:rsidRPr="001D5606">
        <w:rPr>
          <w:noProof/>
          <w:color w:val="4F81BD" w:themeColor="accent1"/>
          <w:lang w:eastAsia="en-AU"/>
        </w:rPr>
        <w:drawing>
          <wp:inline distT="0" distB="0" distL="0" distR="0" wp14:anchorId="75FB402A" wp14:editId="42D98D8F">
            <wp:extent cx="7413547" cy="4516244"/>
            <wp:effectExtent l="0" t="0" r="0" b="0"/>
            <wp:docPr id="18" name="Picture 18" descr="A -35 per cent target without using international units has the following impacts on Australian sectoral outputs: Gas extraction output (-8.4%), Crude extraction output (-5.2%), Coal mining output (-19.6%), Petroleum refining output (-3.6%), Gas utilities output (-4.5%), Electric utilities output (-15.1%), Services Output (-0.7%), Transportation output (-1.1%), Non-Durable Manufacturing output (-1%), Durable Manufacturing output (-0.5%), Agriculture output (-0.6%), Other Mining output (-0.9%).&#10;A -35 per cent target with international units has the following impacts on Australian sectoral outputs: Gas extraction output (-4.6%), Crude extraction output (-2.8%), Coal mining output (-10.6%), Petroleum refining output (-2.0%), Gas utilities output (-2.5%), Electric utilities output (-8.4%), Services Output (-0.4%), Transportation output (-0.6%), Non-Durable Manufacturing output (-0.6%), Durable Manufacturing output (-0.3%), Agriculture output (-0.3%), Other Mining output (-0.5%).&#10;A -35 per cent target without using international units has the following impacts on Australian sectoral exports: Gas extraction exports (-1.9%), Crude extraction exports (-3.4%), Coal mining exports (-2.2%), Petroleum refining exports (-3.4%), Gas utilities exports (-1.3%), Services exports (-1.0%), Transportation exports (-1.1%), Non-Durable Manufacturing exports (-1.3%), Durable Manufacturing exports (-2%), Agriculture exports (-0.8%), Other Mining exports (-1.4%).&#10;A -35 per cent target without using international units has the following impacts on Australian sectoral exports: Gas extraction exports (-1.0%), Crude extraction exports (-1.7%), Coal mining exports (-1.0%), Petroleum refining exports (-1.7%), Gas utilities exports (-0.6%), Services exports (-0.3%), Transportation exports (-0.4%), Non-Durable Manufacturing exports (-0.5%), Durable Manufacturing exports (-0.9%), Agriculture exports (-0.3%), Other Mining exports (-0.7%).&#10;" title="Figure D-3: 35% reduction target – core target scenario and policy mix sensitivity analysi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7413547" cy="4516244"/>
                    </a:xfrm>
                    <a:prstGeom prst="rect">
                      <a:avLst/>
                    </a:prstGeom>
                  </pic:spPr>
                </pic:pic>
              </a:graphicData>
            </a:graphic>
          </wp:inline>
        </w:drawing>
      </w:r>
    </w:p>
    <w:p w:rsidR="00A936C4" w:rsidRPr="001D5606" w:rsidRDefault="00587CA5" w:rsidP="00A936C4">
      <w:pPr>
        <w:rPr>
          <w:rFonts w:asciiTheme="minorHAnsi" w:hAnsiTheme="minorHAnsi" w:cstheme="minorHAnsi"/>
          <w:b/>
          <w:color w:val="4F81BD" w:themeColor="accent1"/>
        </w:rPr>
      </w:pPr>
      <w:r w:rsidRPr="001D5606">
        <w:rPr>
          <w:color w:val="4F81BD" w:themeColor="accent1"/>
          <w:sz w:val="16"/>
        </w:rPr>
        <w:t xml:space="preserve">Note: IUs refers to sensitivity analysis on the policy mix, where the use of some international units is assumed (see Appendix </w:t>
      </w:r>
      <w:r w:rsidR="00361581" w:rsidRPr="001D5606">
        <w:rPr>
          <w:color w:val="4F81BD" w:themeColor="accent1"/>
          <w:sz w:val="16"/>
        </w:rPr>
        <w:t>F</w:t>
      </w:r>
      <w:r w:rsidRPr="001D5606">
        <w:rPr>
          <w:color w:val="4F81BD" w:themeColor="accent1"/>
          <w:sz w:val="16"/>
        </w:rPr>
        <w:t xml:space="preserve"> for details).</w:t>
      </w:r>
      <w:r w:rsidR="00A936C4" w:rsidRPr="001D5606">
        <w:rPr>
          <w:rFonts w:asciiTheme="minorHAnsi" w:hAnsiTheme="minorHAnsi" w:cstheme="minorHAnsi"/>
          <w:b/>
          <w:color w:val="4F81BD" w:themeColor="accent1"/>
        </w:rPr>
        <w:br w:type="page"/>
      </w:r>
    </w:p>
    <w:p w:rsidR="00A936C4" w:rsidRPr="001D5606" w:rsidRDefault="00C83822" w:rsidP="004506D7">
      <w:pPr>
        <w:spacing w:after="120"/>
        <w:ind w:left="1276" w:hanging="1276"/>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A5454F" w:rsidRPr="001D5606">
        <w:rPr>
          <w:rFonts w:asciiTheme="minorHAnsi" w:hAnsiTheme="minorHAnsi" w:cstheme="minorHAnsi"/>
          <w:b/>
          <w:color w:val="4F81BD" w:themeColor="accent1"/>
        </w:rPr>
        <w:t>D</w:t>
      </w:r>
      <w:r w:rsidRPr="001D5606">
        <w:rPr>
          <w:rFonts w:asciiTheme="minorHAnsi" w:hAnsiTheme="minorHAnsi" w:cstheme="minorHAnsi"/>
          <w:b/>
          <w:color w:val="4F81BD" w:themeColor="accent1"/>
        </w:rPr>
        <w:t>-</w:t>
      </w:r>
      <w:r w:rsidR="00A936C4" w:rsidRPr="001D5606">
        <w:rPr>
          <w:rFonts w:asciiTheme="minorHAnsi" w:hAnsiTheme="minorHAnsi" w:cstheme="minorHAnsi"/>
          <w:b/>
          <w:color w:val="4F81BD" w:themeColor="accent1"/>
        </w:rPr>
        <w:t xml:space="preserve">4: </w:t>
      </w:r>
      <w:r w:rsidR="00A936C4" w:rsidRPr="001D5606">
        <w:rPr>
          <w:rFonts w:asciiTheme="minorHAnsi" w:hAnsiTheme="minorHAnsi" w:cstheme="minorHAnsi"/>
          <w:color w:val="4F81BD" w:themeColor="accent1"/>
        </w:rPr>
        <w:t xml:space="preserve">45% </w:t>
      </w:r>
      <w:r w:rsidRPr="001D5606">
        <w:rPr>
          <w:rFonts w:asciiTheme="minorHAnsi" w:hAnsiTheme="minorHAnsi" w:cstheme="minorHAnsi"/>
          <w:color w:val="4F81BD" w:themeColor="accent1"/>
        </w:rPr>
        <w:t xml:space="preserve">reduction target </w:t>
      </w:r>
      <w:r w:rsidR="00E8072C" w:rsidRPr="001D5606">
        <w:rPr>
          <w:rFonts w:asciiTheme="minorHAnsi" w:hAnsiTheme="minorHAnsi" w:cstheme="minorHAnsi"/>
          <w:color w:val="4F81BD" w:themeColor="accent1"/>
        </w:rPr>
        <w:t xml:space="preserve">– core </w:t>
      </w:r>
      <w:r w:rsidR="00361581" w:rsidRPr="001D5606">
        <w:rPr>
          <w:rFonts w:asciiTheme="minorHAnsi" w:hAnsiTheme="minorHAnsi" w:cstheme="minorHAnsi"/>
          <w:color w:val="4F81BD" w:themeColor="accent1"/>
        </w:rPr>
        <w:t xml:space="preserve">target </w:t>
      </w:r>
      <w:r w:rsidR="00E8072C" w:rsidRPr="001D5606">
        <w:rPr>
          <w:rFonts w:asciiTheme="minorHAnsi" w:hAnsiTheme="minorHAnsi" w:cstheme="minorHAnsi"/>
          <w:color w:val="4F81BD" w:themeColor="accent1"/>
        </w:rPr>
        <w:t xml:space="preserve">scenario and </w:t>
      </w:r>
      <w:r w:rsidR="00C64E4A" w:rsidRPr="001D5606">
        <w:rPr>
          <w:rFonts w:asciiTheme="minorHAnsi" w:hAnsiTheme="minorHAnsi" w:cstheme="minorHAnsi"/>
          <w:color w:val="4F81BD" w:themeColor="accent1"/>
        </w:rPr>
        <w:t xml:space="preserve">policy mix </w:t>
      </w:r>
      <w:r w:rsidR="00E8072C" w:rsidRPr="001D5606">
        <w:rPr>
          <w:rFonts w:asciiTheme="minorHAnsi" w:hAnsiTheme="minorHAnsi" w:cstheme="minorHAnsi"/>
          <w:color w:val="4F81BD" w:themeColor="accent1"/>
        </w:rPr>
        <w:t>sensitivity ana</w:t>
      </w:r>
      <w:r w:rsidR="004C018B" w:rsidRPr="001D5606">
        <w:rPr>
          <w:rFonts w:asciiTheme="minorHAnsi" w:hAnsiTheme="minorHAnsi" w:cstheme="minorHAnsi"/>
          <w:color w:val="4F81BD" w:themeColor="accent1"/>
        </w:rPr>
        <w:t>l</w:t>
      </w:r>
      <w:r w:rsidR="00E8072C" w:rsidRPr="001D5606">
        <w:rPr>
          <w:rFonts w:asciiTheme="minorHAnsi" w:hAnsiTheme="minorHAnsi" w:cstheme="minorHAnsi"/>
          <w:color w:val="4F81BD" w:themeColor="accent1"/>
        </w:rPr>
        <w:t xml:space="preserve">ysis, 2030 </w:t>
      </w:r>
      <w:r w:rsidR="00B54E1E" w:rsidRPr="001D5606">
        <w:rPr>
          <w:rFonts w:asciiTheme="minorHAnsi" w:hAnsiTheme="minorHAnsi" w:cstheme="minorHAnsi"/>
          <w:color w:val="4F81BD" w:themeColor="accent1"/>
        </w:rPr>
        <w:t>(</w:t>
      </w:r>
      <w:r w:rsidR="00E8072C" w:rsidRPr="001D5606">
        <w:rPr>
          <w:rFonts w:asciiTheme="minorHAnsi" w:hAnsiTheme="minorHAnsi" w:cstheme="minorHAnsi"/>
          <w:color w:val="4F81BD" w:themeColor="accent1"/>
        </w:rPr>
        <w:t>percent</w:t>
      </w:r>
      <w:r w:rsidR="00FC1AE7" w:rsidRPr="001D5606">
        <w:rPr>
          <w:rFonts w:asciiTheme="minorHAnsi" w:hAnsiTheme="minorHAnsi" w:cstheme="minorHAnsi"/>
          <w:color w:val="4F81BD" w:themeColor="accent1"/>
        </w:rPr>
        <w:t>age</w:t>
      </w:r>
      <w:r w:rsidR="00E8072C" w:rsidRPr="001D5606">
        <w:rPr>
          <w:rFonts w:asciiTheme="minorHAnsi" w:hAnsiTheme="minorHAnsi" w:cstheme="minorHAnsi"/>
          <w:color w:val="4F81BD" w:themeColor="accent1"/>
        </w:rPr>
        <w:t xml:space="preserve"> </w:t>
      </w:r>
      <w:r w:rsidR="00B54E1E" w:rsidRPr="001D5606">
        <w:rPr>
          <w:rFonts w:asciiTheme="minorHAnsi" w:hAnsiTheme="minorHAnsi" w:cstheme="minorHAnsi"/>
          <w:color w:val="4F81BD" w:themeColor="accent1"/>
        </w:rPr>
        <w:t>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B54E1E" w:rsidRPr="001D5606">
        <w:rPr>
          <w:rFonts w:asciiTheme="minorHAnsi" w:hAnsiTheme="minorHAnsi" w:cstheme="minorHAnsi"/>
          <w:color w:val="4F81BD" w:themeColor="accent1"/>
        </w:rPr>
        <w:t>)</w:t>
      </w:r>
    </w:p>
    <w:p w:rsidR="00A936C4" w:rsidRDefault="009A6A67" w:rsidP="00A936C4">
      <w:pPr>
        <w:rPr>
          <w:rFonts w:asciiTheme="minorHAnsi" w:hAnsiTheme="minorHAnsi" w:cstheme="minorHAnsi"/>
          <w:b/>
        </w:rPr>
      </w:pPr>
      <w:r w:rsidRPr="009A6A67">
        <w:rPr>
          <w:noProof/>
          <w:lang w:eastAsia="en-AU"/>
        </w:rPr>
        <w:drawing>
          <wp:inline distT="0" distB="0" distL="0" distR="0" wp14:anchorId="644461FE" wp14:editId="2E703A72">
            <wp:extent cx="7437863" cy="4627209"/>
            <wp:effectExtent l="0" t="0" r="0" b="2540"/>
            <wp:docPr id="21" name="Picture 21" descr="A -45 per cent target without using international units has the following impacts on Australian sectoral outputs: Gas extraction output (-11.0%), Crude extraction output (-6.8%), Coal mining output (-25.4%), Petroleum refining output (-4.6%), Gas utilities output (-5.8%), Electric utilities output (-19.7%), Services Output (-0.9%), Transportation output (-1.5%), Non-Durable Manufacturing output (-1.3%), Durable Manufacturing output (-0.6%), Agriculture output (-0.7%), Other Mining output (-1.2%).&#10;A -45 per cent target with international units has the following impacts on Australian sectoral outputs: Gas extraction output (-6.0%), Crude extraction output (-3.7%), Coal mining output (-13.8%), Petroleum refining output (-2.6%), Gas utilities output (-3.2%), Electric utilities output (-10.9%), Services Output (-0.5%), Transportation output (-0.8%), Non-Durable Manufacturing output (-0.8%), Durable Manufacturing output (-0.4%), Agriculture output (-0.4%), Other Mining output (-0.6%).&#10;A -45 per cent target without using international units has the following impacts on Australian sectoral exports: Gas extraction exports (-2.5%), Crude extraction exports (-4.5%), Coal mining exports (-2.7%), Petroleum refining exports (-4.5%), Gas utilities exports (-1.7%), Services exports (-1.3%), Transportation exports (-1.5%), Non-Durable Manufacturing exports (-1.8%), Durable Manufacturing exports (-2.6%), Agriculture exports (-1.0%), Other Mining exports (-1.9%).&#10;A -45 per cent target without using international units has the following impacts on Australian sectoral exports: Gas extraction exports (-1.3%), Crude extraction exports (-2.3%), Coal mining exports (-1.4%), Petroleum refining exports (-2.2%), Gas utilities exports (-0.8%), Services exports (-0.5%), Transportation exports (-0.6%), Non-Durable Manufacturing exports (-0.8%), Durable Manufacturing exports (-1.3%), Agriculture exports (-0.4%), Other Mining exports (-0.9%).&#10;" title="Figure D-4: 45% reduction target – core target scenario and policy mix sensitivity analysi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454639" cy="4637646"/>
                    </a:xfrm>
                    <a:prstGeom prst="rect">
                      <a:avLst/>
                    </a:prstGeom>
                  </pic:spPr>
                </pic:pic>
              </a:graphicData>
            </a:graphic>
          </wp:inline>
        </w:drawing>
      </w:r>
    </w:p>
    <w:p w:rsidR="00B87AD0" w:rsidRPr="001D5606" w:rsidRDefault="00587CA5" w:rsidP="00A936C4">
      <w:pPr>
        <w:rPr>
          <w:rFonts w:asciiTheme="minorHAnsi" w:hAnsiTheme="minorHAnsi" w:cstheme="minorHAnsi"/>
          <w:b/>
          <w:color w:val="4F81BD" w:themeColor="accent1"/>
        </w:rPr>
        <w:sectPr w:rsidR="00B87AD0" w:rsidRPr="001D5606" w:rsidSect="00DD4E0F">
          <w:footnotePr>
            <w:numFmt w:val="lowerRoman"/>
          </w:footnotePr>
          <w:pgSz w:w="16838" w:h="11906" w:orient="landscape"/>
          <w:pgMar w:top="1800" w:right="1440" w:bottom="1800" w:left="1440" w:header="708" w:footer="708" w:gutter="0"/>
          <w:cols w:space="708"/>
          <w:docGrid w:linePitch="360"/>
        </w:sectPr>
      </w:pPr>
      <w:r w:rsidRPr="001D5606">
        <w:rPr>
          <w:color w:val="4F81BD" w:themeColor="accent1"/>
          <w:sz w:val="16"/>
        </w:rPr>
        <w:t xml:space="preserve">Note: IUs refers to sensitivity analysis on the policy mix, where the use of some international units is assumed (see Appendix </w:t>
      </w:r>
      <w:r w:rsidR="00361581" w:rsidRPr="001D5606">
        <w:rPr>
          <w:color w:val="4F81BD" w:themeColor="accent1"/>
          <w:sz w:val="16"/>
        </w:rPr>
        <w:t>F</w:t>
      </w:r>
      <w:r w:rsidRPr="001D5606">
        <w:rPr>
          <w:color w:val="4F81BD" w:themeColor="accent1"/>
          <w:sz w:val="16"/>
        </w:rPr>
        <w:t xml:space="preserve"> for details).</w:t>
      </w:r>
    </w:p>
    <w:p w:rsidR="00C14963" w:rsidRPr="001D5606" w:rsidRDefault="00C14963" w:rsidP="00C14963">
      <w:pPr>
        <w:rPr>
          <w:rFonts w:asciiTheme="minorHAnsi" w:hAnsiTheme="minorHAnsi" w:cstheme="minorHAnsi"/>
          <w:b/>
          <w:color w:val="996633"/>
          <w:sz w:val="40"/>
        </w:rPr>
      </w:pPr>
      <w:r w:rsidRPr="001D5606">
        <w:rPr>
          <w:rFonts w:asciiTheme="minorHAnsi" w:hAnsiTheme="minorHAnsi" w:cstheme="minorHAnsi"/>
          <w:b/>
          <w:color w:val="996633"/>
          <w:sz w:val="40"/>
        </w:rPr>
        <w:lastRenderedPageBreak/>
        <w:t xml:space="preserve">APPENDIX </w:t>
      </w:r>
      <w:r w:rsidR="00A5454F" w:rsidRPr="001D5606">
        <w:rPr>
          <w:rFonts w:asciiTheme="minorHAnsi" w:hAnsiTheme="minorHAnsi" w:cstheme="minorHAnsi"/>
          <w:b/>
          <w:color w:val="996633"/>
          <w:sz w:val="40"/>
        </w:rPr>
        <w:t>E</w:t>
      </w:r>
      <w:r w:rsidRPr="001D5606">
        <w:rPr>
          <w:rFonts w:asciiTheme="minorHAnsi" w:hAnsiTheme="minorHAnsi" w:cstheme="minorHAnsi"/>
          <w:b/>
          <w:color w:val="996633"/>
          <w:sz w:val="40"/>
        </w:rPr>
        <w:t xml:space="preserve">: Sensitivity to </w:t>
      </w:r>
      <w:r w:rsidR="009E08EE" w:rsidRPr="001D5606">
        <w:rPr>
          <w:rFonts w:asciiTheme="minorHAnsi" w:hAnsiTheme="minorHAnsi" w:cstheme="minorHAnsi"/>
          <w:b/>
          <w:color w:val="996633"/>
          <w:sz w:val="40"/>
        </w:rPr>
        <w:t>technology cost assumption</w:t>
      </w:r>
    </w:p>
    <w:p w:rsidR="00C14963" w:rsidRDefault="00C14963" w:rsidP="00C14963">
      <w:pPr>
        <w:rPr>
          <w:rFonts w:asciiTheme="minorHAnsi" w:hAnsiTheme="minorHAnsi" w:cstheme="minorHAnsi"/>
          <w:b/>
          <w:color w:val="0070C0"/>
          <w:sz w:val="40"/>
        </w:rPr>
      </w:pPr>
    </w:p>
    <w:p w:rsidR="00C80BA7" w:rsidRPr="00C83822" w:rsidRDefault="00C80BA7" w:rsidP="00B610DA">
      <w:pPr>
        <w:pStyle w:val="NormalWeb"/>
        <w:spacing w:before="0" w:beforeAutospacing="0"/>
        <w:rPr>
          <w:rFonts w:asciiTheme="minorHAnsi" w:hAnsiTheme="minorHAnsi"/>
        </w:rPr>
      </w:pPr>
      <w:r w:rsidRPr="00EE5FD0">
        <w:rPr>
          <w:rFonts w:asciiTheme="minorHAnsi" w:hAnsiTheme="minorHAnsi"/>
        </w:rPr>
        <w:t xml:space="preserve">Projected impacts are sensitive to assumptions about future technology costs.  These costs are uncertain, and </w:t>
      </w:r>
      <w:r w:rsidR="00E050D7">
        <w:rPr>
          <w:rFonts w:asciiTheme="minorHAnsi" w:hAnsiTheme="minorHAnsi"/>
        </w:rPr>
        <w:t xml:space="preserve">in recent years </w:t>
      </w:r>
      <w:r w:rsidRPr="00EE5FD0">
        <w:rPr>
          <w:rFonts w:asciiTheme="minorHAnsi" w:hAnsiTheme="minorHAnsi"/>
        </w:rPr>
        <w:t>have fallen much more rapidly than anticipated.  For example, the actual cost of key renewable energy technologies in 2012 was around half the cost projected for 2030 a few years earlier.</w:t>
      </w:r>
      <w:r w:rsidR="0082625A">
        <w:rPr>
          <w:rStyle w:val="FootnoteReference"/>
          <w:rFonts w:asciiTheme="minorHAnsi" w:hAnsiTheme="minorHAnsi"/>
        </w:rPr>
        <w:footnoteReference w:id="4"/>
      </w:r>
      <w:r w:rsidRPr="00C83822">
        <w:rPr>
          <w:rFonts w:asciiTheme="minorHAnsi" w:hAnsiTheme="minorHAnsi"/>
        </w:rPr>
        <w:t xml:space="preserve">  </w:t>
      </w:r>
    </w:p>
    <w:p w:rsidR="00C83822" w:rsidRPr="00C83822" w:rsidRDefault="00C80BA7" w:rsidP="00B610DA">
      <w:pPr>
        <w:pStyle w:val="NormalWeb"/>
        <w:spacing w:before="0" w:beforeAutospacing="0"/>
        <w:rPr>
          <w:rFonts w:asciiTheme="minorHAnsi" w:hAnsiTheme="minorHAnsi"/>
        </w:rPr>
      </w:pPr>
      <w:r w:rsidRPr="00C83822">
        <w:rPr>
          <w:rFonts w:asciiTheme="minorHAnsi" w:hAnsiTheme="minorHAnsi"/>
        </w:rPr>
        <w:t xml:space="preserve">For this reason the modelling included sensitivity analysis of how </w:t>
      </w:r>
      <w:r w:rsidR="001F367A">
        <w:rPr>
          <w:rFonts w:asciiTheme="minorHAnsi" w:hAnsiTheme="minorHAnsi"/>
        </w:rPr>
        <w:t>varying the</w:t>
      </w:r>
      <w:r w:rsidR="001F367A" w:rsidRPr="00C83822">
        <w:rPr>
          <w:rFonts w:asciiTheme="minorHAnsi" w:hAnsiTheme="minorHAnsi"/>
        </w:rPr>
        <w:t xml:space="preserve"> </w:t>
      </w:r>
      <w:r w:rsidRPr="00C83822">
        <w:rPr>
          <w:rFonts w:asciiTheme="minorHAnsi" w:hAnsiTheme="minorHAnsi"/>
        </w:rPr>
        <w:t>cost assumptions about low emiss</w:t>
      </w:r>
      <w:r w:rsidR="00071EDE" w:rsidRPr="00C83822">
        <w:rPr>
          <w:rFonts w:asciiTheme="minorHAnsi" w:hAnsiTheme="minorHAnsi"/>
        </w:rPr>
        <w:t>ions energy technologies would a</w:t>
      </w:r>
      <w:r w:rsidRPr="00C83822">
        <w:rPr>
          <w:rFonts w:asciiTheme="minorHAnsi" w:hAnsiTheme="minorHAnsi"/>
        </w:rPr>
        <w:t xml:space="preserve">ffect the projected costs of the targets.  </w:t>
      </w:r>
    </w:p>
    <w:p w:rsidR="001F367A" w:rsidRPr="001F367A" w:rsidRDefault="00C80BA7" w:rsidP="001F367A">
      <w:pPr>
        <w:pStyle w:val="NormalWeb"/>
        <w:rPr>
          <w:rFonts w:asciiTheme="minorHAnsi" w:hAnsiTheme="minorHAnsi"/>
        </w:rPr>
      </w:pPr>
      <w:r w:rsidRPr="00C83822">
        <w:rPr>
          <w:rFonts w:asciiTheme="minorHAnsi" w:hAnsiTheme="minorHAnsi"/>
        </w:rPr>
        <w:t xml:space="preserve">The core </w:t>
      </w:r>
      <w:r w:rsidR="00361581">
        <w:rPr>
          <w:rFonts w:asciiTheme="minorHAnsi" w:hAnsiTheme="minorHAnsi"/>
        </w:rPr>
        <w:t xml:space="preserve">target </w:t>
      </w:r>
      <w:r w:rsidRPr="00C83822">
        <w:rPr>
          <w:rFonts w:asciiTheme="minorHAnsi" w:hAnsiTheme="minorHAnsi"/>
        </w:rPr>
        <w:t xml:space="preserve">scenarios assume technology costs are at the high end of the plausible range (in part to offset that the modelling does not account for the costs of non-energy abatement).  </w:t>
      </w:r>
      <w:r w:rsidR="001F367A">
        <w:rPr>
          <w:rFonts w:asciiTheme="minorHAnsi" w:hAnsiTheme="minorHAnsi"/>
        </w:rPr>
        <w:t xml:space="preserve">It is assumed </w:t>
      </w:r>
      <w:r w:rsidR="001F367A" w:rsidRPr="001F367A">
        <w:rPr>
          <w:rFonts w:asciiTheme="minorHAnsi" w:hAnsiTheme="minorHAnsi"/>
        </w:rPr>
        <w:t>that achieving emissions reductions through a mix of policies increases energy technology costs by 50 per cent compared to cost-minimising policy. This is a conservative</w:t>
      </w:r>
      <w:r w:rsidR="005F0CC8">
        <w:rPr>
          <w:rFonts w:asciiTheme="minorHAnsi" w:hAnsiTheme="minorHAnsi"/>
        </w:rPr>
        <w:t>ly high</w:t>
      </w:r>
      <w:r w:rsidR="001F367A" w:rsidRPr="001F367A">
        <w:rPr>
          <w:rFonts w:asciiTheme="minorHAnsi" w:hAnsiTheme="minorHAnsi"/>
        </w:rPr>
        <w:t xml:space="preserve"> estimate. </w:t>
      </w:r>
    </w:p>
    <w:p w:rsidR="001F367A" w:rsidRDefault="001F367A" w:rsidP="00B610DA">
      <w:pPr>
        <w:pStyle w:val="NormalWeb"/>
        <w:spacing w:before="0" w:beforeAutospacing="0"/>
        <w:rPr>
          <w:rFonts w:asciiTheme="minorHAnsi" w:hAnsiTheme="minorHAnsi"/>
        </w:rPr>
      </w:pPr>
      <w:r w:rsidRPr="001F367A">
        <w:rPr>
          <w:rFonts w:asciiTheme="minorHAnsi" w:hAnsiTheme="minorHAnsi"/>
        </w:rPr>
        <w:t xml:space="preserve">To test the sensitivity of the results to </w:t>
      </w:r>
      <w:r w:rsidR="00FC1AE7">
        <w:rPr>
          <w:rFonts w:asciiTheme="minorHAnsi" w:hAnsiTheme="minorHAnsi"/>
        </w:rPr>
        <w:t xml:space="preserve">this </w:t>
      </w:r>
      <w:r w:rsidR="005F0CC8">
        <w:rPr>
          <w:rFonts w:asciiTheme="minorHAnsi" w:hAnsiTheme="minorHAnsi"/>
        </w:rPr>
        <w:t>technology cost</w:t>
      </w:r>
      <w:r w:rsidR="00FC1AE7">
        <w:rPr>
          <w:rFonts w:asciiTheme="minorHAnsi" w:hAnsiTheme="minorHAnsi"/>
        </w:rPr>
        <w:t xml:space="preserve"> assumption</w:t>
      </w:r>
      <w:r w:rsidRPr="001F367A">
        <w:rPr>
          <w:rFonts w:asciiTheme="minorHAnsi" w:hAnsiTheme="minorHAnsi"/>
        </w:rPr>
        <w:t xml:space="preserve">, the impacts </w:t>
      </w:r>
      <w:r w:rsidR="00361581">
        <w:rPr>
          <w:rFonts w:asciiTheme="minorHAnsi" w:hAnsiTheme="minorHAnsi"/>
        </w:rPr>
        <w:t xml:space="preserve">of the four targets </w:t>
      </w:r>
      <w:r w:rsidRPr="001F367A">
        <w:rPr>
          <w:rFonts w:asciiTheme="minorHAnsi" w:hAnsiTheme="minorHAnsi"/>
        </w:rPr>
        <w:t xml:space="preserve">were analysed for a lower cost increment of 10 per cent. </w:t>
      </w:r>
    </w:p>
    <w:p w:rsidR="001F367A" w:rsidRDefault="00C80BA7" w:rsidP="001F367A">
      <w:pPr>
        <w:pStyle w:val="NormalWeb"/>
        <w:spacing w:before="0" w:beforeAutospacing="0"/>
        <w:rPr>
          <w:rFonts w:asciiTheme="minorHAnsi" w:hAnsiTheme="minorHAnsi"/>
        </w:rPr>
      </w:pPr>
      <w:r w:rsidRPr="00C83822">
        <w:rPr>
          <w:rFonts w:asciiTheme="minorHAnsi" w:hAnsiTheme="minorHAnsi"/>
        </w:rPr>
        <w:t>The sensitivity analysis finds that assuming technology costs at the low – but still plausible – end of the range would reduce national impacts by around a third</w:t>
      </w:r>
      <w:r w:rsidR="001F367A">
        <w:rPr>
          <w:rFonts w:asciiTheme="minorHAnsi" w:hAnsiTheme="minorHAnsi"/>
        </w:rPr>
        <w:t xml:space="preserve"> compared with the core </w:t>
      </w:r>
      <w:r w:rsidR="00361581">
        <w:rPr>
          <w:rFonts w:asciiTheme="minorHAnsi" w:hAnsiTheme="minorHAnsi"/>
        </w:rPr>
        <w:t xml:space="preserve">target </w:t>
      </w:r>
      <w:r w:rsidR="001F367A">
        <w:rPr>
          <w:rFonts w:asciiTheme="minorHAnsi" w:hAnsiTheme="minorHAnsi"/>
        </w:rPr>
        <w:t xml:space="preserve">scenarios. </w:t>
      </w:r>
    </w:p>
    <w:p w:rsidR="005F126E" w:rsidRDefault="00C80BA7" w:rsidP="00B610DA">
      <w:pPr>
        <w:pStyle w:val="NormalWeb"/>
        <w:spacing w:before="0" w:beforeAutospacing="0"/>
        <w:rPr>
          <w:rFonts w:asciiTheme="minorHAnsi" w:hAnsiTheme="minorHAnsi"/>
        </w:rPr>
      </w:pPr>
      <w:r w:rsidRPr="00C83822">
        <w:rPr>
          <w:rFonts w:asciiTheme="minorHAnsi" w:hAnsiTheme="minorHAnsi"/>
        </w:rPr>
        <w:t xml:space="preserve">Figure </w:t>
      </w:r>
      <w:r w:rsidR="00A5454F">
        <w:rPr>
          <w:rFonts w:asciiTheme="minorHAnsi" w:hAnsiTheme="minorHAnsi"/>
        </w:rPr>
        <w:t>E</w:t>
      </w:r>
      <w:r w:rsidRPr="00C83822">
        <w:rPr>
          <w:rFonts w:asciiTheme="minorHAnsi" w:hAnsiTheme="minorHAnsi"/>
        </w:rPr>
        <w:t>-1</w:t>
      </w:r>
      <w:r w:rsidR="001F367A">
        <w:rPr>
          <w:rFonts w:asciiTheme="minorHAnsi" w:hAnsiTheme="minorHAnsi"/>
        </w:rPr>
        <w:t xml:space="preserve"> </w:t>
      </w:r>
      <w:r w:rsidR="005F0CC8">
        <w:rPr>
          <w:rFonts w:asciiTheme="minorHAnsi" w:hAnsiTheme="minorHAnsi"/>
        </w:rPr>
        <w:t>shows</w:t>
      </w:r>
      <w:r w:rsidR="001F367A">
        <w:rPr>
          <w:rFonts w:asciiTheme="minorHAnsi" w:hAnsiTheme="minorHAnsi"/>
        </w:rPr>
        <w:t xml:space="preserve"> GDP impacts</w:t>
      </w:r>
      <w:r w:rsidR="009E726C">
        <w:rPr>
          <w:rFonts w:asciiTheme="minorHAnsi" w:hAnsiTheme="minorHAnsi"/>
        </w:rPr>
        <w:t xml:space="preserve"> in 2030</w:t>
      </w:r>
      <w:r w:rsidR="001F367A">
        <w:rPr>
          <w:rFonts w:asciiTheme="minorHAnsi" w:hAnsiTheme="minorHAnsi"/>
        </w:rPr>
        <w:t xml:space="preserve"> for </w:t>
      </w:r>
      <w:r w:rsidR="005F0CC8">
        <w:rPr>
          <w:rFonts w:asciiTheme="minorHAnsi" w:hAnsiTheme="minorHAnsi"/>
        </w:rPr>
        <w:t xml:space="preserve">the sensitivity analysis and </w:t>
      </w:r>
      <w:r w:rsidR="001F367A">
        <w:rPr>
          <w:rFonts w:asciiTheme="minorHAnsi" w:hAnsiTheme="minorHAnsi"/>
        </w:rPr>
        <w:t xml:space="preserve">core </w:t>
      </w:r>
      <w:r w:rsidR="00361581">
        <w:rPr>
          <w:rFonts w:asciiTheme="minorHAnsi" w:hAnsiTheme="minorHAnsi"/>
        </w:rPr>
        <w:t xml:space="preserve">target </w:t>
      </w:r>
      <w:r w:rsidR="001F367A">
        <w:rPr>
          <w:rFonts w:asciiTheme="minorHAnsi" w:hAnsiTheme="minorHAnsi"/>
        </w:rPr>
        <w:t xml:space="preserve">scenarios. </w:t>
      </w:r>
      <w:r w:rsidR="005F0CC8" w:rsidRPr="005F0CC8">
        <w:rPr>
          <w:rFonts w:asciiTheme="minorHAnsi" w:hAnsiTheme="minorHAnsi"/>
        </w:rPr>
        <w:t xml:space="preserve"> </w:t>
      </w:r>
      <w:r w:rsidR="005F0CC8" w:rsidRPr="00C83822">
        <w:rPr>
          <w:rFonts w:asciiTheme="minorHAnsi" w:hAnsiTheme="minorHAnsi"/>
        </w:rPr>
        <w:t>For targets ranging from -26 to -45 per cent</w:t>
      </w:r>
      <w:r w:rsidR="005F0CC8">
        <w:rPr>
          <w:rFonts w:asciiTheme="minorHAnsi" w:hAnsiTheme="minorHAnsi"/>
        </w:rPr>
        <w:t xml:space="preserve"> and assuming lower technology costs</w:t>
      </w:r>
      <w:r w:rsidR="005F0CC8" w:rsidRPr="00C83822">
        <w:rPr>
          <w:rFonts w:asciiTheme="minorHAnsi" w:hAnsiTheme="minorHAnsi"/>
        </w:rPr>
        <w:t>,</w:t>
      </w:r>
      <w:r w:rsidR="005F0CC8">
        <w:rPr>
          <w:rFonts w:asciiTheme="minorHAnsi" w:hAnsiTheme="minorHAnsi"/>
        </w:rPr>
        <w:t xml:space="preserve"> the modelling finds that GDP in 2030 would be reduced by 0.4 to 0.7 per cent compared with no Australian target.</w:t>
      </w:r>
      <w:r w:rsidR="005F126E">
        <w:rPr>
          <w:rFonts w:asciiTheme="minorHAnsi" w:hAnsiTheme="minorHAnsi"/>
        </w:rPr>
        <w:t xml:space="preserve"> </w:t>
      </w:r>
      <w:r w:rsidR="005F0CC8">
        <w:rPr>
          <w:rFonts w:asciiTheme="minorHAnsi" w:hAnsiTheme="minorHAnsi"/>
        </w:rPr>
        <w:t>That is</w:t>
      </w:r>
      <w:r w:rsidR="006640BA" w:rsidRPr="00C83822">
        <w:rPr>
          <w:rFonts w:asciiTheme="minorHAnsi" w:hAnsiTheme="minorHAnsi"/>
        </w:rPr>
        <w:t xml:space="preserve">, </w:t>
      </w:r>
      <w:r w:rsidR="005F0CC8">
        <w:rPr>
          <w:rFonts w:asciiTheme="minorHAnsi" w:hAnsiTheme="minorHAnsi"/>
        </w:rPr>
        <w:t xml:space="preserve">the lower </w:t>
      </w:r>
      <w:r w:rsidR="006640BA" w:rsidRPr="00C83822">
        <w:rPr>
          <w:rFonts w:asciiTheme="minorHAnsi" w:hAnsiTheme="minorHAnsi"/>
        </w:rPr>
        <w:t>technology</w:t>
      </w:r>
      <w:r w:rsidR="00984E51" w:rsidRPr="00C83822">
        <w:rPr>
          <w:rFonts w:asciiTheme="minorHAnsi" w:hAnsiTheme="minorHAnsi"/>
        </w:rPr>
        <w:t xml:space="preserve"> </w:t>
      </w:r>
      <w:r w:rsidR="005F0CC8">
        <w:rPr>
          <w:rFonts w:asciiTheme="minorHAnsi" w:hAnsiTheme="minorHAnsi"/>
        </w:rPr>
        <w:t xml:space="preserve">costs modelled </w:t>
      </w:r>
      <w:r w:rsidR="00A257E6" w:rsidRPr="00C83822">
        <w:rPr>
          <w:rFonts w:asciiTheme="minorHAnsi" w:hAnsiTheme="minorHAnsi"/>
        </w:rPr>
        <w:t xml:space="preserve">would </w:t>
      </w:r>
      <w:r w:rsidR="005F0CC8">
        <w:rPr>
          <w:rFonts w:asciiTheme="minorHAnsi" w:hAnsiTheme="minorHAnsi"/>
        </w:rPr>
        <w:t xml:space="preserve">reduce target impacts by </w:t>
      </w:r>
      <w:r w:rsidR="006640BA" w:rsidRPr="00C83822">
        <w:rPr>
          <w:rFonts w:asciiTheme="minorHAnsi" w:hAnsiTheme="minorHAnsi"/>
        </w:rPr>
        <w:t>between 0.</w:t>
      </w:r>
      <w:r w:rsidR="00632A15" w:rsidRPr="00C83822">
        <w:rPr>
          <w:rFonts w:asciiTheme="minorHAnsi" w:hAnsiTheme="minorHAnsi"/>
        </w:rPr>
        <w:t>2</w:t>
      </w:r>
      <w:r w:rsidR="006640BA" w:rsidRPr="00C83822">
        <w:rPr>
          <w:rFonts w:asciiTheme="minorHAnsi" w:hAnsiTheme="minorHAnsi"/>
        </w:rPr>
        <w:t xml:space="preserve"> and 0.</w:t>
      </w:r>
      <w:r w:rsidR="00632A15" w:rsidRPr="00C83822">
        <w:rPr>
          <w:rFonts w:asciiTheme="minorHAnsi" w:hAnsiTheme="minorHAnsi"/>
        </w:rPr>
        <w:t xml:space="preserve">3 </w:t>
      </w:r>
      <w:r w:rsidR="006640BA" w:rsidRPr="00C83822">
        <w:rPr>
          <w:rFonts w:asciiTheme="minorHAnsi" w:hAnsiTheme="minorHAnsi"/>
        </w:rPr>
        <w:t xml:space="preserve">percentage points </w:t>
      </w:r>
      <w:r w:rsidR="005F0CC8">
        <w:rPr>
          <w:rFonts w:asciiTheme="minorHAnsi" w:hAnsiTheme="minorHAnsi"/>
        </w:rPr>
        <w:t xml:space="preserve">of </w:t>
      </w:r>
      <w:r w:rsidR="00632A15" w:rsidRPr="00C83822">
        <w:rPr>
          <w:rFonts w:asciiTheme="minorHAnsi" w:hAnsiTheme="minorHAnsi"/>
        </w:rPr>
        <w:t xml:space="preserve">GDP </w:t>
      </w:r>
      <w:r w:rsidR="00A257E6" w:rsidRPr="00C83822">
        <w:rPr>
          <w:rFonts w:asciiTheme="minorHAnsi" w:hAnsiTheme="minorHAnsi"/>
        </w:rPr>
        <w:t xml:space="preserve">in </w:t>
      </w:r>
      <w:r w:rsidR="006640BA" w:rsidRPr="00C83822">
        <w:rPr>
          <w:rFonts w:asciiTheme="minorHAnsi" w:hAnsiTheme="minorHAnsi"/>
        </w:rPr>
        <w:t>2030</w:t>
      </w:r>
      <w:r w:rsidR="00A257E6" w:rsidRPr="00C83822">
        <w:rPr>
          <w:rFonts w:asciiTheme="minorHAnsi" w:hAnsiTheme="minorHAnsi"/>
        </w:rPr>
        <w:t xml:space="preserve"> c</w:t>
      </w:r>
      <w:r w:rsidR="00CC466D" w:rsidRPr="00C83822">
        <w:rPr>
          <w:rFonts w:asciiTheme="minorHAnsi" w:hAnsiTheme="minorHAnsi"/>
        </w:rPr>
        <w:t xml:space="preserve">ompared with the core </w:t>
      </w:r>
      <w:r w:rsidR="00361581">
        <w:rPr>
          <w:rFonts w:asciiTheme="minorHAnsi" w:hAnsiTheme="minorHAnsi"/>
        </w:rPr>
        <w:t xml:space="preserve">target </w:t>
      </w:r>
      <w:r w:rsidR="00CC466D" w:rsidRPr="00C83822">
        <w:rPr>
          <w:rFonts w:asciiTheme="minorHAnsi" w:hAnsiTheme="minorHAnsi"/>
        </w:rPr>
        <w:t>scenarios</w:t>
      </w:r>
      <w:r w:rsidR="00A257E6" w:rsidRPr="00C83822">
        <w:rPr>
          <w:rFonts w:asciiTheme="minorHAnsi" w:hAnsiTheme="minorHAnsi"/>
        </w:rPr>
        <w:t>.</w:t>
      </w:r>
      <w:r w:rsidR="00D504B4" w:rsidRPr="00C83822">
        <w:rPr>
          <w:rFonts w:asciiTheme="minorHAnsi" w:hAnsiTheme="minorHAnsi"/>
        </w:rPr>
        <w:t xml:space="preserve"> </w:t>
      </w:r>
    </w:p>
    <w:p w:rsidR="00C1101A" w:rsidRDefault="005F126E" w:rsidP="00B610DA">
      <w:pPr>
        <w:pStyle w:val="NormalWeb"/>
        <w:spacing w:before="0" w:beforeAutospacing="0"/>
        <w:rPr>
          <w:rFonts w:asciiTheme="minorHAnsi" w:hAnsiTheme="minorHAnsi"/>
        </w:rPr>
      </w:pPr>
      <w:r>
        <w:rPr>
          <w:rFonts w:asciiTheme="minorHAnsi" w:hAnsiTheme="minorHAnsi"/>
        </w:rPr>
        <w:t xml:space="preserve">The sensitivity modelling also finds that </w:t>
      </w:r>
      <w:r w:rsidR="00FC5BE0">
        <w:rPr>
          <w:rFonts w:asciiTheme="minorHAnsi" w:hAnsiTheme="minorHAnsi"/>
        </w:rPr>
        <w:t xml:space="preserve">GDP </w:t>
      </w:r>
      <w:r w:rsidR="009E726C">
        <w:rPr>
          <w:rFonts w:asciiTheme="minorHAnsi" w:hAnsiTheme="minorHAnsi"/>
        </w:rPr>
        <w:t>would grow between 0.</w:t>
      </w:r>
      <w:r w:rsidR="007C0B6B">
        <w:rPr>
          <w:rFonts w:asciiTheme="minorHAnsi" w:hAnsiTheme="minorHAnsi"/>
        </w:rPr>
        <w:t>0</w:t>
      </w:r>
      <w:r w:rsidR="009E726C">
        <w:rPr>
          <w:rFonts w:asciiTheme="minorHAnsi" w:hAnsiTheme="minorHAnsi"/>
        </w:rPr>
        <w:t>2 and 0.</w:t>
      </w:r>
      <w:r w:rsidR="007C0B6B">
        <w:rPr>
          <w:rFonts w:asciiTheme="minorHAnsi" w:hAnsiTheme="minorHAnsi"/>
        </w:rPr>
        <w:t>0</w:t>
      </w:r>
      <w:r w:rsidR="009E726C">
        <w:rPr>
          <w:rFonts w:asciiTheme="minorHAnsi" w:hAnsiTheme="minorHAnsi"/>
        </w:rPr>
        <w:t>3</w:t>
      </w:r>
      <w:r w:rsidR="007C0B6B">
        <w:rPr>
          <w:rFonts w:asciiTheme="minorHAnsi" w:hAnsiTheme="minorHAnsi"/>
        </w:rPr>
        <w:t> </w:t>
      </w:r>
      <w:r w:rsidR="009E726C">
        <w:rPr>
          <w:rFonts w:asciiTheme="minorHAnsi" w:hAnsiTheme="minorHAnsi"/>
        </w:rPr>
        <w:t xml:space="preserve">percentage points faster per year, on average, </w:t>
      </w:r>
      <w:r w:rsidR="00FC5BE0">
        <w:rPr>
          <w:rFonts w:asciiTheme="minorHAnsi" w:hAnsiTheme="minorHAnsi"/>
        </w:rPr>
        <w:t>from 2020 to 2030</w:t>
      </w:r>
      <w:r w:rsidR="009E726C">
        <w:rPr>
          <w:rFonts w:asciiTheme="minorHAnsi" w:hAnsiTheme="minorHAnsi"/>
        </w:rPr>
        <w:t xml:space="preserve"> </w:t>
      </w:r>
      <w:r>
        <w:rPr>
          <w:rFonts w:asciiTheme="minorHAnsi" w:hAnsiTheme="minorHAnsi"/>
        </w:rPr>
        <w:t xml:space="preserve">with lower technology costs </w:t>
      </w:r>
      <w:r w:rsidR="009E726C">
        <w:rPr>
          <w:rFonts w:asciiTheme="minorHAnsi" w:hAnsiTheme="minorHAnsi"/>
        </w:rPr>
        <w:t xml:space="preserve">(Table </w:t>
      </w:r>
      <w:r w:rsidR="00A5454F">
        <w:rPr>
          <w:rFonts w:asciiTheme="minorHAnsi" w:hAnsiTheme="minorHAnsi"/>
        </w:rPr>
        <w:t>E</w:t>
      </w:r>
      <w:r w:rsidR="009E726C">
        <w:rPr>
          <w:rFonts w:asciiTheme="minorHAnsi" w:hAnsiTheme="minorHAnsi"/>
        </w:rPr>
        <w:t>-1).</w:t>
      </w:r>
    </w:p>
    <w:p w:rsidR="00E33609" w:rsidRDefault="007C0B6B" w:rsidP="00C8393C">
      <w:pPr>
        <w:keepNext/>
        <w:spacing w:after="120"/>
        <w:rPr>
          <w:rFonts w:asciiTheme="minorHAnsi" w:hAnsiTheme="minorHAnsi"/>
        </w:rPr>
      </w:pPr>
      <w:r>
        <w:rPr>
          <w:rFonts w:asciiTheme="minorHAnsi" w:hAnsiTheme="minorHAnsi"/>
        </w:rPr>
        <w:lastRenderedPageBreak/>
        <w:t xml:space="preserve">The </w:t>
      </w:r>
      <w:r w:rsidR="00C1101A">
        <w:rPr>
          <w:rFonts w:asciiTheme="minorHAnsi" w:hAnsiTheme="minorHAnsi"/>
        </w:rPr>
        <w:t>GDP and GNI impacts to 2030 under the technology cost sensitivity scenarios</w:t>
      </w:r>
      <w:r>
        <w:rPr>
          <w:rFonts w:asciiTheme="minorHAnsi" w:hAnsiTheme="minorHAnsi"/>
        </w:rPr>
        <w:t xml:space="preserve"> are shown in Figure </w:t>
      </w:r>
      <w:r w:rsidR="00A5454F">
        <w:rPr>
          <w:rFonts w:asciiTheme="minorHAnsi" w:hAnsiTheme="minorHAnsi"/>
        </w:rPr>
        <w:t>B</w:t>
      </w:r>
      <w:r>
        <w:rPr>
          <w:rFonts w:asciiTheme="minorHAnsi" w:hAnsiTheme="minorHAnsi"/>
        </w:rPr>
        <w:t xml:space="preserve">-2 in Appendix </w:t>
      </w:r>
      <w:r w:rsidR="00A5454F">
        <w:rPr>
          <w:rFonts w:asciiTheme="minorHAnsi" w:hAnsiTheme="minorHAnsi"/>
        </w:rPr>
        <w:t>B</w:t>
      </w:r>
      <w:r w:rsidR="00C1101A">
        <w:rPr>
          <w:rFonts w:asciiTheme="minorHAnsi" w:hAnsiTheme="minorHAnsi"/>
        </w:rPr>
        <w:t>.</w:t>
      </w:r>
    </w:p>
    <w:p w:rsidR="00FC1AE7" w:rsidRPr="001D5606" w:rsidRDefault="00C14963" w:rsidP="00C8393C">
      <w:pPr>
        <w:keepNext/>
        <w:spacing w:after="120"/>
        <w:rPr>
          <w:rFonts w:asciiTheme="minorHAnsi" w:hAnsiTheme="minorHAnsi" w:cstheme="minorHAnsi"/>
          <w:color w:val="4F81BD" w:themeColor="accent1"/>
        </w:rPr>
      </w:pPr>
      <w:r w:rsidRPr="001D5606">
        <w:rPr>
          <w:rFonts w:asciiTheme="minorHAnsi" w:hAnsiTheme="minorHAnsi" w:cstheme="minorHAnsi"/>
          <w:b/>
          <w:color w:val="4F81BD" w:themeColor="accent1"/>
        </w:rPr>
        <w:t xml:space="preserve">Figure </w:t>
      </w:r>
      <w:r w:rsidR="00A5454F" w:rsidRPr="001D5606">
        <w:rPr>
          <w:rFonts w:asciiTheme="minorHAnsi" w:hAnsiTheme="minorHAnsi" w:cstheme="minorHAnsi"/>
          <w:b/>
          <w:color w:val="4F81BD" w:themeColor="accent1"/>
        </w:rPr>
        <w:t>E</w:t>
      </w:r>
      <w:r w:rsidRPr="001D5606">
        <w:rPr>
          <w:rFonts w:asciiTheme="minorHAnsi" w:hAnsiTheme="minorHAnsi" w:cstheme="minorHAnsi"/>
          <w:b/>
          <w:color w:val="4F81BD" w:themeColor="accent1"/>
        </w:rPr>
        <w:t xml:space="preserve">-1: </w:t>
      </w:r>
      <w:r w:rsidR="00984E51" w:rsidRPr="001D5606">
        <w:rPr>
          <w:rFonts w:asciiTheme="minorHAnsi" w:hAnsiTheme="minorHAnsi" w:cstheme="minorHAnsi"/>
          <w:color w:val="4F81BD" w:themeColor="accent1"/>
        </w:rPr>
        <w:t>Change</w:t>
      </w:r>
      <w:r w:rsidR="00D11C5F" w:rsidRPr="001D5606">
        <w:rPr>
          <w:rFonts w:asciiTheme="minorHAnsi" w:hAnsiTheme="minorHAnsi" w:cstheme="minorHAnsi"/>
          <w:color w:val="4F81BD" w:themeColor="accent1"/>
        </w:rPr>
        <w:t>s</w:t>
      </w:r>
      <w:r w:rsidR="007E41BD" w:rsidRPr="001D5606">
        <w:rPr>
          <w:rFonts w:asciiTheme="minorHAnsi" w:hAnsiTheme="minorHAnsi" w:cstheme="minorHAnsi"/>
          <w:color w:val="4F81BD" w:themeColor="accent1"/>
        </w:rPr>
        <w:t xml:space="preserve"> in</w:t>
      </w:r>
      <w:r w:rsidR="00984E51" w:rsidRPr="001D5606">
        <w:rPr>
          <w:rFonts w:asciiTheme="minorHAnsi" w:hAnsiTheme="minorHAnsi" w:cstheme="minorHAnsi"/>
          <w:color w:val="4F81BD" w:themeColor="accent1"/>
        </w:rPr>
        <w:t xml:space="preserve"> GDP </w:t>
      </w:r>
      <w:r w:rsidR="00D11C5F" w:rsidRPr="001D5606">
        <w:rPr>
          <w:rFonts w:asciiTheme="minorHAnsi" w:hAnsiTheme="minorHAnsi" w:cstheme="minorHAnsi"/>
          <w:color w:val="4F81BD" w:themeColor="accent1"/>
        </w:rPr>
        <w:t>and GNI</w:t>
      </w:r>
      <w:r w:rsidR="00E8072C" w:rsidRPr="001D5606">
        <w:rPr>
          <w:rFonts w:asciiTheme="minorHAnsi" w:hAnsiTheme="minorHAnsi" w:cstheme="minorHAnsi"/>
          <w:color w:val="4F81BD" w:themeColor="accent1"/>
        </w:rPr>
        <w:t xml:space="preserve"> – core </w:t>
      </w:r>
      <w:r w:rsidR="00361581" w:rsidRPr="001D5606">
        <w:rPr>
          <w:rFonts w:asciiTheme="minorHAnsi" w:hAnsiTheme="minorHAnsi" w:cstheme="minorHAnsi"/>
          <w:color w:val="4F81BD" w:themeColor="accent1"/>
        </w:rPr>
        <w:t xml:space="preserve">target </w:t>
      </w:r>
      <w:r w:rsidR="00E8072C" w:rsidRPr="001D5606">
        <w:rPr>
          <w:rFonts w:asciiTheme="minorHAnsi" w:hAnsiTheme="minorHAnsi" w:cstheme="minorHAnsi"/>
          <w:color w:val="4F81BD" w:themeColor="accent1"/>
        </w:rPr>
        <w:t xml:space="preserve">scenarios and technology cost sensitivity scenarios, 2030 </w:t>
      </w:r>
      <w:r w:rsidR="00984E51" w:rsidRPr="001D5606">
        <w:rPr>
          <w:rFonts w:asciiTheme="minorHAnsi" w:hAnsiTheme="minorHAnsi" w:cstheme="minorHAnsi"/>
          <w:color w:val="4F81BD" w:themeColor="accent1"/>
        </w:rPr>
        <w:t>(per</w:t>
      </w:r>
      <w:r w:rsidR="00D11C5F" w:rsidRPr="001D5606">
        <w:rPr>
          <w:rFonts w:asciiTheme="minorHAnsi" w:hAnsiTheme="minorHAnsi" w:cstheme="minorHAnsi"/>
          <w:color w:val="4F81BD" w:themeColor="accent1"/>
        </w:rPr>
        <w:t>cent</w:t>
      </w:r>
      <w:r w:rsidR="00FC1AE7" w:rsidRPr="001D5606">
        <w:rPr>
          <w:rFonts w:asciiTheme="minorHAnsi" w:hAnsiTheme="minorHAnsi" w:cstheme="minorHAnsi"/>
          <w:color w:val="4F81BD" w:themeColor="accent1"/>
        </w:rPr>
        <w:t>age</w:t>
      </w:r>
      <w:r w:rsidR="00D11C5F" w:rsidRPr="001D5606">
        <w:rPr>
          <w:rFonts w:asciiTheme="minorHAnsi" w:hAnsiTheme="minorHAnsi" w:cstheme="minorHAnsi"/>
          <w:color w:val="4F81BD" w:themeColor="accent1"/>
        </w:rPr>
        <w:t xml:space="preserve"> 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00984E51" w:rsidRPr="001D5606">
        <w:rPr>
          <w:rFonts w:asciiTheme="minorHAnsi" w:hAnsiTheme="minorHAnsi" w:cstheme="minorHAnsi"/>
          <w:color w:val="4F81BD" w:themeColor="accent1"/>
        </w:rPr>
        <w:t>)</w:t>
      </w:r>
    </w:p>
    <w:p w:rsidR="00395198" w:rsidRDefault="007152F5" w:rsidP="00A64FC3">
      <w:pPr>
        <w:rPr>
          <w:rFonts w:asciiTheme="minorHAnsi" w:hAnsiTheme="minorHAnsi" w:cstheme="minorHAnsi"/>
          <w:b/>
        </w:rPr>
      </w:pPr>
      <w:r w:rsidRPr="007152F5">
        <w:rPr>
          <w:noProof/>
          <w:lang w:eastAsia="en-AU"/>
        </w:rPr>
        <w:t xml:space="preserve"> </w:t>
      </w:r>
      <w:r w:rsidR="00FC1AE7" w:rsidRPr="00FC1AE7">
        <w:rPr>
          <w:noProof/>
          <w:lang w:eastAsia="en-AU"/>
        </w:rPr>
        <w:drawing>
          <wp:inline distT="0" distB="0" distL="0" distR="0" wp14:anchorId="227EF3D8" wp14:editId="7B5D636E">
            <wp:extent cx="4609524" cy="5704762"/>
            <wp:effectExtent l="0" t="0" r="635" b="0"/>
            <wp:docPr id="664" name="Picture 664" descr="Percentage deviation in real Australian GDP under the core scenario for different target scenarios in 2030, from the Paris scenario: -13% target (-0.3%), -26% (-0.6%), -35% (-0.8%), -45% (-1.0%).&#10;Percentage deviation in real Australian GDP under the technology cost sensitivity scenario for different target scenarios in 2030, from the Paris scenario: -13% target (-0.2%), -26% (-0.4%), -35% (-0.5%), -45% (-0.7%).&#10;" title="Figure E-1: Changes in GDP and GNI – core target scenarios and technology cost sensitivity scenario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609524" cy="5704762"/>
                    </a:xfrm>
                    <a:prstGeom prst="rect">
                      <a:avLst/>
                    </a:prstGeom>
                  </pic:spPr>
                </pic:pic>
              </a:graphicData>
            </a:graphic>
          </wp:inline>
        </w:drawing>
      </w:r>
    </w:p>
    <w:p w:rsidR="004C49FD" w:rsidRPr="001D5606" w:rsidRDefault="004C49FD" w:rsidP="00B610DA">
      <w:pPr>
        <w:keepNext/>
        <w:spacing w:before="360" w:after="120"/>
        <w:rPr>
          <w:rFonts w:asciiTheme="minorHAnsi" w:hAnsiTheme="minorHAnsi" w:cstheme="minorHAnsi"/>
          <w:b/>
          <w:color w:val="4F81BD" w:themeColor="accent1"/>
        </w:rPr>
      </w:pPr>
      <w:r w:rsidRPr="001D5606">
        <w:rPr>
          <w:rFonts w:asciiTheme="minorHAnsi" w:hAnsiTheme="minorHAnsi" w:cstheme="minorHAnsi"/>
          <w:b/>
          <w:color w:val="4F81BD" w:themeColor="accent1"/>
        </w:rPr>
        <w:t xml:space="preserve">Table </w:t>
      </w:r>
      <w:r w:rsidR="00A5454F" w:rsidRPr="001D5606">
        <w:rPr>
          <w:rFonts w:asciiTheme="minorHAnsi" w:hAnsiTheme="minorHAnsi" w:cstheme="minorHAnsi"/>
          <w:b/>
          <w:color w:val="4F81BD" w:themeColor="accent1"/>
        </w:rPr>
        <w:t>E</w:t>
      </w:r>
      <w:r w:rsidRPr="001D5606">
        <w:rPr>
          <w:rFonts w:asciiTheme="minorHAnsi" w:hAnsiTheme="minorHAnsi" w:cstheme="minorHAnsi"/>
          <w:b/>
          <w:color w:val="4F81BD" w:themeColor="accent1"/>
        </w:rPr>
        <w:t xml:space="preserve">-1: </w:t>
      </w:r>
      <w:r w:rsidRPr="001D5606">
        <w:rPr>
          <w:rFonts w:asciiTheme="minorHAnsi" w:hAnsiTheme="minorHAnsi" w:cstheme="minorHAnsi"/>
          <w:color w:val="4F81BD" w:themeColor="accent1"/>
        </w:rPr>
        <w:t xml:space="preserve">Average annual GDP growth – Paris scenario, core </w:t>
      </w:r>
      <w:r w:rsidR="00361581"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scenarios and technology cost sensitivity scenarios, 2020 to 2030 (per cent)</w:t>
      </w:r>
    </w:p>
    <w:tbl>
      <w:tblPr>
        <w:tblStyle w:val="LightList-Accent1"/>
        <w:tblW w:w="4055" w:type="pct"/>
        <w:tblLayout w:type="fixed"/>
        <w:tblLook w:val="04A0" w:firstRow="1" w:lastRow="0" w:firstColumn="1" w:lastColumn="0" w:noHBand="0" w:noVBand="1"/>
      </w:tblPr>
      <w:tblGrid>
        <w:gridCol w:w="2374"/>
        <w:gridCol w:w="2129"/>
        <w:gridCol w:w="2408"/>
      </w:tblGrid>
      <w:tr w:rsidR="004C49FD" w:rsidRPr="002B2FD1" w:rsidTr="002B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single" w:sz="8" w:space="0" w:color="996633"/>
              <w:left w:val="single" w:sz="8" w:space="0" w:color="996633"/>
              <w:bottom w:val="single" w:sz="8" w:space="0" w:color="996633"/>
            </w:tcBorders>
            <w:shd w:val="clear" w:color="auto" w:fill="996633"/>
          </w:tcPr>
          <w:p w:rsidR="004C49FD" w:rsidRPr="002B2FD1" w:rsidRDefault="004C49FD" w:rsidP="00B5400C">
            <w:pPr>
              <w:rPr>
                <w:rFonts w:asciiTheme="minorHAnsi" w:hAnsiTheme="minorHAnsi" w:cstheme="minorHAnsi"/>
                <w:color w:val="auto"/>
              </w:rPr>
            </w:pPr>
          </w:p>
        </w:tc>
        <w:tc>
          <w:tcPr>
            <w:tcW w:w="1540" w:type="pct"/>
            <w:tcBorders>
              <w:top w:val="single" w:sz="8" w:space="0" w:color="996633"/>
              <w:bottom w:val="single" w:sz="8" w:space="0" w:color="996633"/>
            </w:tcBorders>
            <w:shd w:val="clear" w:color="auto" w:fill="996633"/>
          </w:tcPr>
          <w:p w:rsidR="004C49FD" w:rsidRPr="002B2FD1" w:rsidRDefault="00F6493A" w:rsidP="00B540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2B2FD1">
              <w:rPr>
                <w:rFonts w:asciiTheme="minorHAnsi" w:hAnsiTheme="minorHAnsi" w:cstheme="minorHAnsi"/>
              </w:rPr>
              <w:t xml:space="preserve">Core </w:t>
            </w:r>
            <w:r w:rsidR="00361581" w:rsidRPr="002B2FD1">
              <w:rPr>
                <w:rFonts w:asciiTheme="minorHAnsi" w:hAnsiTheme="minorHAnsi" w:cstheme="minorHAnsi"/>
              </w:rPr>
              <w:t xml:space="preserve">target </w:t>
            </w:r>
            <w:r w:rsidRPr="002B2FD1">
              <w:rPr>
                <w:rFonts w:asciiTheme="minorHAnsi" w:hAnsiTheme="minorHAnsi" w:cstheme="minorHAnsi"/>
              </w:rPr>
              <w:t>scenarios</w:t>
            </w:r>
          </w:p>
        </w:tc>
        <w:tc>
          <w:tcPr>
            <w:tcW w:w="1742" w:type="pct"/>
            <w:tcBorders>
              <w:top w:val="single" w:sz="8" w:space="0" w:color="996633"/>
              <w:bottom w:val="single" w:sz="8" w:space="0" w:color="996633"/>
              <w:right w:val="single" w:sz="8" w:space="0" w:color="996633"/>
            </w:tcBorders>
            <w:shd w:val="clear" w:color="auto" w:fill="996633"/>
          </w:tcPr>
          <w:p w:rsidR="004C49FD" w:rsidRPr="002B2FD1" w:rsidRDefault="006E05AB" w:rsidP="006E05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B2FD1">
              <w:rPr>
                <w:rFonts w:asciiTheme="minorHAnsi" w:hAnsiTheme="minorHAnsi" w:cstheme="minorHAnsi"/>
              </w:rPr>
              <w:t xml:space="preserve">Sensitivity scenarios - </w:t>
            </w:r>
            <w:r w:rsidR="006E2C36" w:rsidRPr="002B2FD1">
              <w:rPr>
                <w:rFonts w:asciiTheme="minorHAnsi" w:hAnsiTheme="minorHAnsi" w:cstheme="minorHAnsi"/>
              </w:rPr>
              <w:t>technology cost</w:t>
            </w:r>
            <w:r w:rsidRPr="002B2FD1">
              <w:rPr>
                <w:rFonts w:asciiTheme="minorHAnsi" w:hAnsiTheme="minorHAnsi" w:cstheme="minorHAnsi"/>
              </w:rPr>
              <w:t>s</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single" w:sz="8" w:space="0" w:color="996633"/>
              <w:left w:val="single" w:sz="8" w:space="0" w:color="996633"/>
              <w:bottom w:val="nil"/>
            </w:tcBorders>
          </w:tcPr>
          <w:p w:rsidR="004C49FD" w:rsidRPr="002B2FD1" w:rsidRDefault="004C49FD"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Paris scenario</w:t>
            </w:r>
          </w:p>
        </w:tc>
        <w:tc>
          <w:tcPr>
            <w:tcW w:w="1540" w:type="pct"/>
            <w:tcBorders>
              <w:top w:val="single" w:sz="8" w:space="0" w:color="996633"/>
              <w:bottom w:val="nil"/>
            </w:tcBorders>
          </w:tcPr>
          <w:p w:rsidR="004C49FD" w:rsidRPr="002B2FD1" w:rsidRDefault="004C49FD"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2.21</w:t>
            </w:r>
          </w:p>
        </w:tc>
        <w:tc>
          <w:tcPr>
            <w:tcW w:w="1742" w:type="pct"/>
            <w:tcBorders>
              <w:top w:val="single" w:sz="8" w:space="0" w:color="996633"/>
              <w:bottom w:val="nil"/>
              <w:right w:val="single" w:sz="8" w:space="0" w:color="996633"/>
            </w:tcBorders>
          </w:tcPr>
          <w:p w:rsidR="004C49FD" w:rsidRPr="002B2FD1" w:rsidRDefault="004C49FD"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w:t>
            </w:r>
          </w:p>
        </w:tc>
      </w:tr>
      <w:tr w:rsidR="002B2FD1" w:rsidRPr="002B2FD1" w:rsidTr="002B2FD1">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4C49FD" w:rsidRPr="002B2FD1" w:rsidRDefault="004C49FD"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-13%</w:t>
            </w:r>
          </w:p>
        </w:tc>
        <w:tc>
          <w:tcPr>
            <w:tcW w:w="1540" w:type="pct"/>
            <w:tcBorders>
              <w:top w:val="nil"/>
              <w:bottom w:val="nil"/>
            </w:tcBorders>
          </w:tcPr>
          <w:p w:rsidR="004C49FD" w:rsidRPr="002B2FD1" w:rsidRDefault="004C49FD" w:rsidP="00B540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2.18</w:t>
            </w:r>
          </w:p>
        </w:tc>
        <w:tc>
          <w:tcPr>
            <w:tcW w:w="1742" w:type="pct"/>
            <w:tcBorders>
              <w:top w:val="nil"/>
              <w:bottom w:val="nil"/>
              <w:right w:val="single" w:sz="8" w:space="0" w:color="996633"/>
            </w:tcBorders>
          </w:tcPr>
          <w:p w:rsidR="004C49FD" w:rsidRPr="002B2FD1" w:rsidRDefault="006E2C36" w:rsidP="00B540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2.19</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4C49FD" w:rsidRPr="002B2FD1" w:rsidRDefault="004C49FD"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-26%</w:t>
            </w:r>
          </w:p>
        </w:tc>
        <w:tc>
          <w:tcPr>
            <w:tcW w:w="1540" w:type="pct"/>
            <w:tcBorders>
              <w:top w:val="nil"/>
              <w:bottom w:val="nil"/>
            </w:tcBorders>
          </w:tcPr>
          <w:p w:rsidR="004C49FD" w:rsidRPr="002B2FD1" w:rsidRDefault="004C49FD"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2.14</w:t>
            </w:r>
          </w:p>
        </w:tc>
        <w:tc>
          <w:tcPr>
            <w:tcW w:w="1742" w:type="pct"/>
            <w:tcBorders>
              <w:top w:val="nil"/>
              <w:bottom w:val="nil"/>
              <w:right w:val="single" w:sz="8" w:space="0" w:color="996633"/>
            </w:tcBorders>
          </w:tcPr>
          <w:p w:rsidR="004C49FD" w:rsidRPr="002B2FD1" w:rsidRDefault="006E2C36"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2.16</w:t>
            </w:r>
          </w:p>
        </w:tc>
      </w:tr>
      <w:tr w:rsidR="002B2FD1" w:rsidRPr="002B2FD1" w:rsidTr="002B2FD1">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nil"/>
            </w:tcBorders>
          </w:tcPr>
          <w:p w:rsidR="004C49FD" w:rsidRPr="002B2FD1" w:rsidRDefault="004C49FD"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-35%</w:t>
            </w:r>
          </w:p>
        </w:tc>
        <w:tc>
          <w:tcPr>
            <w:tcW w:w="1540" w:type="pct"/>
            <w:tcBorders>
              <w:top w:val="nil"/>
              <w:bottom w:val="nil"/>
            </w:tcBorders>
          </w:tcPr>
          <w:p w:rsidR="004C49FD" w:rsidRPr="002B2FD1" w:rsidRDefault="004C49FD" w:rsidP="00B540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2.12</w:t>
            </w:r>
          </w:p>
        </w:tc>
        <w:tc>
          <w:tcPr>
            <w:tcW w:w="1742" w:type="pct"/>
            <w:tcBorders>
              <w:top w:val="nil"/>
              <w:bottom w:val="nil"/>
              <w:right w:val="single" w:sz="8" w:space="0" w:color="996633"/>
            </w:tcBorders>
          </w:tcPr>
          <w:p w:rsidR="004C49FD" w:rsidRPr="002B2FD1" w:rsidRDefault="006E2C36" w:rsidP="00B540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2.14</w:t>
            </w:r>
          </w:p>
        </w:tc>
      </w:tr>
      <w:tr w:rsidR="002B2FD1" w:rsidRPr="002B2FD1" w:rsidTr="002B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pct"/>
            <w:tcBorders>
              <w:top w:val="nil"/>
              <w:left w:val="single" w:sz="8" w:space="0" w:color="996633"/>
              <w:bottom w:val="single" w:sz="8" w:space="0" w:color="996633"/>
            </w:tcBorders>
          </w:tcPr>
          <w:p w:rsidR="004C49FD" w:rsidRPr="002B2FD1" w:rsidRDefault="004C49FD" w:rsidP="00B5400C">
            <w:pPr>
              <w:rPr>
                <w:rFonts w:asciiTheme="minorHAnsi" w:hAnsiTheme="minorHAnsi" w:cstheme="minorHAnsi"/>
                <w:color w:val="4F81BD" w:themeColor="accent1"/>
              </w:rPr>
            </w:pPr>
            <w:r w:rsidRPr="002B2FD1">
              <w:rPr>
                <w:rFonts w:asciiTheme="minorHAnsi" w:hAnsiTheme="minorHAnsi" w:cstheme="minorHAnsi"/>
                <w:color w:val="4F81BD" w:themeColor="accent1"/>
              </w:rPr>
              <w:t>-45%</w:t>
            </w:r>
          </w:p>
        </w:tc>
        <w:tc>
          <w:tcPr>
            <w:tcW w:w="1540" w:type="pct"/>
            <w:tcBorders>
              <w:top w:val="nil"/>
              <w:bottom w:val="single" w:sz="8" w:space="0" w:color="996633"/>
            </w:tcBorders>
          </w:tcPr>
          <w:p w:rsidR="004C49FD" w:rsidRPr="002B2FD1" w:rsidRDefault="004C49FD"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2.09</w:t>
            </w:r>
          </w:p>
        </w:tc>
        <w:tc>
          <w:tcPr>
            <w:tcW w:w="1742" w:type="pct"/>
            <w:tcBorders>
              <w:top w:val="nil"/>
              <w:bottom w:val="single" w:sz="8" w:space="0" w:color="996633"/>
              <w:right w:val="single" w:sz="8" w:space="0" w:color="996633"/>
            </w:tcBorders>
          </w:tcPr>
          <w:p w:rsidR="004C49FD" w:rsidRPr="002B2FD1" w:rsidRDefault="006E2C36" w:rsidP="00B540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2B2FD1">
              <w:rPr>
                <w:rFonts w:asciiTheme="minorHAnsi" w:hAnsiTheme="minorHAnsi" w:cstheme="minorHAnsi"/>
                <w:color w:val="4F81BD" w:themeColor="accent1"/>
              </w:rPr>
              <w:t>2.12</w:t>
            </w:r>
          </w:p>
        </w:tc>
      </w:tr>
    </w:tbl>
    <w:p w:rsidR="00C14963" w:rsidRDefault="00C14963" w:rsidP="00A64FC3">
      <w:pPr>
        <w:rPr>
          <w:rFonts w:asciiTheme="minorHAnsi" w:hAnsiTheme="minorHAnsi" w:cstheme="minorHAnsi"/>
          <w:b/>
        </w:rPr>
      </w:pPr>
    </w:p>
    <w:p w:rsidR="004C018B" w:rsidRPr="001D5606" w:rsidRDefault="00C80BA7" w:rsidP="00161EE0">
      <w:pPr>
        <w:spacing w:after="360"/>
        <w:rPr>
          <w:rFonts w:asciiTheme="minorHAnsi" w:hAnsiTheme="minorHAnsi" w:cstheme="minorHAnsi"/>
          <w:b/>
          <w:color w:val="996633"/>
          <w:sz w:val="40"/>
        </w:rPr>
      </w:pPr>
      <w:r>
        <w:rPr>
          <w:rFonts w:asciiTheme="minorHAnsi" w:hAnsiTheme="minorHAnsi" w:cstheme="minorHAnsi"/>
          <w:b/>
        </w:rPr>
        <w:br w:type="page"/>
      </w:r>
      <w:r w:rsidR="004C018B" w:rsidRPr="001D5606">
        <w:rPr>
          <w:rFonts w:asciiTheme="minorHAnsi" w:hAnsiTheme="minorHAnsi" w:cstheme="minorHAnsi"/>
          <w:b/>
          <w:color w:val="996633"/>
          <w:sz w:val="40"/>
        </w:rPr>
        <w:lastRenderedPageBreak/>
        <w:t xml:space="preserve">APPENDIX </w:t>
      </w:r>
      <w:r w:rsidR="00A5454F" w:rsidRPr="001D5606">
        <w:rPr>
          <w:rFonts w:asciiTheme="minorHAnsi" w:hAnsiTheme="minorHAnsi" w:cstheme="minorHAnsi"/>
          <w:b/>
          <w:color w:val="996633"/>
          <w:sz w:val="40"/>
        </w:rPr>
        <w:t>F</w:t>
      </w:r>
      <w:r w:rsidR="004C018B" w:rsidRPr="001D5606">
        <w:rPr>
          <w:rFonts w:asciiTheme="minorHAnsi" w:hAnsiTheme="minorHAnsi" w:cstheme="minorHAnsi"/>
          <w:b/>
          <w:color w:val="996633"/>
          <w:sz w:val="40"/>
        </w:rPr>
        <w:t>: Sensitivity to</w:t>
      </w:r>
      <w:r w:rsidR="00C936E3">
        <w:rPr>
          <w:rFonts w:asciiTheme="minorHAnsi" w:hAnsiTheme="minorHAnsi" w:cstheme="minorHAnsi"/>
          <w:b/>
          <w:color w:val="996633"/>
          <w:sz w:val="40"/>
        </w:rPr>
        <w:t xml:space="preserve"> </w:t>
      </w:r>
      <w:r w:rsidR="009E08EE">
        <w:rPr>
          <w:rFonts w:asciiTheme="minorHAnsi" w:hAnsiTheme="minorHAnsi" w:cstheme="minorHAnsi"/>
          <w:b/>
          <w:color w:val="996633"/>
          <w:sz w:val="40"/>
        </w:rPr>
        <w:t>p</w:t>
      </w:r>
      <w:r w:rsidR="009E08EE" w:rsidRPr="001D5606">
        <w:rPr>
          <w:rFonts w:asciiTheme="minorHAnsi" w:hAnsiTheme="minorHAnsi" w:cstheme="minorHAnsi"/>
          <w:b/>
          <w:color w:val="996633"/>
          <w:sz w:val="40"/>
        </w:rPr>
        <w:t xml:space="preserve">olicy </w:t>
      </w:r>
      <w:r w:rsidR="009E08EE">
        <w:rPr>
          <w:rFonts w:asciiTheme="minorHAnsi" w:hAnsiTheme="minorHAnsi" w:cstheme="minorHAnsi"/>
          <w:b/>
          <w:color w:val="996633"/>
          <w:sz w:val="40"/>
        </w:rPr>
        <w:t>m</w:t>
      </w:r>
      <w:r w:rsidR="009E08EE" w:rsidRPr="001D5606">
        <w:rPr>
          <w:rFonts w:asciiTheme="minorHAnsi" w:hAnsiTheme="minorHAnsi" w:cstheme="minorHAnsi"/>
          <w:b/>
          <w:color w:val="996633"/>
          <w:sz w:val="40"/>
        </w:rPr>
        <w:t xml:space="preserve">ix </w:t>
      </w:r>
      <w:r w:rsidR="009E08EE">
        <w:rPr>
          <w:rFonts w:asciiTheme="minorHAnsi" w:hAnsiTheme="minorHAnsi" w:cstheme="minorHAnsi"/>
          <w:b/>
          <w:color w:val="996633"/>
          <w:sz w:val="40"/>
        </w:rPr>
        <w:t>a</w:t>
      </w:r>
      <w:r w:rsidR="009E08EE" w:rsidRPr="001D5606">
        <w:rPr>
          <w:rFonts w:asciiTheme="minorHAnsi" w:hAnsiTheme="minorHAnsi" w:cstheme="minorHAnsi"/>
          <w:b/>
          <w:color w:val="996633"/>
          <w:sz w:val="40"/>
        </w:rPr>
        <w:t>ssumption</w:t>
      </w:r>
    </w:p>
    <w:p w:rsidR="004C018B" w:rsidRDefault="004C018B" w:rsidP="00161EE0">
      <w:pPr>
        <w:pStyle w:val="NormalWeb"/>
        <w:rPr>
          <w:rFonts w:asciiTheme="minorHAnsi" w:hAnsiTheme="minorHAnsi"/>
        </w:rPr>
      </w:pPr>
      <w:r w:rsidRPr="00B3543D">
        <w:rPr>
          <w:rFonts w:asciiTheme="minorHAnsi" w:hAnsiTheme="minorHAnsi"/>
        </w:rPr>
        <w:t xml:space="preserve">Different policy mixes involve different costs, different patterns of co-benefits, and have different distributional impacts.  </w:t>
      </w:r>
    </w:p>
    <w:p w:rsidR="004C018B" w:rsidRDefault="004C018B" w:rsidP="004C018B">
      <w:pPr>
        <w:pStyle w:val="NormalWeb"/>
        <w:rPr>
          <w:rFonts w:asciiTheme="minorHAnsi" w:hAnsiTheme="minorHAnsi"/>
        </w:rPr>
      </w:pPr>
      <w:r w:rsidRPr="000A6ED4">
        <w:rPr>
          <w:rFonts w:asciiTheme="minorHAnsi" w:hAnsiTheme="minorHAnsi"/>
        </w:rPr>
        <w:t>Modelling was undertaken to assess the economic impacts of targets with some use</w:t>
      </w:r>
      <w:r>
        <w:rPr>
          <w:rFonts w:asciiTheme="minorHAnsi" w:hAnsiTheme="minorHAnsi"/>
        </w:rPr>
        <w:t xml:space="preserve"> of</w:t>
      </w:r>
      <w:r w:rsidRPr="000A6ED4">
        <w:rPr>
          <w:rFonts w:asciiTheme="minorHAnsi" w:hAnsiTheme="minorHAnsi"/>
        </w:rPr>
        <w:t xml:space="preserve"> international units</w:t>
      </w:r>
      <w:r>
        <w:rPr>
          <w:rFonts w:asciiTheme="minorHAnsi" w:hAnsiTheme="minorHAnsi"/>
        </w:rPr>
        <w:t>.</w:t>
      </w:r>
      <w:r>
        <w:rPr>
          <w:rFonts w:asciiTheme="minorHAnsi" w:hAnsiTheme="minorHAnsi" w:cstheme="minorHAnsi"/>
        </w:rPr>
        <w:t xml:space="preserve"> Each of the </w:t>
      </w:r>
      <w:r w:rsidR="00361581">
        <w:rPr>
          <w:rFonts w:asciiTheme="minorHAnsi" w:hAnsiTheme="minorHAnsi" w:cstheme="minorHAnsi"/>
        </w:rPr>
        <w:t xml:space="preserve">core </w:t>
      </w:r>
      <w:r>
        <w:rPr>
          <w:rFonts w:asciiTheme="minorHAnsi" w:hAnsiTheme="minorHAnsi" w:cstheme="minorHAnsi"/>
        </w:rPr>
        <w:t xml:space="preserve">target scenarios is replicated with the additional assumption that international units are available to meet some of the emissions abatement.  The analysis assumes these offsets are purchased from low income countries in the ‘rest of world’ grouping, which includes developing countries other than China. </w:t>
      </w:r>
    </w:p>
    <w:p w:rsidR="00B70F72" w:rsidRDefault="004C018B" w:rsidP="004C018B">
      <w:pPr>
        <w:pStyle w:val="NormalWeb"/>
        <w:rPr>
          <w:rFonts w:asciiTheme="minorHAnsi" w:hAnsiTheme="minorHAnsi"/>
        </w:rPr>
      </w:pPr>
      <w:r>
        <w:rPr>
          <w:rFonts w:asciiTheme="minorHAnsi" w:hAnsiTheme="minorHAnsi"/>
        </w:rPr>
        <w:t>The price of reputable international units is assumed to start at US$5 per tonne of abatement in 2020, rising to US$10 per tonne by 2030.  The volume of units is limited to around 45 per cent of the national abatement task, implying total volume of offsets in the range of 20 to 80 Mt CO</w:t>
      </w:r>
      <w:r w:rsidRPr="004506D7">
        <w:rPr>
          <w:rFonts w:asciiTheme="minorHAnsi" w:hAnsiTheme="minorHAnsi"/>
          <w:vertAlign w:val="subscript"/>
        </w:rPr>
        <w:t>2</w:t>
      </w:r>
      <w:r>
        <w:rPr>
          <w:rFonts w:asciiTheme="minorHAnsi" w:hAnsiTheme="minorHAnsi"/>
        </w:rPr>
        <w:t xml:space="preserve"> in 2030.  </w:t>
      </w:r>
    </w:p>
    <w:p w:rsidR="004C018B" w:rsidRDefault="00B70F72" w:rsidP="004C018B">
      <w:pPr>
        <w:pStyle w:val="NormalWeb"/>
        <w:rPr>
          <w:rFonts w:asciiTheme="minorHAnsi" w:hAnsiTheme="minorHAnsi"/>
        </w:rPr>
      </w:pPr>
      <w:r>
        <w:rPr>
          <w:rFonts w:asciiTheme="minorHAnsi" w:hAnsiTheme="minorHAnsi"/>
        </w:rPr>
        <w:t xml:space="preserve">Figure </w:t>
      </w:r>
      <w:r w:rsidR="00A5454F">
        <w:rPr>
          <w:rFonts w:asciiTheme="minorHAnsi" w:hAnsiTheme="minorHAnsi"/>
        </w:rPr>
        <w:t>F</w:t>
      </w:r>
      <w:r>
        <w:rPr>
          <w:rFonts w:asciiTheme="minorHAnsi" w:hAnsiTheme="minorHAnsi"/>
        </w:rPr>
        <w:t>-</w:t>
      </w:r>
      <w:r w:rsidR="007C0B6B">
        <w:rPr>
          <w:rFonts w:asciiTheme="minorHAnsi" w:hAnsiTheme="minorHAnsi"/>
        </w:rPr>
        <w:t>1</w:t>
      </w:r>
      <w:r>
        <w:rPr>
          <w:rFonts w:asciiTheme="minorHAnsi" w:hAnsiTheme="minorHAnsi"/>
        </w:rPr>
        <w:t xml:space="preserve"> shows cumulative abatement </w:t>
      </w:r>
      <w:r w:rsidR="00587CA5">
        <w:rPr>
          <w:rFonts w:asciiTheme="minorHAnsi" w:hAnsiTheme="minorHAnsi"/>
        </w:rPr>
        <w:t xml:space="preserve">in the policy mix sensitivity scenarios </w:t>
      </w:r>
      <w:r>
        <w:rPr>
          <w:rFonts w:asciiTheme="minorHAnsi" w:hAnsiTheme="minorHAnsi"/>
        </w:rPr>
        <w:t>from domestic sources and international units</w:t>
      </w:r>
      <w:r w:rsidRPr="00B70F72">
        <w:rPr>
          <w:rFonts w:asciiTheme="minorHAnsi" w:hAnsiTheme="minorHAnsi"/>
        </w:rPr>
        <w:t xml:space="preserve"> </w:t>
      </w:r>
      <w:r>
        <w:rPr>
          <w:rFonts w:asciiTheme="minorHAnsi" w:hAnsiTheme="minorHAnsi"/>
        </w:rPr>
        <w:t>from 2020 to 2030.</w:t>
      </w:r>
    </w:p>
    <w:p w:rsidR="00B70F72" w:rsidRPr="001D5606" w:rsidRDefault="00B70F72" w:rsidP="00B70F72">
      <w:pPr>
        <w:pStyle w:val="NormalWeb"/>
        <w:keepNext/>
        <w:spacing w:after="120" w:afterAutospacing="0"/>
        <w:rPr>
          <w:rFonts w:asciiTheme="minorHAnsi" w:hAnsiTheme="minorHAnsi" w:cstheme="minorHAnsi"/>
          <w:color w:val="4F81BD" w:themeColor="accent1"/>
        </w:rPr>
      </w:pPr>
      <w:r w:rsidRPr="001D5606">
        <w:rPr>
          <w:rFonts w:asciiTheme="minorHAnsi" w:hAnsiTheme="minorHAnsi"/>
          <w:b/>
          <w:color w:val="4F81BD" w:themeColor="accent1"/>
        </w:rPr>
        <w:t xml:space="preserve">Figure </w:t>
      </w:r>
      <w:r w:rsidR="00A5454F" w:rsidRPr="001D5606">
        <w:rPr>
          <w:rFonts w:asciiTheme="minorHAnsi" w:hAnsiTheme="minorHAnsi"/>
          <w:b/>
          <w:color w:val="4F81BD" w:themeColor="accent1"/>
        </w:rPr>
        <w:t>F</w:t>
      </w:r>
      <w:r w:rsidR="007C0B6B" w:rsidRPr="001D5606">
        <w:rPr>
          <w:rFonts w:asciiTheme="minorHAnsi" w:hAnsiTheme="minorHAnsi"/>
          <w:b/>
          <w:color w:val="4F81BD" w:themeColor="accent1"/>
        </w:rPr>
        <w:t>-1</w:t>
      </w:r>
      <w:r w:rsidRPr="001D5606">
        <w:rPr>
          <w:rFonts w:asciiTheme="minorHAnsi" w:hAnsiTheme="minorHAnsi"/>
          <w:b/>
          <w:color w:val="4F81BD" w:themeColor="accent1"/>
        </w:rPr>
        <w:t xml:space="preserve">: </w:t>
      </w:r>
      <w:r w:rsidRPr="001D5606">
        <w:rPr>
          <w:rFonts w:asciiTheme="minorHAnsi" w:hAnsiTheme="minorHAnsi"/>
          <w:color w:val="4F81BD" w:themeColor="accent1"/>
        </w:rPr>
        <w:t xml:space="preserve">Cumulative abatement, domestic abatement and international units – </w:t>
      </w:r>
      <w:r w:rsidR="00587CA5" w:rsidRPr="001D5606">
        <w:rPr>
          <w:rFonts w:asciiTheme="minorHAnsi" w:hAnsiTheme="minorHAnsi"/>
          <w:color w:val="4F81BD" w:themeColor="accent1"/>
        </w:rPr>
        <w:t xml:space="preserve">policy mix </w:t>
      </w:r>
      <w:r w:rsidRPr="001D5606">
        <w:rPr>
          <w:rFonts w:asciiTheme="minorHAnsi" w:hAnsiTheme="minorHAnsi"/>
          <w:color w:val="4F81BD" w:themeColor="accent1"/>
        </w:rPr>
        <w:t>sensitivity analysis, 2020 to 2030 (Mt CO</w:t>
      </w:r>
      <w:r w:rsidRPr="001D5606">
        <w:rPr>
          <w:rFonts w:asciiTheme="minorHAnsi" w:hAnsiTheme="minorHAnsi"/>
          <w:color w:val="4F81BD" w:themeColor="accent1"/>
          <w:vertAlign w:val="subscript"/>
        </w:rPr>
        <w:t>2</w:t>
      </w:r>
      <w:r w:rsidRPr="001D5606">
        <w:rPr>
          <w:rFonts w:asciiTheme="minorHAnsi" w:hAnsiTheme="minorHAnsi"/>
          <w:color w:val="4F81BD" w:themeColor="accent1"/>
        </w:rPr>
        <w:t xml:space="preserve">) </w:t>
      </w:r>
    </w:p>
    <w:p w:rsidR="00B70F72" w:rsidRDefault="00176BF6" w:rsidP="00B70F72">
      <w:pPr>
        <w:pStyle w:val="ListParagraph"/>
        <w:ind w:left="0"/>
        <w:rPr>
          <w:rFonts w:asciiTheme="minorHAnsi" w:hAnsiTheme="minorHAnsi" w:cstheme="minorHAnsi"/>
        </w:rPr>
      </w:pPr>
      <w:r>
        <w:rPr>
          <w:noProof/>
          <w:lang w:eastAsia="en-AU"/>
        </w:rPr>
        <w:drawing>
          <wp:inline distT="0" distB="0" distL="0" distR="0" wp14:anchorId="5C29CFB0">
            <wp:extent cx="5279390" cy="2798445"/>
            <wp:effectExtent l="0" t="0" r="0" b="1905"/>
            <wp:docPr id="25" name="Picture 25" descr="When international units are used, different Australian targets require the following cumulative domestic abatement from energy in million tonnes of carbon dioxide, relative to the Paris scenario, from 2020 to 2030: -13% (133), -26% (293), -35% (405), -45% (529).&#10;When international units are used, different Australian targets require the following purchases of international units from cumulative abatement from energy in million tonnes of carbon dioxide, relative to the Paris scenario, from 2020 to 2030: -13% (112), -26% (241), -35% (331), -45% (430).&#10;" title="Figure F-1: Cumulative abatement, domestic abatement and international units – policy mix sensitivity analysis, 2020 to 2030 (Mt CO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9390" cy="2798445"/>
                    </a:xfrm>
                    <a:prstGeom prst="rect">
                      <a:avLst/>
                    </a:prstGeom>
                    <a:noFill/>
                  </pic:spPr>
                </pic:pic>
              </a:graphicData>
            </a:graphic>
          </wp:inline>
        </w:drawing>
      </w:r>
    </w:p>
    <w:p w:rsidR="00B70F72" w:rsidRPr="005F22DA" w:rsidRDefault="005F22DA" w:rsidP="00B70F72">
      <w:pPr>
        <w:rPr>
          <w:color w:val="4F81BD" w:themeColor="accent1"/>
          <w:sz w:val="16"/>
        </w:rPr>
      </w:pPr>
      <w:r w:rsidRPr="005F22DA">
        <w:rPr>
          <w:color w:val="4F81BD" w:themeColor="accent1"/>
          <w:sz w:val="16"/>
        </w:rPr>
        <w:t xml:space="preserve">Figures </w:t>
      </w:r>
      <w:r>
        <w:rPr>
          <w:color w:val="4F81BD" w:themeColor="accent1"/>
          <w:sz w:val="16"/>
        </w:rPr>
        <w:t xml:space="preserve">may not </w:t>
      </w:r>
      <w:r w:rsidR="00DB2FEA">
        <w:rPr>
          <w:color w:val="4F81BD" w:themeColor="accent1"/>
          <w:sz w:val="16"/>
        </w:rPr>
        <w:t xml:space="preserve">sum </w:t>
      </w:r>
      <w:r>
        <w:rPr>
          <w:color w:val="4F81BD" w:themeColor="accent1"/>
          <w:sz w:val="16"/>
        </w:rPr>
        <w:t xml:space="preserve">to totals in Figure 2 due to rounding. </w:t>
      </w:r>
    </w:p>
    <w:p w:rsidR="004C018B" w:rsidRDefault="004C018B" w:rsidP="004613D9">
      <w:pPr>
        <w:spacing w:after="120"/>
        <w:rPr>
          <w:rFonts w:asciiTheme="minorHAnsi" w:hAnsiTheme="minorHAnsi" w:cstheme="minorHAnsi"/>
          <w:b/>
          <w:color w:val="0070C0"/>
          <w:sz w:val="40"/>
        </w:rPr>
      </w:pPr>
    </w:p>
    <w:p w:rsidR="00157892" w:rsidRPr="001D5606" w:rsidRDefault="00F6493A" w:rsidP="00B610DA">
      <w:pPr>
        <w:pStyle w:val="ListParagraph"/>
        <w:keepNext/>
        <w:spacing w:after="120"/>
        <w:ind w:left="0"/>
        <w:contextualSpacing w:val="0"/>
        <w:rPr>
          <w:rFonts w:asciiTheme="minorHAnsi" w:hAnsiTheme="minorHAnsi" w:cstheme="minorHAnsi"/>
          <w:b/>
          <w:color w:val="996633"/>
        </w:rPr>
      </w:pPr>
      <w:r w:rsidRPr="001D5606">
        <w:rPr>
          <w:rFonts w:asciiTheme="minorHAnsi" w:hAnsiTheme="minorHAnsi" w:cstheme="minorHAnsi"/>
          <w:b/>
          <w:color w:val="996633"/>
        </w:rPr>
        <w:t>Allowing</w:t>
      </w:r>
      <w:r w:rsidR="00157892" w:rsidRPr="001D5606">
        <w:rPr>
          <w:rFonts w:asciiTheme="minorHAnsi" w:hAnsiTheme="minorHAnsi" w:cstheme="minorHAnsi"/>
          <w:b/>
          <w:color w:val="996633"/>
        </w:rPr>
        <w:t xml:space="preserve"> international units reduces the costs of the commitment</w:t>
      </w:r>
    </w:p>
    <w:p w:rsidR="00157892" w:rsidRDefault="00157892" w:rsidP="00157892">
      <w:pPr>
        <w:pStyle w:val="ListParagraph"/>
        <w:ind w:left="0"/>
        <w:rPr>
          <w:rFonts w:asciiTheme="minorHAnsi" w:hAnsiTheme="minorHAnsi" w:cstheme="minorHAnsi"/>
        </w:rPr>
      </w:pPr>
      <w:r>
        <w:rPr>
          <w:rFonts w:asciiTheme="minorHAnsi" w:hAnsiTheme="minorHAnsi" w:cstheme="minorHAnsi"/>
        </w:rPr>
        <w:t>It is estimated that allowing international units to be used towards meeting the target would add between 0.2 and 0.4 percentage points to GDP in 2030, compared with no use of international units</w:t>
      </w:r>
      <w:r w:rsidR="00C1101A">
        <w:rPr>
          <w:rFonts w:asciiTheme="minorHAnsi" w:hAnsiTheme="minorHAnsi" w:cstheme="minorHAnsi"/>
        </w:rPr>
        <w:t xml:space="preserve"> (Figure </w:t>
      </w:r>
      <w:r w:rsidR="00A5454F">
        <w:rPr>
          <w:rFonts w:asciiTheme="minorHAnsi" w:hAnsiTheme="minorHAnsi" w:cstheme="minorHAnsi"/>
        </w:rPr>
        <w:t>F</w:t>
      </w:r>
      <w:r w:rsidR="00C83822">
        <w:rPr>
          <w:rFonts w:asciiTheme="minorHAnsi" w:hAnsiTheme="minorHAnsi" w:cstheme="minorHAnsi"/>
        </w:rPr>
        <w:t>-</w:t>
      </w:r>
      <w:r w:rsidR="007C0B6B">
        <w:rPr>
          <w:rFonts w:asciiTheme="minorHAnsi" w:hAnsiTheme="minorHAnsi" w:cstheme="minorHAnsi"/>
        </w:rPr>
        <w:t>2</w:t>
      </w:r>
      <w:r w:rsidR="00C83822">
        <w:rPr>
          <w:rFonts w:asciiTheme="minorHAnsi" w:hAnsiTheme="minorHAnsi" w:cstheme="minorHAnsi"/>
        </w:rPr>
        <w:t>)</w:t>
      </w:r>
      <w:r>
        <w:rPr>
          <w:rFonts w:asciiTheme="minorHAnsi" w:hAnsiTheme="minorHAnsi" w:cstheme="minorHAnsi"/>
        </w:rPr>
        <w:t>.</w:t>
      </w:r>
    </w:p>
    <w:p w:rsidR="00157892" w:rsidRDefault="00157892" w:rsidP="00157892">
      <w:pPr>
        <w:pStyle w:val="ListParagraph"/>
        <w:ind w:left="0"/>
        <w:rPr>
          <w:rFonts w:asciiTheme="minorHAnsi" w:hAnsiTheme="minorHAnsi" w:cstheme="minorHAnsi"/>
        </w:rPr>
      </w:pPr>
    </w:p>
    <w:p w:rsidR="00C83822" w:rsidRPr="001D5606" w:rsidRDefault="00C83822" w:rsidP="00C83822">
      <w:pPr>
        <w:pStyle w:val="ListParagraph"/>
        <w:keepNext/>
        <w:ind w:left="0"/>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A5454F" w:rsidRPr="001D5606">
        <w:rPr>
          <w:rFonts w:asciiTheme="minorHAnsi" w:hAnsiTheme="minorHAnsi" w:cstheme="minorHAnsi"/>
          <w:b/>
          <w:color w:val="4F81BD" w:themeColor="accent1"/>
        </w:rPr>
        <w:t>F</w:t>
      </w:r>
      <w:r w:rsidRPr="001D5606">
        <w:rPr>
          <w:rFonts w:asciiTheme="minorHAnsi" w:hAnsiTheme="minorHAnsi" w:cstheme="minorHAnsi"/>
          <w:b/>
          <w:color w:val="4F81BD" w:themeColor="accent1"/>
        </w:rPr>
        <w:t>-</w:t>
      </w:r>
      <w:r w:rsidR="007C0B6B" w:rsidRPr="001D5606">
        <w:rPr>
          <w:rFonts w:asciiTheme="minorHAnsi" w:hAnsiTheme="minorHAnsi" w:cstheme="minorHAnsi"/>
          <w:b/>
          <w:color w:val="4F81BD" w:themeColor="accent1"/>
        </w:rPr>
        <w:t>2</w:t>
      </w:r>
      <w:r w:rsidRPr="001D5606">
        <w:rPr>
          <w:rFonts w:asciiTheme="minorHAnsi" w:hAnsiTheme="minorHAnsi" w:cstheme="minorHAnsi"/>
          <w:b/>
          <w:color w:val="4F81BD" w:themeColor="accent1"/>
        </w:rPr>
        <w:t>:</w:t>
      </w:r>
      <w:r w:rsidRPr="001D5606">
        <w:rPr>
          <w:rFonts w:asciiTheme="minorHAnsi" w:hAnsiTheme="minorHAnsi" w:cstheme="minorHAnsi"/>
          <w:color w:val="4F81BD" w:themeColor="accent1"/>
        </w:rPr>
        <w:t xml:space="preserve"> GDP impacts, core </w:t>
      </w:r>
      <w:r w:rsidR="00361581" w:rsidRPr="001D5606">
        <w:rPr>
          <w:rFonts w:asciiTheme="minorHAnsi" w:hAnsiTheme="minorHAnsi" w:cstheme="minorHAnsi"/>
          <w:color w:val="4F81BD" w:themeColor="accent1"/>
        </w:rPr>
        <w:t xml:space="preserve">target </w:t>
      </w:r>
      <w:r w:rsidRPr="001D5606">
        <w:rPr>
          <w:rFonts w:asciiTheme="minorHAnsi" w:hAnsiTheme="minorHAnsi" w:cstheme="minorHAnsi"/>
          <w:color w:val="4F81BD" w:themeColor="accent1"/>
        </w:rPr>
        <w:t xml:space="preserve">scenarios and </w:t>
      </w:r>
      <w:r w:rsidR="00587CA5" w:rsidRPr="001D5606">
        <w:rPr>
          <w:rFonts w:asciiTheme="minorHAnsi" w:hAnsiTheme="minorHAnsi" w:cstheme="minorHAnsi"/>
          <w:color w:val="4F81BD" w:themeColor="accent1"/>
        </w:rPr>
        <w:t xml:space="preserve">policy mix </w:t>
      </w:r>
      <w:r w:rsidR="00FC1AE7" w:rsidRPr="001D5606">
        <w:rPr>
          <w:rFonts w:asciiTheme="minorHAnsi" w:hAnsiTheme="minorHAnsi" w:cstheme="minorHAnsi"/>
          <w:color w:val="4F81BD" w:themeColor="accent1"/>
        </w:rPr>
        <w:t>sensitivity analysis, 2030 (per</w:t>
      </w:r>
      <w:r w:rsidRPr="001D5606">
        <w:rPr>
          <w:rFonts w:asciiTheme="minorHAnsi" w:hAnsiTheme="minorHAnsi" w:cstheme="minorHAnsi"/>
          <w:color w:val="4F81BD" w:themeColor="accent1"/>
        </w:rPr>
        <w:t>cent</w:t>
      </w:r>
      <w:r w:rsidR="00FC1AE7" w:rsidRPr="001D5606">
        <w:rPr>
          <w:rFonts w:asciiTheme="minorHAnsi" w:hAnsiTheme="minorHAnsi" w:cstheme="minorHAnsi"/>
          <w:color w:val="4F81BD" w:themeColor="accent1"/>
        </w:rPr>
        <w:t>age</w:t>
      </w:r>
      <w:r w:rsidRPr="001D5606">
        <w:rPr>
          <w:rFonts w:asciiTheme="minorHAnsi" w:hAnsiTheme="minorHAnsi" w:cstheme="minorHAnsi"/>
          <w:color w:val="4F81BD" w:themeColor="accent1"/>
        </w:rPr>
        <w:t xml:space="preserve"> 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Pr="001D5606">
        <w:rPr>
          <w:rFonts w:asciiTheme="minorHAnsi" w:hAnsiTheme="minorHAnsi" w:cstheme="minorHAnsi"/>
          <w:color w:val="4F81BD" w:themeColor="accent1"/>
        </w:rPr>
        <w:t>)</w:t>
      </w:r>
    </w:p>
    <w:p w:rsidR="00C83822" w:rsidRPr="001D5606" w:rsidRDefault="00C83822" w:rsidP="008D6E55">
      <w:pPr>
        <w:pStyle w:val="ListParagraph"/>
        <w:spacing w:after="240"/>
        <w:ind w:left="0"/>
        <w:contextualSpacing w:val="0"/>
        <w:rPr>
          <w:rFonts w:asciiTheme="minorHAnsi" w:hAnsiTheme="minorHAnsi" w:cstheme="minorHAnsi"/>
          <w:color w:val="4F81BD" w:themeColor="accent1"/>
        </w:rPr>
      </w:pPr>
      <w:r w:rsidRPr="00293742">
        <w:rPr>
          <w:noProof/>
          <w:lang w:eastAsia="en-AU"/>
        </w:rPr>
        <w:t xml:space="preserve"> </w:t>
      </w:r>
      <w:r w:rsidR="00176BF6">
        <w:rPr>
          <w:noProof/>
          <w:lang w:eastAsia="en-AU"/>
        </w:rPr>
        <w:drawing>
          <wp:inline distT="0" distB="0" distL="0" distR="0" wp14:anchorId="4821C3E8">
            <wp:extent cx="5279390" cy="2743200"/>
            <wp:effectExtent l="0" t="0" r="0" b="0"/>
            <wp:docPr id="23" name="Picture 23" descr="Different targets, without using international units, have the following GDP impacts on Australia, compared with the Paris Scenario, in 2030: -13% (-0.3%), -26% (-0.6%), -35% (-0.8%), -45% (-1%).&#10;Different targets, with international units, have the following GDP impacts on Australia, compared with the Paris Scenario, in 2030: -13% (-0.1%), -26% (-0.3%), -35% (-0.5%), -45% (-0.6%).&#10;" title="Figure F-2: GDP impacts, core target scenarios and policy mix sensitivity analysis, 2030 (percentage deviation from Paris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9390" cy="2743200"/>
                    </a:xfrm>
                    <a:prstGeom prst="rect">
                      <a:avLst/>
                    </a:prstGeom>
                    <a:noFill/>
                  </pic:spPr>
                </pic:pic>
              </a:graphicData>
            </a:graphic>
          </wp:inline>
        </w:drawing>
      </w:r>
      <w:r w:rsidRPr="001D5606">
        <w:rPr>
          <w:color w:val="4F81BD" w:themeColor="accent1"/>
          <w:sz w:val="16"/>
        </w:rPr>
        <w:t>Note: IUs refers to international units</w:t>
      </w:r>
    </w:p>
    <w:p w:rsidR="00157892" w:rsidRPr="00C83822" w:rsidRDefault="00157892" w:rsidP="00B610DA">
      <w:pPr>
        <w:pStyle w:val="NormalWeb"/>
        <w:spacing w:before="0" w:beforeAutospacing="0"/>
        <w:rPr>
          <w:rFonts w:asciiTheme="minorHAnsi" w:hAnsiTheme="minorHAnsi"/>
        </w:rPr>
      </w:pPr>
      <w:r w:rsidRPr="00C83822">
        <w:rPr>
          <w:rFonts w:asciiTheme="minorHAnsi" w:hAnsiTheme="minorHAnsi"/>
        </w:rPr>
        <w:t>Allowing international units reduces the impact of any given target by opening up access to lower cost abatement sources overseas. The size of this impact would depend on the availability and cost of international units.</w:t>
      </w:r>
    </w:p>
    <w:p w:rsidR="00157892" w:rsidRDefault="00157892" w:rsidP="00157892">
      <w:pPr>
        <w:pStyle w:val="ListParagraph"/>
        <w:ind w:left="0"/>
        <w:rPr>
          <w:rFonts w:asciiTheme="minorHAnsi" w:hAnsiTheme="minorHAnsi" w:cstheme="minorHAnsi"/>
          <w:highlight w:val="yellow"/>
        </w:rPr>
      </w:pPr>
      <w:r w:rsidRPr="00CC7D4D">
        <w:rPr>
          <w:rFonts w:asciiTheme="minorHAnsi" w:hAnsiTheme="minorHAnsi" w:cstheme="minorHAnsi"/>
        </w:rPr>
        <w:t>Access to international units at the assumed prices reduces the amount of emission abatement required in Australia to reach a given emissions target. The cost is a payment for foreign suppliers of those permits. As long as the price of the international units is less than the marginal cost of reducing an equivalent additional unit of emissions in Australia, the Australian economy will benefit from access to international units. This is the case for each scenario considered</w:t>
      </w:r>
      <w:r>
        <w:rPr>
          <w:rFonts w:asciiTheme="minorHAnsi" w:hAnsiTheme="minorHAnsi" w:cstheme="minorHAnsi"/>
        </w:rPr>
        <w:t>,</w:t>
      </w:r>
      <w:r w:rsidRPr="00CC7D4D">
        <w:rPr>
          <w:rFonts w:asciiTheme="minorHAnsi" w:hAnsiTheme="minorHAnsi" w:cstheme="minorHAnsi"/>
        </w:rPr>
        <w:t xml:space="preserve"> given the assumed price of international units.</w:t>
      </w:r>
      <w:r w:rsidRPr="00CC7D4D" w:rsidDel="00CC466D">
        <w:rPr>
          <w:rFonts w:asciiTheme="minorHAnsi" w:hAnsiTheme="minorHAnsi" w:cstheme="minorHAnsi"/>
          <w:highlight w:val="yellow"/>
        </w:rPr>
        <w:t xml:space="preserve"> </w:t>
      </w:r>
    </w:p>
    <w:p w:rsidR="00157892" w:rsidRDefault="00157892" w:rsidP="00157892">
      <w:pPr>
        <w:pStyle w:val="ListParagraph"/>
        <w:ind w:left="0"/>
        <w:rPr>
          <w:rFonts w:asciiTheme="minorHAnsi" w:hAnsiTheme="minorHAnsi" w:cstheme="minorHAnsi"/>
          <w:highlight w:val="yellow"/>
        </w:rPr>
      </w:pPr>
    </w:p>
    <w:p w:rsidR="00157892" w:rsidRDefault="00157892" w:rsidP="00157892">
      <w:pPr>
        <w:pStyle w:val="ListParagraph"/>
        <w:ind w:left="0"/>
        <w:rPr>
          <w:rFonts w:asciiTheme="minorHAnsi" w:hAnsiTheme="minorHAnsi" w:cstheme="minorHAnsi"/>
          <w:highlight w:val="yellow"/>
        </w:rPr>
      </w:pPr>
      <w:r w:rsidRPr="00CC7D4D">
        <w:rPr>
          <w:rFonts w:asciiTheme="minorHAnsi" w:hAnsiTheme="minorHAnsi" w:cstheme="minorHAnsi"/>
        </w:rPr>
        <w:t>In addition to reducing the amount of domestic abatement, access to international units reduces the energy price changes that are require</w:t>
      </w:r>
      <w:r w:rsidR="00B70F72">
        <w:rPr>
          <w:rFonts w:asciiTheme="minorHAnsi" w:hAnsiTheme="minorHAnsi" w:cstheme="minorHAnsi"/>
        </w:rPr>
        <w:t>d</w:t>
      </w:r>
      <w:r w:rsidRPr="00CC7D4D">
        <w:rPr>
          <w:rFonts w:asciiTheme="minorHAnsi" w:hAnsiTheme="minorHAnsi" w:cstheme="minorHAnsi"/>
        </w:rPr>
        <w:t xml:space="preserve"> to reach a given target. Smaller rises in energy price impl</w:t>
      </w:r>
      <w:r w:rsidR="00B70F72">
        <w:rPr>
          <w:rFonts w:asciiTheme="minorHAnsi" w:hAnsiTheme="minorHAnsi" w:cstheme="minorHAnsi"/>
        </w:rPr>
        <w:t>y</w:t>
      </w:r>
      <w:r w:rsidRPr="00CC7D4D">
        <w:rPr>
          <w:rFonts w:asciiTheme="minorHAnsi" w:hAnsiTheme="minorHAnsi" w:cstheme="minorHAnsi"/>
        </w:rPr>
        <w:t xml:space="preserve"> a smaller fall in real consumption. Investment in the electricity sector is also weaker because less change </w:t>
      </w:r>
      <w:r w:rsidR="00B70F72">
        <w:rPr>
          <w:rFonts w:asciiTheme="minorHAnsi" w:hAnsiTheme="minorHAnsi" w:cstheme="minorHAnsi"/>
        </w:rPr>
        <w:t xml:space="preserve">is </w:t>
      </w:r>
      <w:r w:rsidRPr="00CC7D4D">
        <w:rPr>
          <w:rFonts w:asciiTheme="minorHAnsi" w:hAnsiTheme="minorHAnsi" w:cstheme="minorHAnsi"/>
        </w:rPr>
        <w:t>required in the energy mix. The net effect on GDP of allowing international units is clearly positive</w:t>
      </w:r>
      <w:r w:rsidR="00EB707B">
        <w:rPr>
          <w:rFonts w:asciiTheme="minorHAnsi" w:hAnsiTheme="minorHAnsi" w:cstheme="minorHAnsi"/>
        </w:rPr>
        <w:t xml:space="preserve"> in the modelling</w:t>
      </w:r>
      <w:r w:rsidRPr="00CC7D4D">
        <w:rPr>
          <w:rFonts w:asciiTheme="minorHAnsi" w:hAnsiTheme="minorHAnsi" w:cstheme="minorHAnsi"/>
        </w:rPr>
        <w:t>.</w:t>
      </w:r>
      <w:r w:rsidRPr="00CC7D4D" w:rsidDel="00CC466D">
        <w:rPr>
          <w:rFonts w:asciiTheme="minorHAnsi" w:hAnsiTheme="minorHAnsi" w:cstheme="minorHAnsi"/>
          <w:highlight w:val="yellow"/>
        </w:rPr>
        <w:t xml:space="preserve"> </w:t>
      </w:r>
    </w:p>
    <w:p w:rsidR="00157892" w:rsidRDefault="00157892" w:rsidP="00157892">
      <w:pPr>
        <w:pStyle w:val="ListParagraph"/>
        <w:ind w:left="0"/>
        <w:rPr>
          <w:rFonts w:asciiTheme="minorHAnsi" w:hAnsiTheme="minorHAnsi" w:cstheme="minorHAnsi"/>
          <w:highlight w:val="yellow"/>
        </w:rPr>
      </w:pPr>
    </w:p>
    <w:p w:rsidR="00157892" w:rsidRDefault="00157892" w:rsidP="00157892">
      <w:pPr>
        <w:pStyle w:val="ListParagraph"/>
        <w:ind w:left="0"/>
        <w:rPr>
          <w:rFonts w:asciiTheme="minorHAnsi" w:hAnsiTheme="minorHAnsi" w:cstheme="minorHAnsi"/>
        </w:rPr>
      </w:pPr>
      <w:r>
        <w:rPr>
          <w:rFonts w:asciiTheme="minorHAnsi" w:hAnsiTheme="minorHAnsi" w:cstheme="minorHAnsi"/>
        </w:rPr>
        <w:t xml:space="preserve">The impact of using international units is strongest in the sector where the target has the biggest impact – coal </w:t>
      </w:r>
      <w:r w:rsidR="00F6493A">
        <w:rPr>
          <w:rFonts w:asciiTheme="minorHAnsi" w:hAnsiTheme="minorHAnsi" w:cstheme="minorHAnsi"/>
        </w:rPr>
        <w:t>mining</w:t>
      </w:r>
      <w:r>
        <w:rPr>
          <w:rFonts w:asciiTheme="minorHAnsi" w:hAnsiTheme="minorHAnsi" w:cstheme="minorHAnsi"/>
        </w:rPr>
        <w:t xml:space="preserve">. It is estimated that coal output in 2030 would be </w:t>
      </w:r>
      <w:r w:rsidRPr="002F3F27">
        <w:rPr>
          <w:rFonts w:asciiTheme="minorHAnsi" w:hAnsiTheme="minorHAnsi" w:cstheme="minorHAnsi"/>
        </w:rPr>
        <w:t xml:space="preserve">between </w:t>
      </w:r>
      <w:r w:rsidRPr="00B87AD0">
        <w:rPr>
          <w:rFonts w:asciiTheme="minorHAnsi" w:hAnsiTheme="minorHAnsi" w:cstheme="minorHAnsi"/>
        </w:rPr>
        <w:t>3 and 12</w:t>
      </w:r>
      <w:r w:rsidRPr="002F3F27">
        <w:rPr>
          <w:rFonts w:asciiTheme="minorHAnsi" w:hAnsiTheme="minorHAnsi" w:cstheme="minorHAnsi"/>
        </w:rPr>
        <w:t xml:space="preserve"> percentage points higher if international units were used towards</w:t>
      </w:r>
      <w:r>
        <w:rPr>
          <w:rFonts w:asciiTheme="minorHAnsi" w:hAnsiTheme="minorHAnsi" w:cstheme="minorHAnsi"/>
        </w:rPr>
        <w:t xml:space="preserve"> the target, depending on the target level.</w:t>
      </w:r>
      <w:r w:rsidR="00F6493A">
        <w:rPr>
          <w:rFonts w:asciiTheme="minorHAnsi" w:hAnsiTheme="minorHAnsi" w:cstheme="minorHAnsi"/>
        </w:rPr>
        <w:t xml:space="preserve"> </w:t>
      </w:r>
      <w:r w:rsidR="00B70F72">
        <w:rPr>
          <w:rFonts w:asciiTheme="minorHAnsi" w:hAnsiTheme="minorHAnsi" w:cstheme="minorHAnsi"/>
        </w:rPr>
        <w:t>R</w:t>
      </w:r>
      <w:r>
        <w:rPr>
          <w:rFonts w:asciiTheme="minorHAnsi" w:hAnsiTheme="minorHAnsi" w:cstheme="minorHAnsi"/>
        </w:rPr>
        <w:t xml:space="preserve">esults for the </w:t>
      </w:r>
      <w:r w:rsidR="00B70F72">
        <w:rPr>
          <w:rFonts w:asciiTheme="minorHAnsi" w:hAnsiTheme="minorHAnsi" w:cstheme="minorHAnsi"/>
        </w:rPr>
        <w:t>-</w:t>
      </w:r>
      <w:r>
        <w:rPr>
          <w:rFonts w:asciiTheme="minorHAnsi" w:hAnsiTheme="minorHAnsi" w:cstheme="minorHAnsi"/>
        </w:rPr>
        <w:t>26</w:t>
      </w:r>
      <w:r w:rsidR="0012004E">
        <w:rPr>
          <w:rFonts w:asciiTheme="minorHAnsi" w:hAnsiTheme="minorHAnsi" w:cstheme="minorHAnsi"/>
        </w:rPr>
        <w:t xml:space="preserve"> per cent</w:t>
      </w:r>
      <w:r>
        <w:rPr>
          <w:rFonts w:asciiTheme="minorHAnsi" w:hAnsiTheme="minorHAnsi" w:cstheme="minorHAnsi"/>
        </w:rPr>
        <w:t xml:space="preserve"> target are shown in Figure </w:t>
      </w:r>
      <w:r w:rsidR="00A5454F">
        <w:rPr>
          <w:rFonts w:asciiTheme="minorHAnsi" w:hAnsiTheme="minorHAnsi" w:cstheme="minorHAnsi"/>
        </w:rPr>
        <w:t>F</w:t>
      </w:r>
      <w:r>
        <w:rPr>
          <w:rFonts w:asciiTheme="minorHAnsi" w:hAnsiTheme="minorHAnsi" w:cstheme="minorHAnsi"/>
        </w:rPr>
        <w:t>-</w:t>
      </w:r>
      <w:r w:rsidR="007C0B6B">
        <w:rPr>
          <w:rFonts w:asciiTheme="minorHAnsi" w:hAnsiTheme="minorHAnsi" w:cstheme="minorHAnsi"/>
        </w:rPr>
        <w:t>3</w:t>
      </w:r>
      <w:r>
        <w:rPr>
          <w:rFonts w:asciiTheme="minorHAnsi" w:hAnsiTheme="minorHAnsi" w:cstheme="minorHAnsi"/>
        </w:rPr>
        <w:t xml:space="preserve">. </w:t>
      </w:r>
      <w:r w:rsidR="00361581">
        <w:rPr>
          <w:rFonts w:asciiTheme="minorHAnsi" w:hAnsiTheme="minorHAnsi" w:cstheme="minorHAnsi"/>
        </w:rPr>
        <w:t xml:space="preserve">Results </w:t>
      </w:r>
      <w:r>
        <w:rPr>
          <w:rFonts w:asciiTheme="minorHAnsi" w:hAnsiTheme="minorHAnsi" w:cstheme="minorHAnsi"/>
        </w:rPr>
        <w:t xml:space="preserve">for </w:t>
      </w:r>
      <w:r w:rsidR="00161EE0">
        <w:rPr>
          <w:rFonts w:asciiTheme="minorHAnsi" w:hAnsiTheme="minorHAnsi" w:cstheme="minorHAnsi"/>
        </w:rPr>
        <w:t xml:space="preserve">the full set of </w:t>
      </w:r>
      <w:r w:rsidR="00361581">
        <w:rPr>
          <w:rFonts w:asciiTheme="minorHAnsi" w:hAnsiTheme="minorHAnsi" w:cstheme="minorHAnsi"/>
        </w:rPr>
        <w:t xml:space="preserve">policy mix sensitivity </w:t>
      </w:r>
      <w:r>
        <w:rPr>
          <w:rFonts w:asciiTheme="minorHAnsi" w:hAnsiTheme="minorHAnsi" w:cstheme="minorHAnsi"/>
        </w:rPr>
        <w:t xml:space="preserve">scenarios are in </w:t>
      </w:r>
      <w:r w:rsidR="00B70F72">
        <w:rPr>
          <w:rFonts w:asciiTheme="minorHAnsi" w:hAnsiTheme="minorHAnsi" w:cstheme="minorHAnsi"/>
        </w:rPr>
        <w:t>Appendi</w:t>
      </w:r>
      <w:r w:rsidR="00D93142">
        <w:rPr>
          <w:rFonts w:asciiTheme="minorHAnsi" w:hAnsiTheme="minorHAnsi" w:cstheme="minorHAnsi"/>
        </w:rPr>
        <w:t>ces</w:t>
      </w:r>
      <w:r w:rsidR="00B70F72">
        <w:rPr>
          <w:rFonts w:asciiTheme="minorHAnsi" w:hAnsiTheme="minorHAnsi" w:cstheme="minorHAnsi"/>
        </w:rPr>
        <w:t xml:space="preserve"> </w:t>
      </w:r>
      <w:r w:rsidR="00A5454F">
        <w:rPr>
          <w:rFonts w:asciiTheme="minorHAnsi" w:hAnsiTheme="minorHAnsi" w:cstheme="minorHAnsi"/>
        </w:rPr>
        <w:t xml:space="preserve">C </w:t>
      </w:r>
      <w:r w:rsidR="00D93142">
        <w:rPr>
          <w:rFonts w:asciiTheme="minorHAnsi" w:hAnsiTheme="minorHAnsi" w:cstheme="minorHAnsi"/>
        </w:rPr>
        <w:t xml:space="preserve">and </w:t>
      </w:r>
      <w:r w:rsidR="00A5454F">
        <w:rPr>
          <w:rFonts w:asciiTheme="minorHAnsi" w:hAnsiTheme="minorHAnsi" w:cstheme="minorHAnsi"/>
        </w:rPr>
        <w:t>D</w:t>
      </w:r>
      <w:r>
        <w:rPr>
          <w:rFonts w:asciiTheme="minorHAnsi" w:hAnsiTheme="minorHAnsi" w:cstheme="minorHAnsi"/>
        </w:rPr>
        <w:t>.</w:t>
      </w:r>
    </w:p>
    <w:p w:rsidR="00157892" w:rsidRDefault="00157892" w:rsidP="00157892">
      <w:pPr>
        <w:pStyle w:val="ListParagraph"/>
        <w:spacing w:line="360" w:lineRule="auto"/>
        <w:ind w:left="0"/>
        <w:rPr>
          <w:rFonts w:asciiTheme="minorHAnsi" w:hAnsiTheme="minorHAnsi" w:cstheme="minorHAnsi"/>
        </w:rPr>
      </w:pPr>
    </w:p>
    <w:p w:rsidR="00157892" w:rsidRPr="001D5606" w:rsidRDefault="00157892" w:rsidP="00157892">
      <w:pPr>
        <w:pStyle w:val="ListParagraph"/>
        <w:keepNext/>
        <w:spacing w:after="120"/>
        <w:ind w:left="0"/>
        <w:contextualSpacing w:val="0"/>
        <w:rPr>
          <w:rFonts w:asciiTheme="minorHAnsi" w:hAnsiTheme="minorHAnsi" w:cstheme="minorHAnsi"/>
          <w:color w:val="4F81BD" w:themeColor="accent1"/>
        </w:rPr>
      </w:pPr>
      <w:r w:rsidRPr="001D5606">
        <w:rPr>
          <w:rFonts w:asciiTheme="minorHAnsi" w:hAnsiTheme="minorHAnsi" w:cstheme="minorHAnsi"/>
          <w:b/>
          <w:color w:val="4F81BD" w:themeColor="accent1"/>
        </w:rPr>
        <w:lastRenderedPageBreak/>
        <w:t xml:space="preserve">Figure </w:t>
      </w:r>
      <w:r w:rsidR="00A5454F" w:rsidRPr="001D5606">
        <w:rPr>
          <w:rFonts w:asciiTheme="minorHAnsi" w:hAnsiTheme="minorHAnsi" w:cstheme="minorHAnsi"/>
          <w:b/>
          <w:color w:val="4F81BD" w:themeColor="accent1"/>
        </w:rPr>
        <w:t>F</w:t>
      </w:r>
      <w:r w:rsidRPr="001D5606">
        <w:rPr>
          <w:rFonts w:asciiTheme="minorHAnsi" w:hAnsiTheme="minorHAnsi" w:cstheme="minorHAnsi"/>
          <w:b/>
          <w:color w:val="4F81BD" w:themeColor="accent1"/>
        </w:rPr>
        <w:t>-</w:t>
      </w:r>
      <w:r w:rsidR="007C0B6B" w:rsidRPr="001D5606">
        <w:rPr>
          <w:rFonts w:asciiTheme="minorHAnsi" w:hAnsiTheme="minorHAnsi" w:cstheme="minorHAnsi"/>
          <w:b/>
          <w:color w:val="4F81BD" w:themeColor="accent1"/>
        </w:rPr>
        <w:t>3</w:t>
      </w:r>
      <w:r w:rsidRPr="001D5606">
        <w:rPr>
          <w:rFonts w:asciiTheme="minorHAnsi" w:hAnsiTheme="minorHAnsi" w:cstheme="minorHAnsi"/>
          <w:b/>
          <w:color w:val="4F81BD" w:themeColor="accent1"/>
        </w:rPr>
        <w:t xml:space="preserve">: </w:t>
      </w:r>
      <w:r w:rsidRPr="001D5606">
        <w:rPr>
          <w:rFonts w:asciiTheme="minorHAnsi" w:hAnsiTheme="minorHAnsi" w:cstheme="minorHAnsi"/>
          <w:color w:val="4F81BD" w:themeColor="accent1"/>
        </w:rPr>
        <w:t>Impacts of the -26 per cent target</w:t>
      </w:r>
      <w:r w:rsidR="00587CA5" w:rsidRPr="001D5606">
        <w:rPr>
          <w:rFonts w:asciiTheme="minorHAnsi" w:hAnsiTheme="minorHAnsi" w:cstheme="minorHAnsi"/>
          <w:color w:val="4F81BD" w:themeColor="accent1"/>
        </w:rPr>
        <w:t xml:space="preserve">, core </w:t>
      </w:r>
      <w:r w:rsidR="00361581" w:rsidRPr="001D5606">
        <w:rPr>
          <w:rFonts w:asciiTheme="minorHAnsi" w:hAnsiTheme="minorHAnsi" w:cstheme="minorHAnsi"/>
          <w:color w:val="4F81BD" w:themeColor="accent1"/>
        </w:rPr>
        <w:t xml:space="preserve">target </w:t>
      </w:r>
      <w:r w:rsidR="00587CA5" w:rsidRPr="001D5606">
        <w:rPr>
          <w:rFonts w:asciiTheme="minorHAnsi" w:hAnsiTheme="minorHAnsi" w:cstheme="minorHAnsi"/>
          <w:color w:val="4F81BD" w:themeColor="accent1"/>
        </w:rPr>
        <w:t>scenarios and policy mix sensitivity analysis,</w:t>
      </w:r>
      <w:r w:rsidRPr="001D5606">
        <w:rPr>
          <w:rFonts w:asciiTheme="minorHAnsi" w:hAnsiTheme="minorHAnsi" w:cstheme="minorHAnsi"/>
          <w:color w:val="4F81BD" w:themeColor="accent1"/>
        </w:rPr>
        <w:t xml:space="preserve"> 2030 (percentage deviation</w:t>
      </w:r>
      <w:r w:rsidR="00957940" w:rsidRPr="00957940">
        <w:rPr>
          <w:rFonts w:asciiTheme="minorHAnsi" w:hAnsiTheme="minorHAnsi" w:cstheme="minorHAnsi"/>
          <w:color w:val="4F81BD" w:themeColor="accent1"/>
        </w:rPr>
        <w:t xml:space="preserve"> </w:t>
      </w:r>
      <w:r w:rsidR="00957940">
        <w:rPr>
          <w:rFonts w:asciiTheme="minorHAnsi" w:hAnsiTheme="minorHAnsi" w:cstheme="minorHAnsi"/>
          <w:color w:val="4F81BD" w:themeColor="accent1"/>
        </w:rPr>
        <w:t>from Paris scenario</w:t>
      </w:r>
      <w:r w:rsidRPr="001D5606">
        <w:rPr>
          <w:rFonts w:asciiTheme="minorHAnsi" w:hAnsiTheme="minorHAnsi" w:cstheme="minorHAnsi"/>
          <w:color w:val="4F81BD" w:themeColor="accent1"/>
        </w:rPr>
        <w:t>)</w:t>
      </w:r>
    </w:p>
    <w:p w:rsidR="00676607" w:rsidRPr="001D5606" w:rsidRDefault="00676607" w:rsidP="00676607">
      <w:pPr>
        <w:pStyle w:val="ListParagraph"/>
        <w:keepNext/>
        <w:spacing w:after="120"/>
        <w:ind w:left="0"/>
        <w:contextualSpacing w:val="0"/>
        <w:rPr>
          <w:rFonts w:asciiTheme="minorHAnsi" w:hAnsiTheme="minorHAnsi" w:cstheme="minorHAnsi"/>
          <w:i/>
          <w:color w:val="4F81BD" w:themeColor="accent1"/>
        </w:rPr>
      </w:pPr>
      <w:r w:rsidRPr="001D5606">
        <w:rPr>
          <w:rFonts w:asciiTheme="minorHAnsi" w:hAnsiTheme="minorHAnsi" w:cstheme="minorHAnsi"/>
          <w:i/>
          <w:color w:val="4F81BD" w:themeColor="accent1"/>
        </w:rPr>
        <w:t xml:space="preserve">Macroeconomic impacts </w:t>
      </w:r>
    </w:p>
    <w:p w:rsidR="00676607" w:rsidRPr="001D5606" w:rsidRDefault="00676607" w:rsidP="00B610DA">
      <w:pPr>
        <w:pStyle w:val="ListParagraph"/>
        <w:spacing w:after="120"/>
        <w:ind w:left="0"/>
        <w:contextualSpacing w:val="0"/>
        <w:rPr>
          <w:rFonts w:asciiTheme="minorHAnsi" w:hAnsiTheme="minorHAnsi" w:cstheme="minorHAnsi"/>
          <w:i/>
          <w:color w:val="4F81BD" w:themeColor="accent1"/>
        </w:rPr>
      </w:pPr>
      <w:r w:rsidRPr="001D5606">
        <w:rPr>
          <w:noProof/>
          <w:color w:val="4F81BD" w:themeColor="accent1"/>
          <w:lang w:eastAsia="en-AU"/>
        </w:rPr>
        <w:drawing>
          <wp:inline distT="0" distB="0" distL="0" distR="0" wp14:anchorId="3BA13D02" wp14:editId="33AE5111">
            <wp:extent cx="4476191" cy="2771429"/>
            <wp:effectExtent l="0" t="0" r="635" b="0"/>
            <wp:docPr id="27" name="Picture 27" descr="Macroeconomic impacts:&#10;A -26 per cent target without using international units has the following macroeconomic impacts on Australia, compared with the Paris Scenario, in 2030: Real GDP (-0.6%), Consumption (-0.8%), Investment (1.4%), Trade Balance (-0.0%).&#10;A -26 per cent target with international units being used has the following macroeconomic impacts on Australia, compared with the Paris Scenario, in 2030: Real GDP (-0.3%), Consumption (-0.5%), Investment (0.7%), Trade Balance (+0.0%).&#10;" title="Figure F-3: Impacts of the -26 per cent target, core target scenarios and policy mix sensitivity analysis, 2030 (percentage deviation from Paris scenario) - first of thre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476191" cy="2771429"/>
                    </a:xfrm>
                    <a:prstGeom prst="rect">
                      <a:avLst/>
                    </a:prstGeom>
                  </pic:spPr>
                </pic:pic>
              </a:graphicData>
            </a:graphic>
          </wp:inline>
        </w:drawing>
      </w:r>
    </w:p>
    <w:p w:rsidR="00157892" w:rsidRPr="001D5606" w:rsidRDefault="00157892" w:rsidP="00676607">
      <w:pPr>
        <w:pStyle w:val="ListParagraph"/>
        <w:keepNext/>
        <w:spacing w:after="120"/>
        <w:ind w:left="0"/>
        <w:contextualSpacing w:val="0"/>
        <w:rPr>
          <w:rFonts w:asciiTheme="minorHAnsi" w:hAnsiTheme="minorHAnsi" w:cstheme="minorHAnsi"/>
          <w:b/>
          <w:i/>
          <w:color w:val="4F81BD" w:themeColor="accent1"/>
        </w:rPr>
      </w:pPr>
      <w:r w:rsidRPr="001D5606">
        <w:rPr>
          <w:rFonts w:asciiTheme="minorHAnsi" w:hAnsiTheme="minorHAnsi" w:cstheme="minorHAnsi"/>
          <w:i/>
          <w:color w:val="4F81BD" w:themeColor="accent1"/>
        </w:rPr>
        <w:t>Energy sector</w:t>
      </w:r>
      <w:r w:rsidR="00676607" w:rsidRPr="001D5606">
        <w:rPr>
          <w:rFonts w:asciiTheme="minorHAnsi" w:hAnsiTheme="minorHAnsi" w:cstheme="minorHAnsi"/>
          <w:i/>
          <w:color w:val="4F81BD" w:themeColor="accent1"/>
        </w:rPr>
        <w:t xml:space="preserve"> </w:t>
      </w:r>
      <w:r w:rsidRPr="001D5606">
        <w:rPr>
          <w:rFonts w:asciiTheme="minorHAnsi" w:hAnsiTheme="minorHAnsi" w:cstheme="minorHAnsi"/>
          <w:i/>
          <w:color w:val="4F81BD" w:themeColor="accent1"/>
        </w:rPr>
        <w:t>– output</w:t>
      </w:r>
      <w:r w:rsidR="00676607" w:rsidRPr="001D5606">
        <w:rPr>
          <w:rFonts w:asciiTheme="minorHAnsi" w:hAnsiTheme="minorHAnsi" w:cstheme="minorHAnsi"/>
          <w:i/>
          <w:color w:val="4F81BD" w:themeColor="accent1"/>
        </w:rPr>
        <w:t xml:space="preserve"> </w:t>
      </w:r>
    </w:p>
    <w:p w:rsidR="00157892" w:rsidRDefault="00327F7A" w:rsidP="00B70F72">
      <w:pPr>
        <w:pStyle w:val="ListParagraph"/>
        <w:spacing w:line="360" w:lineRule="auto"/>
        <w:ind w:left="0"/>
        <w:rPr>
          <w:rFonts w:asciiTheme="minorHAnsi" w:hAnsiTheme="minorHAnsi" w:cstheme="minorHAnsi"/>
        </w:rPr>
      </w:pPr>
      <w:r w:rsidRPr="00327F7A">
        <w:rPr>
          <w:noProof/>
          <w:lang w:eastAsia="en-AU"/>
        </w:rPr>
        <w:drawing>
          <wp:inline distT="0" distB="0" distL="0" distR="0" wp14:anchorId="44E6FD7D" wp14:editId="6C9789F0">
            <wp:extent cx="4447619" cy="2771429"/>
            <wp:effectExtent l="0" t="0" r="0" b="0"/>
            <wp:docPr id="16" name="Picture 16" descr="Energy sector - output:&#10;A -26 per cent target without using international units has the following impacts on output from Australian energy sectors, compared with the Paris Scenario, in 2030: Gas extraction output (-6.1%), Crude extraction output (-3.8%), Coal mining output (-14.3%), Petroleum refining output (-2.6%), Gas utilities output (-3.3%), Electric utilities output (-11.0%).&#10;A -26 per cent target with international units has the following impacts on output from Australian energy sectors, compared with the Paris Scenario, in 2030: Gas extraction output (-3.3%), Crude extraction output (-2.0%), Coal mining output (-7.7%), Petroleum refining output (-1.5%), Gas utilities output (-1.8%), Electric utilities output (-6.1%).&#10;" title="Figure F-3: Impacts of the -26 per cent target, core target scenarios and policy mix sensitivity analysis, 2030 (percentage deviation from Paris scenario) - second of thre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447619" cy="2771429"/>
                    </a:xfrm>
                    <a:prstGeom prst="rect">
                      <a:avLst/>
                    </a:prstGeom>
                  </pic:spPr>
                </pic:pic>
              </a:graphicData>
            </a:graphic>
          </wp:inline>
        </w:drawing>
      </w:r>
    </w:p>
    <w:p w:rsidR="00C87594" w:rsidRPr="001D5606" w:rsidRDefault="00C87594" w:rsidP="00C87594">
      <w:pPr>
        <w:pStyle w:val="ListParagraph"/>
        <w:spacing w:line="360" w:lineRule="auto"/>
        <w:ind w:left="0"/>
        <w:rPr>
          <w:rFonts w:asciiTheme="minorHAnsi" w:hAnsiTheme="minorHAnsi" w:cstheme="minorHAnsi"/>
          <w:color w:val="4F81BD" w:themeColor="accent1"/>
        </w:rPr>
      </w:pPr>
      <w:r w:rsidRPr="001D5606">
        <w:rPr>
          <w:color w:val="4F81BD" w:themeColor="accent1"/>
          <w:sz w:val="16"/>
        </w:rPr>
        <w:t>Note: IUs refers to international units</w:t>
      </w:r>
    </w:p>
    <w:p w:rsidR="00B70F72" w:rsidRPr="001D5606" w:rsidRDefault="00B70F72" w:rsidP="00B70F72">
      <w:pPr>
        <w:pStyle w:val="ListParagraph"/>
        <w:keepNext/>
        <w:spacing w:after="120"/>
        <w:ind w:left="0"/>
        <w:contextualSpacing w:val="0"/>
        <w:rPr>
          <w:rFonts w:asciiTheme="minorHAnsi" w:hAnsiTheme="minorHAnsi" w:cstheme="minorHAnsi"/>
          <w:b/>
          <w:i/>
          <w:color w:val="4F81BD" w:themeColor="accent1"/>
        </w:rPr>
      </w:pPr>
      <w:r w:rsidRPr="001D5606">
        <w:rPr>
          <w:rFonts w:asciiTheme="minorHAnsi" w:hAnsiTheme="minorHAnsi" w:cstheme="minorHAnsi"/>
          <w:i/>
          <w:color w:val="4F81BD" w:themeColor="accent1"/>
        </w:rPr>
        <w:lastRenderedPageBreak/>
        <w:t>Energy sector – exports</w:t>
      </w:r>
    </w:p>
    <w:p w:rsidR="00157892" w:rsidRDefault="00327F7A" w:rsidP="00157892">
      <w:pPr>
        <w:pStyle w:val="ListParagraph"/>
        <w:spacing w:after="120"/>
        <w:ind w:left="0"/>
        <w:contextualSpacing w:val="0"/>
        <w:rPr>
          <w:rFonts w:asciiTheme="minorHAnsi" w:hAnsiTheme="minorHAnsi" w:cstheme="minorHAnsi"/>
          <w:i/>
        </w:rPr>
      </w:pPr>
      <w:r w:rsidRPr="00327F7A">
        <w:rPr>
          <w:noProof/>
          <w:lang w:eastAsia="en-AU"/>
        </w:rPr>
        <w:drawing>
          <wp:inline distT="0" distB="0" distL="0" distR="0" wp14:anchorId="0C939AC0" wp14:editId="15A47412">
            <wp:extent cx="4476191" cy="2771429"/>
            <wp:effectExtent l="0" t="0" r="635" b="0"/>
            <wp:docPr id="17" name="Picture 17" descr="Energy sector - exports:&#10;A -26 per cent target without using international units has the following impacts on exports from Australian energy sectors, compared with the Paris Scenario, in 2030: Gas extraction exports (-1.4%), Crude extraction exports (-2.4%), Coal mining exports (-1.6%), Petroleum refining exports (-2.4%), Gas utilities exports (-0.9%).&#10;A -26 per cent target with international units has the following impacts on exports from Australian energy sectors, compared with the Paris Scenario, in 2030: Gas extraction exports (-0.7%), Crude extraction exports (-1.1%), Coal mining exports (-0.8%), Petroleum refining exports (-1.1%), Gas utilities exports (-0.4%).&#10;" title="Figure F-3: Impacts of the -26 per cent target, core target scenarios and policy mix sensitivity analysis, 2030 (percentage deviation from Paris scenario) - third of three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476191" cy="2771429"/>
                    </a:xfrm>
                    <a:prstGeom prst="rect">
                      <a:avLst/>
                    </a:prstGeom>
                  </pic:spPr>
                </pic:pic>
              </a:graphicData>
            </a:graphic>
          </wp:inline>
        </w:drawing>
      </w:r>
    </w:p>
    <w:p w:rsidR="00B6172B" w:rsidRPr="001D5606" w:rsidRDefault="00587CA5" w:rsidP="00B6172B">
      <w:pPr>
        <w:pStyle w:val="ListParagraph"/>
        <w:spacing w:line="360" w:lineRule="auto"/>
        <w:ind w:left="0"/>
        <w:rPr>
          <w:rFonts w:asciiTheme="minorHAnsi" w:hAnsiTheme="minorHAnsi" w:cstheme="minorHAnsi"/>
          <w:color w:val="4F81BD" w:themeColor="accent1"/>
        </w:rPr>
      </w:pPr>
      <w:r w:rsidRPr="001D5606">
        <w:rPr>
          <w:color w:val="4F81BD" w:themeColor="accent1"/>
          <w:sz w:val="16"/>
        </w:rPr>
        <w:t>Note: IUs refers to international units</w:t>
      </w:r>
    </w:p>
    <w:p w:rsidR="00676607" w:rsidRDefault="00676607">
      <w:pPr>
        <w:rPr>
          <w:rFonts w:asciiTheme="minorHAnsi" w:hAnsiTheme="minorHAnsi" w:cstheme="minorHAnsi"/>
        </w:rPr>
      </w:pPr>
      <w:r>
        <w:rPr>
          <w:rFonts w:asciiTheme="minorHAnsi" w:hAnsiTheme="minorHAnsi" w:cstheme="minorHAnsi"/>
        </w:rPr>
        <w:br w:type="page"/>
      </w:r>
    </w:p>
    <w:p w:rsidR="00C80BA7" w:rsidRDefault="00C80BA7" w:rsidP="004613D9">
      <w:pPr>
        <w:spacing w:after="120"/>
        <w:rPr>
          <w:rFonts w:asciiTheme="minorHAnsi" w:hAnsiTheme="minorHAnsi" w:cstheme="minorHAnsi"/>
          <w:b/>
          <w:color w:val="0070C0"/>
          <w:sz w:val="40"/>
        </w:rPr>
      </w:pPr>
      <w:r>
        <w:rPr>
          <w:rFonts w:asciiTheme="minorHAnsi" w:hAnsiTheme="minorHAnsi" w:cstheme="minorHAnsi"/>
          <w:b/>
          <w:color w:val="0070C0"/>
          <w:sz w:val="40"/>
        </w:rPr>
        <w:lastRenderedPageBreak/>
        <w:t>REFERENCES</w:t>
      </w:r>
    </w:p>
    <w:p w:rsidR="000943BD" w:rsidRDefault="000943BD" w:rsidP="004613D9">
      <w:pPr>
        <w:spacing w:after="240"/>
        <w:rPr>
          <w:rFonts w:asciiTheme="minorHAnsi" w:hAnsiTheme="minorHAnsi" w:cstheme="minorHAnsi"/>
        </w:rPr>
      </w:pPr>
      <w:r>
        <w:rPr>
          <w:rFonts w:asciiTheme="minorHAnsi" w:hAnsiTheme="minorHAnsi" w:cstheme="minorHAnsi"/>
        </w:rPr>
        <w:t xml:space="preserve">Department of the Environment </w:t>
      </w:r>
      <w:r w:rsidR="001F4469">
        <w:rPr>
          <w:rFonts w:asciiTheme="minorHAnsi" w:hAnsiTheme="minorHAnsi" w:cstheme="minorHAnsi"/>
        </w:rPr>
        <w:t>(</w:t>
      </w:r>
      <w:r>
        <w:rPr>
          <w:rFonts w:asciiTheme="minorHAnsi" w:hAnsiTheme="minorHAnsi" w:cstheme="minorHAnsi"/>
        </w:rPr>
        <w:t>2015</w:t>
      </w:r>
      <w:r w:rsidR="001F4469">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Australia’s emissions projections 2014-15</w:t>
      </w:r>
      <w:r>
        <w:rPr>
          <w:rFonts w:asciiTheme="minorHAnsi" w:hAnsiTheme="minorHAnsi" w:cstheme="minorHAnsi"/>
        </w:rPr>
        <w:t>, Australian Government, March.</w:t>
      </w:r>
    </w:p>
    <w:p w:rsidR="00C660F7" w:rsidRPr="00316126" w:rsidRDefault="00C660F7" w:rsidP="00C660F7">
      <w:pPr>
        <w:spacing w:after="240"/>
        <w:rPr>
          <w:rFonts w:asciiTheme="minorHAnsi" w:hAnsiTheme="minorHAnsi" w:cstheme="minorHAnsi"/>
        </w:rPr>
      </w:pPr>
      <w:r w:rsidRPr="00316126">
        <w:rPr>
          <w:rFonts w:asciiTheme="minorHAnsi" w:hAnsiTheme="minorHAnsi" w:cstheme="minorHAnsi"/>
        </w:rPr>
        <w:t>Graham</w:t>
      </w:r>
      <w:r>
        <w:rPr>
          <w:rFonts w:asciiTheme="minorHAnsi" w:hAnsiTheme="minorHAnsi" w:cstheme="minorHAnsi"/>
        </w:rPr>
        <w:t xml:space="preserve">, </w:t>
      </w:r>
      <w:r w:rsidRPr="00316126">
        <w:rPr>
          <w:rFonts w:asciiTheme="minorHAnsi" w:hAnsiTheme="minorHAnsi" w:cstheme="minorHAnsi"/>
        </w:rPr>
        <w:t xml:space="preserve">P.  and S. Hatfield-Dodds </w:t>
      </w:r>
      <w:r w:rsidR="001F4469">
        <w:rPr>
          <w:rFonts w:asciiTheme="minorHAnsi" w:hAnsiTheme="minorHAnsi" w:cstheme="minorHAnsi"/>
        </w:rPr>
        <w:t>(</w:t>
      </w:r>
      <w:r w:rsidRPr="00316126">
        <w:rPr>
          <w:rFonts w:asciiTheme="minorHAnsi" w:hAnsiTheme="minorHAnsi" w:cstheme="minorHAnsi"/>
        </w:rPr>
        <w:t>2014</w:t>
      </w:r>
      <w:r w:rsidR="001F4469">
        <w:rPr>
          <w:rFonts w:asciiTheme="minorHAnsi" w:hAnsiTheme="minorHAnsi" w:cstheme="minorHAnsi"/>
        </w:rPr>
        <w:t>)</w:t>
      </w:r>
      <w:r w:rsidRPr="00316126">
        <w:rPr>
          <w:rFonts w:asciiTheme="minorHAnsi" w:hAnsiTheme="minorHAnsi" w:cstheme="minorHAnsi"/>
        </w:rPr>
        <w:t xml:space="preserve">, </w:t>
      </w:r>
      <w:r>
        <w:rPr>
          <w:rFonts w:asciiTheme="minorHAnsi" w:hAnsiTheme="minorHAnsi" w:cstheme="minorHAnsi"/>
        </w:rPr>
        <w:t>“</w:t>
      </w:r>
      <w:r w:rsidRPr="00316126">
        <w:rPr>
          <w:rFonts w:asciiTheme="minorHAnsi" w:hAnsiTheme="minorHAnsi" w:cstheme="minorHAnsi"/>
        </w:rPr>
        <w:t>Electricity Sector</w:t>
      </w:r>
      <w:r>
        <w:rPr>
          <w:rFonts w:asciiTheme="minorHAnsi" w:hAnsiTheme="minorHAnsi" w:cstheme="minorHAnsi"/>
        </w:rPr>
        <w:t>”</w:t>
      </w:r>
      <w:r w:rsidRPr="00316126">
        <w:rPr>
          <w:rFonts w:asciiTheme="minorHAnsi" w:hAnsiTheme="minorHAnsi" w:cstheme="minorHAnsi"/>
        </w:rPr>
        <w:t xml:space="preserve">, in ClimateWorks Australia, ANU, CSIRO and CoPS, 2014, </w:t>
      </w:r>
      <w:r w:rsidRPr="00316126">
        <w:rPr>
          <w:rFonts w:asciiTheme="minorHAnsi" w:hAnsiTheme="minorHAnsi" w:cstheme="minorHAnsi"/>
          <w:i/>
        </w:rPr>
        <w:t>Pathways to Deep Decarbonisation in 2050: How Australia can prosper in a low carbon world: Technical report</w:t>
      </w:r>
      <w:r w:rsidRPr="00316126">
        <w:rPr>
          <w:rFonts w:asciiTheme="minorHAnsi" w:hAnsiTheme="minorHAnsi" w:cstheme="minorHAnsi"/>
        </w:rPr>
        <w:t>, ClimateWorks Australia, Melbourne</w:t>
      </w:r>
      <w:r>
        <w:rPr>
          <w:rFonts w:asciiTheme="minorHAnsi" w:hAnsiTheme="minorHAnsi" w:cstheme="minorHAnsi"/>
        </w:rPr>
        <w:t>.</w:t>
      </w:r>
    </w:p>
    <w:p w:rsidR="00AB4432" w:rsidRDefault="00AB4432" w:rsidP="00AB4432">
      <w:pPr>
        <w:spacing w:after="240"/>
        <w:rPr>
          <w:rFonts w:asciiTheme="minorHAnsi" w:hAnsiTheme="minorHAnsi" w:cstheme="minorHAnsi"/>
        </w:rPr>
      </w:pPr>
      <w:r>
        <w:rPr>
          <w:rFonts w:asciiTheme="minorHAnsi" w:hAnsiTheme="minorHAnsi" w:cstheme="minorHAnsi"/>
        </w:rPr>
        <w:t xml:space="preserve">McKibbin Software Group </w:t>
      </w:r>
      <w:r w:rsidR="001F4469">
        <w:rPr>
          <w:rFonts w:asciiTheme="minorHAnsi" w:hAnsiTheme="minorHAnsi" w:cstheme="minorHAnsi"/>
        </w:rPr>
        <w:t>(</w:t>
      </w:r>
      <w:r>
        <w:rPr>
          <w:rFonts w:asciiTheme="minorHAnsi" w:hAnsiTheme="minorHAnsi" w:cstheme="minorHAnsi"/>
        </w:rPr>
        <w:t>2015</w:t>
      </w:r>
      <w:r w:rsidR="001F4469">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Economic Modelling of International Climate Action Under a New Global Climate Change Agreement</w:t>
      </w:r>
      <w:r>
        <w:rPr>
          <w:rFonts w:asciiTheme="minorHAnsi" w:hAnsiTheme="minorHAnsi" w:cstheme="minorHAnsi"/>
        </w:rPr>
        <w:t>, for the Department of Foreign Affairs and Trade, May (unpublished).</w:t>
      </w:r>
    </w:p>
    <w:p w:rsidR="000943BD" w:rsidRPr="000943BD" w:rsidRDefault="00E33609" w:rsidP="00B610DA">
      <w:pPr>
        <w:spacing w:after="240"/>
        <w:rPr>
          <w:rFonts w:asciiTheme="minorHAnsi" w:hAnsiTheme="minorHAnsi" w:cstheme="minorHAnsi"/>
        </w:rPr>
      </w:pPr>
      <w:r w:rsidRPr="00852B46">
        <w:rPr>
          <w:rFonts w:asciiTheme="minorHAnsi" w:hAnsiTheme="minorHAnsi" w:cstheme="minorHAnsi"/>
        </w:rPr>
        <w:t>McKibbin</w:t>
      </w:r>
      <w:r w:rsidR="001F4469">
        <w:rPr>
          <w:rFonts w:asciiTheme="minorHAnsi" w:hAnsiTheme="minorHAnsi" w:cstheme="minorHAnsi"/>
        </w:rPr>
        <w:t>,</w:t>
      </w:r>
      <w:r w:rsidRPr="00852B46">
        <w:rPr>
          <w:rFonts w:asciiTheme="minorHAnsi" w:hAnsiTheme="minorHAnsi" w:cstheme="minorHAnsi"/>
        </w:rPr>
        <w:t xml:space="preserve"> W</w:t>
      </w:r>
      <w:r w:rsidR="001F4469">
        <w:rPr>
          <w:rFonts w:asciiTheme="minorHAnsi" w:hAnsiTheme="minorHAnsi" w:cstheme="minorHAnsi"/>
        </w:rPr>
        <w:t>.</w:t>
      </w:r>
      <w:r w:rsidRPr="00852B46">
        <w:rPr>
          <w:rFonts w:asciiTheme="minorHAnsi" w:hAnsiTheme="minorHAnsi" w:cstheme="minorHAnsi"/>
        </w:rPr>
        <w:t xml:space="preserve"> and </w:t>
      </w:r>
      <w:r w:rsidR="001F4469">
        <w:rPr>
          <w:rFonts w:asciiTheme="minorHAnsi" w:hAnsiTheme="minorHAnsi" w:cstheme="minorHAnsi"/>
        </w:rPr>
        <w:t xml:space="preserve">P. </w:t>
      </w:r>
      <w:r w:rsidRPr="00852B46">
        <w:rPr>
          <w:rFonts w:asciiTheme="minorHAnsi" w:hAnsiTheme="minorHAnsi" w:cstheme="minorHAnsi"/>
        </w:rPr>
        <w:t xml:space="preserve">Wilcoxen (2013), </w:t>
      </w:r>
      <w:r w:rsidR="00852B46">
        <w:rPr>
          <w:rFonts w:asciiTheme="minorHAnsi" w:hAnsiTheme="minorHAnsi" w:cstheme="minorHAnsi"/>
        </w:rPr>
        <w:t>“</w:t>
      </w:r>
      <w:r w:rsidRPr="00852B46">
        <w:rPr>
          <w:rFonts w:asciiTheme="minorHAnsi" w:hAnsiTheme="minorHAnsi" w:cstheme="minorHAnsi"/>
        </w:rPr>
        <w:t>A Global Approach to Energy and the Environment: The G-cubed Model”</w:t>
      </w:r>
      <w:r w:rsidR="00852B46">
        <w:rPr>
          <w:rFonts w:asciiTheme="minorHAnsi" w:hAnsiTheme="minorHAnsi" w:cstheme="minorHAnsi"/>
        </w:rPr>
        <w:t>,</w:t>
      </w:r>
      <w:r w:rsidRPr="00852B46">
        <w:rPr>
          <w:rFonts w:asciiTheme="minorHAnsi" w:hAnsiTheme="minorHAnsi" w:cstheme="minorHAnsi"/>
        </w:rPr>
        <w:t xml:space="preserve"> </w:t>
      </w:r>
      <w:r w:rsidRPr="00852B46">
        <w:rPr>
          <w:rFonts w:asciiTheme="minorHAnsi" w:hAnsiTheme="minorHAnsi" w:cstheme="minorHAnsi"/>
          <w:i/>
        </w:rPr>
        <w:t>Handbook of CGE Modeling</w:t>
      </w:r>
      <w:r w:rsidRPr="00852B46">
        <w:rPr>
          <w:rFonts w:asciiTheme="minorHAnsi" w:hAnsiTheme="minorHAnsi" w:cstheme="minorHAnsi"/>
        </w:rPr>
        <w:t>, Chapter 17, North Holland, pp 995-1068</w:t>
      </w:r>
      <w:r w:rsidR="00852B46">
        <w:rPr>
          <w:rFonts w:asciiTheme="minorHAnsi" w:hAnsiTheme="minorHAnsi" w:cstheme="minorHAnsi"/>
        </w:rPr>
        <w:t>.</w:t>
      </w:r>
    </w:p>
    <w:sectPr w:rsidR="000943BD" w:rsidRPr="000943BD" w:rsidSect="00DD4E0F">
      <w:footnotePr>
        <w:numFmt w:val="lowerRoman"/>
      </w:footnotePr>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41B8D" w15:done="0"/>
  <w15:commentEx w15:paraId="6A1C8BF4" w15:done="0"/>
  <w15:commentEx w15:paraId="6431FDDC" w15:done="0"/>
  <w15:commentEx w15:paraId="01CC1D5B" w15:done="0"/>
  <w15:commentEx w15:paraId="0E8EF052" w15:done="0"/>
  <w15:commentEx w15:paraId="1CA63F7A" w15:done="0"/>
  <w15:commentEx w15:paraId="30DDF2F4" w15:done="0"/>
  <w15:commentEx w15:paraId="4DBE46FE" w15:done="0"/>
  <w15:commentEx w15:paraId="17B65BA3" w15:done="0"/>
  <w15:commentEx w15:paraId="49E63C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D2" w:rsidRDefault="00393DD2" w:rsidP="008D6029">
      <w:r>
        <w:separator/>
      </w:r>
    </w:p>
  </w:endnote>
  <w:endnote w:type="continuationSeparator" w:id="0">
    <w:p w:rsidR="00393DD2" w:rsidRDefault="00393DD2" w:rsidP="008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D2" w:rsidRDefault="00393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09451"/>
      <w:docPartObj>
        <w:docPartGallery w:val="Page Numbers (Bottom of Page)"/>
        <w:docPartUnique/>
      </w:docPartObj>
    </w:sdtPr>
    <w:sdtEndPr>
      <w:rPr>
        <w:b/>
      </w:rPr>
    </w:sdtEndPr>
    <w:sdtContent>
      <w:p w:rsidR="00393DD2" w:rsidRPr="000157C7" w:rsidDel="006B0A46" w:rsidRDefault="00393DD2" w:rsidP="00B77CE7">
        <w:pPr>
          <w:pStyle w:val="Footer"/>
          <w:jc w:val="center"/>
          <w:rPr>
            <w:b/>
          </w:rPr>
        </w:pPr>
        <w:r w:rsidRPr="000157C7">
          <w:rPr>
            <w:b/>
            <w:noProof/>
            <w:lang w:eastAsia="en-AU"/>
          </w:rPr>
          <mc:AlternateContent>
            <mc:Choice Requires="wps">
              <w:drawing>
                <wp:anchor distT="0" distB="0" distL="114300" distR="114300" simplePos="0" relativeHeight="251657216" behindDoc="0" locked="0" layoutInCell="1" allowOverlap="1" wp14:anchorId="0BBCE176" wp14:editId="6822111B">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93DD2" w:rsidRPr="00D1742A" w:rsidRDefault="00393DD2">
                              <w:pPr>
                                <w:pBdr>
                                  <w:top w:val="single" w:sz="4" w:space="1" w:color="7F7F7F" w:themeColor="background1" w:themeShade="7F"/>
                                </w:pBdr>
                                <w:jc w:val="center"/>
                                <w:rPr>
                                  <w:rFonts w:asciiTheme="majorHAnsi" w:hAnsiTheme="majorHAnsi"/>
                                  <w:b/>
                                  <w:color w:val="4F81BD" w:themeColor="accent1"/>
                                </w:rPr>
                              </w:pPr>
                              <w:r w:rsidRPr="00D1742A">
                                <w:rPr>
                                  <w:rFonts w:asciiTheme="majorHAnsi" w:hAnsiTheme="majorHAnsi"/>
                                  <w:b/>
                                  <w:color w:val="4F81BD" w:themeColor="accent1"/>
                                </w:rPr>
                                <w:fldChar w:fldCharType="begin"/>
                              </w:r>
                              <w:r w:rsidRPr="00D1742A">
                                <w:rPr>
                                  <w:rFonts w:asciiTheme="majorHAnsi" w:hAnsiTheme="majorHAnsi"/>
                                  <w:b/>
                                  <w:color w:val="4F81BD" w:themeColor="accent1"/>
                                </w:rPr>
                                <w:instrText xml:space="preserve"> PAGE   \* MERGEFORMAT </w:instrText>
                              </w:r>
                              <w:r w:rsidRPr="00D1742A">
                                <w:rPr>
                                  <w:rFonts w:asciiTheme="majorHAnsi" w:hAnsiTheme="majorHAnsi"/>
                                  <w:b/>
                                  <w:color w:val="4F81BD" w:themeColor="accent1"/>
                                </w:rPr>
                                <w:fldChar w:fldCharType="separate"/>
                              </w:r>
                              <w:r w:rsidR="00DA57E4">
                                <w:rPr>
                                  <w:rFonts w:asciiTheme="majorHAnsi" w:hAnsiTheme="majorHAnsi"/>
                                  <w:b/>
                                  <w:noProof/>
                                  <w:color w:val="4F81BD" w:themeColor="accent1"/>
                                </w:rPr>
                                <w:t>4</w:t>
                              </w:r>
                              <w:r w:rsidRPr="00D1742A">
                                <w:rPr>
                                  <w:rFonts w:asciiTheme="majorHAnsi" w:hAnsiTheme="majorHAnsi"/>
                                  <w:b/>
                                  <w:noProof/>
                                  <w:color w:val="4F81BD" w:themeColor="accen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31" style="position:absolute;left:0;text-align:left;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393DD2" w:rsidRPr="00D1742A" w:rsidRDefault="00393DD2">
                        <w:pPr>
                          <w:pBdr>
                            <w:top w:val="single" w:sz="4" w:space="1" w:color="7F7F7F" w:themeColor="background1" w:themeShade="7F"/>
                          </w:pBdr>
                          <w:jc w:val="center"/>
                          <w:rPr>
                            <w:rFonts w:asciiTheme="majorHAnsi" w:hAnsiTheme="majorHAnsi"/>
                            <w:b/>
                            <w:color w:val="4F81BD" w:themeColor="accent1"/>
                          </w:rPr>
                        </w:pPr>
                        <w:r w:rsidRPr="00D1742A">
                          <w:rPr>
                            <w:rFonts w:asciiTheme="majorHAnsi" w:hAnsiTheme="majorHAnsi"/>
                            <w:b/>
                            <w:color w:val="4F81BD" w:themeColor="accent1"/>
                          </w:rPr>
                          <w:fldChar w:fldCharType="begin"/>
                        </w:r>
                        <w:r w:rsidRPr="00D1742A">
                          <w:rPr>
                            <w:rFonts w:asciiTheme="majorHAnsi" w:hAnsiTheme="majorHAnsi"/>
                            <w:b/>
                            <w:color w:val="4F81BD" w:themeColor="accent1"/>
                          </w:rPr>
                          <w:instrText xml:space="preserve"> PAGE   \* MERGEFORMAT </w:instrText>
                        </w:r>
                        <w:r w:rsidRPr="00D1742A">
                          <w:rPr>
                            <w:rFonts w:asciiTheme="majorHAnsi" w:hAnsiTheme="majorHAnsi"/>
                            <w:b/>
                            <w:color w:val="4F81BD" w:themeColor="accent1"/>
                          </w:rPr>
                          <w:fldChar w:fldCharType="separate"/>
                        </w:r>
                        <w:r w:rsidR="00DA57E4">
                          <w:rPr>
                            <w:rFonts w:asciiTheme="majorHAnsi" w:hAnsiTheme="majorHAnsi"/>
                            <w:b/>
                            <w:noProof/>
                            <w:color w:val="4F81BD" w:themeColor="accent1"/>
                          </w:rPr>
                          <w:t>4</w:t>
                        </w:r>
                        <w:r w:rsidRPr="00D1742A">
                          <w:rPr>
                            <w:rFonts w:asciiTheme="majorHAnsi" w:hAnsiTheme="majorHAnsi"/>
                            <w:b/>
                            <w:noProof/>
                            <w:color w:val="4F81BD" w:themeColor="accent1"/>
                          </w:rPr>
                          <w:fldChar w:fldCharType="end"/>
                        </w:r>
                      </w:p>
                    </w:txbxContent>
                  </v:textbox>
                  <w10:wrap anchorx="margin" anchory="margin"/>
                </v:rect>
              </w:pict>
            </mc:Fallback>
          </mc:AlternateContent>
        </w:r>
      </w:p>
      <w:p w:rsidR="00393DD2" w:rsidRPr="000157C7" w:rsidRDefault="00393DD2">
        <w:pPr>
          <w:pStyle w:val="Footer"/>
          <w:jc w:val="center"/>
          <w:rPr>
            <w:b/>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D2" w:rsidRDefault="00393DD2" w:rsidP="004613D9">
    <w:pPr>
      <w:pStyle w:val="Footer"/>
      <w:tabs>
        <w:tab w:val="clear" w:pos="4513"/>
        <w:tab w:val="clear" w:pos="9026"/>
        <w:tab w:val="left" w:pos="4471"/>
        <w:tab w:val="left" w:pos="560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D2" w:rsidRDefault="00393DD2" w:rsidP="008D6029">
      <w:r>
        <w:separator/>
      </w:r>
    </w:p>
  </w:footnote>
  <w:footnote w:type="continuationSeparator" w:id="0">
    <w:p w:rsidR="00393DD2" w:rsidRDefault="00393DD2" w:rsidP="008D6029">
      <w:r>
        <w:continuationSeparator/>
      </w:r>
    </w:p>
  </w:footnote>
  <w:footnote w:id="1">
    <w:p w:rsidR="00393DD2" w:rsidRDefault="00393DD2">
      <w:pPr>
        <w:pStyle w:val="FootnoteText"/>
      </w:pPr>
      <w:r>
        <w:rPr>
          <w:rStyle w:val="FootnoteReference"/>
        </w:rPr>
        <w:footnoteRef/>
      </w:r>
      <w:r>
        <w:t xml:space="preserve"> The required abatement is measured relative to estimated Australian emissions under the Paris Scenario. See Report 1 for further information on the Paris Scenario.</w:t>
      </w:r>
    </w:p>
  </w:footnote>
  <w:footnote w:id="2">
    <w:p w:rsidR="00393DD2" w:rsidRPr="004D61CB" w:rsidRDefault="00393DD2">
      <w:pPr>
        <w:pStyle w:val="FootnoteText"/>
      </w:pPr>
      <w:r>
        <w:rPr>
          <w:rStyle w:val="FootnoteReference"/>
        </w:rPr>
        <w:footnoteRef/>
      </w:r>
      <w:r>
        <w:t xml:space="preserve"> DFAT calculation from Department of the Environment (2015).</w:t>
      </w:r>
    </w:p>
  </w:footnote>
  <w:footnote w:id="3">
    <w:p w:rsidR="00393DD2" w:rsidRDefault="00393DD2">
      <w:pPr>
        <w:pStyle w:val="FootnoteText"/>
      </w:pPr>
      <w:r>
        <w:rPr>
          <w:rStyle w:val="FootnoteReference"/>
        </w:rPr>
        <w:footnoteRef/>
      </w:r>
      <w:r>
        <w:t xml:space="preserve"> Price impacts will depend on the scope and implementation of emissions reduction policies. The modelling does not anticipate the policy mechanisms used for a post-2020 target.</w:t>
      </w:r>
    </w:p>
  </w:footnote>
  <w:footnote w:id="4">
    <w:p w:rsidR="00393DD2" w:rsidRDefault="00393DD2">
      <w:pPr>
        <w:pStyle w:val="FootnoteText"/>
      </w:pPr>
      <w:r>
        <w:rPr>
          <w:rStyle w:val="FootnoteReference"/>
        </w:rPr>
        <w:footnoteRef/>
      </w:r>
      <w:r>
        <w:t xml:space="preserve"> Graham and Hatfield-Dodds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D2" w:rsidRDefault="00393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D2" w:rsidRPr="000157C7" w:rsidRDefault="00393DD2" w:rsidP="00C33546">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D2" w:rsidRDefault="00393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6F3"/>
    <w:multiLevelType w:val="hybridMultilevel"/>
    <w:tmpl w:val="A7B09BE6"/>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11726A"/>
    <w:multiLevelType w:val="hybridMultilevel"/>
    <w:tmpl w:val="92D68B94"/>
    <w:lvl w:ilvl="0" w:tplc="2F9488C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D77EDE"/>
    <w:multiLevelType w:val="hybridMultilevel"/>
    <w:tmpl w:val="7D9AF03A"/>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7070020E">
      <w:start w:val="1"/>
      <w:numFmt w:val="lowerLetter"/>
      <w:lvlText w:val="%3."/>
      <w:lvlJc w:val="left"/>
      <w:pPr>
        <w:ind w:left="2160" w:hanging="360"/>
      </w:pPr>
      <w:rPr>
        <w:rFonts w:asciiTheme="minorHAnsi" w:eastAsia="Times New Roman" w:hAnsiTheme="minorHAnsi" w:cstheme="minorHAnsi"/>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B2974"/>
    <w:multiLevelType w:val="multilevel"/>
    <w:tmpl w:val="A14A372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11F477EF"/>
    <w:multiLevelType w:val="hybridMultilevel"/>
    <w:tmpl w:val="C8B2DE1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A449A5"/>
    <w:multiLevelType w:val="hybridMultilevel"/>
    <w:tmpl w:val="1AE89AB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450C518">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676F15"/>
    <w:multiLevelType w:val="hybridMultilevel"/>
    <w:tmpl w:val="3AB0D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0C3EDD"/>
    <w:multiLevelType w:val="hybridMultilevel"/>
    <w:tmpl w:val="7C404612"/>
    <w:lvl w:ilvl="0" w:tplc="9C10AF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3F452B"/>
    <w:multiLevelType w:val="hybridMultilevel"/>
    <w:tmpl w:val="AA644E14"/>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E478C3"/>
    <w:multiLevelType w:val="hybridMultilevel"/>
    <w:tmpl w:val="36AC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1B5F04"/>
    <w:multiLevelType w:val="hybridMultilevel"/>
    <w:tmpl w:val="ACA0F2EE"/>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76A3D"/>
    <w:multiLevelType w:val="hybridMultilevel"/>
    <w:tmpl w:val="890C3AF6"/>
    <w:lvl w:ilvl="0" w:tplc="1662F2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4213135"/>
    <w:multiLevelType w:val="hybridMultilevel"/>
    <w:tmpl w:val="063A30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AED717D"/>
    <w:multiLevelType w:val="hybridMultilevel"/>
    <w:tmpl w:val="45A2EC4C"/>
    <w:lvl w:ilvl="0" w:tplc="3B128F4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685E0B"/>
    <w:multiLevelType w:val="hybridMultilevel"/>
    <w:tmpl w:val="5312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2040C"/>
    <w:multiLevelType w:val="hybridMultilevel"/>
    <w:tmpl w:val="37CA9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F51CE5"/>
    <w:multiLevelType w:val="hybridMultilevel"/>
    <w:tmpl w:val="18E42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CD6436"/>
    <w:multiLevelType w:val="hybridMultilevel"/>
    <w:tmpl w:val="5CE887E2"/>
    <w:lvl w:ilvl="0" w:tplc="68F4B76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C46D23"/>
    <w:multiLevelType w:val="hybridMultilevel"/>
    <w:tmpl w:val="64D6D17C"/>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34320D"/>
    <w:multiLevelType w:val="hybridMultilevel"/>
    <w:tmpl w:val="9D988030"/>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3D0863"/>
    <w:multiLevelType w:val="hybridMultilevel"/>
    <w:tmpl w:val="AB86B342"/>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6186A"/>
    <w:multiLevelType w:val="hybridMultilevel"/>
    <w:tmpl w:val="25F6C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D95076"/>
    <w:multiLevelType w:val="hybridMultilevel"/>
    <w:tmpl w:val="2E0A9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BE05A8"/>
    <w:multiLevelType w:val="hybridMultilevel"/>
    <w:tmpl w:val="23548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FC35C2"/>
    <w:multiLevelType w:val="hybridMultilevel"/>
    <w:tmpl w:val="B94AC4A2"/>
    <w:lvl w:ilvl="0" w:tplc="B67639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837E6D"/>
    <w:multiLevelType w:val="hybridMultilevel"/>
    <w:tmpl w:val="F61C1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A0D7248"/>
    <w:multiLevelType w:val="hybridMultilevel"/>
    <w:tmpl w:val="2288FCBA"/>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6F683E"/>
    <w:multiLevelType w:val="hybridMultilevel"/>
    <w:tmpl w:val="BE4AC70C"/>
    <w:lvl w:ilvl="0" w:tplc="4A2610FA">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nsid w:val="637F5E20"/>
    <w:multiLevelType w:val="hybridMultilevel"/>
    <w:tmpl w:val="5DBC7D04"/>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263388"/>
    <w:multiLevelType w:val="hybridMultilevel"/>
    <w:tmpl w:val="3C7A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F16F77"/>
    <w:multiLevelType w:val="hybridMultilevel"/>
    <w:tmpl w:val="11400408"/>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CB0086"/>
    <w:multiLevelType w:val="hybridMultilevel"/>
    <w:tmpl w:val="68B43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B7473C0"/>
    <w:multiLevelType w:val="hybridMultilevel"/>
    <w:tmpl w:val="D222F2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F64A25"/>
    <w:multiLevelType w:val="hybridMultilevel"/>
    <w:tmpl w:val="956603DA"/>
    <w:lvl w:ilvl="0" w:tplc="B26C51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8A5020"/>
    <w:multiLevelType w:val="hybridMultilevel"/>
    <w:tmpl w:val="3336E772"/>
    <w:lvl w:ilvl="0" w:tplc="0450C5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2"/>
  </w:num>
  <w:num w:numId="4">
    <w:abstractNumId w:val="6"/>
  </w:num>
  <w:num w:numId="5">
    <w:abstractNumId w:val="29"/>
  </w:num>
  <w:num w:numId="6">
    <w:abstractNumId w:val="15"/>
  </w:num>
  <w:num w:numId="7">
    <w:abstractNumId w:val="23"/>
  </w:num>
  <w:num w:numId="8">
    <w:abstractNumId w:val="16"/>
  </w:num>
  <w:num w:numId="9">
    <w:abstractNumId w:val="4"/>
  </w:num>
  <w:num w:numId="10">
    <w:abstractNumId w:val="28"/>
  </w:num>
  <w:num w:numId="11">
    <w:abstractNumId w:val="20"/>
  </w:num>
  <w:num w:numId="12">
    <w:abstractNumId w:val="25"/>
  </w:num>
  <w:num w:numId="13">
    <w:abstractNumId w:val="18"/>
  </w:num>
  <w:num w:numId="14">
    <w:abstractNumId w:val="14"/>
  </w:num>
  <w:num w:numId="15">
    <w:abstractNumId w:val="32"/>
  </w:num>
  <w:num w:numId="16">
    <w:abstractNumId w:val="19"/>
  </w:num>
  <w:num w:numId="17">
    <w:abstractNumId w:val="5"/>
  </w:num>
  <w:num w:numId="18">
    <w:abstractNumId w:val="2"/>
  </w:num>
  <w:num w:numId="19">
    <w:abstractNumId w:val="11"/>
  </w:num>
  <w:num w:numId="20">
    <w:abstractNumId w:val="30"/>
  </w:num>
  <w:num w:numId="21">
    <w:abstractNumId w:val="10"/>
  </w:num>
  <w:num w:numId="22">
    <w:abstractNumId w:val="26"/>
  </w:num>
  <w:num w:numId="23">
    <w:abstractNumId w:val="17"/>
  </w:num>
  <w:num w:numId="24">
    <w:abstractNumId w:val="8"/>
  </w:num>
  <w:num w:numId="25">
    <w:abstractNumId w:val="22"/>
  </w:num>
  <w:num w:numId="26">
    <w:abstractNumId w:val="34"/>
  </w:num>
  <w:num w:numId="27">
    <w:abstractNumId w:val="3"/>
  </w:num>
  <w:num w:numId="28">
    <w:abstractNumId w:val="9"/>
  </w:num>
  <w:num w:numId="29">
    <w:abstractNumId w:val="21"/>
  </w:num>
  <w:num w:numId="30">
    <w:abstractNumId w:val="1"/>
  </w:num>
  <w:num w:numId="31">
    <w:abstractNumId w:val="0"/>
  </w:num>
  <w:num w:numId="32">
    <w:abstractNumId w:val="8"/>
  </w:num>
  <w:num w:numId="33">
    <w:abstractNumId w:val="13"/>
  </w:num>
  <w:num w:numId="34">
    <w:abstractNumId w:val="7"/>
  </w:num>
  <w:num w:numId="35">
    <w:abstractNumId w:val="33"/>
  </w:num>
  <w:num w:numId="3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tfield-Dodds, Steve (L&amp;W, Black Mountain)">
    <w15:presenceInfo w15:providerId="AD" w15:userId="S-1-5-21-61289985-2027487937-1858953157-81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numFmt w:val="lowerRoman"/>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FB"/>
    <w:rsid w:val="0000022C"/>
    <w:rsid w:val="000052F9"/>
    <w:rsid w:val="00012400"/>
    <w:rsid w:val="00014922"/>
    <w:rsid w:val="00014AE7"/>
    <w:rsid w:val="000157C7"/>
    <w:rsid w:val="000163B1"/>
    <w:rsid w:val="0001672F"/>
    <w:rsid w:val="000178C7"/>
    <w:rsid w:val="00023645"/>
    <w:rsid w:val="000247C5"/>
    <w:rsid w:val="0002775D"/>
    <w:rsid w:val="00030C37"/>
    <w:rsid w:val="000312DF"/>
    <w:rsid w:val="000313D9"/>
    <w:rsid w:val="0003224A"/>
    <w:rsid w:val="00035E7B"/>
    <w:rsid w:val="00047369"/>
    <w:rsid w:val="000520E1"/>
    <w:rsid w:val="00053E94"/>
    <w:rsid w:val="000540A7"/>
    <w:rsid w:val="00057565"/>
    <w:rsid w:val="00057CEC"/>
    <w:rsid w:val="0006076F"/>
    <w:rsid w:val="00060B1E"/>
    <w:rsid w:val="00061436"/>
    <w:rsid w:val="00066F22"/>
    <w:rsid w:val="00067487"/>
    <w:rsid w:val="0006767D"/>
    <w:rsid w:val="00071EDE"/>
    <w:rsid w:val="0007397E"/>
    <w:rsid w:val="00073E76"/>
    <w:rsid w:val="0008051E"/>
    <w:rsid w:val="000836D6"/>
    <w:rsid w:val="00084BA9"/>
    <w:rsid w:val="00086A2E"/>
    <w:rsid w:val="00087326"/>
    <w:rsid w:val="0009020F"/>
    <w:rsid w:val="00091788"/>
    <w:rsid w:val="00091AB3"/>
    <w:rsid w:val="00092F84"/>
    <w:rsid w:val="000943BD"/>
    <w:rsid w:val="00094AA4"/>
    <w:rsid w:val="000968BA"/>
    <w:rsid w:val="000A0D12"/>
    <w:rsid w:val="000A1495"/>
    <w:rsid w:val="000A4352"/>
    <w:rsid w:val="000A4DE8"/>
    <w:rsid w:val="000A6479"/>
    <w:rsid w:val="000A6ED4"/>
    <w:rsid w:val="000B016D"/>
    <w:rsid w:val="000B12B4"/>
    <w:rsid w:val="000B3455"/>
    <w:rsid w:val="000C781A"/>
    <w:rsid w:val="000D1875"/>
    <w:rsid w:val="000D69AD"/>
    <w:rsid w:val="000E445C"/>
    <w:rsid w:val="000E4EE8"/>
    <w:rsid w:val="000E7AD0"/>
    <w:rsid w:val="000F2AA7"/>
    <w:rsid w:val="000F7E3F"/>
    <w:rsid w:val="00102618"/>
    <w:rsid w:val="00105062"/>
    <w:rsid w:val="001103DE"/>
    <w:rsid w:val="0011164D"/>
    <w:rsid w:val="00113291"/>
    <w:rsid w:val="00113809"/>
    <w:rsid w:val="0012004E"/>
    <w:rsid w:val="00124219"/>
    <w:rsid w:val="001263C8"/>
    <w:rsid w:val="00137572"/>
    <w:rsid w:val="00137AAE"/>
    <w:rsid w:val="00141302"/>
    <w:rsid w:val="00143A3D"/>
    <w:rsid w:val="00143D98"/>
    <w:rsid w:val="00151C5E"/>
    <w:rsid w:val="00154199"/>
    <w:rsid w:val="00157892"/>
    <w:rsid w:val="00161EE0"/>
    <w:rsid w:val="00162646"/>
    <w:rsid w:val="00164017"/>
    <w:rsid w:val="00166793"/>
    <w:rsid w:val="00166BD2"/>
    <w:rsid w:val="00167678"/>
    <w:rsid w:val="00170F8F"/>
    <w:rsid w:val="001745A1"/>
    <w:rsid w:val="00176BF6"/>
    <w:rsid w:val="001819F0"/>
    <w:rsid w:val="00185F08"/>
    <w:rsid w:val="00193464"/>
    <w:rsid w:val="001A0501"/>
    <w:rsid w:val="001A173A"/>
    <w:rsid w:val="001A1993"/>
    <w:rsid w:val="001A4505"/>
    <w:rsid w:val="001A4518"/>
    <w:rsid w:val="001B061C"/>
    <w:rsid w:val="001B3088"/>
    <w:rsid w:val="001B5A3D"/>
    <w:rsid w:val="001B673B"/>
    <w:rsid w:val="001C0B67"/>
    <w:rsid w:val="001C7053"/>
    <w:rsid w:val="001D1962"/>
    <w:rsid w:val="001D33B9"/>
    <w:rsid w:val="001D4727"/>
    <w:rsid w:val="001D55C5"/>
    <w:rsid w:val="001D5606"/>
    <w:rsid w:val="001D5D3A"/>
    <w:rsid w:val="001E043F"/>
    <w:rsid w:val="001E37F2"/>
    <w:rsid w:val="001E673E"/>
    <w:rsid w:val="001E7CC1"/>
    <w:rsid w:val="001F096A"/>
    <w:rsid w:val="001F0E18"/>
    <w:rsid w:val="001F15BC"/>
    <w:rsid w:val="001F1D56"/>
    <w:rsid w:val="001F2BE1"/>
    <w:rsid w:val="001F367A"/>
    <w:rsid w:val="001F4160"/>
    <w:rsid w:val="001F4469"/>
    <w:rsid w:val="001F6789"/>
    <w:rsid w:val="001F6B8D"/>
    <w:rsid w:val="001F7828"/>
    <w:rsid w:val="00201563"/>
    <w:rsid w:val="00202CDF"/>
    <w:rsid w:val="002058DF"/>
    <w:rsid w:val="002130EE"/>
    <w:rsid w:val="00214C7F"/>
    <w:rsid w:val="00222B9D"/>
    <w:rsid w:val="002311F6"/>
    <w:rsid w:val="0023151B"/>
    <w:rsid w:val="00232A47"/>
    <w:rsid w:val="00232AEC"/>
    <w:rsid w:val="00235D97"/>
    <w:rsid w:val="00235FFC"/>
    <w:rsid w:val="00240C48"/>
    <w:rsid w:val="00246429"/>
    <w:rsid w:val="002470EE"/>
    <w:rsid w:val="00252C25"/>
    <w:rsid w:val="00263A73"/>
    <w:rsid w:val="0027079E"/>
    <w:rsid w:val="00281359"/>
    <w:rsid w:val="00284A05"/>
    <w:rsid w:val="00284ADD"/>
    <w:rsid w:val="00284BDB"/>
    <w:rsid w:val="002857A2"/>
    <w:rsid w:val="00286CAD"/>
    <w:rsid w:val="00292A5B"/>
    <w:rsid w:val="00292F36"/>
    <w:rsid w:val="00293742"/>
    <w:rsid w:val="002A00BC"/>
    <w:rsid w:val="002A1A7C"/>
    <w:rsid w:val="002A2C9D"/>
    <w:rsid w:val="002A3DBF"/>
    <w:rsid w:val="002A4C26"/>
    <w:rsid w:val="002A7009"/>
    <w:rsid w:val="002B01D8"/>
    <w:rsid w:val="002B2FD1"/>
    <w:rsid w:val="002B46D7"/>
    <w:rsid w:val="002B4B39"/>
    <w:rsid w:val="002C0F9E"/>
    <w:rsid w:val="002C3BE1"/>
    <w:rsid w:val="002C3F91"/>
    <w:rsid w:val="002D2666"/>
    <w:rsid w:val="002D4E4A"/>
    <w:rsid w:val="002E02D2"/>
    <w:rsid w:val="002F1F5B"/>
    <w:rsid w:val="002F3F27"/>
    <w:rsid w:val="002F6533"/>
    <w:rsid w:val="00300D49"/>
    <w:rsid w:val="00300E14"/>
    <w:rsid w:val="00301D7E"/>
    <w:rsid w:val="00304CBE"/>
    <w:rsid w:val="00305BF2"/>
    <w:rsid w:val="003104C8"/>
    <w:rsid w:val="0031227E"/>
    <w:rsid w:val="00313647"/>
    <w:rsid w:val="00316D88"/>
    <w:rsid w:val="0032003F"/>
    <w:rsid w:val="00320D23"/>
    <w:rsid w:val="0032113C"/>
    <w:rsid w:val="00321C1C"/>
    <w:rsid w:val="00326EA8"/>
    <w:rsid w:val="00327F7A"/>
    <w:rsid w:val="0033071E"/>
    <w:rsid w:val="00331380"/>
    <w:rsid w:val="003323E7"/>
    <w:rsid w:val="0033256E"/>
    <w:rsid w:val="00334215"/>
    <w:rsid w:val="00334791"/>
    <w:rsid w:val="003349DF"/>
    <w:rsid w:val="00335D2D"/>
    <w:rsid w:val="0034091C"/>
    <w:rsid w:val="00344A74"/>
    <w:rsid w:val="00346629"/>
    <w:rsid w:val="00346712"/>
    <w:rsid w:val="00346FA0"/>
    <w:rsid w:val="00350F97"/>
    <w:rsid w:val="00354DA6"/>
    <w:rsid w:val="0036127E"/>
    <w:rsid w:val="00361581"/>
    <w:rsid w:val="003622C5"/>
    <w:rsid w:val="00363D01"/>
    <w:rsid w:val="003766CF"/>
    <w:rsid w:val="003800AE"/>
    <w:rsid w:val="003831B9"/>
    <w:rsid w:val="0038478F"/>
    <w:rsid w:val="00385ABD"/>
    <w:rsid w:val="00386E67"/>
    <w:rsid w:val="00387CDE"/>
    <w:rsid w:val="00391AE5"/>
    <w:rsid w:val="00393DD2"/>
    <w:rsid w:val="00395198"/>
    <w:rsid w:val="003961C7"/>
    <w:rsid w:val="0039734B"/>
    <w:rsid w:val="003A0AFB"/>
    <w:rsid w:val="003A4C78"/>
    <w:rsid w:val="003A72B4"/>
    <w:rsid w:val="003B02DF"/>
    <w:rsid w:val="003B0EDE"/>
    <w:rsid w:val="003B1E31"/>
    <w:rsid w:val="003B2B9A"/>
    <w:rsid w:val="003B3423"/>
    <w:rsid w:val="003C33D7"/>
    <w:rsid w:val="003C5024"/>
    <w:rsid w:val="003C5AE8"/>
    <w:rsid w:val="003C60A4"/>
    <w:rsid w:val="003C7628"/>
    <w:rsid w:val="003D343C"/>
    <w:rsid w:val="003D3BD9"/>
    <w:rsid w:val="003D4266"/>
    <w:rsid w:val="003D4497"/>
    <w:rsid w:val="003D4E73"/>
    <w:rsid w:val="003D77E3"/>
    <w:rsid w:val="003E6B1D"/>
    <w:rsid w:val="003F0058"/>
    <w:rsid w:val="003F126A"/>
    <w:rsid w:val="003F12CF"/>
    <w:rsid w:val="003F4FEE"/>
    <w:rsid w:val="003F76B5"/>
    <w:rsid w:val="00406ADA"/>
    <w:rsid w:val="004128EA"/>
    <w:rsid w:val="00416B69"/>
    <w:rsid w:val="004213DA"/>
    <w:rsid w:val="004259F6"/>
    <w:rsid w:val="00427E82"/>
    <w:rsid w:val="00434307"/>
    <w:rsid w:val="00434C90"/>
    <w:rsid w:val="00436C0A"/>
    <w:rsid w:val="004371F1"/>
    <w:rsid w:val="00442BDA"/>
    <w:rsid w:val="00450366"/>
    <w:rsid w:val="004506D7"/>
    <w:rsid w:val="00454ABD"/>
    <w:rsid w:val="00460182"/>
    <w:rsid w:val="004613D9"/>
    <w:rsid w:val="004622EE"/>
    <w:rsid w:val="00462A30"/>
    <w:rsid w:val="004630F4"/>
    <w:rsid w:val="004640F1"/>
    <w:rsid w:val="00465820"/>
    <w:rsid w:val="00467337"/>
    <w:rsid w:val="004735AD"/>
    <w:rsid w:val="004744E9"/>
    <w:rsid w:val="004747A4"/>
    <w:rsid w:val="0047724C"/>
    <w:rsid w:val="00481926"/>
    <w:rsid w:val="00481A9A"/>
    <w:rsid w:val="00486352"/>
    <w:rsid w:val="004877EF"/>
    <w:rsid w:val="00490624"/>
    <w:rsid w:val="00495383"/>
    <w:rsid w:val="004A0E7B"/>
    <w:rsid w:val="004A43C4"/>
    <w:rsid w:val="004A587C"/>
    <w:rsid w:val="004A69B0"/>
    <w:rsid w:val="004B00B3"/>
    <w:rsid w:val="004B06DE"/>
    <w:rsid w:val="004B21DA"/>
    <w:rsid w:val="004C018B"/>
    <w:rsid w:val="004C0F03"/>
    <w:rsid w:val="004C38B5"/>
    <w:rsid w:val="004C49FD"/>
    <w:rsid w:val="004C7055"/>
    <w:rsid w:val="004D1933"/>
    <w:rsid w:val="004D61CB"/>
    <w:rsid w:val="004D64CD"/>
    <w:rsid w:val="004E7B9C"/>
    <w:rsid w:val="004F02A7"/>
    <w:rsid w:val="004F121D"/>
    <w:rsid w:val="004F223A"/>
    <w:rsid w:val="004F4487"/>
    <w:rsid w:val="004F4B2B"/>
    <w:rsid w:val="004F5042"/>
    <w:rsid w:val="005025AD"/>
    <w:rsid w:val="00502A88"/>
    <w:rsid w:val="00506096"/>
    <w:rsid w:val="00506B2B"/>
    <w:rsid w:val="0050742F"/>
    <w:rsid w:val="005137E7"/>
    <w:rsid w:val="00513E34"/>
    <w:rsid w:val="00520A3A"/>
    <w:rsid w:val="00521704"/>
    <w:rsid w:val="00521A7D"/>
    <w:rsid w:val="0052459F"/>
    <w:rsid w:val="00525189"/>
    <w:rsid w:val="00526859"/>
    <w:rsid w:val="00532CC6"/>
    <w:rsid w:val="00533137"/>
    <w:rsid w:val="00536998"/>
    <w:rsid w:val="005376C4"/>
    <w:rsid w:val="00543863"/>
    <w:rsid w:val="00544F3E"/>
    <w:rsid w:val="0055155D"/>
    <w:rsid w:val="0055456B"/>
    <w:rsid w:val="0055581C"/>
    <w:rsid w:val="005562E2"/>
    <w:rsid w:val="00563782"/>
    <w:rsid w:val="0056649C"/>
    <w:rsid w:val="00567F66"/>
    <w:rsid w:val="00567FC7"/>
    <w:rsid w:val="005726D3"/>
    <w:rsid w:val="0058039E"/>
    <w:rsid w:val="0058087E"/>
    <w:rsid w:val="0058120C"/>
    <w:rsid w:val="00581417"/>
    <w:rsid w:val="0058629A"/>
    <w:rsid w:val="0058738E"/>
    <w:rsid w:val="00587CA5"/>
    <w:rsid w:val="00591DB9"/>
    <w:rsid w:val="005978A4"/>
    <w:rsid w:val="00597B83"/>
    <w:rsid w:val="005A280B"/>
    <w:rsid w:val="005A3728"/>
    <w:rsid w:val="005A41C6"/>
    <w:rsid w:val="005B07C5"/>
    <w:rsid w:val="005C1CC1"/>
    <w:rsid w:val="005C21E1"/>
    <w:rsid w:val="005C3664"/>
    <w:rsid w:val="005C3D38"/>
    <w:rsid w:val="005D437A"/>
    <w:rsid w:val="005D7BBD"/>
    <w:rsid w:val="005D7F68"/>
    <w:rsid w:val="005E3C84"/>
    <w:rsid w:val="005E4873"/>
    <w:rsid w:val="005F0CC8"/>
    <w:rsid w:val="005F126E"/>
    <w:rsid w:val="005F22DA"/>
    <w:rsid w:val="005F66BC"/>
    <w:rsid w:val="00603309"/>
    <w:rsid w:val="00603EC0"/>
    <w:rsid w:val="006049EB"/>
    <w:rsid w:val="0060644C"/>
    <w:rsid w:val="006072EE"/>
    <w:rsid w:val="00607B2B"/>
    <w:rsid w:val="00610BCB"/>
    <w:rsid w:val="00612C0E"/>
    <w:rsid w:val="0061327A"/>
    <w:rsid w:val="00614E2E"/>
    <w:rsid w:val="0061775F"/>
    <w:rsid w:val="00622EF3"/>
    <w:rsid w:val="00623811"/>
    <w:rsid w:val="006243AB"/>
    <w:rsid w:val="00626356"/>
    <w:rsid w:val="00632A15"/>
    <w:rsid w:val="00635211"/>
    <w:rsid w:val="00637FEF"/>
    <w:rsid w:val="006413EE"/>
    <w:rsid w:val="00641411"/>
    <w:rsid w:val="00644460"/>
    <w:rsid w:val="00644487"/>
    <w:rsid w:val="00644A05"/>
    <w:rsid w:val="00646AD9"/>
    <w:rsid w:val="0065135E"/>
    <w:rsid w:val="00651634"/>
    <w:rsid w:val="00652768"/>
    <w:rsid w:val="006554BC"/>
    <w:rsid w:val="006606A5"/>
    <w:rsid w:val="006625DC"/>
    <w:rsid w:val="006625FD"/>
    <w:rsid w:val="006640BA"/>
    <w:rsid w:val="00664C74"/>
    <w:rsid w:val="006662E4"/>
    <w:rsid w:val="00667304"/>
    <w:rsid w:val="00667619"/>
    <w:rsid w:val="0067014B"/>
    <w:rsid w:val="006707D3"/>
    <w:rsid w:val="006714E7"/>
    <w:rsid w:val="0067222C"/>
    <w:rsid w:val="006750BB"/>
    <w:rsid w:val="00676607"/>
    <w:rsid w:val="00677112"/>
    <w:rsid w:val="0068292C"/>
    <w:rsid w:val="00686B85"/>
    <w:rsid w:val="0069598D"/>
    <w:rsid w:val="006A4E0E"/>
    <w:rsid w:val="006A5D5B"/>
    <w:rsid w:val="006B0A46"/>
    <w:rsid w:val="006B234A"/>
    <w:rsid w:val="006B47B1"/>
    <w:rsid w:val="006B554F"/>
    <w:rsid w:val="006B6BDB"/>
    <w:rsid w:val="006C7D60"/>
    <w:rsid w:val="006E05AB"/>
    <w:rsid w:val="006E272B"/>
    <w:rsid w:val="006E2C36"/>
    <w:rsid w:val="006F081A"/>
    <w:rsid w:val="006F1A8F"/>
    <w:rsid w:val="006F260D"/>
    <w:rsid w:val="006F3146"/>
    <w:rsid w:val="006F6CAA"/>
    <w:rsid w:val="007010AE"/>
    <w:rsid w:val="00703D1D"/>
    <w:rsid w:val="00704561"/>
    <w:rsid w:val="00706307"/>
    <w:rsid w:val="007102FA"/>
    <w:rsid w:val="00710663"/>
    <w:rsid w:val="0071128C"/>
    <w:rsid w:val="007152F5"/>
    <w:rsid w:val="007210B5"/>
    <w:rsid w:val="007224F5"/>
    <w:rsid w:val="0072671D"/>
    <w:rsid w:val="007352AD"/>
    <w:rsid w:val="00741AD7"/>
    <w:rsid w:val="00743D90"/>
    <w:rsid w:val="0074480E"/>
    <w:rsid w:val="0074795F"/>
    <w:rsid w:val="00753337"/>
    <w:rsid w:val="007533AC"/>
    <w:rsid w:val="0075533E"/>
    <w:rsid w:val="007553BF"/>
    <w:rsid w:val="00757CA4"/>
    <w:rsid w:val="0077189B"/>
    <w:rsid w:val="00772037"/>
    <w:rsid w:val="00772964"/>
    <w:rsid w:val="00773D74"/>
    <w:rsid w:val="00776B7C"/>
    <w:rsid w:val="00781A9E"/>
    <w:rsid w:val="00781E1C"/>
    <w:rsid w:val="00782BA7"/>
    <w:rsid w:val="00786334"/>
    <w:rsid w:val="00787045"/>
    <w:rsid w:val="00790E47"/>
    <w:rsid w:val="00790FF3"/>
    <w:rsid w:val="00794653"/>
    <w:rsid w:val="007A62EC"/>
    <w:rsid w:val="007C0B6B"/>
    <w:rsid w:val="007C1E11"/>
    <w:rsid w:val="007C2165"/>
    <w:rsid w:val="007C3BFD"/>
    <w:rsid w:val="007C6FAA"/>
    <w:rsid w:val="007D3E0C"/>
    <w:rsid w:val="007D6550"/>
    <w:rsid w:val="007E2D93"/>
    <w:rsid w:val="007E302C"/>
    <w:rsid w:val="007E41BD"/>
    <w:rsid w:val="007E5B47"/>
    <w:rsid w:val="007E6CD8"/>
    <w:rsid w:val="007E75CD"/>
    <w:rsid w:val="007F38BC"/>
    <w:rsid w:val="007F5ADA"/>
    <w:rsid w:val="008026E3"/>
    <w:rsid w:val="00803D95"/>
    <w:rsid w:val="0080435C"/>
    <w:rsid w:val="00805351"/>
    <w:rsid w:val="00812110"/>
    <w:rsid w:val="008132AF"/>
    <w:rsid w:val="00817854"/>
    <w:rsid w:val="0082408D"/>
    <w:rsid w:val="00824BFB"/>
    <w:rsid w:val="008250DD"/>
    <w:rsid w:val="00826054"/>
    <w:rsid w:val="008260B4"/>
    <w:rsid w:val="0082625A"/>
    <w:rsid w:val="008267D7"/>
    <w:rsid w:val="00830422"/>
    <w:rsid w:val="008318CA"/>
    <w:rsid w:val="008320C1"/>
    <w:rsid w:val="00832227"/>
    <w:rsid w:val="0083432A"/>
    <w:rsid w:val="008361F8"/>
    <w:rsid w:val="008369AA"/>
    <w:rsid w:val="00840883"/>
    <w:rsid w:val="00841F6C"/>
    <w:rsid w:val="0084240D"/>
    <w:rsid w:val="0084380F"/>
    <w:rsid w:val="00844E2B"/>
    <w:rsid w:val="00845CCC"/>
    <w:rsid w:val="00850717"/>
    <w:rsid w:val="00851FBC"/>
    <w:rsid w:val="00852B46"/>
    <w:rsid w:val="00852BCB"/>
    <w:rsid w:val="00853E08"/>
    <w:rsid w:val="00855DCE"/>
    <w:rsid w:val="00855E6E"/>
    <w:rsid w:val="008615FB"/>
    <w:rsid w:val="00861737"/>
    <w:rsid w:val="008650F2"/>
    <w:rsid w:val="00867168"/>
    <w:rsid w:val="008736DC"/>
    <w:rsid w:val="00874BFB"/>
    <w:rsid w:val="00874F24"/>
    <w:rsid w:val="00876F13"/>
    <w:rsid w:val="00895869"/>
    <w:rsid w:val="0089776E"/>
    <w:rsid w:val="008A026B"/>
    <w:rsid w:val="008A1968"/>
    <w:rsid w:val="008A19EA"/>
    <w:rsid w:val="008A2615"/>
    <w:rsid w:val="008A77EC"/>
    <w:rsid w:val="008B42A0"/>
    <w:rsid w:val="008B6620"/>
    <w:rsid w:val="008C0AF1"/>
    <w:rsid w:val="008C6055"/>
    <w:rsid w:val="008C77B0"/>
    <w:rsid w:val="008C7B92"/>
    <w:rsid w:val="008D45CA"/>
    <w:rsid w:val="008D6029"/>
    <w:rsid w:val="008D6E55"/>
    <w:rsid w:val="008E2C5A"/>
    <w:rsid w:val="008E578E"/>
    <w:rsid w:val="008E7530"/>
    <w:rsid w:val="008F163E"/>
    <w:rsid w:val="008F23AE"/>
    <w:rsid w:val="008F50C1"/>
    <w:rsid w:val="008F6429"/>
    <w:rsid w:val="008F7F51"/>
    <w:rsid w:val="0090038E"/>
    <w:rsid w:val="00903233"/>
    <w:rsid w:val="00905ABE"/>
    <w:rsid w:val="00906724"/>
    <w:rsid w:val="0091166B"/>
    <w:rsid w:val="00911D03"/>
    <w:rsid w:val="00913F38"/>
    <w:rsid w:val="00914AA3"/>
    <w:rsid w:val="00920356"/>
    <w:rsid w:val="00920EBF"/>
    <w:rsid w:val="00923EA3"/>
    <w:rsid w:val="00924C10"/>
    <w:rsid w:val="00925D97"/>
    <w:rsid w:val="00932906"/>
    <w:rsid w:val="00934EF0"/>
    <w:rsid w:val="00934F53"/>
    <w:rsid w:val="00940D6A"/>
    <w:rsid w:val="00943BF2"/>
    <w:rsid w:val="009469E3"/>
    <w:rsid w:val="00950476"/>
    <w:rsid w:val="00952EAD"/>
    <w:rsid w:val="00952ED4"/>
    <w:rsid w:val="00955E00"/>
    <w:rsid w:val="009563C7"/>
    <w:rsid w:val="00956A32"/>
    <w:rsid w:val="009571BB"/>
    <w:rsid w:val="00957940"/>
    <w:rsid w:val="0097453E"/>
    <w:rsid w:val="00981BCB"/>
    <w:rsid w:val="00983E53"/>
    <w:rsid w:val="00984E51"/>
    <w:rsid w:val="00984EC9"/>
    <w:rsid w:val="00984FB0"/>
    <w:rsid w:val="009878F5"/>
    <w:rsid w:val="00987B0C"/>
    <w:rsid w:val="0099004F"/>
    <w:rsid w:val="00995E75"/>
    <w:rsid w:val="00996FDC"/>
    <w:rsid w:val="009975E7"/>
    <w:rsid w:val="009A6A67"/>
    <w:rsid w:val="009B274B"/>
    <w:rsid w:val="009B3C58"/>
    <w:rsid w:val="009B5D31"/>
    <w:rsid w:val="009C651A"/>
    <w:rsid w:val="009C71A1"/>
    <w:rsid w:val="009D0DB4"/>
    <w:rsid w:val="009D1033"/>
    <w:rsid w:val="009D4E98"/>
    <w:rsid w:val="009D6E32"/>
    <w:rsid w:val="009E08EE"/>
    <w:rsid w:val="009E726C"/>
    <w:rsid w:val="009E7F54"/>
    <w:rsid w:val="009F4446"/>
    <w:rsid w:val="00A015C7"/>
    <w:rsid w:val="00A02572"/>
    <w:rsid w:val="00A03894"/>
    <w:rsid w:val="00A0502F"/>
    <w:rsid w:val="00A06B7F"/>
    <w:rsid w:val="00A12088"/>
    <w:rsid w:val="00A13B10"/>
    <w:rsid w:val="00A13E49"/>
    <w:rsid w:val="00A141CC"/>
    <w:rsid w:val="00A14383"/>
    <w:rsid w:val="00A167B5"/>
    <w:rsid w:val="00A23C64"/>
    <w:rsid w:val="00A257E6"/>
    <w:rsid w:val="00A25FA9"/>
    <w:rsid w:val="00A26DCB"/>
    <w:rsid w:val="00A30CD6"/>
    <w:rsid w:val="00A31401"/>
    <w:rsid w:val="00A43387"/>
    <w:rsid w:val="00A43BE4"/>
    <w:rsid w:val="00A50932"/>
    <w:rsid w:val="00A5445E"/>
    <w:rsid w:val="00A5454F"/>
    <w:rsid w:val="00A54CAA"/>
    <w:rsid w:val="00A56E0E"/>
    <w:rsid w:val="00A57C2D"/>
    <w:rsid w:val="00A57D8A"/>
    <w:rsid w:val="00A60895"/>
    <w:rsid w:val="00A63BFB"/>
    <w:rsid w:val="00A64FC3"/>
    <w:rsid w:val="00A66E9B"/>
    <w:rsid w:val="00A67CC0"/>
    <w:rsid w:val="00A7166F"/>
    <w:rsid w:val="00A7230E"/>
    <w:rsid w:val="00A76E7D"/>
    <w:rsid w:val="00A8302E"/>
    <w:rsid w:val="00A83953"/>
    <w:rsid w:val="00A86BEC"/>
    <w:rsid w:val="00A90E15"/>
    <w:rsid w:val="00A91541"/>
    <w:rsid w:val="00A936C4"/>
    <w:rsid w:val="00A97EE1"/>
    <w:rsid w:val="00AA341F"/>
    <w:rsid w:val="00AA40EF"/>
    <w:rsid w:val="00AA5376"/>
    <w:rsid w:val="00AA6387"/>
    <w:rsid w:val="00AA65BF"/>
    <w:rsid w:val="00AB0308"/>
    <w:rsid w:val="00AB0732"/>
    <w:rsid w:val="00AB1D5A"/>
    <w:rsid w:val="00AB3F7D"/>
    <w:rsid w:val="00AB4432"/>
    <w:rsid w:val="00AB4B32"/>
    <w:rsid w:val="00AB62EA"/>
    <w:rsid w:val="00AB709E"/>
    <w:rsid w:val="00AC5656"/>
    <w:rsid w:val="00AC6CC6"/>
    <w:rsid w:val="00AD1677"/>
    <w:rsid w:val="00AD2E1C"/>
    <w:rsid w:val="00AD3DCD"/>
    <w:rsid w:val="00AD4640"/>
    <w:rsid w:val="00AD50F4"/>
    <w:rsid w:val="00AD66FD"/>
    <w:rsid w:val="00AE070B"/>
    <w:rsid w:val="00AE1F18"/>
    <w:rsid w:val="00AE2B2B"/>
    <w:rsid w:val="00AF0BD3"/>
    <w:rsid w:val="00AF3BB1"/>
    <w:rsid w:val="00AF4D5C"/>
    <w:rsid w:val="00B002F4"/>
    <w:rsid w:val="00B04F01"/>
    <w:rsid w:val="00B0518A"/>
    <w:rsid w:val="00B068EB"/>
    <w:rsid w:val="00B106E2"/>
    <w:rsid w:val="00B11C0D"/>
    <w:rsid w:val="00B11ED2"/>
    <w:rsid w:val="00B13E73"/>
    <w:rsid w:val="00B23737"/>
    <w:rsid w:val="00B24BA5"/>
    <w:rsid w:val="00B30355"/>
    <w:rsid w:val="00B3103A"/>
    <w:rsid w:val="00B3436F"/>
    <w:rsid w:val="00B343EA"/>
    <w:rsid w:val="00B3521B"/>
    <w:rsid w:val="00B3543D"/>
    <w:rsid w:val="00B36944"/>
    <w:rsid w:val="00B4145A"/>
    <w:rsid w:val="00B44D67"/>
    <w:rsid w:val="00B45167"/>
    <w:rsid w:val="00B46257"/>
    <w:rsid w:val="00B47A2E"/>
    <w:rsid w:val="00B50D1C"/>
    <w:rsid w:val="00B514E8"/>
    <w:rsid w:val="00B51C48"/>
    <w:rsid w:val="00B52B0D"/>
    <w:rsid w:val="00B5400C"/>
    <w:rsid w:val="00B544C3"/>
    <w:rsid w:val="00B549CB"/>
    <w:rsid w:val="00B54E1E"/>
    <w:rsid w:val="00B55762"/>
    <w:rsid w:val="00B55EAF"/>
    <w:rsid w:val="00B610DA"/>
    <w:rsid w:val="00B6172B"/>
    <w:rsid w:val="00B61D6B"/>
    <w:rsid w:val="00B62778"/>
    <w:rsid w:val="00B646BF"/>
    <w:rsid w:val="00B66854"/>
    <w:rsid w:val="00B70BE1"/>
    <w:rsid w:val="00B70F72"/>
    <w:rsid w:val="00B7250A"/>
    <w:rsid w:val="00B77CE7"/>
    <w:rsid w:val="00B80ED0"/>
    <w:rsid w:val="00B81EE9"/>
    <w:rsid w:val="00B82A09"/>
    <w:rsid w:val="00B87AD0"/>
    <w:rsid w:val="00B90C1C"/>
    <w:rsid w:val="00B94307"/>
    <w:rsid w:val="00B95B58"/>
    <w:rsid w:val="00B96173"/>
    <w:rsid w:val="00BA3DF2"/>
    <w:rsid w:val="00BA428C"/>
    <w:rsid w:val="00BA670A"/>
    <w:rsid w:val="00BA6F31"/>
    <w:rsid w:val="00BB135D"/>
    <w:rsid w:val="00BB4976"/>
    <w:rsid w:val="00BB6053"/>
    <w:rsid w:val="00BC0227"/>
    <w:rsid w:val="00BC0766"/>
    <w:rsid w:val="00BC29CD"/>
    <w:rsid w:val="00BC349A"/>
    <w:rsid w:val="00BC5302"/>
    <w:rsid w:val="00BC584A"/>
    <w:rsid w:val="00BC7C3F"/>
    <w:rsid w:val="00BD289A"/>
    <w:rsid w:val="00BD3599"/>
    <w:rsid w:val="00BD4118"/>
    <w:rsid w:val="00BD5A62"/>
    <w:rsid w:val="00BD6B14"/>
    <w:rsid w:val="00BE29AE"/>
    <w:rsid w:val="00BE2B3A"/>
    <w:rsid w:val="00BE2BF2"/>
    <w:rsid w:val="00BF042F"/>
    <w:rsid w:val="00BF0DF6"/>
    <w:rsid w:val="00BF1354"/>
    <w:rsid w:val="00BF3802"/>
    <w:rsid w:val="00BF4BA3"/>
    <w:rsid w:val="00C01FA6"/>
    <w:rsid w:val="00C04C56"/>
    <w:rsid w:val="00C0506D"/>
    <w:rsid w:val="00C061FD"/>
    <w:rsid w:val="00C06B83"/>
    <w:rsid w:val="00C1101A"/>
    <w:rsid w:val="00C11979"/>
    <w:rsid w:val="00C11DB8"/>
    <w:rsid w:val="00C123E3"/>
    <w:rsid w:val="00C1343C"/>
    <w:rsid w:val="00C141C2"/>
    <w:rsid w:val="00C14963"/>
    <w:rsid w:val="00C15E9A"/>
    <w:rsid w:val="00C162A6"/>
    <w:rsid w:val="00C16C49"/>
    <w:rsid w:val="00C17DEB"/>
    <w:rsid w:val="00C25577"/>
    <w:rsid w:val="00C26F5D"/>
    <w:rsid w:val="00C31CF8"/>
    <w:rsid w:val="00C33546"/>
    <w:rsid w:val="00C33DA6"/>
    <w:rsid w:val="00C34993"/>
    <w:rsid w:val="00C35109"/>
    <w:rsid w:val="00C356F0"/>
    <w:rsid w:val="00C37434"/>
    <w:rsid w:val="00C402A3"/>
    <w:rsid w:val="00C46124"/>
    <w:rsid w:val="00C533C8"/>
    <w:rsid w:val="00C5592D"/>
    <w:rsid w:val="00C560C9"/>
    <w:rsid w:val="00C63A5F"/>
    <w:rsid w:val="00C64E4A"/>
    <w:rsid w:val="00C64EB5"/>
    <w:rsid w:val="00C660F7"/>
    <w:rsid w:val="00C66B39"/>
    <w:rsid w:val="00C66D89"/>
    <w:rsid w:val="00C72002"/>
    <w:rsid w:val="00C80BA7"/>
    <w:rsid w:val="00C811FE"/>
    <w:rsid w:val="00C8375C"/>
    <w:rsid w:val="00C83822"/>
    <w:rsid w:val="00C8393C"/>
    <w:rsid w:val="00C861D4"/>
    <w:rsid w:val="00C8642C"/>
    <w:rsid w:val="00C87594"/>
    <w:rsid w:val="00C91AE2"/>
    <w:rsid w:val="00C91D10"/>
    <w:rsid w:val="00C936E3"/>
    <w:rsid w:val="00C974C8"/>
    <w:rsid w:val="00C979E5"/>
    <w:rsid w:val="00CA0910"/>
    <w:rsid w:val="00CA2220"/>
    <w:rsid w:val="00CA330B"/>
    <w:rsid w:val="00CA57E9"/>
    <w:rsid w:val="00CB1795"/>
    <w:rsid w:val="00CB5B3F"/>
    <w:rsid w:val="00CB6459"/>
    <w:rsid w:val="00CB7856"/>
    <w:rsid w:val="00CC15E5"/>
    <w:rsid w:val="00CC17A3"/>
    <w:rsid w:val="00CC3FD7"/>
    <w:rsid w:val="00CC466D"/>
    <w:rsid w:val="00CC4AAE"/>
    <w:rsid w:val="00CC7D4D"/>
    <w:rsid w:val="00CD4768"/>
    <w:rsid w:val="00CE0EEB"/>
    <w:rsid w:val="00CE0FA7"/>
    <w:rsid w:val="00CE58F6"/>
    <w:rsid w:val="00CE68DB"/>
    <w:rsid w:val="00CE7008"/>
    <w:rsid w:val="00CF250F"/>
    <w:rsid w:val="00CF27C1"/>
    <w:rsid w:val="00CF367C"/>
    <w:rsid w:val="00CF54BA"/>
    <w:rsid w:val="00CF66B7"/>
    <w:rsid w:val="00D03DA8"/>
    <w:rsid w:val="00D03EEE"/>
    <w:rsid w:val="00D0475A"/>
    <w:rsid w:val="00D057AB"/>
    <w:rsid w:val="00D05B7F"/>
    <w:rsid w:val="00D05CC4"/>
    <w:rsid w:val="00D07CF8"/>
    <w:rsid w:val="00D11B0D"/>
    <w:rsid w:val="00D11C5F"/>
    <w:rsid w:val="00D14FAE"/>
    <w:rsid w:val="00D1585B"/>
    <w:rsid w:val="00D16D31"/>
    <w:rsid w:val="00D1742A"/>
    <w:rsid w:val="00D20037"/>
    <w:rsid w:val="00D226CA"/>
    <w:rsid w:val="00D3262D"/>
    <w:rsid w:val="00D3512F"/>
    <w:rsid w:val="00D35B36"/>
    <w:rsid w:val="00D36EEA"/>
    <w:rsid w:val="00D406AB"/>
    <w:rsid w:val="00D418B0"/>
    <w:rsid w:val="00D430BF"/>
    <w:rsid w:val="00D439EA"/>
    <w:rsid w:val="00D44017"/>
    <w:rsid w:val="00D44EAD"/>
    <w:rsid w:val="00D45398"/>
    <w:rsid w:val="00D4557A"/>
    <w:rsid w:val="00D4638F"/>
    <w:rsid w:val="00D46438"/>
    <w:rsid w:val="00D504B4"/>
    <w:rsid w:val="00D51A6D"/>
    <w:rsid w:val="00D60D2D"/>
    <w:rsid w:val="00D64185"/>
    <w:rsid w:val="00D645BF"/>
    <w:rsid w:val="00D74BB4"/>
    <w:rsid w:val="00D76999"/>
    <w:rsid w:val="00D815C8"/>
    <w:rsid w:val="00D820A3"/>
    <w:rsid w:val="00D832E9"/>
    <w:rsid w:val="00D85150"/>
    <w:rsid w:val="00D86F01"/>
    <w:rsid w:val="00D87B1F"/>
    <w:rsid w:val="00D914D1"/>
    <w:rsid w:val="00D9291E"/>
    <w:rsid w:val="00D92C05"/>
    <w:rsid w:val="00D93142"/>
    <w:rsid w:val="00D94C86"/>
    <w:rsid w:val="00DA2105"/>
    <w:rsid w:val="00DA2D76"/>
    <w:rsid w:val="00DA46E7"/>
    <w:rsid w:val="00DA57E4"/>
    <w:rsid w:val="00DB207D"/>
    <w:rsid w:val="00DB2FEA"/>
    <w:rsid w:val="00DB5B1F"/>
    <w:rsid w:val="00DB5E78"/>
    <w:rsid w:val="00DC08A2"/>
    <w:rsid w:val="00DC20FD"/>
    <w:rsid w:val="00DC6877"/>
    <w:rsid w:val="00DC6DCF"/>
    <w:rsid w:val="00DC7C89"/>
    <w:rsid w:val="00DD0C0C"/>
    <w:rsid w:val="00DD4E0F"/>
    <w:rsid w:val="00DD6050"/>
    <w:rsid w:val="00DE1CDF"/>
    <w:rsid w:val="00DF1E22"/>
    <w:rsid w:val="00DF32C7"/>
    <w:rsid w:val="00DF7297"/>
    <w:rsid w:val="00DF7F2A"/>
    <w:rsid w:val="00E008BE"/>
    <w:rsid w:val="00E04155"/>
    <w:rsid w:val="00E050D7"/>
    <w:rsid w:val="00E053FC"/>
    <w:rsid w:val="00E07116"/>
    <w:rsid w:val="00E13CA5"/>
    <w:rsid w:val="00E14041"/>
    <w:rsid w:val="00E15A0B"/>
    <w:rsid w:val="00E20F00"/>
    <w:rsid w:val="00E2242B"/>
    <w:rsid w:val="00E23701"/>
    <w:rsid w:val="00E23B98"/>
    <w:rsid w:val="00E33609"/>
    <w:rsid w:val="00E35A2F"/>
    <w:rsid w:val="00E401D3"/>
    <w:rsid w:val="00E42502"/>
    <w:rsid w:val="00E46365"/>
    <w:rsid w:val="00E46FC6"/>
    <w:rsid w:val="00E50920"/>
    <w:rsid w:val="00E515E4"/>
    <w:rsid w:val="00E5388A"/>
    <w:rsid w:val="00E60602"/>
    <w:rsid w:val="00E60998"/>
    <w:rsid w:val="00E631AD"/>
    <w:rsid w:val="00E639EA"/>
    <w:rsid w:val="00E63A46"/>
    <w:rsid w:val="00E6433B"/>
    <w:rsid w:val="00E649A0"/>
    <w:rsid w:val="00E717F5"/>
    <w:rsid w:val="00E754DD"/>
    <w:rsid w:val="00E77B05"/>
    <w:rsid w:val="00E806AA"/>
    <w:rsid w:val="00E8072C"/>
    <w:rsid w:val="00E8153C"/>
    <w:rsid w:val="00E84484"/>
    <w:rsid w:val="00E845A8"/>
    <w:rsid w:val="00E84FDC"/>
    <w:rsid w:val="00E8630A"/>
    <w:rsid w:val="00E91557"/>
    <w:rsid w:val="00E95E22"/>
    <w:rsid w:val="00E96E32"/>
    <w:rsid w:val="00E97D00"/>
    <w:rsid w:val="00EA46AF"/>
    <w:rsid w:val="00EA5E44"/>
    <w:rsid w:val="00EA5F81"/>
    <w:rsid w:val="00EB00CE"/>
    <w:rsid w:val="00EB17DA"/>
    <w:rsid w:val="00EB707B"/>
    <w:rsid w:val="00EC4D10"/>
    <w:rsid w:val="00EC64FD"/>
    <w:rsid w:val="00EC7B79"/>
    <w:rsid w:val="00ED1414"/>
    <w:rsid w:val="00ED2124"/>
    <w:rsid w:val="00ED2483"/>
    <w:rsid w:val="00EE013C"/>
    <w:rsid w:val="00EE475B"/>
    <w:rsid w:val="00EE48FB"/>
    <w:rsid w:val="00EE5FD0"/>
    <w:rsid w:val="00EE6EF9"/>
    <w:rsid w:val="00EF0A5E"/>
    <w:rsid w:val="00EF0CCC"/>
    <w:rsid w:val="00EF2E6B"/>
    <w:rsid w:val="00EF4B91"/>
    <w:rsid w:val="00EF4D33"/>
    <w:rsid w:val="00EF50E3"/>
    <w:rsid w:val="00EF5EA8"/>
    <w:rsid w:val="00EF73C4"/>
    <w:rsid w:val="00F00DA7"/>
    <w:rsid w:val="00F01CA0"/>
    <w:rsid w:val="00F021CE"/>
    <w:rsid w:val="00F03FEC"/>
    <w:rsid w:val="00F047F8"/>
    <w:rsid w:val="00F051EA"/>
    <w:rsid w:val="00F10991"/>
    <w:rsid w:val="00F13295"/>
    <w:rsid w:val="00F174C1"/>
    <w:rsid w:val="00F27ABE"/>
    <w:rsid w:val="00F3585E"/>
    <w:rsid w:val="00F44CC1"/>
    <w:rsid w:val="00F46D07"/>
    <w:rsid w:val="00F47C94"/>
    <w:rsid w:val="00F509AB"/>
    <w:rsid w:val="00F510E6"/>
    <w:rsid w:val="00F51147"/>
    <w:rsid w:val="00F562D1"/>
    <w:rsid w:val="00F62146"/>
    <w:rsid w:val="00F63418"/>
    <w:rsid w:val="00F64226"/>
    <w:rsid w:val="00F6493A"/>
    <w:rsid w:val="00F70AB7"/>
    <w:rsid w:val="00F718CB"/>
    <w:rsid w:val="00F72F47"/>
    <w:rsid w:val="00F737E5"/>
    <w:rsid w:val="00F814DA"/>
    <w:rsid w:val="00F82A77"/>
    <w:rsid w:val="00F8735A"/>
    <w:rsid w:val="00F9600A"/>
    <w:rsid w:val="00FA37B8"/>
    <w:rsid w:val="00FA3BE8"/>
    <w:rsid w:val="00FA4230"/>
    <w:rsid w:val="00FA4F63"/>
    <w:rsid w:val="00FA6953"/>
    <w:rsid w:val="00FA7571"/>
    <w:rsid w:val="00FA79CC"/>
    <w:rsid w:val="00FB13CF"/>
    <w:rsid w:val="00FB36F7"/>
    <w:rsid w:val="00FB38F5"/>
    <w:rsid w:val="00FB5196"/>
    <w:rsid w:val="00FC0CD9"/>
    <w:rsid w:val="00FC1AE7"/>
    <w:rsid w:val="00FC373D"/>
    <w:rsid w:val="00FC4CED"/>
    <w:rsid w:val="00FC5BE0"/>
    <w:rsid w:val="00FC6054"/>
    <w:rsid w:val="00FD142E"/>
    <w:rsid w:val="00FD39F4"/>
    <w:rsid w:val="00FD6B7B"/>
    <w:rsid w:val="00FD7716"/>
    <w:rsid w:val="00FE1157"/>
    <w:rsid w:val="00FE748E"/>
    <w:rsid w:val="00FF561E"/>
    <w:rsid w:val="00FF5C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1"/>
    <w:pPr>
      <w:ind w:left="720"/>
      <w:contextualSpacing/>
    </w:pPr>
  </w:style>
  <w:style w:type="character" w:styleId="Strong">
    <w:name w:val="Strong"/>
    <w:basedOn w:val="DefaultParagraphFont"/>
    <w:uiPriority w:val="22"/>
    <w:qFormat/>
    <w:rsid w:val="009C71A1"/>
    <w:rPr>
      <w:b/>
      <w:bCs/>
    </w:rPr>
  </w:style>
  <w:style w:type="table" w:styleId="TableGrid">
    <w:name w:val="Table Grid"/>
    <w:basedOn w:val="TableNormal"/>
    <w:rsid w:val="009C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C71A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C6D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C64EB5"/>
    <w:rPr>
      <w:rFonts w:ascii="Tahoma" w:hAnsi="Tahoma" w:cs="Tahoma"/>
      <w:sz w:val="16"/>
      <w:szCs w:val="16"/>
    </w:rPr>
  </w:style>
  <w:style w:type="character" w:customStyle="1" w:styleId="BalloonTextChar">
    <w:name w:val="Balloon Text Char"/>
    <w:basedOn w:val="DefaultParagraphFont"/>
    <w:link w:val="BalloonText"/>
    <w:rsid w:val="00C64EB5"/>
    <w:rPr>
      <w:rFonts w:ascii="Tahoma" w:hAnsi="Tahoma" w:cs="Tahoma"/>
      <w:sz w:val="16"/>
      <w:szCs w:val="16"/>
      <w:lang w:eastAsia="en-US"/>
    </w:rPr>
  </w:style>
  <w:style w:type="paragraph" w:styleId="Header">
    <w:name w:val="header"/>
    <w:basedOn w:val="Normal"/>
    <w:link w:val="HeaderChar"/>
    <w:rsid w:val="008D6029"/>
    <w:pPr>
      <w:tabs>
        <w:tab w:val="center" w:pos="4513"/>
        <w:tab w:val="right" w:pos="9026"/>
      </w:tabs>
    </w:pPr>
  </w:style>
  <w:style w:type="character" w:customStyle="1" w:styleId="HeaderChar">
    <w:name w:val="Header Char"/>
    <w:basedOn w:val="DefaultParagraphFont"/>
    <w:link w:val="Header"/>
    <w:rsid w:val="008D6029"/>
    <w:rPr>
      <w:sz w:val="24"/>
      <w:szCs w:val="24"/>
      <w:lang w:eastAsia="en-US"/>
    </w:rPr>
  </w:style>
  <w:style w:type="paragraph" w:styleId="Footer">
    <w:name w:val="footer"/>
    <w:basedOn w:val="Normal"/>
    <w:link w:val="FooterChar"/>
    <w:uiPriority w:val="99"/>
    <w:rsid w:val="008D6029"/>
    <w:pPr>
      <w:tabs>
        <w:tab w:val="center" w:pos="4513"/>
        <w:tab w:val="right" w:pos="9026"/>
      </w:tabs>
    </w:pPr>
  </w:style>
  <w:style w:type="character" w:customStyle="1" w:styleId="FooterChar">
    <w:name w:val="Footer Char"/>
    <w:basedOn w:val="DefaultParagraphFont"/>
    <w:link w:val="Footer"/>
    <w:uiPriority w:val="99"/>
    <w:rsid w:val="008D6029"/>
    <w:rPr>
      <w:sz w:val="24"/>
      <w:szCs w:val="24"/>
      <w:lang w:eastAsia="en-US"/>
    </w:rPr>
  </w:style>
  <w:style w:type="paragraph" w:styleId="FootnoteText">
    <w:name w:val="footnote text"/>
    <w:basedOn w:val="Normal"/>
    <w:link w:val="FootnoteTextChar"/>
    <w:uiPriority w:val="99"/>
    <w:rsid w:val="008D6029"/>
    <w:rPr>
      <w:sz w:val="20"/>
      <w:szCs w:val="20"/>
    </w:rPr>
  </w:style>
  <w:style w:type="character" w:customStyle="1" w:styleId="FootnoteTextChar">
    <w:name w:val="Footnote Text Char"/>
    <w:basedOn w:val="DefaultParagraphFont"/>
    <w:link w:val="FootnoteText"/>
    <w:uiPriority w:val="99"/>
    <w:rsid w:val="008D6029"/>
    <w:rPr>
      <w:lang w:eastAsia="en-US"/>
    </w:rPr>
  </w:style>
  <w:style w:type="character" w:styleId="FootnoteReference">
    <w:name w:val="footnote reference"/>
    <w:basedOn w:val="DefaultParagraphFont"/>
    <w:uiPriority w:val="99"/>
    <w:rsid w:val="008D6029"/>
    <w:rPr>
      <w:vertAlign w:val="superscript"/>
    </w:rPr>
  </w:style>
  <w:style w:type="table" w:styleId="LightShading-Accent1">
    <w:name w:val="Light Shading Accent 1"/>
    <w:basedOn w:val="TableNormal"/>
    <w:uiPriority w:val="60"/>
    <w:rsid w:val="001676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442BD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42BDA"/>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442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2BD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42BDA"/>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442BDA"/>
    <w:rPr>
      <w:rFonts w:asciiTheme="majorHAnsi" w:eastAsiaTheme="majorEastAsia" w:hAnsiTheme="majorHAnsi" w:cstheme="majorBidi"/>
      <w:i/>
      <w:iCs/>
      <w:color w:val="4F81BD" w:themeColor="accent1"/>
      <w:spacing w:val="15"/>
      <w:sz w:val="24"/>
      <w:szCs w:val="24"/>
      <w:lang w:val="en-US" w:eastAsia="ja-JP"/>
    </w:rPr>
  </w:style>
  <w:style w:type="paragraph" w:customStyle="1" w:styleId="TableText">
    <w:name w:val="TableText"/>
    <w:basedOn w:val="Normal"/>
    <w:rsid w:val="00A8302E"/>
    <w:pPr>
      <w:spacing w:before="120" w:after="120" w:line="280" w:lineRule="exact"/>
    </w:pPr>
    <w:rPr>
      <w:rFonts w:ascii="Arial" w:hAnsi="Arial"/>
      <w:sz w:val="20"/>
    </w:rPr>
  </w:style>
  <w:style w:type="paragraph" w:customStyle="1" w:styleId="Default">
    <w:name w:val="Default"/>
    <w:rsid w:val="006707D3"/>
    <w:pPr>
      <w:autoSpaceDE w:val="0"/>
      <w:autoSpaceDN w:val="0"/>
      <w:adjustRightInd w:val="0"/>
    </w:pPr>
    <w:rPr>
      <w:rFonts w:ascii="Arial" w:hAnsi="Arial" w:cs="Arial"/>
      <w:color w:val="000000"/>
      <w:sz w:val="24"/>
      <w:szCs w:val="24"/>
    </w:rPr>
  </w:style>
  <w:style w:type="character" w:styleId="Hyperlink">
    <w:name w:val="Hyperlink"/>
    <w:basedOn w:val="DefaultParagraphFont"/>
    <w:rsid w:val="00F814DA"/>
    <w:rPr>
      <w:color w:val="0000FF" w:themeColor="hyperlink"/>
      <w:u w:val="single"/>
    </w:rPr>
  </w:style>
  <w:style w:type="character" w:styleId="CommentReference">
    <w:name w:val="annotation reference"/>
    <w:basedOn w:val="DefaultParagraphFont"/>
    <w:rsid w:val="0055456B"/>
    <w:rPr>
      <w:sz w:val="16"/>
      <w:szCs w:val="16"/>
    </w:rPr>
  </w:style>
  <w:style w:type="paragraph" w:styleId="CommentText">
    <w:name w:val="annotation text"/>
    <w:basedOn w:val="Normal"/>
    <w:link w:val="CommentTextChar"/>
    <w:rsid w:val="0055456B"/>
    <w:rPr>
      <w:sz w:val="20"/>
      <w:szCs w:val="20"/>
    </w:rPr>
  </w:style>
  <w:style w:type="character" w:customStyle="1" w:styleId="CommentTextChar">
    <w:name w:val="Comment Text Char"/>
    <w:basedOn w:val="DefaultParagraphFont"/>
    <w:link w:val="CommentText"/>
    <w:rsid w:val="0055456B"/>
    <w:rPr>
      <w:lang w:eastAsia="en-US"/>
    </w:rPr>
  </w:style>
  <w:style w:type="paragraph" w:styleId="CommentSubject">
    <w:name w:val="annotation subject"/>
    <w:basedOn w:val="CommentText"/>
    <w:next w:val="CommentText"/>
    <w:link w:val="CommentSubjectChar"/>
    <w:rsid w:val="0055456B"/>
    <w:rPr>
      <w:b/>
      <w:bCs/>
    </w:rPr>
  </w:style>
  <w:style w:type="character" w:customStyle="1" w:styleId="CommentSubjectChar">
    <w:name w:val="Comment Subject Char"/>
    <w:basedOn w:val="CommentTextChar"/>
    <w:link w:val="CommentSubject"/>
    <w:rsid w:val="0055456B"/>
    <w:rPr>
      <w:b/>
      <w:bCs/>
      <w:lang w:eastAsia="en-US"/>
    </w:rPr>
  </w:style>
  <w:style w:type="paragraph" w:styleId="Revision">
    <w:name w:val="Revision"/>
    <w:hidden/>
    <w:uiPriority w:val="99"/>
    <w:semiHidden/>
    <w:rsid w:val="00781A9E"/>
    <w:rPr>
      <w:sz w:val="24"/>
      <w:szCs w:val="24"/>
      <w:lang w:eastAsia="en-US"/>
    </w:rPr>
  </w:style>
  <w:style w:type="table" w:styleId="LightShading-Accent5">
    <w:name w:val="Light Shading Accent 5"/>
    <w:basedOn w:val="TableNormal"/>
    <w:uiPriority w:val="60"/>
    <w:rsid w:val="001D47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odyTextNEW">
    <w:name w:val="Body Text NEW"/>
    <w:uiPriority w:val="1"/>
    <w:qFormat/>
    <w:rsid w:val="00A60895"/>
    <w:pPr>
      <w:spacing w:before="176" w:line="280" w:lineRule="auto"/>
    </w:pPr>
    <w:rPr>
      <w:rFonts w:ascii="Arial" w:eastAsia="Adobe Garamond Pro" w:hAnsi="Arial"/>
      <w:color w:val="231F20"/>
      <w:lang w:val="en-US" w:eastAsia="en-US"/>
    </w:rPr>
  </w:style>
  <w:style w:type="paragraph" w:styleId="NormalWeb">
    <w:name w:val="Normal (Web)"/>
    <w:basedOn w:val="Normal"/>
    <w:uiPriority w:val="99"/>
    <w:unhideWhenUsed/>
    <w:rsid w:val="00A57C2D"/>
    <w:pPr>
      <w:spacing w:before="100" w:beforeAutospacing="1" w:after="100" w:afterAutospacing="1"/>
    </w:pPr>
    <w:rPr>
      <w:lang w:eastAsia="en-AU"/>
    </w:rPr>
  </w:style>
  <w:style w:type="character" w:styleId="Emphasis">
    <w:name w:val="Emphasis"/>
    <w:basedOn w:val="DefaultParagraphFont"/>
    <w:uiPriority w:val="20"/>
    <w:qFormat/>
    <w:rsid w:val="00A57C2D"/>
    <w:rPr>
      <w:i/>
      <w:iCs/>
    </w:rPr>
  </w:style>
  <w:style w:type="paragraph" w:styleId="PlainText">
    <w:name w:val="Plain Text"/>
    <w:basedOn w:val="Normal"/>
    <w:link w:val="PlainTextChar"/>
    <w:uiPriority w:val="99"/>
    <w:unhideWhenUsed/>
    <w:rsid w:val="005B07C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B07C5"/>
    <w:rPr>
      <w:rFonts w:ascii="Calibri" w:eastAsiaTheme="minorHAnsi" w:hAnsi="Calibri" w:cs="Calibri"/>
      <w:sz w:val="22"/>
      <w:szCs w:val="22"/>
      <w:lang w:eastAsia="en-US"/>
    </w:rPr>
  </w:style>
  <w:style w:type="character" w:customStyle="1" w:styleId="st1">
    <w:name w:val="st1"/>
    <w:basedOn w:val="DefaultParagraphFont"/>
    <w:rsid w:val="00CA330B"/>
  </w:style>
  <w:style w:type="character" w:customStyle="1" w:styleId="tgc">
    <w:name w:val="_tgc"/>
    <w:basedOn w:val="DefaultParagraphFont"/>
    <w:rsid w:val="00CA3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A1"/>
    <w:pPr>
      <w:ind w:left="720"/>
      <w:contextualSpacing/>
    </w:pPr>
  </w:style>
  <w:style w:type="character" w:styleId="Strong">
    <w:name w:val="Strong"/>
    <w:basedOn w:val="DefaultParagraphFont"/>
    <w:uiPriority w:val="22"/>
    <w:qFormat/>
    <w:rsid w:val="009C71A1"/>
    <w:rPr>
      <w:b/>
      <w:bCs/>
    </w:rPr>
  </w:style>
  <w:style w:type="table" w:styleId="TableGrid">
    <w:name w:val="Table Grid"/>
    <w:basedOn w:val="TableNormal"/>
    <w:rsid w:val="009C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C71A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C6D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rsid w:val="00C64EB5"/>
    <w:rPr>
      <w:rFonts w:ascii="Tahoma" w:hAnsi="Tahoma" w:cs="Tahoma"/>
      <w:sz w:val="16"/>
      <w:szCs w:val="16"/>
    </w:rPr>
  </w:style>
  <w:style w:type="character" w:customStyle="1" w:styleId="BalloonTextChar">
    <w:name w:val="Balloon Text Char"/>
    <w:basedOn w:val="DefaultParagraphFont"/>
    <w:link w:val="BalloonText"/>
    <w:rsid w:val="00C64EB5"/>
    <w:rPr>
      <w:rFonts w:ascii="Tahoma" w:hAnsi="Tahoma" w:cs="Tahoma"/>
      <w:sz w:val="16"/>
      <w:szCs w:val="16"/>
      <w:lang w:eastAsia="en-US"/>
    </w:rPr>
  </w:style>
  <w:style w:type="paragraph" w:styleId="Header">
    <w:name w:val="header"/>
    <w:basedOn w:val="Normal"/>
    <w:link w:val="HeaderChar"/>
    <w:rsid w:val="008D6029"/>
    <w:pPr>
      <w:tabs>
        <w:tab w:val="center" w:pos="4513"/>
        <w:tab w:val="right" w:pos="9026"/>
      </w:tabs>
    </w:pPr>
  </w:style>
  <w:style w:type="character" w:customStyle="1" w:styleId="HeaderChar">
    <w:name w:val="Header Char"/>
    <w:basedOn w:val="DefaultParagraphFont"/>
    <w:link w:val="Header"/>
    <w:rsid w:val="008D6029"/>
    <w:rPr>
      <w:sz w:val="24"/>
      <w:szCs w:val="24"/>
      <w:lang w:eastAsia="en-US"/>
    </w:rPr>
  </w:style>
  <w:style w:type="paragraph" w:styleId="Footer">
    <w:name w:val="footer"/>
    <w:basedOn w:val="Normal"/>
    <w:link w:val="FooterChar"/>
    <w:uiPriority w:val="99"/>
    <w:rsid w:val="008D6029"/>
    <w:pPr>
      <w:tabs>
        <w:tab w:val="center" w:pos="4513"/>
        <w:tab w:val="right" w:pos="9026"/>
      </w:tabs>
    </w:pPr>
  </w:style>
  <w:style w:type="character" w:customStyle="1" w:styleId="FooterChar">
    <w:name w:val="Footer Char"/>
    <w:basedOn w:val="DefaultParagraphFont"/>
    <w:link w:val="Footer"/>
    <w:uiPriority w:val="99"/>
    <w:rsid w:val="008D6029"/>
    <w:rPr>
      <w:sz w:val="24"/>
      <w:szCs w:val="24"/>
      <w:lang w:eastAsia="en-US"/>
    </w:rPr>
  </w:style>
  <w:style w:type="paragraph" w:styleId="FootnoteText">
    <w:name w:val="footnote text"/>
    <w:basedOn w:val="Normal"/>
    <w:link w:val="FootnoteTextChar"/>
    <w:uiPriority w:val="99"/>
    <w:rsid w:val="008D6029"/>
    <w:rPr>
      <w:sz w:val="20"/>
      <w:szCs w:val="20"/>
    </w:rPr>
  </w:style>
  <w:style w:type="character" w:customStyle="1" w:styleId="FootnoteTextChar">
    <w:name w:val="Footnote Text Char"/>
    <w:basedOn w:val="DefaultParagraphFont"/>
    <w:link w:val="FootnoteText"/>
    <w:uiPriority w:val="99"/>
    <w:rsid w:val="008D6029"/>
    <w:rPr>
      <w:lang w:eastAsia="en-US"/>
    </w:rPr>
  </w:style>
  <w:style w:type="character" w:styleId="FootnoteReference">
    <w:name w:val="footnote reference"/>
    <w:basedOn w:val="DefaultParagraphFont"/>
    <w:uiPriority w:val="99"/>
    <w:rsid w:val="008D6029"/>
    <w:rPr>
      <w:vertAlign w:val="superscript"/>
    </w:rPr>
  </w:style>
  <w:style w:type="table" w:styleId="LightShading-Accent1">
    <w:name w:val="Light Shading Accent 1"/>
    <w:basedOn w:val="TableNormal"/>
    <w:uiPriority w:val="60"/>
    <w:rsid w:val="001676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442BD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42BDA"/>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442B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2BD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442BDA"/>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442BDA"/>
    <w:rPr>
      <w:rFonts w:asciiTheme="majorHAnsi" w:eastAsiaTheme="majorEastAsia" w:hAnsiTheme="majorHAnsi" w:cstheme="majorBidi"/>
      <w:i/>
      <w:iCs/>
      <w:color w:val="4F81BD" w:themeColor="accent1"/>
      <w:spacing w:val="15"/>
      <w:sz w:val="24"/>
      <w:szCs w:val="24"/>
      <w:lang w:val="en-US" w:eastAsia="ja-JP"/>
    </w:rPr>
  </w:style>
  <w:style w:type="paragraph" w:customStyle="1" w:styleId="TableText">
    <w:name w:val="TableText"/>
    <w:basedOn w:val="Normal"/>
    <w:rsid w:val="00A8302E"/>
    <w:pPr>
      <w:spacing w:before="120" w:after="120" w:line="280" w:lineRule="exact"/>
    </w:pPr>
    <w:rPr>
      <w:rFonts w:ascii="Arial" w:hAnsi="Arial"/>
      <w:sz w:val="20"/>
    </w:rPr>
  </w:style>
  <w:style w:type="paragraph" w:customStyle="1" w:styleId="Default">
    <w:name w:val="Default"/>
    <w:rsid w:val="006707D3"/>
    <w:pPr>
      <w:autoSpaceDE w:val="0"/>
      <w:autoSpaceDN w:val="0"/>
      <w:adjustRightInd w:val="0"/>
    </w:pPr>
    <w:rPr>
      <w:rFonts w:ascii="Arial" w:hAnsi="Arial" w:cs="Arial"/>
      <w:color w:val="000000"/>
      <w:sz w:val="24"/>
      <w:szCs w:val="24"/>
    </w:rPr>
  </w:style>
  <w:style w:type="character" w:styleId="Hyperlink">
    <w:name w:val="Hyperlink"/>
    <w:basedOn w:val="DefaultParagraphFont"/>
    <w:rsid w:val="00F814DA"/>
    <w:rPr>
      <w:color w:val="0000FF" w:themeColor="hyperlink"/>
      <w:u w:val="single"/>
    </w:rPr>
  </w:style>
  <w:style w:type="character" w:styleId="CommentReference">
    <w:name w:val="annotation reference"/>
    <w:basedOn w:val="DefaultParagraphFont"/>
    <w:rsid w:val="0055456B"/>
    <w:rPr>
      <w:sz w:val="16"/>
      <w:szCs w:val="16"/>
    </w:rPr>
  </w:style>
  <w:style w:type="paragraph" w:styleId="CommentText">
    <w:name w:val="annotation text"/>
    <w:basedOn w:val="Normal"/>
    <w:link w:val="CommentTextChar"/>
    <w:rsid w:val="0055456B"/>
    <w:rPr>
      <w:sz w:val="20"/>
      <w:szCs w:val="20"/>
    </w:rPr>
  </w:style>
  <w:style w:type="character" w:customStyle="1" w:styleId="CommentTextChar">
    <w:name w:val="Comment Text Char"/>
    <w:basedOn w:val="DefaultParagraphFont"/>
    <w:link w:val="CommentText"/>
    <w:rsid w:val="0055456B"/>
    <w:rPr>
      <w:lang w:eastAsia="en-US"/>
    </w:rPr>
  </w:style>
  <w:style w:type="paragraph" w:styleId="CommentSubject">
    <w:name w:val="annotation subject"/>
    <w:basedOn w:val="CommentText"/>
    <w:next w:val="CommentText"/>
    <w:link w:val="CommentSubjectChar"/>
    <w:rsid w:val="0055456B"/>
    <w:rPr>
      <w:b/>
      <w:bCs/>
    </w:rPr>
  </w:style>
  <w:style w:type="character" w:customStyle="1" w:styleId="CommentSubjectChar">
    <w:name w:val="Comment Subject Char"/>
    <w:basedOn w:val="CommentTextChar"/>
    <w:link w:val="CommentSubject"/>
    <w:rsid w:val="0055456B"/>
    <w:rPr>
      <w:b/>
      <w:bCs/>
      <w:lang w:eastAsia="en-US"/>
    </w:rPr>
  </w:style>
  <w:style w:type="paragraph" w:styleId="Revision">
    <w:name w:val="Revision"/>
    <w:hidden/>
    <w:uiPriority w:val="99"/>
    <w:semiHidden/>
    <w:rsid w:val="00781A9E"/>
    <w:rPr>
      <w:sz w:val="24"/>
      <w:szCs w:val="24"/>
      <w:lang w:eastAsia="en-US"/>
    </w:rPr>
  </w:style>
  <w:style w:type="table" w:styleId="LightShading-Accent5">
    <w:name w:val="Light Shading Accent 5"/>
    <w:basedOn w:val="TableNormal"/>
    <w:uiPriority w:val="60"/>
    <w:rsid w:val="001D47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odyTextNEW">
    <w:name w:val="Body Text NEW"/>
    <w:uiPriority w:val="1"/>
    <w:qFormat/>
    <w:rsid w:val="00A60895"/>
    <w:pPr>
      <w:spacing w:before="176" w:line="280" w:lineRule="auto"/>
    </w:pPr>
    <w:rPr>
      <w:rFonts w:ascii="Arial" w:eastAsia="Adobe Garamond Pro" w:hAnsi="Arial"/>
      <w:color w:val="231F20"/>
      <w:lang w:val="en-US" w:eastAsia="en-US"/>
    </w:rPr>
  </w:style>
  <w:style w:type="paragraph" w:styleId="NormalWeb">
    <w:name w:val="Normal (Web)"/>
    <w:basedOn w:val="Normal"/>
    <w:uiPriority w:val="99"/>
    <w:unhideWhenUsed/>
    <w:rsid w:val="00A57C2D"/>
    <w:pPr>
      <w:spacing w:before="100" w:beforeAutospacing="1" w:after="100" w:afterAutospacing="1"/>
    </w:pPr>
    <w:rPr>
      <w:lang w:eastAsia="en-AU"/>
    </w:rPr>
  </w:style>
  <w:style w:type="character" w:styleId="Emphasis">
    <w:name w:val="Emphasis"/>
    <w:basedOn w:val="DefaultParagraphFont"/>
    <w:uiPriority w:val="20"/>
    <w:qFormat/>
    <w:rsid w:val="00A57C2D"/>
    <w:rPr>
      <w:i/>
      <w:iCs/>
    </w:rPr>
  </w:style>
  <w:style w:type="paragraph" w:styleId="PlainText">
    <w:name w:val="Plain Text"/>
    <w:basedOn w:val="Normal"/>
    <w:link w:val="PlainTextChar"/>
    <w:uiPriority w:val="99"/>
    <w:unhideWhenUsed/>
    <w:rsid w:val="005B07C5"/>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5B07C5"/>
    <w:rPr>
      <w:rFonts w:ascii="Calibri" w:eastAsiaTheme="minorHAnsi" w:hAnsi="Calibri" w:cs="Calibri"/>
      <w:sz w:val="22"/>
      <w:szCs w:val="22"/>
      <w:lang w:eastAsia="en-US"/>
    </w:rPr>
  </w:style>
  <w:style w:type="character" w:customStyle="1" w:styleId="st1">
    <w:name w:val="st1"/>
    <w:basedOn w:val="DefaultParagraphFont"/>
    <w:rsid w:val="00CA330B"/>
  </w:style>
  <w:style w:type="character" w:customStyle="1" w:styleId="tgc">
    <w:name w:val="_tgc"/>
    <w:basedOn w:val="DefaultParagraphFont"/>
    <w:rsid w:val="00CA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09">
      <w:bodyDiv w:val="1"/>
      <w:marLeft w:val="0"/>
      <w:marRight w:val="0"/>
      <w:marTop w:val="0"/>
      <w:marBottom w:val="0"/>
      <w:divBdr>
        <w:top w:val="none" w:sz="0" w:space="0" w:color="auto"/>
        <w:left w:val="none" w:sz="0" w:space="0" w:color="auto"/>
        <w:bottom w:val="none" w:sz="0" w:space="0" w:color="auto"/>
        <w:right w:val="none" w:sz="0" w:space="0" w:color="auto"/>
      </w:divBdr>
    </w:div>
    <w:div w:id="16004959">
      <w:bodyDiv w:val="1"/>
      <w:marLeft w:val="0"/>
      <w:marRight w:val="0"/>
      <w:marTop w:val="0"/>
      <w:marBottom w:val="0"/>
      <w:divBdr>
        <w:top w:val="none" w:sz="0" w:space="0" w:color="auto"/>
        <w:left w:val="none" w:sz="0" w:space="0" w:color="auto"/>
        <w:bottom w:val="none" w:sz="0" w:space="0" w:color="auto"/>
        <w:right w:val="none" w:sz="0" w:space="0" w:color="auto"/>
      </w:divBdr>
    </w:div>
    <w:div w:id="27803846">
      <w:bodyDiv w:val="1"/>
      <w:marLeft w:val="0"/>
      <w:marRight w:val="0"/>
      <w:marTop w:val="0"/>
      <w:marBottom w:val="0"/>
      <w:divBdr>
        <w:top w:val="none" w:sz="0" w:space="0" w:color="auto"/>
        <w:left w:val="none" w:sz="0" w:space="0" w:color="auto"/>
        <w:bottom w:val="none" w:sz="0" w:space="0" w:color="auto"/>
        <w:right w:val="none" w:sz="0" w:space="0" w:color="auto"/>
      </w:divBdr>
    </w:div>
    <w:div w:id="257755769">
      <w:bodyDiv w:val="1"/>
      <w:marLeft w:val="0"/>
      <w:marRight w:val="0"/>
      <w:marTop w:val="0"/>
      <w:marBottom w:val="0"/>
      <w:divBdr>
        <w:top w:val="none" w:sz="0" w:space="0" w:color="auto"/>
        <w:left w:val="none" w:sz="0" w:space="0" w:color="auto"/>
        <w:bottom w:val="none" w:sz="0" w:space="0" w:color="auto"/>
        <w:right w:val="none" w:sz="0" w:space="0" w:color="auto"/>
      </w:divBdr>
    </w:div>
    <w:div w:id="266741333">
      <w:bodyDiv w:val="1"/>
      <w:marLeft w:val="0"/>
      <w:marRight w:val="0"/>
      <w:marTop w:val="0"/>
      <w:marBottom w:val="0"/>
      <w:divBdr>
        <w:top w:val="none" w:sz="0" w:space="0" w:color="auto"/>
        <w:left w:val="none" w:sz="0" w:space="0" w:color="auto"/>
        <w:bottom w:val="none" w:sz="0" w:space="0" w:color="auto"/>
        <w:right w:val="none" w:sz="0" w:space="0" w:color="auto"/>
      </w:divBdr>
    </w:div>
    <w:div w:id="368725856">
      <w:bodyDiv w:val="1"/>
      <w:marLeft w:val="0"/>
      <w:marRight w:val="0"/>
      <w:marTop w:val="0"/>
      <w:marBottom w:val="0"/>
      <w:divBdr>
        <w:top w:val="none" w:sz="0" w:space="0" w:color="auto"/>
        <w:left w:val="none" w:sz="0" w:space="0" w:color="auto"/>
        <w:bottom w:val="none" w:sz="0" w:space="0" w:color="auto"/>
        <w:right w:val="none" w:sz="0" w:space="0" w:color="auto"/>
      </w:divBdr>
    </w:div>
    <w:div w:id="376131189">
      <w:bodyDiv w:val="1"/>
      <w:marLeft w:val="0"/>
      <w:marRight w:val="0"/>
      <w:marTop w:val="0"/>
      <w:marBottom w:val="0"/>
      <w:divBdr>
        <w:top w:val="none" w:sz="0" w:space="0" w:color="auto"/>
        <w:left w:val="none" w:sz="0" w:space="0" w:color="auto"/>
        <w:bottom w:val="none" w:sz="0" w:space="0" w:color="auto"/>
        <w:right w:val="none" w:sz="0" w:space="0" w:color="auto"/>
      </w:divBdr>
    </w:div>
    <w:div w:id="422265390">
      <w:bodyDiv w:val="1"/>
      <w:marLeft w:val="0"/>
      <w:marRight w:val="0"/>
      <w:marTop w:val="0"/>
      <w:marBottom w:val="0"/>
      <w:divBdr>
        <w:top w:val="none" w:sz="0" w:space="0" w:color="auto"/>
        <w:left w:val="none" w:sz="0" w:space="0" w:color="auto"/>
        <w:bottom w:val="none" w:sz="0" w:space="0" w:color="auto"/>
        <w:right w:val="none" w:sz="0" w:space="0" w:color="auto"/>
      </w:divBdr>
      <w:divsChild>
        <w:div w:id="842089003">
          <w:marLeft w:val="0"/>
          <w:marRight w:val="0"/>
          <w:marTop w:val="0"/>
          <w:marBottom w:val="0"/>
          <w:divBdr>
            <w:top w:val="none" w:sz="0" w:space="0" w:color="auto"/>
            <w:left w:val="none" w:sz="0" w:space="0" w:color="auto"/>
            <w:bottom w:val="none" w:sz="0" w:space="0" w:color="auto"/>
            <w:right w:val="none" w:sz="0" w:space="0" w:color="auto"/>
          </w:divBdr>
          <w:divsChild>
            <w:div w:id="529034909">
              <w:marLeft w:val="0"/>
              <w:marRight w:val="0"/>
              <w:marTop w:val="0"/>
              <w:marBottom w:val="0"/>
              <w:divBdr>
                <w:top w:val="none" w:sz="0" w:space="0" w:color="auto"/>
                <w:left w:val="none" w:sz="0" w:space="0" w:color="auto"/>
                <w:bottom w:val="none" w:sz="0" w:space="0" w:color="auto"/>
                <w:right w:val="none" w:sz="0" w:space="0" w:color="auto"/>
              </w:divBdr>
              <w:divsChild>
                <w:div w:id="822352512">
                  <w:marLeft w:val="0"/>
                  <w:marRight w:val="0"/>
                  <w:marTop w:val="0"/>
                  <w:marBottom w:val="0"/>
                  <w:divBdr>
                    <w:top w:val="none" w:sz="0" w:space="0" w:color="auto"/>
                    <w:left w:val="none" w:sz="0" w:space="0" w:color="auto"/>
                    <w:bottom w:val="none" w:sz="0" w:space="0" w:color="auto"/>
                    <w:right w:val="none" w:sz="0" w:space="0" w:color="auto"/>
                  </w:divBdr>
                  <w:divsChild>
                    <w:div w:id="758789555">
                      <w:marLeft w:val="0"/>
                      <w:marRight w:val="0"/>
                      <w:marTop w:val="0"/>
                      <w:marBottom w:val="0"/>
                      <w:divBdr>
                        <w:top w:val="none" w:sz="0" w:space="0" w:color="auto"/>
                        <w:left w:val="none" w:sz="0" w:space="0" w:color="auto"/>
                        <w:bottom w:val="none" w:sz="0" w:space="0" w:color="auto"/>
                        <w:right w:val="none" w:sz="0" w:space="0" w:color="auto"/>
                      </w:divBdr>
                      <w:divsChild>
                        <w:div w:id="1488090124">
                          <w:marLeft w:val="0"/>
                          <w:marRight w:val="0"/>
                          <w:marTop w:val="0"/>
                          <w:marBottom w:val="0"/>
                          <w:divBdr>
                            <w:top w:val="none" w:sz="0" w:space="0" w:color="auto"/>
                            <w:left w:val="none" w:sz="0" w:space="0" w:color="auto"/>
                            <w:bottom w:val="none" w:sz="0" w:space="0" w:color="auto"/>
                            <w:right w:val="none" w:sz="0" w:space="0" w:color="auto"/>
                          </w:divBdr>
                          <w:divsChild>
                            <w:div w:id="1720593824">
                              <w:marLeft w:val="0"/>
                              <w:marRight w:val="0"/>
                              <w:marTop w:val="0"/>
                              <w:marBottom w:val="0"/>
                              <w:divBdr>
                                <w:top w:val="none" w:sz="0" w:space="0" w:color="auto"/>
                                <w:left w:val="none" w:sz="0" w:space="0" w:color="auto"/>
                                <w:bottom w:val="none" w:sz="0" w:space="0" w:color="auto"/>
                                <w:right w:val="none" w:sz="0" w:space="0" w:color="auto"/>
                              </w:divBdr>
                              <w:divsChild>
                                <w:div w:id="1593470866">
                                  <w:marLeft w:val="0"/>
                                  <w:marRight w:val="0"/>
                                  <w:marTop w:val="0"/>
                                  <w:marBottom w:val="0"/>
                                  <w:divBdr>
                                    <w:top w:val="none" w:sz="0" w:space="0" w:color="auto"/>
                                    <w:left w:val="none" w:sz="0" w:space="0" w:color="auto"/>
                                    <w:bottom w:val="none" w:sz="0" w:space="0" w:color="auto"/>
                                    <w:right w:val="none" w:sz="0" w:space="0" w:color="auto"/>
                                  </w:divBdr>
                                  <w:divsChild>
                                    <w:div w:id="1047412356">
                                      <w:marLeft w:val="0"/>
                                      <w:marRight w:val="0"/>
                                      <w:marTop w:val="0"/>
                                      <w:marBottom w:val="0"/>
                                      <w:divBdr>
                                        <w:top w:val="none" w:sz="0" w:space="0" w:color="auto"/>
                                        <w:left w:val="none" w:sz="0" w:space="0" w:color="auto"/>
                                        <w:bottom w:val="none" w:sz="0" w:space="0" w:color="auto"/>
                                        <w:right w:val="none" w:sz="0" w:space="0" w:color="auto"/>
                                      </w:divBdr>
                                      <w:divsChild>
                                        <w:div w:id="1235435349">
                                          <w:marLeft w:val="0"/>
                                          <w:marRight w:val="0"/>
                                          <w:marTop w:val="0"/>
                                          <w:marBottom w:val="0"/>
                                          <w:divBdr>
                                            <w:top w:val="none" w:sz="0" w:space="0" w:color="auto"/>
                                            <w:left w:val="none" w:sz="0" w:space="0" w:color="auto"/>
                                            <w:bottom w:val="none" w:sz="0" w:space="0" w:color="auto"/>
                                            <w:right w:val="none" w:sz="0" w:space="0" w:color="auto"/>
                                          </w:divBdr>
                                          <w:divsChild>
                                            <w:div w:id="1682968485">
                                              <w:marLeft w:val="0"/>
                                              <w:marRight w:val="0"/>
                                              <w:marTop w:val="0"/>
                                              <w:marBottom w:val="0"/>
                                              <w:divBdr>
                                                <w:top w:val="none" w:sz="0" w:space="0" w:color="auto"/>
                                                <w:left w:val="none" w:sz="0" w:space="0" w:color="auto"/>
                                                <w:bottom w:val="none" w:sz="0" w:space="0" w:color="auto"/>
                                                <w:right w:val="none" w:sz="0" w:space="0" w:color="auto"/>
                                              </w:divBdr>
                                              <w:divsChild>
                                                <w:div w:id="2109931633">
                                                  <w:marLeft w:val="0"/>
                                                  <w:marRight w:val="0"/>
                                                  <w:marTop w:val="0"/>
                                                  <w:marBottom w:val="0"/>
                                                  <w:divBdr>
                                                    <w:top w:val="none" w:sz="0" w:space="0" w:color="auto"/>
                                                    <w:left w:val="none" w:sz="0" w:space="0" w:color="auto"/>
                                                    <w:bottom w:val="none" w:sz="0" w:space="0" w:color="auto"/>
                                                    <w:right w:val="none" w:sz="0" w:space="0" w:color="auto"/>
                                                  </w:divBdr>
                                                  <w:divsChild>
                                                    <w:div w:id="1980726794">
                                                      <w:marLeft w:val="0"/>
                                                      <w:marRight w:val="0"/>
                                                      <w:marTop w:val="0"/>
                                                      <w:marBottom w:val="0"/>
                                                      <w:divBdr>
                                                        <w:top w:val="none" w:sz="0" w:space="0" w:color="auto"/>
                                                        <w:left w:val="none" w:sz="0" w:space="0" w:color="auto"/>
                                                        <w:bottom w:val="none" w:sz="0" w:space="0" w:color="auto"/>
                                                        <w:right w:val="none" w:sz="0" w:space="0" w:color="auto"/>
                                                      </w:divBdr>
                                                      <w:divsChild>
                                                        <w:div w:id="1932395944">
                                                          <w:marLeft w:val="0"/>
                                                          <w:marRight w:val="0"/>
                                                          <w:marTop w:val="0"/>
                                                          <w:marBottom w:val="0"/>
                                                          <w:divBdr>
                                                            <w:top w:val="none" w:sz="0" w:space="0" w:color="auto"/>
                                                            <w:left w:val="none" w:sz="0" w:space="0" w:color="auto"/>
                                                            <w:bottom w:val="none" w:sz="0" w:space="0" w:color="auto"/>
                                                            <w:right w:val="none" w:sz="0" w:space="0" w:color="auto"/>
                                                          </w:divBdr>
                                                          <w:divsChild>
                                                            <w:div w:id="2112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9159912">
      <w:bodyDiv w:val="1"/>
      <w:marLeft w:val="0"/>
      <w:marRight w:val="0"/>
      <w:marTop w:val="0"/>
      <w:marBottom w:val="0"/>
      <w:divBdr>
        <w:top w:val="none" w:sz="0" w:space="0" w:color="auto"/>
        <w:left w:val="none" w:sz="0" w:space="0" w:color="auto"/>
        <w:bottom w:val="none" w:sz="0" w:space="0" w:color="auto"/>
        <w:right w:val="none" w:sz="0" w:space="0" w:color="auto"/>
      </w:divBdr>
    </w:div>
    <w:div w:id="554778278">
      <w:bodyDiv w:val="1"/>
      <w:marLeft w:val="0"/>
      <w:marRight w:val="0"/>
      <w:marTop w:val="0"/>
      <w:marBottom w:val="0"/>
      <w:divBdr>
        <w:top w:val="none" w:sz="0" w:space="0" w:color="auto"/>
        <w:left w:val="none" w:sz="0" w:space="0" w:color="auto"/>
        <w:bottom w:val="none" w:sz="0" w:space="0" w:color="auto"/>
        <w:right w:val="none" w:sz="0" w:space="0" w:color="auto"/>
      </w:divBdr>
    </w:div>
    <w:div w:id="723991948">
      <w:bodyDiv w:val="1"/>
      <w:marLeft w:val="0"/>
      <w:marRight w:val="0"/>
      <w:marTop w:val="0"/>
      <w:marBottom w:val="0"/>
      <w:divBdr>
        <w:top w:val="none" w:sz="0" w:space="0" w:color="auto"/>
        <w:left w:val="none" w:sz="0" w:space="0" w:color="auto"/>
        <w:bottom w:val="none" w:sz="0" w:space="0" w:color="auto"/>
        <w:right w:val="none" w:sz="0" w:space="0" w:color="auto"/>
      </w:divBdr>
    </w:div>
    <w:div w:id="854462841">
      <w:bodyDiv w:val="1"/>
      <w:marLeft w:val="0"/>
      <w:marRight w:val="0"/>
      <w:marTop w:val="0"/>
      <w:marBottom w:val="0"/>
      <w:divBdr>
        <w:top w:val="none" w:sz="0" w:space="0" w:color="auto"/>
        <w:left w:val="none" w:sz="0" w:space="0" w:color="auto"/>
        <w:bottom w:val="none" w:sz="0" w:space="0" w:color="auto"/>
        <w:right w:val="none" w:sz="0" w:space="0" w:color="auto"/>
      </w:divBdr>
    </w:div>
    <w:div w:id="898786115">
      <w:bodyDiv w:val="1"/>
      <w:marLeft w:val="0"/>
      <w:marRight w:val="0"/>
      <w:marTop w:val="0"/>
      <w:marBottom w:val="0"/>
      <w:divBdr>
        <w:top w:val="none" w:sz="0" w:space="0" w:color="auto"/>
        <w:left w:val="none" w:sz="0" w:space="0" w:color="auto"/>
        <w:bottom w:val="none" w:sz="0" w:space="0" w:color="auto"/>
        <w:right w:val="none" w:sz="0" w:space="0" w:color="auto"/>
      </w:divBdr>
    </w:div>
    <w:div w:id="929702679">
      <w:bodyDiv w:val="1"/>
      <w:marLeft w:val="0"/>
      <w:marRight w:val="0"/>
      <w:marTop w:val="0"/>
      <w:marBottom w:val="0"/>
      <w:divBdr>
        <w:top w:val="none" w:sz="0" w:space="0" w:color="auto"/>
        <w:left w:val="none" w:sz="0" w:space="0" w:color="auto"/>
        <w:bottom w:val="none" w:sz="0" w:space="0" w:color="auto"/>
        <w:right w:val="none" w:sz="0" w:space="0" w:color="auto"/>
      </w:divBdr>
    </w:div>
    <w:div w:id="1001279547">
      <w:bodyDiv w:val="1"/>
      <w:marLeft w:val="0"/>
      <w:marRight w:val="0"/>
      <w:marTop w:val="0"/>
      <w:marBottom w:val="0"/>
      <w:divBdr>
        <w:top w:val="none" w:sz="0" w:space="0" w:color="auto"/>
        <w:left w:val="none" w:sz="0" w:space="0" w:color="auto"/>
        <w:bottom w:val="none" w:sz="0" w:space="0" w:color="auto"/>
        <w:right w:val="none" w:sz="0" w:space="0" w:color="auto"/>
      </w:divBdr>
    </w:div>
    <w:div w:id="1045837238">
      <w:bodyDiv w:val="1"/>
      <w:marLeft w:val="0"/>
      <w:marRight w:val="0"/>
      <w:marTop w:val="0"/>
      <w:marBottom w:val="0"/>
      <w:divBdr>
        <w:top w:val="none" w:sz="0" w:space="0" w:color="auto"/>
        <w:left w:val="none" w:sz="0" w:space="0" w:color="auto"/>
        <w:bottom w:val="none" w:sz="0" w:space="0" w:color="auto"/>
        <w:right w:val="none" w:sz="0" w:space="0" w:color="auto"/>
      </w:divBdr>
    </w:div>
    <w:div w:id="1203205791">
      <w:bodyDiv w:val="1"/>
      <w:marLeft w:val="0"/>
      <w:marRight w:val="0"/>
      <w:marTop w:val="0"/>
      <w:marBottom w:val="0"/>
      <w:divBdr>
        <w:top w:val="none" w:sz="0" w:space="0" w:color="auto"/>
        <w:left w:val="none" w:sz="0" w:space="0" w:color="auto"/>
        <w:bottom w:val="none" w:sz="0" w:space="0" w:color="auto"/>
        <w:right w:val="none" w:sz="0" w:space="0" w:color="auto"/>
      </w:divBdr>
    </w:div>
    <w:div w:id="1242905871">
      <w:bodyDiv w:val="1"/>
      <w:marLeft w:val="0"/>
      <w:marRight w:val="0"/>
      <w:marTop w:val="0"/>
      <w:marBottom w:val="0"/>
      <w:divBdr>
        <w:top w:val="none" w:sz="0" w:space="0" w:color="auto"/>
        <w:left w:val="none" w:sz="0" w:space="0" w:color="auto"/>
        <w:bottom w:val="none" w:sz="0" w:space="0" w:color="auto"/>
        <w:right w:val="none" w:sz="0" w:space="0" w:color="auto"/>
      </w:divBdr>
    </w:div>
    <w:div w:id="1319575105">
      <w:bodyDiv w:val="1"/>
      <w:marLeft w:val="0"/>
      <w:marRight w:val="0"/>
      <w:marTop w:val="0"/>
      <w:marBottom w:val="0"/>
      <w:divBdr>
        <w:top w:val="none" w:sz="0" w:space="0" w:color="auto"/>
        <w:left w:val="none" w:sz="0" w:space="0" w:color="auto"/>
        <w:bottom w:val="none" w:sz="0" w:space="0" w:color="auto"/>
        <w:right w:val="none" w:sz="0" w:space="0" w:color="auto"/>
      </w:divBdr>
    </w:div>
    <w:div w:id="1367412785">
      <w:bodyDiv w:val="1"/>
      <w:marLeft w:val="0"/>
      <w:marRight w:val="0"/>
      <w:marTop w:val="0"/>
      <w:marBottom w:val="0"/>
      <w:divBdr>
        <w:top w:val="none" w:sz="0" w:space="0" w:color="auto"/>
        <w:left w:val="none" w:sz="0" w:space="0" w:color="auto"/>
        <w:bottom w:val="none" w:sz="0" w:space="0" w:color="auto"/>
        <w:right w:val="none" w:sz="0" w:space="0" w:color="auto"/>
      </w:divBdr>
    </w:div>
    <w:div w:id="1385367785">
      <w:bodyDiv w:val="1"/>
      <w:marLeft w:val="0"/>
      <w:marRight w:val="0"/>
      <w:marTop w:val="0"/>
      <w:marBottom w:val="0"/>
      <w:divBdr>
        <w:top w:val="none" w:sz="0" w:space="0" w:color="auto"/>
        <w:left w:val="none" w:sz="0" w:space="0" w:color="auto"/>
        <w:bottom w:val="none" w:sz="0" w:space="0" w:color="auto"/>
        <w:right w:val="none" w:sz="0" w:space="0" w:color="auto"/>
      </w:divBdr>
    </w:div>
    <w:div w:id="1389182256">
      <w:bodyDiv w:val="1"/>
      <w:marLeft w:val="0"/>
      <w:marRight w:val="0"/>
      <w:marTop w:val="0"/>
      <w:marBottom w:val="0"/>
      <w:divBdr>
        <w:top w:val="none" w:sz="0" w:space="0" w:color="auto"/>
        <w:left w:val="none" w:sz="0" w:space="0" w:color="auto"/>
        <w:bottom w:val="none" w:sz="0" w:space="0" w:color="auto"/>
        <w:right w:val="none" w:sz="0" w:space="0" w:color="auto"/>
      </w:divBdr>
    </w:div>
    <w:div w:id="1451238333">
      <w:bodyDiv w:val="1"/>
      <w:marLeft w:val="0"/>
      <w:marRight w:val="0"/>
      <w:marTop w:val="0"/>
      <w:marBottom w:val="0"/>
      <w:divBdr>
        <w:top w:val="none" w:sz="0" w:space="0" w:color="auto"/>
        <w:left w:val="none" w:sz="0" w:space="0" w:color="auto"/>
        <w:bottom w:val="none" w:sz="0" w:space="0" w:color="auto"/>
        <w:right w:val="none" w:sz="0" w:space="0" w:color="auto"/>
      </w:divBdr>
    </w:div>
    <w:div w:id="1601908004">
      <w:bodyDiv w:val="1"/>
      <w:marLeft w:val="0"/>
      <w:marRight w:val="0"/>
      <w:marTop w:val="0"/>
      <w:marBottom w:val="0"/>
      <w:divBdr>
        <w:top w:val="none" w:sz="0" w:space="0" w:color="auto"/>
        <w:left w:val="none" w:sz="0" w:space="0" w:color="auto"/>
        <w:bottom w:val="none" w:sz="0" w:space="0" w:color="auto"/>
        <w:right w:val="none" w:sz="0" w:space="0" w:color="auto"/>
      </w:divBdr>
      <w:divsChild>
        <w:div w:id="952980238">
          <w:marLeft w:val="0"/>
          <w:marRight w:val="0"/>
          <w:marTop w:val="0"/>
          <w:marBottom w:val="0"/>
          <w:divBdr>
            <w:top w:val="none" w:sz="0" w:space="0" w:color="auto"/>
            <w:left w:val="none" w:sz="0" w:space="0" w:color="auto"/>
            <w:bottom w:val="none" w:sz="0" w:space="0" w:color="auto"/>
            <w:right w:val="none" w:sz="0" w:space="0" w:color="auto"/>
          </w:divBdr>
          <w:divsChild>
            <w:div w:id="1594315256">
              <w:marLeft w:val="0"/>
              <w:marRight w:val="0"/>
              <w:marTop w:val="0"/>
              <w:marBottom w:val="0"/>
              <w:divBdr>
                <w:top w:val="none" w:sz="0" w:space="0" w:color="auto"/>
                <w:left w:val="none" w:sz="0" w:space="0" w:color="auto"/>
                <w:bottom w:val="none" w:sz="0" w:space="0" w:color="auto"/>
                <w:right w:val="none" w:sz="0" w:space="0" w:color="auto"/>
              </w:divBdr>
              <w:divsChild>
                <w:div w:id="788940597">
                  <w:marLeft w:val="0"/>
                  <w:marRight w:val="0"/>
                  <w:marTop w:val="0"/>
                  <w:marBottom w:val="0"/>
                  <w:divBdr>
                    <w:top w:val="none" w:sz="0" w:space="0" w:color="auto"/>
                    <w:left w:val="none" w:sz="0" w:space="0" w:color="auto"/>
                    <w:bottom w:val="none" w:sz="0" w:space="0" w:color="auto"/>
                    <w:right w:val="none" w:sz="0" w:space="0" w:color="auto"/>
                  </w:divBdr>
                  <w:divsChild>
                    <w:div w:id="1856074424">
                      <w:marLeft w:val="0"/>
                      <w:marRight w:val="0"/>
                      <w:marTop w:val="0"/>
                      <w:marBottom w:val="0"/>
                      <w:divBdr>
                        <w:top w:val="none" w:sz="0" w:space="0" w:color="auto"/>
                        <w:left w:val="none" w:sz="0" w:space="0" w:color="auto"/>
                        <w:bottom w:val="none" w:sz="0" w:space="0" w:color="auto"/>
                        <w:right w:val="none" w:sz="0" w:space="0" w:color="auto"/>
                      </w:divBdr>
                      <w:divsChild>
                        <w:div w:id="834994933">
                          <w:marLeft w:val="0"/>
                          <w:marRight w:val="0"/>
                          <w:marTop w:val="0"/>
                          <w:marBottom w:val="0"/>
                          <w:divBdr>
                            <w:top w:val="none" w:sz="0" w:space="0" w:color="auto"/>
                            <w:left w:val="none" w:sz="0" w:space="0" w:color="auto"/>
                            <w:bottom w:val="none" w:sz="0" w:space="0" w:color="auto"/>
                            <w:right w:val="none" w:sz="0" w:space="0" w:color="auto"/>
                          </w:divBdr>
                          <w:divsChild>
                            <w:div w:id="107164523">
                              <w:marLeft w:val="0"/>
                              <w:marRight w:val="0"/>
                              <w:marTop w:val="0"/>
                              <w:marBottom w:val="0"/>
                              <w:divBdr>
                                <w:top w:val="none" w:sz="0" w:space="0" w:color="auto"/>
                                <w:left w:val="none" w:sz="0" w:space="0" w:color="auto"/>
                                <w:bottom w:val="none" w:sz="0" w:space="0" w:color="auto"/>
                                <w:right w:val="none" w:sz="0" w:space="0" w:color="auto"/>
                              </w:divBdr>
                              <w:divsChild>
                                <w:div w:id="1274825650">
                                  <w:marLeft w:val="0"/>
                                  <w:marRight w:val="0"/>
                                  <w:marTop w:val="0"/>
                                  <w:marBottom w:val="0"/>
                                  <w:divBdr>
                                    <w:top w:val="none" w:sz="0" w:space="0" w:color="auto"/>
                                    <w:left w:val="none" w:sz="0" w:space="0" w:color="auto"/>
                                    <w:bottom w:val="none" w:sz="0" w:space="0" w:color="auto"/>
                                    <w:right w:val="none" w:sz="0" w:space="0" w:color="auto"/>
                                  </w:divBdr>
                                  <w:divsChild>
                                    <w:div w:id="1532306536">
                                      <w:marLeft w:val="0"/>
                                      <w:marRight w:val="0"/>
                                      <w:marTop w:val="0"/>
                                      <w:marBottom w:val="0"/>
                                      <w:divBdr>
                                        <w:top w:val="none" w:sz="0" w:space="0" w:color="auto"/>
                                        <w:left w:val="none" w:sz="0" w:space="0" w:color="auto"/>
                                        <w:bottom w:val="none" w:sz="0" w:space="0" w:color="auto"/>
                                        <w:right w:val="none" w:sz="0" w:space="0" w:color="auto"/>
                                      </w:divBdr>
                                      <w:divsChild>
                                        <w:div w:id="2087729819">
                                          <w:marLeft w:val="0"/>
                                          <w:marRight w:val="0"/>
                                          <w:marTop w:val="0"/>
                                          <w:marBottom w:val="0"/>
                                          <w:divBdr>
                                            <w:top w:val="none" w:sz="0" w:space="0" w:color="auto"/>
                                            <w:left w:val="none" w:sz="0" w:space="0" w:color="auto"/>
                                            <w:bottom w:val="none" w:sz="0" w:space="0" w:color="auto"/>
                                            <w:right w:val="none" w:sz="0" w:space="0" w:color="auto"/>
                                          </w:divBdr>
                                          <w:divsChild>
                                            <w:div w:id="167838577">
                                              <w:marLeft w:val="0"/>
                                              <w:marRight w:val="0"/>
                                              <w:marTop w:val="0"/>
                                              <w:marBottom w:val="0"/>
                                              <w:divBdr>
                                                <w:top w:val="none" w:sz="0" w:space="0" w:color="auto"/>
                                                <w:left w:val="none" w:sz="0" w:space="0" w:color="auto"/>
                                                <w:bottom w:val="none" w:sz="0" w:space="0" w:color="auto"/>
                                                <w:right w:val="none" w:sz="0" w:space="0" w:color="auto"/>
                                              </w:divBdr>
                                              <w:divsChild>
                                                <w:div w:id="1919438513">
                                                  <w:marLeft w:val="0"/>
                                                  <w:marRight w:val="0"/>
                                                  <w:marTop w:val="0"/>
                                                  <w:marBottom w:val="0"/>
                                                  <w:divBdr>
                                                    <w:top w:val="none" w:sz="0" w:space="0" w:color="auto"/>
                                                    <w:left w:val="none" w:sz="0" w:space="0" w:color="auto"/>
                                                    <w:bottom w:val="none" w:sz="0" w:space="0" w:color="auto"/>
                                                    <w:right w:val="none" w:sz="0" w:space="0" w:color="auto"/>
                                                  </w:divBdr>
                                                  <w:divsChild>
                                                    <w:div w:id="591012546">
                                                      <w:marLeft w:val="0"/>
                                                      <w:marRight w:val="0"/>
                                                      <w:marTop w:val="0"/>
                                                      <w:marBottom w:val="0"/>
                                                      <w:divBdr>
                                                        <w:top w:val="none" w:sz="0" w:space="0" w:color="auto"/>
                                                        <w:left w:val="none" w:sz="0" w:space="0" w:color="auto"/>
                                                        <w:bottom w:val="none" w:sz="0" w:space="0" w:color="auto"/>
                                                        <w:right w:val="none" w:sz="0" w:space="0" w:color="auto"/>
                                                      </w:divBdr>
                                                      <w:divsChild>
                                                        <w:div w:id="2105689841">
                                                          <w:marLeft w:val="0"/>
                                                          <w:marRight w:val="0"/>
                                                          <w:marTop w:val="0"/>
                                                          <w:marBottom w:val="0"/>
                                                          <w:divBdr>
                                                            <w:top w:val="none" w:sz="0" w:space="0" w:color="auto"/>
                                                            <w:left w:val="none" w:sz="0" w:space="0" w:color="auto"/>
                                                            <w:bottom w:val="none" w:sz="0" w:space="0" w:color="auto"/>
                                                            <w:right w:val="none" w:sz="0" w:space="0" w:color="auto"/>
                                                          </w:divBdr>
                                                          <w:divsChild>
                                                            <w:div w:id="18875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5691844">
      <w:bodyDiv w:val="1"/>
      <w:marLeft w:val="0"/>
      <w:marRight w:val="0"/>
      <w:marTop w:val="0"/>
      <w:marBottom w:val="0"/>
      <w:divBdr>
        <w:top w:val="none" w:sz="0" w:space="0" w:color="auto"/>
        <w:left w:val="none" w:sz="0" w:space="0" w:color="auto"/>
        <w:bottom w:val="none" w:sz="0" w:space="0" w:color="auto"/>
        <w:right w:val="none" w:sz="0" w:space="0" w:color="auto"/>
      </w:divBdr>
    </w:div>
    <w:div w:id="1738357099">
      <w:bodyDiv w:val="1"/>
      <w:marLeft w:val="0"/>
      <w:marRight w:val="0"/>
      <w:marTop w:val="0"/>
      <w:marBottom w:val="0"/>
      <w:divBdr>
        <w:top w:val="none" w:sz="0" w:space="0" w:color="auto"/>
        <w:left w:val="none" w:sz="0" w:space="0" w:color="auto"/>
        <w:bottom w:val="none" w:sz="0" w:space="0" w:color="auto"/>
        <w:right w:val="none" w:sz="0" w:space="0" w:color="auto"/>
      </w:divBdr>
    </w:div>
    <w:div w:id="1928415783">
      <w:bodyDiv w:val="1"/>
      <w:marLeft w:val="0"/>
      <w:marRight w:val="0"/>
      <w:marTop w:val="0"/>
      <w:marBottom w:val="0"/>
      <w:divBdr>
        <w:top w:val="none" w:sz="0" w:space="0" w:color="auto"/>
        <w:left w:val="none" w:sz="0" w:space="0" w:color="auto"/>
        <w:bottom w:val="none" w:sz="0" w:space="0" w:color="auto"/>
        <w:right w:val="none" w:sz="0" w:space="0" w:color="auto"/>
      </w:divBdr>
      <w:divsChild>
        <w:div w:id="807363267">
          <w:marLeft w:val="0"/>
          <w:marRight w:val="0"/>
          <w:marTop w:val="0"/>
          <w:marBottom w:val="0"/>
          <w:divBdr>
            <w:top w:val="none" w:sz="0" w:space="0" w:color="auto"/>
            <w:left w:val="none" w:sz="0" w:space="0" w:color="auto"/>
            <w:bottom w:val="none" w:sz="0" w:space="0" w:color="auto"/>
            <w:right w:val="none" w:sz="0" w:space="0" w:color="auto"/>
          </w:divBdr>
          <w:divsChild>
            <w:div w:id="1967394178">
              <w:marLeft w:val="0"/>
              <w:marRight w:val="0"/>
              <w:marTop w:val="0"/>
              <w:marBottom w:val="0"/>
              <w:divBdr>
                <w:top w:val="none" w:sz="0" w:space="0" w:color="auto"/>
                <w:left w:val="none" w:sz="0" w:space="0" w:color="auto"/>
                <w:bottom w:val="none" w:sz="0" w:space="0" w:color="auto"/>
                <w:right w:val="none" w:sz="0" w:space="0" w:color="auto"/>
              </w:divBdr>
              <w:divsChild>
                <w:div w:id="1798329109">
                  <w:marLeft w:val="0"/>
                  <w:marRight w:val="0"/>
                  <w:marTop w:val="0"/>
                  <w:marBottom w:val="0"/>
                  <w:divBdr>
                    <w:top w:val="none" w:sz="0" w:space="0" w:color="auto"/>
                    <w:left w:val="none" w:sz="0" w:space="0" w:color="auto"/>
                    <w:bottom w:val="none" w:sz="0" w:space="0" w:color="auto"/>
                    <w:right w:val="none" w:sz="0" w:space="0" w:color="auto"/>
                  </w:divBdr>
                  <w:divsChild>
                    <w:div w:id="1446733727">
                      <w:marLeft w:val="0"/>
                      <w:marRight w:val="0"/>
                      <w:marTop w:val="0"/>
                      <w:marBottom w:val="0"/>
                      <w:divBdr>
                        <w:top w:val="none" w:sz="0" w:space="0" w:color="auto"/>
                        <w:left w:val="none" w:sz="0" w:space="0" w:color="auto"/>
                        <w:bottom w:val="none" w:sz="0" w:space="0" w:color="auto"/>
                        <w:right w:val="none" w:sz="0" w:space="0" w:color="auto"/>
                      </w:divBdr>
                      <w:divsChild>
                        <w:div w:id="1631668418">
                          <w:marLeft w:val="0"/>
                          <w:marRight w:val="0"/>
                          <w:marTop w:val="0"/>
                          <w:marBottom w:val="0"/>
                          <w:divBdr>
                            <w:top w:val="none" w:sz="0" w:space="0" w:color="auto"/>
                            <w:left w:val="none" w:sz="0" w:space="0" w:color="auto"/>
                            <w:bottom w:val="none" w:sz="0" w:space="0" w:color="auto"/>
                            <w:right w:val="none" w:sz="0" w:space="0" w:color="auto"/>
                          </w:divBdr>
                          <w:divsChild>
                            <w:div w:id="153304184">
                              <w:marLeft w:val="0"/>
                              <w:marRight w:val="0"/>
                              <w:marTop w:val="0"/>
                              <w:marBottom w:val="0"/>
                              <w:divBdr>
                                <w:top w:val="none" w:sz="0" w:space="0" w:color="auto"/>
                                <w:left w:val="none" w:sz="0" w:space="0" w:color="auto"/>
                                <w:bottom w:val="none" w:sz="0" w:space="0" w:color="auto"/>
                                <w:right w:val="none" w:sz="0" w:space="0" w:color="auto"/>
                              </w:divBdr>
                              <w:divsChild>
                                <w:div w:id="1530946380">
                                  <w:marLeft w:val="0"/>
                                  <w:marRight w:val="0"/>
                                  <w:marTop w:val="0"/>
                                  <w:marBottom w:val="0"/>
                                  <w:divBdr>
                                    <w:top w:val="none" w:sz="0" w:space="0" w:color="auto"/>
                                    <w:left w:val="none" w:sz="0" w:space="0" w:color="auto"/>
                                    <w:bottom w:val="none" w:sz="0" w:space="0" w:color="auto"/>
                                    <w:right w:val="none" w:sz="0" w:space="0" w:color="auto"/>
                                  </w:divBdr>
                                  <w:divsChild>
                                    <w:div w:id="1460226642">
                                      <w:marLeft w:val="0"/>
                                      <w:marRight w:val="0"/>
                                      <w:marTop w:val="0"/>
                                      <w:marBottom w:val="0"/>
                                      <w:divBdr>
                                        <w:top w:val="none" w:sz="0" w:space="0" w:color="auto"/>
                                        <w:left w:val="none" w:sz="0" w:space="0" w:color="auto"/>
                                        <w:bottom w:val="none" w:sz="0" w:space="0" w:color="auto"/>
                                        <w:right w:val="none" w:sz="0" w:space="0" w:color="auto"/>
                                      </w:divBdr>
                                      <w:divsChild>
                                        <w:div w:id="989401462">
                                          <w:marLeft w:val="0"/>
                                          <w:marRight w:val="0"/>
                                          <w:marTop w:val="0"/>
                                          <w:marBottom w:val="0"/>
                                          <w:divBdr>
                                            <w:top w:val="none" w:sz="0" w:space="0" w:color="auto"/>
                                            <w:left w:val="none" w:sz="0" w:space="0" w:color="auto"/>
                                            <w:bottom w:val="none" w:sz="0" w:space="0" w:color="auto"/>
                                            <w:right w:val="none" w:sz="0" w:space="0" w:color="auto"/>
                                          </w:divBdr>
                                          <w:divsChild>
                                            <w:div w:id="1212310243">
                                              <w:marLeft w:val="0"/>
                                              <w:marRight w:val="0"/>
                                              <w:marTop w:val="0"/>
                                              <w:marBottom w:val="0"/>
                                              <w:divBdr>
                                                <w:top w:val="none" w:sz="0" w:space="0" w:color="auto"/>
                                                <w:left w:val="none" w:sz="0" w:space="0" w:color="auto"/>
                                                <w:bottom w:val="none" w:sz="0" w:space="0" w:color="auto"/>
                                                <w:right w:val="none" w:sz="0" w:space="0" w:color="auto"/>
                                              </w:divBdr>
                                              <w:divsChild>
                                                <w:div w:id="652294800">
                                                  <w:marLeft w:val="0"/>
                                                  <w:marRight w:val="0"/>
                                                  <w:marTop w:val="0"/>
                                                  <w:marBottom w:val="0"/>
                                                  <w:divBdr>
                                                    <w:top w:val="none" w:sz="0" w:space="0" w:color="auto"/>
                                                    <w:left w:val="none" w:sz="0" w:space="0" w:color="auto"/>
                                                    <w:bottom w:val="none" w:sz="0" w:space="0" w:color="auto"/>
                                                    <w:right w:val="none" w:sz="0" w:space="0" w:color="auto"/>
                                                  </w:divBdr>
                                                  <w:divsChild>
                                                    <w:div w:id="518854145">
                                                      <w:marLeft w:val="0"/>
                                                      <w:marRight w:val="0"/>
                                                      <w:marTop w:val="0"/>
                                                      <w:marBottom w:val="0"/>
                                                      <w:divBdr>
                                                        <w:top w:val="none" w:sz="0" w:space="0" w:color="auto"/>
                                                        <w:left w:val="none" w:sz="0" w:space="0" w:color="auto"/>
                                                        <w:bottom w:val="none" w:sz="0" w:space="0" w:color="auto"/>
                                                        <w:right w:val="none" w:sz="0" w:space="0" w:color="auto"/>
                                                      </w:divBdr>
                                                      <w:divsChild>
                                                        <w:div w:id="986398308">
                                                          <w:marLeft w:val="0"/>
                                                          <w:marRight w:val="0"/>
                                                          <w:marTop w:val="0"/>
                                                          <w:marBottom w:val="0"/>
                                                          <w:divBdr>
                                                            <w:top w:val="none" w:sz="0" w:space="0" w:color="auto"/>
                                                            <w:left w:val="none" w:sz="0" w:space="0" w:color="auto"/>
                                                            <w:bottom w:val="none" w:sz="0" w:space="0" w:color="auto"/>
                                                            <w:right w:val="none" w:sz="0" w:space="0" w:color="auto"/>
                                                          </w:divBdr>
                                                          <w:divsChild>
                                                            <w:div w:id="3117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757069">
      <w:bodyDiv w:val="1"/>
      <w:marLeft w:val="0"/>
      <w:marRight w:val="0"/>
      <w:marTop w:val="0"/>
      <w:marBottom w:val="0"/>
      <w:divBdr>
        <w:top w:val="none" w:sz="0" w:space="0" w:color="auto"/>
        <w:left w:val="none" w:sz="0" w:space="0" w:color="auto"/>
        <w:bottom w:val="none" w:sz="0" w:space="0" w:color="auto"/>
        <w:right w:val="none" w:sz="0" w:space="0" w:color="auto"/>
      </w:divBdr>
    </w:div>
    <w:div w:id="1967732040">
      <w:bodyDiv w:val="1"/>
      <w:marLeft w:val="0"/>
      <w:marRight w:val="0"/>
      <w:marTop w:val="0"/>
      <w:marBottom w:val="0"/>
      <w:divBdr>
        <w:top w:val="none" w:sz="0" w:space="0" w:color="auto"/>
        <w:left w:val="none" w:sz="0" w:space="0" w:color="auto"/>
        <w:bottom w:val="none" w:sz="0" w:space="0" w:color="auto"/>
        <w:right w:val="none" w:sz="0" w:space="0" w:color="auto"/>
      </w:divBdr>
      <w:divsChild>
        <w:div w:id="1740439765">
          <w:marLeft w:val="0"/>
          <w:marRight w:val="0"/>
          <w:marTop w:val="0"/>
          <w:marBottom w:val="0"/>
          <w:divBdr>
            <w:top w:val="none" w:sz="0" w:space="0" w:color="auto"/>
            <w:left w:val="none" w:sz="0" w:space="0" w:color="auto"/>
            <w:bottom w:val="none" w:sz="0" w:space="0" w:color="auto"/>
            <w:right w:val="none" w:sz="0" w:space="0" w:color="auto"/>
          </w:divBdr>
          <w:divsChild>
            <w:div w:id="1856723320">
              <w:marLeft w:val="0"/>
              <w:marRight w:val="0"/>
              <w:marTop w:val="0"/>
              <w:marBottom w:val="0"/>
              <w:divBdr>
                <w:top w:val="none" w:sz="0" w:space="0" w:color="auto"/>
                <w:left w:val="none" w:sz="0" w:space="0" w:color="auto"/>
                <w:bottom w:val="none" w:sz="0" w:space="0" w:color="auto"/>
                <w:right w:val="none" w:sz="0" w:space="0" w:color="auto"/>
              </w:divBdr>
              <w:divsChild>
                <w:div w:id="1146970412">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0"/>
                      <w:divBdr>
                        <w:top w:val="none" w:sz="0" w:space="0" w:color="auto"/>
                        <w:left w:val="none" w:sz="0" w:space="0" w:color="auto"/>
                        <w:bottom w:val="none" w:sz="0" w:space="0" w:color="auto"/>
                        <w:right w:val="none" w:sz="0" w:space="0" w:color="auto"/>
                      </w:divBdr>
                      <w:divsChild>
                        <w:div w:id="216935534">
                          <w:marLeft w:val="0"/>
                          <w:marRight w:val="0"/>
                          <w:marTop w:val="0"/>
                          <w:marBottom w:val="0"/>
                          <w:divBdr>
                            <w:top w:val="none" w:sz="0" w:space="0" w:color="auto"/>
                            <w:left w:val="none" w:sz="0" w:space="0" w:color="auto"/>
                            <w:bottom w:val="none" w:sz="0" w:space="0" w:color="auto"/>
                            <w:right w:val="none" w:sz="0" w:space="0" w:color="auto"/>
                          </w:divBdr>
                          <w:divsChild>
                            <w:div w:id="1976715773">
                              <w:marLeft w:val="0"/>
                              <w:marRight w:val="0"/>
                              <w:marTop w:val="0"/>
                              <w:marBottom w:val="0"/>
                              <w:divBdr>
                                <w:top w:val="none" w:sz="0" w:space="0" w:color="auto"/>
                                <w:left w:val="none" w:sz="0" w:space="0" w:color="auto"/>
                                <w:bottom w:val="none" w:sz="0" w:space="0" w:color="auto"/>
                                <w:right w:val="none" w:sz="0" w:space="0" w:color="auto"/>
                              </w:divBdr>
                              <w:divsChild>
                                <w:div w:id="761879571">
                                  <w:marLeft w:val="0"/>
                                  <w:marRight w:val="0"/>
                                  <w:marTop w:val="0"/>
                                  <w:marBottom w:val="0"/>
                                  <w:divBdr>
                                    <w:top w:val="none" w:sz="0" w:space="0" w:color="auto"/>
                                    <w:left w:val="none" w:sz="0" w:space="0" w:color="auto"/>
                                    <w:bottom w:val="none" w:sz="0" w:space="0" w:color="auto"/>
                                    <w:right w:val="none" w:sz="0" w:space="0" w:color="auto"/>
                                  </w:divBdr>
                                  <w:divsChild>
                                    <w:div w:id="1512061010">
                                      <w:marLeft w:val="0"/>
                                      <w:marRight w:val="0"/>
                                      <w:marTop w:val="0"/>
                                      <w:marBottom w:val="0"/>
                                      <w:divBdr>
                                        <w:top w:val="none" w:sz="0" w:space="0" w:color="auto"/>
                                        <w:left w:val="none" w:sz="0" w:space="0" w:color="auto"/>
                                        <w:bottom w:val="none" w:sz="0" w:space="0" w:color="auto"/>
                                        <w:right w:val="none" w:sz="0" w:space="0" w:color="auto"/>
                                      </w:divBdr>
                                      <w:divsChild>
                                        <w:div w:id="1708070295">
                                          <w:marLeft w:val="0"/>
                                          <w:marRight w:val="0"/>
                                          <w:marTop w:val="0"/>
                                          <w:marBottom w:val="0"/>
                                          <w:divBdr>
                                            <w:top w:val="none" w:sz="0" w:space="0" w:color="auto"/>
                                            <w:left w:val="none" w:sz="0" w:space="0" w:color="auto"/>
                                            <w:bottom w:val="none" w:sz="0" w:space="0" w:color="auto"/>
                                            <w:right w:val="none" w:sz="0" w:space="0" w:color="auto"/>
                                          </w:divBdr>
                                          <w:divsChild>
                                            <w:div w:id="293102101">
                                              <w:marLeft w:val="0"/>
                                              <w:marRight w:val="0"/>
                                              <w:marTop w:val="0"/>
                                              <w:marBottom w:val="0"/>
                                              <w:divBdr>
                                                <w:top w:val="none" w:sz="0" w:space="0" w:color="auto"/>
                                                <w:left w:val="none" w:sz="0" w:space="0" w:color="auto"/>
                                                <w:bottom w:val="none" w:sz="0" w:space="0" w:color="auto"/>
                                                <w:right w:val="none" w:sz="0" w:space="0" w:color="auto"/>
                                              </w:divBdr>
                                              <w:divsChild>
                                                <w:div w:id="823282033">
                                                  <w:marLeft w:val="0"/>
                                                  <w:marRight w:val="0"/>
                                                  <w:marTop w:val="0"/>
                                                  <w:marBottom w:val="0"/>
                                                  <w:divBdr>
                                                    <w:top w:val="none" w:sz="0" w:space="0" w:color="auto"/>
                                                    <w:left w:val="none" w:sz="0" w:space="0" w:color="auto"/>
                                                    <w:bottom w:val="none" w:sz="0" w:space="0" w:color="auto"/>
                                                    <w:right w:val="none" w:sz="0" w:space="0" w:color="auto"/>
                                                  </w:divBdr>
                                                  <w:divsChild>
                                                    <w:div w:id="1881357224">
                                                      <w:marLeft w:val="0"/>
                                                      <w:marRight w:val="0"/>
                                                      <w:marTop w:val="0"/>
                                                      <w:marBottom w:val="0"/>
                                                      <w:divBdr>
                                                        <w:top w:val="none" w:sz="0" w:space="0" w:color="auto"/>
                                                        <w:left w:val="none" w:sz="0" w:space="0" w:color="auto"/>
                                                        <w:bottom w:val="none" w:sz="0" w:space="0" w:color="auto"/>
                                                        <w:right w:val="none" w:sz="0" w:space="0" w:color="auto"/>
                                                      </w:divBdr>
                                                      <w:divsChild>
                                                        <w:div w:id="2090037105">
                                                          <w:marLeft w:val="0"/>
                                                          <w:marRight w:val="0"/>
                                                          <w:marTop w:val="0"/>
                                                          <w:marBottom w:val="0"/>
                                                          <w:divBdr>
                                                            <w:top w:val="none" w:sz="0" w:space="0" w:color="auto"/>
                                                            <w:left w:val="none" w:sz="0" w:space="0" w:color="auto"/>
                                                            <w:bottom w:val="none" w:sz="0" w:space="0" w:color="auto"/>
                                                            <w:right w:val="none" w:sz="0" w:space="0" w:color="auto"/>
                                                          </w:divBdr>
                                                          <w:divsChild>
                                                            <w:div w:id="14109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053690">
      <w:bodyDiv w:val="1"/>
      <w:marLeft w:val="0"/>
      <w:marRight w:val="0"/>
      <w:marTop w:val="0"/>
      <w:marBottom w:val="0"/>
      <w:divBdr>
        <w:top w:val="none" w:sz="0" w:space="0" w:color="auto"/>
        <w:left w:val="none" w:sz="0" w:space="0" w:color="auto"/>
        <w:bottom w:val="none" w:sz="0" w:space="0" w:color="auto"/>
        <w:right w:val="none" w:sz="0" w:space="0" w:color="auto"/>
      </w:divBdr>
    </w:div>
    <w:div w:id="2008899011">
      <w:bodyDiv w:val="1"/>
      <w:marLeft w:val="0"/>
      <w:marRight w:val="0"/>
      <w:marTop w:val="0"/>
      <w:marBottom w:val="0"/>
      <w:divBdr>
        <w:top w:val="none" w:sz="0" w:space="0" w:color="auto"/>
        <w:left w:val="none" w:sz="0" w:space="0" w:color="auto"/>
        <w:bottom w:val="none" w:sz="0" w:space="0" w:color="auto"/>
        <w:right w:val="none" w:sz="0" w:space="0" w:color="auto"/>
      </w:divBdr>
    </w:div>
    <w:div w:id="2014066086">
      <w:bodyDiv w:val="1"/>
      <w:marLeft w:val="0"/>
      <w:marRight w:val="0"/>
      <w:marTop w:val="0"/>
      <w:marBottom w:val="0"/>
      <w:divBdr>
        <w:top w:val="none" w:sz="0" w:space="0" w:color="auto"/>
        <w:left w:val="none" w:sz="0" w:space="0" w:color="auto"/>
        <w:bottom w:val="none" w:sz="0" w:space="0" w:color="auto"/>
        <w:right w:val="none" w:sz="0" w:space="0" w:color="auto"/>
      </w:divBdr>
    </w:div>
    <w:div w:id="206425469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2220795">
          <w:marLeft w:val="0"/>
          <w:marRight w:val="0"/>
          <w:marTop w:val="0"/>
          <w:marBottom w:val="0"/>
          <w:divBdr>
            <w:top w:val="none" w:sz="0" w:space="0" w:color="auto"/>
            <w:left w:val="none" w:sz="0" w:space="0" w:color="auto"/>
            <w:bottom w:val="none" w:sz="0" w:space="0" w:color="auto"/>
            <w:right w:val="none" w:sz="0" w:space="0" w:color="auto"/>
          </w:divBdr>
          <w:divsChild>
            <w:div w:id="19198256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7811380">
                  <w:marLeft w:val="0"/>
                  <w:marRight w:val="0"/>
                  <w:marTop w:val="0"/>
                  <w:marBottom w:val="0"/>
                  <w:divBdr>
                    <w:top w:val="none" w:sz="0" w:space="0" w:color="auto"/>
                    <w:left w:val="none" w:sz="0" w:space="0" w:color="auto"/>
                    <w:bottom w:val="none" w:sz="0" w:space="0" w:color="auto"/>
                    <w:right w:val="none" w:sz="0" w:space="0" w:color="auto"/>
                  </w:divBdr>
                </w:div>
                <w:div w:id="2079134620">
                  <w:marLeft w:val="0"/>
                  <w:marRight w:val="0"/>
                  <w:marTop w:val="0"/>
                  <w:marBottom w:val="0"/>
                  <w:divBdr>
                    <w:top w:val="none" w:sz="0" w:space="0" w:color="auto"/>
                    <w:left w:val="none" w:sz="0" w:space="0" w:color="auto"/>
                    <w:bottom w:val="none" w:sz="0" w:space="0" w:color="auto"/>
                    <w:right w:val="none" w:sz="0" w:space="0" w:color="auto"/>
                  </w:divBdr>
                </w:div>
                <w:div w:id="1207180984">
                  <w:marLeft w:val="0"/>
                  <w:marRight w:val="0"/>
                  <w:marTop w:val="0"/>
                  <w:marBottom w:val="0"/>
                  <w:divBdr>
                    <w:top w:val="none" w:sz="0" w:space="0" w:color="auto"/>
                    <w:left w:val="none" w:sz="0" w:space="0" w:color="auto"/>
                    <w:bottom w:val="none" w:sz="0" w:space="0" w:color="auto"/>
                    <w:right w:val="none" w:sz="0" w:space="0" w:color="auto"/>
                  </w:divBdr>
                </w:div>
                <w:div w:id="371004091">
                  <w:marLeft w:val="0"/>
                  <w:marRight w:val="0"/>
                  <w:marTop w:val="0"/>
                  <w:marBottom w:val="0"/>
                  <w:divBdr>
                    <w:top w:val="none" w:sz="0" w:space="0" w:color="auto"/>
                    <w:left w:val="none" w:sz="0" w:space="0" w:color="auto"/>
                    <w:bottom w:val="none" w:sz="0" w:space="0" w:color="auto"/>
                    <w:right w:val="none" w:sz="0" w:space="0" w:color="auto"/>
                  </w:divBdr>
                </w:div>
                <w:div w:id="403455214">
                  <w:marLeft w:val="0"/>
                  <w:marRight w:val="0"/>
                  <w:marTop w:val="0"/>
                  <w:marBottom w:val="0"/>
                  <w:divBdr>
                    <w:top w:val="none" w:sz="0" w:space="0" w:color="auto"/>
                    <w:left w:val="none" w:sz="0" w:space="0" w:color="auto"/>
                    <w:bottom w:val="none" w:sz="0" w:space="0" w:color="auto"/>
                    <w:right w:val="none" w:sz="0" w:space="0" w:color="auto"/>
                  </w:divBdr>
                </w:div>
                <w:div w:id="557667952">
                  <w:marLeft w:val="0"/>
                  <w:marRight w:val="0"/>
                  <w:marTop w:val="0"/>
                  <w:marBottom w:val="0"/>
                  <w:divBdr>
                    <w:top w:val="none" w:sz="0" w:space="0" w:color="auto"/>
                    <w:left w:val="none" w:sz="0" w:space="0" w:color="auto"/>
                    <w:bottom w:val="none" w:sz="0" w:space="0" w:color="auto"/>
                    <w:right w:val="none" w:sz="0" w:space="0" w:color="auto"/>
                  </w:divBdr>
                </w:div>
                <w:div w:id="453907617">
                  <w:marLeft w:val="0"/>
                  <w:marRight w:val="0"/>
                  <w:marTop w:val="0"/>
                  <w:marBottom w:val="0"/>
                  <w:divBdr>
                    <w:top w:val="none" w:sz="0" w:space="0" w:color="auto"/>
                    <w:left w:val="none" w:sz="0" w:space="0" w:color="auto"/>
                    <w:bottom w:val="none" w:sz="0" w:space="0" w:color="auto"/>
                    <w:right w:val="none" w:sz="0" w:space="0" w:color="auto"/>
                  </w:divBdr>
                </w:div>
                <w:div w:id="21421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9" Type="http://schemas.openxmlformats.org/officeDocument/2006/relationships/image" Target="media/image24.png"/><Relationship Id="rId21" Type="http://schemas.openxmlformats.org/officeDocument/2006/relationships/image" Target="media/image12.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36" Type="http://schemas.openxmlformats.org/officeDocument/2006/relationships/image" Target="media/image21.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6.png"/><Relationship Id="rId73"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theme" Target="theme/theme1.xml"/><Relationship Id="rId69" Type="http://schemas.microsoft.com/office/2011/relationships/people" Target="people.xml"/><Relationship Id="rId8" Type="http://schemas.openxmlformats.org/officeDocument/2006/relationships/footnotes" Target="footnotes.xml"/><Relationship Id="rId72" Type="http://schemas.openxmlformats.org/officeDocument/2006/relationships/customXml" Target="../customXml/item4.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33" Type="http://schemas.openxmlformats.org/officeDocument/2006/relationships/image" Target="media/image18.png"/><Relationship Id="rId38" Type="http://schemas.openxmlformats.org/officeDocument/2006/relationships/image" Target="media/image23.png"/><Relationship Id="rId20" Type="http://schemas.openxmlformats.org/officeDocument/2006/relationships/image" Target="media/image11.png"/><Relationship Id="rId41" Type="http://schemas.openxmlformats.org/officeDocument/2006/relationships/image" Target="media/image26.png"/><Relationship Id="rId7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EBEFD-F282-4173-9C58-3AD2706E573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C852955-0595-4E31-847D-01582E1E5675}"/>
</file>

<file path=customXml/itemProps4.xml><?xml version="1.0" encoding="utf-8"?>
<ds:datastoreItem xmlns:ds="http://schemas.openxmlformats.org/officeDocument/2006/customXml" ds:itemID="{FD4CAA38-91A3-4B11-B6DD-0ECEC25212A4}"/>
</file>

<file path=customXml/itemProps5.xml><?xml version="1.0" encoding="utf-8"?>
<ds:datastoreItem xmlns:ds="http://schemas.openxmlformats.org/officeDocument/2006/customXml" ds:itemID="{9EF06085-8E3E-4602-8B8C-679AA084622D}"/>
</file>

<file path=docProps/app.xml><?xml version="1.0" encoding="utf-8"?>
<Properties xmlns="http://schemas.openxmlformats.org/officeDocument/2006/extended-properties" xmlns:vt="http://schemas.openxmlformats.org/officeDocument/2006/docPropsVTypes">
  <Template>6EF611DC</Template>
  <TotalTime>0</TotalTime>
  <Pages>34</Pages>
  <Words>5221</Words>
  <Characters>28572</Characters>
  <Application>Microsoft Office Word</Application>
  <DocSecurity>0</DocSecurity>
  <Lines>696</Lines>
  <Paragraphs>397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2015-08-20T02:00:00Z</dcterms:created>
  <dcterms:modified xsi:type="dcterms:W3CDTF">2015-08-20T04:10:00Z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