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0B" w:rsidRDefault="00B911FE" w:rsidP="0045550B">
      <w:pPr>
        <w:pStyle w:val="Heading1"/>
        <w:spacing w:before="0" w:after="0"/>
        <w:jc w:val="center"/>
        <w:rPr>
          <w:sz w:val="34"/>
          <w:szCs w:val="34"/>
        </w:rPr>
        <w:sectPr w:rsidR="0045550B" w:rsidSect="002A6F7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133" w:bottom="1440" w:left="1276" w:header="708" w:footer="708" w:gutter="0"/>
          <w:pgNumType w:start="1"/>
          <w:cols w:space="708"/>
          <w:docGrid w:linePitch="360"/>
        </w:sectPr>
      </w:pPr>
      <w:bookmarkStart w:id="0" w:name="_Toc351474478"/>
      <w:bookmarkStart w:id="1" w:name="_GoBack"/>
      <w:bookmarkEnd w:id="1"/>
      <w:r w:rsidRPr="00347731">
        <w:rPr>
          <w:sz w:val="34"/>
          <w:szCs w:val="34"/>
        </w:rPr>
        <w:t>Investment for Development</w:t>
      </w:r>
    </w:p>
    <w:p w:rsidR="00B911FE" w:rsidRDefault="0045550B" w:rsidP="0045550B">
      <w:pPr>
        <w:pStyle w:val="Heading1"/>
        <w:spacing w:before="0" w:after="360"/>
      </w:pPr>
      <w:r>
        <w:rPr>
          <w:noProof/>
          <w:lang w:eastAsia="en-AU"/>
        </w:rPr>
        <w:lastRenderedPageBreak/>
        <mc:AlternateContent>
          <mc:Choice Requires="wps">
            <w:drawing>
              <wp:anchor distT="0" distB="0" distL="114300" distR="114300" simplePos="0" relativeHeight="251661312" behindDoc="0" locked="0" layoutInCell="1" allowOverlap="1" wp14:anchorId="2167D785" wp14:editId="27C3C3D6">
                <wp:simplePos x="0" y="0"/>
                <wp:positionH relativeFrom="column">
                  <wp:posOffset>51435</wp:posOffset>
                </wp:positionH>
                <wp:positionV relativeFrom="paragraph">
                  <wp:posOffset>269241</wp:posOffset>
                </wp:positionV>
                <wp:extent cx="5857875" cy="19050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905000"/>
                        </a:xfrm>
                        <a:prstGeom prst="rect">
                          <a:avLst/>
                        </a:prstGeom>
                        <a:solidFill>
                          <a:srgbClr val="FFFFFF"/>
                        </a:solidFill>
                        <a:ln w="19050">
                          <a:solidFill>
                            <a:srgbClr val="FFC000"/>
                          </a:solidFill>
                          <a:miter lim="800000"/>
                          <a:headEnd/>
                          <a:tailEnd/>
                        </a:ln>
                      </wps:spPr>
                      <wps:txbx>
                        <w:txbxContent>
                          <w:p w:rsidR="00B6415E" w:rsidRPr="00FE766A" w:rsidRDefault="00B6415E" w:rsidP="00AA10C0">
                            <w:pPr>
                              <w:pStyle w:val="Heading2"/>
                              <w:spacing w:before="0" w:after="120"/>
                              <w:rPr>
                                <w:color w:val="auto"/>
                              </w:rPr>
                            </w:pPr>
                            <w:bookmarkStart w:id="2" w:name="_Toc351474479"/>
                            <w:r w:rsidRPr="00FE766A">
                              <w:rPr>
                                <w:color w:val="auto"/>
                              </w:rPr>
                              <w:t>This document explains</w:t>
                            </w:r>
                            <w:bookmarkEnd w:id="2"/>
                          </w:p>
                          <w:p w:rsidR="00B6415E" w:rsidRDefault="00B6415E" w:rsidP="003E583F">
                            <w:pPr>
                              <w:tabs>
                                <w:tab w:val="left" w:pos="993"/>
                              </w:tabs>
                              <w:spacing w:after="60"/>
                            </w:pPr>
                            <w:r>
                              <w:t xml:space="preserve">Page 1-2  </w:t>
                            </w:r>
                            <w:r>
                              <w:tab/>
                              <w:t>Challenge funds and the Enterprise Challenge Fund pilot program</w:t>
                            </w:r>
                          </w:p>
                          <w:p w:rsidR="00B6415E" w:rsidRDefault="00B6415E" w:rsidP="003E583F">
                            <w:pPr>
                              <w:tabs>
                                <w:tab w:val="left" w:pos="993"/>
                              </w:tabs>
                              <w:spacing w:after="60"/>
                            </w:pPr>
                            <w:r>
                              <w:t xml:space="preserve">Page 3 </w:t>
                            </w:r>
                            <w:r>
                              <w:tab/>
                              <w:t>Where a challenge fund may be appropriate to drive sustainable economic development</w:t>
                            </w:r>
                          </w:p>
                          <w:p w:rsidR="00B6415E" w:rsidRDefault="00B6415E" w:rsidP="00E40576">
                            <w:pPr>
                              <w:tabs>
                                <w:tab w:val="left" w:pos="993"/>
                              </w:tabs>
                              <w:spacing w:after="60"/>
                              <w:ind w:left="990" w:hanging="990"/>
                            </w:pPr>
                            <w:r>
                              <w:t>Page 4</w:t>
                            </w:r>
                            <w:r>
                              <w:tab/>
                            </w:r>
                            <w:r>
                              <w:tab/>
                            </w:r>
                            <w:r w:rsidR="006C7C8B">
                              <w:t>R</w:t>
                            </w:r>
                            <w:r>
                              <w:t xml:space="preserve">isks to be managed if DFAT teams decide a challenge fund is appropriate </w:t>
                            </w:r>
                          </w:p>
                          <w:p w:rsidR="00B6415E" w:rsidRDefault="00B6415E" w:rsidP="00E40576">
                            <w:pPr>
                              <w:tabs>
                                <w:tab w:val="left" w:pos="993"/>
                              </w:tabs>
                              <w:spacing w:after="60"/>
                              <w:ind w:left="68" w:hanging="68"/>
                            </w:pPr>
                            <w:r>
                              <w:t xml:space="preserve">Page 4-5 </w:t>
                            </w:r>
                            <w:r>
                              <w:tab/>
                              <w:t xml:space="preserve">The considerable work that </w:t>
                            </w:r>
                            <w:r w:rsidR="00973D53">
                              <w:t>should</w:t>
                            </w:r>
                            <w:r>
                              <w:t xml:space="preserve"> occur to design and implement an effective </w:t>
                            </w:r>
                            <w:r w:rsidR="00F15788">
                              <w:tab/>
                            </w:r>
                            <w:r>
                              <w:t>challenge fund, and</w:t>
                            </w:r>
                          </w:p>
                          <w:p w:rsidR="00B6415E" w:rsidRPr="00F03ECC" w:rsidRDefault="00B6415E" w:rsidP="00E40576">
                            <w:pPr>
                              <w:tabs>
                                <w:tab w:val="left" w:pos="993"/>
                              </w:tabs>
                              <w:spacing w:after="60"/>
                            </w:pPr>
                            <w:r>
                              <w:t>Page 6</w:t>
                            </w:r>
                            <w:r>
                              <w:tab/>
                              <w:t xml:space="preserve">Useful resources for additional information (this document is intended as an effective </w:t>
                            </w:r>
                            <w:r>
                              <w:tab/>
                              <w:t>summary and not an exhaustive source of programming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pt;margin-top:21.2pt;width:461.25pt;height:1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" strokecolor="#ffc000" strokeweight="1.5pt">
                <v:textbox>
                  <w:txbxContent>
                    <w:p w:rsidR="00B6415E" w:rsidRPr="00FE766A" w:rsidRDefault="00B6415E" w:rsidP="00AA10C0">
                      <w:pPr>
                        <w:pStyle w:val="Heading2"/>
                        <w:spacing w:before="0" w:after="120"/>
                        <w:rPr>
                          <w:color w:val="auto"/>
                        </w:rPr>
                      </w:pPr>
                      <w:bookmarkStart w:id="3" w:name="_Toc351474479"/>
                      <w:r w:rsidRPr="00FE766A">
                        <w:rPr>
                          <w:color w:val="auto"/>
                        </w:rPr>
                        <w:t>This document explains</w:t>
                      </w:r>
                      <w:bookmarkEnd w:id="3"/>
                    </w:p>
                    <w:p w:rsidR="00B6415E" w:rsidRDefault="00B6415E" w:rsidP="003E583F">
                      <w:pPr>
                        <w:tabs>
                          <w:tab w:val="left" w:pos="993"/>
                        </w:tabs>
                        <w:spacing w:after="60"/>
                      </w:pPr>
                      <w:r>
                        <w:t xml:space="preserve">Page 1-2  </w:t>
                      </w:r>
                      <w:r>
                        <w:tab/>
                        <w:t>Challenge funds and the Enterprise Challenge Fund pilot program</w:t>
                      </w:r>
                    </w:p>
                    <w:p w:rsidR="00B6415E" w:rsidRDefault="00B6415E" w:rsidP="003E583F">
                      <w:pPr>
                        <w:tabs>
                          <w:tab w:val="left" w:pos="993"/>
                        </w:tabs>
                        <w:spacing w:after="60"/>
                      </w:pPr>
                      <w:r>
                        <w:t xml:space="preserve">Page 3 </w:t>
                      </w:r>
                      <w:r>
                        <w:tab/>
                        <w:t>Where a challenge fund may be appropriate to drive sustainable economic development</w:t>
                      </w:r>
                    </w:p>
                    <w:p w:rsidR="00B6415E" w:rsidRDefault="00B6415E" w:rsidP="00E40576">
                      <w:pPr>
                        <w:tabs>
                          <w:tab w:val="left" w:pos="993"/>
                        </w:tabs>
                        <w:spacing w:after="60"/>
                        <w:ind w:left="990" w:hanging="990"/>
                      </w:pPr>
                      <w:r>
                        <w:t>Page 4</w:t>
                      </w:r>
                      <w:r>
                        <w:tab/>
                      </w:r>
                      <w:r>
                        <w:tab/>
                      </w:r>
                      <w:r w:rsidR="006C7C8B">
                        <w:t>R</w:t>
                      </w:r>
                      <w:r>
                        <w:t xml:space="preserve">isks to be managed if DFAT teams decide a challenge fund is appropriate </w:t>
                      </w:r>
                    </w:p>
                    <w:p w:rsidR="00B6415E" w:rsidRDefault="00B6415E" w:rsidP="00E40576">
                      <w:pPr>
                        <w:tabs>
                          <w:tab w:val="left" w:pos="993"/>
                        </w:tabs>
                        <w:spacing w:after="60"/>
                        <w:ind w:left="68" w:hanging="68"/>
                      </w:pPr>
                      <w:r>
                        <w:t xml:space="preserve">Page 4-5 </w:t>
                      </w:r>
                      <w:r>
                        <w:tab/>
                        <w:t xml:space="preserve">The considerable work that </w:t>
                      </w:r>
                      <w:r w:rsidR="00973D53">
                        <w:t>should</w:t>
                      </w:r>
                      <w:r>
                        <w:t xml:space="preserve"> occur to design and implement an effective </w:t>
                      </w:r>
                      <w:r w:rsidR="00F15788">
                        <w:tab/>
                      </w:r>
                      <w:r>
                        <w:t xml:space="preserve">challenge </w:t>
                      </w:r>
                      <w:bookmarkStart w:id="4" w:name="_GoBack"/>
                      <w:bookmarkEnd w:id="4"/>
                      <w:r>
                        <w:t>fund, and</w:t>
                      </w:r>
                    </w:p>
                    <w:p w:rsidR="00B6415E" w:rsidRPr="00F03ECC" w:rsidRDefault="00B6415E" w:rsidP="00E40576">
                      <w:pPr>
                        <w:tabs>
                          <w:tab w:val="left" w:pos="993"/>
                        </w:tabs>
                        <w:spacing w:after="60"/>
                      </w:pPr>
                      <w:r>
                        <w:t>Page 6</w:t>
                      </w:r>
                      <w:r>
                        <w:tab/>
                        <w:t xml:space="preserve">Useful resources for additional information (this document is intended as an effective </w:t>
                      </w:r>
                      <w:r>
                        <w:tab/>
                        <w:t>summary and not an exhaustive source of programming advice)</w:t>
                      </w:r>
                    </w:p>
                  </w:txbxContent>
                </v:textbox>
              </v:shape>
            </w:pict>
          </mc:Fallback>
        </mc:AlternateContent>
      </w:r>
      <w:r w:rsidR="008B66FC">
        <w:rPr>
          <w:sz w:val="30"/>
          <w:szCs w:val="30"/>
        </w:rPr>
        <w:t>C</w:t>
      </w:r>
      <w:r w:rsidR="006D7FB3">
        <w:rPr>
          <w:sz w:val="30"/>
          <w:szCs w:val="30"/>
        </w:rPr>
        <w:t xml:space="preserve">hallenge </w:t>
      </w:r>
      <w:r w:rsidR="008B66FC">
        <w:rPr>
          <w:sz w:val="30"/>
          <w:szCs w:val="30"/>
        </w:rPr>
        <w:t>F</w:t>
      </w:r>
      <w:r w:rsidR="006D7FB3">
        <w:rPr>
          <w:sz w:val="30"/>
          <w:szCs w:val="30"/>
        </w:rPr>
        <w:t>und</w:t>
      </w:r>
      <w:r w:rsidR="00B911FE" w:rsidRPr="00347731">
        <w:rPr>
          <w:sz w:val="30"/>
          <w:szCs w:val="30"/>
        </w:rPr>
        <w:t xml:space="preserve">s to </w:t>
      </w:r>
      <w:r w:rsidR="007C45AD" w:rsidRPr="00347731">
        <w:rPr>
          <w:sz w:val="30"/>
          <w:szCs w:val="30"/>
        </w:rPr>
        <w:t>O</w:t>
      </w:r>
      <w:r w:rsidR="00B911FE" w:rsidRPr="00347731">
        <w:rPr>
          <w:sz w:val="30"/>
          <w:szCs w:val="30"/>
        </w:rPr>
        <w:t xml:space="preserve">vercome </w:t>
      </w:r>
      <w:r w:rsidR="007C45AD" w:rsidRPr="00347731">
        <w:rPr>
          <w:sz w:val="30"/>
          <w:szCs w:val="30"/>
        </w:rPr>
        <w:t>B</w:t>
      </w:r>
      <w:r w:rsidR="00B911FE" w:rsidRPr="00347731">
        <w:rPr>
          <w:sz w:val="30"/>
          <w:szCs w:val="30"/>
        </w:rPr>
        <w:t xml:space="preserve">arriers to </w:t>
      </w:r>
      <w:r w:rsidR="007C45AD" w:rsidRPr="00347731">
        <w:rPr>
          <w:sz w:val="30"/>
          <w:szCs w:val="30"/>
        </w:rPr>
        <w:t>P</w:t>
      </w:r>
      <w:r w:rsidR="00B911FE" w:rsidRPr="00347731">
        <w:rPr>
          <w:sz w:val="30"/>
          <w:szCs w:val="30"/>
        </w:rPr>
        <w:t xml:space="preserve">rivate </w:t>
      </w:r>
      <w:r w:rsidR="007C45AD" w:rsidRPr="00347731">
        <w:rPr>
          <w:sz w:val="30"/>
          <w:szCs w:val="30"/>
        </w:rPr>
        <w:t>S</w:t>
      </w:r>
      <w:r w:rsidR="00B911FE" w:rsidRPr="00347731">
        <w:rPr>
          <w:sz w:val="30"/>
          <w:szCs w:val="30"/>
        </w:rPr>
        <w:t xml:space="preserve">ector </w:t>
      </w:r>
      <w:r w:rsidR="007C45AD" w:rsidRPr="00347731">
        <w:rPr>
          <w:sz w:val="30"/>
          <w:szCs w:val="30"/>
        </w:rPr>
        <w:t>G</w:t>
      </w:r>
      <w:r w:rsidR="00B911FE" w:rsidRPr="00347731">
        <w:rPr>
          <w:sz w:val="30"/>
          <w:szCs w:val="30"/>
        </w:rPr>
        <w:t>rowth</w:t>
      </w:r>
    </w:p>
    <w:bookmarkEnd w:id="0"/>
    <w:p w:rsidR="00D32225" w:rsidRDefault="00D32225" w:rsidP="00C55ABE">
      <w:pPr>
        <w:spacing w:after="240"/>
      </w:pPr>
    </w:p>
    <w:p w:rsidR="00D32225" w:rsidRDefault="00D32225" w:rsidP="00C55ABE">
      <w:pPr>
        <w:spacing w:after="240"/>
      </w:pPr>
    </w:p>
    <w:p w:rsidR="00D32225" w:rsidRDefault="00D32225" w:rsidP="00C55ABE">
      <w:pPr>
        <w:spacing w:after="240"/>
      </w:pPr>
    </w:p>
    <w:p w:rsidR="00D32225" w:rsidRDefault="00D32225" w:rsidP="00C55ABE">
      <w:pPr>
        <w:spacing w:after="240"/>
      </w:pPr>
    </w:p>
    <w:p w:rsidR="00D32225" w:rsidRDefault="00D32225" w:rsidP="00C55ABE">
      <w:pPr>
        <w:spacing w:after="240"/>
      </w:pPr>
    </w:p>
    <w:p w:rsidR="005A068D" w:rsidRDefault="000D0E14" w:rsidP="0045550B">
      <w:pPr>
        <w:pStyle w:val="Heading2"/>
        <w:spacing w:before="0"/>
      </w:pPr>
      <w:bookmarkStart w:id="3" w:name="_Toc351474480"/>
      <w:r>
        <w:t xml:space="preserve">What is a </w:t>
      </w:r>
      <w:r w:rsidR="006D7FB3">
        <w:t>challenge fund</w:t>
      </w:r>
      <w:r>
        <w:t>?</w:t>
      </w:r>
      <w:bookmarkEnd w:id="3"/>
    </w:p>
    <w:p w:rsidR="00A476A3" w:rsidRDefault="004F1B72" w:rsidP="001D5A54">
      <w:pPr>
        <w:pStyle w:val="ListParagraph"/>
        <w:numPr>
          <w:ilvl w:val="0"/>
          <w:numId w:val="13"/>
        </w:numPr>
        <w:spacing w:after="60"/>
        <w:ind w:left="426" w:hanging="357"/>
        <w:contextualSpacing w:val="0"/>
      </w:pPr>
      <w:r>
        <w:t xml:space="preserve">A </w:t>
      </w:r>
      <w:r w:rsidR="006D7FB3">
        <w:t>challenge fund</w:t>
      </w:r>
      <w:r>
        <w:t xml:space="preserve"> </w:t>
      </w:r>
      <w:r w:rsidR="003137B5">
        <w:t xml:space="preserve">provides cash incentives for individuals or groups to </w:t>
      </w:r>
      <w:r w:rsidR="00DB1568">
        <w:t>meet</w:t>
      </w:r>
      <w:r w:rsidR="00883D92">
        <w:t xml:space="preserve"> a</w:t>
      </w:r>
      <w:r w:rsidR="003137B5">
        <w:t xml:space="preserve"> need that is not being met by institutions or markets </w:t>
      </w:r>
      <w:r w:rsidR="002F75EF">
        <w:t>alone</w:t>
      </w:r>
      <w:r w:rsidR="00C97605">
        <w:t xml:space="preserve"> – </w:t>
      </w:r>
      <w:r w:rsidR="003137B5">
        <w:t xml:space="preserve">in short, it </w:t>
      </w:r>
      <w:r w:rsidR="00A7557A">
        <w:t>rewards</w:t>
      </w:r>
      <w:r w:rsidR="003137B5">
        <w:t xml:space="preserve"> </w:t>
      </w:r>
      <w:r w:rsidR="00B039E9">
        <w:t xml:space="preserve">people </w:t>
      </w:r>
      <w:r w:rsidR="00F7454A">
        <w:t xml:space="preserve">who respond </w:t>
      </w:r>
      <w:r w:rsidR="00B039E9">
        <w:t>to</w:t>
      </w:r>
      <w:r w:rsidR="00BA2C30">
        <w:t xml:space="preserve"> a specific challenge.</w:t>
      </w:r>
    </w:p>
    <w:p w:rsidR="003137B5" w:rsidRDefault="00B039E9" w:rsidP="00C47AB8">
      <w:pPr>
        <w:pStyle w:val="ListParagraph"/>
        <w:numPr>
          <w:ilvl w:val="0"/>
          <w:numId w:val="13"/>
        </w:numPr>
        <w:spacing w:after="60"/>
        <w:ind w:left="426" w:hanging="357"/>
        <w:contextualSpacing w:val="0"/>
      </w:pPr>
      <w:r>
        <w:t xml:space="preserve">Many challenge funds are </w:t>
      </w:r>
      <w:r w:rsidR="00B177F2">
        <w:t xml:space="preserve">‘push’ mechanisms </w:t>
      </w:r>
      <w:r>
        <w:t>–</w:t>
      </w:r>
      <w:r w:rsidR="00E55F97">
        <w:t xml:space="preserve"> </w:t>
      </w:r>
      <w:r w:rsidR="00AA059E">
        <w:t>g</w:t>
      </w:r>
      <w:r>
        <w:t xml:space="preserve">rants awarded under competitive tender to </w:t>
      </w:r>
      <w:r w:rsidR="00DB1EDB">
        <w:t>pursue</w:t>
      </w:r>
      <w:r>
        <w:t xml:space="preserve"> </w:t>
      </w:r>
      <w:r w:rsidR="000F2C30">
        <w:t>desirable initiatives</w:t>
      </w:r>
      <w:r>
        <w:t xml:space="preserve">. Challenge funds </w:t>
      </w:r>
      <w:r w:rsidR="00991C66">
        <w:t>could</w:t>
      </w:r>
      <w:r>
        <w:t xml:space="preserve"> also be </w:t>
      </w:r>
      <w:r w:rsidR="00B177F2">
        <w:t xml:space="preserve">‘pull’ mechanisms </w:t>
      </w:r>
      <w:r w:rsidR="002E78B0">
        <w:t>–</w:t>
      </w:r>
      <w:r w:rsidR="00E55F97">
        <w:t xml:space="preserve"> </w:t>
      </w:r>
      <w:r w:rsidR="00B177F2">
        <w:t>reward</w:t>
      </w:r>
      <w:r w:rsidR="002E78B0">
        <w:t>ing</w:t>
      </w:r>
      <w:r w:rsidR="00B177F2">
        <w:t xml:space="preserve"> proven achievement</w:t>
      </w:r>
      <w:r w:rsidR="0083027A">
        <w:t>s</w:t>
      </w:r>
      <w:r w:rsidR="003A432F">
        <w:t xml:space="preserve"> that meet program objectives</w:t>
      </w:r>
      <w:r w:rsidR="00B177F2">
        <w:t>.</w:t>
      </w:r>
      <w:r w:rsidR="00C47AB8">
        <w:t xml:space="preserve"> The overall objective is to encourage people to pursue desirable initiatives that have high costs or other risks</w:t>
      </w:r>
      <w:r w:rsidR="000334F8">
        <w:t xml:space="preserve"> that</w:t>
      </w:r>
      <w:r w:rsidR="00C47AB8">
        <w:t xml:space="preserve"> discourage people taking the first steps.</w:t>
      </w:r>
    </w:p>
    <w:p w:rsidR="007C31FF" w:rsidRDefault="00473983" w:rsidP="001D5A54">
      <w:pPr>
        <w:pStyle w:val="ListParagraph"/>
        <w:numPr>
          <w:ilvl w:val="0"/>
          <w:numId w:val="13"/>
        </w:numPr>
        <w:spacing w:after="60"/>
        <w:ind w:left="426" w:hanging="357"/>
        <w:contextualSpacing w:val="0"/>
      </w:pPr>
      <w:r>
        <w:t xml:space="preserve">This guidance note focuses on enterprise </w:t>
      </w:r>
      <w:r w:rsidR="006D7FB3">
        <w:t>challenge fund</w:t>
      </w:r>
      <w:r>
        <w:t xml:space="preserve">s </w:t>
      </w:r>
      <w:r w:rsidR="003137B5">
        <w:t xml:space="preserve"> </w:t>
      </w:r>
      <w:r>
        <w:t>–</w:t>
      </w:r>
      <w:r w:rsidR="00E55F97">
        <w:t xml:space="preserve"> </w:t>
      </w:r>
      <w:r w:rsidR="00226183">
        <w:t>funds that invest</w:t>
      </w:r>
      <w:r>
        <w:t xml:space="preserve"> </w:t>
      </w:r>
      <w:r w:rsidR="00226183">
        <w:t xml:space="preserve">in </w:t>
      </w:r>
      <w:r>
        <w:t xml:space="preserve">business opportunities </w:t>
      </w:r>
      <w:r w:rsidR="00226183">
        <w:t xml:space="preserve">that will </w:t>
      </w:r>
      <w:r>
        <w:t>overcome barriers to future business growth</w:t>
      </w:r>
      <w:r w:rsidR="00E55F97">
        <w:t xml:space="preserve"> </w:t>
      </w:r>
      <w:r>
        <w:t xml:space="preserve">– but challenge funds </w:t>
      </w:r>
      <w:r w:rsidR="003137B5">
        <w:t>may take various forms</w:t>
      </w:r>
      <w:r w:rsidR="007C31FF">
        <w:t>:</w:t>
      </w:r>
    </w:p>
    <w:p w:rsidR="00473983" w:rsidRDefault="00473983" w:rsidP="00DB1447">
      <w:pPr>
        <w:pStyle w:val="ListParagraph"/>
        <w:numPr>
          <w:ilvl w:val="1"/>
          <w:numId w:val="13"/>
        </w:numPr>
        <w:spacing w:after="60"/>
        <w:ind w:left="709" w:hanging="283"/>
        <w:contextualSpacing w:val="0"/>
      </w:pPr>
      <w:r>
        <w:t xml:space="preserve">The Child Education Challenge Fund </w:t>
      </w:r>
      <w:r w:rsidR="00DB1447">
        <w:t>by the M</w:t>
      </w:r>
      <w:r>
        <w:t xml:space="preserve">ohammed bin Rashid Al Maktoum Foundation </w:t>
      </w:r>
      <w:r w:rsidR="00226183">
        <w:t>invest</w:t>
      </w:r>
      <w:r w:rsidR="00734430">
        <w:t>ed</w:t>
      </w:r>
      <w:r w:rsidR="00226183">
        <w:t xml:space="preserve"> in</w:t>
      </w:r>
      <w:r>
        <w:t xml:space="preserve"> business proposals </w:t>
      </w:r>
      <w:r w:rsidR="007F5799">
        <w:t>to</w:t>
      </w:r>
      <w:r>
        <w:t xml:space="preserve"> improve education outcomes</w:t>
      </w:r>
      <w:r w:rsidR="0033187D">
        <w:t xml:space="preserve"> (</w:t>
      </w:r>
      <w:r w:rsidR="00872AD3">
        <w:t xml:space="preserve">better </w:t>
      </w:r>
      <w:r w:rsidR="0033187D">
        <w:t>education is the challenge)</w:t>
      </w:r>
      <w:r w:rsidR="009965C3">
        <w:t>.</w:t>
      </w:r>
    </w:p>
    <w:p w:rsidR="00226183" w:rsidRDefault="00226183" w:rsidP="00DB1447">
      <w:pPr>
        <w:pStyle w:val="ListParagraph"/>
        <w:numPr>
          <w:ilvl w:val="1"/>
          <w:numId w:val="13"/>
        </w:numPr>
        <w:spacing w:after="60"/>
        <w:ind w:left="709" w:hanging="283"/>
        <w:contextualSpacing w:val="0"/>
      </w:pPr>
      <w:r>
        <w:t xml:space="preserve">The UK Government’s University Challenge Funds invested in proposals </w:t>
      </w:r>
      <w:r w:rsidR="00AF24C4">
        <w:t xml:space="preserve">that would </w:t>
      </w:r>
      <w:r w:rsidR="008D4DFF">
        <w:t>turn</w:t>
      </w:r>
      <w:r w:rsidR="00AF24C4">
        <w:t xml:space="preserve"> </w:t>
      </w:r>
      <w:r w:rsidRPr="00AF24C4">
        <w:t>university research discoveries</w:t>
      </w:r>
      <w:r w:rsidR="00AF24C4" w:rsidRPr="00AF24C4">
        <w:t xml:space="preserve"> into commercial </w:t>
      </w:r>
      <w:r w:rsidR="008D4DFF">
        <w:t>products</w:t>
      </w:r>
      <w:r w:rsidR="0033187D">
        <w:t xml:space="preserve"> (commercial application is the challenge)</w:t>
      </w:r>
      <w:r w:rsidR="00AF24C4" w:rsidRPr="00AF24C4">
        <w:t>.</w:t>
      </w:r>
    </w:p>
    <w:p w:rsidR="00FA24B0" w:rsidRDefault="000D0E14" w:rsidP="008D164E">
      <w:pPr>
        <w:pStyle w:val="Heading2"/>
      </w:pPr>
      <w:bookmarkStart w:id="4" w:name="_Toc351474481"/>
      <w:r>
        <w:t xml:space="preserve">The </w:t>
      </w:r>
      <w:r w:rsidR="00FA24B0">
        <w:t xml:space="preserve">Enterprise </w:t>
      </w:r>
      <w:r w:rsidR="000F441E">
        <w:t>C</w:t>
      </w:r>
      <w:r w:rsidR="006D7FB3">
        <w:t xml:space="preserve">hallenge </w:t>
      </w:r>
      <w:r w:rsidR="000F441E">
        <w:t>F</w:t>
      </w:r>
      <w:r w:rsidR="006D7FB3">
        <w:t>und</w:t>
      </w:r>
      <w:bookmarkEnd w:id="4"/>
      <w:r w:rsidR="002C7F28">
        <w:t xml:space="preserve"> for the Pacific and S</w:t>
      </w:r>
      <w:r w:rsidR="00ED6CDA">
        <w:t xml:space="preserve">outh </w:t>
      </w:r>
      <w:r w:rsidR="002C7F28">
        <w:t>E</w:t>
      </w:r>
      <w:r w:rsidR="00ED6CDA">
        <w:t>ast</w:t>
      </w:r>
      <w:r w:rsidR="002C7F28">
        <w:t xml:space="preserve"> Asia</w:t>
      </w:r>
    </w:p>
    <w:p w:rsidR="00A476A3" w:rsidRDefault="000D0E14" w:rsidP="004A0B5E">
      <w:pPr>
        <w:pStyle w:val="ListParagraph"/>
        <w:numPr>
          <w:ilvl w:val="0"/>
          <w:numId w:val="12"/>
        </w:numPr>
        <w:spacing w:after="60"/>
        <w:ind w:left="425" w:hanging="357"/>
        <w:contextualSpacing w:val="0"/>
      </w:pPr>
      <w:r>
        <w:t xml:space="preserve">From 2007 to 2013, AusAID ran a pilot </w:t>
      </w:r>
      <w:r w:rsidR="005B1580">
        <w:t xml:space="preserve">program called the </w:t>
      </w:r>
      <w:r>
        <w:t xml:space="preserve">Enterprise </w:t>
      </w:r>
      <w:r w:rsidR="00B06D88">
        <w:t>C</w:t>
      </w:r>
      <w:r w:rsidR="006D7FB3">
        <w:t xml:space="preserve">hallenge </w:t>
      </w:r>
      <w:r w:rsidR="00B06D88">
        <w:t>F</w:t>
      </w:r>
      <w:r w:rsidR="006D7FB3">
        <w:t>und</w:t>
      </w:r>
      <w:r w:rsidR="00B06D88">
        <w:t xml:space="preserve"> </w:t>
      </w:r>
      <w:r w:rsidR="008870E6">
        <w:t>for the Pacific and South East Asia</w:t>
      </w:r>
      <w:r w:rsidR="00427F67">
        <w:t xml:space="preserve"> (ECF p</w:t>
      </w:r>
      <w:r w:rsidR="00CF7F85">
        <w:t>ilot)</w:t>
      </w:r>
      <w:r w:rsidR="001B43E9">
        <w:t>.</w:t>
      </w:r>
      <w:r w:rsidR="00B06D88">
        <w:t xml:space="preserve"> </w:t>
      </w:r>
      <w:r w:rsidR="005C7123">
        <w:t>Public sector funds in t</w:t>
      </w:r>
      <w:r w:rsidR="00181043">
        <w:t xml:space="preserve">his program </w:t>
      </w:r>
      <w:r w:rsidR="005C7123">
        <w:t xml:space="preserve">were </w:t>
      </w:r>
      <w:r w:rsidR="00A21ABF">
        <w:t>provided</w:t>
      </w:r>
      <w:r w:rsidR="00181043">
        <w:t xml:space="preserve"> solely by </w:t>
      </w:r>
      <w:r w:rsidR="00452104">
        <w:t>Australia</w:t>
      </w:r>
      <w:r w:rsidR="00181043">
        <w:t>, in contrast to the multi-</w:t>
      </w:r>
      <w:r w:rsidR="00E87D6B">
        <w:t>donor</w:t>
      </w:r>
      <w:r w:rsidR="00181043">
        <w:t xml:space="preserve"> Africa Enterprise Challenge Fund that </w:t>
      </w:r>
      <w:r w:rsidR="00452104">
        <w:t>Australia</w:t>
      </w:r>
      <w:r w:rsidR="00181043">
        <w:t xml:space="preserve"> participates in.</w:t>
      </w:r>
    </w:p>
    <w:p w:rsidR="0076197D" w:rsidRDefault="0076197D" w:rsidP="0076197D">
      <w:pPr>
        <w:pStyle w:val="ListParagraph"/>
        <w:numPr>
          <w:ilvl w:val="0"/>
          <w:numId w:val="12"/>
        </w:numPr>
        <w:spacing w:after="60"/>
        <w:ind w:left="425" w:hanging="357"/>
        <w:contextualSpacing w:val="0"/>
      </w:pPr>
      <w:r>
        <w:t xml:space="preserve">Under the </w:t>
      </w:r>
      <w:r w:rsidR="00376748">
        <w:t>ECF pilot</w:t>
      </w:r>
      <w:r w:rsidR="00AD37CE">
        <w:t xml:space="preserve"> program</w:t>
      </w:r>
      <w:r>
        <w:t xml:space="preserve">, </w:t>
      </w:r>
      <w:r w:rsidR="00452104">
        <w:t>Australia</w:t>
      </w:r>
      <w:r>
        <w:t xml:space="preserve"> provided up to 50% of the investment capital required to expand or start-up </w:t>
      </w:r>
      <w:r w:rsidR="00EE5D44">
        <w:t xml:space="preserve">promising </w:t>
      </w:r>
      <w:r>
        <w:t xml:space="preserve">business opportunities, to </w:t>
      </w:r>
      <w:r w:rsidR="00B52051">
        <w:t>leverage</w:t>
      </w:r>
      <w:r w:rsidR="00876F9E">
        <w:t xml:space="preserve"> </w:t>
      </w:r>
      <w:r w:rsidR="006E1B3A">
        <w:t>‘</w:t>
      </w:r>
      <w:r>
        <w:t>pro-poor</w:t>
      </w:r>
      <w:r w:rsidR="006E1B3A">
        <w:t>’</w:t>
      </w:r>
      <w:r>
        <w:t xml:space="preserve"> private sector investment that would not otherwise occur</w:t>
      </w:r>
      <w:r w:rsidR="000C247A">
        <w:t xml:space="preserve"> (a ‘push’ mechanism model)</w:t>
      </w:r>
      <w:r>
        <w:t>.</w:t>
      </w:r>
    </w:p>
    <w:p w:rsidR="00BC46B0" w:rsidRDefault="000D0E14" w:rsidP="0076197D">
      <w:pPr>
        <w:pStyle w:val="ListParagraph"/>
        <w:numPr>
          <w:ilvl w:val="0"/>
          <w:numId w:val="12"/>
        </w:numPr>
        <w:spacing w:after="60"/>
        <w:ind w:left="425" w:hanging="357"/>
        <w:contextualSpacing w:val="0"/>
      </w:pPr>
      <w:r>
        <w:t xml:space="preserve">The </w:t>
      </w:r>
      <w:r w:rsidR="0098357C">
        <w:t>object</w:t>
      </w:r>
      <w:r w:rsidR="0087644D">
        <w:t>i</w:t>
      </w:r>
      <w:r w:rsidR="0098357C">
        <w:t>ve</w:t>
      </w:r>
      <w:r w:rsidR="00D161E5">
        <w:t xml:space="preserve"> of the </w:t>
      </w:r>
      <w:r w:rsidR="00452104">
        <w:t>ECF pilot</w:t>
      </w:r>
      <w:r w:rsidR="003137B5">
        <w:t xml:space="preserve"> </w:t>
      </w:r>
      <w:r w:rsidR="00D161E5">
        <w:t xml:space="preserve">was to encourage </w:t>
      </w:r>
      <w:r w:rsidR="002647DB">
        <w:t>businesses to pursue</w:t>
      </w:r>
      <w:r w:rsidR="00761E22">
        <w:t xml:space="preserve"> pro</w:t>
      </w:r>
      <w:r w:rsidR="00761E22">
        <w:noBreakHyphen/>
      </w:r>
      <w:r w:rsidR="002647DB">
        <w:t>poor business development opportunities</w:t>
      </w:r>
      <w:r w:rsidR="0093117D">
        <w:t xml:space="preserve"> that would </w:t>
      </w:r>
      <w:r w:rsidR="0093117D" w:rsidRPr="00DA6177">
        <w:rPr>
          <w:rFonts w:ascii="Calibri" w:hAnsi="Calibri" w:cs="Calibri"/>
          <w:i/>
        </w:rPr>
        <w:t xml:space="preserve">catalyse market </w:t>
      </w:r>
      <w:r w:rsidR="005B6435" w:rsidRPr="00DA6177">
        <w:rPr>
          <w:rFonts w:ascii="Calibri" w:hAnsi="Calibri" w:cs="Calibri"/>
          <w:i/>
        </w:rPr>
        <w:t>improvements</w:t>
      </w:r>
      <w:r w:rsidR="00A23FB3" w:rsidRPr="00DA6177">
        <w:rPr>
          <w:rFonts w:ascii="Calibri" w:hAnsi="Calibri" w:cs="Calibri"/>
          <w:i/>
        </w:rPr>
        <w:t xml:space="preserve"> and future </w:t>
      </w:r>
      <w:r w:rsidR="00A14F01">
        <w:rPr>
          <w:rFonts w:ascii="Calibri" w:hAnsi="Calibri" w:cs="Calibri"/>
          <w:i/>
        </w:rPr>
        <w:t xml:space="preserve">business </w:t>
      </w:r>
      <w:r w:rsidR="00A23FB3" w:rsidRPr="00DA6177">
        <w:rPr>
          <w:rFonts w:ascii="Calibri" w:hAnsi="Calibri" w:cs="Calibri"/>
          <w:i/>
        </w:rPr>
        <w:t>growth</w:t>
      </w:r>
      <w:r w:rsidR="00726F56">
        <w:t>.</w:t>
      </w:r>
    </w:p>
    <w:p w:rsidR="0076197D" w:rsidRDefault="0076197D" w:rsidP="0076197D">
      <w:pPr>
        <w:pStyle w:val="ListParagraph"/>
        <w:numPr>
          <w:ilvl w:val="0"/>
          <w:numId w:val="12"/>
        </w:numPr>
        <w:spacing w:after="60"/>
        <w:ind w:left="425" w:hanging="357"/>
        <w:contextualSpacing w:val="0"/>
      </w:pPr>
      <w:r>
        <w:t xml:space="preserve">This is an important distinction – </w:t>
      </w:r>
      <w:r w:rsidR="002159E6">
        <w:t>an</w:t>
      </w:r>
      <w:r w:rsidR="0087644D">
        <w:t xml:space="preserve"> enterprise</w:t>
      </w:r>
      <w:r>
        <w:t xml:space="preserve"> </w:t>
      </w:r>
      <w:r w:rsidR="006D7FB3">
        <w:t>challenge fund</w:t>
      </w:r>
      <w:r>
        <w:t xml:space="preserve"> </w:t>
      </w:r>
      <w:r w:rsidR="00AE60E9">
        <w:t xml:space="preserve">(ECF) </w:t>
      </w:r>
      <w:r>
        <w:t xml:space="preserve">is </w:t>
      </w:r>
      <w:r>
        <w:rPr>
          <w:u w:val="single"/>
        </w:rPr>
        <w:t>not</w:t>
      </w:r>
      <w:r>
        <w:t xml:space="preserve"> intended to simply expand business opportunities that have some form of pro</w:t>
      </w:r>
      <w:r>
        <w:noBreakHyphen/>
        <w:t>poor benefit</w:t>
      </w:r>
      <w:r w:rsidR="0099237A">
        <w:t xml:space="preserve">. </w:t>
      </w:r>
      <w:r w:rsidR="009F3BF4">
        <w:t>An ECF</w:t>
      </w:r>
      <w:r>
        <w:t xml:space="preserve"> should drive strategic investment that will </w:t>
      </w:r>
      <w:r w:rsidR="00E65762">
        <w:t>generate</w:t>
      </w:r>
      <w:r>
        <w:t xml:space="preserve"> </w:t>
      </w:r>
      <w:r w:rsidR="009D6F86">
        <w:t>more</w:t>
      </w:r>
      <w:r>
        <w:t xml:space="preserve"> business growth in the future</w:t>
      </w:r>
      <w:r w:rsidR="0099237A">
        <w:t xml:space="preserve"> (see </w:t>
      </w:r>
      <w:r w:rsidR="004D17C6">
        <w:t>B</w:t>
      </w:r>
      <w:r w:rsidR="0099237A">
        <w:t>ox 2 for detail)</w:t>
      </w:r>
      <w:r>
        <w:t>.</w:t>
      </w:r>
    </w:p>
    <w:p w:rsidR="00541B7D" w:rsidRDefault="004776A1" w:rsidP="003E583F">
      <w:pPr>
        <w:pStyle w:val="Heading2"/>
        <w:spacing w:before="0"/>
        <w:sectPr w:rsidR="00541B7D" w:rsidSect="00541B7D">
          <w:headerReference w:type="default" r:id="rId15"/>
          <w:footerReference w:type="default" r:id="rId16"/>
          <w:type w:val="continuous"/>
          <w:pgSz w:w="11906" w:h="16838"/>
          <w:pgMar w:top="1134" w:right="992" w:bottom="1134" w:left="1134" w:header="709" w:footer="709" w:gutter="0"/>
          <w:cols w:space="708"/>
          <w:docGrid w:linePitch="360"/>
        </w:sectPr>
      </w:pPr>
      <w:bookmarkStart w:id="5" w:name="_Toc351474482"/>
      <w:r>
        <w:lastRenderedPageBreak/>
        <w:t>Why have a</w:t>
      </w:r>
      <w:r w:rsidR="009C6075">
        <w:t xml:space="preserve"> </w:t>
      </w:r>
      <w:r w:rsidR="006D7FB3">
        <w:t>challenge fund</w:t>
      </w:r>
      <w:r>
        <w:t xml:space="preserve"> with the private sector?</w:t>
      </w:r>
      <w:bookmarkEnd w:id="5"/>
    </w:p>
    <w:p w:rsidR="0006354C" w:rsidRDefault="0006354C" w:rsidP="004A0B5E">
      <w:pPr>
        <w:pStyle w:val="ListParagraph"/>
        <w:numPr>
          <w:ilvl w:val="0"/>
          <w:numId w:val="14"/>
        </w:numPr>
        <w:spacing w:after="60"/>
        <w:ind w:left="426" w:hanging="357"/>
        <w:contextualSpacing w:val="0"/>
      </w:pPr>
      <w:r>
        <w:lastRenderedPageBreak/>
        <w:t>G</w:t>
      </w:r>
      <w:r w:rsidR="002647DB">
        <w:t>rowth in pri</w:t>
      </w:r>
      <w:r w:rsidR="005A2B14">
        <w:t>vate sector business and trade can be</w:t>
      </w:r>
      <w:r w:rsidR="002647DB">
        <w:t xml:space="preserve"> a</w:t>
      </w:r>
      <w:r w:rsidR="00800388">
        <w:t>n effective</w:t>
      </w:r>
      <w:r w:rsidR="002647DB">
        <w:t xml:space="preserve"> method of reducing poverty</w:t>
      </w:r>
      <w:r w:rsidR="009830D0">
        <w:t xml:space="preserve"> </w:t>
      </w:r>
      <w:r>
        <w:t xml:space="preserve">but </w:t>
      </w:r>
      <w:r w:rsidR="00272D69">
        <w:t xml:space="preserve">growth can be impeded by weaknesses </w:t>
      </w:r>
      <w:r w:rsidR="002647DB" w:rsidRPr="001F7AAD">
        <w:t>in the business enabling environment</w:t>
      </w:r>
      <w:r>
        <w:t>.</w:t>
      </w:r>
    </w:p>
    <w:p w:rsidR="00216304" w:rsidRDefault="007B245C" w:rsidP="00984098">
      <w:pPr>
        <w:pStyle w:val="ListParagraph"/>
        <w:numPr>
          <w:ilvl w:val="1"/>
          <w:numId w:val="13"/>
        </w:numPr>
        <w:spacing w:after="60"/>
        <w:ind w:left="709" w:hanging="283"/>
        <w:contextualSpacing w:val="0"/>
      </w:pPr>
      <w:r>
        <w:t>For example, i</w:t>
      </w:r>
      <w:r w:rsidR="009830D0">
        <w:t>n places where investment capacity or business confidence is low,</w:t>
      </w:r>
      <w:r w:rsidR="00FD7ECB">
        <w:t xml:space="preserve"> or </w:t>
      </w:r>
      <w:r w:rsidR="00ED17FF">
        <w:t xml:space="preserve">barriers to </w:t>
      </w:r>
      <w:r w:rsidR="00FD7ECB">
        <w:t xml:space="preserve">market entry are </w:t>
      </w:r>
      <w:r w:rsidR="00ED17FF">
        <w:t>costly to overcome</w:t>
      </w:r>
      <w:r w:rsidR="00FD7ECB">
        <w:t>,</w:t>
      </w:r>
      <w:r w:rsidR="009830D0">
        <w:t xml:space="preserve"> </w:t>
      </w:r>
      <w:r w:rsidR="00FB14A9">
        <w:t xml:space="preserve">even profitable </w:t>
      </w:r>
      <w:r w:rsidR="009830D0">
        <w:t xml:space="preserve">opportunities that </w:t>
      </w:r>
      <w:r w:rsidR="00452CFF">
        <w:t xml:space="preserve">would </w:t>
      </w:r>
      <w:r w:rsidR="00A14F09">
        <w:t xml:space="preserve">improve </w:t>
      </w:r>
      <w:r w:rsidR="00FB14A9">
        <w:t xml:space="preserve">the </w:t>
      </w:r>
      <w:r w:rsidR="00452CFF">
        <w:t xml:space="preserve">business environment and drive future business growth </w:t>
      </w:r>
      <w:r w:rsidR="009830D0">
        <w:t xml:space="preserve">may fail to attract </w:t>
      </w:r>
      <w:r w:rsidR="00DA3A4A">
        <w:t>investment capital</w:t>
      </w:r>
      <w:r w:rsidR="009830D0">
        <w:t>.</w:t>
      </w:r>
    </w:p>
    <w:p w:rsidR="004776A1" w:rsidRDefault="000D0E14" w:rsidP="004A0B5E">
      <w:pPr>
        <w:pStyle w:val="ListParagraph"/>
        <w:numPr>
          <w:ilvl w:val="0"/>
          <w:numId w:val="14"/>
        </w:numPr>
        <w:spacing w:after="60"/>
        <w:ind w:left="426" w:hanging="357"/>
        <w:contextualSpacing w:val="0"/>
      </w:pPr>
      <w:r>
        <w:t>I</w:t>
      </w:r>
      <w:r w:rsidR="009830D0">
        <w:t xml:space="preserve">mproving </w:t>
      </w:r>
      <w:r w:rsidR="009830D0" w:rsidRPr="001F7AAD">
        <w:t xml:space="preserve">the </w:t>
      </w:r>
      <w:r>
        <w:t>underlying structural barriers to business growth</w:t>
      </w:r>
      <w:r w:rsidR="005539FC">
        <w:t xml:space="preserve"> (e.g. regulation and infrastructure)</w:t>
      </w:r>
      <w:r>
        <w:t xml:space="preserve"> </w:t>
      </w:r>
      <w:r w:rsidR="004776A1">
        <w:t xml:space="preserve">is the ideal way to drive </w:t>
      </w:r>
      <w:r w:rsidR="00612E11">
        <w:t xml:space="preserve">sustainable economic development </w:t>
      </w:r>
      <w:r w:rsidR="00AE3C33">
        <w:t xml:space="preserve">but it is a </w:t>
      </w:r>
      <w:r w:rsidR="004776A1">
        <w:t>long</w:t>
      </w:r>
      <w:r w:rsidR="00455222">
        <w:t>er</w:t>
      </w:r>
      <w:r w:rsidR="004776A1">
        <w:t xml:space="preserve">-term </w:t>
      </w:r>
      <w:r w:rsidR="00000893">
        <w:t>task</w:t>
      </w:r>
      <w:r w:rsidR="00AE3C33">
        <w:t>.</w:t>
      </w:r>
      <w:r w:rsidR="009830D0">
        <w:t xml:space="preserve"> </w:t>
      </w:r>
      <w:r w:rsidR="00B92F85">
        <w:t>A</w:t>
      </w:r>
      <w:r w:rsidR="00D66734">
        <w:t>n</w:t>
      </w:r>
      <w:r w:rsidR="00B92F85">
        <w:t xml:space="preserve"> </w:t>
      </w:r>
      <w:r w:rsidR="00D66734">
        <w:t>ECF</w:t>
      </w:r>
      <w:r w:rsidR="00B92F85">
        <w:t xml:space="preserve"> can provide m</w:t>
      </w:r>
      <w:r w:rsidR="009830D0">
        <w:t xml:space="preserve">ore </w:t>
      </w:r>
      <w:r w:rsidR="009830D0" w:rsidRPr="001F7AAD">
        <w:t>immediate</w:t>
      </w:r>
      <w:r w:rsidR="00E65762">
        <w:t xml:space="preserve"> </w:t>
      </w:r>
      <w:r w:rsidR="00F67840">
        <w:t xml:space="preserve">enterprise development or can </w:t>
      </w:r>
      <w:r w:rsidR="00833D80">
        <w:t xml:space="preserve">influence </w:t>
      </w:r>
      <w:r w:rsidR="00F67840">
        <w:t>existing companies to</w:t>
      </w:r>
      <w:r w:rsidR="00833D80">
        <w:t xml:space="preserve"> enhance their poverty impact</w:t>
      </w:r>
      <w:r w:rsidR="00B14995">
        <w:t xml:space="preserve"> (Davies and Elgar 2014)</w:t>
      </w:r>
      <w:r w:rsidR="00833D80">
        <w:t xml:space="preserve"> while broader reforms are pursued</w:t>
      </w:r>
      <w:r w:rsidR="00D55A69">
        <w:t>.</w:t>
      </w:r>
    </w:p>
    <w:p w:rsidR="00C55ABE" w:rsidRDefault="003576AC" w:rsidP="003E583F">
      <w:pPr>
        <w:pStyle w:val="ListParagraph"/>
        <w:numPr>
          <w:ilvl w:val="0"/>
          <w:numId w:val="14"/>
        </w:numPr>
        <w:spacing w:after="60"/>
        <w:ind w:left="425" w:hanging="357"/>
        <w:contextualSpacing w:val="0"/>
      </w:pPr>
      <w:r w:rsidRPr="003576AC">
        <w:t>As an innovative</w:t>
      </w:r>
      <w:r>
        <w:t xml:space="preserve"> mechanism with proven</w:t>
      </w:r>
      <w:r w:rsidR="0006016D">
        <w:t xml:space="preserve"> </w:t>
      </w:r>
      <w:r>
        <w:t xml:space="preserve">records of driving pro-poor business growth, ECFs are a potentially useful tool for </w:t>
      </w:r>
      <w:r w:rsidR="00452104">
        <w:t>DFAT</w:t>
      </w:r>
      <w:r>
        <w:t xml:space="preserve"> teams to achieve their strategic objectives. However, ECFs are not suitable for all countries and all economic environments, and a successful program requires substantial planning, design and monitoring.</w:t>
      </w:r>
    </w:p>
    <w:p w:rsidR="00B34F3C" w:rsidRDefault="00B34F3C" w:rsidP="00B34F3C">
      <w:pPr>
        <w:pStyle w:val="Heading2"/>
      </w:pPr>
      <w:bookmarkStart w:id="6" w:name="_Toc351474483"/>
      <w:r>
        <w:t>Criti</w:t>
      </w:r>
      <w:r w:rsidR="004A0B5E">
        <w:t>que</w:t>
      </w:r>
      <w:r>
        <w:t xml:space="preserve"> of </w:t>
      </w:r>
      <w:r w:rsidR="006D7FB3">
        <w:t>challenge fund</w:t>
      </w:r>
      <w:r>
        <w:t>s with the private sector</w:t>
      </w:r>
      <w:bookmarkEnd w:id="6"/>
    </w:p>
    <w:p w:rsidR="004A0B5E" w:rsidRDefault="00E65762" w:rsidP="004A0B5E">
      <w:pPr>
        <w:pStyle w:val="ListParagraph"/>
        <w:numPr>
          <w:ilvl w:val="0"/>
          <w:numId w:val="14"/>
        </w:numPr>
        <w:spacing w:after="60"/>
        <w:ind w:left="426" w:hanging="357"/>
        <w:contextualSpacing w:val="0"/>
      </w:pPr>
      <w:r>
        <w:t xml:space="preserve">While </w:t>
      </w:r>
      <w:r w:rsidR="006D7FB3">
        <w:t>challenge fund</w:t>
      </w:r>
      <w:r>
        <w:t>s</w:t>
      </w:r>
      <w:r w:rsidR="004A0B5E">
        <w:t xml:space="preserve"> </w:t>
      </w:r>
      <w:r>
        <w:t>are</w:t>
      </w:r>
      <w:r w:rsidR="004A0B5E">
        <w:t xml:space="preserve"> a potentially useful tool for driving pro-poor business growth, they are not universally supported. Arguments against investment </w:t>
      </w:r>
      <w:r w:rsidR="006D7FB3">
        <w:t>challenge fund</w:t>
      </w:r>
      <w:r w:rsidR="004A0B5E">
        <w:t>s</w:t>
      </w:r>
      <w:r w:rsidR="00903FBF">
        <w:t xml:space="preserve"> </w:t>
      </w:r>
      <w:r w:rsidR="004A0B5E">
        <w:t>include:</w:t>
      </w:r>
    </w:p>
    <w:p w:rsidR="005A5B8C" w:rsidRDefault="005A5B8C" w:rsidP="00984098">
      <w:pPr>
        <w:pStyle w:val="ListParagraph"/>
        <w:numPr>
          <w:ilvl w:val="1"/>
          <w:numId w:val="13"/>
        </w:numPr>
        <w:spacing w:after="60"/>
        <w:ind w:left="709" w:hanging="283"/>
        <w:contextualSpacing w:val="0"/>
      </w:pPr>
      <w:r>
        <w:t xml:space="preserve">It is not the role of Government to provide free money to business, investment should be sourced from the private sector. </w:t>
      </w:r>
      <w:r w:rsidR="004A0B5E">
        <w:t xml:space="preserve">In short, </w:t>
      </w:r>
      <w:r>
        <w:t xml:space="preserve">Government should </w:t>
      </w:r>
      <w:r w:rsidRPr="00984098">
        <w:t>leave the business of business to business</w:t>
      </w:r>
      <w:r>
        <w:t>.</w:t>
      </w:r>
    </w:p>
    <w:p w:rsidR="005A5B8C" w:rsidRDefault="005A5B8C" w:rsidP="00984098">
      <w:pPr>
        <w:pStyle w:val="ListParagraph"/>
        <w:numPr>
          <w:ilvl w:val="1"/>
          <w:numId w:val="13"/>
        </w:numPr>
        <w:spacing w:after="60"/>
        <w:ind w:left="709" w:hanging="283"/>
        <w:contextualSpacing w:val="0"/>
      </w:pPr>
      <w:r>
        <w:t>‘Subsidising’ one business at the expense of others distorts the market.</w:t>
      </w:r>
    </w:p>
    <w:p w:rsidR="004A0B5E" w:rsidRDefault="00F53301" w:rsidP="00984098">
      <w:pPr>
        <w:pStyle w:val="ListParagraph"/>
        <w:numPr>
          <w:ilvl w:val="1"/>
          <w:numId w:val="13"/>
        </w:numPr>
        <w:spacing w:after="60"/>
        <w:ind w:left="709" w:hanging="283"/>
        <w:contextualSpacing w:val="0"/>
      </w:pPr>
      <w:r>
        <w:t>S</w:t>
      </w:r>
      <w:r w:rsidR="00903FBF">
        <w:t xml:space="preserve">ome </w:t>
      </w:r>
      <w:r w:rsidR="00507B29">
        <w:t>number</w:t>
      </w:r>
      <w:r w:rsidR="00903FBF">
        <w:t xml:space="preserve"> of funded projects will not prove commercially sustainable</w:t>
      </w:r>
      <w:r w:rsidR="006C491E">
        <w:t xml:space="preserve"> – ‘wasting’ public funds.</w:t>
      </w:r>
    </w:p>
    <w:p w:rsidR="005A5B8C" w:rsidRDefault="001434DC" w:rsidP="00984098">
      <w:pPr>
        <w:pStyle w:val="ListParagraph"/>
        <w:numPr>
          <w:ilvl w:val="1"/>
          <w:numId w:val="13"/>
        </w:numPr>
        <w:spacing w:after="60"/>
        <w:ind w:left="709" w:hanging="283"/>
        <w:contextualSpacing w:val="0"/>
      </w:pPr>
      <w:r>
        <w:t xml:space="preserve">An ECF could fund business activities that would have been pursued anyway – </w:t>
      </w:r>
      <w:r w:rsidR="006C491E">
        <w:t>therefore</w:t>
      </w:r>
      <w:r>
        <w:t xml:space="preserve"> failing at the core objective of leveraging pro-poor investment that would not otherwise occur.</w:t>
      </w:r>
    </w:p>
    <w:p w:rsidR="00522D17" w:rsidRDefault="00522D17" w:rsidP="00522D17">
      <w:pPr>
        <w:pStyle w:val="ListParagraph"/>
        <w:numPr>
          <w:ilvl w:val="0"/>
          <w:numId w:val="15"/>
        </w:numPr>
        <w:spacing w:after="60"/>
        <w:ind w:left="426"/>
      </w:pPr>
      <w:r>
        <w:t xml:space="preserve">Arguments against investment </w:t>
      </w:r>
      <w:r w:rsidR="006D7FB3">
        <w:t>challenge fund</w:t>
      </w:r>
      <w:r>
        <w:t xml:space="preserve">s should be taken into account when considering the appropriateness </w:t>
      </w:r>
      <w:r w:rsidR="00311907">
        <w:t>and design of challenge funds,</w:t>
      </w:r>
      <w:r>
        <w:t xml:space="preserve"> and also for managing perceptions and expectations.</w:t>
      </w:r>
    </w:p>
    <w:p w:rsidR="006C491E" w:rsidRDefault="006C491E" w:rsidP="006C491E">
      <w:pPr>
        <w:pStyle w:val="ListParagraph"/>
        <w:spacing w:after="60"/>
        <w:ind w:left="426"/>
      </w:pPr>
      <w:r>
        <w:rPr>
          <w:noProof/>
          <w:lang w:eastAsia="en-AU"/>
        </w:rPr>
        <mc:AlternateContent>
          <mc:Choice Requires="wps">
            <w:drawing>
              <wp:anchor distT="0" distB="0" distL="114300" distR="114300" simplePos="0" relativeHeight="251665408" behindDoc="0" locked="0" layoutInCell="1" allowOverlap="1" wp14:anchorId="694DE3E9" wp14:editId="6C2D42F9">
                <wp:simplePos x="0" y="0"/>
                <wp:positionH relativeFrom="column">
                  <wp:posOffset>60960</wp:posOffset>
                </wp:positionH>
                <wp:positionV relativeFrom="paragraph">
                  <wp:posOffset>87631</wp:posOffset>
                </wp:positionV>
                <wp:extent cx="6000750" cy="33147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314700"/>
                        </a:xfrm>
                        <a:prstGeom prst="rect">
                          <a:avLst/>
                        </a:prstGeom>
                        <a:solidFill>
                          <a:srgbClr val="FFFFFF"/>
                        </a:solidFill>
                        <a:ln w="19050">
                          <a:solidFill>
                            <a:srgbClr val="FFC000"/>
                          </a:solidFill>
                          <a:miter lim="800000"/>
                          <a:headEnd/>
                          <a:tailEnd/>
                        </a:ln>
                      </wps:spPr>
                      <wps:txbx>
                        <w:txbxContent>
                          <w:p w:rsidR="00B6415E" w:rsidRPr="00FE766A" w:rsidRDefault="00B6415E" w:rsidP="00AA10C0">
                            <w:pPr>
                              <w:pStyle w:val="Heading2"/>
                              <w:spacing w:before="0" w:after="120"/>
                              <w:rPr>
                                <w:color w:val="auto"/>
                              </w:rPr>
                            </w:pPr>
                            <w:bookmarkStart w:id="7" w:name="_Toc351474484"/>
                            <w:r>
                              <w:rPr>
                                <w:color w:val="auto"/>
                              </w:rPr>
                              <w:t xml:space="preserve">Box 2 - </w:t>
                            </w:r>
                            <w:r w:rsidRPr="00FE766A">
                              <w:rPr>
                                <w:color w:val="auto"/>
                              </w:rPr>
                              <w:t>Strategic Investment vs Investment Subsidy</w:t>
                            </w:r>
                            <w:bookmarkEnd w:id="7"/>
                          </w:p>
                          <w:p w:rsidR="00B6415E" w:rsidRDefault="00B6415E" w:rsidP="00013C9C">
                            <w:pPr>
                              <w:pStyle w:val="ListParagraph"/>
                              <w:numPr>
                                <w:ilvl w:val="0"/>
                                <w:numId w:val="11"/>
                              </w:numPr>
                              <w:spacing w:after="60"/>
                              <w:ind w:left="425" w:hanging="357"/>
                              <w:contextualSpacing w:val="0"/>
                            </w:pPr>
                            <w:r>
                              <w:t xml:space="preserve">An ECF seeks to drive business opportunities that will overcome </w:t>
                            </w:r>
                            <w:r w:rsidRPr="003B0998">
                              <w:rPr>
                                <w:i/>
                              </w:rPr>
                              <w:t>barriers to future business growth</w:t>
                            </w:r>
                            <w:r>
                              <w:t>. The barriers might be lack of infrastructure, information, or to access finance – and the challenge fund has a role where the market fails to overcome barriers alone.</w:t>
                            </w:r>
                          </w:p>
                          <w:p w:rsidR="00B6415E" w:rsidRDefault="00B6415E" w:rsidP="006C491E">
                            <w:pPr>
                              <w:pStyle w:val="ListParagraph"/>
                              <w:numPr>
                                <w:ilvl w:val="0"/>
                                <w:numId w:val="11"/>
                              </w:numPr>
                              <w:spacing w:after="60"/>
                              <w:ind w:left="425" w:hanging="357"/>
                              <w:contextualSpacing w:val="0"/>
                            </w:pPr>
                            <w:r>
                              <w:t xml:space="preserve">An ECF </w:t>
                            </w:r>
                            <w:r w:rsidR="00973D53">
                              <w:t>should</w:t>
                            </w:r>
                            <w:r>
                              <w:t xml:space="preserve"> therefore select projects that are likely to overcome these barriers – not simply </w:t>
                            </w:r>
                            <w:r w:rsidR="00A511AC">
                              <w:t>fund</w:t>
                            </w:r>
                            <w:r>
                              <w:t xml:space="preserve"> projects </w:t>
                            </w:r>
                            <w:r w:rsidR="00970D8D">
                              <w:t>to</w:t>
                            </w:r>
                            <w:r>
                              <w:t xml:space="preserve"> employ an additional dozen people, raise one business’s income in the local area, or provide a public good (e.g. increased sanitation)</w:t>
                            </w:r>
                            <w:r w:rsidR="00604071">
                              <w:t xml:space="preserve"> </w:t>
                            </w:r>
                            <w:r w:rsidR="00BD1109">
                              <w:t>*</w:t>
                            </w:r>
                            <w:r w:rsidR="00604071">
                              <w:t>.</w:t>
                            </w:r>
                          </w:p>
                          <w:p w:rsidR="00B6415E" w:rsidRDefault="00B6415E" w:rsidP="00527BAB">
                            <w:pPr>
                              <w:pStyle w:val="ListParagraph"/>
                              <w:numPr>
                                <w:ilvl w:val="0"/>
                                <w:numId w:val="11"/>
                              </w:numPr>
                              <w:spacing w:after="60"/>
                              <w:ind w:left="425" w:hanging="357"/>
                              <w:contextualSpacing w:val="0"/>
                            </w:pPr>
                            <w:r>
                              <w:t>An example of a good enterprise challenge fund project is WING mobile payment facility in Cambodia. With ECF funding, WING expanded its operations and provided training and financial literacy education to potential customers in rural Cambodia.</w:t>
                            </w:r>
                          </w:p>
                          <w:p w:rsidR="00B6415E" w:rsidRPr="00F03ECC" w:rsidRDefault="00B6415E" w:rsidP="00527BAB">
                            <w:pPr>
                              <w:pStyle w:val="ListParagraph"/>
                              <w:numPr>
                                <w:ilvl w:val="0"/>
                                <w:numId w:val="11"/>
                              </w:numPr>
                              <w:spacing w:after="60"/>
                              <w:ind w:left="425" w:hanging="357"/>
                              <w:contextualSpacing w:val="0"/>
                            </w:pPr>
                            <w:r>
                              <w:t>The business now reaches all Cambodian provinces and, in 2013 alone, 6% of adult Cambodians sent approximately USD1.5 billion (10% Cambodian GDP) through</w:t>
                            </w:r>
                            <w:r w:rsidR="00A90B36">
                              <w:t xml:space="preserve"> this service. The WING services </w:t>
                            </w:r>
                            <w:r>
                              <w:t>reduce the cost of remittances, open microfinance access, raise incomes for merchants that supply WING customers or act as rural cashpoints, and improve payroll options for local businesses – all of which will help to drive future income and business growth.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4.8pt;margin-top:6.9pt;width:472.5pt;height:2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" strokecolor="#ffc000" strokeweight="1.5pt">
                <v:textbox>
                  <w:txbxContent>
                    <w:p w:rsidR="00B6415E" w:rsidRPr="00FE766A" w:rsidRDefault="00B6415E" w:rsidP="00AA10C0">
                      <w:pPr>
                        <w:pStyle w:val="Heading2"/>
                        <w:spacing w:before="0" w:after="120"/>
                        <w:rPr>
                          <w:color w:val="auto"/>
                        </w:rPr>
                      </w:pPr>
                      <w:bookmarkStart w:id="8" w:name="_Toc351474484"/>
                      <w:r>
                        <w:rPr>
                          <w:color w:val="auto"/>
                        </w:rPr>
                        <w:t xml:space="preserve">Box 2 - </w:t>
                      </w:r>
                      <w:r w:rsidRPr="00FE766A">
                        <w:rPr>
                          <w:color w:val="auto"/>
                        </w:rPr>
                        <w:t>Strategic Investment vs Investment Subsidy</w:t>
                      </w:r>
                      <w:bookmarkEnd w:id="8"/>
                    </w:p>
                    <w:p w:rsidR="00B6415E" w:rsidRDefault="00B6415E" w:rsidP="00013C9C">
                      <w:pPr>
                        <w:pStyle w:val="ListParagraph"/>
                        <w:numPr>
                          <w:ilvl w:val="0"/>
                          <w:numId w:val="11"/>
                        </w:numPr>
                        <w:spacing w:after="60"/>
                        <w:ind w:left="425" w:hanging="357"/>
                        <w:contextualSpacing w:val="0"/>
                      </w:pPr>
                      <w:r>
                        <w:t xml:space="preserve">An ECF seeks to drive business opportunities that will overcome </w:t>
                      </w:r>
                      <w:r w:rsidRPr="003B0998">
                        <w:rPr>
                          <w:i/>
                        </w:rPr>
                        <w:t>barriers to future business growth</w:t>
                      </w:r>
                      <w:r>
                        <w:t>. The barriers might be lack of infrastructure, information, or to access finance – and the challenge fund has a role where the market fails to overcome barriers alone.</w:t>
                      </w:r>
                    </w:p>
                    <w:p w:rsidR="00B6415E" w:rsidRDefault="00B6415E" w:rsidP="006C491E">
                      <w:pPr>
                        <w:pStyle w:val="ListParagraph"/>
                        <w:numPr>
                          <w:ilvl w:val="0"/>
                          <w:numId w:val="11"/>
                        </w:numPr>
                        <w:spacing w:after="60"/>
                        <w:ind w:left="425" w:hanging="357"/>
                        <w:contextualSpacing w:val="0"/>
                      </w:pPr>
                      <w:r>
                        <w:t xml:space="preserve">An ECF </w:t>
                      </w:r>
                      <w:r w:rsidR="00973D53">
                        <w:t>should</w:t>
                      </w:r>
                      <w:r>
                        <w:t xml:space="preserve"> therefore select projects that are likely to overcome these barriers – not simply </w:t>
                      </w:r>
                      <w:r w:rsidR="00A511AC">
                        <w:t>fund</w:t>
                      </w:r>
                      <w:r>
                        <w:t xml:space="preserve"> projects </w:t>
                      </w:r>
                      <w:r w:rsidR="00970D8D">
                        <w:t>to</w:t>
                      </w:r>
                      <w:r>
                        <w:t xml:space="preserve"> employ an additional dozen people, raise one business’s income in the local area, or provide a public good (e.g. increased sanitation)</w:t>
                      </w:r>
                      <w:r w:rsidR="00604071">
                        <w:t xml:space="preserve"> </w:t>
                      </w:r>
                      <w:r w:rsidR="00BD1109">
                        <w:t>*</w:t>
                      </w:r>
                      <w:r w:rsidR="00604071">
                        <w:t>.</w:t>
                      </w:r>
                    </w:p>
                    <w:p w:rsidR="00B6415E" w:rsidRDefault="00B6415E" w:rsidP="00527BAB">
                      <w:pPr>
                        <w:pStyle w:val="ListParagraph"/>
                        <w:numPr>
                          <w:ilvl w:val="0"/>
                          <w:numId w:val="11"/>
                        </w:numPr>
                        <w:spacing w:after="60"/>
                        <w:ind w:left="425" w:hanging="357"/>
                        <w:contextualSpacing w:val="0"/>
                      </w:pPr>
                      <w:r>
                        <w:t>An example of a good enterprise challenge fund project is WING mobile payment facility in Cambodia. With ECF funding, WING expanded its operations and provided training and financial literacy education to potential customers in rural Cambodia.</w:t>
                      </w:r>
                    </w:p>
                    <w:p w:rsidR="00B6415E" w:rsidRPr="00F03ECC" w:rsidRDefault="00B6415E" w:rsidP="00527BAB">
                      <w:pPr>
                        <w:pStyle w:val="ListParagraph"/>
                        <w:numPr>
                          <w:ilvl w:val="0"/>
                          <w:numId w:val="11"/>
                        </w:numPr>
                        <w:spacing w:after="60"/>
                        <w:ind w:left="425" w:hanging="357"/>
                        <w:contextualSpacing w:val="0"/>
                      </w:pPr>
                      <w:r>
                        <w:t>The business now reaches all Cambodian provinces and, in 2013 alone, 6% of adult Cambodians sent approximately USD1.5 billion (10% Cambodian GDP) through</w:t>
                      </w:r>
                      <w:r w:rsidR="00A90B36">
                        <w:t xml:space="preserve"> this service. The WING services </w:t>
                      </w:r>
                      <w:r>
                        <w:t>reduce the cost of remittances, open microfinance access, raise incomes for merchants that supply WING customers or act as rural cashpoints, and improve payroll options for local businesses – all of which will help to drive future income and business growth.</w:t>
                      </w:r>
                    </w:p>
                  </w:txbxContent>
                </v:textbox>
              </v:shape>
            </w:pict>
          </mc:Fallback>
        </mc:AlternateContent>
      </w:r>
    </w:p>
    <w:p w:rsidR="006C491E" w:rsidRDefault="006C491E" w:rsidP="005B67AE">
      <w:pPr>
        <w:pStyle w:val="Heading1"/>
      </w:pPr>
    </w:p>
    <w:p w:rsidR="006C491E" w:rsidRDefault="006C491E" w:rsidP="005B67AE">
      <w:pPr>
        <w:pStyle w:val="Heading1"/>
      </w:pPr>
    </w:p>
    <w:p w:rsidR="006C491E" w:rsidRDefault="006C491E" w:rsidP="005B67AE">
      <w:pPr>
        <w:pStyle w:val="Heading1"/>
      </w:pPr>
    </w:p>
    <w:p w:rsidR="00783AD1" w:rsidRDefault="00783AD1">
      <w:pPr>
        <w:rPr>
          <w:rFonts w:asciiTheme="majorHAnsi" w:eastAsiaTheme="majorEastAsia" w:hAnsiTheme="majorHAnsi" w:cstheme="majorBidi"/>
          <w:b/>
          <w:bCs/>
          <w:color w:val="0070C0"/>
          <w:sz w:val="32"/>
          <w:szCs w:val="28"/>
        </w:rPr>
      </w:pPr>
      <w:r>
        <w:br w:type="page"/>
      </w:r>
    </w:p>
    <w:p w:rsidR="00541B7D" w:rsidRDefault="007C643A" w:rsidP="003E583F">
      <w:pPr>
        <w:pStyle w:val="Heading1"/>
        <w:spacing w:before="200"/>
        <w:rPr>
          <w:rFonts w:asciiTheme="minorHAnsi" w:hAnsiTheme="minorHAnsi" w:cstheme="minorHAnsi"/>
        </w:rPr>
        <w:sectPr w:rsidR="00541B7D" w:rsidSect="00541B7D">
          <w:footerReference w:type="default" r:id="rId17"/>
          <w:type w:val="continuous"/>
          <w:pgSz w:w="11906" w:h="16838"/>
          <w:pgMar w:top="1134" w:right="992" w:bottom="1134" w:left="1134" w:header="709" w:footer="709" w:gutter="0"/>
          <w:cols w:space="708"/>
          <w:docGrid w:linePitch="360"/>
        </w:sectPr>
      </w:pPr>
      <w:bookmarkStart w:id="8" w:name="_Toc351474485"/>
      <w:r w:rsidRPr="007B52DB">
        <w:rPr>
          <w:rFonts w:asciiTheme="minorHAnsi" w:hAnsiTheme="minorHAnsi" w:cstheme="minorHAnsi"/>
        </w:rPr>
        <w:lastRenderedPageBreak/>
        <w:t xml:space="preserve">Key lessons from the </w:t>
      </w:r>
      <w:r w:rsidR="00452104">
        <w:rPr>
          <w:rFonts w:asciiTheme="minorHAnsi" w:hAnsiTheme="minorHAnsi" w:cstheme="minorHAnsi"/>
        </w:rPr>
        <w:t>ECF pilot</w:t>
      </w:r>
      <w:bookmarkEnd w:id="8"/>
    </w:p>
    <w:p w:rsidR="007C643A" w:rsidRPr="007C643A" w:rsidRDefault="007C643A" w:rsidP="00AA3BE8">
      <w:pPr>
        <w:pStyle w:val="ListParagraph"/>
        <w:numPr>
          <w:ilvl w:val="0"/>
          <w:numId w:val="17"/>
        </w:numPr>
        <w:spacing w:after="60"/>
        <w:ind w:left="425" w:hanging="357"/>
        <w:contextualSpacing w:val="0"/>
      </w:pPr>
      <w:r>
        <w:t xml:space="preserve">The </w:t>
      </w:r>
      <w:r w:rsidR="00B04E17">
        <w:t xml:space="preserve">2009 and 2011 </w:t>
      </w:r>
      <w:r w:rsidR="00CE3000">
        <w:t xml:space="preserve">independent </w:t>
      </w:r>
      <w:r>
        <w:t>review</w:t>
      </w:r>
      <w:r w:rsidR="00B04E17">
        <w:t>s</w:t>
      </w:r>
      <w:r>
        <w:t xml:space="preserve"> of the </w:t>
      </w:r>
      <w:r w:rsidR="00452104">
        <w:t>ECF pilot</w:t>
      </w:r>
      <w:r>
        <w:t xml:space="preserve"> program </w:t>
      </w:r>
      <w:r w:rsidR="009B5D02">
        <w:t>identified</w:t>
      </w:r>
      <w:r>
        <w:t xml:space="preserve"> </w:t>
      </w:r>
      <w:r w:rsidR="008C7C7B">
        <w:t xml:space="preserve">a range of lessons </w:t>
      </w:r>
      <w:r w:rsidR="004B0316">
        <w:t xml:space="preserve">about what makes an ECF </w:t>
      </w:r>
      <w:r w:rsidR="008C7C7B">
        <w:t xml:space="preserve">effective. At the </w:t>
      </w:r>
      <w:r w:rsidR="00A42FC5">
        <w:t>broad</w:t>
      </w:r>
      <w:r w:rsidR="008C7C7B">
        <w:t xml:space="preserve"> level, these lessons include:</w:t>
      </w:r>
    </w:p>
    <w:p w:rsidR="007C643A" w:rsidRDefault="007C643A" w:rsidP="00AA3BE8">
      <w:pPr>
        <w:pStyle w:val="ListParagraph"/>
        <w:numPr>
          <w:ilvl w:val="0"/>
          <w:numId w:val="9"/>
        </w:numPr>
        <w:spacing w:after="60"/>
        <w:ind w:left="709" w:hanging="357"/>
        <w:contextualSpacing w:val="0"/>
      </w:pPr>
      <w:r>
        <w:t xml:space="preserve">An effective ECF requires a high level of </w:t>
      </w:r>
      <w:r w:rsidRPr="007950EB">
        <w:rPr>
          <w:i/>
        </w:rPr>
        <w:t>selectivity</w:t>
      </w:r>
      <w:r>
        <w:t xml:space="preserve">: an ECF is not appropriate in </w:t>
      </w:r>
      <w:r w:rsidR="00B41155">
        <w:t xml:space="preserve">all </w:t>
      </w:r>
      <w:r w:rsidR="00537842">
        <w:t>countries</w:t>
      </w:r>
      <w:r w:rsidR="002C0FE0">
        <w:t>,</w:t>
      </w:r>
      <w:r w:rsidR="00537842">
        <w:t xml:space="preserve"> all economic environments</w:t>
      </w:r>
      <w:r w:rsidR="002C0FE0">
        <w:t xml:space="preserve">, or </w:t>
      </w:r>
      <w:r w:rsidR="001A1BE7">
        <w:t xml:space="preserve">for </w:t>
      </w:r>
      <w:r w:rsidR="002A7BD6">
        <w:t>all industry sectors</w:t>
      </w:r>
      <w:r w:rsidR="00537842">
        <w:t>.</w:t>
      </w:r>
    </w:p>
    <w:p w:rsidR="007C643A" w:rsidRDefault="007C643A" w:rsidP="00AA3BE8">
      <w:pPr>
        <w:pStyle w:val="ListParagraph"/>
        <w:numPr>
          <w:ilvl w:val="0"/>
          <w:numId w:val="9"/>
        </w:numPr>
        <w:spacing w:after="60"/>
        <w:ind w:left="709" w:hanging="357"/>
        <w:contextualSpacing w:val="0"/>
      </w:pPr>
      <w:r>
        <w:t xml:space="preserve">An </w:t>
      </w:r>
      <w:r w:rsidR="00DC5C80">
        <w:t xml:space="preserve">effective ECF requires a great deal of </w:t>
      </w:r>
      <w:r w:rsidR="00DC5C80" w:rsidRPr="007950EB">
        <w:rPr>
          <w:i/>
        </w:rPr>
        <w:t>preliminary work</w:t>
      </w:r>
      <w:r w:rsidR="00DC5C80">
        <w:t xml:space="preserve">: </w:t>
      </w:r>
      <w:r w:rsidR="006B3F10">
        <w:t xml:space="preserve">well </w:t>
      </w:r>
      <w:r w:rsidR="006B3F10" w:rsidRPr="00A502B2">
        <w:t>before</w:t>
      </w:r>
      <w:r w:rsidR="006B3F10">
        <w:t xml:space="preserve"> grants are considered </w:t>
      </w:r>
      <w:r w:rsidR="00DC5C80">
        <w:t xml:space="preserve">the program </w:t>
      </w:r>
      <w:r w:rsidR="00973D53">
        <w:t>should</w:t>
      </w:r>
      <w:r w:rsidR="00DC5C80">
        <w:t xml:space="preserve"> </w:t>
      </w:r>
      <w:r w:rsidR="00443BF1">
        <w:t>have</w:t>
      </w:r>
      <w:r w:rsidR="00DC5C80">
        <w:t xml:space="preserve"> </w:t>
      </w:r>
      <w:r w:rsidR="00470EB1">
        <w:t>clearly identified goals and priorities</w:t>
      </w:r>
      <w:r w:rsidR="006B3F10">
        <w:t>,</w:t>
      </w:r>
      <w:r w:rsidR="00470EB1">
        <w:t xml:space="preserve"> and </w:t>
      </w:r>
      <w:r w:rsidR="00DC5C80">
        <w:t xml:space="preserve">a detailed strategy for identifying </w:t>
      </w:r>
      <w:r w:rsidR="00B41155">
        <w:t xml:space="preserve">target </w:t>
      </w:r>
      <w:r w:rsidR="00DC5C80">
        <w:t xml:space="preserve">industry sectors, </w:t>
      </w:r>
      <w:r w:rsidR="00B41155">
        <w:t xml:space="preserve">selecting </w:t>
      </w:r>
      <w:r w:rsidR="00DC5C80">
        <w:t>individual proposals,</w:t>
      </w:r>
      <w:r w:rsidR="00A502B2">
        <w:t xml:space="preserve"> managing </w:t>
      </w:r>
      <w:r w:rsidR="00F5269A">
        <w:t>risks,</w:t>
      </w:r>
      <w:r w:rsidR="00A502B2">
        <w:t xml:space="preserve"> </w:t>
      </w:r>
      <w:r w:rsidR="00B41155">
        <w:t xml:space="preserve">and conducting independent </w:t>
      </w:r>
      <w:r w:rsidR="00DC5C80">
        <w:t>monitoring</w:t>
      </w:r>
      <w:r w:rsidR="00B41155">
        <w:t>.</w:t>
      </w:r>
    </w:p>
    <w:p w:rsidR="00443BF1" w:rsidRDefault="00913AA6" w:rsidP="00AA3BE8">
      <w:pPr>
        <w:pStyle w:val="ListParagraph"/>
        <w:numPr>
          <w:ilvl w:val="0"/>
          <w:numId w:val="9"/>
        </w:numPr>
        <w:spacing w:after="60"/>
        <w:ind w:left="709" w:hanging="357"/>
        <w:contextualSpacing w:val="0"/>
      </w:pPr>
      <w:r>
        <w:t xml:space="preserve">An effective ECF </w:t>
      </w:r>
      <w:r w:rsidR="00973D53">
        <w:t>should</w:t>
      </w:r>
      <w:r>
        <w:t xml:space="preserve"> fund those proposals that will be </w:t>
      </w:r>
      <w:r>
        <w:rPr>
          <w:i/>
        </w:rPr>
        <w:t>sustainable</w:t>
      </w:r>
      <w:r>
        <w:t xml:space="preserve"> but would not otherwise be funded by the private sector (</w:t>
      </w:r>
      <w:r w:rsidR="002F6E05">
        <w:t xml:space="preserve">they are </w:t>
      </w:r>
      <w:r>
        <w:rPr>
          <w:i/>
        </w:rPr>
        <w:t>additional</w:t>
      </w:r>
      <w:r>
        <w:t>).</w:t>
      </w:r>
      <w:r w:rsidR="00A20BA5">
        <w:t xml:space="preserve"> Additionality </w:t>
      </w:r>
      <w:r w:rsidR="003A36DF">
        <w:t>is a core requirement of an ECF.</w:t>
      </w:r>
    </w:p>
    <w:p w:rsidR="00CE4E4F" w:rsidRDefault="00CE4E4F" w:rsidP="00AA3BE8">
      <w:pPr>
        <w:pStyle w:val="ListParagraph"/>
        <w:numPr>
          <w:ilvl w:val="0"/>
          <w:numId w:val="9"/>
        </w:numPr>
        <w:spacing w:after="60"/>
        <w:ind w:left="709" w:hanging="357"/>
        <w:contextualSpacing w:val="0"/>
      </w:pPr>
      <w:r>
        <w:t xml:space="preserve">An ECF is a </w:t>
      </w:r>
      <w:r w:rsidRPr="00D572A0">
        <w:rPr>
          <w:i/>
        </w:rPr>
        <w:t>portfolio investment</w:t>
      </w:r>
      <w:r>
        <w:t xml:space="preserve"> requiring some tolerance of risk</w:t>
      </w:r>
      <w:r w:rsidR="00EF1DCF">
        <w:t xml:space="preserve"> and failure</w:t>
      </w:r>
      <w:r>
        <w:t xml:space="preserve">. The best selectivity and preliminary work cannot guarantee success for all private-sector business opportunities and </w:t>
      </w:r>
      <w:r w:rsidR="00470EB1">
        <w:t xml:space="preserve">an appropriately structured program, with correct </w:t>
      </w:r>
      <w:r w:rsidR="00FD5598">
        <w:t xml:space="preserve">frameworks and </w:t>
      </w:r>
      <w:r w:rsidR="00470EB1">
        <w:t>tolerance of risk, will achieve high successes, some average performers, and some failures.</w:t>
      </w:r>
      <w:r w:rsidR="00E82F2D">
        <w:t xml:space="preserve"> </w:t>
      </w:r>
    </w:p>
    <w:p w:rsidR="009D5ADB" w:rsidRDefault="00443BF1" w:rsidP="007D00B8">
      <w:pPr>
        <w:pStyle w:val="ListParagraph"/>
        <w:numPr>
          <w:ilvl w:val="0"/>
          <w:numId w:val="17"/>
        </w:numPr>
        <w:spacing w:after="0"/>
        <w:ind w:left="426"/>
      </w:pPr>
      <w:r>
        <w:t xml:space="preserve">Failure to </w:t>
      </w:r>
      <w:r w:rsidR="00FD74A0">
        <w:t>act on</w:t>
      </w:r>
      <w:r>
        <w:t xml:space="preserve"> these lessons </w:t>
      </w:r>
      <w:r w:rsidR="00FD74A0">
        <w:t xml:space="preserve">will </w:t>
      </w:r>
      <w:r>
        <w:t>reduce the effectiveness of</w:t>
      </w:r>
      <w:r w:rsidR="00391D5C">
        <w:t xml:space="preserve"> the ECF and increase the risk of financial waste</w:t>
      </w:r>
      <w:r>
        <w:t xml:space="preserve"> </w:t>
      </w:r>
      <w:r w:rsidR="00391D5C">
        <w:t xml:space="preserve">and </w:t>
      </w:r>
      <w:r w:rsidR="00C8658E">
        <w:t>critical reviews</w:t>
      </w:r>
      <w:r w:rsidR="00391D5C">
        <w:t>.</w:t>
      </w:r>
    </w:p>
    <w:p w:rsidR="00D57D7A" w:rsidRDefault="00D57D7A" w:rsidP="00D57D7A">
      <w:pPr>
        <w:pStyle w:val="Heading2"/>
      </w:pPr>
      <w:bookmarkStart w:id="9" w:name="_Toc351474486"/>
      <w:r>
        <w:t>Selectivity</w:t>
      </w:r>
      <w:r w:rsidR="00502E40">
        <w:t xml:space="preserve"> of </w:t>
      </w:r>
      <w:r w:rsidR="00DD0D88">
        <w:t>L</w:t>
      </w:r>
      <w:r w:rsidR="00502E40">
        <w:t>ocation</w:t>
      </w:r>
      <w:bookmarkEnd w:id="9"/>
    </w:p>
    <w:p w:rsidR="007A7F5D" w:rsidRDefault="007B74A7" w:rsidP="007A7F5D">
      <w:pPr>
        <w:pStyle w:val="ListParagraph"/>
        <w:numPr>
          <w:ilvl w:val="0"/>
          <w:numId w:val="17"/>
        </w:numPr>
        <w:ind w:left="426"/>
      </w:pPr>
      <w:r>
        <w:t xml:space="preserve">Several factors determine whether an </w:t>
      </w:r>
      <w:r w:rsidR="00EE7B7B">
        <w:t xml:space="preserve">ECF </w:t>
      </w:r>
      <w:r w:rsidR="007A7F5D">
        <w:t xml:space="preserve">will be effective </w:t>
      </w:r>
      <w:r>
        <w:t>for your target area:</w:t>
      </w:r>
    </w:p>
    <w:p w:rsidR="007A7F5D" w:rsidRDefault="00686F35" w:rsidP="00984098">
      <w:pPr>
        <w:pStyle w:val="ListParagraph"/>
        <w:numPr>
          <w:ilvl w:val="0"/>
          <w:numId w:val="21"/>
        </w:numPr>
        <w:spacing w:after="60"/>
        <w:ind w:left="851" w:hanging="426"/>
        <w:contextualSpacing w:val="0"/>
      </w:pPr>
      <w:r>
        <w:t xml:space="preserve">An ECF is appropriate for </w:t>
      </w:r>
      <w:r w:rsidR="001A08E0">
        <w:t>lower-income</w:t>
      </w:r>
      <w:r w:rsidR="007A7F5D">
        <w:t xml:space="preserve"> </w:t>
      </w:r>
      <w:r w:rsidR="00E34F7B">
        <w:t>countries</w:t>
      </w:r>
      <w:r>
        <w:t>,</w:t>
      </w:r>
      <w:r w:rsidR="007A7F5D">
        <w:t xml:space="preserve"> where increased employment and incomes will deliver </w:t>
      </w:r>
      <w:r w:rsidR="00647544">
        <w:t xml:space="preserve">comparatively </w:t>
      </w:r>
      <w:r w:rsidR="007A7F5D">
        <w:t>high</w:t>
      </w:r>
      <w:r w:rsidR="007B74A7">
        <w:t>er</w:t>
      </w:r>
      <w:r w:rsidR="007A7F5D">
        <w:t xml:space="preserve"> benefits</w:t>
      </w:r>
      <w:r>
        <w:t>. R</w:t>
      </w:r>
      <w:r w:rsidR="007A7F5D">
        <w:t xml:space="preserve">icher countries are likely to have </w:t>
      </w:r>
      <w:r>
        <w:t xml:space="preserve">better financial markets and </w:t>
      </w:r>
      <w:r w:rsidR="007A7F5D">
        <w:t>higher market competition</w:t>
      </w:r>
      <w:r>
        <w:t>, reducing the applicability of an ECF and the ability to deliver results with this mechanism.</w:t>
      </w:r>
    </w:p>
    <w:p w:rsidR="007A7F5D" w:rsidRDefault="00686F35" w:rsidP="00984098">
      <w:pPr>
        <w:pStyle w:val="ListParagraph"/>
        <w:numPr>
          <w:ilvl w:val="0"/>
          <w:numId w:val="21"/>
        </w:numPr>
        <w:spacing w:after="60"/>
        <w:ind w:left="851" w:hanging="426"/>
        <w:contextualSpacing w:val="0"/>
      </w:pPr>
      <w:r>
        <w:t>An ECF requires a</w:t>
      </w:r>
      <w:r w:rsidR="00EF1DCF">
        <w:t xml:space="preserve"> </w:t>
      </w:r>
      <w:r w:rsidR="007A7F5D">
        <w:t xml:space="preserve">population high enough to provide a </w:t>
      </w:r>
      <w:r w:rsidR="00EF1DCF">
        <w:t>critical mass of high-quality business opportunities</w:t>
      </w:r>
      <w:r>
        <w:t>. T</w:t>
      </w:r>
      <w:r w:rsidR="007A7F5D">
        <w:t xml:space="preserve">he smaller the population, the fewer high-quality opportunities will exist </w:t>
      </w:r>
      <w:r w:rsidR="005D2966">
        <w:t>to</w:t>
      </w:r>
      <w:r w:rsidR="007A7F5D">
        <w:t xml:space="preserve"> justify the costs of an ECF</w:t>
      </w:r>
      <w:r>
        <w:t>.</w:t>
      </w:r>
    </w:p>
    <w:p w:rsidR="00502E40" w:rsidRDefault="007A7F5D" w:rsidP="00984098">
      <w:pPr>
        <w:pStyle w:val="ListParagraph"/>
        <w:numPr>
          <w:ilvl w:val="0"/>
          <w:numId w:val="21"/>
        </w:numPr>
        <w:spacing w:after="60"/>
        <w:ind w:left="851" w:hanging="426"/>
        <w:contextualSpacing w:val="0"/>
      </w:pPr>
      <w:r>
        <w:t>A</w:t>
      </w:r>
      <w:r w:rsidR="00686F35">
        <w:t xml:space="preserve">n ECF is appropriate where </w:t>
      </w:r>
      <w:r w:rsidR="005D2966">
        <w:t xml:space="preserve">the </w:t>
      </w:r>
      <w:r w:rsidR="00EF1DCF">
        <w:t>financial market and private-sector investment capacity</w:t>
      </w:r>
      <w:r>
        <w:t xml:space="preserve"> </w:t>
      </w:r>
      <w:r w:rsidR="00686F35">
        <w:t>is lacking. T</w:t>
      </w:r>
      <w:r>
        <w:t>he stronger the finance market, the less</w:t>
      </w:r>
      <w:r w:rsidR="005D2966">
        <w:t xml:space="preserve"> likely ECF </w:t>
      </w:r>
      <w:r w:rsidR="00774DB3">
        <w:t xml:space="preserve">projects </w:t>
      </w:r>
      <w:r w:rsidR="005D2966">
        <w:t xml:space="preserve">will </w:t>
      </w:r>
      <w:r w:rsidR="0016416C">
        <w:t xml:space="preserve">be </w:t>
      </w:r>
      <w:r w:rsidRPr="00984098">
        <w:t>additional</w:t>
      </w:r>
      <w:r w:rsidR="00644431">
        <w:t>.</w:t>
      </w:r>
    </w:p>
    <w:p w:rsidR="008E4AD8" w:rsidRDefault="00647544" w:rsidP="005D2966">
      <w:pPr>
        <w:pStyle w:val="ListParagraph"/>
        <w:numPr>
          <w:ilvl w:val="0"/>
          <w:numId w:val="17"/>
        </w:numPr>
        <w:spacing w:after="60"/>
        <w:ind w:left="426"/>
        <w:contextualSpacing w:val="0"/>
      </w:pPr>
      <w:r>
        <w:t xml:space="preserve">These factors </w:t>
      </w:r>
      <w:r w:rsidR="00973D53">
        <w:t>should</w:t>
      </w:r>
      <w:r>
        <w:t xml:space="preserve"> be weighed against each other to determine whether a </w:t>
      </w:r>
      <w:r w:rsidR="006D7FB3">
        <w:t>challenge fund</w:t>
      </w:r>
      <w:r>
        <w:t xml:space="preserve"> is an appropriate business development mechanism. For example</w:t>
      </w:r>
      <w:r w:rsidR="008E4AD8">
        <w:t>:</w:t>
      </w:r>
    </w:p>
    <w:p w:rsidR="00647544" w:rsidRDefault="008E4AD8" w:rsidP="00984098">
      <w:pPr>
        <w:pStyle w:val="ListParagraph"/>
        <w:numPr>
          <w:ilvl w:val="0"/>
          <w:numId w:val="20"/>
        </w:numPr>
        <w:spacing w:after="60"/>
        <w:ind w:left="851" w:hanging="425"/>
        <w:contextualSpacing w:val="0"/>
      </w:pPr>
      <w:r>
        <w:t>A</w:t>
      </w:r>
      <w:r w:rsidR="00C235A5">
        <w:t>n</w:t>
      </w:r>
      <w:r w:rsidR="00647544">
        <w:t xml:space="preserve"> </w:t>
      </w:r>
      <w:r w:rsidR="00C235A5">
        <w:t>ECF</w:t>
      </w:r>
      <w:r w:rsidR="00647544">
        <w:t xml:space="preserve"> may be a suitable development option in a country that has a </w:t>
      </w:r>
      <w:r w:rsidR="005D2966">
        <w:t xml:space="preserve">stronger </w:t>
      </w:r>
      <w:r w:rsidR="00647544">
        <w:t xml:space="preserve">financial market than other countries if the population size and its </w:t>
      </w:r>
      <w:r w:rsidR="00784047">
        <w:t>finance</w:t>
      </w:r>
      <w:r w:rsidR="00647544">
        <w:t xml:space="preserve"> needs </w:t>
      </w:r>
      <w:r w:rsidR="005D2966">
        <w:t xml:space="preserve">greatly </w:t>
      </w:r>
      <w:r w:rsidR="00647544">
        <w:t>outstrip the available investment capacity.</w:t>
      </w:r>
    </w:p>
    <w:p w:rsidR="008E4AD8" w:rsidRDefault="008E4AD8" w:rsidP="00984098">
      <w:pPr>
        <w:pStyle w:val="ListParagraph"/>
        <w:numPr>
          <w:ilvl w:val="0"/>
          <w:numId w:val="20"/>
        </w:numPr>
        <w:spacing w:after="60"/>
        <w:ind w:left="851" w:hanging="425"/>
        <w:contextualSpacing w:val="0"/>
      </w:pPr>
      <w:r>
        <w:t xml:space="preserve">Low investment capacity increases the applicability of an ECF – but if investment capacity is so low that it is difficult for businesses to invest at least $250,000, an ECF becomes a </w:t>
      </w:r>
      <w:r w:rsidR="008604CC">
        <w:t xml:space="preserve">more </w:t>
      </w:r>
      <w:r>
        <w:t xml:space="preserve">costly </w:t>
      </w:r>
      <w:r w:rsidR="0077582A">
        <w:t>business</w:t>
      </w:r>
      <w:r w:rsidR="0077582A">
        <w:noBreakHyphen/>
      </w:r>
      <w:r w:rsidR="00DE083D">
        <w:t xml:space="preserve">development </w:t>
      </w:r>
      <w:r>
        <w:t>option (see cost and risk tolerance for further information).</w:t>
      </w:r>
    </w:p>
    <w:p w:rsidR="007C643A" w:rsidRDefault="00647544" w:rsidP="005D2966">
      <w:pPr>
        <w:pStyle w:val="ListParagraph"/>
        <w:numPr>
          <w:ilvl w:val="0"/>
          <w:numId w:val="17"/>
        </w:numPr>
        <w:spacing w:after="60"/>
        <w:ind w:left="426"/>
        <w:contextualSpacing w:val="0"/>
      </w:pPr>
      <w:r>
        <w:t xml:space="preserve">At some point, </w:t>
      </w:r>
      <w:r w:rsidR="005D2966">
        <w:t xml:space="preserve">selectivity </w:t>
      </w:r>
      <w:r>
        <w:t>will rule out a</w:t>
      </w:r>
      <w:r w:rsidR="0009456B">
        <w:t>n enterprise</w:t>
      </w:r>
      <w:r>
        <w:t xml:space="preserve"> </w:t>
      </w:r>
      <w:r w:rsidR="006D7FB3">
        <w:t>challenge fund</w:t>
      </w:r>
      <w:r>
        <w:t>. For example,</w:t>
      </w:r>
      <w:r w:rsidR="007C643A" w:rsidRPr="00AE7EF1">
        <w:t xml:space="preserve"> </w:t>
      </w:r>
      <w:r w:rsidR="0028388E">
        <w:t>some</w:t>
      </w:r>
      <w:r w:rsidR="007373F8">
        <w:t xml:space="preserve"> </w:t>
      </w:r>
      <w:r w:rsidR="007C643A" w:rsidRPr="00AE7EF1">
        <w:t>Pacific island</w:t>
      </w:r>
      <w:r w:rsidR="00EE7B7B">
        <w:t xml:space="preserve"> nations</w:t>
      </w:r>
      <w:r w:rsidR="00AB41DA">
        <w:t xml:space="preserve"> </w:t>
      </w:r>
      <w:r>
        <w:t xml:space="preserve">are </w:t>
      </w:r>
      <w:r w:rsidR="00B10DCA">
        <w:t>un</w:t>
      </w:r>
      <w:r>
        <w:t xml:space="preserve">likely to have </w:t>
      </w:r>
      <w:r w:rsidR="00B10DCA">
        <w:t xml:space="preserve">the </w:t>
      </w:r>
      <w:r w:rsidR="00655EAA">
        <w:t xml:space="preserve">business </w:t>
      </w:r>
      <w:r>
        <w:t>population</w:t>
      </w:r>
      <w:r w:rsidR="00640624">
        <w:t xml:space="preserve"> size </w:t>
      </w:r>
      <w:r>
        <w:t xml:space="preserve">to </w:t>
      </w:r>
      <w:r w:rsidR="007F1C3C">
        <w:t>justify</w:t>
      </w:r>
      <w:r>
        <w:t xml:space="preserve"> a </w:t>
      </w:r>
      <w:r w:rsidR="006D7FB3">
        <w:t>challenge fund</w:t>
      </w:r>
      <w:r w:rsidR="007F1C3C">
        <w:t xml:space="preserve"> approach</w:t>
      </w:r>
      <w:r>
        <w:t xml:space="preserve">, so </w:t>
      </w:r>
      <w:r w:rsidR="00AB41DA">
        <w:t>regional approaches or different</w:t>
      </w:r>
      <w:r>
        <w:t xml:space="preserve"> business development mechanisms may be more </w:t>
      </w:r>
      <w:r w:rsidR="00540EFF">
        <w:t>appropriate (e.g. a </w:t>
      </w:r>
      <w:r w:rsidR="008E00E9">
        <w:t>risk</w:t>
      </w:r>
      <w:r w:rsidR="008E00E9">
        <w:noBreakHyphen/>
      </w:r>
      <w:r>
        <w:t xml:space="preserve">sharing facility </w:t>
      </w:r>
      <w:r w:rsidR="00367873">
        <w:t>for banks, to encourage credit for business proposals that drive pro-poor development</w:t>
      </w:r>
      <w:r>
        <w:t>).</w:t>
      </w:r>
    </w:p>
    <w:p w:rsidR="00EC40C7" w:rsidRDefault="00EC40C7" w:rsidP="00EC40C7">
      <w:pPr>
        <w:pStyle w:val="Heading2"/>
      </w:pPr>
      <w:bookmarkStart w:id="10" w:name="_Toc351474488"/>
      <w:bookmarkStart w:id="11" w:name="_Toc351474487"/>
      <w:r>
        <w:t xml:space="preserve">Issues for Program </w:t>
      </w:r>
      <w:bookmarkEnd w:id="10"/>
      <w:r>
        <w:t>Design</w:t>
      </w:r>
    </w:p>
    <w:p w:rsidR="00EC40C7" w:rsidRDefault="00EC40C7" w:rsidP="00EC40C7">
      <w:pPr>
        <w:pStyle w:val="ListParagraph"/>
        <w:numPr>
          <w:ilvl w:val="0"/>
          <w:numId w:val="17"/>
        </w:numPr>
        <w:spacing w:after="60"/>
        <w:ind w:left="425" w:hanging="357"/>
        <w:contextualSpacing w:val="0"/>
      </w:pPr>
      <w:r>
        <w:t xml:space="preserve">One of the most important lessons of the </w:t>
      </w:r>
      <w:r w:rsidR="00452104">
        <w:t>ECF pilot</w:t>
      </w:r>
      <w:r>
        <w:t xml:space="preserve"> is the degree of </w:t>
      </w:r>
      <w:r w:rsidRPr="0005038E">
        <w:rPr>
          <w:i/>
        </w:rPr>
        <w:t>preliminary work</w:t>
      </w:r>
      <w:r>
        <w:t xml:space="preserve"> necessary to ensure an effective challenge fund. Before </w:t>
      </w:r>
      <w:r w:rsidR="00E5275E">
        <w:t xml:space="preserve">tendering for a </w:t>
      </w:r>
      <w:r>
        <w:t xml:space="preserve">fund manager </w:t>
      </w:r>
      <w:r w:rsidR="002C4379">
        <w:t xml:space="preserve">you should </w:t>
      </w:r>
      <w:r>
        <w:t>clearly identify:</w:t>
      </w:r>
    </w:p>
    <w:p w:rsidR="00EC40C7" w:rsidRDefault="00EC40C7" w:rsidP="00C8452F">
      <w:pPr>
        <w:pStyle w:val="ListParagraph"/>
        <w:numPr>
          <w:ilvl w:val="0"/>
          <w:numId w:val="29"/>
        </w:numPr>
        <w:spacing w:after="60"/>
        <w:ind w:left="851" w:hanging="426"/>
        <w:contextualSpacing w:val="0"/>
      </w:pPr>
      <w:r>
        <w:t xml:space="preserve">The </w:t>
      </w:r>
      <w:r w:rsidRPr="00777E74">
        <w:rPr>
          <w:i/>
        </w:rPr>
        <w:t>objectives</w:t>
      </w:r>
      <w:r>
        <w:t xml:space="preserve"> of the program, ranked by priority. </w:t>
      </w:r>
      <w:r w:rsidR="00E82F2D">
        <w:t>O</w:t>
      </w:r>
      <w:r>
        <w:t>bjectives should be clearly focussed</w:t>
      </w:r>
      <w:r w:rsidR="00AD0B34">
        <w:t xml:space="preserve"> and</w:t>
      </w:r>
      <w:r>
        <w:t xml:space="preserve"> drawn from existing </w:t>
      </w:r>
      <w:r w:rsidR="00F72E38">
        <w:t>DFAT</w:t>
      </w:r>
      <w:r w:rsidR="00AA41A8">
        <w:t xml:space="preserve"> and</w:t>
      </w:r>
      <w:r>
        <w:t xml:space="preserve"> country strategic documents, and</w:t>
      </w:r>
      <w:r w:rsidR="005944A8">
        <w:t xml:space="preserve"> the </w:t>
      </w:r>
      <w:r w:rsidR="00C1456A">
        <w:t>issues</w:t>
      </w:r>
      <w:r>
        <w:t xml:space="preserve"> below.</w:t>
      </w:r>
    </w:p>
    <w:p w:rsidR="00EC40C7" w:rsidRDefault="00EC40C7" w:rsidP="00C8452F">
      <w:pPr>
        <w:pStyle w:val="ListParagraph"/>
        <w:numPr>
          <w:ilvl w:val="0"/>
          <w:numId w:val="29"/>
        </w:numPr>
        <w:spacing w:after="60"/>
        <w:ind w:left="851" w:hanging="426"/>
        <w:contextualSpacing w:val="0"/>
      </w:pPr>
      <w:r w:rsidRPr="005D2966">
        <w:rPr>
          <w:i/>
        </w:rPr>
        <w:t>Market barriers</w:t>
      </w:r>
      <w:r>
        <w:t xml:space="preserve"> impeding pro-poor business growth in the target region. Without a clear understanding of what barriers exist and how they might be overcome, the challenge fund is unlikely to effectively target the correct industry sectors or </w:t>
      </w:r>
      <w:r w:rsidR="000334F8">
        <w:t xml:space="preserve">select the right </w:t>
      </w:r>
      <w:r>
        <w:t>projects.</w:t>
      </w:r>
    </w:p>
    <w:p w:rsidR="00EC40C7" w:rsidRDefault="00EC40C7" w:rsidP="00C8452F">
      <w:pPr>
        <w:pStyle w:val="ListParagraph"/>
        <w:numPr>
          <w:ilvl w:val="0"/>
          <w:numId w:val="29"/>
        </w:numPr>
        <w:spacing w:after="60"/>
        <w:ind w:left="851" w:hanging="426"/>
        <w:contextualSpacing w:val="0"/>
      </w:pPr>
      <w:r w:rsidRPr="002C4379">
        <w:rPr>
          <w:i/>
        </w:rPr>
        <w:t>Target</w:t>
      </w:r>
      <w:r w:rsidRPr="005D2966">
        <w:rPr>
          <w:i/>
        </w:rPr>
        <w:t xml:space="preserve"> </w:t>
      </w:r>
      <w:r>
        <w:rPr>
          <w:i/>
        </w:rPr>
        <w:t xml:space="preserve">industry </w:t>
      </w:r>
      <w:r w:rsidRPr="005D2966">
        <w:rPr>
          <w:i/>
        </w:rPr>
        <w:t>sectors</w:t>
      </w:r>
      <w:r>
        <w:t xml:space="preserve"> where projects are likely to overcome barriers to future growth.</w:t>
      </w:r>
      <w:r w:rsidR="000334F8">
        <w:t xml:space="preserve"> The ECF pilot </w:t>
      </w:r>
      <w:r>
        <w:t>found that agriculture, aquaculture, tourism, and financial services are likely to offer the greatest potential for future business growth.</w:t>
      </w:r>
      <w:r w:rsidR="005944A8">
        <w:t xml:space="preserve"> </w:t>
      </w:r>
      <w:r w:rsidR="009F47BE">
        <w:t>Other research identifies agricultural investment as leading to the greatest pro-poor income growth (Kleaver 2012).</w:t>
      </w:r>
      <w:r w:rsidR="006369B8">
        <w:t xml:space="preserve"> </w:t>
      </w:r>
      <w:r w:rsidR="00716843">
        <w:t>Identifying</w:t>
      </w:r>
      <w:r w:rsidR="006369B8">
        <w:t xml:space="preserve"> which sectors </w:t>
      </w:r>
      <w:r w:rsidR="00716843">
        <w:t xml:space="preserve">or industries </w:t>
      </w:r>
      <w:r w:rsidR="006369B8">
        <w:t xml:space="preserve">employ majority women or men is </w:t>
      </w:r>
      <w:r w:rsidR="00EA5F6F">
        <w:t xml:space="preserve">also </w:t>
      </w:r>
      <w:r w:rsidR="006369B8">
        <w:t>very important</w:t>
      </w:r>
      <w:r w:rsidR="00E435E1">
        <w:t xml:space="preserve"> to women’s empowerment</w:t>
      </w:r>
      <w:r w:rsidR="006369B8">
        <w:t>.</w:t>
      </w:r>
    </w:p>
    <w:p w:rsidR="003461F1" w:rsidRDefault="00780D88" w:rsidP="00C8452F">
      <w:pPr>
        <w:pStyle w:val="ListParagraph"/>
        <w:numPr>
          <w:ilvl w:val="0"/>
          <w:numId w:val="29"/>
        </w:numPr>
        <w:spacing w:after="60"/>
        <w:ind w:left="851" w:hanging="426"/>
        <w:contextualSpacing w:val="0"/>
      </w:pPr>
      <w:r>
        <w:t xml:space="preserve">A </w:t>
      </w:r>
      <w:r>
        <w:rPr>
          <w:i/>
        </w:rPr>
        <w:t>staged approach</w:t>
      </w:r>
      <w:r w:rsidR="00EB598B">
        <w:t xml:space="preserve"> to </w:t>
      </w:r>
      <w:r>
        <w:t xml:space="preserve">help to react to lessons as they emerge. This could involve approving projects in </w:t>
      </w:r>
      <w:r w:rsidR="00EB598B">
        <w:t xml:space="preserve">annual tranches, or approving staged funding. For example, the </w:t>
      </w:r>
      <w:hyperlink r:id="rId18" w:history="1">
        <w:r w:rsidR="00EB598B" w:rsidRPr="00EB598B">
          <w:rPr>
            <w:rStyle w:val="Hyperlink"/>
          </w:rPr>
          <w:t>USAID Development Innovation Ventures program</w:t>
        </w:r>
      </w:hyperlink>
      <w:r w:rsidR="00EB598B">
        <w:t xml:space="preserve"> grants up to $100,000 funding to prove feasible concepts. Only the best projects qualify for later funding to test at scale (up to $1 million) or implement at scale (</w:t>
      </w:r>
      <w:r w:rsidR="00023FCE">
        <w:t xml:space="preserve">up to </w:t>
      </w:r>
      <w:r w:rsidR="00EB598B">
        <w:t>$15 million).</w:t>
      </w:r>
    </w:p>
    <w:p w:rsidR="002C4379" w:rsidRDefault="002C4379" w:rsidP="002C4379">
      <w:pPr>
        <w:pStyle w:val="ListParagraph"/>
        <w:numPr>
          <w:ilvl w:val="0"/>
          <w:numId w:val="29"/>
        </w:numPr>
        <w:spacing w:after="60"/>
        <w:ind w:left="851" w:hanging="426"/>
        <w:contextualSpacing w:val="0"/>
      </w:pPr>
      <w:r>
        <w:rPr>
          <w:i/>
        </w:rPr>
        <w:t>Results measurement</w:t>
      </w:r>
      <w:r>
        <w:t xml:space="preserve"> standards. Results measurement is crucially important to identify whether you have achieved your </w:t>
      </w:r>
      <w:r>
        <w:rPr>
          <w:i/>
        </w:rPr>
        <w:t>objectives</w:t>
      </w:r>
      <w:r w:rsidRPr="002C4379">
        <w:rPr>
          <w:i/>
        </w:rPr>
        <w:t>.</w:t>
      </w:r>
      <w:r>
        <w:t xml:space="preserve"> The </w:t>
      </w:r>
      <w:hyperlink r:id="rId19" w:history="1">
        <w:r w:rsidRPr="002C4379">
          <w:rPr>
            <w:rStyle w:val="Hyperlink"/>
          </w:rPr>
          <w:t>DCED Standard for Results Measurement</w:t>
        </w:r>
      </w:hyperlink>
      <w:r>
        <w:t xml:space="preserve"> provides guidance fo</w:t>
      </w:r>
      <w:r w:rsidR="00853928">
        <w:t xml:space="preserve">r effective results measurement and DFAT staff </w:t>
      </w:r>
      <w:r w:rsidR="00973D53" w:rsidRPr="00973D53">
        <w:t>should</w:t>
      </w:r>
      <w:r w:rsidR="00853928">
        <w:t xml:space="preserve"> understand </w:t>
      </w:r>
      <w:r w:rsidR="00C543B6">
        <w:t>how</w:t>
      </w:r>
      <w:r w:rsidR="00853928">
        <w:t xml:space="preserve"> to critique results</w:t>
      </w:r>
      <w:r w:rsidR="00C543B6">
        <w:t xml:space="preserve"> report</w:t>
      </w:r>
      <w:r w:rsidR="00303DE8">
        <w:t>s</w:t>
      </w:r>
      <w:r w:rsidR="00751560">
        <w:t>, for example</w:t>
      </w:r>
      <w:r w:rsidR="00F81A88">
        <w:t>,</w:t>
      </w:r>
      <w:r w:rsidR="00751560">
        <w:t xml:space="preserve"> to</w:t>
      </w:r>
      <w:r w:rsidR="001E5520">
        <w:t xml:space="preserve"> identify whether results are </w:t>
      </w:r>
      <w:r w:rsidR="001E5520">
        <w:rPr>
          <w:i/>
        </w:rPr>
        <w:t>additional</w:t>
      </w:r>
      <w:r w:rsidR="00853928">
        <w:t>.</w:t>
      </w:r>
      <w:r w:rsidR="008779FF">
        <w:t xml:space="preserve"> The fund manager should be responsible monitoring and evaluation but participating businesses can provide vital data.</w:t>
      </w:r>
    </w:p>
    <w:p w:rsidR="00EC40C7" w:rsidRDefault="002C4379" w:rsidP="00C8452F">
      <w:pPr>
        <w:pStyle w:val="ListParagraph"/>
        <w:numPr>
          <w:ilvl w:val="0"/>
          <w:numId w:val="29"/>
        </w:numPr>
        <w:spacing w:after="60"/>
        <w:ind w:left="851" w:hanging="426"/>
        <w:contextualSpacing w:val="0"/>
      </w:pPr>
      <w:r>
        <w:t xml:space="preserve">Some </w:t>
      </w:r>
      <w:r w:rsidR="00EC40C7">
        <w:rPr>
          <w:i/>
        </w:rPr>
        <w:t>partnerships</w:t>
      </w:r>
      <w:r w:rsidR="00EC40C7">
        <w:t xml:space="preserve"> </w:t>
      </w:r>
      <w:r>
        <w:rPr>
          <w:i/>
        </w:rPr>
        <w:t xml:space="preserve">and </w:t>
      </w:r>
      <w:r w:rsidRPr="002C4379">
        <w:rPr>
          <w:i/>
        </w:rPr>
        <w:t>links</w:t>
      </w:r>
      <w:r>
        <w:t xml:space="preserve"> with supporting services for businesses. For example, build support for the program in the local Chamber of Commerce and business advisory services</w:t>
      </w:r>
      <w:r w:rsidR="0060201A">
        <w:t xml:space="preserve"> so they can help </w:t>
      </w:r>
      <w:r w:rsidR="00EC40C7">
        <w:t>mentor</w:t>
      </w:r>
      <w:r w:rsidR="0060201A">
        <w:t xml:space="preserve"> participating businesses</w:t>
      </w:r>
      <w:r w:rsidR="00EC40C7">
        <w:t>.</w:t>
      </w:r>
      <w:r w:rsidR="0060201A">
        <w:t xml:space="preserve"> Programs should consider partnering with commercial finance instead of excluding projects that can obtain some degree of commercial funding. </w:t>
      </w:r>
    </w:p>
    <w:p w:rsidR="002C4379" w:rsidRDefault="00EC40C7" w:rsidP="002C4379">
      <w:pPr>
        <w:pStyle w:val="ListParagraph"/>
        <w:numPr>
          <w:ilvl w:val="0"/>
          <w:numId w:val="29"/>
        </w:numPr>
        <w:spacing w:after="60"/>
        <w:ind w:left="851" w:hanging="426"/>
        <w:contextualSpacing w:val="0"/>
      </w:pPr>
      <w:r w:rsidRPr="00AC1207">
        <w:rPr>
          <w:i/>
        </w:rPr>
        <w:t>Clear roles</w:t>
      </w:r>
      <w:r>
        <w:t xml:space="preserve"> for selection panels, managing contractors and independent review teams.</w:t>
      </w:r>
    </w:p>
    <w:p w:rsidR="00502E40" w:rsidRDefault="00502E40" w:rsidP="00502E40">
      <w:pPr>
        <w:pStyle w:val="Heading2"/>
      </w:pPr>
      <w:r>
        <w:t xml:space="preserve">Cost and </w:t>
      </w:r>
      <w:r w:rsidR="00DD0D88">
        <w:t>R</w:t>
      </w:r>
      <w:r>
        <w:t xml:space="preserve">isk </w:t>
      </w:r>
      <w:r w:rsidR="00DD0D88">
        <w:t>T</w:t>
      </w:r>
      <w:r>
        <w:t>olerance</w:t>
      </w:r>
      <w:bookmarkEnd w:id="11"/>
    </w:p>
    <w:p w:rsidR="007A7F5D" w:rsidRDefault="00183207" w:rsidP="0031657E">
      <w:pPr>
        <w:pStyle w:val="ListParagraph"/>
        <w:numPr>
          <w:ilvl w:val="0"/>
          <w:numId w:val="17"/>
        </w:numPr>
        <w:spacing w:after="60"/>
        <w:ind w:left="425" w:hanging="357"/>
        <w:contextualSpacing w:val="0"/>
      </w:pPr>
      <w:r w:rsidRPr="008F651C">
        <w:t>R</w:t>
      </w:r>
      <w:r w:rsidR="00017AAD" w:rsidRPr="008F651C">
        <w:t>eviews of the ECF</w:t>
      </w:r>
      <w:r w:rsidR="00017AAD">
        <w:t xml:space="preserve"> recommend </w:t>
      </w:r>
      <w:r>
        <w:t>management fees of approximately</w:t>
      </w:r>
      <w:r w:rsidR="009D1ECB">
        <w:t xml:space="preserve"> </w:t>
      </w:r>
      <w:r w:rsidR="00502E40">
        <w:t>20</w:t>
      </w:r>
      <w:r w:rsidR="00017AAD">
        <w:t> per </w:t>
      </w:r>
      <w:r w:rsidR="00E36990">
        <w:t>cent</w:t>
      </w:r>
      <w:r w:rsidR="00502E40">
        <w:t xml:space="preserve"> of total expenditure </w:t>
      </w:r>
      <w:r w:rsidR="009D1ECB">
        <w:t>as a</w:t>
      </w:r>
      <w:r w:rsidR="00E67D75">
        <w:t>n acceptable</w:t>
      </w:r>
      <w:r w:rsidR="009D1ECB">
        <w:t xml:space="preserve"> benchmark </w:t>
      </w:r>
      <w:r w:rsidR="00502E40">
        <w:t>(e.g. grant</w:t>
      </w:r>
      <w:r w:rsidR="00E67D75">
        <w:t xml:space="preserve">s </w:t>
      </w:r>
      <w:r w:rsidR="002E1874">
        <w:t>of</w:t>
      </w:r>
      <w:r w:rsidR="00502E40">
        <w:t xml:space="preserve"> $1</w:t>
      </w:r>
      <w:r w:rsidR="00E67D75">
        <w:t>0</w:t>
      </w:r>
      <w:r w:rsidR="00502E40">
        <w:t xml:space="preserve"> million </w:t>
      </w:r>
      <w:r w:rsidR="00E67D75">
        <w:t>could</w:t>
      </w:r>
      <w:r w:rsidR="00502E40">
        <w:t xml:space="preserve"> </w:t>
      </w:r>
      <w:r w:rsidR="002E1874">
        <w:t>see</w:t>
      </w:r>
      <w:r w:rsidR="00502E40">
        <w:t xml:space="preserve"> management costs of </w:t>
      </w:r>
      <w:r w:rsidR="009D1ECB">
        <w:t>$2</w:t>
      </w:r>
      <w:r w:rsidR="00E67D75">
        <w:t>.5 million</w:t>
      </w:r>
      <w:r w:rsidR="00502E40">
        <w:t>).</w:t>
      </w:r>
    </w:p>
    <w:p w:rsidR="00502E40" w:rsidRDefault="00502E40" w:rsidP="0031657E">
      <w:pPr>
        <w:pStyle w:val="ListParagraph"/>
        <w:numPr>
          <w:ilvl w:val="0"/>
          <w:numId w:val="17"/>
        </w:numPr>
        <w:spacing w:after="60"/>
        <w:ind w:left="425" w:hanging="357"/>
        <w:contextualSpacing w:val="0"/>
      </w:pPr>
      <w:r>
        <w:t xml:space="preserve">Many costs </w:t>
      </w:r>
      <w:r w:rsidR="00E93CCE">
        <w:t xml:space="preserve">will </w:t>
      </w:r>
      <w:r w:rsidR="004E752B">
        <w:t xml:space="preserve">be fixed </w:t>
      </w:r>
      <w:r>
        <w:t>so the s</w:t>
      </w:r>
      <w:r w:rsidR="00627705">
        <w:t>maller the grant size</w:t>
      </w:r>
      <w:r>
        <w:t xml:space="preserve">, the higher the management fee </w:t>
      </w:r>
      <w:r w:rsidR="00980AB7">
        <w:t xml:space="preserve">to grant </w:t>
      </w:r>
      <w:r>
        <w:t>ratio</w:t>
      </w:r>
      <w:r w:rsidR="00D21B0D">
        <w:t xml:space="preserve"> (</w:t>
      </w:r>
      <w:r w:rsidR="00EE6D4A">
        <w:t xml:space="preserve">often used as </w:t>
      </w:r>
      <w:r w:rsidR="00980AB7">
        <w:t>a measure of administrative efficiency)</w:t>
      </w:r>
      <w:r w:rsidR="00EE6D4A">
        <w:t>. The </w:t>
      </w:r>
      <w:r>
        <w:t>lessons of the ECF</w:t>
      </w:r>
      <w:r w:rsidR="00F72E38">
        <w:t xml:space="preserve"> pilot</w:t>
      </w:r>
      <w:r>
        <w:t xml:space="preserve"> recommend a minimum grant size of $250,000</w:t>
      </w:r>
      <w:r w:rsidR="00F72E38">
        <w:t xml:space="preserve">. However, </w:t>
      </w:r>
      <w:r w:rsidR="003B3521">
        <w:t>i</w:t>
      </w:r>
      <w:r w:rsidR="00723CAD">
        <w:t>n a 50 per cent matching grant program</w:t>
      </w:r>
      <w:r w:rsidR="0016416C">
        <w:t xml:space="preserve">, </w:t>
      </w:r>
      <w:r w:rsidR="00F72E38">
        <w:t xml:space="preserve">this </w:t>
      </w:r>
      <w:r w:rsidR="004D0AF7">
        <w:t>limit</w:t>
      </w:r>
      <w:r w:rsidR="00F72E38">
        <w:t>s</w:t>
      </w:r>
      <w:r w:rsidR="004D0AF7">
        <w:t xml:space="preserve"> </w:t>
      </w:r>
      <w:r>
        <w:t xml:space="preserve">an ECF </w:t>
      </w:r>
      <w:r w:rsidR="00FB4E21">
        <w:t xml:space="preserve">to locations </w:t>
      </w:r>
      <w:r w:rsidR="0016416C">
        <w:t>where businesses can obtain at least $250,000</w:t>
      </w:r>
      <w:r w:rsidR="00AC1207">
        <w:t xml:space="preserve"> </w:t>
      </w:r>
      <w:r w:rsidR="0085235D">
        <w:t>of finance</w:t>
      </w:r>
      <w:r w:rsidR="0016416C">
        <w:t xml:space="preserve"> </w:t>
      </w:r>
      <w:r w:rsidR="004B4CC1">
        <w:t xml:space="preserve">(unfeasible for </w:t>
      </w:r>
      <w:r w:rsidR="00985664">
        <w:t>some</w:t>
      </w:r>
      <w:r w:rsidR="004B4CC1">
        <w:t xml:space="preserve"> countries)</w:t>
      </w:r>
      <w:r>
        <w:t>.</w:t>
      </w:r>
    </w:p>
    <w:p w:rsidR="00134B85" w:rsidRDefault="00BD5160" w:rsidP="00CA2743">
      <w:pPr>
        <w:pStyle w:val="ListParagraph"/>
        <w:numPr>
          <w:ilvl w:val="0"/>
          <w:numId w:val="17"/>
        </w:numPr>
        <w:spacing w:after="60"/>
        <w:ind w:left="425" w:hanging="357"/>
        <w:contextualSpacing w:val="0"/>
      </w:pPr>
      <w:r>
        <w:t>S</w:t>
      </w:r>
      <w:r w:rsidR="0031657E">
        <w:t xml:space="preserve">ome </w:t>
      </w:r>
      <w:r w:rsidR="00D54BE9">
        <w:t xml:space="preserve">projects </w:t>
      </w:r>
      <w:r w:rsidR="0031657E" w:rsidRPr="00134B85">
        <w:rPr>
          <w:i/>
        </w:rPr>
        <w:t>will</w:t>
      </w:r>
      <w:r w:rsidR="0031657E">
        <w:t xml:space="preserve"> </w:t>
      </w:r>
      <w:r>
        <w:t xml:space="preserve">fail to meet objectives </w:t>
      </w:r>
      <w:r w:rsidR="000F5BF6">
        <w:t xml:space="preserve">or </w:t>
      </w:r>
      <w:r>
        <w:t xml:space="preserve">fail as a business. </w:t>
      </w:r>
      <w:r w:rsidR="004F47E5">
        <w:t xml:space="preserve">Estimates of small businesses failure range from </w:t>
      </w:r>
      <w:r w:rsidR="006869D7">
        <w:t>6</w:t>
      </w:r>
      <w:r w:rsidR="004F47E5">
        <w:t xml:space="preserve">0 to 90 </w:t>
      </w:r>
      <w:r w:rsidR="008F651C">
        <w:t xml:space="preserve">per cent </w:t>
      </w:r>
      <w:r w:rsidR="00E618DF">
        <w:t>within</w:t>
      </w:r>
      <w:r w:rsidR="006869D7">
        <w:t xml:space="preserve"> five years</w:t>
      </w:r>
      <w:r w:rsidR="004F47E5">
        <w:t xml:space="preserve">, </w:t>
      </w:r>
      <w:r w:rsidR="006869D7">
        <w:t>and</w:t>
      </w:r>
      <w:r w:rsidR="004F47E5">
        <w:t xml:space="preserve"> e</w:t>
      </w:r>
      <w:r w:rsidR="00523FBC">
        <w:t xml:space="preserve">xpectations </w:t>
      </w:r>
      <w:r w:rsidR="00973D53">
        <w:t>should</w:t>
      </w:r>
      <w:r w:rsidR="00E82F2D">
        <w:t xml:space="preserve"> be </w:t>
      </w:r>
      <w:r w:rsidR="00523FBC">
        <w:t xml:space="preserve">managed so that </w:t>
      </w:r>
      <w:r w:rsidR="00501DFE">
        <w:t xml:space="preserve">a </w:t>
      </w:r>
      <w:r w:rsidR="00523FBC">
        <w:t xml:space="preserve">program can be viewed as </w:t>
      </w:r>
      <w:r w:rsidR="008F651C">
        <w:t xml:space="preserve">a </w:t>
      </w:r>
      <w:r w:rsidR="00523FBC">
        <w:t xml:space="preserve">success despite some </w:t>
      </w:r>
      <w:r w:rsidR="008F651C">
        <w:t xml:space="preserve">project </w:t>
      </w:r>
      <w:r w:rsidR="00523FBC">
        <w:t>failure</w:t>
      </w:r>
      <w:r w:rsidR="001E3C63">
        <w:t>s</w:t>
      </w:r>
      <w:r w:rsidR="00523FBC">
        <w:t>.</w:t>
      </w:r>
      <w:r>
        <w:t xml:space="preserve"> </w:t>
      </w:r>
      <w:r w:rsidR="00E82F2D">
        <w:t xml:space="preserve">A </w:t>
      </w:r>
      <w:r w:rsidR="00DA471E">
        <w:t xml:space="preserve">realistic </w:t>
      </w:r>
      <w:r w:rsidR="00B23C2B">
        <w:t>expectation</w:t>
      </w:r>
      <w:r w:rsidR="00E82F2D">
        <w:t xml:space="preserve"> </w:t>
      </w:r>
      <w:r w:rsidR="00DA471E">
        <w:t xml:space="preserve">may be </w:t>
      </w:r>
      <w:r w:rsidR="00E82F2D">
        <w:t>30 per cent meeting</w:t>
      </w:r>
      <w:r w:rsidR="00990333">
        <w:t>/exceeding</w:t>
      </w:r>
      <w:r w:rsidR="00E82F2D">
        <w:t xml:space="preserve"> objectives (high quality performance), 40 per cent meeting </w:t>
      </w:r>
      <w:r w:rsidR="00835EC9">
        <w:t>most</w:t>
      </w:r>
      <w:r w:rsidR="00E82F2D">
        <w:t xml:space="preserve"> objectives (adequate performance), and 30 per cent meet</w:t>
      </w:r>
      <w:r w:rsidR="00723CAD">
        <w:t>ing few</w:t>
      </w:r>
      <w:r w:rsidR="00E82F2D">
        <w:t xml:space="preserve"> objectives (</w:t>
      </w:r>
      <w:r w:rsidR="003E6E9A">
        <w:t>poorer</w:t>
      </w:r>
      <w:r w:rsidR="00E82F2D">
        <w:t xml:space="preserve"> performance</w:t>
      </w:r>
      <w:r w:rsidR="00552974">
        <w:t>).</w:t>
      </w:r>
      <w:r w:rsidR="00134A7A">
        <w:t xml:space="preserve"> </w:t>
      </w:r>
    </w:p>
    <w:p w:rsidR="00CA2743" w:rsidRDefault="004F47E5" w:rsidP="00CA2743">
      <w:pPr>
        <w:pStyle w:val="ListParagraph"/>
        <w:numPr>
          <w:ilvl w:val="0"/>
          <w:numId w:val="17"/>
        </w:numPr>
        <w:spacing w:after="60"/>
        <w:ind w:left="425" w:hanging="357"/>
        <w:contextualSpacing w:val="0"/>
      </w:pPr>
      <w:r>
        <w:t>P</w:t>
      </w:r>
      <w:r w:rsidR="00552974">
        <w:t>rioritising s</w:t>
      </w:r>
      <w:r w:rsidR="00552974" w:rsidRPr="00134B85">
        <w:rPr>
          <w:i/>
        </w:rPr>
        <w:t>electivity</w:t>
      </w:r>
      <w:r w:rsidR="00552974" w:rsidRPr="00552974">
        <w:t>,</w:t>
      </w:r>
      <w:r w:rsidR="00552974" w:rsidRPr="00134B85">
        <w:rPr>
          <w:i/>
        </w:rPr>
        <w:t xml:space="preserve"> expansion, </w:t>
      </w:r>
      <w:r w:rsidR="00552974">
        <w:t xml:space="preserve">and </w:t>
      </w:r>
      <w:r w:rsidR="00552974" w:rsidRPr="00134B85">
        <w:rPr>
          <w:i/>
        </w:rPr>
        <w:t>replication</w:t>
      </w:r>
      <w:r w:rsidR="00552974">
        <w:t xml:space="preserve"> </w:t>
      </w:r>
      <w:r w:rsidR="009D0C0D">
        <w:t>is likely to</w:t>
      </w:r>
      <w:r w:rsidR="00552974">
        <w:t xml:space="preserve"> improve </w:t>
      </w:r>
      <w:r w:rsidR="006B2F23">
        <w:t xml:space="preserve">ECF </w:t>
      </w:r>
      <w:r w:rsidR="00BE3919">
        <w:t xml:space="preserve">project </w:t>
      </w:r>
      <w:r w:rsidR="00552974">
        <w:t>performance</w:t>
      </w:r>
      <w:r>
        <w:t xml:space="preserve"> above </w:t>
      </w:r>
      <w:r w:rsidR="003B6A81">
        <w:t>‘natural’</w:t>
      </w:r>
      <w:r>
        <w:t xml:space="preserve"> business failure rate</w:t>
      </w:r>
      <w:r w:rsidR="00E028AC">
        <w:t>s</w:t>
      </w:r>
      <w:r>
        <w:t xml:space="preserve"> but </w:t>
      </w:r>
      <w:r w:rsidR="00E028AC">
        <w:t xml:space="preserve">an </w:t>
      </w:r>
      <w:r w:rsidR="00CA2743">
        <w:t xml:space="preserve">ECF </w:t>
      </w:r>
      <w:r w:rsidR="00E028AC">
        <w:t xml:space="preserve">remains a business </w:t>
      </w:r>
      <w:r w:rsidR="00A45EDB">
        <w:t xml:space="preserve">development </w:t>
      </w:r>
      <w:r w:rsidR="00E028AC">
        <w:t>mechanism</w:t>
      </w:r>
      <w:r w:rsidR="00D84DFC">
        <w:t xml:space="preserve"> </w:t>
      </w:r>
      <w:r w:rsidR="00A91024">
        <w:t>–</w:t>
      </w:r>
      <w:r w:rsidR="00A45EDB">
        <w:t xml:space="preserve"> </w:t>
      </w:r>
      <w:r w:rsidR="00D84DFC">
        <w:t>i</w:t>
      </w:r>
      <w:r w:rsidR="00A45EDB">
        <w:t>t</w:t>
      </w:r>
      <w:r w:rsidR="00E028AC">
        <w:t xml:space="preserve"> </w:t>
      </w:r>
      <w:r w:rsidR="00CA2743">
        <w:t xml:space="preserve">is </w:t>
      </w:r>
      <w:r>
        <w:t xml:space="preserve">only </w:t>
      </w:r>
      <w:r w:rsidR="00A45EDB">
        <w:t xml:space="preserve">appropriate </w:t>
      </w:r>
      <w:r w:rsidR="00CA2743">
        <w:t xml:space="preserve">for </w:t>
      </w:r>
      <w:r>
        <w:t xml:space="preserve">those </w:t>
      </w:r>
      <w:r w:rsidR="00CA2743">
        <w:t>areas that can accept a certain level of management cost and project failure.</w:t>
      </w:r>
    </w:p>
    <w:bookmarkStart w:id="12" w:name="_Toc351474489"/>
    <w:p w:rsidR="00CA2743" w:rsidRDefault="00520EB3" w:rsidP="00CA2743">
      <w:pPr>
        <w:pStyle w:val="ListParagraph"/>
        <w:spacing w:after="60"/>
        <w:ind w:left="425"/>
        <w:contextualSpacing w:val="0"/>
      </w:pPr>
      <w:r>
        <w:rPr>
          <w:noProof/>
          <w:lang w:eastAsia="en-AU"/>
        </w:rPr>
        <mc:AlternateContent>
          <mc:Choice Requires="wps">
            <w:drawing>
              <wp:anchor distT="0" distB="0" distL="114300" distR="114300" simplePos="0" relativeHeight="251669504" behindDoc="0" locked="0" layoutInCell="1" allowOverlap="1" wp14:anchorId="4658F559" wp14:editId="5DC92ABA">
                <wp:simplePos x="0" y="0"/>
                <wp:positionH relativeFrom="column">
                  <wp:posOffset>41910</wp:posOffset>
                </wp:positionH>
                <wp:positionV relativeFrom="paragraph">
                  <wp:posOffset>-205740</wp:posOffset>
                </wp:positionV>
                <wp:extent cx="5905500" cy="26955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695575"/>
                        </a:xfrm>
                        <a:prstGeom prst="rect">
                          <a:avLst/>
                        </a:prstGeom>
                        <a:solidFill>
                          <a:srgbClr val="FFFFFF"/>
                        </a:solidFill>
                        <a:ln w="19050">
                          <a:solidFill>
                            <a:srgbClr val="FFC000"/>
                          </a:solidFill>
                          <a:miter lim="800000"/>
                          <a:headEnd/>
                          <a:tailEnd/>
                        </a:ln>
                      </wps:spPr>
                      <wps:txbx>
                        <w:txbxContent>
                          <w:p w:rsidR="00B6415E" w:rsidRPr="00FE766A" w:rsidRDefault="00B6415E" w:rsidP="000539A7">
                            <w:pPr>
                              <w:pStyle w:val="Heading2"/>
                              <w:spacing w:before="0" w:after="120"/>
                              <w:rPr>
                                <w:color w:val="auto"/>
                              </w:rPr>
                            </w:pPr>
                            <w:bookmarkStart w:id="13" w:name="_Toc351474490"/>
                            <w:r>
                              <w:rPr>
                                <w:color w:val="auto"/>
                              </w:rPr>
                              <w:t xml:space="preserve">Box 3 - </w:t>
                            </w:r>
                            <w:r w:rsidRPr="00FE766A">
                              <w:rPr>
                                <w:color w:val="auto"/>
                              </w:rPr>
                              <w:t>Lessons in brief</w:t>
                            </w:r>
                            <w:r>
                              <w:rPr>
                                <w:color w:val="auto"/>
                              </w:rPr>
                              <w:t>:</w:t>
                            </w:r>
                            <w:r w:rsidRPr="00FE766A">
                              <w:rPr>
                                <w:color w:val="auto"/>
                              </w:rPr>
                              <w:t xml:space="preserve"> the Challenge Fund checklist</w:t>
                            </w:r>
                            <w:bookmarkEnd w:id="13"/>
                          </w:p>
                          <w:p w:rsidR="00B6415E" w:rsidRPr="00C94D82" w:rsidRDefault="00B6415E" w:rsidP="003C19D5">
                            <w:pPr>
                              <w:tabs>
                                <w:tab w:val="left" w:pos="4820"/>
                              </w:tabs>
                              <w:spacing w:after="0"/>
                            </w:pPr>
                            <w:r w:rsidRPr="00231D72">
                              <w:rPr>
                                <w:b/>
                              </w:rPr>
                              <w:t>Does your target area have:</w:t>
                            </w:r>
                            <w:r>
                              <w:tab/>
                            </w:r>
                            <w:r w:rsidRPr="0071231F">
                              <w:rPr>
                                <w:b/>
                              </w:rPr>
                              <w:t xml:space="preserve">Does your </w:t>
                            </w:r>
                            <w:r>
                              <w:rPr>
                                <w:b/>
                              </w:rPr>
                              <w:t>design document</w:t>
                            </w:r>
                            <w:r w:rsidRPr="0071231F">
                              <w:rPr>
                                <w:b/>
                              </w:rPr>
                              <w:t xml:space="preserve"> clearly identify</w:t>
                            </w:r>
                            <w:r w:rsidRPr="00231D72">
                              <w:rPr>
                                <w:b/>
                              </w:rPr>
                              <w:t>:</w:t>
                            </w:r>
                          </w:p>
                          <w:p w:rsidR="00B6415E" w:rsidRPr="007D121B" w:rsidRDefault="00B6415E" w:rsidP="003C19D5">
                            <w:pPr>
                              <w:tabs>
                                <w:tab w:val="left" w:pos="284"/>
                                <w:tab w:val="left" w:pos="4820"/>
                              </w:tabs>
                              <w:spacing w:after="60"/>
                              <w:ind w:left="284" w:hanging="284"/>
                              <w:rPr>
                                <w:rFonts w:cstheme="minorHAnsi"/>
                              </w:rPr>
                            </w:pPr>
                            <w:r w:rsidRPr="00C94D82">
                              <w:rPr>
                                <w:rFonts w:cstheme="minorHAnsi"/>
                                <w:sz w:val="24"/>
                                <w:szCs w:val="24"/>
                              </w:rPr>
                              <w:t>□</w:t>
                            </w:r>
                            <w:r>
                              <w:rPr>
                                <w:rFonts w:cstheme="minorHAnsi"/>
                                <w:sz w:val="24"/>
                                <w:szCs w:val="24"/>
                              </w:rPr>
                              <w:t xml:space="preserve"> </w:t>
                            </w:r>
                            <w:r>
                              <w:rPr>
                                <w:rFonts w:cstheme="minorHAnsi"/>
                                <w:sz w:val="24"/>
                                <w:szCs w:val="24"/>
                              </w:rPr>
                              <w:tab/>
                            </w:r>
                            <w:r w:rsidRPr="007D121B">
                              <w:rPr>
                                <w:rFonts w:cstheme="minorHAnsi"/>
                              </w:rPr>
                              <w:t xml:space="preserve">Sufficient population base to generate </w:t>
                            </w:r>
                            <w:r w:rsidRPr="007D121B">
                              <w:rPr>
                                <w:rFonts w:cstheme="minorHAnsi"/>
                              </w:rPr>
                              <w:tab/>
                              <w:t xml:space="preserve">□ </w:t>
                            </w:r>
                            <w:r w:rsidRPr="007D121B">
                              <w:rPr>
                                <w:rFonts w:cstheme="minorHAnsi"/>
                              </w:rPr>
                              <w:tab/>
                              <w:t>Program objectives?</w:t>
                            </w:r>
                            <w:r w:rsidRPr="007D121B">
                              <w:rPr>
                                <w:rFonts w:cstheme="minorHAnsi"/>
                              </w:rPr>
                              <w:br/>
                              <w:t>proposals that catalyse future growth?</w:t>
                            </w:r>
                            <w:r w:rsidRPr="007D121B">
                              <w:rPr>
                                <w:rFonts w:cstheme="minorHAnsi"/>
                              </w:rPr>
                              <w:tab/>
                              <w:t xml:space="preserve">□ </w:t>
                            </w:r>
                            <w:r w:rsidRPr="007D121B">
                              <w:rPr>
                                <w:rFonts w:cstheme="minorHAnsi"/>
                              </w:rPr>
                              <w:tab/>
                            </w:r>
                            <w:r>
                              <w:rPr>
                                <w:rFonts w:cstheme="minorHAnsi"/>
                              </w:rPr>
                              <w:t>The m</w:t>
                            </w:r>
                            <w:r w:rsidRPr="007D121B">
                              <w:rPr>
                                <w:rFonts w:cstheme="minorHAnsi"/>
                              </w:rPr>
                              <w:t>arket barriers?</w:t>
                            </w:r>
                          </w:p>
                          <w:p w:rsidR="00B6415E" w:rsidRDefault="00B6415E" w:rsidP="003C19D5">
                            <w:pPr>
                              <w:tabs>
                                <w:tab w:val="left" w:pos="284"/>
                                <w:tab w:val="left" w:pos="4820"/>
                              </w:tabs>
                              <w:spacing w:after="60"/>
                              <w:rPr>
                                <w:rFonts w:cstheme="minorHAnsi"/>
                              </w:rPr>
                            </w:pPr>
                            <w:r w:rsidRPr="007D121B">
                              <w:rPr>
                                <w:rFonts w:cstheme="minorHAnsi"/>
                              </w:rPr>
                              <w:t>□</w:t>
                            </w:r>
                            <w:r w:rsidRPr="007D121B">
                              <w:rPr>
                                <w:rFonts w:cstheme="minorHAnsi"/>
                              </w:rPr>
                              <w:tab/>
                              <w:t xml:space="preserve">Market barriers that prevent investment </w:t>
                            </w:r>
                            <w:r w:rsidRPr="007D121B">
                              <w:rPr>
                                <w:rFonts w:cstheme="minorHAnsi"/>
                              </w:rPr>
                              <w:tab/>
                              <w:t xml:space="preserve">□ </w:t>
                            </w:r>
                            <w:r w:rsidRPr="007D121B">
                              <w:rPr>
                                <w:rFonts w:cstheme="minorHAnsi"/>
                              </w:rPr>
                              <w:tab/>
                              <w:t>Target industry sectors</w:t>
                            </w:r>
                            <w:r>
                              <w:rPr>
                                <w:rFonts w:cstheme="minorHAnsi"/>
                              </w:rPr>
                              <w:t xml:space="preserve"> and which  </w:t>
                            </w:r>
                            <w:r>
                              <w:rPr>
                                <w:rFonts w:cstheme="minorHAnsi"/>
                              </w:rPr>
                              <w:tab/>
                            </w:r>
                            <w:r>
                              <w:rPr>
                                <w:rFonts w:cstheme="minorHAnsi"/>
                              </w:rPr>
                              <w:tab/>
                            </w:r>
                            <w:r w:rsidRPr="007D121B">
                              <w:rPr>
                                <w:rFonts w:cstheme="minorHAnsi"/>
                              </w:rPr>
                              <w:t>in projects with flow-on effects?</w:t>
                            </w:r>
                            <w:r>
                              <w:rPr>
                                <w:rFonts w:cstheme="minorHAnsi"/>
                              </w:rPr>
                              <w:tab/>
                            </w:r>
                            <w:r>
                              <w:rPr>
                                <w:rFonts w:cstheme="minorHAnsi"/>
                              </w:rPr>
                              <w:tab/>
                              <w:t>industries employ women/men</w:t>
                            </w:r>
                            <w:r w:rsidRPr="007D121B">
                              <w:rPr>
                                <w:rFonts w:cstheme="minorHAnsi"/>
                              </w:rPr>
                              <w:t>?</w:t>
                            </w:r>
                            <w:r w:rsidRPr="007D121B">
                              <w:rPr>
                                <w:rFonts w:cstheme="minorHAnsi"/>
                              </w:rPr>
                              <w:br/>
                            </w:r>
                            <w:r>
                              <w:rPr>
                                <w:rFonts w:cstheme="minorHAnsi"/>
                              </w:rPr>
                              <w:t>□</w:t>
                            </w:r>
                            <w:r>
                              <w:rPr>
                                <w:rFonts w:cstheme="minorHAnsi"/>
                              </w:rPr>
                              <w:tab/>
                            </w:r>
                            <w:r w:rsidRPr="007D121B">
                              <w:rPr>
                                <w:rFonts w:cstheme="minorHAnsi"/>
                              </w:rPr>
                              <w:t>A constrained investment capacity?</w:t>
                            </w:r>
                            <w:r w:rsidRPr="007D121B">
                              <w:rPr>
                                <w:rFonts w:cstheme="minorHAnsi"/>
                              </w:rPr>
                              <w:tab/>
                              <w:t xml:space="preserve">□ </w:t>
                            </w:r>
                            <w:r w:rsidRPr="007D121B">
                              <w:rPr>
                                <w:rFonts w:cstheme="minorHAnsi"/>
                              </w:rPr>
                              <w:tab/>
                              <w:t>Types of eligible projects?</w:t>
                            </w:r>
                            <w:r>
                              <w:rPr>
                                <w:rFonts w:cstheme="minorHAnsi"/>
                                <w:sz w:val="24"/>
                                <w:szCs w:val="24"/>
                              </w:rPr>
                              <w:br/>
                            </w:r>
                            <w:r w:rsidRPr="00231D72">
                              <w:rPr>
                                <w:rFonts w:cstheme="minorHAnsi"/>
                                <w:b/>
                              </w:rPr>
                              <w:t>Can you accept:</w:t>
                            </w:r>
                            <w:r>
                              <w:rPr>
                                <w:rFonts w:cstheme="minorHAnsi"/>
                                <w:b/>
                              </w:rPr>
                              <w:tab/>
                            </w:r>
                            <w:r w:rsidRPr="00C94D82">
                              <w:rPr>
                                <w:rFonts w:cstheme="minorHAnsi"/>
                                <w:sz w:val="24"/>
                                <w:szCs w:val="24"/>
                              </w:rPr>
                              <w:t>□</w:t>
                            </w:r>
                            <w:r>
                              <w:rPr>
                                <w:rFonts w:cstheme="minorHAnsi"/>
                                <w:sz w:val="24"/>
                                <w:szCs w:val="24"/>
                              </w:rPr>
                              <w:t xml:space="preserve"> </w:t>
                            </w:r>
                            <w:r w:rsidRPr="00C60B18">
                              <w:rPr>
                                <w:rFonts w:cstheme="minorHAnsi"/>
                              </w:rPr>
                              <w:t xml:space="preserve">Ways to identify business links and   </w:t>
                            </w:r>
                            <w:r>
                              <w:rPr>
                                <w:rFonts w:cstheme="minorHAnsi"/>
                              </w:rPr>
                              <w:br/>
                            </w:r>
                            <w:r w:rsidRPr="00C94D82">
                              <w:rPr>
                                <w:rFonts w:cstheme="minorHAnsi"/>
                                <w:sz w:val="24"/>
                                <w:szCs w:val="24"/>
                              </w:rPr>
                              <w:t>□</w:t>
                            </w:r>
                            <w:r>
                              <w:rPr>
                                <w:rFonts w:cstheme="minorHAnsi"/>
                                <w:sz w:val="24"/>
                                <w:szCs w:val="24"/>
                              </w:rPr>
                              <w:tab/>
                            </w:r>
                            <w:r>
                              <w:rPr>
                                <w:rFonts w:cstheme="minorHAnsi"/>
                              </w:rPr>
                              <w:t xml:space="preserve">Up to </w:t>
                            </w:r>
                            <w:r w:rsidRPr="007D121B">
                              <w:rPr>
                                <w:rFonts w:cstheme="minorHAnsi"/>
                              </w:rPr>
                              <w:t>20% management costs?</w:t>
                            </w:r>
                            <w:r w:rsidRPr="00C60B18">
                              <w:rPr>
                                <w:rFonts w:cstheme="minorHAnsi"/>
                              </w:rPr>
                              <w:tab/>
                            </w:r>
                            <w:r w:rsidRPr="00C60B18">
                              <w:rPr>
                                <w:rFonts w:cstheme="minorHAnsi"/>
                              </w:rPr>
                              <w:tab/>
                              <w:t>partnerships?</w:t>
                            </w:r>
                            <w:r>
                              <w:rPr>
                                <w:rFonts w:cstheme="minorHAnsi"/>
                                <w:sz w:val="24"/>
                                <w:szCs w:val="24"/>
                              </w:rPr>
                              <w:tab/>
                            </w:r>
                            <w:r w:rsidRPr="00C60B18">
                              <w:rPr>
                                <w:rFonts w:cstheme="minorHAnsi"/>
                              </w:rPr>
                              <w:tab/>
                            </w:r>
                            <w:r w:rsidRPr="007D121B">
                              <w:rPr>
                                <w:rFonts w:cstheme="minorHAnsi"/>
                              </w:rPr>
                              <w:tab/>
                            </w:r>
                            <w:r>
                              <w:rPr>
                                <w:rFonts w:cstheme="minorHAnsi"/>
                              </w:rPr>
                              <w:br/>
                            </w:r>
                            <w:r w:rsidRPr="007D121B">
                              <w:rPr>
                                <w:rFonts w:cstheme="minorHAnsi"/>
                              </w:rPr>
                              <w:t>□</w:t>
                            </w:r>
                            <w:r w:rsidRPr="007D121B">
                              <w:rPr>
                                <w:rFonts w:cstheme="minorHAnsi"/>
                              </w:rPr>
                              <w:tab/>
                              <w:t xml:space="preserve">A degree of planned project failure </w:t>
                            </w:r>
                            <w:r w:rsidRPr="007D121B">
                              <w:rPr>
                                <w:rFonts w:cstheme="minorHAnsi"/>
                              </w:rPr>
                              <w:tab/>
                              <w:t xml:space="preserve">□ </w:t>
                            </w:r>
                            <w:r w:rsidRPr="007D121B">
                              <w:rPr>
                                <w:rFonts w:cstheme="minorHAnsi"/>
                              </w:rPr>
                              <w:tab/>
                              <w:t>Clear roles for contracted</w:t>
                            </w:r>
                            <w:r>
                              <w:rPr>
                                <w:rFonts w:cstheme="minorHAnsi"/>
                              </w:rPr>
                              <w:t xml:space="preserve"> service </w:t>
                            </w:r>
                            <w:r w:rsidRPr="007D121B">
                              <w:rPr>
                                <w:rFonts w:cstheme="minorHAnsi"/>
                              </w:rPr>
                              <w:br/>
                            </w:r>
                            <w:r w:rsidRPr="007D121B">
                              <w:rPr>
                                <w:rFonts w:cstheme="minorHAnsi"/>
                              </w:rPr>
                              <w:tab/>
                              <w:t>in a successful  program?</w:t>
                            </w:r>
                            <w:r>
                              <w:rPr>
                                <w:rFonts w:cstheme="minorHAnsi"/>
                              </w:rPr>
                              <w:tab/>
                            </w:r>
                            <w:r>
                              <w:rPr>
                                <w:rFonts w:cstheme="minorHAnsi"/>
                              </w:rPr>
                              <w:tab/>
                            </w:r>
                            <w:r w:rsidRPr="007D121B">
                              <w:rPr>
                                <w:rFonts w:cstheme="minorHAnsi"/>
                              </w:rPr>
                              <w:t>providers?</w:t>
                            </w:r>
                            <w:r w:rsidRPr="00C60B18">
                              <w:rPr>
                                <w:rFonts w:cstheme="minorHAnsi"/>
                              </w:rPr>
                              <w:tab/>
                            </w:r>
                          </w:p>
                          <w:p w:rsidR="00B6415E" w:rsidRDefault="00B6415E" w:rsidP="00520EB3">
                            <w:pPr>
                              <w:tabs>
                                <w:tab w:val="left" w:pos="284"/>
                                <w:tab w:val="left" w:pos="4820"/>
                                <w:tab w:val="left" w:pos="4962"/>
                              </w:tabs>
                              <w:spacing w:after="60"/>
                              <w:rPr>
                                <w:rFonts w:cstheme="minorHAnsi"/>
                                <w:sz w:val="24"/>
                                <w:szCs w:val="24"/>
                              </w:rPr>
                            </w:pPr>
                            <w:r>
                              <w:rPr>
                                <w:rFonts w:cstheme="minorHAnsi"/>
                              </w:rPr>
                              <w:tab/>
                            </w:r>
                            <w:r>
                              <w:rPr>
                                <w:rFonts w:cstheme="minorHAnsi"/>
                              </w:rPr>
                              <w:tab/>
                            </w:r>
                            <w:r w:rsidRPr="007D121B">
                              <w:rPr>
                                <w:rFonts w:cstheme="minorHAnsi"/>
                              </w:rPr>
                              <w:t>□</w:t>
                            </w:r>
                            <w:r>
                              <w:rPr>
                                <w:rFonts w:cstheme="minorHAnsi"/>
                              </w:rPr>
                              <w:t xml:space="preserve">  Results measurement standards?</w:t>
                            </w:r>
                            <w:r>
                              <w:rPr>
                                <w:rFonts w:cstheme="minorHAnsi"/>
                                <w:sz w:val="24"/>
                                <w:szCs w:val="24"/>
                              </w:rPr>
                              <w:br/>
                            </w:r>
                          </w:p>
                          <w:p w:rsidR="00B6415E" w:rsidRDefault="00B6415E" w:rsidP="00754A2A">
                            <w:pPr>
                              <w:tabs>
                                <w:tab w:val="left" w:pos="284"/>
                                <w:tab w:val="left" w:pos="4536"/>
                                <w:tab w:val="left" w:pos="4820"/>
                              </w:tabs>
                              <w:spacing w:after="60"/>
                              <w:ind w:left="284" w:hanging="284"/>
                              <w:rPr>
                                <w:rFonts w:cstheme="minorHAnsi"/>
                                <w:sz w:val="24"/>
                                <w:szCs w:val="24"/>
                              </w:rPr>
                            </w:pPr>
                            <w:r>
                              <w:rPr>
                                <w:rFonts w:cstheme="minorHAnsi"/>
                                <w:sz w:val="24"/>
                                <w:szCs w:val="24"/>
                              </w:rPr>
                              <w:tab/>
                            </w:r>
                          </w:p>
                          <w:p w:rsidR="00B6415E" w:rsidRPr="00C94D82" w:rsidRDefault="00B6415E" w:rsidP="00754A2A">
                            <w:pPr>
                              <w:tabs>
                                <w:tab w:val="left" w:pos="284"/>
                                <w:tab w:val="left" w:pos="4536"/>
                                <w:tab w:val="left" w:pos="4820"/>
                              </w:tabs>
                              <w:spacing w:after="60"/>
                              <w:ind w:left="285" w:hanging="285"/>
                              <w:rPr>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3.3pt;margin-top:-16.2pt;width:465pt;height:21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" strokecolor="#ffc000" strokeweight="1.5pt">
                <v:textbox>
                  <w:txbxContent>
                    <w:p w:rsidR="00B6415E" w:rsidRPr="00FE766A" w:rsidRDefault="00B6415E" w:rsidP="000539A7">
                      <w:pPr>
                        <w:pStyle w:val="Heading2"/>
                        <w:spacing w:before="0" w:after="120"/>
                        <w:rPr>
                          <w:color w:val="auto"/>
                        </w:rPr>
                      </w:pPr>
                      <w:bookmarkStart w:id="16" w:name="_Toc351474490"/>
                      <w:r>
                        <w:rPr>
                          <w:color w:val="auto"/>
                        </w:rPr>
                        <w:t xml:space="preserve">Box 3 - </w:t>
                      </w:r>
                      <w:r w:rsidRPr="00FE766A">
                        <w:rPr>
                          <w:color w:val="auto"/>
                        </w:rPr>
                        <w:t>Lessons in brief</w:t>
                      </w:r>
                      <w:r>
                        <w:rPr>
                          <w:color w:val="auto"/>
                        </w:rPr>
                        <w:t>:</w:t>
                      </w:r>
                      <w:r w:rsidRPr="00FE766A">
                        <w:rPr>
                          <w:color w:val="auto"/>
                        </w:rPr>
                        <w:t xml:space="preserve"> the Challenge Fund checklist</w:t>
                      </w:r>
                      <w:bookmarkEnd w:id="16"/>
                    </w:p>
                    <w:p w:rsidR="00B6415E" w:rsidRPr="00C94D82" w:rsidRDefault="00B6415E" w:rsidP="003C19D5">
                      <w:pPr>
                        <w:tabs>
                          <w:tab w:val="left" w:pos="4820"/>
                        </w:tabs>
                        <w:spacing w:after="0"/>
                      </w:pPr>
                      <w:r w:rsidRPr="00231D72">
                        <w:rPr>
                          <w:b/>
                        </w:rPr>
                        <w:t>Does your target area have:</w:t>
                      </w:r>
                      <w:r>
                        <w:tab/>
                      </w:r>
                      <w:r w:rsidRPr="0071231F">
                        <w:rPr>
                          <w:b/>
                        </w:rPr>
                        <w:t xml:space="preserve">Does your </w:t>
                      </w:r>
                      <w:r>
                        <w:rPr>
                          <w:b/>
                        </w:rPr>
                        <w:t>design document</w:t>
                      </w:r>
                      <w:r w:rsidRPr="0071231F">
                        <w:rPr>
                          <w:b/>
                        </w:rPr>
                        <w:t xml:space="preserve"> clearly identify</w:t>
                      </w:r>
                      <w:r w:rsidRPr="00231D72">
                        <w:rPr>
                          <w:b/>
                        </w:rPr>
                        <w:t>:</w:t>
                      </w:r>
                    </w:p>
                    <w:p w:rsidR="00B6415E" w:rsidRPr="007D121B" w:rsidRDefault="00B6415E" w:rsidP="003C19D5">
                      <w:pPr>
                        <w:tabs>
                          <w:tab w:val="left" w:pos="284"/>
                          <w:tab w:val="left" w:pos="4820"/>
                        </w:tabs>
                        <w:spacing w:after="60"/>
                        <w:ind w:left="284" w:hanging="284"/>
                        <w:rPr>
                          <w:rFonts w:cstheme="minorHAnsi"/>
                        </w:rPr>
                      </w:pPr>
                      <w:r w:rsidRPr="00C94D82">
                        <w:rPr>
                          <w:rFonts w:cstheme="minorHAnsi"/>
                          <w:sz w:val="24"/>
                          <w:szCs w:val="24"/>
                        </w:rPr>
                        <w:t>□</w:t>
                      </w:r>
                      <w:r>
                        <w:rPr>
                          <w:rFonts w:cstheme="minorHAnsi"/>
                          <w:sz w:val="24"/>
                          <w:szCs w:val="24"/>
                        </w:rPr>
                        <w:t xml:space="preserve"> </w:t>
                      </w:r>
                      <w:r>
                        <w:rPr>
                          <w:rFonts w:cstheme="minorHAnsi"/>
                          <w:sz w:val="24"/>
                          <w:szCs w:val="24"/>
                        </w:rPr>
                        <w:tab/>
                      </w:r>
                      <w:r w:rsidRPr="007D121B">
                        <w:rPr>
                          <w:rFonts w:cstheme="minorHAnsi"/>
                        </w:rPr>
                        <w:t xml:space="preserve">Sufficient population base to generate </w:t>
                      </w:r>
                      <w:r w:rsidRPr="007D121B">
                        <w:rPr>
                          <w:rFonts w:cstheme="minorHAnsi"/>
                        </w:rPr>
                        <w:tab/>
                        <w:t xml:space="preserve">□ </w:t>
                      </w:r>
                      <w:r w:rsidRPr="007D121B">
                        <w:rPr>
                          <w:rFonts w:cstheme="minorHAnsi"/>
                        </w:rPr>
                        <w:tab/>
                        <w:t>Program objectives?</w:t>
                      </w:r>
                      <w:r w:rsidRPr="007D121B">
                        <w:rPr>
                          <w:rFonts w:cstheme="minorHAnsi"/>
                        </w:rPr>
                        <w:br/>
                        <w:t>proposals that catalyse future growth?</w:t>
                      </w:r>
                      <w:r w:rsidRPr="007D121B">
                        <w:rPr>
                          <w:rFonts w:cstheme="minorHAnsi"/>
                        </w:rPr>
                        <w:tab/>
                        <w:t xml:space="preserve">□ </w:t>
                      </w:r>
                      <w:r w:rsidRPr="007D121B">
                        <w:rPr>
                          <w:rFonts w:cstheme="minorHAnsi"/>
                        </w:rPr>
                        <w:tab/>
                      </w:r>
                      <w:r>
                        <w:rPr>
                          <w:rFonts w:cstheme="minorHAnsi"/>
                        </w:rPr>
                        <w:t>The m</w:t>
                      </w:r>
                      <w:r w:rsidRPr="007D121B">
                        <w:rPr>
                          <w:rFonts w:cstheme="minorHAnsi"/>
                        </w:rPr>
                        <w:t>arket barriers?</w:t>
                      </w:r>
                    </w:p>
                    <w:p w:rsidR="00B6415E" w:rsidRDefault="00B6415E" w:rsidP="003C19D5">
                      <w:pPr>
                        <w:tabs>
                          <w:tab w:val="left" w:pos="284"/>
                          <w:tab w:val="left" w:pos="4820"/>
                        </w:tabs>
                        <w:spacing w:after="60"/>
                        <w:rPr>
                          <w:rFonts w:cstheme="minorHAnsi"/>
                        </w:rPr>
                      </w:pPr>
                      <w:r w:rsidRPr="007D121B">
                        <w:rPr>
                          <w:rFonts w:cstheme="minorHAnsi"/>
                        </w:rPr>
                        <w:t>□</w:t>
                      </w:r>
                      <w:r w:rsidRPr="007D121B">
                        <w:rPr>
                          <w:rFonts w:cstheme="minorHAnsi"/>
                        </w:rPr>
                        <w:tab/>
                        <w:t xml:space="preserve">Market barriers that prevent investment </w:t>
                      </w:r>
                      <w:r w:rsidRPr="007D121B">
                        <w:rPr>
                          <w:rFonts w:cstheme="minorHAnsi"/>
                        </w:rPr>
                        <w:tab/>
                        <w:t xml:space="preserve">□ </w:t>
                      </w:r>
                      <w:r w:rsidRPr="007D121B">
                        <w:rPr>
                          <w:rFonts w:cstheme="minorHAnsi"/>
                        </w:rPr>
                        <w:tab/>
                        <w:t>Target industry sectors</w:t>
                      </w:r>
                      <w:r>
                        <w:rPr>
                          <w:rFonts w:cstheme="minorHAnsi"/>
                        </w:rPr>
                        <w:t xml:space="preserve"> and which  </w:t>
                      </w:r>
                      <w:r>
                        <w:rPr>
                          <w:rFonts w:cstheme="minorHAnsi"/>
                        </w:rPr>
                        <w:tab/>
                      </w:r>
                      <w:r>
                        <w:rPr>
                          <w:rFonts w:cstheme="minorHAnsi"/>
                        </w:rPr>
                        <w:tab/>
                      </w:r>
                      <w:r w:rsidRPr="007D121B">
                        <w:rPr>
                          <w:rFonts w:cstheme="minorHAnsi"/>
                        </w:rPr>
                        <w:t>in projects with flow-on effects?</w:t>
                      </w:r>
                      <w:r>
                        <w:rPr>
                          <w:rFonts w:cstheme="minorHAnsi"/>
                        </w:rPr>
                        <w:tab/>
                      </w:r>
                      <w:r>
                        <w:rPr>
                          <w:rFonts w:cstheme="minorHAnsi"/>
                        </w:rPr>
                        <w:tab/>
                        <w:t>industries employ women/men</w:t>
                      </w:r>
                      <w:r w:rsidRPr="007D121B">
                        <w:rPr>
                          <w:rFonts w:cstheme="minorHAnsi"/>
                        </w:rPr>
                        <w:t>?</w:t>
                      </w:r>
                      <w:r w:rsidRPr="007D121B">
                        <w:rPr>
                          <w:rFonts w:cstheme="minorHAnsi"/>
                        </w:rPr>
                        <w:br/>
                      </w:r>
                      <w:r>
                        <w:rPr>
                          <w:rFonts w:cstheme="minorHAnsi"/>
                        </w:rPr>
                        <w:t>□</w:t>
                      </w:r>
                      <w:r>
                        <w:rPr>
                          <w:rFonts w:cstheme="minorHAnsi"/>
                        </w:rPr>
                        <w:tab/>
                      </w:r>
                      <w:r w:rsidRPr="007D121B">
                        <w:rPr>
                          <w:rFonts w:cstheme="minorHAnsi"/>
                        </w:rPr>
                        <w:t>A constrained investment capacity?</w:t>
                      </w:r>
                      <w:r w:rsidRPr="007D121B">
                        <w:rPr>
                          <w:rFonts w:cstheme="minorHAnsi"/>
                        </w:rPr>
                        <w:tab/>
                        <w:t xml:space="preserve">□ </w:t>
                      </w:r>
                      <w:r w:rsidRPr="007D121B">
                        <w:rPr>
                          <w:rFonts w:cstheme="minorHAnsi"/>
                        </w:rPr>
                        <w:tab/>
                        <w:t>Types of eligible projects?</w:t>
                      </w:r>
                      <w:r>
                        <w:rPr>
                          <w:rFonts w:cstheme="minorHAnsi"/>
                          <w:sz w:val="24"/>
                          <w:szCs w:val="24"/>
                        </w:rPr>
                        <w:br/>
                      </w:r>
                      <w:r w:rsidRPr="00231D72">
                        <w:rPr>
                          <w:rFonts w:cstheme="minorHAnsi"/>
                          <w:b/>
                        </w:rPr>
                        <w:t>Can you accept:</w:t>
                      </w:r>
                      <w:r>
                        <w:rPr>
                          <w:rFonts w:cstheme="minorHAnsi"/>
                          <w:b/>
                        </w:rPr>
                        <w:tab/>
                      </w:r>
                      <w:r w:rsidRPr="00C94D82">
                        <w:rPr>
                          <w:rFonts w:cstheme="minorHAnsi"/>
                          <w:sz w:val="24"/>
                          <w:szCs w:val="24"/>
                        </w:rPr>
                        <w:t>□</w:t>
                      </w:r>
                      <w:r>
                        <w:rPr>
                          <w:rFonts w:cstheme="minorHAnsi"/>
                          <w:sz w:val="24"/>
                          <w:szCs w:val="24"/>
                        </w:rPr>
                        <w:t xml:space="preserve"> </w:t>
                      </w:r>
                      <w:r w:rsidRPr="00C60B18">
                        <w:rPr>
                          <w:rFonts w:cstheme="minorHAnsi"/>
                        </w:rPr>
                        <w:t xml:space="preserve">Ways to identify business links and   </w:t>
                      </w:r>
                      <w:r>
                        <w:rPr>
                          <w:rFonts w:cstheme="minorHAnsi"/>
                        </w:rPr>
                        <w:br/>
                      </w:r>
                      <w:r w:rsidRPr="00C94D82">
                        <w:rPr>
                          <w:rFonts w:cstheme="minorHAnsi"/>
                          <w:sz w:val="24"/>
                          <w:szCs w:val="24"/>
                        </w:rPr>
                        <w:t>□</w:t>
                      </w:r>
                      <w:r>
                        <w:rPr>
                          <w:rFonts w:cstheme="minorHAnsi"/>
                          <w:sz w:val="24"/>
                          <w:szCs w:val="24"/>
                        </w:rPr>
                        <w:tab/>
                      </w:r>
                      <w:r>
                        <w:rPr>
                          <w:rFonts w:cstheme="minorHAnsi"/>
                        </w:rPr>
                        <w:t xml:space="preserve">Up to </w:t>
                      </w:r>
                      <w:r w:rsidRPr="007D121B">
                        <w:rPr>
                          <w:rFonts w:cstheme="minorHAnsi"/>
                        </w:rPr>
                        <w:t>20% management costs?</w:t>
                      </w:r>
                      <w:r w:rsidRPr="00C60B18">
                        <w:rPr>
                          <w:rFonts w:cstheme="minorHAnsi"/>
                        </w:rPr>
                        <w:tab/>
                      </w:r>
                      <w:r w:rsidRPr="00C60B18">
                        <w:rPr>
                          <w:rFonts w:cstheme="minorHAnsi"/>
                        </w:rPr>
                        <w:tab/>
                        <w:t>partnerships?</w:t>
                      </w:r>
                      <w:r>
                        <w:rPr>
                          <w:rFonts w:cstheme="minorHAnsi"/>
                          <w:sz w:val="24"/>
                          <w:szCs w:val="24"/>
                        </w:rPr>
                        <w:tab/>
                      </w:r>
                      <w:r w:rsidRPr="00C60B18">
                        <w:rPr>
                          <w:rFonts w:cstheme="minorHAnsi"/>
                        </w:rPr>
                        <w:tab/>
                      </w:r>
                      <w:r w:rsidRPr="007D121B">
                        <w:rPr>
                          <w:rFonts w:cstheme="minorHAnsi"/>
                        </w:rPr>
                        <w:tab/>
                      </w:r>
                      <w:r>
                        <w:rPr>
                          <w:rFonts w:cstheme="minorHAnsi"/>
                        </w:rPr>
                        <w:br/>
                      </w:r>
                      <w:r w:rsidRPr="007D121B">
                        <w:rPr>
                          <w:rFonts w:cstheme="minorHAnsi"/>
                        </w:rPr>
                        <w:t>□</w:t>
                      </w:r>
                      <w:r w:rsidRPr="007D121B">
                        <w:rPr>
                          <w:rFonts w:cstheme="minorHAnsi"/>
                        </w:rPr>
                        <w:tab/>
                        <w:t xml:space="preserve">A degree of planned project failure </w:t>
                      </w:r>
                      <w:r w:rsidRPr="007D121B">
                        <w:rPr>
                          <w:rFonts w:cstheme="minorHAnsi"/>
                        </w:rPr>
                        <w:tab/>
                        <w:t xml:space="preserve">□ </w:t>
                      </w:r>
                      <w:r w:rsidRPr="007D121B">
                        <w:rPr>
                          <w:rFonts w:cstheme="minorHAnsi"/>
                        </w:rPr>
                        <w:tab/>
                        <w:t>Clear roles for contracted</w:t>
                      </w:r>
                      <w:r>
                        <w:rPr>
                          <w:rFonts w:cstheme="minorHAnsi"/>
                        </w:rPr>
                        <w:t xml:space="preserve"> service </w:t>
                      </w:r>
                      <w:r w:rsidRPr="007D121B">
                        <w:rPr>
                          <w:rFonts w:cstheme="minorHAnsi"/>
                        </w:rPr>
                        <w:br/>
                      </w:r>
                      <w:r w:rsidRPr="007D121B">
                        <w:rPr>
                          <w:rFonts w:cstheme="minorHAnsi"/>
                        </w:rPr>
                        <w:tab/>
                        <w:t>in a successful  program?</w:t>
                      </w:r>
                      <w:r>
                        <w:rPr>
                          <w:rFonts w:cstheme="minorHAnsi"/>
                        </w:rPr>
                        <w:tab/>
                      </w:r>
                      <w:r>
                        <w:rPr>
                          <w:rFonts w:cstheme="minorHAnsi"/>
                        </w:rPr>
                        <w:tab/>
                      </w:r>
                      <w:r w:rsidRPr="007D121B">
                        <w:rPr>
                          <w:rFonts w:cstheme="minorHAnsi"/>
                        </w:rPr>
                        <w:t>providers?</w:t>
                      </w:r>
                      <w:r w:rsidRPr="00C60B18">
                        <w:rPr>
                          <w:rFonts w:cstheme="minorHAnsi"/>
                        </w:rPr>
                        <w:tab/>
                      </w:r>
                    </w:p>
                    <w:p w:rsidR="00B6415E" w:rsidRDefault="00B6415E" w:rsidP="00520EB3">
                      <w:pPr>
                        <w:tabs>
                          <w:tab w:val="left" w:pos="284"/>
                          <w:tab w:val="left" w:pos="4820"/>
                          <w:tab w:val="left" w:pos="4962"/>
                        </w:tabs>
                        <w:spacing w:after="60"/>
                        <w:rPr>
                          <w:rFonts w:cstheme="minorHAnsi"/>
                          <w:sz w:val="24"/>
                          <w:szCs w:val="24"/>
                        </w:rPr>
                      </w:pPr>
                      <w:r>
                        <w:rPr>
                          <w:rFonts w:cstheme="minorHAnsi"/>
                        </w:rPr>
                        <w:tab/>
                      </w:r>
                      <w:r>
                        <w:rPr>
                          <w:rFonts w:cstheme="minorHAnsi"/>
                        </w:rPr>
                        <w:tab/>
                      </w:r>
                      <w:r w:rsidRPr="007D121B">
                        <w:rPr>
                          <w:rFonts w:cstheme="minorHAnsi"/>
                        </w:rPr>
                        <w:t>□</w:t>
                      </w:r>
                      <w:r>
                        <w:rPr>
                          <w:rFonts w:cstheme="minorHAnsi"/>
                        </w:rPr>
                        <w:t xml:space="preserve">  Results measurement standards?</w:t>
                      </w:r>
                      <w:r>
                        <w:rPr>
                          <w:rFonts w:cstheme="minorHAnsi"/>
                          <w:sz w:val="24"/>
                          <w:szCs w:val="24"/>
                        </w:rPr>
                        <w:br/>
                      </w:r>
                    </w:p>
                    <w:p w:rsidR="00B6415E" w:rsidRDefault="00B6415E" w:rsidP="00754A2A">
                      <w:pPr>
                        <w:tabs>
                          <w:tab w:val="left" w:pos="284"/>
                          <w:tab w:val="left" w:pos="4536"/>
                          <w:tab w:val="left" w:pos="4820"/>
                        </w:tabs>
                        <w:spacing w:after="60"/>
                        <w:ind w:left="284" w:hanging="284"/>
                        <w:rPr>
                          <w:rFonts w:cstheme="minorHAnsi"/>
                          <w:sz w:val="24"/>
                          <w:szCs w:val="24"/>
                        </w:rPr>
                      </w:pPr>
                      <w:r>
                        <w:rPr>
                          <w:rFonts w:cstheme="minorHAnsi"/>
                          <w:sz w:val="24"/>
                          <w:szCs w:val="24"/>
                        </w:rPr>
                        <w:tab/>
                      </w:r>
                    </w:p>
                    <w:p w:rsidR="00B6415E" w:rsidRPr="00C94D82" w:rsidRDefault="00B6415E" w:rsidP="00754A2A">
                      <w:pPr>
                        <w:tabs>
                          <w:tab w:val="left" w:pos="284"/>
                          <w:tab w:val="left" w:pos="4536"/>
                          <w:tab w:val="left" w:pos="4820"/>
                        </w:tabs>
                        <w:spacing w:after="60"/>
                        <w:ind w:left="285" w:hanging="285"/>
                        <w:rPr>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txbxContent>
                </v:textbox>
              </v:shape>
            </w:pict>
          </mc:Fallback>
        </mc:AlternateContent>
      </w:r>
      <w:bookmarkEnd w:id="12"/>
    </w:p>
    <w:p w:rsidR="00A018F8" w:rsidRDefault="00A018F8" w:rsidP="00A018F8">
      <w:pPr>
        <w:pStyle w:val="Heading2"/>
        <w:rPr>
          <w:rFonts w:asciiTheme="minorHAnsi" w:hAnsiTheme="minorHAnsi" w:cstheme="minorHAnsi"/>
        </w:rPr>
      </w:pPr>
    </w:p>
    <w:p w:rsidR="00A018F8" w:rsidRDefault="00A018F8" w:rsidP="00A018F8">
      <w:pPr>
        <w:pStyle w:val="Heading2"/>
        <w:rPr>
          <w:rFonts w:asciiTheme="minorHAnsi" w:hAnsiTheme="minorHAnsi" w:cstheme="minorHAnsi"/>
        </w:rPr>
      </w:pPr>
    </w:p>
    <w:p w:rsidR="00A018F8" w:rsidRDefault="00A018F8" w:rsidP="00A018F8">
      <w:pPr>
        <w:pStyle w:val="Heading2"/>
        <w:rPr>
          <w:rFonts w:asciiTheme="minorHAnsi" w:hAnsiTheme="minorHAnsi" w:cstheme="minorHAnsi"/>
        </w:rPr>
      </w:pPr>
    </w:p>
    <w:p w:rsidR="00A018F8" w:rsidRDefault="00A018F8" w:rsidP="00A018F8">
      <w:pPr>
        <w:pStyle w:val="Heading2"/>
        <w:rPr>
          <w:rFonts w:asciiTheme="minorHAnsi" w:hAnsiTheme="minorHAnsi" w:cstheme="minorHAnsi"/>
        </w:rPr>
      </w:pPr>
    </w:p>
    <w:p w:rsidR="00A018F8" w:rsidRDefault="00A018F8" w:rsidP="00A018F8">
      <w:pPr>
        <w:pStyle w:val="Heading2"/>
        <w:rPr>
          <w:rFonts w:asciiTheme="minorHAnsi" w:hAnsiTheme="minorHAnsi" w:cstheme="minorHAnsi"/>
        </w:rPr>
      </w:pPr>
    </w:p>
    <w:p w:rsidR="00A018F8" w:rsidRDefault="00A018F8" w:rsidP="00A018F8">
      <w:pPr>
        <w:pStyle w:val="Heading2"/>
        <w:rPr>
          <w:rFonts w:asciiTheme="minorHAnsi" w:hAnsiTheme="minorHAnsi" w:cstheme="minorHAnsi"/>
        </w:rPr>
      </w:pPr>
    </w:p>
    <w:p w:rsidR="00BF2DD4" w:rsidRPr="00A018F8" w:rsidRDefault="00BF2DD4" w:rsidP="00C45348">
      <w:pPr>
        <w:pStyle w:val="Heading1"/>
        <w:spacing w:after="120"/>
        <w:rPr>
          <w:rFonts w:asciiTheme="minorHAnsi" w:hAnsiTheme="minorHAnsi" w:cstheme="minorHAnsi"/>
        </w:rPr>
      </w:pPr>
      <w:bookmarkStart w:id="14" w:name="_Toc351474491"/>
      <w:r w:rsidRPr="00A018F8">
        <w:rPr>
          <w:rFonts w:asciiTheme="minorHAnsi" w:hAnsiTheme="minorHAnsi" w:cstheme="minorHAnsi"/>
        </w:rPr>
        <w:t>Management and Measurement</w:t>
      </w:r>
      <w:bookmarkEnd w:id="14"/>
    </w:p>
    <w:p w:rsidR="00D572A0" w:rsidRDefault="0021477F" w:rsidP="008C3D95">
      <w:pPr>
        <w:pStyle w:val="ListParagraph"/>
        <w:numPr>
          <w:ilvl w:val="0"/>
          <w:numId w:val="17"/>
        </w:numPr>
        <w:spacing w:after="60"/>
        <w:ind w:left="425" w:hanging="357"/>
        <w:contextualSpacing w:val="0"/>
      </w:pPr>
      <w:r>
        <w:t>The ECF</w:t>
      </w:r>
      <w:r w:rsidR="00C43557">
        <w:t xml:space="preserve"> pilot</w:t>
      </w:r>
      <w:r>
        <w:t xml:space="preserve"> recommend</w:t>
      </w:r>
      <w:r w:rsidR="006549E5">
        <w:t>s</w:t>
      </w:r>
      <w:r>
        <w:t xml:space="preserve"> contracting fund management </w:t>
      </w:r>
      <w:r w:rsidR="001034C1">
        <w:t xml:space="preserve">to an existing </w:t>
      </w:r>
      <w:r w:rsidR="006D7FB3">
        <w:t>challenge fund</w:t>
      </w:r>
      <w:r w:rsidR="001034C1">
        <w:t xml:space="preserve"> </w:t>
      </w:r>
      <w:r w:rsidR="00B52EB3">
        <w:t xml:space="preserve">manager </w:t>
      </w:r>
      <w:r w:rsidR="001034C1">
        <w:t xml:space="preserve">or </w:t>
      </w:r>
      <w:r>
        <w:t xml:space="preserve">small-medium enterprise </w:t>
      </w:r>
      <w:r w:rsidR="001034C1">
        <w:t xml:space="preserve">equity fund </w:t>
      </w:r>
      <w:r w:rsidR="00D572A0">
        <w:t xml:space="preserve">manager </w:t>
      </w:r>
      <w:r w:rsidR="00ED4566">
        <w:t>with</w:t>
      </w:r>
      <w:r w:rsidR="001034C1">
        <w:t xml:space="preserve"> local knowledge and a track record of success.</w:t>
      </w:r>
    </w:p>
    <w:p w:rsidR="00FE7299" w:rsidRDefault="00ED4566" w:rsidP="008C3D95">
      <w:pPr>
        <w:pStyle w:val="ListParagraph"/>
        <w:numPr>
          <w:ilvl w:val="0"/>
          <w:numId w:val="17"/>
        </w:numPr>
        <w:spacing w:after="60"/>
        <w:ind w:left="425" w:hanging="357"/>
        <w:contextualSpacing w:val="0"/>
      </w:pPr>
      <w:r>
        <w:t xml:space="preserve">The </w:t>
      </w:r>
      <w:r w:rsidRPr="0040409B">
        <w:rPr>
          <w:i/>
        </w:rPr>
        <w:t>fund manager</w:t>
      </w:r>
      <w:r>
        <w:t xml:space="preserve"> </w:t>
      </w:r>
      <w:r w:rsidR="00973D53">
        <w:t>should</w:t>
      </w:r>
      <w:r>
        <w:t xml:space="preserve"> be active and not simply a ‘light touch’ observer of business performance and program funds. This role does not extend to interfering with </w:t>
      </w:r>
      <w:r w:rsidR="00150EE8">
        <w:t xml:space="preserve">the recipient </w:t>
      </w:r>
      <w:r>
        <w:t>business but should</w:t>
      </w:r>
      <w:r w:rsidR="00FE7299">
        <w:t>, for example,</w:t>
      </w:r>
      <w:r>
        <w:t xml:space="preserve"> extend to identifying </w:t>
      </w:r>
      <w:r w:rsidR="00A5168B">
        <w:rPr>
          <w:i/>
        </w:rPr>
        <w:t>partnerships</w:t>
      </w:r>
      <w:r w:rsidR="00150EE8">
        <w:t xml:space="preserve"> </w:t>
      </w:r>
      <w:r w:rsidR="00A5168B">
        <w:t>with</w:t>
      </w:r>
      <w:r w:rsidR="00150EE8">
        <w:t xml:space="preserve"> successful </w:t>
      </w:r>
      <w:r>
        <w:t>business</w:t>
      </w:r>
      <w:r w:rsidR="00150EE8">
        <w:t xml:space="preserve">es that </w:t>
      </w:r>
      <w:r w:rsidR="00E07215">
        <w:t xml:space="preserve">could </w:t>
      </w:r>
      <w:r w:rsidR="00150EE8">
        <w:t>have a vested interest in the recipient’s success (e.g. a tourism company that would sell tours to a recipient</w:t>
      </w:r>
      <w:r w:rsidR="006D6485">
        <w:t>’s</w:t>
      </w:r>
      <w:r w:rsidR="00150EE8">
        <w:t xml:space="preserve"> factory, or another factory that will purchase product that is excess to the recipient’s needs)</w:t>
      </w:r>
      <w:r w:rsidR="00FE7299">
        <w:t>.</w:t>
      </w:r>
    </w:p>
    <w:p w:rsidR="0040409B" w:rsidRDefault="00FE7299" w:rsidP="008C3D95">
      <w:pPr>
        <w:pStyle w:val="ListParagraph"/>
        <w:numPr>
          <w:ilvl w:val="0"/>
          <w:numId w:val="17"/>
        </w:numPr>
        <w:spacing w:after="60"/>
        <w:ind w:left="425" w:hanging="357"/>
        <w:contextualSpacing w:val="0"/>
      </w:pPr>
      <w:r>
        <w:t>The fund manager should also conduct due diligence to review the viability of eligible projects</w:t>
      </w:r>
      <w:r w:rsidR="0040409B">
        <w:t xml:space="preserve">, and the likelihood of meeting the objectives and criteria of the ECF. This will include site visits to the final eligible projects and actively culling projects of lower suitability, before </w:t>
      </w:r>
      <w:r w:rsidR="00B22A48">
        <w:t>selection is finalised</w:t>
      </w:r>
      <w:r w:rsidR="0040409B">
        <w:t>.</w:t>
      </w:r>
    </w:p>
    <w:p w:rsidR="00ED4566" w:rsidRDefault="0040409B" w:rsidP="008C3D95">
      <w:pPr>
        <w:pStyle w:val="ListParagraph"/>
        <w:numPr>
          <w:ilvl w:val="0"/>
          <w:numId w:val="17"/>
        </w:numPr>
        <w:spacing w:after="60"/>
        <w:ind w:left="425" w:hanging="357"/>
        <w:contextualSpacing w:val="0"/>
      </w:pPr>
      <w:r>
        <w:t xml:space="preserve">The final selection of projects </w:t>
      </w:r>
      <w:r w:rsidR="00973D53">
        <w:t>should</w:t>
      </w:r>
      <w:r>
        <w:t xml:space="preserve"> be made independently of the fund manager, by an </w:t>
      </w:r>
      <w:r w:rsidRPr="00CB2C3A">
        <w:rPr>
          <w:i/>
        </w:rPr>
        <w:t>independent selection panel</w:t>
      </w:r>
      <w:r w:rsidRPr="0040409B">
        <w:t>.</w:t>
      </w:r>
      <w:r w:rsidR="00D64B3A">
        <w:t xml:space="preserve"> An active fund manager should reduce the field </w:t>
      </w:r>
      <w:r w:rsidR="009F17CE">
        <w:t xml:space="preserve">of applications </w:t>
      </w:r>
      <w:r w:rsidR="00D64B3A">
        <w:t xml:space="preserve">to suitable </w:t>
      </w:r>
      <w:r w:rsidR="009F17CE">
        <w:t xml:space="preserve">and comprehensive </w:t>
      </w:r>
      <w:r w:rsidR="00D64B3A">
        <w:t>candidates, leaving the independent selection panel to adjudicate</w:t>
      </w:r>
      <w:r w:rsidR="00A23FB3">
        <w:t xml:space="preserve"> between the proposals most likely to achieve the best results according to program objectives.</w:t>
      </w:r>
    </w:p>
    <w:p w:rsidR="00A23FB3" w:rsidRDefault="00A23FB3" w:rsidP="008C3D95">
      <w:pPr>
        <w:pStyle w:val="ListParagraph"/>
        <w:numPr>
          <w:ilvl w:val="0"/>
          <w:numId w:val="17"/>
        </w:numPr>
        <w:spacing w:after="60"/>
        <w:ind w:left="425" w:hanging="357"/>
        <w:contextualSpacing w:val="0"/>
      </w:pPr>
      <w:r>
        <w:t>To ensure applicants deliver high quality applications and the selection panel can identify which proposals will achieve program objectives</w:t>
      </w:r>
      <w:r w:rsidR="004E35E3">
        <w:t>,</w:t>
      </w:r>
      <w:r w:rsidR="008C3D95">
        <w:t xml:space="preserve"> project</w:t>
      </w:r>
      <w:r>
        <w:t xml:space="preserve"> selection criteria </w:t>
      </w:r>
      <w:r w:rsidR="00973D53">
        <w:t>should</w:t>
      </w:r>
      <w:r>
        <w:t xml:space="preserve"> clearly explain: </w:t>
      </w:r>
    </w:p>
    <w:p w:rsidR="00A23FB3" w:rsidRDefault="00A23FB3" w:rsidP="00CF2E3D">
      <w:pPr>
        <w:pStyle w:val="ListParagraph"/>
        <w:numPr>
          <w:ilvl w:val="0"/>
          <w:numId w:val="22"/>
        </w:numPr>
        <w:spacing w:after="60"/>
        <w:ind w:left="851" w:hanging="426"/>
        <w:contextualSpacing w:val="0"/>
      </w:pPr>
      <w:r>
        <w:t>The concept</w:t>
      </w:r>
      <w:r w:rsidR="00D62EA0">
        <w:t>s</w:t>
      </w:r>
      <w:r>
        <w:t xml:space="preserve"> of </w:t>
      </w:r>
      <w:r w:rsidR="00826AF6">
        <w:rPr>
          <w:i/>
        </w:rPr>
        <w:t xml:space="preserve">market barriers </w:t>
      </w:r>
      <w:r w:rsidR="00826AF6">
        <w:t xml:space="preserve">and </w:t>
      </w:r>
      <w:r>
        <w:rPr>
          <w:i/>
        </w:rPr>
        <w:t>market failure</w:t>
      </w:r>
    </w:p>
    <w:p w:rsidR="00A23FB3" w:rsidRDefault="00A23FB3" w:rsidP="00CF2E3D">
      <w:pPr>
        <w:pStyle w:val="ListParagraph"/>
        <w:numPr>
          <w:ilvl w:val="0"/>
          <w:numId w:val="22"/>
        </w:numPr>
        <w:spacing w:after="60"/>
        <w:ind w:left="851" w:hanging="426"/>
        <w:contextualSpacing w:val="0"/>
      </w:pPr>
      <w:r>
        <w:t xml:space="preserve">The specific market </w:t>
      </w:r>
      <w:r w:rsidR="00E66CC7">
        <w:t xml:space="preserve">barriers </w:t>
      </w:r>
      <w:r w:rsidR="00D62EA0">
        <w:t xml:space="preserve">or market </w:t>
      </w:r>
      <w:r w:rsidR="00E66CC7">
        <w:t>failures</w:t>
      </w:r>
      <w:r w:rsidR="00D62EA0">
        <w:t xml:space="preserve"> </w:t>
      </w:r>
      <w:r>
        <w:t>identified in a target region</w:t>
      </w:r>
      <w:r w:rsidR="000D35EE">
        <w:t>, and</w:t>
      </w:r>
    </w:p>
    <w:p w:rsidR="00A23FB3" w:rsidRDefault="00A23FB3" w:rsidP="00CF2E3D">
      <w:pPr>
        <w:pStyle w:val="ListParagraph"/>
        <w:numPr>
          <w:ilvl w:val="0"/>
          <w:numId w:val="22"/>
        </w:numPr>
        <w:spacing w:after="60"/>
        <w:ind w:left="851" w:hanging="426"/>
        <w:contextualSpacing w:val="0"/>
      </w:pPr>
      <w:r>
        <w:t xml:space="preserve">The </w:t>
      </w:r>
      <w:r w:rsidR="00121F6A">
        <w:t>objective</w:t>
      </w:r>
      <w:r>
        <w:t xml:space="preserve"> of strategic investment (</w:t>
      </w:r>
      <w:r>
        <w:rPr>
          <w:i/>
        </w:rPr>
        <w:t>catalysing future growth</w:t>
      </w:r>
      <w:r>
        <w:t xml:space="preserve">) </w:t>
      </w:r>
      <w:r w:rsidR="0027322A">
        <w:t>to overcome the failures</w:t>
      </w:r>
      <w:r w:rsidR="00746949">
        <w:t>/</w:t>
      </w:r>
      <w:r w:rsidR="0027322A">
        <w:t xml:space="preserve"> </w:t>
      </w:r>
      <w:r w:rsidR="00746949">
        <w:t>barriers</w:t>
      </w:r>
      <w:r w:rsidR="000D35EE">
        <w:t>.</w:t>
      </w:r>
    </w:p>
    <w:p w:rsidR="00E065CC" w:rsidRDefault="00E065CC" w:rsidP="008C3D95">
      <w:pPr>
        <w:pStyle w:val="ListParagraph"/>
        <w:numPr>
          <w:ilvl w:val="0"/>
          <w:numId w:val="23"/>
        </w:numPr>
        <w:spacing w:after="60"/>
        <w:ind w:left="426"/>
        <w:contextualSpacing w:val="0"/>
      </w:pPr>
      <w:r>
        <w:t>Measuring the effects of the ECF requires an understanding of:</w:t>
      </w:r>
    </w:p>
    <w:p w:rsidR="00E065CC" w:rsidRDefault="00E065CC" w:rsidP="00CF2E3D">
      <w:pPr>
        <w:pStyle w:val="ListParagraph"/>
        <w:numPr>
          <w:ilvl w:val="0"/>
          <w:numId w:val="24"/>
        </w:numPr>
        <w:spacing w:after="60"/>
        <w:ind w:left="851" w:hanging="425"/>
        <w:contextualSpacing w:val="0"/>
      </w:pPr>
      <w:r w:rsidRPr="00E065CC">
        <w:t>The</w:t>
      </w:r>
      <w:r>
        <w:rPr>
          <w:i/>
        </w:rPr>
        <w:t xml:space="preserve"> business</w:t>
      </w:r>
      <w:r>
        <w:t xml:space="preserve"> </w:t>
      </w:r>
      <w:r>
        <w:rPr>
          <w:i/>
        </w:rPr>
        <w:t xml:space="preserve">impact </w:t>
      </w:r>
      <w:r>
        <w:t xml:space="preserve">– the direct impact on the business </w:t>
      </w:r>
    </w:p>
    <w:p w:rsidR="00E065CC" w:rsidRDefault="00E065CC" w:rsidP="00CF2E3D">
      <w:pPr>
        <w:pStyle w:val="ListParagraph"/>
        <w:numPr>
          <w:ilvl w:val="0"/>
          <w:numId w:val="24"/>
        </w:numPr>
        <w:spacing w:after="60"/>
        <w:ind w:left="851" w:hanging="425"/>
        <w:contextualSpacing w:val="0"/>
      </w:pPr>
      <w:r w:rsidRPr="00E065CC">
        <w:t>The</w:t>
      </w:r>
      <w:r>
        <w:rPr>
          <w:i/>
        </w:rPr>
        <w:t xml:space="preserve"> development impact</w:t>
      </w:r>
      <w:r>
        <w:t xml:space="preserve"> – the result </w:t>
      </w:r>
      <w:r w:rsidR="00D11314">
        <w:t xml:space="preserve">as measured by </w:t>
      </w:r>
      <w:r>
        <w:t xml:space="preserve">development </w:t>
      </w:r>
      <w:r w:rsidR="0000741B">
        <w:t>indicators</w:t>
      </w:r>
      <w:r>
        <w:t xml:space="preserve"> (e.g. increased income</w:t>
      </w:r>
      <w:r w:rsidR="00FC1D88">
        <w:t>, increased</w:t>
      </w:r>
      <w:r>
        <w:t xml:space="preserve"> employment</w:t>
      </w:r>
      <w:r w:rsidR="00FC1D88">
        <w:t>, or cost savings</w:t>
      </w:r>
      <w:r>
        <w:t xml:space="preserve">), and </w:t>
      </w:r>
    </w:p>
    <w:p w:rsidR="00856A1F" w:rsidRDefault="00E065CC" w:rsidP="00CF2E3D">
      <w:pPr>
        <w:pStyle w:val="ListParagraph"/>
        <w:numPr>
          <w:ilvl w:val="0"/>
          <w:numId w:val="24"/>
        </w:numPr>
        <w:spacing w:after="60"/>
        <w:ind w:left="851" w:hanging="425"/>
        <w:contextualSpacing w:val="0"/>
      </w:pPr>
      <w:r>
        <w:t xml:space="preserve">The </w:t>
      </w:r>
      <w:r w:rsidRPr="00E065CC">
        <w:rPr>
          <w:i/>
        </w:rPr>
        <w:t>systemic impact</w:t>
      </w:r>
      <w:r>
        <w:rPr>
          <w:i/>
        </w:rPr>
        <w:t xml:space="preserve"> </w:t>
      </w:r>
      <w:r>
        <w:t xml:space="preserve">– the </w:t>
      </w:r>
      <w:r w:rsidR="00FC1D88">
        <w:t>changes to the market or business enabling environment that will catalyse future business and development impacts.</w:t>
      </w:r>
    </w:p>
    <w:p w:rsidR="00F75857" w:rsidRDefault="0000741B" w:rsidP="008C3D95">
      <w:pPr>
        <w:pStyle w:val="ListParagraph"/>
        <w:numPr>
          <w:ilvl w:val="0"/>
          <w:numId w:val="23"/>
        </w:numPr>
        <w:spacing w:after="60"/>
        <w:ind w:left="426"/>
        <w:contextualSpacing w:val="0"/>
      </w:pPr>
      <w:r>
        <w:t xml:space="preserve">Measuring and attributing these effects accurately will require </w:t>
      </w:r>
      <w:r w:rsidR="00C00ABA">
        <w:t xml:space="preserve">quantitative </w:t>
      </w:r>
      <w:r>
        <w:t>baseline and comparison figures, supported by qualitative analysis and case studies. Systemic impact in particular is difficult to measure with quantitative data alone.</w:t>
      </w:r>
      <w:r w:rsidR="00BF652B">
        <w:t xml:space="preserve"> The Donor Committee for Enterprise Development (DCED) results measurement standard is an excellent </w:t>
      </w:r>
      <w:r w:rsidR="008F78FD">
        <w:t xml:space="preserve">guide </w:t>
      </w:r>
      <w:r w:rsidR="0095704C">
        <w:t>to</w:t>
      </w:r>
      <w:r w:rsidR="008F78FD">
        <w:t xml:space="preserve"> structuring </w:t>
      </w:r>
      <w:r w:rsidR="00BF652B">
        <w:t>results measurement.</w:t>
      </w:r>
    </w:p>
    <w:p w:rsidR="00DA78C9" w:rsidRDefault="008C5D25" w:rsidP="00F75857">
      <w:pPr>
        <w:pStyle w:val="Heading1"/>
        <w:spacing w:before="0"/>
      </w:pPr>
      <w:r>
        <w:t>Resources and Further Reading</w:t>
      </w:r>
    </w:p>
    <w:p w:rsidR="008C5D25" w:rsidRPr="008C5D25" w:rsidRDefault="008C5D25" w:rsidP="008C5D25">
      <w:pPr>
        <w:rPr>
          <w:b/>
        </w:rPr>
      </w:pPr>
      <w:r w:rsidRPr="008C5D25">
        <w:rPr>
          <w:b/>
        </w:rPr>
        <w:t xml:space="preserve">ECF </w:t>
      </w:r>
      <w:r w:rsidR="0070114D">
        <w:rPr>
          <w:b/>
        </w:rPr>
        <w:t xml:space="preserve">for South East Asia and the Pacific </w:t>
      </w:r>
      <w:r w:rsidRPr="008C5D25">
        <w:rPr>
          <w:b/>
        </w:rPr>
        <w:t>resources:</w:t>
      </w:r>
    </w:p>
    <w:p w:rsidR="008C5D25" w:rsidRDefault="008C5D25" w:rsidP="00C95F4C">
      <w:pPr>
        <w:pStyle w:val="ListParagraph"/>
        <w:numPr>
          <w:ilvl w:val="0"/>
          <w:numId w:val="28"/>
        </w:numPr>
        <w:ind w:left="426"/>
      </w:pPr>
      <w:r>
        <w:t>ECF Homepage</w:t>
      </w:r>
      <w:r w:rsidR="00C97605">
        <w:t xml:space="preserve"> – </w:t>
      </w:r>
      <w:hyperlink r:id="rId20" w:history="1">
        <w:r w:rsidR="00C95F4C" w:rsidRPr="00C95F4C">
          <w:rPr>
            <w:rStyle w:val="Hyperlink"/>
            <w:color w:val="auto"/>
          </w:rPr>
          <w:t>http://www.enterprisechallengefund.org/</w:t>
        </w:r>
      </w:hyperlink>
      <w:r w:rsidR="00C95F4C" w:rsidRPr="00C95F4C">
        <w:t xml:space="preserve"> </w:t>
      </w:r>
      <w:r w:rsidR="00C95F4C">
        <w:t xml:space="preserve">  </w:t>
      </w:r>
    </w:p>
    <w:p w:rsidR="008C5D25" w:rsidRPr="0070114D" w:rsidRDefault="008C5D25" w:rsidP="008C5D25">
      <w:pPr>
        <w:pStyle w:val="ListParagraph"/>
        <w:numPr>
          <w:ilvl w:val="0"/>
          <w:numId w:val="28"/>
        </w:numPr>
        <w:ind w:left="426"/>
        <w:rPr>
          <w:rStyle w:val="Hyperlink"/>
          <w:color w:val="auto"/>
          <w:u w:val="none"/>
        </w:rPr>
      </w:pPr>
      <w:r>
        <w:t xml:space="preserve">2011 Independent Review of the ECF </w:t>
      </w:r>
      <w:r w:rsidR="0070114D">
        <w:t>for South East Asia and the Pacific</w:t>
      </w:r>
      <w:r w:rsidR="00C97605">
        <w:t xml:space="preserve"> – </w:t>
      </w:r>
      <w:hyperlink r:id="rId21" w:history="1">
        <w:r w:rsidRPr="00B358E7">
          <w:rPr>
            <w:rStyle w:val="Hyperlink"/>
            <w:color w:val="auto"/>
          </w:rPr>
          <w:t>http://www.ausaid.gov.au/countries/pacific/fiji/Documents/enterprise-challenge-independent-progress.pdf</w:t>
        </w:r>
      </w:hyperlink>
    </w:p>
    <w:p w:rsidR="0070114D" w:rsidRPr="003E2A42" w:rsidRDefault="0070114D" w:rsidP="008C5D25">
      <w:pPr>
        <w:pStyle w:val="ListParagraph"/>
        <w:numPr>
          <w:ilvl w:val="0"/>
          <w:numId w:val="28"/>
        </w:numPr>
        <w:ind w:left="426"/>
        <w:rPr>
          <w:rStyle w:val="Hyperlink"/>
          <w:color w:val="auto"/>
          <w:u w:val="none"/>
        </w:rPr>
      </w:pPr>
      <w:r w:rsidRPr="0070114D">
        <w:rPr>
          <w:rStyle w:val="Hyperlink"/>
          <w:color w:val="auto"/>
          <w:u w:val="none"/>
        </w:rPr>
        <w:t>2009</w:t>
      </w:r>
      <w:r>
        <w:rPr>
          <w:rStyle w:val="Hyperlink"/>
          <w:color w:val="auto"/>
          <w:u w:val="none"/>
        </w:rPr>
        <w:t xml:space="preserve"> Midterm Review of the ECF</w:t>
      </w:r>
      <w:r w:rsidRPr="0070114D">
        <w:t xml:space="preserve"> </w:t>
      </w:r>
      <w:r>
        <w:t>for South East Asia and the Pacific</w:t>
      </w:r>
      <w:r>
        <w:br/>
      </w:r>
      <w:hyperlink r:id="rId22" w:history="1">
        <w:r w:rsidRPr="0070114D">
          <w:rPr>
            <w:rStyle w:val="Hyperlink"/>
            <w:color w:val="auto"/>
          </w:rPr>
          <w:t>http://www.ausaid.gov.au/Publications/Pages/2179_5123_9221_7348_509.aspx</w:t>
        </w:r>
      </w:hyperlink>
    </w:p>
    <w:p w:rsidR="003E2A42" w:rsidRPr="003E2A42" w:rsidRDefault="003E2A42" w:rsidP="008C5D25">
      <w:pPr>
        <w:pStyle w:val="ListParagraph"/>
        <w:numPr>
          <w:ilvl w:val="0"/>
          <w:numId w:val="28"/>
        </w:numPr>
        <w:ind w:left="426"/>
      </w:pPr>
      <w:r w:rsidRPr="003E2A42">
        <w:rPr>
          <w:rStyle w:val="Hyperlink"/>
          <w:color w:val="auto"/>
          <w:u w:val="none"/>
        </w:rPr>
        <w:t xml:space="preserve">Measuring </w:t>
      </w:r>
      <w:r>
        <w:rPr>
          <w:rStyle w:val="Hyperlink"/>
          <w:color w:val="auto"/>
          <w:u w:val="none"/>
        </w:rPr>
        <w:t xml:space="preserve">Results in Challenge Funds – Practical Guidelines for Implementing the DCED Standard  </w:t>
      </w:r>
      <w:hyperlink r:id="rId23" w:history="1">
        <w:r w:rsidRPr="003E2A42">
          <w:rPr>
            <w:rStyle w:val="Hyperlink"/>
          </w:rPr>
          <w:t>http://www.google.com.au/url?sa=t&amp;rct=j&amp;q=&amp;esrc=s&amp;frm=1&amp;source=web&amp;cd=2&amp;ved=0CDMQFjAB&amp;url=http%3A%2F%2Fwww.enterprise-development.org%2Fdownload.ashx%3Fid%3D2272&amp;ei=zEKNUui3MYXqiAeL9YDoCg&amp;usg=AFQjCNHxCUBMevCuFKm5oluWEj5vaomXtw&amp;bvm=bv.56643336,d.aGc</w:t>
        </w:r>
      </w:hyperlink>
    </w:p>
    <w:p w:rsidR="008C5D25" w:rsidRPr="008C5D25" w:rsidRDefault="008C5D25" w:rsidP="008C5D25">
      <w:pPr>
        <w:ind w:left="66"/>
        <w:rPr>
          <w:b/>
        </w:rPr>
      </w:pPr>
      <w:r w:rsidRPr="008C5D25">
        <w:rPr>
          <w:b/>
        </w:rPr>
        <w:t xml:space="preserve">African Enterprise Challenge Fund </w:t>
      </w:r>
      <w:r w:rsidR="007B0EF3">
        <w:rPr>
          <w:b/>
        </w:rPr>
        <w:t xml:space="preserve">(AECF) </w:t>
      </w:r>
      <w:r w:rsidRPr="008C5D25">
        <w:rPr>
          <w:b/>
        </w:rPr>
        <w:t>resources</w:t>
      </w:r>
      <w:r>
        <w:rPr>
          <w:b/>
        </w:rPr>
        <w:t>:</w:t>
      </w:r>
    </w:p>
    <w:p w:rsidR="008C5D25" w:rsidRDefault="008C5D25" w:rsidP="00B358E7">
      <w:pPr>
        <w:pStyle w:val="ListParagraph"/>
        <w:numPr>
          <w:ilvl w:val="0"/>
          <w:numId w:val="28"/>
        </w:numPr>
        <w:ind w:left="426"/>
      </w:pPr>
      <w:r>
        <w:t xml:space="preserve"> </w:t>
      </w:r>
      <w:r w:rsidR="007B0EF3">
        <w:t>AECF Homepage</w:t>
      </w:r>
      <w:r w:rsidR="00C97605">
        <w:t xml:space="preserve"> – </w:t>
      </w:r>
      <w:hyperlink r:id="rId24" w:history="1">
        <w:r w:rsidR="00B358E7" w:rsidRPr="00B358E7">
          <w:rPr>
            <w:rStyle w:val="Hyperlink"/>
            <w:color w:val="auto"/>
          </w:rPr>
          <w:t>http://www.aecfafrica.org/</w:t>
        </w:r>
      </w:hyperlink>
      <w:r w:rsidR="00B358E7">
        <w:t xml:space="preserve"> </w:t>
      </w:r>
    </w:p>
    <w:p w:rsidR="00195E5B" w:rsidRPr="00195E5B" w:rsidRDefault="00195E5B" w:rsidP="00195E5B">
      <w:pPr>
        <w:ind w:left="66"/>
        <w:rPr>
          <w:b/>
        </w:rPr>
      </w:pPr>
      <w:r w:rsidRPr="00195E5B">
        <w:rPr>
          <w:b/>
        </w:rPr>
        <w:t>Other Resources</w:t>
      </w:r>
    </w:p>
    <w:p w:rsidR="00541B7D" w:rsidRPr="00541B7D" w:rsidRDefault="00541B7D" w:rsidP="00195E5B">
      <w:pPr>
        <w:pStyle w:val="ListParagraph"/>
        <w:numPr>
          <w:ilvl w:val="0"/>
          <w:numId w:val="28"/>
        </w:numPr>
        <w:ind w:left="426"/>
      </w:pPr>
      <w:r w:rsidRPr="00541B7D">
        <w:t xml:space="preserve">Davies </w:t>
      </w:r>
      <w:r>
        <w:t xml:space="preserve">and Elgar 2014, </w:t>
      </w:r>
      <w:r w:rsidRPr="00541B7D">
        <w:rPr>
          <w:i/>
        </w:rPr>
        <w:t>Enterprise</w:t>
      </w:r>
      <w:r>
        <w:rPr>
          <w:i/>
        </w:rPr>
        <w:t xml:space="preserve"> development or business impact? On the purpose and design of enterprise challenge funds for development</w:t>
      </w:r>
      <w:r>
        <w:t>. Development Policy Centre, ANU (publication pending</w:t>
      </w:r>
      <w:r w:rsidR="00B910BD">
        <w:t>,</w:t>
      </w:r>
      <w:r>
        <w:t xml:space="preserve"> available on request to the ANU Development Policy Centre).</w:t>
      </w:r>
    </w:p>
    <w:p w:rsidR="00BA4F7D" w:rsidRPr="004C108C" w:rsidRDefault="00195E5B" w:rsidP="00195E5B">
      <w:pPr>
        <w:pStyle w:val="ListParagraph"/>
        <w:numPr>
          <w:ilvl w:val="0"/>
          <w:numId w:val="28"/>
        </w:numPr>
        <w:ind w:left="426"/>
        <w:rPr>
          <w:u w:val="single"/>
        </w:rPr>
      </w:pPr>
      <w:r>
        <w:t xml:space="preserve">Kleaver C, </w:t>
      </w:r>
      <w:r w:rsidR="00B039AB">
        <w:t>22 June 2012</w:t>
      </w:r>
      <w:r>
        <w:t xml:space="preserve">. </w:t>
      </w:r>
      <w:r>
        <w:rPr>
          <w:i/>
        </w:rPr>
        <w:t>Investing in agriculture to reduce poverty and hunger</w:t>
      </w:r>
      <w:r>
        <w:t xml:space="preserve">, International Food Policy Research </w:t>
      </w:r>
      <w:r w:rsidRPr="004C108C">
        <w:t xml:space="preserve">Institute, </w:t>
      </w:r>
      <w:hyperlink r:id="rId25" w:history="1">
        <w:r w:rsidRPr="004C108C">
          <w:rPr>
            <w:rStyle w:val="Hyperlink"/>
            <w:color w:val="auto"/>
          </w:rPr>
          <w:t>http://www.ifpri.org/publication/investing-agriculture-reduce-poverty-and-hunger</w:t>
        </w:r>
      </w:hyperlink>
      <w:r w:rsidR="00BA4F7D" w:rsidRPr="004C108C">
        <w:t>.</w:t>
      </w:r>
    </w:p>
    <w:p w:rsidR="00687845" w:rsidRDefault="00B039AB" w:rsidP="00195E5B">
      <w:pPr>
        <w:pStyle w:val="ListParagraph"/>
        <w:numPr>
          <w:ilvl w:val="0"/>
          <w:numId w:val="28"/>
        </w:numPr>
        <w:ind w:left="426"/>
        <w:rPr>
          <w:rStyle w:val="Hyperlink"/>
          <w:color w:val="auto"/>
          <w:u w:val="none"/>
        </w:rPr>
      </w:pPr>
      <w:r w:rsidRPr="00B039AB">
        <w:rPr>
          <w:rStyle w:val="Hyperlink"/>
          <w:color w:val="auto"/>
          <w:u w:val="none"/>
        </w:rPr>
        <w:t>Pompa</w:t>
      </w:r>
      <w:r>
        <w:rPr>
          <w:rStyle w:val="Hyperlink"/>
          <w:color w:val="auto"/>
          <w:u w:val="none"/>
        </w:rPr>
        <w:t xml:space="preserve"> C, </w:t>
      </w:r>
      <w:r w:rsidR="00447620">
        <w:rPr>
          <w:rStyle w:val="Hyperlink"/>
          <w:color w:val="auto"/>
          <w:u w:val="none"/>
        </w:rPr>
        <w:t xml:space="preserve">July 2013. </w:t>
      </w:r>
      <w:r w:rsidR="00447620">
        <w:rPr>
          <w:rStyle w:val="Hyperlink"/>
          <w:i/>
          <w:color w:val="auto"/>
          <w:u w:val="none"/>
        </w:rPr>
        <w:t>Understanding challenge funds</w:t>
      </w:r>
      <w:r w:rsidR="00447620">
        <w:rPr>
          <w:rStyle w:val="Hyperlink"/>
          <w:color w:val="auto"/>
          <w:u w:val="none"/>
        </w:rPr>
        <w:t xml:space="preserve">, Overseas Development Institute, </w:t>
      </w:r>
      <w:r w:rsidR="006624BD">
        <w:rPr>
          <w:rStyle w:val="Hyperlink"/>
          <w:color w:val="auto"/>
          <w:u w:val="none"/>
        </w:rPr>
        <w:t xml:space="preserve">London, </w:t>
      </w:r>
      <w:r w:rsidR="00357C2A">
        <w:rPr>
          <w:rStyle w:val="Hyperlink"/>
          <w:color w:val="auto"/>
          <w:u w:val="none"/>
        </w:rPr>
        <w:t>United Kingdom.</w:t>
      </w:r>
    </w:p>
    <w:p w:rsidR="00195E5B" w:rsidRPr="00083756" w:rsidRDefault="00195E5B" w:rsidP="00083756">
      <w:pPr>
        <w:rPr>
          <w:rStyle w:val="Hyperlink"/>
          <w:color w:val="auto"/>
          <w:u w:val="none"/>
        </w:rPr>
      </w:pPr>
    </w:p>
    <w:p w:rsidR="008C5D25" w:rsidRPr="008C5D25" w:rsidRDefault="008C5D25" w:rsidP="008C5D25">
      <w:pPr>
        <w:pStyle w:val="ListParagraph"/>
        <w:ind w:left="426"/>
      </w:pPr>
    </w:p>
    <w:p w:rsidR="003C67A8" w:rsidRDefault="003C67A8" w:rsidP="00150856"/>
    <w:sectPr w:rsidR="003C67A8" w:rsidSect="00541B7D">
      <w:type w:val="continuous"/>
      <w:pgSz w:w="11906" w:h="16838"/>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15E" w:rsidRDefault="00B6415E" w:rsidP="00F93222">
      <w:pPr>
        <w:spacing w:after="0" w:line="240" w:lineRule="auto"/>
      </w:pPr>
      <w:r>
        <w:separator/>
      </w:r>
    </w:p>
  </w:endnote>
  <w:endnote w:type="continuationSeparator" w:id="0">
    <w:p w:rsidR="00B6415E" w:rsidRDefault="00B6415E" w:rsidP="00F9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85" w:rsidRDefault="003A41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289525"/>
      <w:docPartObj>
        <w:docPartGallery w:val="Page Numbers (Bottom of Page)"/>
        <w:docPartUnique/>
      </w:docPartObj>
    </w:sdtPr>
    <w:sdtEndPr>
      <w:rPr>
        <w:noProof/>
      </w:rPr>
    </w:sdtEndPr>
    <w:sdtContent>
      <w:p w:rsidR="00B6415E" w:rsidRDefault="00B6415E">
        <w:pPr>
          <w:pStyle w:val="Footer"/>
          <w:jc w:val="right"/>
          <w:rPr>
            <w:noProof/>
          </w:rPr>
        </w:pPr>
        <w:r>
          <w:fldChar w:fldCharType="begin"/>
        </w:r>
        <w:r>
          <w:instrText xml:space="preserve"> PAGE   \* MERGEFORMAT </w:instrText>
        </w:r>
        <w:r>
          <w:fldChar w:fldCharType="separate"/>
        </w:r>
        <w:r w:rsidR="003A4185">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85" w:rsidRDefault="003A41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245878"/>
      <w:docPartObj>
        <w:docPartGallery w:val="Page Numbers (Bottom of Page)"/>
        <w:docPartUnique/>
      </w:docPartObj>
    </w:sdtPr>
    <w:sdtEndPr>
      <w:rPr>
        <w:noProof/>
      </w:rPr>
    </w:sdtEndPr>
    <w:sdtContent>
      <w:p w:rsidR="00B6415E" w:rsidRDefault="00B6415E">
        <w:pPr>
          <w:pStyle w:val="Footer"/>
          <w:jc w:val="right"/>
          <w:rPr>
            <w:noProof/>
          </w:rPr>
        </w:pPr>
        <w:r>
          <w:fldChar w:fldCharType="begin"/>
        </w:r>
        <w:r>
          <w:instrText xml:space="preserve"> PAGE   \* MERGEFORMAT </w:instrText>
        </w:r>
        <w:r>
          <w:fldChar w:fldCharType="separate"/>
        </w:r>
        <w:r w:rsidR="003A4185">
          <w:rPr>
            <w:noProof/>
          </w:rPr>
          <w:t>2</w:t>
        </w:r>
        <w:r>
          <w:rPr>
            <w:noProof/>
          </w:rPr>
          <w:fldChar w:fldCharType="end"/>
        </w:r>
      </w:p>
      <w:p w:rsidR="00B6415E" w:rsidRDefault="00B6415E" w:rsidP="00AF3420">
        <w:pPr>
          <w:pStyle w:val="Footer"/>
        </w:pPr>
        <w:r>
          <w:rPr>
            <w:noProof/>
          </w:rPr>
          <w:t>*</w:t>
        </w:r>
        <w:r w:rsidR="00071803">
          <w:rPr>
            <w:noProof/>
          </w:rPr>
          <w:t>Note:</w:t>
        </w:r>
        <w:r w:rsidR="00604071">
          <w:t xml:space="preserve"> </w:t>
        </w:r>
        <w:r>
          <w:rPr>
            <w:noProof/>
          </w:rPr>
          <w:t xml:space="preserve">Business growth facilities and challenge funds to provide public goods like health or education are valid program choices but are distinct from </w:t>
        </w:r>
        <w:r w:rsidRPr="00894D30">
          <w:rPr>
            <w:noProof/>
          </w:rPr>
          <w:t>enterprise</w:t>
        </w:r>
        <w:r>
          <w:rPr>
            <w:i/>
            <w:noProof/>
          </w:rPr>
          <w:t xml:space="preserve"> </w:t>
        </w:r>
        <w:r>
          <w:rPr>
            <w:noProof/>
          </w:rPr>
          <w:t>challenge funds considered by this paper.</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690267"/>
      <w:docPartObj>
        <w:docPartGallery w:val="Page Numbers (Bottom of Page)"/>
        <w:docPartUnique/>
      </w:docPartObj>
    </w:sdtPr>
    <w:sdtEndPr>
      <w:rPr>
        <w:noProof/>
      </w:rPr>
    </w:sdtEndPr>
    <w:sdtContent>
      <w:p w:rsidR="00B6415E" w:rsidRDefault="00B6415E">
        <w:pPr>
          <w:pStyle w:val="Footer"/>
          <w:jc w:val="right"/>
          <w:rPr>
            <w:noProof/>
          </w:rPr>
        </w:pPr>
        <w:r>
          <w:fldChar w:fldCharType="begin"/>
        </w:r>
        <w:r>
          <w:instrText xml:space="preserve"> PAGE   \* MERGEFORMAT </w:instrText>
        </w:r>
        <w:r>
          <w:fldChar w:fldCharType="separate"/>
        </w:r>
        <w:r w:rsidR="003A4185">
          <w:rPr>
            <w:noProof/>
          </w:rPr>
          <w:t>6</w:t>
        </w:r>
        <w:r>
          <w:rPr>
            <w:noProof/>
          </w:rPr>
          <w:fldChar w:fldCharType="end"/>
        </w:r>
      </w:p>
      <w:p w:rsidR="00B6415E" w:rsidRDefault="003A4185" w:rsidP="00AF3420">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15E" w:rsidRDefault="00B6415E" w:rsidP="00F93222">
      <w:pPr>
        <w:spacing w:after="0" w:line="240" w:lineRule="auto"/>
      </w:pPr>
      <w:r>
        <w:separator/>
      </w:r>
    </w:p>
  </w:footnote>
  <w:footnote w:type="continuationSeparator" w:id="0">
    <w:p w:rsidR="00B6415E" w:rsidRDefault="00B6415E" w:rsidP="00F93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85" w:rsidRDefault="003A41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15E" w:rsidRDefault="006C7C8B" w:rsidP="006C7C8B">
    <w:pPr>
      <w:pStyle w:val="Header"/>
      <w:jc w:val="center"/>
    </w:pPr>
    <w:r>
      <w:rPr>
        <w:noProof/>
        <w:lang w:eastAsia="en-AU"/>
      </w:rPr>
      <w:drawing>
        <wp:inline distT="0" distB="0" distL="0" distR="0" wp14:anchorId="5A9968CA" wp14:editId="4A55EB0B">
          <wp:extent cx="2371725" cy="1104900"/>
          <wp:effectExtent l="0" t="0" r="9525" b="0"/>
          <wp:docPr id="1" name="Picture 1" descr="DFATcrest-90"/>
          <wp:cNvGraphicFramePr/>
          <a:graphic xmlns:a="http://schemas.openxmlformats.org/drawingml/2006/main">
            <a:graphicData uri="http://schemas.openxmlformats.org/drawingml/2006/picture">
              <pic:pic xmlns:pic="http://schemas.openxmlformats.org/drawingml/2006/picture">
                <pic:nvPicPr>
                  <pic:cNvPr id="1" name="Picture 1" descr="DFATcrest-9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049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85" w:rsidRDefault="003A41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15E" w:rsidRPr="00E82F2D" w:rsidRDefault="00B6415E" w:rsidP="00E82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E86"/>
    <w:multiLevelType w:val="hybridMultilevel"/>
    <w:tmpl w:val="DC9CCA34"/>
    <w:lvl w:ilvl="0" w:tplc="158E29CC">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nsid w:val="133D32B0"/>
    <w:multiLevelType w:val="hybridMultilevel"/>
    <w:tmpl w:val="6BFE8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4314F12"/>
    <w:multiLevelType w:val="hybridMultilevel"/>
    <w:tmpl w:val="8D50B0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06225B"/>
    <w:multiLevelType w:val="hybridMultilevel"/>
    <w:tmpl w:val="2FC26E8A"/>
    <w:lvl w:ilvl="0" w:tplc="F29623B4">
      <w:start w:val="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8E271C"/>
    <w:multiLevelType w:val="hybridMultilevel"/>
    <w:tmpl w:val="7C44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DCA7C64"/>
    <w:multiLevelType w:val="hybridMultilevel"/>
    <w:tmpl w:val="D382E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B80D0F"/>
    <w:multiLevelType w:val="hybridMultilevel"/>
    <w:tmpl w:val="36C6CB8E"/>
    <w:lvl w:ilvl="0" w:tplc="F29623B4">
      <w:start w:val="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9B7521"/>
    <w:multiLevelType w:val="hybridMultilevel"/>
    <w:tmpl w:val="4550713C"/>
    <w:lvl w:ilvl="0" w:tplc="D3F4CD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E646055"/>
    <w:multiLevelType w:val="hybridMultilevel"/>
    <w:tmpl w:val="204E9A6A"/>
    <w:lvl w:ilvl="0" w:tplc="8F04FC5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1BE762D"/>
    <w:multiLevelType w:val="hybridMultilevel"/>
    <w:tmpl w:val="5DF6FB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1F12822"/>
    <w:multiLevelType w:val="hybridMultilevel"/>
    <w:tmpl w:val="421A5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31C0034"/>
    <w:multiLevelType w:val="hybridMultilevel"/>
    <w:tmpl w:val="ED86B07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5B636A3"/>
    <w:multiLevelType w:val="hybridMultilevel"/>
    <w:tmpl w:val="29A61F2C"/>
    <w:lvl w:ilvl="0" w:tplc="8EF01C54">
      <w:start w:val="1"/>
      <w:numFmt w:val="upp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nsid w:val="3C0F5A18"/>
    <w:multiLevelType w:val="hybridMultilevel"/>
    <w:tmpl w:val="037611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FAA2689"/>
    <w:multiLevelType w:val="hybridMultilevel"/>
    <w:tmpl w:val="44EC9658"/>
    <w:lvl w:ilvl="0" w:tplc="F3663C14">
      <w:numFmt w:val="bullet"/>
      <w:lvlText w:val="-"/>
      <w:lvlJc w:val="left"/>
      <w:pPr>
        <w:ind w:left="720" w:hanging="360"/>
      </w:pPr>
      <w:rPr>
        <w:rFonts w:ascii="Calibri" w:eastAsiaTheme="minorHAnsi" w:hAnsi="Calibri" w:cs="Calibri" w:hint="default"/>
        <w:b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472500"/>
    <w:multiLevelType w:val="hybridMultilevel"/>
    <w:tmpl w:val="670A4988"/>
    <w:lvl w:ilvl="0" w:tplc="5A40B926">
      <w:start w:val="1"/>
      <w:numFmt w:val="lowerRoman"/>
      <w:lvlText w:val="%1)"/>
      <w:lvlJc w:val="left"/>
      <w:pPr>
        <w:ind w:left="1145" w:hanging="72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6">
    <w:nsid w:val="4A752C65"/>
    <w:multiLevelType w:val="hybridMultilevel"/>
    <w:tmpl w:val="F3ACC67E"/>
    <w:lvl w:ilvl="0" w:tplc="7A0C99A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DCE2AA1"/>
    <w:multiLevelType w:val="hybridMultilevel"/>
    <w:tmpl w:val="4948D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1F5798D"/>
    <w:multiLevelType w:val="hybridMultilevel"/>
    <w:tmpl w:val="B1C6A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084164"/>
    <w:multiLevelType w:val="hybridMultilevel"/>
    <w:tmpl w:val="EA346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1A37E4D"/>
    <w:multiLevelType w:val="hybridMultilevel"/>
    <w:tmpl w:val="39364A56"/>
    <w:lvl w:ilvl="0" w:tplc="F3663C14">
      <w:numFmt w:val="bullet"/>
      <w:lvlText w:val="-"/>
      <w:lvlJc w:val="left"/>
      <w:pPr>
        <w:ind w:left="720" w:hanging="360"/>
      </w:pPr>
      <w:rPr>
        <w:rFonts w:ascii="Calibri" w:eastAsiaTheme="minorHAnsi" w:hAnsi="Calibri" w:cs="Calibri" w:hint="default"/>
        <w:b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1F82F39"/>
    <w:multiLevelType w:val="hybridMultilevel"/>
    <w:tmpl w:val="20F604CE"/>
    <w:lvl w:ilvl="0" w:tplc="0C090015">
      <w:start w:val="16"/>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6C84DA0"/>
    <w:multiLevelType w:val="hybridMultilevel"/>
    <w:tmpl w:val="0A105F84"/>
    <w:lvl w:ilvl="0" w:tplc="E402D392">
      <w:start w:val="1"/>
      <w:numFmt w:val="lowerRoman"/>
      <w:lvlText w:val="%1)"/>
      <w:lvlJc w:val="left"/>
      <w:pPr>
        <w:ind w:left="1145" w:hanging="72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3">
    <w:nsid w:val="67671E07"/>
    <w:multiLevelType w:val="hybridMultilevel"/>
    <w:tmpl w:val="2B744B08"/>
    <w:lvl w:ilvl="0" w:tplc="E75A252A">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nsid w:val="688D376C"/>
    <w:multiLevelType w:val="hybridMultilevel"/>
    <w:tmpl w:val="F1504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AC44137"/>
    <w:multiLevelType w:val="hybridMultilevel"/>
    <w:tmpl w:val="0A105F84"/>
    <w:lvl w:ilvl="0" w:tplc="E402D392">
      <w:start w:val="1"/>
      <w:numFmt w:val="lowerRoman"/>
      <w:lvlText w:val="%1)"/>
      <w:lvlJc w:val="left"/>
      <w:pPr>
        <w:ind w:left="1145" w:hanging="72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6">
    <w:nsid w:val="70000163"/>
    <w:multiLevelType w:val="hybridMultilevel"/>
    <w:tmpl w:val="7C22C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0D14466"/>
    <w:multiLevelType w:val="hybridMultilevel"/>
    <w:tmpl w:val="76924E12"/>
    <w:lvl w:ilvl="0" w:tplc="048E3AA6">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8">
    <w:nsid w:val="7AE914DE"/>
    <w:multiLevelType w:val="hybridMultilevel"/>
    <w:tmpl w:val="972AB888"/>
    <w:lvl w:ilvl="0" w:tplc="9DFC39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8"/>
  </w:num>
  <w:num w:numId="3">
    <w:abstractNumId w:val="16"/>
  </w:num>
  <w:num w:numId="4">
    <w:abstractNumId w:val="7"/>
  </w:num>
  <w:num w:numId="5">
    <w:abstractNumId w:val="28"/>
  </w:num>
  <w:num w:numId="6">
    <w:abstractNumId w:val="20"/>
  </w:num>
  <w:num w:numId="7">
    <w:abstractNumId w:val="14"/>
  </w:num>
  <w:num w:numId="8">
    <w:abstractNumId w:val="4"/>
  </w:num>
  <w:num w:numId="9">
    <w:abstractNumId w:val="13"/>
  </w:num>
  <w:num w:numId="10">
    <w:abstractNumId w:val="17"/>
  </w:num>
  <w:num w:numId="11">
    <w:abstractNumId w:val="19"/>
  </w:num>
  <w:num w:numId="12">
    <w:abstractNumId w:val="18"/>
  </w:num>
  <w:num w:numId="13">
    <w:abstractNumId w:val="5"/>
  </w:num>
  <w:num w:numId="14">
    <w:abstractNumId w:val="1"/>
  </w:num>
  <w:num w:numId="15">
    <w:abstractNumId w:val="2"/>
  </w:num>
  <w:num w:numId="16">
    <w:abstractNumId w:val="11"/>
  </w:num>
  <w:num w:numId="17">
    <w:abstractNumId w:val="26"/>
  </w:num>
  <w:num w:numId="18">
    <w:abstractNumId w:val="12"/>
  </w:num>
  <w:num w:numId="19">
    <w:abstractNumId w:val="27"/>
  </w:num>
  <w:num w:numId="20">
    <w:abstractNumId w:val="0"/>
  </w:num>
  <w:num w:numId="21">
    <w:abstractNumId w:val="22"/>
  </w:num>
  <w:num w:numId="22">
    <w:abstractNumId w:val="15"/>
  </w:num>
  <w:num w:numId="23">
    <w:abstractNumId w:val="10"/>
  </w:num>
  <w:num w:numId="24">
    <w:abstractNumId w:val="23"/>
  </w:num>
  <w:num w:numId="25">
    <w:abstractNumId w:val="21"/>
  </w:num>
  <w:num w:numId="26">
    <w:abstractNumId w:val="3"/>
  </w:num>
  <w:num w:numId="27">
    <w:abstractNumId w:val="6"/>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91"/>
    <w:rsid w:val="00000893"/>
    <w:rsid w:val="000046E2"/>
    <w:rsid w:val="0000741B"/>
    <w:rsid w:val="00007BD8"/>
    <w:rsid w:val="00010C4A"/>
    <w:rsid w:val="00011AFB"/>
    <w:rsid w:val="00013C9C"/>
    <w:rsid w:val="00015555"/>
    <w:rsid w:val="00016CBC"/>
    <w:rsid w:val="00017AAD"/>
    <w:rsid w:val="0002268B"/>
    <w:rsid w:val="00023FCE"/>
    <w:rsid w:val="0002674B"/>
    <w:rsid w:val="000277F6"/>
    <w:rsid w:val="000315FF"/>
    <w:rsid w:val="00031FF4"/>
    <w:rsid w:val="000334F8"/>
    <w:rsid w:val="00034A8C"/>
    <w:rsid w:val="0003760E"/>
    <w:rsid w:val="00046290"/>
    <w:rsid w:val="0005038E"/>
    <w:rsid w:val="00050A93"/>
    <w:rsid w:val="00052D14"/>
    <w:rsid w:val="000539A7"/>
    <w:rsid w:val="00055AAA"/>
    <w:rsid w:val="0006016D"/>
    <w:rsid w:val="000609A6"/>
    <w:rsid w:val="0006354C"/>
    <w:rsid w:val="00071803"/>
    <w:rsid w:val="000755D0"/>
    <w:rsid w:val="00083756"/>
    <w:rsid w:val="00085E8C"/>
    <w:rsid w:val="0009456B"/>
    <w:rsid w:val="000953E5"/>
    <w:rsid w:val="000A594E"/>
    <w:rsid w:val="000A67BE"/>
    <w:rsid w:val="000B449F"/>
    <w:rsid w:val="000C247A"/>
    <w:rsid w:val="000D0E14"/>
    <w:rsid w:val="000D17CC"/>
    <w:rsid w:val="000D1AAA"/>
    <w:rsid w:val="000D35EE"/>
    <w:rsid w:val="000E1398"/>
    <w:rsid w:val="000E70BD"/>
    <w:rsid w:val="000F2C30"/>
    <w:rsid w:val="000F2EB5"/>
    <w:rsid w:val="000F441E"/>
    <w:rsid w:val="000F5BF6"/>
    <w:rsid w:val="001034C1"/>
    <w:rsid w:val="00116DB8"/>
    <w:rsid w:val="00121F6A"/>
    <w:rsid w:val="001341D3"/>
    <w:rsid w:val="00134A7A"/>
    <w:rsid w:val="00134B85"/>
    <w:rsid w:val="00137019"/>
    <w:rsid w:val="001434DC"/>
    <w:rsid w:val="001437F6"/>
    <w:rsid w:val="00150856"/>
    <w:rsid w:val="00150EE8"/>
    <w:rsid w:val="001514CE"/>
    <w:rsid w:val="00154BB5"/>
    <w:rsid w:val="00160D36"/>
    <w:rsid w:val="0016416C"/>
    <w:rsid w:val="00166C79"/>
    <w:rsid w:val="00174473"/>
    <w:rsid w:val="001761AF"/>
    <w:rsid w:val="00176566"/>
    <w:rsid w:val="00181043"/>
    <w:rsid w:val="00181A19"/>
    <w:rsid w:val="00183207"/>
    <w:rsid w:val="001858E1"/>
    <w:rsid w:val="00187F26"/>
    <w:rsid w:val="00194F25"/>
    <w:rsid w:val="00195E5B"/>
    <w:rsid w:val="001966AA"/>
    <w:rsid w:val="00197EE4"/>
    <w:rsid w:val="001A08E0"/>
    <w:rsid w:val="001A0BE7"/>
    <w:rsid w:val="001A1BE7"/>
    <w:rsid w:val="001A2539"/>
    <w:rsid w:val="001A6BD5"/>
    <w:rsid w:val="001B43E9"/>
    <w:rsid w:val="001B5C0C"/>
    <w:rsid w:val="001D08C2"/>
    <w:rsid w:val="001D5A54"/>
    <w:rsid w:val="001E0E88"/>
    <w:rsid w:val="001E3C63"/>
    <w:rsid w:val="001E5520"/>
    <w:rsid w:val="001E5E38"/>
    <w:rsid w:val="001F3A0D"/>
    <w:rsid w:val="002016C4"/>
    <w:rsid w:val="0021477F"/>
    <w:rsid w:val="002159E6"/>
    <w:rsid w:val="00216304"/>
    <w:rsid w:val="00216B20"/>
    <w:rsid w:val="00225BED"/>
    <w:rsid w:val="00226183"/>
    <w:rsid w:val="00231D72"/>
    <w:rsid w:val="00232577"/>
    <w:rsid w:val="002413B4"/>
    <w:rsid w:val="002421CF"/>
    <w:rsid w:val="002464D0"/>
    <w:rsid w:val="002647DB"/>
    <w:rsid w:val="00270ABD"/>
    <w:rsid w:val="0027129B"/>
    <w:rsid w:val="00271870"/>
    <w:rsid w:val="00272D69"/>
    <w:rsid w:val="0027322A"/>
    <w:rsid w:val="00274A88"/>
    <w:rsid w:val="00274C3F"/>
    <w:rsid w:val="00274CD7"/>
    <w:rsid w:val="00275B4E"/>
    <w:rsid w:val="00277B86"/>
    <w:rsid w:val="0028388E"/>
    <w:rsid w:val="00285214"/>
    <w:rsid w:val="002877D2"/>
    <w:rsid w:val="0029149C"/>
    <w:rsid w:val="002960A2"/>
    <w:rsid w:val="00297A95"/>
    <w:rsid w:val="002A00D9"/>
    <w:rsid w:val="002A22D7"/>
    <w:rsid w:val="002A6F73"/>
    <w:rsid w:val="002A7BD6"/>
    <w:rsid w:val="002B0692"/>
    <w:rsid w:val="002B0FF0"/>
    <w:rsid w:val="002B5E8D"/>
    <w:rsid w:val="002C0FE0"/>
    <w:rsid w:val="002C4379"/>
    <w:rsid w:val="002C7F28"/>
    <w:rsid w:val="002D4748"/>
    <w:rsid w:val="002D4E64"/>
    <w:rsid w:val="002E1874"/>
    <w:rsid w:val="002E46C7"/>
    <w:rsid w:val="002E4CB2"/>
    <w:rsid w:val="002E53D1"/>
    <w:rsid w:val="002E61FF"/>
    <w:rsid w:val="002E78B0"/>
    <w:rsid w:val="002F6E05"/>
    <w:rsid w:val="002F75EF"/>
    <w:rsid w:val="00303DE8"/>
    <w:rsid w:val="00311907"/>
    <w:rsid w:val="003121C2"/>
    <w:rsid w:val="003137B5"/>
    <w:rsid w:val="00313D6F"/>
    <w:rsid w:val="00314168"/>
    <w:rsid w:val="0031657E"/>
    <w:rsid w:val="00320D52"/>
    <w:rsid w:val="0033187D"/>
    <w:rsid w:val="00332020"/>
    <w:rsid w:val="0033323D"/>
    <w:rsid w:val="00335772"/>
    <w:rsid w:val="0033751A"/>
    <w:rsid w:val="003405E9"/>
    <w:rsid w:val="00345292"/>
    <w:rsid w:val="00345F73"/>
    <w:rsid w:val="003461F1"/>
    <w:rsid w:val="00347731"/>
    <w:rsid w:val="003524CA"/>
    <w:rsid w:val="003544F2"/>
    <w:rsid w:val="003576AC"/>
    <w:rsid w:val="00357C2A"/>
    <w:rsid w:val="003607E2"/>
    <w:rsid w:val="00361AFF"/>
    <w:rsid w:val="00367873"/>
    <w:rsid w:val="00367B41"/>
    <w:rsid w:val="00371BAE"/>
    <w:rsid w:val="00371E11"/>
    <w:rsid w:val="00371E98"/>
    <w:rsid w:val="00373B5E"/>
    <w:rsid w:val="00376748"/>
    <w:rsid w:val="00376EA8"/>
    <w:rsid w:val="0038531D"/>
    <w:rsid w:val="00386528"/>
    <w:rsid w:val="0039009C"/>
    <w:rsid w:val="00391D5C"/>
    <w:rsid w:val="00392D20"/>
    <w:rsid w:val="00393CE2"/>
    <w:rsid w:val="003946B2"/>
    <w:rsid w:val="00397782"/>
    <w:rsid w:val="003A2486"/>
    <w:rsid w:val="003A36DF"/>
    <w:rsid w:val="003A4185"/>
    <w:rsid w:val="003A432F"/>
    <w:rsid w:val="003A4F8B"/>
    <w:rsid w:val="003B0998"/>
    <w:rsid w:val="003B2458"/>
    <w:rsid w:val="003B3521"/>
    <w:rsid w:val="003B6A81"/>
    <w:rsid w:val="003B745D"/>
    <w:rsid w:val="003C19D5"/>
    <w:rsid w:val="003C610E"/>
    <w:rsid w:val="003C67A8"/>
    <w:rsid w:val="003D1C24"/>
    <w:rsid w:val="003D2D1B"/>
    <w:rsid w:val="003D5D4A"/>
    <w:rsid w:val="003E0A1F"/>
    <w:rsid w:val="003E2A42"/>
    <w:rsid w:val="003E583F"/>
    <w:rsid w:val="003E6E9A"/>
    <w:rsid w:val="003E7487"/>
    <w:rsid w:val="003F2D69"/>
    <w:rsid w:val="0040409B"/>
    <w:rsid w:val="00426FC4"/>
    <w:rsid w:val="00427289"/>
    <w:rsid w:val="00427299"/>
    <w:rsid w:val="00427F67"/>
    <w:rsid w:val="00435366"/>
    <w:rsid w:val="00435D5F"/>
    <w:rsid w:val="00443BF1"/>
    <w:rsid w:val="00444232"/>
    <w:rsid w:val="00447620"/>
    <w:rsid w:val="00452104"/>
    <w:rsid w:val="00452CFF"/>
    <w:rsid w:val="00455222"/>
    <w:rsid w:val="0045550B"/>
    <w:rsid w:val="00460F83"/>
    <w:rsid w:val="00463548"/>
    <w:rsid w:val="00470EB1"/>
    <w:rsid w:val="004736A2"/>
    <w:rsid w:val="00473983"/>
    <w:rsid w:val="00474256"/>
    <w:rsid w:val="004776A1"/>
    <w:rsid w:val="00484923"/>
    <w:rsid w:val="0049095A"/>
    <w:rsid w:val="0049205F"/>
    <w:rsid w:val="00497C26"/>
    <w:rsid w:val="004A0B5E"/>
    <w:rsid w:val="004A10F1"/>
    <w:rsid w:val="004A4AA1"/>
    <w:rsid w:val="004A634B"/>
    <w:rsid w:val="004B0316"/>
    <w:rsid w:val="004B4023"/>
    <w:rsid w:val="004B4CC1"/>
    <w:rsid w:val="004B69D5"/>
    <w:rsid w:val="004C108C"/>
    <w:rsid w:val="004C7121"/>
    <w:rsid w:val="004D0AF7"/>
    <w:rsid w:val="004D17C6"/>
    <w:rsid w:val="004D1F5D"/>
    <w:rsid w:val="004D24C5"/>
    <w:rsid w:val="004D3E5B"/>
    <w:rsid w:val="004D54D2"/>
    <w:rsid w:val="004E172F"/>
    <w:rsid w:val="004E35E3"/>
    <w:rsid w:val="004E752B"/>
    <w:rsid w:val="004E78D3"/>
    <w:rsid w:val="004E7D5F"/>
    <w:rsid w:val="004F133A"/>
    <w:rsid w:val="004F1B72"/>
    <w:rsid w:val="004F47E5"/>
    <w:rsid w:val="004F5DF7"/>
    <w:rsid w:val="005009D1"/>
    <w:rsid w:val="00501DFE"/>
    <w:rsid w:val="00502E40"/>
    <w:rsid w:val="00503193"/>
    <w:rsid w:val="00507B29"/>
    <w:rsid w:val="00520EB3"/>
    <w:rsid w:val="00521BA2"/>
    <w:rsid w:val="00522D17"/>
    <w:rsid w:val="00523FBC"/>
    <w:rsid w:val="00526058"/>
    <w:rsid w:val="00527BAB"/>
    <w:rsid w:val="00530722"/>
    <w:rsid w:val="00533B8E"/>
    <w:rsid w:val="00537842"/>
    <w:rsid w:val="00540EFF"/>
    <w:rsid w:val="00541B7D"/>
    <w:rsid w:val="00541F6B"/>
    <w:rsid w:val="00542900"/>
    <w:rsid w:val="0054419B"/>
    <w:rsid w:val="00544868"/>
    <w:rsid w:val="0054630D"/>
    <w:rsid w:val="00547D3F"/>
    <w:rsid w:val="00550B77"/>
    <w:rsid w:val="0055199A"/>
    <w:rsid w:val="005520FA"/>
    <w:rsid w:val="00552974"/>
    <w:rsid w:val="005539FC"/>
    <w:rsid w:val="00553FE4"/>
    <w:rsid w:val="00572E77"/>
    <w:rsid w:val="00576D2F"/>
    <w:rsid w:val="00582437"/>
    <w:rsid w:val="005944A8"/>
    <w:rsid w:val="00595B42"/>
    <w:rsid w:val="005A068D"/>
    <w:rsid w:val="005A2B14"/>
    <w:rsid w:val="005A37B8"/>
    <w:rsid w:val="005A5B8C"/>
    <w:rsid w:val="005A5BEE"/>
    <w:rsid w:val="005A6BD9"/>
    <w:rsid w:val="005B1580"/>
    <w:rsid w:val="005B334F"/>
    <w:rsid w:val="005B42EA"/>
    <w:rsid w:val="005B4CEF"/>
    <w:rsid w:val="005B4D4E"/>
    <w:rsid w:val="005B4F32"/>
    <w:rsid w:val="005B6435"/>
    <w:rsid w:val="005B67AE"/>
    <w:rsid w:val="005B6EF4"/>
    <w:rsid w:val="005B6FC7"/>
    <w:rsid w:val="005B7891"/>
    <w:rsid w:val="005C3F9B"/>
    <w:rsid w:val="005C4D05"/>
    <w:rsid w:val="005C6AC1"/>
    <w:rsid w:val="005C7123"/>
    <w:rsid w:val="005C71AE"/>
    <w:rsid w:val="005C7ECF"/>
    <w:rsid w:val="005D08EB"/>
    <w:rsid w:val="005D1FAE"/>
    <w:rsid w:val="005D2966"/>
    <w:rsid w:val="005D2F33"/>
    <w:rsid w:val="005D53E8"/>
    <w:rsid w:val="005D590F"/>
    <w:rsid w:val="005D6402"/>
    <w:rsid w:val="005D7729"/>
    <w:rsid w:val="005E0AE3"/>
    <w:rsid w:val="00600FDA"/>
    <w:rsid w:val="0060201A"/>
    <w:rsid w:val="00602443"/>
    <w:rsid w:val="00604071"/>
    <w:rsid w:val="00612E11"/>
    <w:rsid w:val="00614AD3"/>
    <w:rsid w:val="00617FAC"/>
    <w:rsid w:val="006226BB"/>
    <w:rsid w:val="00627705"/>
    <w:rsid w:val="00634FDD"/>
    <w:rsid w:val="006369B8"/>
    <w:rsid w:val="00636C4E"/>
    <w:rsid w:val="00640624"/>
    <w:rsid w:val="006417F7"/>
    <w:rsid w:val="00641B94"/>
    <w:rsid w:val="00644431"/>
    <w:rsid w:val="0064650C"/>
    <w:rsid w:val="00647544"/>
    <w:rsid w:val="00647E22"/>
    <w:rsid w:val="006549E5"/>
    <w:rsid w:val="00655EAA"/>
    <w:rsid w:val="00660AC1"/>
    <w:rsid w:val="006624BD"/>
    <w:rsid w:val="00675FEC"/>
    <w:rsid w:val="00681B2F"/>
    <w:rsid w:val="006869D7"/>
    <w:rsid w:val="00686F35"/>
    <w:rsid w:val="00687845"/>
    <w:rsid w:val="006B0168"/>
    <w:rsid w:val="006B2F23"/>
    <w:rsid w:val="006B3DDE"/>
    <w:rsid w:val="006B3F10"/>
    <w:rsid w:val="006C39B5"/>
    <w:rsid w:val="006C39B7"/>
    <w:rsid w:val="006C491E"/>
    <w:rsid w:val="006C7C8B"/>
    <w:rsid w:val="006D138C"/>
    <w:rsid w:val="006D6485"/>
    <w:rsid w:val="006D7FB3"/>
    <w:rsid w:val="006E1B3A"/>
    <w:rsid w:val="006E2FC6"/>
    <w:rsid w:val="006E6C40"/>
    <w:rsid w:val="006E715F"/>
    <w:rsid w:val="006F37AF"/>
    <w:rsid w:val="0070114D"/>
    <w:rsid w:val="00704E50"/>
    <w:rsid w:val="00710943"/>
    <w:rsid w:val="0071231F"/>
    <w:rsid w:val="007125BC"/>
    <w:rsid w:val="00716843"/>
    <w:rsid w:val="00723CAD"/>
    <w:rsid w:val="00726F56"/>
    <w:rsid w:val="0073069F"/>
    <w:rsid w:val="00731908"/>
    <w:rsid w:val="00734430"/>
    <w:rsid w:val="00735411"/>
    <w:rsid w:val="007373F8"/>
    <w:rsid w:val="007378C3"/>
    <w:rsid w:val="00737EA1"/>
    <w:rsid w:val="0074340A"/>
    <w:rsid w:val="00746949"/>
    <w:rsid w:val="00751560"/>
    <w:rsid w:val="00754A2A"/>
    <w:rsid w:val="00760950"/>
    <w:rsid w:val="0076172E"/>
    <w:rsid w:val="0076197D"/>
    <w:rsid w:val="00761E22"/>
    <w:rsid w:val="00774DB3"/>
    <w:rsid w:val="0077582A"/>
    <w:rsid w:val="00777E74"/>
    <w:rsid w:val="00780D88"/>
    <w:rsid w:val="00783851"/>
    <w:rsid w:val="00783AD1"/>
    <w:rsid w:val="00784047"/>
    <w:rsid w:val="007950EB"/>
    <w:rsid w:val="007A1415"/>
    <w:rsid w:val="007A2B8B"/>
    <w:rsid w:val="007A3CB0"/>
    <w:rsid w:val="007A4C25"/>
    <w:rsid w:val="007A675D"/>
    <w:rsid w:val="007A7F5D"/>
    <w:rsid w:val="007B0BA1"/>
    <w:rsid w:val="007B0EF3"/>
    <w:rsid w:val="007B245C"/>
    <w:rsid w:val="007B52DB"/>
    <w:rsid w:val="007B74A7"/>
    <w:rsid w:val="007C31FF"/>
    <w:rsid w:val="007C45AD"/>
    <w:rsid w:val="007C4867"/>
    <w:rsid w:val="007C643A"/>
    <w:rsid w:val="007D00B8"/>
    <w:rsid w:val="007D121B"/>
    <w:rsid w:val="007D2AB2"/>
    <w:rsid w:val="007E0ADA"/>
    <w:rsid w:val="007E21F3"/>
    <w:rsid w:val="007E3B6B"/>
    <w:rsid w:val="007E7BE9"/>
    <w:rsid w:val="007F1C3C"/>
    <w:rsid w:val="007F5799"/>
    <w:rsid w:val="007F70AD"/>
    <w:rsid w:val="00800388"/>
    <w:rsid w:val="00801385"/>
    <w:rsid w:val="00801B56"/>
    <w:rsid w:val="00811BDD"/>
    <w:rsid w:val="00811F6E"/>
    <w:rsid w:val="00812566"/>
    <w:rsid w:val="008148B7"/>
    <w:rsid w:val="00814A0A"/>
    <w:rsid w:val="008232D4"/>
    <w:rsid w:val="00826AF6"/>
    <w:rsid w:val="0083027A"/>
    <w:rsid w:val="00833D80"/>
    <w:rsid w:val="00835EC9"/>
    <w:rsid w:val="008444A6"/>
    <w:rsid w:val="008477EE"/>
    <w:rsid w:val="0085235D"/>
    <w:rsid w:val="00853928"/>
    <w:rsid w:val="00853AD4"/>
    <w:rsid w:val="00855851"/>
    <w:rsid w:val="00856A1F"/>
    <w:rsid w:val="00857CDD"/>
    <w:rsid w:val="008604CC"/>
    <w:rsid w:val="00870785"/>
    <w:rsid w:val="00872AD3"/>
    <w:rsid w:val="0087644D"/>
    <w:rsid w:val="00876F9E"/>
    <w:rsid w:val="00877870"/>
    <w:rsid w:val="008779FF"/>
    <w:rsid w:val="00877AA6"/>
    <w:rsid w:val="0088241C"/>
    <w:rsid w:val="00883D92"/>
    <w:rsid w:val="00883EAE"/>
    <w:rsid w:val="008870E6"/>
    <w:rsid w:val="00890BD7"/>
    <w:rsid w:val="00894D30"/>
    <w:rsid w:val="00895458"/>
    <w:rsid w:val="0089634C"/>
    <w:rsid w:val="008A553D"/>
    <w:rsid w:val="008A6CD0"/>
    <w:rsid w:val="008B1064"/>
    <w:rsid w:val="008B66FC"/>
    <w:rsid w:val="008B7BB2"/>
    <w:rsid w:val="008C3D95"/>
    <w:rsid w:val="008C5D25"/>
    <w:rsid w:val="008C7C7B"/>
    <w:rsid w:val="008D164E"/>
    <w:rsid w:val="008D4DFF"/>
    <w:rsid w:val="008E00E9"/>
    <w:rsid w:val="008E305B"/>
    <w:rsid w:val="008E4AD8"/>
    <w:rsid w:val="008E559F"/>
    <w:rsid w:val="008E59EB"/>
    <w:rsid w:val="008F2327"/>
    <w:rsid w:val="008F5875"/>
    <w:rsid w:val="008F651C"/>
    <w:rsid w:val="008F71D7"/>
    <w:rsid w:val="008F78FD"/>
    <w:rsid w:val="00903FBF"/>
    <w:rsid w:val="009139C9"/>
    <w:rsid w:val="00913AA6"/>
    <w:rsid w:val="009171EC"/>
    <w:rsid w:val="0092270A"/>
    <w:rsid w:val="0093117D"/>
    <w:rsid w:val="009323E6"/>
    <w:rsid w:val="00935BC9"/>
    <w:rsid w:val="00940794"/>
    <w:rsid w:val="00940B24"/>
    <w:rsid w:val="009418D3"/>
    <w:rsid w:val="00945D8B"/>
    <w:rsid w:val="00950DF9"/>
    <w:rsid w:val="00951212"/>
    <w:rsid w:val="00955DB8"/>
    <w:rsid w:val="0095704C"/>
    <w:rsid w:val="00961DA6"/>
    <w:rsid w:val="00966CEA"/>
    <w:rsid w:val="00970D8D"/>
    <w:rsid w:val="00970E71"/>
    <w:rsid w:val="00973921"/>
    <w:rsid w:val="00973D53"/>
    <w:rsid w:val="00980AB7"/>
    <w:rsid w:val="00982333"/>
    <w:rsid w:val="009830D0"/>
    <w:rsid w:val="0098357C"/>
    <w:rsid w:val="00984098"/>
    <w:rsid w:val="00985664"/>
    <w:rsid w:val="00990333"/>
    <w:rsid w:val="00990BBA"/>
    <w:rsid w:val="00991527"/>
    <w:rsid w:val="00991C66"/>
    <w:rsid w:val="0099237A"/>
    <w:rsid w:val="00994D40"/>
    <w:rsid w:val="009965C3"/>
    <w:rsid w:val="009A04F6"/>
    <w:rsid w:val="009A414A"/>
    <w:rsid w:val="009B29D5"/>
    <w:rsid w:val="009B5D02"/>
    <w:rsid w:val="009B723A"/>
    <w:rsid w:val="009B7FBB"/>
    <w:rsid w:val="009C6075"/>
    <w:rsid w:val="009D0C0D"/>
    <w:rsid w:val="009D1ECB"/>
    <w:rsid w:val="009D582C"/>
    <w:rsid w:val="009D5ADB"/>
    <w:rsid w:val="009D6F86"/>
    <w:rsid w:val="009E08A9"/>
    <w:rsid w:val="009E4669"/>
    <w:rsid w:val="009E4DE1"/>
    <w:rsid w:val="009F17CE"/>
    <w:rsid w:val="009F3BF4"/>
    <w:rsid w:val="009F47BE"/>
    <w:rsid w:val="009F487D"/>
    <w:rsid w:val="009F7820"/>
    <w:rsid w:val="00A018F8"/>
    <w:rsid w:val="00A05E62"/>
    <w:rsid w:val="00A10A91"/>
    <w:rsid w:val="00A11CD7"/>
    <w:rsid w:val="00A14551"/>
    <w:rsid w:val="00A14F01"/>
    <w:rsid w:val="00A14F09"/>
    <w:rsid w:val="00A2030D"/>
    <w:rsid w:val="00A20BA5"/>
    <w:rsid w:val="00A21ABF"/>
    <w:rsid w:val="00A22933"/>
    <w:rsid w:val="00A23FB3"/>
    <w:rsid w:val="00A31991"/>
    <w:rsid w:val="00A41F02"/>
    <w:rsid w:val="00A42FC5"/>
    <w:rsid w:val="00A43455"/>
    <w:rsid w:val="00A45EDB"/>
    <w:rsid w:val="00A476A3"/>
    <w:rsid w:val="00A502B2"/>
    <w:rsid w:val="00A507A3"/>
    <w:rsid w:val="00A5118B"/>
    <w:rsid w:val="00A511AC"/>
    <w:rsid w:val="00A5168B"/>
    <w:rsid w:val="00A61338"/>
    <w:rsid w:val="00A6163B"/>
    <w:rsid w:val="00A6352E"/>
    <w:rsid w:val="00A65801"/>
    <w:rsid w:val="00A66303"/>
    <w:rsid w:val="00A7357D"/>
    <w:rsid w:val="00A7557A"/>
    <w:rsid w:val="00A75D41"/>
    <w:rsid w:val="00A82EAB"/>
    <w:rsid w:val="00A874E9"/>
    <w:rsid w:val="00A909D8"/>
    <w:rsid w:val="00A90B36"/>
    <w:rsid w:val="00A91024"/>
    <w:rsid w:val="00A96BAB"/>
    <w:rsid w:val="00AA059E"/>
    <w:rsid w:val="00AA10C0"/>
    <w:rsid w:val="00AA3BE8"/>
    <w:rsid w:val="00AA41A8"/>
    <w:rsid w:val="00AA5BE5"/>
    <w:rsid w:val="00AB41DA"/>
    <w:rsid w:val="00AC03A2"/>
    <w:rsid w:val="00AC03E3"/>
    <w:rsid w:val="00AC1207"/>
    <w:rsid w:val="00AD0B34"/>
    <w:rsid w:val="00AD201E"/>
    <w:rsid w:val="00AD37CE"/>
    <w:rsid w:val="00AD68D4"/>
    <w:rsid w:val="00AE3C33"/>
    <w:rsid w:val="00AE5268"/>
    <w:rsid w:val="00AE60E9"/>
    <w:rsid w:val="00AE7A8E"/>
    <w:rsid w:val="00AF24C4"/>
    <w:rsid w:val="00AF3420"/>
    <w:rsid w:val="00B039AB"/>
    <w:rsid w:val="00B039E9"/>
    <w:rsid w:val="00B04E17"/>
    <w:rsid w:val="00B062A6"/>
    <w:rsid w:val="00B06D88"/>
    <w:rsid w:val="00B07F30"/>
    <w:rsid w:val="00B10DCA"/>
    <w:rsid w:val="00B14995"/>
    <w:rsid w:val="00B177F2"/>
    <w:rsid w:val="00B22A48"/>
    <w:rsid w:val="00B23C2B"/>
    <w:rsid w:val="00B2662C"/>
    <w:rsid w:val="00B3145D"/>
    <w:rsid w:val="00B319CC"/>
    <w:rsid w:val="00B34F3C"/>
    <w:rsid w:val="00B358E7"/>
    <w:rsid w:val="00B37260"/>
    <w:rsid w:val="00B41155"/>
    <w:rsid w:val="00B424C0"/>
    <w:rsid w:val="00B45744"/>
    <w:rsid w:val="00B45881"/>
    <w:rsid w:val="00B47ABC"/>
    <w:rsid w:val="00B52051"/>
    <w:rsid w:val="00B52EB3"/>
    <w:rsid w:val="00B545B5"/>
    <w:rsid w:val="00B54D26"/>
    <w:rsid w:val="00B57160"/>
    <w:rsid w:val="00B6131A"/>
    <w:rsid w:val="00B63B5F"/>
    <w:rsid w:val="00B6415E"/>
    <w:rsid w:val="00B70E85"/>
    <w:rsid w:val="00B76FD0"/>
    <w:rsid w:val="00B77E77"/>
    <w:rsid w:val="00B8293F"/>
    <w:rsid w:val="00B86167"/>
    <w:rsid w:val="00B87204"/>
    <w:rsid w:val="00B910BD"/>
    <w:rsid w:val="00B911FE"/>
    <w:rsid w:val="00B91229"/>
    <w:rsid w:val="00B9155D"/>
    <w:rsid w:val="00B92F85"/>
    <w:rsid w:val="00BA1A7A"/>
    <w:rsid w:val="00BA2C30"/>
    <w:rsid w:val="00BA3A53"/>
    <w:rsid w:val="00BA3ECF"/>
    <w:rsid w:val="00BA4F7D"/>
    <w:rsid w:val="00BB0627"/>
    <w:rsid w:val="00BB195A"/>
    <w:rsid w:val="00BB20E8"/>
    <w:rsid w:val="00BB236D"/>
    <w:rsid w:val="00BB3647"/>
    <w:rsid w:val="00BB3801"/>
    <w:rsid w:val="00BB6179"/>
    <w:rsid w:val="00BB6ACD"/>
    <w:rsid w:val="00BC01A5"/>
    <w:rsid w:val="00BC46B0"/>
    <w:rsid w:val="00BD02A3"/>
    <w:rsid w:val="00BD1109"/>
    <w:rsid w:val="00BD5160"/>
    <w:rsid w:val="00BD7DC0"/>
    <w:rsid w:val="00BE0E32"/>
    <w:rsid w:val="00BE184A"/>
    <w:rsid w:val="00BE24B8"/>
    <w:rsid w:val="00BE3919"/>
    <w:rsid w:val="00BE64D2"/>
    <w:rsid w:val="00BF2DD4"/>
    <w:rsid w:val="00BF652B"/>
    <w:rsid w:val="00BF6B13"/>
    <w:rsid w:val="00C00ABA"/>
    <w:rsid w:val="00C00ADF"/>
    <w:rsid w:val="00C04096"/>
    <w:rsid w:val="00C05D40"/>
    <w:rsid w:val="00C1456A"/>
    <w:rsid w:val="00C15B07"/>
    <w:rsid w:val="00C222AD"/>
    <w:rsid w:val="00C235A5"/>
    <w:rsid w:val="00C24F7C"/>
    <w:rsid w:val="00C31444"/>
    <w:rsid w:val="00C34E23"/>
    <w:rsid w:val="00C409CE"/>
    <w:rsid w:val="00C43557"/>
    <w:rsid w:val="00C45348"/>
    <w:rsid w:val="00C47AB8"/>
    <w:rsid w:val="00C543B6"/>
    <w:rsid w:val="00C55723"/>
    <w:rsid w:val="00C55ABE"/>
    <w:rsid w:val="00C60B18"/>
    <w:rsid w:val="00C66D70"/>
    <w:rsid w:val="00C726EE"/>
    <w:rsid w:val="00C80472"/>
    <w:rsid w:val="00C8075D"/>
    <w:rsid w:val="00C8452F"/>
    <w:rsid w:val="00C8658E"/>
    <w:rsid w:val="00C94D82"/>
    <w:rsid w:val="00C95F4C"/>
    <w:rsid w:val="00C96731"/>
    <w:rsid w:val="00C97605"/>
    <w:rsid w:val="00CA2743"/>
    <w:rsid w:val="00CA59E2"/>
    <w:rsid w:val="00CB1A1C"/>
    <w:rsid w:val="00CB2C3A"/>
    <w:rsid w:val="00CB44AB"/>
    <w:rsid w:val="00CB5A7C"/>
    <w:rsid w:val="00CD33D2"/>
    <w:rsid w:val="00CD6169"/>
    <w:rsid w:val="00CD6850"/>
    <w:rsid w:val="00CD68EC"/>
    <w:rsid w:val="00CE3000"/>
    <w:rsid w:val="00CE4120"/>
    <w:rsid w:val="00CE4971"/>
    <w:rsid w:val="00CE4E4F"/>
    <w:rsid w:val="00CE5333"/>
    <w:rsid w:val="00CF2E3D"/>
    <w:rsid w:val="00CF2E55"/>
    <w:rsid w:val="00CF7F85"/>
    <w:rsid w:val="00D11314"/>
    <w:rsid w:val="00D15EFE"/>
    <w:rsid w:val="00D161E5"/>
    <w:rsid w:val="00D21B0D"/>
    <w:rsid w:val="00D271DC"/>
    <w:rsid w:val="00D31986"/>
    <w:rsid w:val="00D32225"/>
    <w:rsid w:val="00D33B2F"/>
    <w:rsid w:val="00D40508"/>
    <w:rsid w:val="00D4508A"/>
    <w:rsid w:val="00D50792"/>
    <w:rsid w:val="00D51BE4"/>
    <w:rsid w:val="00D539F5"/>
    <w:rsid w:val="00D53DB6"/>
    <w:rsid w:val="00D54BE9"/>
    <w:rsid w:val="00D55A69"/>
    <w:rsid w:val="00D572A0"/>
    <w:rsid w:val="00D57D7A"/>
    <w:rsid w:val="00D60E4B"/>
    <w:rsid w:val="00D62EA0"/>
    <w:rsid w:val="00D64B3A"/>
    <w:rsid w:val="00D64B7B"/>
    <w:rsid w:val="00D66598"/>
    <w:rsid w:val="00D66734"/>
    <w:rsid w:val="00D827DF"/>
    <w:rsid w:val="00D84DFC"/>
    <w:rsid w:val="00D85E35"/>
    <w:rsid w:val="00D90312"/>
    <w:rsid w:val="00D925DD"/>
    <w:rsid w:val="00D92A28"/>
    <w:rsid w:val="00DA3A4A"/>
    <w:rsid w:val="00DA471E"/>
    <w:rsid w:val="00DA6177"/>
    <w:rsid w:val="00DA78C9"/>
    <w:rsid w:val="00DA7FB0"/>
    <w:rsid w:val="00DB1447"/>
    <w:rsid w:val="00DB1568"/>
    <w:rsid w:val="00DB1EDB"/>
    <w:rsid w:val="00DB234E"/>
    <w:rsid w:val="00DB453C"/>
    <w:rsid w:val="00DB48F4"/>
    <w:rsid w:val="00DB6974"/>
    <w:rsid w:val="00DC1C34"/>
    <w:rsid w:val="00DC5C80"/>
    <w:rsid w:val="00DD0C77"/>
    <w:rsid w:val="00DD0D88"/>
    <w:rsid w:val="00DD787C"/>
    <w:rsid w:val="00DE083D"/>
    <w:rsid w:val="00DE2041"/>
    <w:rsid w:val="00DE64FB"/>
    <w:rsid w:val="00DF12B4"/>
    <w:rsid w:val="00DF2006"/>
    <w:rsid w:val="00DF244E"/>
    <w:rsid w:val="00DF3270"/>
    <w:rsid w:val="00DF72DA"/>
    <w:rsid w:val="00E028AC"/>
    <w:rsid w:val="00E065CC"/>
    <w:rsid w:val="00E07215"/>
    <w:rsid w:val="00E075BB"/>
    <w:rsid w:val="00E1541C"/>
    <w:rsid w:val="00E17E3C"/>
    <w:rsid w:val="00E25660"/>
    <w:rsid w:val="00E25681"/>
    <w:rsid w:val="00E34930"/>
    <w:rsid w:val="00E34F7B"/>
    <w:rsid w:val="00E36990"/>
    <w:rsid w:val="00E36CDD"/>
    <w:rsid w:val="00E40576"/>
    <w:rsid w:val="00E435E1"/>
    <w:rsid w:val="00E4724D"/>
    <w:rsid w:val="00E47436"/>
    <w:rsid w:val="00E5275E"/>
    <w:rsid w:val="00E55917"/>
    <w:rsid w:val="00E55BE6"/>
    <w:rsid w:val="00E55F97"/>
    <w:rsid w:val="00E618DF"/>
    <w:rsid w:val="00E65762"/>
    <w:rsid w:val="00E66CC7"/>
    <w:rsid w:val="00E67D75"/>
    <w:rsid w:val="00E816DD"/>
    <w:rsid w:val="00E82F2D"/>
    <w:rsid w:val="00E83209"/>
    <w:rsid w:val="00E84A40"/>
    <w:rsid w:val="00E85C7E"/>
    <w:rsid w:val="00E87D6B"/>
    <w:rsid w:val="00E93CCE"/>
    <w:rsid w:val="00EA5B1C"/>
    <w:rsid w:val="00EA5F6F"/>
    <w:rsid w:val="00EA7A11"/>
    <w:rsid w:val="00EB0494"/>
    <w:rsid w:val="00EB598B"/>
    <w:rsid w:val="00EB746A"/>
    <w:rsid w:val="00EC40C7"/>
    <w:rsid w:val="00ED17FF"/>
    <w:rsid w:val="00ED4566"/>
    <w:rsid w:val="00ED6CDA"/>
    <w:rsid w:val="00ED7333"/>
    <w:rsid w:val="00EE3FF0"/>
    <w:rsid w:val="00EE5D44"/>
    <w:rsid w:val="00EE6D4A"/>
    <w:rsid w:val="00EE7B7B"/>
    <w:rsid w:val="00EF1DCF"/>
    <w:rsid w:val="00EF4394"/>
    <w:rsid w:val="00EF69B6"/>
    <w:rsid w:val="00EF7DBC"/>
    <w:rsid w:val="00F03ECC"/>
    <w:rsid w:val="00F15788"/>
    <w:rsid w:val="00F23017"/>
    <w:rsid w:val="00F24642"/>
    <w:rsid w:val="00F32787"/>
    <w:rsid w:val="00F36BCB"/>
    <w:rsid w:val="00F5269A"/>
    <w:rsid w:val="00F53301"/>
    <w:rsid w:val="00F548B7"/>
    <w:rsid w:val="00F60A1F"/>
    <w:rsid w:val="00F6700C"/>
    <w:rsid w:val="00F67840"/>
    <w:rsid w:val="00F72C38"/>
    <w:rsid w:val="00F72E38"/>
    <w:rsid w:val="00F7454A"/>
    <w:rsid w:val="00F74A62"/>
    <w:rsid w:val="00F75857"/>
    <w:rsid w:val="00F7776A"/>
    <w:rsid w:val="00F81A88"/>
    <w:rsid w:val="00F90CF2"/>
    <w:rsid w:val="00F93222"/>
    <w:rsid w:val="00FA24B0"/>
    <w:rsid w:val="00FA5BC8"/>
    <w:rsid w:val="00FA7102"/>
    <w:rsid w:val="00FB14A9"/>
    <w:rsid w:val="00FB4E21"/>
    <w:rsid w:val="00FC143E"/>
    <w:rsid w:val="00FC1D88"/>
    <w:rsid w:val="00FC2E1B"/>
    <w:rsid w:val="00FC2EC5"/>
    <w:rsid w:val="00FC50F0"/>
    <w:rsid w:val="00FC5449"/>
    <w:rsid w:val="00FD1B10"/>
    <w:rsid w:val="00FD1C8C"/>
    <w:rsid w:val="00FD1EA6"/>
    <w:rsid w:val="00FD5598"/>
    <w:rsid w:val="00FD74A0"/>
    <w:rsid w:val="00FD7ECB"/>
    <w:rsid w:val="00FE7299"/>
    <w:rsid w:val="00FE766A"/>
    <w:rsid w:val="00FF02FB"/>
    <w:rsid w:val="00FF0696"/>
    <w:rsid w:val="00FF1188"/>
    <w:rsid w:val="00FF25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4E4F"/>
    <w:pPr>
      <w:keepNext/>
      <w:keepLines/>
      <w:spacing w:before="240"/>
      <w:outlineLvl w:val="0"/>
    </w:pPr>
    <w:rPr>
      <w:rFonts w:asciiTheme="majorHAnsi" w:eastAsiaTheme="majorEastAsia" w:hAnsiTheme="majorHAnsi" w:cstheme="majorBidi"/>
      <w:b/>
      <w:bCs/>
      <w:color w:val="0070C0"/>
      <w:sz w:val="32"/>
      <w:szCs w:val="28"/>
    </w:rPr>
  </w:style>
  <w:style w:type="paragraph" w:styleId="Heading2">
    <w:name w:val="heading 2"/>
    <w:basedOn w:val="Normal"/>
    <w:next w:val="Normal"/>
    <w:link w:val="Heading2Char"/>
    <w:uiPriority w:val="9"/>
    <w:unhideWhenUsed/>
    <w:qFormat/>
    <w:rsid w:val="004776A1"/>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rsid w:val="00D51BE4"/>
    <w:pPr>
      <w:keepNext/>
      <w:keepLines/>
      <w:spacing w:before="200" w:after="0"/>
      <w:outlineLvl w:val="2"/>
    </w:pPr>
    <w:rPr>
      <w:rFonts w:asciiTheme="majorHAnsi" w:eastAsiaTheme="majorEastAsia" w:hAnsiTheme="majorHAnsi" w:cstheme="majorBidi"/>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222"/>
    <w:rPr>
      <w:rFonts w:ascii="Tahoma" w:hAnsi="Tahoma" w:cs="Tahoma"/>
      <w:sz w:val="16"/>
      <w:szCs w:val="16"/>
    </w:rPr>
  </w:style>
  <w:style w:type="paragraph" w:styleId="Header">
    <w:name w:val="header"/>
    <w:basedOn w:val="Normal"/>
    <w:link w:val="HeaderChar"/>
    <w:uiPriority w:val="99"/>
    <w:unhideWhenUsed/>
    <w:rsid w:val="00F93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222"/>
  </w:style>
  <w:style w:type="paragraph" w:styleId="Footer">
    <w:name w:val="footer"/>
    <w:basedOn w:val="Normal"/>
    <w:link w:val="FooterChar"/>
    <w:uiPriority w:val="99"/>
    <w:unhideWhenUsed/>
    <w:rsid w:val="00F93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222"/>
  </w:style>
  <w:style w:type="paragraph" w:styleId="ListParagraph">
    <w:name w:val="List Paragraph"/>
    <w:basedOn w:val="Normal"/>
    <w:uiPriority w:val="34"/>
    <w:qFormat/>
    <w:rsid w:val="005A5BEE"/>
    <w:pPr>
      <w:ind w:left="720"/>
      <w:contextualSpacing/>
    </w:pPr>
  </w:style>
  <w:style w:type="character" w:customStyle="1" w:styleId="Heading1Char">
    <w:name w:val="Heading 1 Char"/>
    <w:basedOn w:val="DefaultParagraphFont"/>
    <w:link w:val="Heading1"/>
    <w:uiPriority w:val="9"/>
    <w:rsid w:val="00CE4E4F"/>
    <w:rPr>
      <w:rFonts w:asciiTheme="majorHAnsi" w:eastAsiaTheme="majorEastAsia" w:hAnsiTheme="majorHAnsi" w:cstheme="majorBidi"/>
      <w:b/>
      <w:bCs/>
      <w:color w:val="0070C0"/>
      <w:sz w:val="32"/>
      <w:szCs w:val="28"/>
    </w:rPr>
  </w:style>
  <w:style w:type="paragraph" w:styleId="TOCHeading">
    <w:name w:val="TOC Heading"/>
    <w:basedOn w:val="Heading1"/>
    <w:next w:val="Normal"/>
    <w:uiPriority w:val="39"/>
    <w:semiHidden/>
    <w:unhideWhenUsed/>
    <w:qFormat/>
    <w:rsid w:val="002E46C7"/>
    <w:pPr>
      <w:outlineLvl w:val="9"/>
    </w:pPr>
    <w:rPr>
      <w:color w:val="535356" w:themeColor="accent1" w:themeShade="BF"/>
      <w:lang w:val="en-US" w:eastAsia="ja-JP"/>
    </w:rPr>
  </w:style>
  <w:style w:type="paragraph" w:styleId="TOC1">
    <w:name w:val="toc 1"/>
    <w:basedOn w:val="Normal"/>
    <w:next w:val="Normal"/>
    <w:autoRedefine/>
    <w:uiPriority w:val="39"/>
    <w:unhideWhenUsed/>
    <w:rsid w:val="002E46C7"/>
    <w:pPr>
      <w:spacing w:after="100"/>
    </w:pPr>
  </w:style>
  <w:style w:type="character" w:styleId="Hyperlink">
    <w:name w:val="Hyperlink"/>
    <w:basedOn w:val="DefaultParagraphFont"/>
    <w:uiPriority w:val="99"/>
    <w:unhideWhenUsed/>
    <w:rsid w:val="002E46C7"/>
    <w:rPr>
      <w:color w:val="67AABF" w:themeColor="hyperlink"/>
      <w:u w:val="single"/>
    </w:rPr>
  </w:style>
  <w:style w:type="character" w:customStyle="1" w:styleId="Heading2Char">
    <w:name w:val="Heading 2 Char"/>
    <w:basedOn w:val="DefaultParagraphFont"/>
    <w:link w:val="Heading2"/>
    <w:uiPriority w:val="9"/>
    <w:rsid w:val="004776A1"/>
    <w:rPr>
      <w:rFonts w:asciiTheme="majorHAnsi" w:eastAsiaTheme="majorEastAsia" w:hAnsiTheme="majorHAnsi" w:cstheme="majorBidi"/>
      <w:b/>
      <w:bCs/>
      <w:color w:val="0070C0"/>
      <w:sz w:val="26"/>
      <w:szCs w:val="26"/>
    </w:rPr>
  </w:style>
  <w:style w:type="character" w:customStyle="1" w:styleId="Heading3Char">
    <w:name w:val="Heading 3 Char"/>
    <w:basedOn w:val="DefaultParagraphFont"/>
    <w:link w:val="Heading3"/>
    <w:uiPriority w:val="9"/>
    <w:rsid w:val="00D51BE4"/>
    <w:rPr>
      <w:rFonts w:asciiTheme="majorHAnsi" w:eastAsiaTheme="majorEastAsia" w:hAnsiTheme="majorHAnsi" w:cstheme="majorBidi"/>
      <w:b/>
      <w:bCs/>
      <w:color w:val="0070C0"/>
    </w:rPr>
  </w:style>
  <w:style w:type="paragraph" w:styleId="TOC2">
    <w:name w:val="toc 2"/>
    <w:basedOn w:val="Normal"/>
    <w:next w:val="Normal"/>
    <w:autoRedefine/>
    <w:uiPriority w:val="39"/>
    <w:unhideWhenUsed/>
    <w:rsid w:val="004F5DF7"/>
    <w:pPr>
      <w:spacing w:after="100"/>
      <w:ind w:left="220"/>
    </w:pPr>
  </w:style>
  <w:style w:type="paragraph" w:styleId="TOC3">
    <w:name w:val="toc 3"/>
    <w:basedOn w:val="Normal"/>
    <w:next w:val="Normal"/>
    <w:autoRedefine/>
    <w:uiPriority w:val="39"/>
    <w:unhideWhenUsed/>
    <w:rsid w:val="004F5DF7"/>
    <w:pPr>
      <w:spacing w:after="100"/>
      <w:ind w:left="440"/>
    </w:pPr>
  </w:style>
  <w:style w:type="table" w:styleId="TableGrid">
    <w:name w:val="Table Grid"/>
    <w:basedOn w:val="TableNormal"/>
    <w:uiPriority w:val="59"/>
    <w:rsid w:val="000B4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830D0"/>
    <w:rPr>
      <w:sz w:val="16"/>
      <w:szCs w:val="16"/>
    </w:rPr>
  </w:style>
  <w:style w:type="paragraph" w:styleId="CommentText">
    <w:name w:val="annotation text"/>
    <w:basedOn w:val="Normal"/>
    <w:link w:val="CommentTextChar"/>
    <w:uiPriority w:val="99"/>
    <w:semiHidden/>
    <w:unhideWhenUsed/>
    <w:rsid w:val="009830D0"/>
    <w:pPr>
      <w:spacing w:line="240" w:lineRule="auto"/>
    </w:pPr>
    <w:rPr>
      <w:sz w:val="20"/>
      <w:szCs w:val="20"/>
    </w:rPr>
  </w:style>
  <w:style w:type="character" w:customStyle="1" w:styleId="CommentTextChar">
    <w:name w:val="Comment Text Char"/>
    <w:basedOn w:val="DefaultParagraphFont"/>
    <w:link w:val="CommentText"/>
    <w:uiPriority w:val="99"/>
    <w:semiHidden/>
    <w:rsid w:val="009830D0"/>
    <w:rPr>
      <w:sz w:val="20"/>
      <w:szCs w:val="20"/>
    </w:rPr>
  </w:style>
  <w:style w:type="paragraph" w:styleId="NoSpacing">
    <w:name w:val="No Spacing"/>
    <w:uiPriority w:val="1"/>
    <w:qFormat/>
    <w:rsid w:val="005B6EF4"/>
    <w:pPr>
      <w:spacing w:after="0" w:line="240" w:lineRule="auto"/>
    </w:pPr>
  </w:style>
  <w:style w:type="character" w:styleId="FollowedHyperlink">
    <w:name w:val="FollowedHyperlink"/>
    <w:basedOn w:val="DefaultParagraphFont"/>
    <w:uiPriority w:val="99"/>
    <w:semiHidden/>
    <w:unhideWhenUsed/>
    <w:rsid w:val="00B358E7"/>
    <w:rPr>
      <w:color w:val="B1B5AB" w:themeColor="followedHyperlink"/>
      <w:u w:val="single"/>
    </w:rPr>
  </w:style>
  <w:style w:type="paragraph" w:styleId="FootnoteText">
    <w:name w:val="footnote text"/>
    <w:basedOn w:val="Normal"/>
    <w:link w:val="FootnoteTextChar"/>
    <w:uiPriority w:val="99"/>
    <w:semiHidden/>
    <w:unhideWhenUsed/>
    <w:rsid w:val="00594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4A8"/>
    <w:rPr>
      <w:sz w:val="20"/>
      <w:szCs w:val="20"/>
    </w:rPr>
  </w:style>
  <w:style w:type="character" w:styleId="FootnoteReference">
    <w:name w:val="footnote reference"/>
    <w:basedOn w:val="DefaultParagraphFont"/>
    <w:uiPriority w:val="99"/>
    <w:semiHidden/>
    <w:unhideWhenUsed/>
    <w:rsid w:val="005944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4E4F"/>
    <w:pPr>
      <w:keepNext/>
      <w:keepLines/>
      <w:spacing w:before="240"/>
      <w:outlineLvl w:val="0"/>
    </w:pPr>
    <w:rPr>
      <w:rFonts w:asciiTheme="majorHAnsi" w:eastAsiaTheme="majorEastAsia" w:hAnsiTheme="majorHAnsi" w:cstheme="majorBidi"/>
      <w:b/>
      <w:bCs/>
      <w:color w:val="0070C0"/>
      <w:sz w:val="32"/>
      <w:szCs w:val="28"/>
    </w:rPr>
  </w:style>
  <w:style w:type="paragraph" w:styleId="Heading2">
    <w:name w:val="heading 2"/>
    <w:basedOn w:val="Normal"/>
    <w:next w:val="Normal"/>
    <w:link w:val="Heading2Char"/>
    <w:uiPriority w:val="9"/>
    <w:unhideWhenUsed/>
    <w:qFormat/>
    <w:rsid w:val="004776A1"/>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rsid w:val="00D51BE4"/>
    <w:pPr>
      <w:keepNext/>
      <w:keepLines/>
      <w:spacing w:before="200" w:after="0"/>
      <w:outlineLvl w:val="2"/>
    </w:pPr>
    <w:rPr>
      <w:rFonts w:asciiTheme="majorHAnsi" w:eastAsiaTheme="majorEastAsia" w:hAnsiTheme="majorHAnsi" w:cstheme="majorBidi"/>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222"/>
    <w:rPr>
      <w:rFonts w:ascii="Tahoma" w:hAnsi="Tahoma" w:cs="Tahoma"/>
      <w:sz w:val="16"/>
      <w:szCs w:val="16"/>
    </w:rPr>
  </w:style>
  <w:style w:type="paragraph" w:styleId="Header">
    <w:name w:val="header"/>
    <w:basedOn w:val="Normal"/>
    <w:link w:val="HeaderChar"/>
    <w:uiPriority w:val="99"/>
    <w:unhideWhenUsed/>
    <w:rsid w:val="00F93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222"/>
  </w:style>
  <w:style w:type="paragraph" w:styleId="Footer">
    <w:name w:val="footer"/>
    <w:basedOn w:val="Normal"/>
    <w:link w:val="FooterChar"/>
    <w:uiPriority w:val="99"/>
    <w:unhideWhenUsed/>
    <w:rsid w:val="00F93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222"/>
  </w:style>
  <w:style w:type="paragraph" w:styleId="ListParagraph">
    <w:name w:val="List Paragraph"/>
    <w:basedOn w:val="Normal"/>
    <w:uiPriority w:val="34"/>
    <w:qFormat/>
    <w:rsid w:val="005A5BEE"/>
    <w:pPr>
      <w:ind w:left="720"/>
      <w:contextualSpacing/>
    </w:pPr>
  </w:style>
  <w:style w:type="character" w:customStyle="1" w:styleId="Heading1Char">
    <w:name w:val="Heading 1 Char"/>
    <w:basedOn w:val="DefaultParagraphFont"/>
    <w:link w:val="Heading1"/>
    <w:uiPriority w:val="9"/>
    <w:rsid w:val="00CE4E4F"/>
    <w:rPr>
      <w:rFonts w:asciiTheme="majorHAnsi" w:eastAsiaTheme="majorEastAsia" w:hAnsiTheme="majorHAnsi" w:cstheme="majorBidi"/>
      <w:b/>
      <w:bCs/>
      <w:color w:val="0070C0"/>
      <w:sz w:val="32"/>
      <w:szCs w:val="28"/>
    </w:rPr>
  </w:style>
  <w:style w:type="paragraph" w:styleId="TOCHeading">
    <w:name w:val="TOC Heading"/>
    <w:basedOn w:val="Heading1"/>
    <w:next w:val="Normal"/>
    <w:uiPriority w:val="39"/>
    <w:semiHidden/>
    <w:unhideWhenUsed/>
    <w:qFormat/>
    <w:rsid w:val="002E46C7"/>
    <w:pPr>
      <w:outlineLvl w:val="9"/>
    </w:pPr>
    <w:rPr>
      <w:color w:val="535356" w:themeColor="accent1" w:themeShade="BF"/>
      <w:lang w:val="en-US" w:eastAsia="ja-JP"/>
    </w:rPr>
  </w:style>
  <w:style w:type="paragraph" w:styleId="TOC1">
    <w:name w:val="toc 1"/>
    <w:basedOn w:val="Normal"/>
    <w:next w:val="Normal"/>
    <w:autoRedefine/>
    <w:uiPriority w:val="39"/>
    <w:unhideWhenUsed/>
    <w:rsid w:val="002E46C7"/>
    <w:pPr>
      <w:spacing w:after="100"/>
    </w:pPr>
  </w:style>
  <w:style w:type="character" w:styleId="Hyperlink">
    <w:name w:val="Hyperlink"/>
    <w:basedOn w:val="DefaultParagraphFont"/>
    <w:uiPriority w:val="99"/>
    <w:unhideWhenUsed/>
    <w:rsid w:val="002E46C7"/>
    <w:rPr>
      <w:color w:val="67AABF" w:themeColor="hyperlink"/>
      <w:u w:val="single"/>
    </w:rPr>
  </w:style>
  <w:style w:type="character" w:customStyle="1" w:styleId="Heading2Char">
    <w:name w:val="Heading 2 Char"/>
    <w:basedOn w:val="DefaultParagraphFont"/>
    <w:link w:val="Heading2"/>
    <w:uiPriority w:val="9"/>
    <w:rsid w:val="004776A1"/>
    <w:rPr>
      <w:rFonts w:asciiTheme="majorHAnsi" w:eastAsiaTheme="majorEastAsia" w:hAnsiTheme="majorHAnsi" w:cstheme="majorBidi"/>
      <w:b/>
      <w:bCs/>
      <w:color w:val="0070C0"/>
      <w:sz w:val="26"/>
      <w:szCs w:val="26"/>
    </w:rPr>
  </w:style>
  <w:style w:type="character" w:customStyle="1" w:styleId="Heading3Char">
    <w:name w:val="Heading 3 Char"/>
    <w:basedOn w:val="DefaultParagraphFont"/>
    <w:link w:val="Heading3"/>
    <w:uiPriority w:val="9"/>
    <w:rsid w:val="00D51BE4"/>
    <w:rPr>
      <w:rFonts w:asciiTheme="majorHAnsi" w:eastAsiaTheme="majorEastAsia" w:hAnsiTheme="majorHAnsi" w:cstheme="majorBidi"/>
      <w:b/>
      <w:bCs/>
      <w:color w:val="0070C0"/>
    </w:rPr>
  </w:style>
  <w:style w:type="paragraph" w:styleId="TOC2">
    <w:name w:val="toc 2"/>
    <w:basedOn w:val="Normal"/>
    <w:next w:val="Normal"/>
    <w:autoRedefine/>
    <w:uiPriority w:val="39"/>
    <w:unhideWhenUsed/>
    <w:rsid w:val="004F5DF7"/>
    <w:pPr>
      <w:spacing w:after="100"/>
      <w:ind w:left="220"/>
    </w:pPr>
  </w:style>
  <w:style w:type="paragraph" w:styleId="TOC3">
    <w:name w:val="toc 3"/>
    <w:basedOn w:val="Normal"/>
    <w:next w:val="Normal"/>
    <w:autoRedefine/>
    <w:uiPriority w:val="39"/>
    <w:unhideWhenUsed/>
    <w:rsid w:val="004F5DF7"/>
    <w:pPr>
      <w:spacing w:after="100"/>
      <w:ind w:left="440"/>
    </w:pPr>
  </w:style>
  <w:style w:type="table" w:styleId="TableGrid">
    <w:name w:val="Table Grid"/>
    <w:basedOn w:val="TableNormal"/>
    <w:uiPriority w:val="59"/>
    <w:rsid w:val="000B4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830D0"/>
    <w:rPr>
      <w:sz w:val="16"/>
      <w:szCs w:val="16"/>
    </w:rPr>
  </w:style>
  <w:style w:type="paragraph" w:styleId="CommentText">
    <w:name w:val="annotation text"/>
    <w:basedOn w:val="Normal"/>
    <w:link w:val="CommentTextChar"/>
    <w:uiPriority w:val="99"/>
    <w:semiHidden/>
    <w:unhideWhenUsed/>
    <w:rsid w:val="009830D0"/>
    <w:pPr>
      <w:spacing w:line="240" w:lineRule="auto"/>
    </w:pPr>
    <w:rPr>
      <w:sz w:val="20"/>
      <w:szCs w:val="20"/>
    </w:rPr>
  </w:style>
  <w:style w:type="character" w:customStyle="1" w:styleId="CommentTextChar">
    <w:name w:val="Comment Text Char"/>
    <w:basedOn w:val="DefaultParagraphFont"/>
    <w:link w:val="CommentText"/>
    <w:uiPriority w:val="99"/>
    <w:semiHidden/>
    <w:rsid w:val="009830D0"/>
    <w:rPr>
      <w:sz w:val="20"/>
      <w:szCs w:val="20"/>
    </w:rPr>
  </w:style>
  <w:style w:type="paragraph" w:styleId="NoSpacing">
    <w:name w:val="No Spacing"/>
    <w:uiPriority w:val="1"/>
    <w:qFormat/>
    <w:rsid w:val="005B6EF4"/>
    <w:pPr>
      <w:spacing w:after="0" w:line="240" w:lineRule="auto"/>
    </w:pPr>
  </w:style>
  <w:style w:type="character" w:styleId="FollowedHyperlink">
    <w:name w:val="FollowedHyperlink"/>
    <w:basedOn w:val="DefaultParagraphFont"/>
    <w:uiPriority w:val="99"/>
    <w:semiHidden/>
    <w:unhideWhenUsed/>
    <w:rsid w:val="00B358E7"/>
    <w:rPr>
      <w:color w:val="B1B5AB" w:themeColor="followedHyperlink"/>
      <w:u w:val="single"/>
    </w:rPr>
  </w:style>
  <w:style w:type="paragraph" w:styleId="FootnoteText">
    <w:name w:val="footnote text"/>
    <w:basedOn w:val="Normal"/>
    <w:link w:val="FootnoteTextChar"/>
    <w:uiPriority w:val="99"/>
    <w:semiHidden/>
    <w:unhideWhenUsed/>
    <w:rsid w:val="00594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4A8"/>
    <w:rPr>
      <w:sz w:val="20"/>
      <w:szCs w:val="20"/>
    </w:rPr>
  </w:style>
  <w:style w:type="character" w:styleId="FootnoteReference">
    <w:name w:val="footnote reference"/>
    <w:basedOn w:val="DefaultParagraphFont"/>
    <w:uiPriority w:val="99"/>
    <w:semiHidden/>
    <w:unhideWhenUsed/>
    <w:rsid w:val="005944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google.com.au/url?sa=t&amp;rct=j&amp;q=&amp;esrc=s&amp;frm=1&amp;source=web&amp;cd=1&amp;ved=0CCwQFjAA&amp;url=http%3A%2F%2Fwww.usaid.gov%2Fdiv&amp;ei=ok-NUo3UD6jziAf62YDoDA&amp;usg=AFQjCNGTw_R1Iinn3OdYGb5h_IsXMJ04Lw&amp;bvm=bv.56988011,d.aG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usaid.gov.au/countries/pacific/fiji/Documents/enterprise-challenge-independent-progress.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www.ifpri.org/publication/investing-agriculture-reduce-poverty-and-hunger"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enterprisechallengefund.org/"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ecfafrica.org/"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google.com.au/url?sa=t&amp;rct=j&amp;q=&amp;esrc=s&amp;frm=1&amp;source=web&amp;cd=2&amp;ved=0CDMQFjAB&amp;url=http%3A%2F%2Fwww.enterprise-development.org%2Fdownload.ashx%3Fid%3D2272&amp;ei=zEKNUui3MYXqiAeL9YDoCg&amp;usg=AFQjCNHxCUBMevCuFKm5oluWEj5vaomXtw&amp;bvm=bv.56643336,d.aGc" TargetMode="External"/><Relationship Id="rId28"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www.google.com.au/url?sa=t&amp;rct=j&amp;q=&amp;esrc=s&amp;frm=1&amp;source=web&amp;cd=2&amp;ved=0CDMQFjAB&amp;url=http%3A%2F%2Fwww.enterprise-development.org%2Fdownload.ashx%3Fid%3D2272&amp;ei=zEKNUui3MYXqiAeL9YDoCg&amp;usg=AFQjCNHxCUBMevCuFKm5oluWEj5vaomXtw&amp;bvm=bv.56643336,d.aGc"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ausaid.gov.au/Publications/Pages/2179_5123_9221_7348_509.aspx"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12701-BFB0-42E8-ABAC-0DF1D95F0CED}"/>
</file>

<file path=customXml/itemProps2.xml><?xml version="1.0" encoding="utf-8"?>
<ds:datastoreItem xmlns:ds="http://schemas.openxmlformats.org/officeDocument/2006/customXml" ds:itemID="{EBC68FDA-0920-420A-9C07-4C868CFCBE66}"/>
</file>

<file path=customXml/itemProps3.xml><?xml version="1.0" encoding="utf-8"?>
<ds:datastoreItem xmlns:ds="http://schemas.openxmlformats.org/officeDocument/2006/customXml" ds:itemID="{84E609DA-2D4B-4B71-A39E-9FCD2D2AC4A4}"/>
</file>

<file path=customXml/itemProps4.xml><?xml version="1.0" encoding="utf-8"?>
<ds:datastoreItem xmlns:ds="http://schemas.openxmlformats.org/officeDocument/2006/customXml" ds:itemID="{BEEEADAC-C48C-490F-8BB0-5B2C5EBE108B}"/>
</file>

<file path=docProps/app.xml><?xml version="1.0" encoding="utf-8"?>
<Properties xmlns="http://schemas.openxmlformats.org/officeDocument/2006/extended-properties" xmlns:vt="http://schemas.openxmlformats.org/officeDocument/2006/docPropsVTypes">
  <Template>Normal.dotm</Template>
  <TotalTime>0</TotalTime>
  <Pages>6</Pages>
  <Words>2524</Words>
  <Characters>14391</Characters>
  <Application>Microsoft Office Word</Application>
  <DocSecurity>0</DocSecurity>
  <Lines>119</Lines>
  <Paragraphs>33</Paragraphs>
  <ScaleCrop>false</ScaleCrop>
  <Company/>
  <LinksUpToDate>false</LinksUpToDate>
  <CharactersWithSpaces>16882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2014-05-05T00:37:00Z</dcterms:created>
  <dcterms:modified xsi:type="dcterms:W3CDTF">2014-05-05T00:37:00Z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7000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