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365B" w:rsidRPr="009201BE" w:rsidRDefault="00B05170">
      <w:pPr>
        <w:pStyle w:val="Title"/>
        <w:ind w:right="-702"/>
        <w:rPr>
          <w:color w:val="AD495D"/>
        </w:rPr>
      </w:pPr>
      <w:r>
        <w:rPr>
          <w:noProof/>
          <w:color w:val="AD495D"/>
          <w:lang w:val="en-US" w:eastAsia="en-US"/>
        </w:rPr>
        <w:drawing>
          <wp:anchor distT="0" distB="0" distL="114300" distR="114300" simplePos="0" relativeHeight="251656192" behindDoc="1" locked="0" layoutInCell="1" allowOverlap="1">
            <wp:simplePos x="0" y="0"/>
            <wp:positionH relativeFrom="page">
              <wp:posOffset>0</wp:posOffset>
            </wp:positionH>
            <wp:positionV relativeFrom="page">
              <wp:posOffset>0</wp:posOffset>
            </wp:positionV>
            <wp:extent cx="7560310" cy="3024505"/>
            <wp:effectExtent l="0" t="0" r="2540" b="4445"/>
            <wp:wrapNone/>
            <wp:docPr id="1214" name="Picture 1198" descr="Australian Government Logo, AusA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8" descr="AusAID_facsheet_A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560310" cy="3024505"/>
                    </a:xfrm>
                    <a:prstGeom prst="rect">
                      <a:avLst/>
                    </a:prstGeom>
                    <a:noFill/>
                    <a:ln>
                      <a:noFill/>
                    </a:ln>
                  </pic:spPr>
                </pic:pic>
              </a:graphicData>
            </a:graphic>
            <wp14:sizeRelH relativeFrom="page">
              <wp14:pctWidth>0</wp14:pctWidth>
            </wp14:sizeRelH>
            <wp14:sizeRelV relativeFrom="page">
              <wp14:pctHeight>0</wp14:pctHeight>
            </wp14:sizeRelV>
          </wp:anchor>
        </w:drawing>
      </w:r>
      <w:r w:rsidR="00E265F3">
        <w:rPr>
          <w:color w:val="AD495D"/>
        </w:rPr>
        <w:t>Timo</w:t>
      </w:r>
      <w:bookmarkStart w:id="0" w:name="_GoBack"/>
      <w:bookmarkEnd w:id="0"/>
      <w:r w:rsidR="00E265F3">
        <w:rPr>
          <w:color w:val="AD495D"/>
        </w:rPr>
        <w:t>r-Leste</w:t>
      </w:r>
      <w:r w:rsidR="0035177E">
        <w:rPr>
          <w:color w:val="AD495D"/>
        </w:rPr>
        <w:t xml:space="preserve"> Development Cooperation Report 2010</w:t>
      </w:r>
    </w:p>
    <w:p w:rsidR="0094365B" w:rsidRPr="009201BE" w:rsidRDefault="00E265F3">
      <w:pPr>
        <w:pStyle w:val="Date"/>
        <w:rPr>
          <w:color w:val="AD495D"/>
        </w:rPr>
      </w:pPr>
      <w:r>
        <w:rPr>
          <w:color w:val="AD495D"/>
        </w:rPr>
        <w:t>May</w:t>
      </w:r>
      <w:r w:rsidR="0035177E">
        <w:rPr>
          <w:color w:val="AD495D"/>
        </w:rPr>
        <w:t xml:space="preserve"> 2011</w:t>
      </w:r>
    </w:p>
    <w:p w:rsidR="00355F20" w:rsidRDefault="00D04DD6" w:rsidP="00355F20">
      <w:pPr>
        <w:pStyle w:val="Heading2"/>
      </w:pPr>
      <w:bookmarkStart w:id="1" w:name="_Toc360972997"/>
      <w:r w:rsidRPr="00BC36DE">
        <w:t>Summary</w:t>
      </w:r>
      <w:bookmarkEnd w:id="1"/>
    </w:p>
    <w:p w:rsidR="008153D9" w:rsidRPr="008153D9" w:rsidRDefault="008153D9">
      <w:pPr>
        <w:pStyle w:val="TOC2"/>
        <w:rPr>
          <w:rFonts w:ascii="Franklin Gothic Demi" w:hAnsi="Franklin Gothic Demi"/>
          <w:color w:val="AD495D"/>
          <w:kern w:val="28"/>
          <w:sz w:val="28"/>
          <w:szCs w:val="28"/>
        </w:rPr>
      </w:pPr>
      <w:r w:rsidRPr="008153D9">
        <w:rPr>
          <w:rFonts w:ascii="Franklin Gothic Demi" w:hAnsi="Franklin Gothic Demi"/>
          <w:color w:val="AD495D"/>
          <w:kern w:val="28"/>
          <w:sz w:val="28"/>
          <w:szCs w:val="28"/>
        </w:rPr>
        <w:t>Table of Contents</w:t>
      </w:r>
    </w:p>
    <w:p w:rsidR="008153D9" w:rsidRDefault="00355F20">
      <w:pPr>
        <w:pStyle w:val="TOC2"/>
        <w:rPr>
          <w:rFonts w:asciiTheme="minorHAnsi" w:eastAsiaTheme="minorEastAsia" w:hAnsiTheme="minorHAnsi" w:cstheme="minorBidi"/>
          <w:noProof/>
          <w:color w:val="auto"/>
          <w:sz w:val="22"/>
          <w:szCs w:val="22"/>
          <w:lang w:val="en-US" w:eastAsia="en-US"/>
        </w:rPr>
      </w:pPr>
      <w:r>
        <w:fldChar w:fldCharType="begin"/>
      </w:r>
      <w:r>
        <w:instrText xml:space="preserve"> TOC \o "1-3" \h \z \t "H3,3" </w:instrText>
      </w:r>
      <w:r>
        <w:fldChar w:fldCharType="separate"/>
      </w:r>
      <w:hyperlink w:anchor="_Toc360972997" w:history="1">
        <w:r w:rsidR="008153D9" w:rsidRPr="006B3474">
          <w:rPr>
            <w:rStyle w:val="Hyperlink"/>
            <w:noProof/>
          </w:rPr>
          <w:t>Summary</w:t>
        </w:r>
        <w:r w:rsidR="008153D9">
          <w:rPr>
            <w:noProof/>
            <w:webHidden/>
          </w:rPr>
          <w:tab/>
        </w:r>
        <w:r w:rsidR="008153D9">
          <w:rPr>
            <w:noProof/>
            <w:webHidden/>
          </w:rPr>
          <w:fldChar w:fldCharType="begin"/>
        </w:r>
        <w:r w:rsidR="008153D9">
          <w:rPr>
            <w:noProof/>
            <w:webHidden/>
          </w:rPr>
          <w:instrText xml:space="preserve"> PAGEREF _Toc360972997 \h </w:instrText>
        </w:r>
        <w:r w:rsidR="008153D9">
          <w:rPr>
            <w:noProof/>
            <w:webHidden/>
          </w:rPr>
        </w:r>
        <w:r w:rsidR="008153D9">
          <w:rPr>
            <w:noProof/>
            <w:webHidden/>
          </w:rPr>
          <w:fldChar w:fldCharType="separate"/>
        </w:r>
        <w:r w:rsidR="008153D9">
          <w:rPr>
            <w:noProof/>
            <w:webHidden/>
          </w:rPr>
          <w:t>1</w:t>
        </w:r>
        <w:r w:rsidR="008153D9">
          <w:rPr>
            <w:noProof/>
            <w:webHidden/>
          </w:rPr>
          <w:fldChar w:fldCharType="end"/>
        </w:r>
      </w:hyperlink>
    </w:p>
    <w:p w:rsidR="008153D9" w:rsidRDefault="00B4714A">
      <w:pPr>
        <w:pStyle w:val="TOC1"/>
        <w:rPr>
          <w:rFonts w:asciiTheme="minorHAnsi" w:eastAsiaTheme="minorEastAsia" w:hAnsiTheme="minorHAnsi" w:cstheme="minorBidi"/>
          <w:noProof/>
          <w:color w:val="auto"/>
          <w:sz w:val="22"/>
          <w:szCs w:val="22"/>
          <w:lang w:val="en-US" w:eastAsia="en-US"/>
        </w:rPr>
      </w:pPr>
      <w:hyperlink w:anchor="_Toc360972998" w:history="1">
        <w:r w:rsidR="008153D9" w:rsidRPr="006B3474">
          <w:rPr>
            <w:rStyle w:val="Hyperlink"/>
            <w:noProof/>
          </w:rPr>
          <w:t>Context</w:t>
        </w:r>
        <w:r w:rsidR="008153D9">
          <w:rPr>
            <w:noProof/>
            <w:webHidden/>
          </w:rPr>
          <w:tab/>
        </w:r>
        <w:r w:rsidR="008153D9">
          <w:rPr>
            <w:noProof/>
            <w:webHidden/>
          </w:rPr>
          <w:fldChar w:fldCharType="begin"/>
        </w:r>
        <w:r w:rsidR="008153D9">
          <w:rPr>
            <w:noProof/>
            <w:webHidden/>
          </w:rPr>
          <w:instrText xml:space="preserve"> PAGEREF _Toc360972998 \h </w:instrText>
        </w:r>
        <w:r w:rsidR="008153D9">
          <w:rPr>
            <w:noProof/>
            <w:webHidden/>
          </w:rPr>
        </w:r>
        <w:r w:rsidR="008153D9">
          <w:rPr>
            <w:noProof/>
            <w:webHidden/>
          </w:rPr>
          <w:fldChar w:fldCharType="separate"/>
        </w:r>
        <w:r w:rsidR="008153D9">
          <w:rPr>
            <w:noProof/>
            <w:webHidden/>
          </w:rPr>
          <w:t>3</w:t>
        </w:r>
        <w:r w:rsidR="008153D9">
          <w:rPr>
            <w:noProof/>
            <w:webHidden/>
          </w:rPr>
          <w:fldChar w:fldCharType="end"/>
        </w:r>
      </w:hyperlink>
    </w:p>
    <w:p w:rsidR="008153D9" w:rsidRDefault="00B4714A">
      <w:pPr>
        <w:pStyle w:val="TOC2"/>
        <w:rPr>
          <w:rFonts w:asciiTheme="minorHAnsi" w:eastAsiaTheme="minorEastAsia" w:hAnsiTheme="minorHAnsi" w:cstheme="minorBidi"/>
          <w:noProof/>
          <w:color w:val="auto"/>
          <w:sz w:val="22"/>
          <w:szCs w:val="22"/>
          <w:lang w:val="en-US" w:eastAsia="en-US"/>
        </w:rPr>
      </w:pPr>
      <w:hyperlink w:anchor="_Toc360972999" w:history="1">
        <w:r w:rsidR="008153D9" w:rsidRPr="006B3474">
          <w:rPr>
            <w:rStyle w:val="Hyperlink"/>
            <w:noProof/>
          </w:rPr>
          <w:t>Expenditure</w:t>
        </w:r>
        <w:r w:rsidR="008153D9">
          <w:rPr>
            <w:noProof/>
            <w:webHidden/>
          </w:rPr>
          <w:tab/>
        </w:r>
        <w:r w:rsidR="008153D9">
          <w:rPr>
            <w:noProof/>
            <w:webHidden/>
          </w:rPr>
          <w:fldChar w:fldCharType="begin"/>
        </w:r>
        <w:r w:rsidR="008153D9">
          <w:rPr>
            <w:noProof/>
            <w:webHidden/>
          </w:rPr>
          <w:instrText xml:space="preserve"> PAGEREF _Toc360972999 \h </w:instrText>
        </w:r>
        <w:r w:rsidR="008153D9">
          <w:rPr>
            <w:noProof/>
            <w:webHidden/>
          </w:rPr>
        </w:r>
        <w:r w:rsidR="008153D9">
          <w:rPr>
            <w:noProof/>
            <w:webHidden/>
          </w:rPr>
          <w:fldChar w:fldCharType="separate"/>
        </w:r>
        <w:r w:rsidR="008153D9">
          <w:rPr>
            <w:noProof/>
            <w:webHidden/>
          </w:rPr>
          <w:t>6</w:t>
        </w:r>
        <w:r w:rsidR="008153D9">
          <w:rPr>
            <w:noProof/>
            <w:webHidden/>
          </w:rPr>
          <w:fldChar w:fldCharType="end"/>
        </w:r>
      </w:hyperlink>
    </w:p>
    <w:p w:rsidR="008153D9" w:rsidRDefault="00B4714A">
      <w:pPr>
        <w:pStyle w:val="TOC1"/>
        <w:rPr>
          <w:rFonts w:asciiTheme="minorHAnsi" w:eastAsiaTheme="minorEastAsia" w:hAnsiTheme="minorHAnsi" w:cstheme="minorBidi"/>
          <w:noProof/>
          <w:color w:val="auto"/>
          <w:sz w:val="22"/>
          <w:szCs w:val="22"/>
          <w:lang w:val="en-US" w:eastAsia="en-US"/>
        </w:rPr>
      </w:pPr>
      <w:hyperlink w:anchor="_Toc360973000" w:history="1">
        <w:r w:rsidR="008153D9" w:rsidRPr="006B3474">
          <w:rPr>
            <w:rStyle w:val="Hyperlink"/>
            <w:noProof/>
          </w:rPr>
          <w:t>Progress against objectives</w:t>
        </w:r>
        <w:r w:rsidR="008153D9">
          <w:rPr>
            <w:noProof/>
            <w:webHidden/>
          </w:rPr>
          <w:tab/>
        </w:r>
        <w:r w:rsidR="008153D9">
          <w:rPr>
            <w:noProof/>
            <w:webHidden/>
          </w:rPr>
          <w:fldChar w:fldCharType="begin"/>
        </w:r>
        <w:r w:rsidR="008153D9">
          <w:rPr>
            <w:noProof/>
            <w:webHidden/>
          </w:rPr>
          <w:instrText xml:space="preserve"> PAGEREF _Toc360973000 \h </w:instrText>
        </w:r>
        <w:r w:rsidR="008153D9">
          <w:rPr>
            <w:noProof/>
            <w:webHidden/>
          </w:rPr>
        </w:r>
        <w:r w:rsidR="008153D9">
          <w:rPr>
            <w:noProof/>
            <w:webHidden/>
          </w:rPr>
          <w:fldChar w:fldCharType="separate"/>
        </w:r>
        <w:r w:rsidR="008153D9">
          <w:rPr>
            <w:noProof/>
            <w:webHidden/>
          </w:rPr>
          <w:t>6</w:t>
        </w:r>
        <w:r w:rsidR="008153D9">
          <w:rPr>
            <w:noProof/>
            <w:webHidden/>
          </w:rPr>
          <w:fldChar w:fldCharType="end"/>
        </w:r>
      </w:hyperlink>
    </w:p>
    <w:p w:rsidR="008153D9" w:rsidRDefault="00B4714A">
      <w:pPr>
        <w:pStyle w:val="TOC2"/>
        <w:rPr>
          <w:rFonts w:asciiTheme="minorHAnsi" w:eastAsiaTheme="minorEastAsia" w:hAnsiTheme="minorHAnsi" w:cstheme="minorBidi"/>
          <w:noProof/>
          <w:color w:val="auto"/>
          <w:sz w:val="22"/>
          <w:szCs w:val="22"/>
          <w:lang w:val="en-US" w:eastAsia="en-US"/>
        </w:rPr>
      </w:pPr>
      <w:hyperlink w:anchor="_Toc360973001" w:history="1">
        <w:r w:rsidR="008153D9" w:rsidRPr="006B3474">
          <w:rPr>
            <w:rStyle w:val="Hyperlink"/>
            <w:noProof/>
          </w:rPr>
          <w:t>Sector: Health</w:t>
        </w:r>
        <w:r w:rsidR="008153D9">
          <w:rPr>
            <w:noProof/>
            <w:webHidden/>
          </w:rPr>
          <w:tab/>
        </w:r>
        <w:r w:rsidR="008153D9">
          <w:rPr>
            <w:noProof/>
            <w:webHidden/>
          </w:rPr>
          <w:fldChar w:fldCharType="begin"/>
        </w:r>
        <w:r w:rsidR="008153D9">
          <w:rPr>
            <w:noProof/>
            <w:webHidden/>
          </w:rPr>
          <w:instrText xml:space="preserve"> PAGEREF _Toc360973001 \h </w:instrText>
        </w:r>
        <w:r w:rsidR="008153D9">
          <w:rPr>
            <w:noProof/>
            <w:webHidden/>
          </w:rPr>
        </w:r>
        <w:r w:rsidR="008153D9">
          <w:rPr>
            <w:noProof/>
            <w:webHidden/>
          </w:rPr>
          <w:fldChar w:fldCharType="separate"/>
        </w:r>
        <w:r w:rsidR="008153D9">
          <w:rPr>
            <w:noProof/>
            <w:webHidden/>
          </w:rPr>
          <w:t>8</w:t>
        </w:r>
        <w:r w:rsidR="008153D9">
          <w:rPr>
            <w:noProof/>
            <w:webHidden/>
          </w:rPr>
          <w:fldChar w:fldCharType="end"/>
        </w:r>
      </w:hyperlink>
    </w:p>
    <w:p w:rsidR="008153D9" w:rsidRDefault="00B4714A">
      <w:pPr>
        <w:pStyle w:val="TOC3"/>
        <w:rPr>
          <w:rFonts w:asciiTheme="minorHAnsi" w:eastAsiaTheme="minorEastAsia" w:hAnsiTheme="minorHAnsi" w:cstheme="minorBidi"/>
          <w:noProof/>
          <w:sz w:val="22"/>
          <w:szCs w:val="22"/>
          <w:lang w:val="en-US" w:eastAsia="en-US"/>
        </w:rPr>
      </w:pPr>
      <w:hyperlink w:anchor="_Toc360973002" w:history="1">
        <w:r w:rsidR="008153D9" w:rsidRPr="006B3474">
          <w:rPr>
            <w:rStyle w:val="Hyperlink"/>
            <w:noProof/>
          </w:rPr>
          <w:t>Sector context</w:t>
        </w:r>
        <w:r w:rsidR="008153D9">
          <w:rPr>
            <w:noProof/>
            <w:webHidden/>
          </w:rPr>
          <w:tab/>
        </w:r>
        <w:r w:rsidR="008153D9">
          <w:rPr>
            <w:noProof/>
            <w:webHidden/>
          </w:rPr>
          <w:fldChar w:fldCharType="begin"/>
        </w:r>
        <w:r w:rsidR="008153D9">
          <w:rPr>
            <w:noProof/>
            <w:webHidden/>
          </w:rPr>
          <w:instrText xml:space="preserve"> PAGEREF _Toc360973002 \h </w:instrText>
        </w:r>
        <w:r w:rsidR="008153D9">
          <w:rPr>
            <w:noProof/>
            <w:webHidden/>
          </w:rPr>
        </w:r>
        <w:r w:rsidR="008153D9">
          <w:rPr>
            <w:noProof/>
            <w:webHidden/>
          </w:rPr>
          <w:fldChar w:fldCharType="separate"/>
        </w:r>
        <w:r w:rsidR="008153D9">
          <w:rPr>
            <w:noProof/>
            <w:webHidden/>
          </w:rPr>
          <w:t>8</w:t>
        </w:r>
        <w:r w:rsidR="008153D9">
          <w:rPr>
            <w:noProof/>
            <w:webHidden/>
          </w:rPr>
          <w:fldChar w:fldCharType="end"/>
        </w:r>
      </w:hyperlink>
    </w:p>
    <w:p w:rsidR="008153D9" w:rsidRDefault="00B4714A">
      <w:pPr>
        <w:pStyle w:val="TOC2"/>
        <w:rPr>
          <w:rFonts w:asciiTheme="minorHAnsi" w:eastAsiaTheme="minorEastAsia" w:hAnsiTheme="minorHAnsi" w:cstheme="minorBidi"/>
          <w:noProof/>
          <w:color w:val="auto"/>
          <w:sz w:val="22"/>
          <w:szCs w:val="22"/>
          <w:lang w:val="en-US" w:eastAsia="en-US"/>
        </w:rPr>
      </w:pPr>
      <w:hyperlink w:anchor="_Toc360973003" w:history="1">
        <w:r w:rsidR="008153D9" w:rsidRPr="006B3474">
          <w:rPr>
            <w:rStyle w:val="Hyperlink"/>
            <w:noProof/>
          </w:rPr>
          <w:t>Sector: Education and youth employment</w:t>
        </w:r>
        <w:r w:rsidR="008153D9">
          <w:rPr>
            <w:noProof/>
            <w:webHidden/>
          </w:rPr>
          <w:tab/>
        </w:r>
        <w:r w:rsidR="008153D9">
          <w:rPr>
            <w:noProof/>
            <w:webHidden/>
          </w:rPr>
          <w:fldChar w:fldCharType="begin"/>
        </w:r>
        <w:r w:rsidR="008153D9">
          <w:rPr>
            <w:noProof/>
            <w:webHidden/>
          </w:rPr>
          <w:instrText xml:space="preserve"> PAGEREF _Toc360973003 \h </w:instrText>
        </w:r>
        <w:r w:rsidR="008153D9">
          <w:rPr>
            <w:noProof/>
            <w:webHidden/>
          </w:rPr>
        </w:r>
        <w:r w:rsidR="008153D9">
          <w:rPr>
            <w:noProof/>
            <w:webHidden/>
          </w:rPr>
          <w:fldChar w:fldCharType="separate"/>
        </w:r>
        <w:r w:rsidR="008153D9">
          <w:rPr>
            <w:noProof/>
            <w:webHidden/>
          </w:rPr>
          <w:t>12</w:t>
        </w:r>
        <w:r w:rsidR="008153D9">
          <w:rPr>
            <w:noProof/>
            <w:webHidden/>
          </w:rPr>
          <w:fldChar w:fldCharType="end"/>
        </w:r>
      </w:hyperlink>
    </w:p>
    <w:p w:rsidR="008153D9" w:rsidRDefault="00B4714A">
      <w:pPr>
        <w:pStyle w:val="TOC3"/>
        <w:rPr>
          <w:rFonts w:asciiTheme="minorHAnsi" w:eastAsiaTheme="minorEastAsia" w:hAnsiTheme="minorHAnsi" w:cstheme="minorBidi"/>
          <w:noProof/>
          <w:sz w:val="22"/>
          <w:szCs w:val="22"/>
          <w:lang w:val="en-US" w:eastAsia="en-US"/>
        </w:rPr>
      </w:pPr>
      <w:hyperlink w:anchor="_Toc360973004" w:history="1">
        <w:r w:rsidR="008153D9" w:rsidRPr="006B3474">
          <w:rPr>
            <w:rStyle w:val="Hyperlink"/>
            <w:noProof/>
          </w:rPr>
          <w:t>Sector context</w:t>
        </w:r>
        <w:r w:rsidR="008153D9">
          <w:rPr>
            <w:noProof/>
            <w:webHidden/>
          </w:rPr>
          <w:tab/>
        </w:r>
        <w:r w:rsidR="008153D9">
          <w:rPr>
            <w:noProof/>
            <w:webHidden/>
          </w:rPr>
          <w:fldChar w:fldCharType="begin"/>
        </w:r>
        <w:r w:rsidR="008153D9">
          <w:rPr>
            <w:noProof/>
            <w:webHidden/>
          </w:rPr>
          <w:instrText xml:space="preserve"> PAGEREF _Toc360973004 \h </w:instrText>
        </w:r>
        <w:r w:rsidR="008153D9">
          <w:rPr>
            <w:noProof/>
            <w:webHidden/>
          </w:rPr>
        </w:r>
        <w:r w:rsidR="008153D9">
          <w:rPr>
            <w:noProof/>
            <w:webHidden/>
          </w:rPr>
          <w:fldChar w:fldCharType="separate"/>
        </w:r>
        <w:r w:rsidR="008153D9">
          <w:rPr>
            <w:noProof/>
            <w:webHidden/>
          </w:rPr>
          <w:t>12</w:t>
        </w:r>
        <w:r w:rsidR="008153D9">
          <w:rPr>
            <w:noProof/>
            <w:webHidden/>
          </w:rPr>
          <w:fldChar w:fldCharType="end"/>
        </w:r>
      </w:hyperlink>
    </w:p>
    <w:p w:rsidR="008153D9" w:rsidRDefault="00B4714A">
      <w:pPr>
        <w:pStyle w:val="TOC3"/>
        <w:rPr>
          <w:rFonts w:asciiTheme="minorHAnsi" w:eastAsiaTheme="minorEastAsia" w:hAnsiTheme="minorHAnsi" w:cstheme="minorBidi"/>
          <w:noProof/>
          <w:sz w:val="22"/>
          <w:szCs w:val="22"/>
          <w:lang w:val="en-US" w:eastAsia="en-US"/>
        </w:rPr>
      </w:pPr>
      <w:hyperlink w:anchor="_Toc360973005" w:history="1">
        <w:r w:rsidR="008153D9" w:rsidRPr="006B3474">
          <w:rPr>
            <w:rStyle w:val="Hyperlink"/>
            <w:noProof/>
          </w:rPr>
          <w:t>Shared progress</w:t>
        </w:r>
        <w:r w:rsidR="008153D9">
          <w:rPr>
            <w:noProof/>
            <w:webHidden/>
          </w:rPr>
          <w:tab/>
        </w:r>
        <w:r w:rsidR="008153D9">
          <w:rPr>
            <w:noProof/>
            <w:webHidden/>
          </w:rPr>
          <w:fldChar w:fldCharType="begin"/>
        </w:r>
        <w:r w:rsidR="008153D9">
          <w:rPr>
            <w:noProof/>
            <w:webHidden/>
          </w:rPr>
          <w:instrText xml:space="preserve"> PAGEREF _Toc360973005 \h </w:instrText>
        </w:r>
        <w:r w:rsidR="008153D9">
          <w:rPr>
            <w:noProof/>
            <w:webHidden/>
          </w:rPr>
        </w:r>
        <w:r w:rsidR="008153D9">
          <w:rPr>
            <w:noProof/>
            <w:webHidden/>
          </w:rPr>
          <w:fldChar w:fldCharType="separate"/>
        </w:r>
        <w:r w:rsidR="008153D9">
          <w:rPr>
            <w:noProof/>
            <w:webHidden/>
          </w:rPr>
          <w:t>12</w:t>
        </w:r>
        <w:r w:rsidR="008153D9">
          <w:rPr>
            <w:noProof/>
            <w:webHidden/>
          </w:rPr>
          <w:fldChar w:fldCharType="end"/>
        </w:r>
      </w:hyperlink>
    </w:p>
    <w:p w:rsidR="008153D9" w:rsidRDefault="00B4714A">
      <w:pPr>
        <w:pStyle w:val="TOC3"/>
        <w:rPr>
          <w:rFonts w:asciiTheme="minorHAnsi" w:eastAsiaTheme="minorEastAsia" w:hAnsiTheme="minorHAnsi" w:cstheme="minorBidi"/>
          <w:noProof/>
          <w:sz w:val="22"/>
          <w:szCs w:val="22"/>
          <w:lang w:val="en-US" w:eastAsia="en-US"/>
        </w:rPr>
      </w:pPr>
      <w:hyperlink w:anchor="_Toc360973006" w:history="1">
        <w:r w:rsidR="008153D9" w:rsidRPr="006B3474">
          <w:rPr>
            <w:rStyle w:val="Hyperlink"/>
            <w:noProof/>
          </w:rPr>
          <w:t>Management consequences</w:t>
        </w:r>
        <w:r w:rsidR="008153D9">
          <w:rPr>
            <w:noProof/>
            <w:webHidden/>
          </w:rPr>
          <w:tab/>
        </w:r>
        <w:r w:rsidR="008153D9">
          <w:rPr>
            <w:noProof/>
            <w:webHidden/>
          </w:rPr>
          <w:fldChar w:fldCharType="begin"/>
        </w:r>
        <w:r w:rsidR="008153D9">
          <w:rPr>
            <w:noProof/>
            <w:webHidden/>
          </w:rPr>
          <w:instrText xml:space="preserve"> PAGEREF _Toc360973006 \h </w:instrText>
        </w:r>
        <w:r w:rsidR="008153D9">
          <w:rPr>
            <w:noProof/>
            <w:webHidden/>
          </w:rPr>
        </w:r>
        <w:r w:rsidR="008153D9">
          <w:rPr>
            <w:noProof/>
            <w:webHidden/>
          </w:rPr>
          <w:fldChar w:fldCharType="separate"/>
        </w:r>
        <w:r w:rsidR="008153D9">
          <w:rPr>
            <w:noProof/>
            <w:webHidden/>
          </w:rPr>
          <w:t>14</w:t>
        </w:r>
        <w:r w:rsidR="008153D9">
          <w:rPr>
            <w:noProof/>
            <w:webHidden/>
          </w:rPr>
          <w:fldChar w:fldCharType="end"/>
        </w:r>
      </w:hyperlink>
    </w:p>
    <w:p w:rsidR="008153D9" w:rsidRDefault="00B4714A">
      <w:pPr>
        <w:pStyle w:val="TOC2"/>
        <w:rPr>
          <w:rFonts w:asciiTheme="minorHAnsi" w:eastAsiaTheme="minorEastAsia" w:hAnsiTheme="minorHAnsi" w:cstheme="minorBidi"/>
          <w:noProof/>
          <w:color w:val="auto"/>
          <w:sz w:val="22"/>
          <w:szCs w:val="22"/>
          <w:lang w:val="en-US" w:eastAsia="en-US"/>
        </w:rPr>
      </w:pPr>
      <w:hyperlink w:anchor="_Toc360973007" w:history="1">
        <w:r w:rsidR="008153D9" w:rsidRPr="006B3474">
          <w:rPr>
            <w:rStyle w:val="Hyperlink"/>
            <w:noProof/>
          </w:rPr>
          <w:t>Sector: Rural water, sanitation and hygiene behaviour change</w:t>
        </w:r>
        <w:r w:rsidR="008153D9">
          <w:rPr>
            <w:noProof/>
            <w:webHidden/>
          </w:rPr>
          <w:tab/>
        </w:r>
        <w:r w:rsidR="008153D9">
          <w:rPr>
            <w:noProof/>
            <w:webHidden/>
          </w:rPr>
          <w:fldChar w:fldCharType="begin"/>
        </w:r>
        <w:r w:rsidR="008153D9">
          <w:rPr>
            <w:noProof/>
            <w:webHidden/>
          </w:rPr>
          <w:instrText xml:space="preserve"> PAGEREF _Toc360973007 \h </w:instrText>
        </w:r>
        <w:r w:rsidR="008153D9">
          <w:rPr>
            <w:noProof/>
            <w:webHidden/>
          </w:rPr>
        </w:r>
        <w:r w:rsidR="008153D9">
          <w:rPr>
            <w:noProof/>
            <w:webHidden/>
          </w:rPr>
          <w:fldChar w:fldCharType="separate"/>
        </w:r>
        <w:r w:rsidR="008153D9">
          <w:rPr>
            <w:noProof/>
            <w:webHidden/>
          </w:rPr>
          <w:t>14</w:t>
        </w:r>
        <w:r w:rsidR="008153D9">
          <w:rPr>
            <w:noProof/>
            <w:webHidden/>
          </w:rPr>
          <w:fldChar w:fldCharType="end"/>
        </w:r>
      </w:hyperlink>
    </w:p>
    <w:p w:rsidR="008153D9" w:rsidRDefault="00B4714A">
      <w:pPr>
        <w:pStyle w:val="TOC3"/>
        <w:rPr>
          <w:rFonts w:asciiTheme="minorHAnsi" w:eastAsiaTheme="minorEastAsia" w:hAnsiTheme="minorHAnsi" w:cstheme="minorBidi"/>
          <w:noProof/>
          <w:sz w:val="22"/>
          <w:szCs w:val="22"/>
          <w:lang w:val="en-US" w:eastAsia="en-US"/>
        </w:rPr>
      </w:pPr>
      <w:hyperlink w:anchor="_Toc360973008" w:history="1">
        <w:r w:rsidR="008153D9" w:rsidRPr="006B3474">
          <w:rPr>
            <w:rStyle w:val="Hyperlink"/>
            <w:noProof/>
          </w:rPr>
          <w:t>Sector context</w:t>
        </w:r>
        <w:r w:rsidR="008153D9">
          <w:rPr>
            <w:noProof/>
            <w:webHidden/>
          </w:rPr>
          <w:tab/>
        </w:r>
        <w:r w:rsidR="008153D9">
          <w:rPr>
            <w:noProof/>
            <w:webHidden/>
          </w:rPr>
          <w:fldChar w:fldCharType="begin"/>
        </w:r>
        <w:r w:rsidR="008153D9">
          <w:rPr>
            <w:noProof/>
            <w:webHidden/>
          </w:rPr>
          <w:instrText xml:space="preserve"> PAGEREF _Toc360973008 \h </w:instrText>
        </w:r>
        <w:r w:rsidR="008153D9">
          <w:rPr>
            <w:noProof/>
            <w:webHidden/>
          </w:rPr>
        </w:r>
        <w:r w:rsidR="008153D9">
          <w:rPr>
            <w:noProof/>
            <w:webHidden/>
          </w:rPr>
          <w:fldChar w:fldCharType="separate"/>
        </w:r>
        <w:r w:rsidR="008153D9">
          <w:rPr>
            <w:noProof/>
            <w:webHidden/>
          </w:rPr>
          <w:t>14</w:t>
        </w:r>
        <w:r w:rsidR="008153D9">
          <w:rPr>
            <w:noProof/>
            <w:webHidden/>
          </w:rPr>
          <w:fldChar w:fldCharType="end"/>
        </w:r>
      </w:hyperlink>
    </w:p>
    <w:p w:rsidR="008153D9" w:rsidRDefault="00B4714A">
      <w:pPr>
        <w:pStyle w:val="TOC3"/>
        <w:rPr>
          <w:rFonts w:asciiTheme="minorHAnsi" w:eastAsiaTheme="minorEastAsia" w:hAnsiTheme="minorHAnsi" w:cstheme="minorBidi"/>
          <w:noProof/>
          <w:sz w:val="22"/>
          <w:szCs w:val="22"/>
          <w:lang w:val="en-US" w:eastAsia="en-US"/>
        </w:rPr>
      </w:pPr>
      <w:hyperlink w:anchor="_Toc360973009" w:history="1">
        <w:r w:rsidR="008153D9" w:rsidRPr="006B3474">
          <w:rPr>
            <w:rStyle w:val="Hyperlink"/>
            <w:noProof/>
          </w:rPr>
          <w:t>Shared progress</w:t>
        </w:r>
        <w:r w:rsidR="008153D9">
          <w:rPr>
            <w:noProof/>
            <w:webHidden/>
          </w:rPr>
          <w:tab/>
        </w:r>
        <w:r w:rsidR="008153D9">
          <w:rPr>
            <w:noProof/>
            <w:webHidden/>
          </w:rPr>
          <w:fldChar w:fldCharType="begin"/>
        </w:r>
        <w:r w:rsidR="008153D9">
          <w:rPr>
            <w:noProof/>
            <w:webHidden/>
          </w:rPr>
          <w:instrText xml:space="preserve"> PAGEREF _Toc360973009 \h </w:instrText>
        </w:r>
        <w:r w:rsidR="008153D9">
          <w:rPr>
            <w:noProof/>
            <w:webHidden/>
          </w:rPr>
        </w:r>
        <w:r w:rsidR="008153D9">
          <w:rPr>
            <w:noProof/>
            <w:webHidden/>
          </w:rPr>
          <w:fldChar w:fldCharType="separate"/>
        </w:r>
        <w:r w:rsidR="008153D9">
          <w:rPr>
            <w:noProof/>
            <w:webHidden/>
          </w:rPr>
          <w:t>15</w:t>
        </w:r>
        <w:r w:rsidR="008153D9">
          <w:rPr>
            <w:noProof/>
            <w:webHidden/>
          </w:rPr>
          <w:fldChar w:fldCharType="end"/>
        </w:r>
      </w:hyperlink>
    </w:p>
    <w:p w:rsidR="008153D9" w:rsidRDefault="00B4714A">
      <w:pPr>
        <w:pStyle w:val="TOC3"/>
        <w:rPr>
          <w:rFonts w:asciiTheme="minorHAnsi" w:eastAsiaTheme="minorEastAsia" w:hAnsiTheme="minorHAnsi" w:cstheme="minorBidi"/>
          <w:noProof/>
          <w:sz w:val="22"/>
          <w:szCs w:val="22"/>
          <w:lang w:val="en-US" w:eastAsia="en-US"/>
        </w:rPr>
      </w:pPr>
      <w:hyperlink w:anchor="_Toc360973010" w:history="1">
        <w:r w:rsidR="008153D9" w:rsidRPr="006B3474">
          <w:rPr>
            <w:rStyle w:val="Hyperlink"/>
            <w:noProof/>
          </w:rPr>
          <w:t>Management consequences</w:t>
        </w:r>
        <w:r w:rsidR="008153D9">
          <w:rPr>
            <w:noProof/>
            <w:webHidden/>
          </w:rPr>
          <w:tab/>
        </w:r>
        <w:r w:rsidR="008153D9">
          <w:rPr>
            <w:noProof/>
            <w:webHidden/>
          </w:rPr>
          <w:fldChar w:fldCharType="begin"/>
        </w:r>
        <w:r w:rsidR="008153D9">
          <w:rPr>
            <w:noProof/>
            <w:webHidden/>
          </w:rPr>
          <w:instrText xml:space="preserve"> PAGEREF _Toc360973010 \h </w:instrText>
        </w:r>
        <w:r w:rsidR="008153D9">
          <w:rPr>
            <w:noProof/>
            <w:webHidden/>
          </w:rPr>
        </w:r>
        <w:r w:rsidR="008153D9">
          <w:rPr>
            <w:noProof/>
            <w:webHidden/>
          </w:rPr>
          <w:fldChar w:fldCharType="separate"/>
        </w:r>
        <w:r w:rsidR="008153D9">
          <w:rPr>
            <w:noProof/>
            <w:webHidden/>
          </w:rPr>
          <w:t>16</w:t>
        </w:r>
        <w:r w:rsidR="008153D9">
          <w:rPr>
            <w:noProof/>
            <w:webHidden/>
          </w:rPr>
          <w:fldChar w:fldCharType="end"/>
        </w:r>
      </w:hyperlink>
    </w:p>
    <w:p w:rsidR="008153D9" w:rsidRDefault="00B4714A">
      <w:pPr>
        <w:pStyle w:val="TOC2"/>
        <w:rPr>
          <w:rFonts w:asciiTheme="minorHAnsi" w:eastAsiaTheme="minorEastAsia" w:hAnsiTheme="minorHAnsi" w:cstheme="minorBidi"/>
          <w:noProof/>
          <w:color w:val="auto"/>
          <w:sz w:val="22"/>
          <w:szCs w:val="22"/>
          <w:lang w:val="en-US" w:eastAsia="en-US"/>
        </w:rPr>
      </w:pPr>
      <w:hyperlink w:anchor="_Toc360973011" w:history="1">
        <w:r w:rsidR="008153D9" w:rsidRPr="006B3474">
          <w:rPr>
            <w:rStyle w:val="Hyperlink"/>
            <w:noProof/>
          </w:rPr>
          <w:t>Sector: Infrastructure</w:t>
        </w:r>
        <w:r w:rsidR="008153D9">
          <w:rPr>
            <w:noProof/>
            <w:webHidden/>
          </w:rPr>
          <w:tab/>
        </w:r>
        <w:r w:rsidR="008153D9">
          <w:rPr>
            <w:noProof/>
            <w:webHidden/>
          </w:rPr>
          <w:fldChar w:fldCharType="begin"/>
        </w:r>
        <w:r w:rsidR="008153D9">
          <w:rPr>
            <w:noProof/>
            <w:webHidden/>
          </w:rPr>
          <w:instrText xml:space="preserve"> PAGEREF _Toc360973011 \h </w:instrText>
        </w:r>
        <w:r w:rsidR="008153D9">
          <w:rPr>
            <w:noProof/>
            <w:webHidden/>
          </w:rPr>
        </w:r>
        <w:r w:rsidR="008153D9">
          <w:rPr>
            <w:noProof/>
            <w:webHidden/>
          </w:rPr>
          <w:fldChar w:fldCharType="separate"/>
        </w:r>
        <w:r w:rsidR="008153D9">
          <w:rPr>
            <w:noProof/>
            <w:webHidden/>
          </w:rPr>
          <w:t>17</w:t>
        </w:r>
        <w:r w:rsidR="008153D9">
          <w:rPr>
            <w:noProof/>
            <w:webHidden/>
          </w:rPr>
          <w:fldChar w:fldCharType="end"/>
        </w:r>
      </w:hyperlink>
    </w:p>
    <w:p w:rsidR="008153D9" w:rsidRDefault="00B4714A">
      <w:pPr>
        <w:pStyle w:val="TOC3"/>
        <w:rPr>
          <w:rFonts w:asciiTheme="minorHAnsi" w:eastAsiaTheme="minorEastAsia" w:hAnsiTheme="minorHAnsi" w:cstheme="minorBidi"/>
          <w:noProof/>
          <w:sz w:val="22"/>
          <w:szCs w:val="22"/>
          <w:lang w:val="en-US" w:eastAsia="en-US"/>
        </w:rPr>
      </w:pPr>
      <w:hyperlink w:anchor="_Toc360973012" w:history="1">
        <w:r w:rsidR="008153D9" w:rsidRPr="006B3474">
          <w:rPr>
            <w:rStyle w:val="Hyperlink"/>
            <w:noProof/>
          </w:rPr>
          <w:t>Sector context</w:t>
        </w:r>
        <w:r w:rsidR="008153D9">
          <w:rPr>
            <w:noProof/>
            <w:webHidden/>
          </w:rPr>
          <w:tab/>
        </w:r>
        <w:r w:rsidR="008153D9">
          <w:rPr>
            <w:noProof/>
            <w:webHidden/>
          </w:rPr>
          <w:fldChar w:fldCharType="begin"/>
        </w:r>
        <w:r w:rsidR="008153D9">
          <w:rPr>
            <w:noProof/>
            <w:webHidden/>
          </w:rPr>
          <w:instrText xml:space="preserve"> PAGEREF _Toc360973012 \h </w:instrText>
        </w:r>
        <w:r w:rsidR="008153D9">
          <w:rPr>
            <w:noProof/>
            <w:webHidden/>
          </w:rPr>
        </w:r>
        <w:r w:rsidR="008153D9">
          <w:rPr>
            <w:noProof/>
            <w:webHidden/>
          </w:rPr>
          <w:fldChar w:fldCharType="separate"/>
        </w:r>
        <w:r w:rsidR="008153D9">
          <w:rPr>
            <w:noProof/>
            <w:webHidden/>
          </w:rPr>
          <w:t>17</w:t>
        </w:r>
        <w:r w:rsidR="008153D9">
          <w:rPr>
            <w:noProof/>
            <w:webHidden/>
          </w:rPr>
          <w:fldChar w:fldCharType="end"/>
        </w:r>
      </w:hyperlink>
    </w:p>
    <w:p w:rsidR="008153D9" w:rsidRDefault="00B4714A">
      <w:pPr>
        <w:pStyle w:val="TOC3"/>
        <w:rPr>
          <w:rFonts w:asciiTheme="minorHAnsi" w:eastAsiaTheme="minorEastAsia" w:hAnsiTheme="minorHAnsi" w:cstheme="minorBidi"/>
          <w:noProof/>
          <w:sz w:val="22"/>
          <w:szCs w:val="22"/>
          <w:lang w:val="en-US" w:eastAsia="en-US"/>
        </w:rPr>
      </w:pPr>
      <w:hyperlink w:anchor="_Toc360973013" w:history="1">
        <w:r w:rsidR="008153D9" w:rsidRPr="006B3474">
          <w:rPr>
            <w:rStyle w:val="Hyperlink"/>
            <w:noProof/>
          </w:rPr>
          <w:t>Shared progress</w:t>
        </w:r>
        <w:r w:rsidR="008153D9">
          <w:rPr>
            <w:noProof/>
            <w:webHidden/>
          </w:rPr>
          <w:tab/>
        </w:r>
        <w:r w:rsidR="008153D9">
          <w:rPr>
            <w:noProof/>
            <w:webHidden/>
          </w:rPr>
          <w:fldChar w:fldCharType="begin"/>
        </w:r>
        <w:r w:rsidR="008153D9">
          <w:rPr>
            <w:noProof/>
            <w:webHidden/>
          </w:rPr>
          <w:instrText xml:space="preserve"> PAGEREF _Toc360973013 \h </w:instrText>
        </w:r>
        <w:r w:rsidR="008153D9">
          <w:rPr>
            <w:noProof/>
            <w:webHidden/>
          </w:rPr>
        </w:r>
        <w:r w:rsidR="008153D9">
          <w:rPr>
            <w:noProof/>
            <w:webHidden/>
          </w:rPr>
          <w:fldChar w:fldCharType="separate"/>
        </w:r>
        <w:r w:rsidR="008153D9">
          <w:rPr>
            <w:noProof/>
            <w:webHidden/>
          </w:rPr>
          <w:t>17</w:t>
        </w:r>
        <w:r w:rsidR="008153D9">
          <w:rPr>
            <w:noProof/>
            <w:webHidden/>
          </w:rPr>
          <w:fldChar w:fldCharType="end"/>
        </w:r>
      </w:hyperlink>
    </w:p>
    <w:p w:rsidR="008153D9" w:rsidRDefault="00B4714A">
      <w:pPr>
        <w:pStyle w:val="TOC3"/>
        <w:rPr>
          <w:rFonts w:asciiTheme="minorHAnsi" w:eastAsiaTheme="minorEastAsia" w:hAnsiTheme="minorHAnsi" w:cstheme="minorBidi"/>
          <w:noProof/>
          <w:sz w:val="22"/>
          <w:szCs w:val="22"/>
          <w:lang w:val="en-US" w:eastAsia="en-US"/>
        </w:rPr>
      </w:pPr>
      <w:hyperlink w:anchor="_Toc360973014" w:history="1">
        <w:r w:rsidR="008153D9" w:rsidRPr="006B3474">
          <w:rPr>
            <w:rStyle w:val="Hyperlink"/>
            <w:noProof/>
          </w:rPr>
          <w:t>Management consequences</w:t>
        </w:r>
        <w:r w:rsidR="008153D9">
          <w:rPr>
            <w:noProof/>
            <w:webHidden/>
          </w:rPr>
          <w:tab/>
        </w:r>
        <w:r w:rsidR="008153D9">
          <w:rPr>
            <w:noProof/>
            <w:webHidden/>
          </w:rPr>
          <w:fldChar w:fldCharType="begin"/>
        </w:r>
        <w:r w:rsidR="008153D9">
          <w:rPr>
            <w:noProof/>
            <w:webHidden/>
          </w:rPr>
          <w:instrText xml:space="preserve"> PAGEREF _Toc360973014 \h </w:instrText>
        </w:r>
        <w:r w:rsidR="008153D9">
          <w:rPr>
            <w:noProof/>
            <w:webHidden/>
          </w:rPr>
        </w:r>
        <w:r w:rsidR="008153D9">
          <w:rPr>
            <w:noProof/>
            <w:webHidden/>
          </w:rPr>
          <w:fldChar w:fldCharType="separate"/>
        </w:r>
        <w:r w:rsidR="008153D9">
          <w:rPr>
            <w:noProof/>
            <w:webHidden/>
          </w:rPr>
          <w:t>18</w:t>
        </w:r>
        <w:r w:rsidR="008153D9">
          <w:rPr>
            <w:noProof/>
            <w:webHidden/>
          </w:rPr>
          <w:fldChar w:fldCharType="end"/>
        </w:r>
      </w:hyperlink>
    </w:p>
    <w:p w:rsidR="008153D9" w:rsidRDefault="00B4714A">
      <w:pPr>
        <w:pStyle w:val="TOC2"/>
        <w:rPr>
          <w:rFonts w:asciiTheme="minorHAnsi" w:eastAsiaTheme="minorEastAsia" w:hAnsiTheme="minorHAnsi" w:cstheme="minorBidi"/>
          <w:noProof/>
          <w:color w:val="auto"/>
          <w:sz w:val="22"/>
          <w:szCs w:val="22"/>
          <w:lang w:val="en-US" w:eastAsia="en-US"/>
        </w:rPr>
      </w:pPr>
      <w:hyperlink w:anchor="_Toc360973015" w:history="1">
        <w:r w:rsidR="008153D9" w:rsidRPr="006B3474">
          <w:rPr>
            <w:rStyle w:val="Hyperlink"/>
            <w:noProof/>
          </w:rPr>
          <w:t>Sector: Agriculture productivity and food security</w:t>
        </w:r>
        <w:r w:rsidR="008153D9">
          <w:rPr>
            <w:noProof/>
            <w:webHidden/>
          </w:rPr>
          <w:tab/>
        </w:r>
        <w:r w:rsidR="008153D9">
          <w:rPr>
            <w:noProof/>
            <w:webHidden/>
          </w:rPr>
          <w:fldChar w:fldCharType="begin"/>
        </w:r>
        <w:r w:rsidR="008153D9">
          <w:rPr>
            <w:noProof/>
            <w:webHidden/>
          </w:rPr>
          <w:instrText xml:space="preserve"> PAGEREF _Toc360973015 \h </w:instrText>
        </w:r>
        <w:r w:rsidR="008153D9">
          <w:rPr>
            <w:noProof/>
            <w:webHidden/>
          </w:rPr>
        </w:r>
        <w:r w:rsidR="008153D9">
          <w:rPr>
            <w:noProof/>
            <w:webHidden/>
          </w:rPr>
          <w:fldChar w:fldCharType="separate"/>
        </w:r>
        <w:r w:rsidR="008153D9">
          <w:rPr>
            <w:noProof/>
            <w:webHidden/>
          </w:rPr>
          <w:t>18</w:t>
        </w:r>
        <w:r w:rsidR="008153D9">
          <w:rPr>
            <w:noProof/>
            <w:webHidden/>
          </w:rPr>
          <w:fldChar w:fldCharType="end"/>
        </w:r>
      </w:hyperlink>
    </w:p>
    <w:p w:rsidR="008153D9" w:rsidRDefault="00B4714A">
      <w:pPr>
        <w:pStyle w:val="TOC3"/>
        <w:rPr>
          <w:rFonts w:asciiTheme="minorHAnsi" w:eastAsiaTheme="minorEastAsia" w:hAnsiTheme="minorHAnsi" w:cstheme="minorBidi"/>
          <w:noProof/>
          <w:sz w:val="22"/>
          <w:szCs w:val="22"/>
          <w:lang w:val="en-US" w:eastAsia="en-US"/>
        </w:rPr>
      </w:pPr>
      <w:hyperlink w:anchor="_Toc360973016" w:history="1">
        <w:r w:rsidR="008153D9" w:rsidRPr="006B3474">
          <w:rPr>
            <w:rStyle w:val="Hyperlink"/>
            <w:noProof/>
          </w:rPr>
          <w:t>Sector context</w:t>
        </w:r>
        <w:r w:rsidR="008153D9">
          <w:rPr>
            <w:noProof/>
            <w:webHidden/>
          </w:rPr>
          <w:tab/>
        </w:r>
        <w:r w:rsidR="008153D9">
          <w:rPr>
            <w:noProof/>
            <w:webHidden/>
          </w:rPr>
          <w:fldChar w:fldCharType="begin"/>
        </w:r>
        <w:r w:rsidR="008153D9">
          <w:rPr>
            <w:noProof/>
            <w:webHidden/>
          </w:rPr>
          <w:instrText xml:space="preserve"> PAGEREF _Toc360973016 \h </w:instrText>
        </w:r>
        <w:r w:rsidR="008153D9">
          <w:rPr>
            <w:noProof/>
            <w:webHidden/>
          </w:rPr>
        </w:r>
        <w:r w:rsidR="008153D9">
          <w:rPr>
            <w:noProof/>
            <w:webHidden/>
          </w:rPr>
          <w:fldChar w:fldCharType="separate"/>
        </w:r>
        <w:r w:rsidR="008153D9">
          <w:rPr>
            <w:noProof/>
            <w:webHidden/>
          </w:rPr>
          <w:t>18</w:t>
        </w:r>
        <w:r w:rsidR="008153D9">
          <w:rPr>
            <w:noProof/>
            <w:webHidden/>
          </w:rPr>
          <w:fldChar w:fldCharType="end"/>
        </w:r>
      </w:hyperlink>
    </w:p>
    <w:p w:rsidR="008153D9" w:rsidRDefault="00B4714A">
      <w:pPr>
        <w:pStyle w:val="TOC3"/>
        <w:rPr>
          <w:rFonts w:asciiTheme="minorHAnsi" w:eastAsiaTheme="minorEastAsia" w:hAnsiTheme="minorHAnsi" w:cstheme="minorBidi"/>
          <w:noProof/>
          <w:sz w:val="22"/>
          <w:szCs w:val="22"/>
          <w:lang w:val="en-US" w:eastAsia="en-US"/>
        </w:rPr>
      </w:pPr>
      <w:hyperlink w:anchor="_Toc360973017" w:history="1">
        <w:r w:rsidR="008153D9" w:rsidRPr="006B3474">
          <w:rPr>
            <w:rStyle w:val="Hyperlink"/>
            <w:noProof/>
          </w:rPr>
          <w:t>Shared progress</w:t>
        </w:r>
        <w:r w:rsidR="008153D9">
          <w:rPr>
            <w:noProof/>
            <w:webHidden/>
          </w:rPr>
          <w:tab/>
        </w:r>
        <w:r w:rsidR="008153D9">
          <w:rPr>
            <w:noProof/>
            <w:webHidden/>
          </w:rPr>
          <w:fldChar w:fldCharType="begin"/>
        </w:r>
        <w:r w:rsidR="008153D9">
          <w:rPr>
            <w:noProof/>
            <w:webHidden/>
          </w:rPr>
          <w:instrText xml:space="preserve"> PAGEREF _Toc360973017 \h </w:instrText>
        </w:r>
        <w:r w:rsidR="008153D9">
          <w:rPr>
            <w:noProof/>
            <w:webHidden/>
          </w:rPr>
        </w:r>
        <w:r w:rsidR="008153D9">
          <w:rPr>
            <w:noProof/>
            <w:webHidden/>
          </w:rPr>
          <w:fldChar w:fldCharType="separate"/>
        </w:r>
        <w:r w:rsidR="008153D9">
          <w:rPr>
            <w:noProof/>
            <w:webHidden/>
          </w:rPr>
          <w:t>19</w:t>
        </w:r>
        <w:r w:rsidR="008153D9">
          <w:rPr>
            <w:noProof/>
            <w:webHidden/>
          </w:rPr>
          <w:fldChar w:fldCharType="end"/>
        </w:r>
      </w:hyperlink>
    </w:p>
    <w:p w:rsidR="008153D9" w:rsidRDefault="00B4714A">
      <w:pPr>
        <w:pStyle w:val="TOC3"/>
        <w:rPr>
          <w:rFonts w:asciiTheme="minorHAnsi" w:eastAsiaTheme="minorEastAsia" w:hAnsiTheme="minorHAnsi" w:cstheme="minorBidi"/>
          <w:noProof/>
          <w:sz w:val="22"/>
          <w:szCs w:val="22"/>
          <w:lang w:val="en-US" w:eastAsia="en-US"/>
        </w:rPr>
      </w:pPr>
      <w:hyperlink w:anchor="_Toc360973018" w:history="1">
        <w:r w:rsidR="008153D9" w:rsidRPr="006B3474">
          <w:rPr>
            <w:rStyle w:val="Hyperlink"/>
            <w:noProof/>
          </w:rPr>
          <w:t>Management consequences</w:t>
        </w:r>
        <w:r w:rsidR="008153D9">
          <w:rPr>
            <w:noProof/>
            <w:webHidden/>
          </w:rPr>
          <w:tab/>
        </w:r>
        <w:r w:rsidR="008153D9">
          <w:rPr>
            <w:noProof/>
            <w:webHidden/>
          </w:rPr>
          <w:fldChar w:fldCharType="begin"/>
        </w:r>
        <w:r w:rsidR="008153D9">
          <w:rPr>
            <w:noProof/>
            <w:webHidden/>
          </w:rPr>
          <w:instrText xml:space="preserve"> PAGEREF _Toc360973018 \h </w:instrText>
        </w:r>
        <w:r w:rsidR="008153D9">
          <w:rPr>
            <w:noProof/>
            <w:webHidden/>
          </w:rPr>
        </w:r>
        <w:r w:rsidR="008153D9">
          <w:rPr>
            <w:noProof/>
            <w:webHidden/>
          </w:rPr>
          <w:fldChar w:fldCharType="separate"/>
        </w:r>
        <w:r w:rsidR="008153D9">
          <w:rPr>
            <w:noProof/>
            <w:webHidden/>
          </w:rPr>
          <w:t>20</w:t>
        </w:r>
        <w:r w:rsidR="008153D9">
          <w:rPr>
            <w:noProof/>
            <w:webHidden/>
          </w:rPr>
          <w:fldChar w:fldCharType="end"/>
        </w:r>
      </w:hyperlink>
    </w:p>
    <w:p w:rsidR="008153D9" w:rsidRDefault="00B4714A">
      <w:pPr>
        <w:pStyle w:val="TOC2"/>
        <w:rPr>
          <w:rFonts w:asciiTheme="minorHAnsi" w:eastAsiaTheme="minorEastAsia" w:hAnsiTheme="minorHAnsi" w:cstheme="minorBidi"/>
          <w:noProof/>
          <w:color w:val="auto"/>
          <w:sz w:val="22"/>
          <w:szCs w:val="22"/>
          <w:lang w:val="en-US" w:eastAsia="en-US"/>
        </w:rPr>
      </w:pPr>
      <w:hyperlink w:anchor="_Toc360973019" w:history="1">
        <w:r w:rsidR="008153D9" w:rsidRPr="006B3474">
          <w:rPr>
            <w:rStyle w:val="Hyperlink"/>
            <w:noProof/>
          </w:rPr>
          <w:t>Sector: Public sector and democratic governance</w:t>
        </w:r>
        <w:r w:rsidR="008153D9">
          <w:rPr>
            <w:noProof/>
            <w:webHidden/>
          </w:rPr>
          <w:tab/>
        </w:r>
        <w:r w:rsidR="008153D9">
          <w:rPr>
            <w:noProof/>
            <w:webHidden/>
          </w:rPr>
          <w:fldChar w:fldCharType="begin"/>
        </w:r>
        <w:r w:rsidR="008153D9">
          <w:rPr>
            <w:noProof/>
            <w:webHidden/>
          </w:rPr>
          <w:instrText xml:space="preserve"> PAGEREF _Toc360973019 \h </w:instrText>
        </w:r>
        <w:r w:rsidR="008153D9">
          <w:rPr>
            <w:noProof/>
            <w:webHidden/>
          </w:rPr>
        </w:r>
        <w:r w:rsidR="008153D9">
          <w:rPr>
            <w:noProof/>
            <w:webHidden/>
          </w:rPr>
          <w:fldChar w:fldCharType="separate"/>
        </w:r>
        <w:r w:rsidR="008153D9">
          <w:rPr>
            <w:noProof/>
            <w:webHidden/>
          </w:rPr>
          <w:t>21</w:t>
        </w:r>
        <w:r w:rsidR="008153D9">
          <w:rPr>
            <w:noProof/>
            <w:webHidden/>
          </w:rPr>
          <w:fldChar w:fldCharType="end"/>
        </w:r>
      </w:hyperlink>
    </w:p>
    <w:p w:rsidR="008153D9" w:rsidRDefault="00B4714A">
      <w:pPr>
        <w:pStyle w:val="TOC3"/>
        <w:rPr>
          <w:rFonts w:asciiTheme="minorHAnsi" w:eastAsiaTheme="minorEastAsia" w:hAnsiTheme="minorHAnsi" w:cstheme="minorBidi"/>
          <w:noProof/>
          <w:sz w:val="22"/>
          <w:szCs w:val="22"/>
          <w:lang w:val="en-US" w:eastAsia="en-US"/>
        </w:rPr>
      </w:pPr>
      <w:hyperlink w:anchor="_Toc360973020" w:history="1">
        <w:r w:rsidR="008153D9" w:rsidRPr="006B3474">
          <w:rPr>
            <w:rStyle w:val="Hyperlink"/>
            <w:noProof/>
          </w:rPr>
          <w:t>Sector context</w:t>
        </w:r>
        <w:r w:rsidR="008153D9">
          <w:rPr>
            <w:noProof/>
            <w:webHidden/>
          </w:rPr>
          <w:tab/>
        </w:r>
        <w:r w:rsidR="008153D9">
          <w:rPr>
            <w:noProof/>
            <w:webHidden/>
          </w:rPr>
          <w:fldChar w:fldCharType="begin"/>
        </w:r>
        <w:r w:rsidR="008153D9">
          <w:rPr>
            <w:noProof/>
            <w:webHidden/>
          </w:rPr>
          <w:instrText xml:space="preserve"> PAGEREF _Toc360973020 \h </w:instrText>
        </w:r>
        <w:r w:rsidR="008153D9">
          <w:rPr>
            <w:noProof/>
            <w:webHidden/>
          </w:rPr>
        </w:r>
        <w:r w:rsidR="008153D9">
          <w:rPr>
            <w:noProof/>
            <w:webHidden/>
          </w:rPr>
          <w:fldChar w:fldCharType="separate"/>
        </w:r>
        <w:r w:rsidR="008153D9">
          <w:rPr>
            <w:noProof/>
            <w:webHidden/>
          </w:rPr>
          <w:t>21</w:t>
        </w:r>
        <w:r w:rsidR="008153D9">
          <w:rPr>
            <w:noProof/>
            <w:webHidden/>
          </w:rPr>
          <w:fldChar w:fldCharType="end"/>
        </w:r>
      </w:hyperlink>
    </w:p>
    <w:p w:rsidR="008153D9" w:rsidRDefault="00B4714A">
      <w:pPr>
        <w:pStyle w:val="TOC3"/>
        <w:rPr>
          <w:rFonts w:asciiTheme="minorHAnsi" w:eastAsiaTheme="minorEastAsia" w:hAnsiTheme="minorHAnsi" w:cstheme="minorBidi"/>
          <w:noProof/>
          <w:sz w:val="22"/>
          <w:szCs w:val="22"/>
          <w:lang w:val="en-US" w:eastAsia="en-US"/>
        </w:rPr>
      </w:pPr>
      <w:hyperlink w:anchor="_Toc360973021" w:history="1">
        <w:r w:rsidR="008153D9" w:rsidRPr="006B3474">
          <w:rPr>
            <w:rStyle w:val="Hyperlink"/>
            <w:noProof/>
          </w:rPr>
          <w:t>Shared progress</w:t>
        </w:r>
        <w:r w:rsidR="008153D9">
          <w:rPr>
            <w:noProof/>
            <w:webHidden/>
          </w:rPr>
          <w:tab/>
        </w:r>
        <w:r w:rsidR="008153D9">
          <w:rPr>
            <w:noProof/>
            <w:webHidden/>
          </w:rPr>
          <w:fldChar w:fldCharType="begin"/>
        </w:r>
        <w:r w:rsidR="008153D9">
          <w:rPr>
            <w:noProof/>
            <w:webHidden/>
          </w:rPr>
          <w:instrText xml:space="preserve"> PAGEREF _Toc360973021 \h </w:instrText>
        </w:r>
        <w:r w:rsidR="008153D9">
          <w:rPr>
            <w:noProof/>
            <w:webHidden/>
          </w:rPr>
        </w:r>
        <w:r w:rsidR="008153D9">
          <w:rPr>
            <w:noProof/>
            <w:webHidden/>
          </w:rPr>
          <w:fldChar w:fldCharType="separate"/>
        </w:r>
        <w:r w:rsidR="008153D9">
          <w:rPr>
            <w:noProof/>
            <w:webHidden/>
          </w:rPr>
          <w:t>22</w:t>
        </w:r>
        <w:r w:rsidR="008153D9">
          <w:rPr>
            <w:noProof/>
            <w:webHidden/>
          </w:rPr>
          <w:fldChar w:fldCharType="end"/>
        </w:r>
      </w:hyperlink>
    </w:p>
    <w:p w:rsidR="008153D9" w:rsidRDefault="00B4714A">
      <w:pPr>
        <w:pStyle w:val="TOC3"/>
        <w:rPr>
          <w:rFonts w:asciiTheme="minorHAnsi" w:eastAsiaTheme="minorEastAsia" w:hAnsiTheme="minorHAnsi" w:cstheme="minorBidi"/>
          <w:noProof/>
          <w:sz w:val="22"/>
          <w:szCs w:val="22"/>
          <w:lang w:val="en-US" w:eastAsia="en-US"/>
        </w:rPr>
      </w:pPr>
      <w:hyperlink w:anchor="_Toc360973022" w:history="1">
        <w:r w:rsidR="008153D9" w:rsidRPr="006B3474">
          <w:rPr>
            <w:rStyle w:val="Hyperlink"/>
            <w:noProof/>
          </w:rPr>
          <w:t>Management consequences</w:t>
        </w:r>
        <w:r w:rsidR="008153D9">
          <w:rPr>
            <w:noProof/>
            <w:webHidden/>
          </w:rPr>
          <w:tab/>
        </w:r>
        <w:r w:rsidR="008153D9">
          <w:rPr>
            <w:noProof/>
            <w:webHidden/>
          </w:rPr>
          <w:fldChar w:fldCharType="begin"/>
        </w:r>
        <w:r w:rsidR="008153D9">
          <w:rPr>
            <w:noProof/>
            <w:webHidden/>
          </w:rPr>
          <w:instrText xml:space="preserve"> PAGEREF _Toc360973022 \h </w:instrText>
        </w:r>
        <w:r w:rsidR="008153D9">
          <w:rPr>
            <w:noProof/>
            <w:webHidden/>
          </w:rPr>
        </w:r>
        <w:r w:rsidR="008153D9">
          <w:rPr>
            <w:noProof/>
            <w:webHidden/>
          </w:rPr>
          <w:fldChar w:fldCharType="separate"/>
        </w:r>
        <w:r w:rsidR="008153D9">
          <w:rPr>
            <w:noProof/>
            <w:webHidden/>
          </w:rPr>
          <w:t>24</w:t>
        </w:r>
        <w:r w:rsidR="008153D9">
          <w:rPr>
            <w:noProof/>
            <w:webHidden/>
          </w:rPr>
          <w:fldChar w:fldCharType="end"/>
        </w:r>
      </w:hyperlink>
    </w:p>
    <w:p w:rsidR="008153D9" w:rsidRDefault="00B4714A">
      <w:pPr>
        <w:pStyle w:val="TOC2"/>
        <w:rPr>
          <w:rFonts w:asciiTheme="minorHAnsi" w:eastAsiaTheme="minorEastAsia" w:hAnsiTheme="minorHAnsi" w:cstheme="minorBidi"/>
          <w:noProof/>
          <w:color w:val="auto"/>
          <w:sz w:val="22"/>
          <w:szCs w:val="22"/>
          <w:lang w:val="en-US" w:eastAsia="en-US"/>
        </w:rPr>
      </w:pPr>
      <w:hyperlink w:anchor="_Toc360973023" w:history="1">
        <w:r w:rsidR="008153D9" w:rsidRPr="006B3474">
          <w:rPr>
            <w:rStyle w:val="Hyperlink"/>
            <w:noProof/>
          </w:rPr>
          <w:t>Sector: Public financial management</w:t>
        </w:r>
        <w:r w:rsidR="008153D9">
          <w:rPr>
            <w:noProof/>
            <w:webHidden/>
          </w:rPr>
          <w:tab/>
        </w:r>
        <w:r w:rsidR="008153D9">
          <w:rPr>
            <w:noProof/>
            <w:webHidden/>
          </w:rPr>
          <w:fldChar w:fldCharType="begin"/>
        </w:r>
        <w:r w:rsidR="008153D9">
          <w:rPr>
            <w:noProof/>
            <w:webHidden/>
          </w:rPr>
          <w:instrText xml:space="preserve"> PAGEREF _Toc360973023 \h </w:instrText>
        </w:r>
        <w:r w:rsidR="008153D9">
          <w:rPr>
            <w:noProof/>
            <w:webHidden/>
          </w:rPr>
        </w:r>
        <w:r w:rsidR="008153D9">
          <w:rPr>
            <w:noProof/>
            <w:webHidden/>
          </w:rPr>
          <w:fldChar w:fldCharType="separate"/>
        </w:r>
        <w:r w:rsidR="008153D9">
          <w:rPr>
            <w:noProof/>
            <w:webHidden/>
          </w:rPr>
          <w:t>24</w:t>
        </w:r>
        <w:r w:rsidR="008153D9">
          <w:rPr>
            <w:noProof/>
            <w:webHidden/>
          </w:rPr>
          <w:fldChar w:fldCharType="end"/>
        </w:r>
      </w:hyperlink>
    </w:p>
    <w:p w:rsidR="008153D9" w:rsidRDefault="00B4714A">
      <w:pPr>
        <w:pStyle w:val="TOC3"/>
        <w:rPr>
          <w:rFonts w:asciiTheme="minorHAnsi" w:eastAsiaTheme="minorEastAsia" w:hAnsiTheme="minorHAnsi" w:cstheme="minorBidi"/>
          <w:noProof/>
          <w:sz w:val="22"/>
          <w:szCs w:val="22"/>
          <w:lang w:val="en-US" w:eastAsia="en-US"/>
        </w:rPr>
      </w:pPr>
      <w:hyperlink w:anchor="_Toc360973024" w:history="1">
        <w:r w:rsidR="008153D9" w:rsidRPr="006B3474">
          <w:rPr>
            <w:rStyle w:val="Hyperlink"/>
            <w:noProof/>
          </w:rPr>
          <w:t>Sector context</w:t>
        </w:r>
        <w:r w:rsidR="008153D9">
          <w:rPr>
            <w:noProof/>
            <w:webHidden/>
          </w:rPr>
          <w:tab/>
        </w:r>
        <w:r w:rsidR="008153D9">
          <w:rPr>
            <w:noProof/>
            <w:webHidden/>
          </w:rPr>
          <w:fldChar w:fldCharType="begin"/>
        </w:r>
        <w:r w:rsidR="008153D9">
          <w:rPr>
            <w:noProof/>
            <w:webHidden/>
          </w:rPr>
          <w:instrText xml:space="preserve"> PAGEREF _Toc360973024 \h </w:instrText>
        </w:r>
        <w:r w:rsidR="008153D9">
          <w:rPr>
            <w:noProof/>
            <w:webHidden/>
          </w:rPr>
        </w:r>
        <w:r w:rsidR="008153D9">
          <w:rPr>
            <w:noProof/>
            <w:webHidden/>
          </w:rPr>
          <w:fldChar w:fldCharType="separate"/>
        </w:r>
        <w:r w:rsidR="008153D9">
          <w:rPr>
            <w:noProof/>
            <w:webHidden/>
          </w:rPr>
          <w:t>24</w:t>
        </w:r>
        <w:r w:rsidR="008153D9">
          <w:rPr>
            <w:noProof/>
            <w:webHidden/>
          </w:rPr>
          <w:fldChar w:fldCharType="end"/>
        </w:r>
      </w:hyperlink>
    </w:p>
    <w:p w:rsidR="008153D9" w:rsidRDefault="00B4714A">
      <w:pPr>
        <w:pStyle w:val="TOC3"/>
        <w:rPr>
          <w:rFonts w:asciiTheme="minorHAnsi" w:eastAsiaTheme="minorEastAsia" w:hAnsiTheme="minorHAnsi" w:cstheme="minorBidi"/>
          <w:noProof/>
          <w:sz w:val="22"/>
          <w:szCs w:val="22"/>
          <w:lang w:val="en-US" w:eastAsia="en-US"/>
        </w:rPr>
      </w:pPr>
      <w:hyperlink w:anchor="_Toc360973025" w:history="1">
        <w:r w:rsidR="008153D9" w:rsidRPr="006B3474">
          <w:rPr>
            <w:rStyle w:val="Hyperlink"/>
            <w:noProof/>
          </w:rPr>
          <w:t>Shared progress</w:t>
        </w:r>
        <w:r w:rsidR="008153D9">
          <w:rPr>
            <w:noProof/>
            <w:webHidden/>
          </w:rPr>
          <w:tab/>
        </w:r>
        <w:r w:rsidR="008153D9">
          <w:rPr>
            <w:noProof/>
            <w:webHidden/>
          </w:rPr>
          <w:fldChar w:fldCharType="begin"/>
        </w:r>
        <w:r w:rsidR="008153D9">
          <w:rPr>
            <w:noProof/>
            <w:webHidden/>
          </w:rPr>
          <w:instrText xml:space="preserve"> PAGEREF _Toc360973025 \h </w:instrText>
        </w:r>
        <w:r w:rsidR="008153D9">
          <w:rPr>
            <w:noProof/>
            <w:webHidden/>
          </w:rPr>
        </w:r>
        <w:r w:rsidR="008153D9">
          <w:rPr>
            <w:noProof/>
            <w:webHidden/>
          </w:rPr>
          <w:fldChar w:fldCharType="separate"/>
        </w:r>
        <w:r w:rsidR="008153D9">
          <w:rPr>
            <w:noProof/>
            <w:webHidden/>
          </w:rPr>
          <w:t>25</w:t>
        </w:r>
        <w:r w:rsidR="008153D9">
          <w:rPr>
            <w:noProof/>
            <w:webHidden/>
          </w:rPr>
          <w:fldChar w:fldCharType="end"/>
        </w:r>
      </w:hyperlink>
    </w:p>
    <w:p w:rsidR="008153D9" w:rsidRDefault="00B4714A">
      <w:pPr>
        <w:pStyle w:val="TOC3"/>
        <w:rPr>
          <w:rFonts w:asciiTheme="minorHAnsi" w:eastAsiaTheme="minorEastAsia" w:hAnsiTheme="minorHAnsi" w:cstheme="minorBidi"/>
          <w:noProof/>
          <w:sz w:val="22"/>
          <w:szCs w:val="22"/>
          <w:lang w:val="en-US" w:eastAsia="en-US"/>
        </w:rPr>
      </w:pPr>
      <w:hyperlink w:anchor="_Toc360973026" w:history="1">
        <w:r w:rsidR="008153D9" w:rsidRPr="006B3474">
          <w:rPr>
            <w:rStyle w:val="Hyperlink"/>
            <w:noProof/>
          </w:rPr>
          <w:t>Management consequences</w:t>
        </w:r>
        <w:r w:rsidR="008153D9">
          <w:rPr>
            <w:noProof/>
            <w:webHidden/>
          </w:rPr>
          <w:tab/>
        </w:r>
        <w:r w:rsidR="008153D9">
          <w:rPr>
            <w:noProof/>
            <w:webHidden/>
          </w:rPr>
          <w:fldChar w:fldCharType="begin"/>
        </w:r>
        <w:r w:rsidR="008153D9">
          <w:rPr>
            <w:noProof/>
            <w:webHidden/>
          </w:rPr>
          <w:instrText xml:space="preserve"> PAGEREF _Toc360973026 \h </w:instrText>
        </w:r>
        <w:r w:rsidR="008153D9">
          <w:rPr>
            <w:noProof/>
            <w:webHidden/>
          </w:rPr>
        </w:r>
        <w:r w:rsidR="008153D9">
          <w:rPr>
            <w:noProof/>
            <w:webHidden/>
          </w:rPr>
          <w:fldChar w:fldCharType="separate"/>
        </w:r>
        <w:r w:rsidR="008153D9">
          <w:rPr>
            <w:noProof/>
            <w:webHidden/>
          </w:rPr>
          <w:t>25</w:t>
        </w:r>
        <w:r w:rsidR="008153D9">
          <w:rPr>
            <w:noProof/>
            <w:webHidden/>
          </w:rPr>
          <w:fldChar w:fldCharType="end"/>
        </w:r>
      </w:hyperlink>
    </w:p>
    <w:p w:rsidR="008153D9" w:rsidRDefault="00B4714A">
      <w:pPr>
        <w:pStyle w:val="TOC2"/>
        <w:rPr>
          <w:rFonts w:asciiTheme="minorHAnsi" w:eastAsiaTheme="minorEastAsia" w:hAnsiTheme="minorHAnsi" w:cstheme="minorBidi"/>
          <w:noProof/>
          <w:color w:val="auto"/>
          <w:sz w:val="22"/>
          <w:szCs w:val="22"/>
          <w:lang w:val="en-US" w:eastAsia="en-US"/>
        </w:rPr>
      </w:pPr>
      <w:hyperlink w:anchor="_Toc360973027" w:history="1">
        <w:r w:rsidR="008153D9" w:rsidRPr="006B3474">
          <w:rPr>
            <w:rStyle w:val="Hyperlink"/>
            <w:noProof/>
          </w:rPr>
          <w:t>Sector: Resilience to natural emergencies</w:t>
        </w:r>
        <w:r w:rsidR="008153D9">
          <w:rPr>
            <w:noProof/>
            <w:webHidden/>
          </w:rPr>
          <w:tab/>
        </w:r>
        <w:r w:rsidR="008153D9">
          <w:rPr>
            <w:noProof/>
            <w:webHidden/>
          </w:rPr>
          <w:fldChar w:fldCharType="begin"/>
        </w:r>
        <w:r w:rsidR="008153D9">
          <w:rPr>
            <w:noProof/>
            <w:webHidden/>
          </w:rPr>
          <w:instrText xml:space="preserve"> PAGEREF _Toc360973027 \h </w:instrText>
        </w:r>
        <w:r w:rsidR="008153D9">
          <w:rPr>
            <w:noProof/>
            <w:webHidden/>
          </w:rPr>
        </w:r>
        <w:r w:rsidR="008153D9">
          <w:rPr>
            <w:noProof/>
            <w:webHidden/>
          </w:rPr>
          <w:fldChar w:fldCharType="separate"/>
        </w:r>
        <w:r w:rsidR="008153D9">
          <w:rPr>
            <w:noProof/>
            <w:webHidden/>
          </w:rPr>
          <w:t>25</w:t>
        </w:r>
        <w:r w:rsidR="008153D9">
          <w:rPr>
            <w:noProof/>
            <w:webHidden/>
          </w:rPr>
          <w:fldChar w:fldCharType="end"/>
        </w:r>
      </w:hyperlink>
    </w:p>
    <w:p w:rsidR="008153D9" w:rsidRDefault="00B4714A">
      <w:pPr>
        <w:pStyle w:val="TOC3"/>
        <w:rPr>
          <w:rFonts w:asciiTheme="minorHAnsi" w:eastAsiaTheme="minorEastAsia" w:hAnsiTheme="minorHAnsi" w:cstheme="minorBidi"/>
          <w:noProof/>
          <w:sz w:val="22"/>
          <w:szCs w:val="22"/>
          <w:lang w:val="en-US" w:eastAsia="en-US"/>
        </w:rPr>
      </w:pPr>
      <w:hyperlink w:anchor="_Toc360973028" w:history="1">
        <w:r w:rsidR="008153D9" w:rsidRPr="006B3474">
          <w:rPr>
            <w:rStyle w:val="Hyperlink"/>
            <w:noProof/>
          </w:rPr>
          <w:t>Sector context</w:t>
        </w:r>
        <w:r w:rsidR="008153D9">
          <w:rPr>
            <w:noProof/>
            <w:webHidden/>
          </w:rPr>
          <w:tab/>
        </w:r>
        <w:r w:rsidR="008153D9">
          <w:rPr>
            <w:noProof/>
            <w:webHidden/>
          </w:rPr>
          <w:fldChar w:fldCharType="begin"/>
        </w:r>
        <w:r w:rsidR="008153D9">
          <w:rPr>
            <w:noProof/>
            <w:webHidden/>
          </w:rPr>
          <w:instrText xml:space="preserve"> PAGEREF _Toc360973028 \h </w:instrText>
        </w:r>
        <w:r w:rsidR="008153D9">
          <w:rPr>
            <w:noProof/>
            <w:webHidden/>
          </w:rPr>
        </w:r>
        <w:r w:rsidR="008153D9">
          <w:rPr>
            <w:noProof/>
            <w:webHidden/>
          </w:rPr>
          <w:fldChar w:fldCharType="separate"/>
        </w:r>
        <w:r w:rsidR="008153D9">
          <w:rPr>
            <w:noProof/>
            <w:webHidden/>
          </w:rPr>
          <w:t>25</w:t>
        </w:r>
        <w:r w:rsidR="008153D9">
          <w:rPr>
            <w:noProof/>
            <w:webHidden/>
          </w:rPr>
          <w:fldChar w:fldCharType="end"/>
        </w:r>
      </w:hyperlink>
    </w:p>
    <w:p w:rsidR="008153D9" w:rsidRDefault="00B4714A">
      <w:pPr>
        <w:pStyle w:val="TOC3"/>
        <w:rPr>
          <w:rFonts w:asciiTheme="minorHAnsi" w:eastAsiaTheme="minorEastAsia" w:hAnsiTheme="minorHAnsi" w:cstheme="minorBidi"/>
          <w:noProof/>
          <w:sz w:val="22"/>
          <w:szCs w:val="22"/>
          <w:lang w:val="en-US" w:eastAsia="en-US"/>
        </w:rPr>
      </w:pPr>
      <w:hyperlink w:anchor="_Toc360973029" w:history="1">
        <w:r w:rsidR="008153D9" w:rsidRPr="006B3474">
          <w:rPr>
            <w:rStyle w:val="Hyperlink"/>
            <w:noProof/>
          </w:rPr>
          <w:t>Shared progress</w:t>
        </w:r>
        <w:r w:rsidR="008153D9">
          <w:rPr>
            <w:noProof/>
            <w:webHidden/>
          </w:rPr>
          <w:tab/>
        </w:r>
        <w:r w:rsidR="008153D9">
          <w:rPr>
            <w:noProof/>
            <w:webHidden/>
          </w:rPr>
          <w:fldChar w:fldCharType="begin"/>
        </w:r>
        <w:r w:rsidR="008153D9">
          <w:rPr>
            <w:noProof/>
            <w:webHidden/>
          </w:rPr>
          <w:instrText xml:space="preserve"> PAGEREF _Toc360973029 \h </w:instrText>
        </w:r>
        <w:r w:rsidR="008153D9">
          <w:rPr>
            <w:noProof/>
            <w:webHidden/>
          </w:rPr>
        </w:r>
        <w:r w:rsidR="008153D9">
          <w:rPr>
            <w:noProof/>
            <w:webHidden/>
          </w:rPr>
          <w:fldChar w:fldCharType="separate"/>
        </w:r>
        <w:r w:rsidR="008153D9">
          <w:rPr>
            <w:noProof/>
            <w:webHidden/>
          </w:rPr>
          <w:t>26</w:t>
        </w:r>
        <w:r w:rsidR="008153D9">
          <w:rPr>
            <w:noProof/>
            <w:webHidden/>
          </w:rPr>
          <w:fldChar w:fldCharType="end"/>
        </w:r>
      </w:hyperlink>
    </w:p>
    <w:p w:rsidR="008153D9" w:rsidRDefault="00B4714A">
      <w:pPr>
        <w:pStyle w:val="TOC3"/>
        <w:rPr>
          <w:rFonts w:asciiTheme="minorHAnsi" w:eastAsiaTheme="minorEastAsia" w:hAnsiTheme="minorHAnsi" w:cstheme="minorBidi"/>
          <w:noProof/>
          <w:sz w:val="22"/>
          <w:szCs w:val="22"/>
          <w:lang w:val="en-US" w:eastAsia="en-US"/>
        </w:rPr>
      </w:pPr>
      <w:hyperlink w:anchor="_Toc360973030" w:history="1">
        <w:r w:rsidR="008153D9" w:rsidRPr="006B3474">
          <w:rPr>
            <w:rStyle w:val="Hyperlink"/>
            <w:noProof/>
          </w:rPr>
          <w:t>Management consequences</w:t>
        </w:r>
        <w:r w:rsidR="008153D9">
          <w:rPr>
            <w:noProof/>
            <w:webHidden/>
          </w:rPr>
          <w:tab/>
        </w:r>
        <w:r w:rsidR="008153D9">
          <w:rPr>
            <w:noProof/>
            <w:webHidden/>
          </w:rPr>
          <w:fldChar w:fldCharType="begin"/>
        </w:r>
        <w:r w:rsidR="008153D9">
          <w:rPr>
            <w:noProof/>
            <w:webHidden/>
          </w:rPr>
          <w:instrText xml:space="preserve"> PAGEREF _Toc360973030 \h </w:instrText>
        </w:r>
        <w:r w:rsidR="008153D9">
          <w:rPr>
            <w:noProof/>
            <w:webHidden/>
          </w:rPr>
        </w:r>
        <w:r w:rsidR="008153D9">
          <w:rPr>
            <w:noProof/>
            <w:webHidden/>
          </w:rPr>
          <w:fldChar w:fldCharType="separate"/>
        </w:r>
        <w:r w:rsidR="008153D9">
          <w:rPr>
            <w:noProof/>
            <w:webHidden/>
          </w:rPr>
          <w:t>26</w:t>
        </w:r>
        <w:r w:rsidR="008153D9">
          <w:rPr>
            <w:noProof/>
            <w:webHidden/>
          </w:rPr>
          <w:fldChar w:fldCharType="end"/>
        </w:r>
      </w:hyperlink>
    </w:p>
    <w:p w:rsidR="008153D9" w:rsidRDefault="00B4714A">
      <w:pPr>
        <w:pStyle w:val="TOC2"/>
        <w:rPr>
          <w:rFonts w:asciiTheme="minorHAnsi" w:eastAsiaTheme="minorEastAsia" w:hAnsiTheme="minorHAnsi" w:cstheme="minorBidi"/>
          <w:noProof/>
          <w:color w:val="auto"/>
          <w:sz w:val="22"/>
          <w:szCs w:val="22"/>
          <w:lang w:val="en-US" w:eastAsia="en-US"/>
        </w:rPr>
      </w:pPr>
      <w:hyperlink w:anchor="_Toc360973031" w:history="1">
        <w:r w:rsidR="008153D9" w:rsidRPr="006B3474">
          <w:rPr>
            <w:rStyle w:val="Hyperlink"/>
            <w:noProof/>
          </w:rPr>
          <w:t>Sector: Combating violence against women</w:t>
        </w:r>
        <w:r w:rsidR="008153D9">
          <w:rPr>
            <w:noProof/>
            <w:webHidden/>
          </w:rPr>
          <w:tab/>
        </w:r>
        <w:r w:rsidR="008153D9">
          <w:rPr>
            <w:noProof/>
            <w:webHidden/>
          </w:rPr>
          <w:fldChar w:fldCharType="begin"/>
        </w:r>
        <w:r w:rsidR="008153D9">
          <w:rPr>
            <w:noProof/>
            <w:webHidden/>
          </w:rPr>
          <w:instrText xml:space="preserve"> PAGEREF _Toc360973031 \h </w:instrText>
        </w:r>
        <w:r w:rsidR="008153D9">
          <w:rPr>
            <w:noProof/>
            <w:webHidden/>
          </w:rPr>
        </w:r>
        <w:r w:rsidR="008153D9">
          <w:rPr>
            <w:noProof/>
            <w:webHidden/>
          </w:rPr>
          <w:fldChar w:fldCharType="separate"/>
        </w:r>
        <w:r w:rsidR="008153D9">
          <w:rPr>
            <w:noProof/>
            <w:webHidden/>
          </w:rPr>
          <w:t>26</w:t>
        </w:r>
        <w:r w:rsidR="008153D9">
          <w:rPr>
            <w:noProof/>
            <w:webHidden/>
          </w:rPr>
          <w:fldChar w:fldCharType="end"/>
        </w:r>
      </w:hyperlink>
    </w:p>
    <w:p w:rsidR="008153D9" w:rsidRDefault="00B4714A">
      <w:pPr>
        <w:pStyle w:val="TOC3"/>
        <w:rPr>
          <w:rFonts w:asciiTheme="minorHAnsi" w:eastAsiaTheme="minorEastAsia" w:hAnsiTheme="minorHAnsi" w:cstheme="minorBidi"/>
          <w:noProof/>
          <w:sz w:val="22"/>
          <w:szCs w:val="22"/>
          <w:lang w:val="en-US" w:eastAsia="en-US"/>
        </w:rPr>
      </w:pPr>
      <w:hyperlink w:anchor="_Toc360973032" w:history="1">
        <w:r w:rsidR="008153D9" w:rsidRPr="006B3474">
          <w:rPr>
            <w:rStyle w:val="Hyperlink"/>
            <w:noProof/>
          </w:rPr>
          <w:t>Sector context</w:t>
        </w:r>
        <w:r w:rsidR="008153D9">
          <w:rPr>
            <w:noProof/>
            <w:webHidden/>
          </w:rPr>
          <w:tab/>
        </w:r>
        <w:r w:rsidR="008153D9">
          <w:rPr>
            <w:noProof/>
            <w:webHidden/>
          </w:rPr>
          <w:fldChar w:fldCharType="begin"/>
        </w:r>
        <w:r w:rsidR="008153D9">
          <w:rPr>
            <w:noProof/>
            <w:webHidden/>
          </w:rPr>
          <w:instrText xml:space="preserve"> PAGEREF _Toc360973032 \h </w:instrText>
        </w:r>
        <w:r w:rsidR="008153D9">
          <w:rPr>
            <w:noProof/>
            <w:webHidden/>
          </w:rPr>
        </w:r>
        <w:r w:rsidR="008153D9">
          <w:rPr>
            <w:noProof/>
            <w:webHidden/>
          </w:rPr>
          <w:fldChar w:fldCharType="separate"/>
        </w:r>
        <w:r w:rsidR="008153D9">
          <w:rPr>
            <w:noProof/>
            <w:webHidden/>
          </w:rPr>
          <w:t>26</w:t>
        </w:r>
        <w:r w:rsidR="008153D9">
          <w:rPr>
            <w:noProof/>
            <w:webHidden/>
          </w:rPr>
          <w:fldChar w:fldCharType="end"/>
        </w:r>
      </w:hyperlink>
    </w:p>
    <w:p w:rsidR="008153D9" w:rsidRDefault="00B4714A">
      <w:pPr>
        <w:pStyle w:val="TOC3"/>
        <w:rPr>
          <w:rFonts w:asciiTheme="minorHAnsi" w:eastAsiaTheme="minorEastAsia" w:hAnsiTheme="minorHAnsi" w:cstheme="minorBidi"/>
          <w:noProof/>
          <w:sz w:val="22"/>
          <w:szCs w:val="22"/>
          <w:lang w:val="en-US" w:eastAsia="en-US"/>
        </w:rPr>
      </w:pPr>
      <w:hyperlink w:anchor="_Toc360973033" w:history="1">
        <w:r w:rsidR="008153D9" w:rsidRPr="006B3474">
          <w:rPr>
            <w:rStyle w:val="Hyperlink"/>
            <w:noProof/>
          </w:rPr>
          <w:t>Shared progress</w:t>
        </w:r>
        <w:r w:rsidR="008153D9">
          <w:rPr>
            <w:noProof/>
            <w:webHidden/>
          </w:rPr>
          <w:tab/>
        </w:r>
        <w:r w:rsidR="008153D9">
          <w:rPr>
            <w:noProof/>
            <w:webHidden/>
          </w:rPr>
          <w:fldChar w:fldCharType="begin"/>
        </w:r>
        <w:r w:rsidR="008153D9">
          <w:rPr>
            <w:noProof/>
            <w:webHidden/>
          </w:rPr>
          <w:instrText xml:space="preserve"> PAGEREF _Toc360973033 \h </w:instrText>
        </w:r>
        <w:r w:rsidR="008153D9">
          <w:rPr>
            <w:noProof/>
            <w:webHidden/>
          </w:rPr>
        </w:r>
        <w:r w:rsidR="008153D9">
          <w:rPr>
            <w:noProof/>
            <w:webHidden/>
          </w:rPr>
          <w:fldChar w:fldCharType="separate"/>
        </w:r>
        <w:r w:rsidR="008153D9">
          <w:rPr>
            <w:noProof/>
            <w:webHidden/>
          </w:rPr>
          <w:t>27</w:t>
        </w:r>
        <w:r w:rsidR="008153D9">
          <w:rPr>
            <w:noProof/>
            <w:webHidden/>
          </w:rPr>
          <w:fldChar w:fldCharType="end"/>
        </w:r>
      </w:hyperlink>
    </w:p>
    <w:p w:rsidR="008153D9" w:rsidRDefault="00B4714A">
      <w:pPr>
        <w:pStyle w:val="TOC3"/>
        <w:rPr>
          <w:rFonts w:asciiTheme="minorHAnsi" w:eastAsiaTheme="minorEastAsia" w:hAnsiTheme="minorHAnsi" w:cstheme="minorBidi"/>
          <w:noProof/>
          <w:sz w:val="22"/>
          <w:szCs w:val="22"/>
          <w:lang w:val="en-US" w:eastAsia="en-US"/>
        </w:rPr>
      </w:pPr>
      <w:hyperlink w:anchor="_Toc360973034" w:history="1">
        <w:r w:rsidR="008153D9" w:rsidRPr="006B3474">
          <w:rPr>
            <w:rStyle w:val="Hyperlink"/>
            <w:noProof/>
          </w:rPr>
          <w:t>Management consequences</w:t>
        </w:r>
        <w:r w:rsidR="008153D9">
          <w:rPr>
            <w:noProof/>
            <w:webHidden/>
          </w:rPr>
          <w:tab/>
        </w:r>
        <w:r w:rsidR="008153D9">
          <w:rPr>
            <w:noProof/>
            <w:webHidden/>
          </w:rPr>
          <w:fldChar w:fldCharType="begin"/>
        </w:r>
        <w:r w:rsidR="008153D9">
          <w:rPr>
            <w:noProof/>
            <w:webHidden/>
          </w:rPr>
          <w:instrText xml:space="preserve"> PAGEREF _Toc360973034 \h </w:instrText>
        </w:r>
        <w:r w:rsidR="008153D9">
          <w:rPr>
            <w:noProof/>
            <w:webHidden/>
          </w:rPr>
        </w:r>
        <w:r w:rsidR="008153D9">
          <w:rPr>
            <w:noProof/>
            <w:webHidden/>
          </w:rPr>
          <w:fldChar w:fldCharType="separate"/>
        </w:r>
        <w:r w:rsidR="008153D9">
          <w:rPr>
            <w:noProof/>
            <w:webHidden/>
          </w:rPr>
          <w:t>27</w:t>
        </w:r>
        <w:r w:rsidR="008153D9">
          <w:rPr>
            <w:noProof/>
            <w:webHidden/>
          </w:rPr>
          <w:fldChar w:fldCharType="end"/>
        </w:r>
      </w:hyperlink>
    </w:p>
    <w:p w:rsidR="008153D9" w:rsidRDefault="00B4714A">
      <w:pPr>
        <w:pStyle w:val="TOC2"/>
        <w:rPr>
          <w:rFonts w:asciiTheme="minorHAnsi" w:eastAsiaTheme="minorEastAsia" w:hAnsiTheme="minorHAnsi" w:cstheme="minorBidi"/>
          <w:noProof/>
          <w:color w:val="auto"/>
          <w:sz w:val="22"/>
          <w:szCs w:val="22"/>
          <w:lang w:val="en-US" w:eastAsia="en-US"/>
        </w:rPr>
      </w:pPr>
      <w:hyperlink w:anchor="_Toc360973035" w:history="1">
        <w:r w:rsidR="008153D9" w:rsidRPr="006B3474">
          <w:rPr>
            <w:rStyle w:val="Hyperlink"/>
            <w:noProof/>
          </w:rPr>
          <w:t>Sector: Policing capacity and justice</w:t>
        </w:r>
        <w:r w:rsidR="008153D9">
          <w:rPr>
            <w:noProof/>
            <w:webHidden/>
          </w:rPr>
          <w:tab/>
        </w:r>
        <w:r w:rsidR="008153D9">
          <w:rPr>
            <w:noProof/>
            <w:webHidden/>
          </w:rPr>
          <w:fldChar w:fldCharType="begin"/>
        </w:r>
        <w:r w:rsidR="008153D9">
          <w:rPr>
            <w:noProof/>
            <w:webHidden/>
          </w:rPr>
          <w:instrText xml:space="preserve"> PAGEREF _Toc360973035 \h </w:instrText>
        </w:r>
        <w:r w:rsidR="008153D9">
          <w:rPr>
            <w:noProof/>
            <w:webHidden/>
          </w:rPr>
        </w:r>
        <w:r w:rsidR="008153D9">
          <w:rPr>
            <w:noProof/>
            <w:webHidden/>
          </w:rPr>
          <w:fldChar w:fldCharType="separate"/>
        </w:r>
        <w:r w:rsidR="008153D9">
          <w:rPr>
            <w:noProof/>
            <w:webHidden/>
          </w:rPr>
          <w:t>28</w:t>
        </w:r>
        <w:r w:rsidR="008153D9">
          <w:rPr>
            <w:noProof/>
            <w:webHidden/>
          </w:rPr>
          <w:fldChar w:fldCharType="end"/>
        </w:r>
      </w:hyperlink>
    </w:p>
    <w:p w:rsidR="008153D9" w:rsidRDefault="00B4714A">
      <w:pPr>
        <w:pStyle w:val="TOC3"/>
        <w:rPr>
          <w:rFonts w:asciiTheme="minorHAnsi" w:eastAsiaTheme="minorEastAsia" w:hAnsiTheme="minorHAnsi" w:cstheme="minorBidi"/>
          <w:noProof/>
          <w:sz w:val="22"/>
          <w:szCs w:val="22"/>
          <w:lang w:val="en-US" w:eastAsia="en-US"/>
        </w:rPr>
      </w:pPr>
      <w:hyperlink w:anchor="_Toc360973036" w:history="1">
        <w:r w:rsidR="008153D9" w:rsidRPr="006B3474">
          <w:rPr>
            <w:rStyle w:val="Hyperlink"/>
            <w:noProof/>
          </w:rPr>
          <w:t>Australia’s role</w:t>
        </w:r>
        <w:r w:rsidR="008153D9">
          <w:rPr>
            <w:noProof/>
            <w:webHidden/>
          </w:rPr>
          <w:tab/>
        </w:r>
        <w:r w:rsidR="008153D9">
          <w:rPr>
            <w:noProof/>
            <w:webHidden/>
          </w:rPr>
          <w:fldChar w:fldCharType="begin"/>
        </w:r>
        <w:r w:rsidR="008153D9">
          <w:rPr>
            <w:noProof/>
            <w:webHidden/>
          </w:rPr>
          <w:instrText xml:space="preserve"> PAGEREF _Toc360973036 \h </w:instrText>
        </w:r>
        <w:r w:rsidR="008153D9">
          <w:rPr>
            <w:noProof/>
            <w:webHidden/>
          </w:rPr>
        </w:r>
        <w:r w:rsidR="008153D9">
          <w:rPr>
            <w:noProof/>
            <w:webHidden/>
          </w:rPr>
          <w:fldChar w:fldCharType="separate"/>
        </w:r>
        <w:r w:rsidR="008153D9">
          <w:rPr>
            <w:noProof/>
            <w:webHidden/>
          </w:rPr>
          <w:t>28</w:t>
        </w:r>
        <w:r w:rsidR="008153D9">
          <w:rPr>
            <w:noProof/>
            <w:webHidden/>
          </w:rPr>
          <w:fldChar w:fldCharType="end"/>
        </w:r>
      </w:hyperlink>
    </w:p>
    <w:p w:rsidR="008153D9" w:rsidRDefault="00B4714A">
      <w:pPr>
        <w:pStyle w:val="TOC3"/>
        <w:rPr>
          <w:rFonts w:asciiTheme="minorHAnsi" w:eastAsiaTheme="minorEastAsia" w:hAnsiTheme="minorHAnsi" w:cstheme="minorBidi"/>
          <w:noProof/>
          <w:sz w:val="22"/>
          <w:szCs w:val="22"/>
          <w:lang w:val="en-US" w:eastAsia="en-US"/>
        </w:rPr>
      </w:pPr>
      <w:hyperlink w:anchor="_Toc360973037" w:history="1">
        <w:r w:rsidR="008153D9" w:rsidRPr="006B3474">
          <w:rPr>
            <w:rStyle w:val="Hyperlink"/>
            <w:noProof/>
          </w:rPr>
          <w:t>Shared progress</w:t>
        </w:r>
        <w:r w:rsidR="008153D9">
          <w:rPr>
            <w:noProof/>
            <w:webHidden/>
          </w:rPr>
          <w:tab/>
        </w:r>
        <w:r w:rsidR="008153D9">
          <w:rPr>
            <w:noProof/>
            <w:webHidden/>
          </w:rPr>
          <w:fldChar w:fldCharType="begin"/>
        </w:r>
        <w:r w:rsidR="008153D9">
          <w:rPr>
            <w:noProof/>
            <w:webHidden/>
          </w:rPr>
          <w:instrText xml:space="preserve"> PAGEREF _Toc360973037 \h </w:instrText>
        </w:r>
        <w:r w:rsidR="008153D9">
          <w:rPr>
            <w:noProof/>
            <w:webHidden/>
          </w:rPr>
        </w:r>
        <w:r w:rsidR="008153D9">
          <w:rPr>
            <w:noProof/>
            <w:webHidden/>
          </w:rPr>
          <w:fldChar w:fldCharType="separate"/>
        </w:r>
        <w:r w:rsidR="008153D9">
          <w:rPr>
            <w:noProof/>
            <w:webHidden/>
          </w:rPr>
          <w:t>28</w:t>
        </w:r>
        <w:r w:rsidR="008153D9">
          <w:rPr>
            <w:noProof/>
            <w:webHidden/>
          </w:rPr>
          <w:fldChar w:fldCharType="end"/>
        </w:r>
      </w:hyperlink>
    </w:p>
    <w:p w:rsidR="008153D9" w:rsidRDefault="00B4714A">
      <w:pPr>
        <w:pStyle w:val="TOC3"/>
        <w:rPr>
          <w:rFonts w:asciiTheme="minorHAnsi" w:eastAsiaTheme="minorEastAsia" w:hAnsiTheme="minorHAnsi" w:cstheme="minorBidi"/>
          <w:noProof/>
          <w:sz w:val="22"/>
          <w:szCs w:val="22"/>
          <w:lang w:val="en-US" w:eastAsia="en-US"/>
        </w:rPr>
      </w:pPr>
      <w:hyperlink w:anchor="_Toc360973038" w:history="1">
        <w:r w:rsidR="008153D9" w:rsidRPr="006B3474">
          <w:rPr>
            <w:rStyle w:val="Hyperlink"/>
            <w:noProof/>
          </w:rPr>
          <w:t>Management consequences</w:t>
        </w:r>
        <w:r w:rsidR="008153D9">
          <w:rPr>
            <w:noProof/>
            <w:webHidden/>
          </w:rPr>
          <w:tab/>
        </w:r>
        <w:r w:rsidR="008153D9">
          <w:rPr>
            <w:noProof/>
            <w:webHidden/>
          </w:rPr>
          <w:fldChar w:fldCharType="begin"/>
        </w:r>
        <w:r w:rsidR="008153D9">
          <w:rPr>
            <w:noProof/>
            <w:webHidden/>
          </w:rPr>
          <w:instrText xml:space="preserve"> PAGEREF _Toc360973038 \h </w:instrText>
        </w:r>
        <w:r w:rsidR="008153D9">
          <w:rPr>
            <w:noProof/>
            <w:webHidden/>
          </w:rPr>
        </w:r>
        <w:r w:rsidR="008153D9">
          <w:rPr>
            <w:noProof/>
            <w:webHidden/>
          </w:rPr>
          <w:fldChar w:fldCharType="separate"/>
        </w:r>
        <w:r w:rsidR="008153D9">
          <w:rPr>
            <w:noProof/>
            <w:webHidden/>
          </w:rPr>
          <w:t>29</w:t>
        </w:r>
        <w:r w:rsidR="008153D9">
          <w:rPr>
            <w:noProof/>
            <w:webHidden/>
          </w:rPr>
          <w:fldChar w:fldCharType="end"/>
        </w:r>
      </w:hyperlink>
    </w:p>
    <w:p w:rsidR="008153D9" w:rsidRDefault="00B4714A">
      <w:pPr>
        <w:pStyle w:val="TOC1"/>
        <w:rPr>
          <w:rFonts w:asciiTheme="minorHAnsi" w:eastAsiaTheme="minorEastAsia" w:hAnsiTheme="minorHAnsi" w:cstheme="minorBidi"/>
          <w:noProof/>
          <w:color w:val="auto"/>
          <w:sz w:val="22"/>
          <w:szCs w:val="22"/>
          <w:lang w:val="en-US" w:eastAsia="en-US"/>
        </w:rPr>
      </w:pPr>
      <w:hyperlink w:anchor="_Toc360973039" w:history="1">
        <w:r w:rsidR="008153D9" w:rsidRPr="006B3474">
          <w:rPr>
            <w:rStyle w:val="Hyperlink"/>
            <w:noProof/>
          </w:rPr>
          <w:t>Program quality</w:t>
        </w:r>
        <w:r w:rsidR="008153D9">
          <w:rPr>
            <w:noProof/>
            <w:webHidden/>
          </w:rPr>
          <w:tab/>
        </w:r>
        <w:r w:rsidR="008153D9">
          <w:rPr>
            <w:noProof/>
            <w:webHidden/>
          </w:rPr>
          <w:fldChar w:fldCharType="begin"/>
        </w:r>
        <w:r w:rsidR="008153D9">
          <w:rPr>
            <w:noProof/>
            <w:webHidden/>
          </w:rPr>
          <w:instrText xml:space="preserve"> PAGEREF _Toc360973039 \h </w:instrText>
        </w:r>
        <w:r w:rsidR="008153D9">
          <w:rPr>
            <w:noProof/>
            <w:webHidden/>
          </w:rPr>
        </w:r>
        <w:r w:rsidR="008153D9">
          <w:rPr>
            <w:noProof/>
            <w:webHidden/>
          </w:rPr>
          <w:fldChar w:fldCharType="separate"/>
        </w:r>
        <w:r w:rsidR="008153D9">
          <w:rPr>
            <w:noProof/>
            <w:webHidden/>
          </w:rPr>
          <w:t>30</w:t>
        </w:r>
        <w:r w:rsidR="008153D9">
          <w:rPr>
            <w:noProof/>
            <w:webHidden/>
          </w:rPr>
          <w:fldChar w:fldCharType="end"/>
        </w:r>
      </w:hyperlink>
    </w:p>
    <w:p w:rsidR="008153D9" w:rsidRDefault="00B4714A">
      <w:pPr>
        <w:pStyle w:val="TOC2"/>
        <w:rPr>
          <w:rFonts w:asciiTheme="minorHAnsi" w:eastAsiaTheme="minorEastAsia" w:hAnsiTheme="minorHAnsi" w:cstheme="minorBidi"/>
          <w:noProof/>
          <w:color w:val="auto"/>
          <w:sz w:val="22"/>
          <w:szCs w:val="22"/>
          <w:lang w:val="en-US" w:eastAsia="en-US"/>
        </w:rPr>
      </w:pPr>
      <w:hyperlink w:anchor="_Toc360973040" w:history="1">
        <w:r w:rsidR="008153D9" w:rsidRPr="006B3474">
          <w:rPr>
            <w:rStyle w:val="Hyperlink"/>
            <w:noProof/>
          </w:rPr>
          <w:t>Discussion of Quality at Implementation ratings</w:t>
        </w:r>
        <w:r w:rsidR="008153D9">
          <w:rPr>
            <w:noProof/>
            <w:webHidden/>
          </w:rPr>
          <w:tab/>
        </w:r>
        <w:r w:rsidR="008153D9">
          <w:rPr>
            <w:noProof/>
            <w:webHidden/>
          </w:rPr>
          <w:fldChar w:fldCharType="begin"/>
        </w:r>
        <w:r w:rsidR="008153D9">
          <w:rPr>
            <w:noProof/>
            <w:webHidden/>
          </w:rPr>
          <w:instrText xml:space="preserve"> PAGEREF _Toc360973040 \h </w:instrText>
        </w:r>
        <w:r w:rsidR="008153D9">
          <w:rPr>
            <w:noProof/>
            <w:webHidden/>
          </w:rPr>
        </w:r>
        <w:r w:rsidR="008153D9">
          <w:rPr>
            <w:noProof/>
            <w:webHidden/>
          </w:rPr>
          <w:fldChar w:fldCharType="separate"/>
        </w:r>
        <w:r w:rsidR="008153D9">
          <w:rPr>
            <w:noProof/>
            <w:webHidden/>
          </w:rPr>
          <w:t>30</w:t>
        </w:r>
        <w:r w:rsidR="008153D9">
          <w:rPr>
            <w:noProof/>
            <w:webHidden/>
          </w:rPr>
          <w:fldChar w:fldCharType="end"/>
        </w:r>
      </w:hyperlink>
    </w:p>
    <w:p w:rsidR="008153D9" w:rsidRDefault="00B4714A">
      <w:pPr>
        <w:pStyle w:val="TOC2"/>
        <w:rPr>
          <w:rFonts w:asciiTheme="minorHAnsi" w:eastAsiaTheme="minorEastAsia" w:hAnsiTheme="minorHAnsi" w:cstheme="minorBidi"/>
          <w:noProof/>
          <w:color w:val="auto"/>
          <w:sz w:val="22"/>
          <w:szCs w:val="22"/>
          <w:lang w:val="en-US" w:eastAsia="en-US"/>
        </w:rPr>
      </w:pPr>
      <w:hyperlink w:anchor="_Toc360973041" w:history="1">
        <w:r w:rsidR="008153D9" w:rsidRPr="006B3474">
          <w:rPr>
            <w:rStyle w:val="Hyperlink"/>
            <w:noProof/>
          </w:rPr>
          <w:t>Major quality successes, issues and challenges</w:t>
        </w:r>
        <w:r w:rsidR="008153D9">
          <w:rPr>
            <w:noProof/>
            <w:webHidden/>
          </w:rPr>
          <w:tab/>
        </w:r>
        <w:r w:rsidR="008153D9">
          <w:rPr>
            <w:noProof/>
            <w:webHidden/>
          </w:rPr>
          <w:fldChar w:fldCharType="begin"/>
        </w:r>
        <w:r w:rsidR="008153D9">
          <w:rPr>
            <w:noProof/>
            <w:webHidden/>
          </w:rPr>
          <w:instrText xml:space="preserve"> PAGEREF _Toc360973041 \h </w:instrText>
        </w:r>
        <w:r w:rsidR="008153D9">
          <w:rPr>
            <w:noProof/>
            <w:webHidden/>
          </w:rPr>
        </w:r>
        <w:r w:rsidR="008153D9">
          <w:rPr>
            <w:noProof/>
            <w:webHidden/>
          </w:rPr>
          <w:fldChar w:fldCharType="separate"/>
        </w:r>
        <w:r w:rsidR="008153D9">
          <w:rPr>
            <w:noProof/>
            <w:webHidden/>
          </w:rPr>
          <w:t>31</w:t>
        </w:r>
        <w:r w:rsidR="008153D9">
          <w:rPr>
            <w:noProof/>
            <w:webHidden/>
          </w:rPr>
          <w:fldChar w:fldCharType="end"/>
        </w:r>
      </w:hyperlink>
    </w:p>
    <w:p w:rsidR="008153D9" w:rsidRDefault="00B4714A">
      <w:pPr>
        <w:pStyle w:val="TOC2"/>
        <w:rPr>
          <w:rFonts w:asciiTheme="minorHAnsi" w:eastAsiaTheme="minorEastAsia" w:hAnsiTheme="minorHAnsi" w:cstheme="minorBidi"/>
          <w:noProof/>
          <w:color w:val="auto"/>
          <w:sz w:val="22"/>
          <w:szCs w:val="22"/>
          <w:lang w:val="en-US" w:eastAsia="en-US"/>
        </w:rPr>
      </w:pPr>
      <w:hyperlink w:anchor="_Toc360973042" w:history="1">
        <w:r w:rsidR="008153D9" w:rsidRPr="006B3474">
          <w:rPr>
            <w:rStyle w:val="Hyperlink"/>
            <w:noProof/>
          </w:rPr>
          <w:t>Crosscutting themes</w:t>
        </w:r>
        <w:r w:rsidR="008153D9">
          <w:rPr>
            <w:noProof/>
            <w:webHidden/>
          </w:rPr>
          <w:tab/>
        </w:r>
        <w:r w:rsidR="008153D9">
          <w:rPr>
            <w:noProof/>
            <w:webHidden/>
          </w:rPr>
          <w:fldChar w:fldCharType="begin"/>
        </w:r>
        <w:r w:rsidR="008153D9">
          <w:rPr>
            <w:noProof/>
            <w:webHidden/>
          </w:rPr>
          <w:instrText xml:space="preserve"> PAGEREF _Toc360973042 \h </w:instrText>
        </w:r>
        <w:r w:rsidR="008153D9">
          <w:rPr>
            <w:noProof/>
            <w:webHidden/>
          </w:rPr>
        </w:r>
        <w:r w:rsidR="008153D9">
          <w:rPr>
            <w:noProof/>
            <w:webHidden/>
          </w:rPr>
          <w:fldChar w:fldCharType="separate"/>
        </w:r>
        <w:r w:rsidR="008153D9">
          <w:rPr>
            <w:noProof/>
            <w:webHidden/>
          </w:rPr>
          <w:t>31</w:t>
        </w:r>
        <w:r w:rsidR="008153D9">
          <w:rPr>
            <w:noProof/>
            <w:webHidden/>
          </w:rPr>
          <w:fldChar w:fldCharType="end"/>
        </w:r>
      </w:hyperlink>
    </w:p>
    <w:p w:rsidR="008153D9" w:rsidRDefault="00B4714A">
      <w:pPr>
        <w:pStyle w:val="TOC3"/>
        <w:rPr>
          <w:rFonts w:asciiTheme="minorHAnsi" w:eastAsiaTheme="minorEastAsia" w:hAnsiTheme="minorHAnsi" w:cstheme="minorBidi"/>
          <w:noProof/>
          <w:sz w:val="22"/>
          <w:szCs w:val="22"/>
          <w:lang w:val="en-US" w:eastAsia="en-US"/>
        </w:rPr>
      </w:pPr>
      <w:hyperlink w:anchor="_Toc360973043" w:history="1">
        <w:r w:rsidR="008153D9" w:rsidRPr="006B3474">
          <w:rPr>
            <w:rStyle w:val="Hyperlink"/>
            <w:noProof/>
          </w:rPr>
          <w:t>Capacity development approaches</w:t>
        </w:r>
        <w:r w:rsidR="008153D9">
          <w:rPr>
            <w:noProof/>
            <w:webHidden/>
          </w:rPr>
          <w:tab/>
        </w:r>
        <w:r w:rsidR="008153D9">
          <w:rPr>
            <w:noProof/>
            <w:webHidden/>
          </w:rPr>
          <w:fldChar w:fldCharType="begin"/>
        </w:r>
        <w:r w:rsidR="008153D9">
          <w:rPr>
            <w:noProof/>
            <w:webHidden/>
          </w:rPr>
          <w:instrText xml:space="preserve"> PAGEREF _Toc360973043 \h </w:instrText>
        </w:r>
        <w:r w:rsidR="008153D9">
          <w:rPr>
            <w:noProof/>
            <w:webHidden/>
          </w:rPr>
        </w:r>
        <w:r w:rsidR="008153D9">
          <w:rPr>
            <w:noProof/>
            <w:webHidden/>
          </w:rPr>
          <w:fldChar w:fldCharType="separate"/>
        </w:r>
        <w:r w:rsidR="008153D9">
          <w:rPr>
            <w:noProof/>
            <w:webHidden/>
          </w:rPr>
          <w:t>31</w:t>
        </w:r>
        <w:r w:rsidR="008153D9">
          <w:rPr>
            <w:noProof/>
            <w:webHidden/>
          </w:rPr>
          <w:fldChar w:fldCharType="end"/>
        </w:r>
      </w:hyperlink>
    </w:p>
    <w:p w:rsidR="008153D9" w:rsidRDefault="00B4714A">
      <w:pPr>
        <w:pStyle w:val="TOC3"/>
        <w:rPr>
          <w:rFonts w:asciiTheme="minorHAnsi" w:eastAsiaTheme="minorEastAsia" w:hAnsiTheme="minorHAnsi" w:cstheme="minorBidi"/>
          <w:noProof/>
          <w:sz w:val="22"/>
          <w:szCs w:val="22"/>
          <w:lang w:val="en-US" w:eastAsia="en-US"/>
        </w:rPr>
      </w:pPr>
      <w:hyperlink w:anchor="_Toc360973044" w:history="1">
        <w:r w:rsidR="008153D9" w:rsidRPr="006B3474">
          <w:rPr>
            <w:rStyle w:val="Hyperlink"/>
            <w:noProof/>
          </w:rPr>
          <w:t>Adviser effectiveness</w:t>
        </w:r>
        <w:r w:rsidR="008153D9">
          <w:rPr>
            <w:noProof/>
            <w:webHidden/>
          </w:rPr>
          <w:tab/>
        </w:r>
        <w:r w:rsidR="008153D9">
          <w:rPr>
            <w:noProof/>
            <w:webHidden/>
          </w:rPr>
          <w:fldChar w:fldCharType="begin"/>
        </w:r>
        <w:r w:rsidR="008153D9">
          <w:rPr>
            <w:noProof/>
            <w:webHidden/>
          </w:rPr>
          <w:instrText xml:space="preserve"> PAGEREF _Toc360973044 \h </w:instrText>
        </w:r>
        <w:r w:rsidR="008153D9">
          <w:rPr>
            <w:noProof/>
            <w:webHidden/>
          </w:rPr>
        </w:r>
        <w:r w:rsidR="008153D9">
          <w:rPr>
            <w:noProof/>
            <w:webHidden/>
          </w:rPr>
          <w:fldChar w:fldCharType="separate"/>
        </w:r>
        <w:r w:rsidR="008153D9">
          <w:rPr>
            <w:noProof/>
            <w:webHidden/>
          </w:rPr>
          <w:t>32</w:t>
        </w:r>
        <w:r w:rsidR="008153D9">
          <w:rPr>
            <w:noProof/>
            <w:webHidden/>
          </w:rPr>
          <w:fldChar w:fldCharType="end"/>
        </w:r>
      </w:hyperlink>
    </w:p>
    <w:p w:rsidR="008153D9" w:rsidRDefault="00B4714A">
      <w:pPr>
        <w:pStyle w:val="TOC3"/>
        <w:rPr>
          <w:rFonts w:asciiTheme="minorHAnsi" w:eastAsiaTheme="minorEastAsia" w:hAnsiTheme="minorHAnsi" w:cstheme="minorBidi"/>
          <w:noProof/>
          <w:sz w:val="22"/>
          <w:szCs w:val="22"/>
          <w:lang w:val="en-US" w:eastAsia="en-US"/>
        </w:rPr>
      </w:pPr>
      <w:hyperlink w:anchor="_Toc360973045" w:history="1">
        <w:r w:rsidR="008153D9" w:rsidRPr="006B3474">
          <w:rPr>
            <w:rStyle w:val="Hyperlink"/>
            <w:noProof/>
          </w:rPr>
          <w:t>Service-delivery focus</w:t>
        </w:r>
        <w:r w:rsidR="008153D9">
          <w:rPr>
            <w:noProof/>
            <w:webHidden/>
          </w:rPr>
          <w:tab/>
        </w:r>
        <w:r w:rsidR="008153D9">
          <w:rPr>
            <w:noProof/>
            <w:webHidden/>
          </w:rPr>
          <w:fldChar w:fldCharType="begin"/>
        </w:r>
        <w:r w:rsidR="008153D9">
          <w:rPr>
            <w:noProof/>
            <w:webHidden/>
          </w:rPr>
          <w:instrText xml:space="preserve"> PAGEREF _Toc360973045 \h </w:instrText>
        </w:r>
        <w:r w:rsidR="008153D9">
          <w:rPr>
            <w:noProof/>
            <w:webHidden/>
          </w:rPr>
        </w:r>
        <w:r w:rsidR="008153D9">
          <w:rPr>
            <w:noProof/>
            <w:webHidden/>
          </w:rPr>
          <w:fldChar w:fldCharType="separate"/>
        </w:r>
        <w:r w:rsidR="008153D9">
          <w:rPr>
            <w:noProof/>
            <w:webHidden/>
          </w:rPr>
          <w:t>32</w:t>
        </w:r>
        <w:r w:rsidR="008153D9">
          <w:rPr>
            <w:noProof/>
            <w:webHidden/>
          </w:rPr>
          <w:fldChar w:fldCharType="end"/>
        </w:r>
      </w:hyperlink>
    </w:p>
    <w:p w:rsidR="008153D9" w:rsidRDefault="00B4714A">
      <w:pPr>
        <w:pStyle w:val="TOC3"/>
        <w:rPr>
          <w:rFonts w:asciiTheme="minorHAnsi" w:eastAsiaTheme="minorEastAsia" w:hAnsiTheme="minorHAnsi" w:cstheme="minorBidi"/>
          <w:noProof/>
          <w:sz w:val="22"/>
          <w:szCs w:val="22"/>
          <w:lang w:val="en-US" w:eastAsia="en-US"/>
        </w:rPr>
      </w:pPr>
      <w:hyperlink w:anchor="_Toc360973046" w:history="1">
        <w:r w:rsidR="008153D9" w:rsidRPr="006B3474">
          <w:rPr>
            <w:rStyle w:val="Hyperlink"/>
            <w:noProof/>
          </w:rPr>
          <w:t>Gender</w:t>
        </w:r>
        <w:r w:rsidR="008153D9">
          <w:rPr>
            <w:noProof/>
            <w:webHidden/>
          </w:rPr>
          <w:tab/>
        </w:r>
        <w:r w:rsidR="008153D9">
          <w:rPr>
            <w:noProof/>
            <w:webHidden/>
          </w:rPr>
          <w:fldChar w:fldCharType="begin"/>
        </w:r>
        <w:r w:rsidR="008153D9">
          <w:rPr>
            <w:noProof/>
            <w:webHidden/>
          </w:rPr>
          <w:instrText xml:space="preserve"> PAGEREF _Toc360973046 \h </w:instrText>
        </w:r>
        <w:r w:rsidR="008153D9">
          <w:rPr>
            <w:noProof/>
            <w:webHidden/>
          </w:rPr>
        </w:r>
        <w:r w:rsidR="008153D9">
          <w:rPr>
            <w:noProof/>
            <w:webHidden/>
          </w:rPr>
          <w:fldChar w:fldCharType="separate"/>
        </w:r>
        <w:r w:rsidR="008153D9">
          <w:rPr>
            <w:noProof/>
            <w:webHidden/>
          </w:rPr>
          <w:t>32</w:t>
        </w:r>
        <w:r w:rsidR="008153D9">
          <w:rPr>
            <w:noProof/>
            <w:webHidden/>
          </w:rPr>
          <w:fldChar w:fldCharType="end"/>
        </w:r>
      </w:hyperlink>
    </w:p>
    <w:p w:rsidR="008153D9" w:rsidRDefault="00B4714A">
      <w:pPr>
        <w:pStyle w:val="TOC3"/>
        <w:rPr>
          <w:rFonts w:asciiTheme="minorHAnsi" w:eastAsiaTheme="minorEastAsia" w:hAnsiTheme="minorHAnsi" w:cstheme="minorBidi"/>
          <w:noProof/>
          <w:sz w:val="22"/>
          <w:szCs w:val="22"/>
          <w:lang w:val="en-US" w:eastAsia="en-US"/>
        </w:rPr>
      </w:pPr>
      <w:hyperlink w:anchor="_Toc360973047" w:history="1">
        <w:r w:rsidR="008153D9" w:rsidRPr="006B3474">
          <w:rPr>
            <w:rStyle w:val="Hyperlink"/>
            <w:noProof/>
          </w:rPr>
          <w:t>Nutrition and food security</w:t>
        </w:r>
        <w:r w:rsidR="008153D9">
          <w:rPr>
            <w:noProof/>
            <w:webHidden/>
          </w:rPr>
          <w:tab/>
        </w:r>
        <w:r w:rsidR="008153D9">
          <w:rPr>
            <w:noProof/>
            <w:webHidden/>
          </w:rPr>
          <w:fldChar w:fldCharType="begin"/>
        </w:r>
        <w:r w:rsidR="008153D9">
          <w:rPr>
            <w:noProof/>
            <w:webHidden/>
          </w:rPr>
          <w:instrText xml:space="preserve"> PAGEREF _Toc360973047 \h </w:instrText>
        </w:r>
        <w:r w:rsidR="008153D9">
          <w:rPr>
            <w:noProof/>
            <w:webHidden/>
          </w:rPr>
        </w:r>
        <w:r w:rsidR="008153D9">
          <w:rPr>
            <w:noProof/>
            <w:webHidden/>
          </w:rPr>
          <w:fldChar w:fldCharType="separate"/>
        </w:r>
        <w:r w:rsidR="008153D9">
          <w:rPr>
            <w:noProof/>
            <w:webHidden/>
          </w:rPr>
          <w:t>33</w:t>
        </w:r>
        <w:r w:rsidR="008153D9">
          <w:rPr>
            <w:noProof/>
            <w:webHidden/>
          </w:rPr>
          <w:fldChar w:fldCharType="end"/>
        </w:r>
      </w:hyperlink>
    </w:p>
    <w:p w:rsidR="008153D9" w:rsidRDefault="00B4714A">
      <w:pPr>
        <w:pStyle w:val="TOC3"/>
        <w:rPr>
          <w:rFonts w:asciiTheme="minorHAnsi" w:eastAsiaTheme="minorEastAsia" w:hAnsiTheme="minorHAnsi" w:cstheme="minorBidi"/>
          <w:noProof/>
          <w:sz w:val="22"/>
          <w:szCs w:val="22"/>
          <w:lang w:val="en-US" w:eastAsia="en-US"/>
        </w:rPr>
      </w:pPr>
      <w:hyperlink w:anchor="_Toc360973048" w:history="1">
        <w:r w:rsidR="008153D9" w:rsidRPr="006B3474">
          <w:rPr>
            <w:rStyle w:val="Hyperlink"/>
            <w:noProof/>
          </w:rPr>
          <w:t>Aid effectiveness</w:t>
        </w:r>
        <w:r w:rsidR="008153D9">
          <w:rPr>
            <w:noProof/>
            <w:webHidden/>
          </w:rPr>
          <w:tab/>
        </w:r>
        <w:r w:rsidR="008153D9">
          <w:rPr>
            <w:noProof/>
            <w:webHidden/>
          </w:rPr>
          <w:fldChar w:fldCharType="begin"/>
        </w:r>
        <w:r w:rsidR="008153D9">
          <w:rPr>
            <w:noProof/>
            <w:webHidden/>
          </w:rPr>
          <w:instrText xml:space="preserve"> PAGEREF _Toc360973048 \h </w:instrText>
        </w:r>
        <w:r w:rsidR="008153D9">
          <w:rPr>
            <w:noProof/>
            <w:webHidden/>
          </w:rPr>
        </w:r>
        <w:r w:rsidR="008153D9">
          <w:rPr>
            <w:noProof/>
            <w:webHidden/>
          </w:rPr>
          <w:fldChar w:fldCharType="separate"/>
        </w:r>
        <w:r w:rsidR="008153D9">
          <w:rPr>
            <w:noProof/>
            <w:webHidden/>
          </w:rPr>
          <w:t>33</w:t>
        </w:r>
        <w:r w:rsidR="008153D9">
          <w:rPr>
            <w:noProof/>
            <w:webHidden/>
          </w:rPr>
          <w:fldChar w:fldCharType="end"/>
        </w:r>
      </w:hyperlink>
    </w:p>
    <w:p w:rsidR="008153D9" w:rsidRDefault="00B4714A">
      <w:pPr>
        <w:pStyle w:val="TOC3"/>
        <w:rPr>
          <w:rFonts w:asciiTheme="minorHAnsi" w:eastAsiaTheme="minorEastAsia" w:hAnsiTheme="minorHAnsi" w:cstheme="minorBidi"/>
          <w:noProof/>
          <w:sz w:val="22"/>
          <w:szCs w:val="22"/>
          <w:lang w:val="en-US" w:eastAsia="en-US"/>
        </w:rPr>
      </w:pPr>
      <w:hyperlink w:anchor="_Toc360973049" w:history="1">
        <w:r w:rsidR="008153D9" w:rsidRPr="006B3474">
          <w:rPr>
            <w:rStyle w:val="Hyperlink"/>
            <w:noProof/>
          </w:rPr>
          <w:t>Policy influence</w:t>
        </w:r>
        <w:r w:rsidR="008153D9">
          <w:rPr>
            <w:noProof/>
            <w:webHidden/>
          </w:rPr>
          <w:tab/>
        </w:r>
        <w:r w:rsidR="008153D9">
          <w:rPr>
            <w:noProof/>
            <w:webHidden/>
          </w:rPr>
          <w:fldChar w:fldCharType="begin"/>
        </w:r>
        <w:r w:rsidR="008153D9">
          <w:rPr>
            <w:noProof/>
            <w:webHidden/>
          </w:rPr>
          <w:instrText xml:space="preserve"> PAGEREF _Toc360973049 \h </w:instrText>
        </w:r>
        <w:r w:rsidR="008153D9">
          <w:rPr>
            <w:noProof/>
            <w:webHidden/>
          </w:rPr>
        </w:r>
        <w:r w:rsidR="008153D9">
          <w:rPr>
            <w:noProof/>
            <w:webHidden/>
          </w:rPr>
          <w:fldChar w:fldCharType="separate"/>
        </w:r>
        <w:r w:rsidR="008153D9">
          <w:rPr>
            <w:noProof/>
            <w:webHidden/>
          </w:rPr>
          <w:t>34</w:t>
        </w:r>
        <w:r w:rsidR="008153D9">
          <w:rPr>
            <w:noProof/>
            <w:webHidden/>
          </w:rPr>
          <w:fldChar w:fldCharType="end"/>
        </w:r>
      </w:hyperlink>
    </w:p>
    <w:p w:rsidR="008153D9" w:rsidRDefault="00B4714A">
      <w:pPr>
        <w:pStyle w:val="TOC3"/>
        <w:rPr>
          <w:rFonts w:asciiTheme="minorHAnsi" w:eastAsiaTheme="minorEastAsia" w:hAnsiTheme="minorHAnsi" w:cstheme="minorBidi"/>
          <w:noProof/>
          <w:sz w:val="22"/>
          <w:szCs w:val="22"/>
          <w:lang w:val="en-US" w:eastAsia="en-US"/>
        </w:rPr>
      </w:pPr>
      <w:hyperlink w:anchor="_Toc360973050" w:history="1">
        <w:r w:rsidR="008153D9" w:rsidRPr="006B3474">
          <w:rPr>
            <w:rStyle w:val="Hyperlink"/>
            <w:noProof/>
          </w:rPr>
          <w:t>Results focus</w:t>
        </w:r>
        <w:r w:rsidR="008153D9">
          <w:rPr>
            <w:noProof/>
            <w:webHidden/>
          </w:rPr>
          <w:tab/>
        </w:r>
        <w:r w:rsidR="008153D9">
          <w:rPr>
            <w:noProof/>
            <w:webHidden/>
          </w:rPr>
          <w:fldChar w:fldCharType="begin"/>
        </w:r>
        <w:r w:rsidR="008153D9">
          <w:rPr>
            <w:noProof/>
            <w:webHidden/>
          </w:rPr>
          <w:instrText xml:space="preserve"> PAGEREF _Toc360973050 \h </w:instrText>
        </w:r>
        <w:r w:rsidR="008153D9">
          <w:rPr>
            <w:noProof/>
            <w:webHidden/>
          </w:rPr>
        </w:r>
        <w:r w:rsidR="008153D9">
          <w:rPr>
            <w:noProof/>
            <w:webHidden/>
          </w:rPr>
          <w:fldChar w:fldCharType="separate"/>
        </w:r>
        <w:r w:rsidR="008153D9">
          <w:rPr>
            <w:noProof/>
            <w:webHidden/>
          </w:rPr>
          <w:t>34</w:t>
        </w:r>
        <w:r w:rsidR="008153D9">
          <w:rPr>
            <w:noProof/>
            <w:webHidden/>
          </w:rPr>
          <w:fldChar w:fldCharType="end"/>
        </w:r>
      </w:hyperlink>
    </w:p>
    <w:p w:rsidR="008153D9" w:rsidRDefault="00B4714A">
      <w:pPr>
        <w:pStyle w:val="TOC3"/>
        <w:rPr>
          <w:rFonts w:asciiTheme="minorHAnsi" w:eastAsiaTheme="minorEastAsia" w:hAnsiTheme="minorHAnsi" w:cstheme="minorBidi"/>
          <w:noProof/>
          <w:sz w:val="22"/>
          <w:szCs w:val="22"/>
          <w:lang w:val="en-US" w:eastAsia="en-US"/>
        </w:rPr>
      </w:pPr>
      <w:hyperlink w:anchor="_Toc360973051" w:history="1">
        <w:r w:rsidR="008153D9" w:rsidRPr="006B3474">
          <w:rPr>
            <w:rStyle w:val="Hyperlink"/>
            <w:noProof/>
          </w:rPr>
          <w:t>Manageability</w:t>
        </w:r>
        <w:r w:rsidR="008153D9">
          <w:rPr>
            <w:noProof/>
            <w:webHidden/>
          </w:rPr>
          <w:tab/>
        </w:r>
        <w:r w:rsidR="008153D9">
          <w:rPr>
            <w:noProof/>
            <w:webHidden/>
          </w:rPr>
          <w:fldChar w:fldCharType="begin"/>
        </w:r>
        <w:r w:rsidR="008153D9">
          <w:rPr>
            <w:noProof/>
            <w:webHidden/>
          </w:rPr>
          <w:instrText xml:space="preserve"> PAGEREF _Toc360973051 \h </w:instrText>
        </w:r>
        <w:r w:rsidR="008153D9">
          <w:rPr>
            <w:noProof/>
            <w:webHidden/>
          </w:rPr>
        </w:r>
        <w:r w:rsidR="008153D9">
          <w:rPr>
            <w:noProof/>
            <w:webHidden/>
          </w:rPr>
          <w:fldChar w:fldCharType="separate"/>
        </w:r>
        <w:r w:rsidR="008153D9">
          <w:rPr>
            <w:noProof/>
            <w:webHidden/>
          </w:rPr>
          <w:t>35</w:t>
        </w:r>
        <w:r w:rsidR="008153D9">
          <w:rPr>
            <w:noProof/>
            <w:webHidden/>
          </w:rPr>
          <w:fldChar w:fldCharType="end"/>
        </w:r>
      </w:hyperlink>
    </w:p>
    <w:p w:rsidR="008153D9" w:rsidRDefault="00B4714A">
      <w:pPr>
        <w:pStyle w:val="TOC2"/>
        <w:rPr>
          <w:rFonts w:asciiTheme="minorHAnsi" w:eastAsiaTheme="minorEastAsia" w:hAnsiTheme="minorHAnsi" w:cstheme="minorBidi"/>
          <w:noProof/>
          <w:color w:val="auto"/>
          <w:sz w:val="22"/>
          <w:szCs w:val="22"/>
          <w:lang w:val="en-US" w:eastAsia="en-US"/>
        </w:rPr>
      </w:pPr>
      <w:hyperlink w:anchor="_Toc360973052" w:history="1">
        <w:r w:rsidR="008153D9" w:rsidRPr="006B3474">
          <w:rPr>
            <w:rStyle w:val="Hyperlink"/>
            <w:noProof/>
          </w:rPr>
          <w:t>Progress against 2010 management consequences</w:t>
        </w:r>
        <w:r w:rsidR="008153D9">
          <w:rPr>
            <w:noProof/>
            <w:webHidden/>
          </w:rPr>
          <w:tab/>
        </w:r>
        <w:r w:rsidR="008153D9">
          <w:rPr>
            <w:noProof/>
            <w:webHidden/>
          </w:rPr>
          <w:fldChar w:fldCharType="begin"/>
        </w:r>
        <w:r w:rsidR="008153D9">
          <w:rPr>
            <w:noProof/>
            <w:webHidden/>
          </w:rPr>
          <w:instrText xml:space="preserve"> PAGEREF _Toc360973052 \h </w:instrText>
        </w:r>
        <w:r w:rsidR="008153D9">
          <w:rPr>
            <w:noProof/>
            <w:webHidden/>
          </w:rPr>
        </w:r>
        <w:r w:rsidR="008153D9">
          <w:rPr>
            <w:noProof/>
            <w:webHidden/>
          </w:rPr>
          <w:fldChar w:fldCharType="separate"/>
        </w:r>
        <w:r w:rsidR="008153D9">
          <w:rPr>
            <w:noProof/>
            <w:webHidden/>
          </w:rPr>
          <w:t>35</w:t>
        </w:r>
        <w:r w:rsidR="008153D9">
          <w:rPr>
            <w:noProof/>
            <w:webHidden/>
          </w:rPr>
          <w:fldChar w:fldCharType="end"/>
        </w:r>
      </w:hyperlink>
    </w:p>
    <w:p w:rsidR="008153D9" w:rsidRDefault="00B4714A">
      <w:pPr>
        <w:pStyle w:val="TOC1"/>
        <w:rPr>
          <w:rFonts w:asciiTheme="minorHAnsi" w:eastAsiaTheme="minorEastAsia" w:hAnsiTheme="minorHAnsi" w:cstheme="minorBidi"/>
          <w:noProof/>
          <w:color w:val="auto"/>
          <w:sz w:val="22"/>
          <w:szCs w:val="22"/>
          <w:lang w:val="en-US" w:eastAsia="en-US"/>
        </w:rPr>
      </w:pPr>
      <w:hyperlink w:anchor="_Toc360973053" w:history="1">
        <w:r w:rsidR="008153D9" w:rsidRPr="006B3474">
          <w:rPr>
            <w:rStyle w:val="Hyperlink"/>
            <w:noProof/>
          </w:rPr>
          <w:t>Management consequences</w:t>
        </w:r>
        <w:r w:rsidR="008153D9">
          <w:rPr>
            <w:noProof/>
            <w:webHidden/>
          </w:rPr>
          <w:tab/>
        </w:r>
        <w:r w:rsidR="008153D9">
          <w:rPr>
            <w:noProof/>
            <w:webHidden/>
          </w:rPr>
          <w:fldChar w:fldCharType="begin"/>
        </w:r>
        <w:r w:rsidR="008153D9">
          <w:rPr>
            <w:noProof/>
            <w:webHidden/>
          </w:rPr>
          <w:instrText xml:space="preserve"> PAGEREF _Toc360973053 \h </w:instrText>
        </w:r>
        <w:r w:rsidR="008153D9">
          <w:rPr>
            <w:noProof/>
            <w:webHidden/>
          </w:rPr>
        </w:r>
        <w:r w:rsidR="008153D9">
          <w:rPr>
            <w:noProof/>
            <w:webHidden/>
          </w:rPr>
          <w:fldChar w:fldCharType="separate"/>
        </w:r>
        <w:r w:rsidR="008153D9">
          <w:rPr>
            <w:noProof/>
            <w:webHidden/>
          </w:rPr>
          <w:t>37</w:t>
        </w:r>
        <w:r w:rsidR="008153D9">
          <w:rPr>
            <w:noProof/>
            <w:webHidden/>
          </w:rPr>
          <w:fldChar w:fldCharType="end"/>
        </w:r>
      </w:hyperlink>
    </w:p>
    <w:p w:rsidR="008153D9" w:rsidRDefault="00B4714A">
      <w:pPr>
        <w:pStyle w:val="TOC2"/>
        <w:rPr>
          <w:rFonts w:asciiTheme="minorHAnsi" w:eastAsiaTheme="minorEastAsia" w:hAnsiTheme="minorHAnsi" w:cstheme="minorBidi"/>
          <w:noProof/>
          <w:color w:val="auto"/>
          <w:sz w:val="22"/>
          <w:szCs w:val="22"/>
          <w:lang w:val="en-US" w:eastAsia="en-US"/>
        </w:rPr>
      </w:pPr>
      <w:hyperlink w:anchor="_Toc360973054" w:history="1">
        <w:r w:rsidR="008153D9" w:rsidRPr="006B3474">
          <w:rPr>
            <w:rStyle w:val="Hyperlink"/>
            <w:noProof/>
          </w:rPr>
          <w:t>Program-wide</w:t>
        </w:r>
        <w:r w:rsidR="008153D9">
          <w:rPr>
            <w:noProof/>
            <w:webHidden/>
          </w:rPr>
          <w:tab/>
        </w:r>
        <w:r w:rsidR="008153D9">
          <w:rPr>
            <w:noProof/>
            <w:webHidden/>
          </w:rPr>
          <w:fldChar w:fldCharType="begin"/>
        </w:r>
        <w:r w:rsidR="008153D9">
          <w:rPr>
            <w:noProof/>
            <w:webHidden/>
          </w:rPr>
          <w:instrText xml:space="preserve"> PAGEREF _Toc360973054 \h </w:instrText>
        </w:r>
        <w:r w:rsidR="008153D9">
          <w:rPr>
            <w:noProof/>
            <w:webHidden/>
          </w:rPr>
        </w:r>
        <w:r w:rsidR="008153D9">
          <w:rPr>
            <w:noProof/>
            <w:webHidden/>
          </w:rPr>
          <w:fldChar w:fldCharType="separate"/>
        </w:r>
        <w:r w:rsidR="008153D9">
          <w:rPr>
            <w:noProof/>
            <w:webHidden/>
          </w:rPr>
          <w:t>37</w:t>
        </w:r>
        <w:r w:rsidR="008153D9">
          <w:rPr>
            <w:noProof/>
            <w:webHidden/>
          </w:rPr>
          <w:fldChar w:fldCharType="end"/>
        </w:r>
      </w:hyperlink>
    </w:p>
    <w:p w:rsidR="00355F20" w:rsidRDefault="00355F20" w:rsidP="00355F20">
      <w:pPr>
        <w:pStyle w:val="Subtitle"/>
        <w:rPr>
          <w:rFonts w:ascii="Franklin Gothic Medium" w:hAnsi="Franklin Gothic Medium"/>
          <w:color w:val="5A9A98"/>
          <w:sz w:val="24"/>
        </w:rPr>
      </w:pPr>
      <w:r>
        <w:fldChar w:fldCharType="end"/>
      </w:r>
      <w:r>
        <w:br w:type="page"/>
      </w:r>
    </w:p>
    <w:p w:rsidR="00D04DD6" w:rsidRPr="00BC36DE" w:rsidRDefault="00D04DD6" w:rsidP="00355F20">
      <w:pPr>
        <w:pStyle w:val="Heading2"/>
      </w:pPr>
    </w:p>
    <w:p w:rsidR="00E265F3" w:rsidRPr="005F7914" w:rsidRDefault="00975FE2" w:rsidP="001E163C">
      <w:pPr>
        <w:pStyle w:val="BodyText"/>
      </w:pPr>
      <w:r w:rsidRPr="006A1943">
        <w:t>This</w:t>
      </w:r>
      <w:r w:rsidR="0082758A">
        <w:t xml:space="preserve"> Development Cooperation R</w:t>
      </w:r>
      <w:r>
        <w:t xml:space="preserve">eport summarises the bilateral aid program’s progress in 2010 towards </w:t>
      </w:r>
      <w:r w:rsidRPr="006A1943">
        <w:t xml:space="preserve">the </w:t>
      </w:r>
      <w:r>
        <w:t>objectives of the Timor-Leste</w:t>
      </w:r>
      <w:r w:rsidRPr="006A1943">
        <w:t xml:space="preserve"> Country Strategy.</w:t>
      </w:r>
      <w:r>
        <w:t xml:space="preserve"> Reports on the program’s performance in previous years are available on the Australian Agency for International Development’s (</w:t>
      </w:r>
      <w:r w:rsidR="0057481E">
        <w:t>AusAID</w:t>
      </w:r>
      <w:r>
        <w:t>) website.</w:t>
      </w:r>
    </w:p>
    <w:p w:rsidR="006A7098" w:rsidRPr="001E163C" w:rsidRDefault="00E265F3" w:rsidP="001E163C">
      <w:pPr>
        <w:pStyle w:val="H1"/>
      </w:pPr>
      <w:bookmarkStart w:id="2" w:name="_Toc360972998"/>
      <w:r w:rsidRPr="001E163C">
        <w:t>Context</w:t>
      </w:r>
      <w:bookmarkEnd w:id="2"/>
      <w:r w:rsidRPr="001E163C">
        <w:t xml:space="preserve"> </w:t>
      </w:r>
    </w:p>
    <w:p w:rsidR="0082758A" w:rsidRDefault="009D55F8" w:rsidP="009D55F8">
      <w:pPr>
        <w:pStyle w:val="BodyText"/>
      </w:pPr>
      <w:r w:rsidRPr="005F7914">
        <w:t>Having achieved a third year of relative stability the Government of Timor-Leste (</w:t>
      </w:r>
      <w:r w:rsidRPr="006F35D5">
        <w:t>GoTL</w:t>
      </w:r>
      <w:r w:rsidRPr="005F7914">
        <w:t>) has signalled its intention to move rapidly towards growth and development for all</w:t>
      </w:r>
      <w:r w:rsidR="00BD0B39">
        <w:t xml:space="preserve">. </w:t>
      </w:r>
      <w:r w:rsidRPr="005F7914">
        <w:t xml:space="preserve">The Prime Minister and </w:t>
      </w:r>
      <w:r w:rsidR="0082758A">
        <w:t>most C</w:t>
      </w:r>
      <w:r w:rsidRPr="005F7914">
        <w:t>abinet</w:t>
      </w:r>
      <w:r w:rsidR="0082758A">
        <w:t xml:space="preserve"> members</w:t>
      </w:r>
      <w:r w:rsidRPr="005F7914">
        <w:t xml:space="preserve"> spent much of 2010 drafting the Strategic Development Plan (</w:t>
      </w:r>
      <w:r w:rsidRPr="006F35D5">
        <w:t>SDP</w:t>
      </w:r>
      <w:r w:rsidRPr="005F7914">
        <w:t>) and discussing it with communities throughout the country</w:t>
      </w:r>
      <w:r w:rsidR="00BD0B39">
        <w:t xml:space="preserve">. </w:t>
      </w:r>
      <w:r w:rsidRPr="005F7914">
        <w:t xml:space="preserve">The Prime Minister intends the SDP to set out </w:t>
      </w:r>
      <w:r w:rsidR="0082758A">
        <w:t>the</w:t>
      </w:r>
      <w:r w:rsidR="0082758A" w:rsidRPr="005F7914">
        <w:t xml:space="preserve"> </w:t>
      </w:r>
      <w:r w:rsidRPr="005F7914">
        <w:t>vision of Timor-Leste’s priorities to 2030</w:t>
      </w:r>
      <w:r w:rsidR="00BD0B39">
        <w:t xml:space="preserve">. </w:t>
      </w:r>
    </w:p>
    <w:p w:rsidR="009D55F8" w:rsidRPr="005F7914" w:rsidRDefault="009D55F8" w:rsidP="009D55F8">
      <w:pPr>
        <w:pStyle w:val="BodyText"/>
      </w:pPr>
      <w:r w:rsidRPr="005F7914">
        <w:t xml:space="preserve">While the draft </w:t>
      </w:r>
      <w:r w:rsidR="0082758A">
        <w:t>p</w:t>
      </w:r>
      <w:r w:rsidRPr="005F7914">
        <w:t>lan has been tightly held, and is not scheduled for release until mid-2011, an early summary, presented to the April 2010 Development Partners meeting, clearly indicates a focus on increased spending on major infrastructure development to drive continued economic growth</w:t>
      </w:r>
      <w:r w:rsidR="00BD0B39">
        <w:t xml:space="preserve">. </w:t>
      </w:r>
      <w:r w:rsidRPr="005F7914">
        <w:t>This was confirmed by the creation of two new special funds in the 2011 Budget</w:t>
      </w:r>
      <w:r w:rsidR="00332630">
        <w:t>—</w:t>
      </w:r>
      <w:r w:rsidRPr="005F7914">
        <w:t>the US</w:t>
      </w:r>
      <w:r w:rsidR="00332630">
        <w:t>$</w:t>
      </w:r>
      <w:r w:rsidRPr="005F7914">
        <w:t>599 million Infrastructure Fund (which accounts for most of the $688</w:t>
      </w:r>
      <w:r w:rsidR="0082758A">
        <w:t> </w:t>
      </w:r>
      <w:r w:rsidRPr="005F7914">
        <w:t>million capital budget) and the US</w:t>
      </w:r>
      <w:r w:rsidR="00332630">
        <w:t>$</w:t>
      </w:r>
      <w:r w:rsidRPr="005F7914">
        <w:t>25 million Human Capital Development Fund.</w:t>
      </w:r>
      <w:r w:rsidRPr="005F7914">
        <w:rPr>
          <w:rStyle w:val="FootnoteReference"/>
        </w:rPr>
        <w:footnoteReference w:id="2"/>
      </w:r>
      <w:r w:rsidRPr="005F7914">
        <w:t xml:space="preserve"> The Prime Minister’s determination to set </w:t>
      </w:r>
      <w:r w:rsidR="0082758A">
        <w:t>g</w:t>
      </w:r>
      <w:r w:rsidRPr="005F7914">
        <w:t xml:space="preserve">overnment priorities without interference from outsiders, highlighted in last year’s </w:t>
      </w:r>
      <w:r w:rsidR="009C566B">
        <w:t>Development Cooperation Report</w:t>
      </w:r>
      <w:r w:rsidR="006F35D5" w:rsidRPr="006F35D5">
        <w:t xml:space="preserve"> </w:t>
      </w:r>
      <w:r w:rsidR="006F35D5">
        <w:t>(</w:t>
      </w:r>
      <w:r w:rsidR="009C566B">
        <w:t>DCR</w:t>
      </w:r>
      <w:r w:rsidR="006F35D5">
        <w:t>)</w:t>
      </w:r>
      <w:r w:rsidRPr="005F7914">
        <w:t xml:space="preserve">, continued, with ongoing development of the SDP taking place without the engagement of development partners. </w:t>
      </w:r>
    </w:p>
    <w:p w:rsidR="009D55F8" w:rsidRPr="005F7914" w:rsidRDefault="009D55F8" w:rsidP="009D55F8">
      <w:pPr>
        <w:pStyle w:val="BodyText"/>
      </w:pPr>
      <w:r w:rsidRPr="005F7914">
        <w:t>Government expenditure has increased significantly over the past decade</w:t>
      </w:r>
      <w:r w:rsidR="00BD0B39">
        <w:t xml:space="preserve">. </w:t>
      </w:r>
      <w:r w:rsidRPr="005F7914">
        <w:t>Budgeted expenditure rose from only US</w:t>
      </w:r>
      <w:r w:rsidR="00332630">
        <w:t>$</w:t>
      </w:r>
      <w:r w:rsidRPr="005F7914">
        <w:t>64 million in 2001</w:t>
      </w:r>
      <w:r w:rsidR="006F35D5">
        <w:t>–</w:t>
      </w:r>
      <w:r w:rsidRPr="005F7914">
        <w:t>02 to US</w:t>
      </w:r>
      <w:r w:rsidR="00332630">
        <w:t>$</w:t>
      </w:r>
      <w:r w:rsidRPr="005F7914">
        <w:t>660 million in 2010. Budgeted expenditure in 2010 was almost identical to 2009</w:t>
      </w:r>
      <w:r w:rsidR="0082758A">
        <w:t>,</w:t>
      </w:r>
      <w:r w:rsidRPr="005F7914">
        <w:t xml:space="preserve"> but revisions to the budget increased available funds to US$838 million, a 23</w:t>
      </w:r>
      <w:r>
        <w:t xml:space="preserve"> per cent</w:t>
      </w:r>
      <w:r w:rsidRPr="005F7914">
        <w:t xml:space="preserve"> increase on the previous year</w:t>
      </w:r>
      <w:r w:rsidR="00BD0B39">
        <w:t xml:space="preserve">. </w:t>
      </w:r>
      <w:r w:rsidRPr="005F7914">
        <w:t>Reported budget execution rates increased from 71</w:t>
      </w:r>
      <w:r>
        <w:t xml:space="preserve"> per cent</w:t>
      </w:r>
      <w:r w:rsidRPr="005F7914">
        <w:t xml:space="preserve"> in 2001</w:t>
      </w:r>
      <w:r w:rsidR="00332630">
        <w:t>–</w:t>
      </w:r>
      <w:r w:rsidRPr="005F7914">
        <w:t>02 to 91</w:t>
      </w:r>
      <w:r>
        <w:t xml:space="preserve"> per cent</w:t>
      </w:r>
      <w:r w:rsidRPr="005F7914">
        <w:t xml:space="preserve"> in 2010.</w:t>
      </w:r>
      <w:r w:rsidRPr="005F7914">
        <w:rPr>
          <w:rStyle w:val="FootnoteReference"/>
        </w:rPr>
        <w:footnoteReference w:id="3"/>
      </w:r>
      <w:r w:rsidRPr="005F7914">
        <w:t xml:space="preserve"> Through the 2011 Budget the Go</w:t>
      </w:r>
      <w:r w:rsidR="0082758A">
        <w:t>TL</w:t>
      </w:r>
      <w:r w:rsidRPr="005F7914">
        <w:t xml:space="preserve"> plans to significantly increase its expenditure to US</w:t>
      </w:r>
      <w:r w:rsidR="00332630">
        <w:t>$</w:t>
      </w:r>
      <w:r w:rsidRPr="005F7914">
        <w:t>1.3 billion, a 56</w:t>
      </w:r>
      <w:r>
        <w:t xml:space="preserve"> per cent</w:t>
      </w:r>
      <w:r w:rsidRPr="005F7914">
        <w:t xml:space="preserve"> increase on </w:t>
      </w:r>
      <w:r w:rsidR="0082758A">
        <w:t>its</w:t>
      </w:r>
      <w:r w:rsidR="0082758A" w:rsidRPr="005F7914">
        <w:t xml:space="preserve"> </w:t>
      </w:r>
      <w:r w:rsidRPr="005F7914">
        <w:t xml:space="preserve">final </w:t>
      </w:r>
      <w:r w:rsidR="0082758A">
        <w:t>B</w:t>
      </w:r>
      <w:r w:rsidRPr="005F7914">
        <w:t xml:space="preserve">udget for 2010. </w:t>
      </w:r>
    </w:p>
    <w:p w:rsidR="008153D9" w:rsidRDefault="008153D9">
      <w:pPr>
        <w:rPr>
          <w:rFonts w:ascii="Georgia" w:hAnsi="Georgia"/>
          <w:sz w:val="19"/>
          <w:szCs w:val="19"/>
        </w:rPr>
      </w:pPr>
      <w:r>
        <w:br w:type="page"/>
      </w:r>
    </w:p>
    <w:p w:rsidR="009D55F8" w:rsidRPr="005F7914" w:rsidRDefault="009D55F8" w:rsidP="009D55F8">
      <w:pPr>
        <w:pStyle w:val="BodyText"/>
      </w:pPr>
      <w:r w:rsidRPr="005F7914">
        <w:lastRenderedPageBreak/>
        <w:t>Some important development indicators are improving</w:t>
      </w:r>
      <w:r w:rsidR="00BD0B39">
        <w:t xml:space="preserve">. </w:t>
      </w:r>
      <w:r w:rsidRPr="005F7914">
        <w:t xml:space="preserve">Between 2007 and 2009, the proportion of the population </w:t>
      </w:r>
      <w:r w:rsidR="0082758A">
        <w:t xml:space="preserve">living </w:t>
      </w:r>
      <w:r w:rsidRPr="005F7914">
        <w:t>below the poverty line fell by an estimated nine percent</w:t>
      </w:r>
      <w:r>
        <w:t>age points (from 49.9</w:t>
      </w:r>
      <w:r w:rsidRPr="005F7914">
        <w:t xml:space="preserve"> to 41</w:t>
      </w:r>
      <w:r>
        <w:t xml:space="preserve"> per cent</w:t>
      </w:r>
      <w:r w:rsidRPr="005F7914">
        <w:t>).</w:t>
      </w:r>
      <w:r w:rsidRPr="005F7914">
        <w:rPr>
          <w:rStyle w:val="FootnoteReference"/>
        </w:rPr>
        <w:footnoteReference w:id="4"/>
      </w:r>
      <w:r w:rsidRPr="005F7914">
        <w:t xml:space="preserve">  This represents a correction of the sharp spike in poverty occasioned by conflict in 2006 and 2008</w:t>
      </w:r>
      <w:r w:rsidR="0082758A">
        <w:t>—</w:t>
      </w:r>
      <w:r w:rsidRPr="005F7914">
        <w:t>while moving in the right direction, poverty remains above 1999 levels (36</w:t>
      </w:r>
      <w:r>
        <w:t xml:space="preserve"> per cent</w:t>
      </w:r>
      <w:r w:rsidRPr="005F7914">
        <w:t>).</w:t>
      </w:r>
      <w:r w:rsidRPr="005F7914">
        <w:rPr>
          <w:rStyle w:val="FootnoteReference"/>
        </w:rPr>
        <w:footnoteReference w:id="5"/>
      </w:r>
      <w:r w:rsidRPr="005F7914">
        <w:t xml:space="preserve"> The economy continues to grow rapidly, </w:t>
      </w:r>
      <w:r w:rsidRPr="007418D0">
        <w:t>fuelled b</w:t>
      </w:r>
      <w:r w:rsidRPr="005F7914">
        <w:t>y government spending, although this is largely concentrated in Dili</w:t>
      </w:r>
      <w:r w:rsidR="00BD0B39">
        <w:t xml:space="preserve">. </w:t>
      </w:r>
      <w:r w:rsidRPr="005F7914">
        <w:t>It is estimated that the economy grew by 9.5</w:t>
      </w:r>
      <w:r>
        <w:t xml:space="preserve"> per cent</w:t>
      </w:r>
      <w:r w:rsidRPr="005F7914">
        <w:t xml:space="preserve"> in 2010, compared to 13</w:t>
      </w:r>
      <w:r>
        <w:t xml:space="preserve"> per cent</w:t>
      </w:r>
      <w:r w:rsidRPr="005F7914">
        <w:t xml:space="preserve"> in 2009.</w:t>
      </w:r>
      <w:r w:rsidRPr="005F7914">
        <w:rPr>
          <w:rStyle w:val="FootnoteReference"/>
        </w:rPr>
        <w:footnoteReference w:id="6"/>
      </w:r>
      <w:r w:rsidRPr="005F7914">
        <w:t xml:space="preserve"> </w:t>
      </w:r>
      <w:r>
        <w:t>Growth of between 7</w:t>
      </w:r>
      <w:r w:rsidR="0082758A">
        <w:t> </w:t>
      </w:r>
      <w:r w:rsidRPr="005F7914">
        <w:t>and 10</w:t>
      </w:r>
      <w:r>
        <w:t xml:space="preserve"> per cent</w:t>
      </w:r>
      <w:r w:rsidRPr="005F7914">
        <w:t xml:space="preserve"> is forecast for 2011.</w:t>
      </w:r>
      <w:r w:rsidRPr="005F7914">
        <w:rPr>
          <w:rStyle w:val="FootnoteReference"/>
        </w:rPr>
        <w:footnoteReference w:id="7"/>
      </w:r>
      <w:r w:rsidRPr="005F7914">
        <w:t xml:space="preserve"> Estimated annual average growth </w:t>
      </w:r>
      <w:r w:rsidR="0082758A">
        <w:t>has been</w:t>
      </w:r>
      <w:r w:rsidR="0082758A" w:rsidRPr="005F7914">
        <w:t xml:space="preserve"> </w:t>
      </w:r>
      <w:r w:rsidRPr="005F7914">
        <w:t>above 10</w:t>
      </w:r>
      <w:r w:rsidR="0082758A">
        <w:t> </w:t>
      </w:r>
      <w:r>
        <w:t>per</w:t>
      </w:r>
      <w:r w:rsidR="0082758A">
        <w:t> </w:t>
      </w:r>
      <w:r>
        <w:t>cent</w:t>
      </w:r>
      <w:r w:rsidRPr="005F7914">
        <w:t xml:space="preserve"> since negative growth in 2007</w:t>
      </w:r>
      <w:r w:rsidR="00BD0B39">
        <w:t xml:space="preserve">. </w:t>
      </w:r>
      <w:r w:rsidRPr="005F7914">
        <w:t xml:space="preserve">Growth in per capita </w:t>
      </w:r>
      <w:r w:rsidR="006F35D5" w:rsidRPr="006F35D5">
        <w:t>gross domestic product</w:t>
      </w:r>
      <w:r w:rsidRPr="005F7914">
        <w:t xml:space="preserve"> has been slower given </w:t>
      </w:r>
      <w:r w:rsidR="0082758A">
        <w:t xml:space="preserve">the country’s </w:t>
      </w:r>
      <w:r w:rsidRPr="005F7914">
        <w:t xml:space="preserve">annual population growth of </w:t>
      </w:r>
      <w:r w:rsidR="00BD0B39">
        <w:t>more than</w:t>
      </w:r>
      <w:r w:rsidRPr="005F7914">
        <w:t xml:space="preserve"> 2</w:t>
      </w:r>
      <w:r w:rsidR="0082758A">
        <w:t> </w:t>
      </w:r>
      <w:r>
        <w:t>per cent</w:t>
      </w:r>
      <w:r w:rsidRPr="005F7914">
        <w:t>.</w:t>
      </w:r>
      <w:r w:rsidRPr="005F7914">
        <w:rPr>
          <w:rStyle w:val="FootnoteReference"/>
        </w:rPr>
        <w:footnoteReference w:id="8"/>
      </w:r>
      <w:r w:rsidRPr="005F7914">
        <w:t xml:space="preserve"> Public financial management (</w:t>
      </w:r>
      <w:r w:rsidRPr="009A42E2">
        <w:t>PFM</w:t>
      </w:r>
      <w:r w:rsidRPr="005F7914">
        <w:t>) systems are improving, especially in the Ministry of Finance</w:t>
      </w:r>
      <w:r w:rsidR="00A85F7E">
        <w:t xml:space="preserve"> (MoF)</w:t>
      </w:r>
      <w:r w:rsidR="00BD0B39">
        <w:t xml:space="preserve">. </w:t>
      </w:r>
    </w:p>
    <w:p w:rsidR="009D55F8" w:rsidRPr="005F7914" w:rsidRDefault="009D55F8" w:rsidP="009D55F8">
      <w:pPr>
        <w:pStyle w:val="BodyText"/>
      </w:pPr>
      <w:r w:rsidRPr="005F7914">
        <w:t>Nevertheless, great challenges remain</w:t>
      </w:r>
      <w:r w:rsidR="00BD0B39">
        <w:t xml:space="preserve">. </w:t>
      </w:r>
      <w:r w:rsidRPr="005F7914">
        <w:t>Illiteracy rates are high, and most children drop out of school before completing their basic education.</w:t>
      </w:r>
      <w:r w:rsidRPr="005F7914">
        <w:rPr>
          <w:rStyle w:val="FootnoteReference"/>
        </w:rPr>
        <w:footnoteReference w:id="9"/>
      </w:r>
      <w:r w:rsidRPr="005F7914">
        <w:t xml:space="preserve"> Unemployment and under-employment remain high</w:t>
      </w:r>
      <w:r w:rsidR="00332630">
        <w:t>—</w:t>
      </w:r>
      <w:r w:rsidRPr="005F7914">
        <w:t>70 per cent of those employed are engaged in informal work and thus highly vulnerable.</w:t>
      </w:r>
      <w:r w:rsidRPr="005F7914">
        <w:rPr>
          <w:rStyle w:val="FootnoteReference"/>
        </w:rPr>
        <w:footnoteReference w:id="10"/>
      </w:r>
      <w:r w:rsidRPr="005F7914">
        <w:t xml:space="preserve"> Plentiful oil money means public spending is growing rapidly, but the quality of expenditure is questionable and the double</w:t>
      </w:r>
      <w:r w:rsidR="0082758A">
        <w:t>-</w:t>
      </w:r>
      <w:r w:rsidRPr="005F7914">
        <w:t>digit growth rates will not be sustainable in the absence of private sector growth</w:t>
      </w:r>
      <w:r w:rsidR="00BD0B39">
        <w:t xml:space="preserve">. </w:t>
      </w:r>
      <w:r w:rsidRPr="005F7914">
        <w:t>In spite of skills gaps, the public service has grown rapidly since 2002, and payroll costs more than tripled between 2008 and 2011</w:t>
      </w:r>
      <w:r w:rsidR="00BD0B39">
        <w:t xml:space="preserve">. </w:t>
      </w:r>
      <w:r w:rsidRPr="005F7914">
        <w:t>Although good progress on disability inclusiveness was made with the drafting of the National Policy on Disability, p</w:t>
      </w:r>
      <w:r w:rsidR="00BD0B39">
        <w:t>eople</w:t>
      </w:r>
      <w:r w:rsidRPr="005F7914">
        <w:t xml:space="preserve"> with disabilit</w:t>
      </w:r>
      <w:r w:rsidR="00BD0B39">
        <w:t>y</w:t>
      </w:r>
      <w:r w:rsidRPr="005F7914">
        <w:t xml:space="preserve"> remain largely hidden, due to high levels of stigma and discrimination. </w:t>
      </w:r>
    </w:p>
    <w:p w:rsidR="009D55F8" w:rsidRPr="005F7914" w:rsidRDefault="009D55F8" w:rsidP="009D55F8">
      <w:pPr>
        <w:pStyle w:val="BodyText"/>
      </w:pPr>
      <w:r w:rsidRPr="005F7914">
        <w:t>The handover of responsibility for policing from United Nations Integrated Mission in Timor-Leste to Timorese institutions proceeded without incident during 2010 and early 2011. The longer</w:t>
      </w:r>
      <w:r w:rsidR="0082758A">
        <w:t>-</w:t>
      </w:r>
      <w:r w:rsidRPr="005F7914">
        <w:t>term trends in public safety are as yet unclear and as a post-conflict country, Timor-Leste retains the potential for suffering security shocks or crises</w:t>
      </w:r>
      <w:r w:rsidR="00BD0B39">
        <w:t xml:space="preserve">. </w:t>
      </w:r>
      <w:r w:rsidRPr="005F7914">
        <w:t xml:space="preserve">Presidential and parliamentary elections scheduled for 2012 may test the community’s commitment to peaceful resolution of differences and the </w:t>
      </w:r>
      <w:r w:rsidRPr="00332630">
        <w:rPr>
          <w:i/>
        </w:rPr>
        <w:t>Policia Nacional de Timor-Leste’s</w:t>
      </w:r>
      <w:r w:rsidRPr="005F7914">
        <w:t xml:space="preserve"> </w:t>
      </w:r>
      <w:r w:rsidR="00963E0E">
        <w:t>(</w:t>
      </w:r>
      <w:r w:rsidR="00963E0E" w:rsidRPr="005F7914">
        <w:t>PNTL)</w:t>
      </w:r>
      <w:r w:rsidR="00963E0E">
        <w:t xml:space="preserve"> </w:t>
      </w:r>
      <w:r w:rsidRPr="005F7914">
        <w:t>ability to respond effectively to disturbances.</w:t>
      </w:r>
    </w:p>
    <w:p w:rsidR="008153D9" w:rsidRDefault="009D55F8" w:rsidP="001E163C">
      <w:pPr>
        <w:pStyle w:val="BodyText"/>
      </w:pPr>
      <w:r w:rsidRPr="005F7914">
        <w:t>Another potential stressor is food security</w:t>
      </w:r>
      <w:r w:rsidR="00BD0B39">
        <w:t xml:space="preserve">. </w:t>
      </w:r>
      <w:r w:rsidRPr="005F7914">
        <w:t>Extended rains in 2010 meant that while some farmers increased crop volumes, others experienced flooding and losses, including of seed stocks</w:t>
      </w:r>
      <w:r w:rsidR="00BD0B39">
        <w:t xml:space="preserve">. </w:t>
      </w:r>
      <w:r w:rsidRPr="005F7914">
        <w:t xml:space="preserve">Food security has always been precarious: </w:t>
      </w:r>
      <w:r w:rsidR="00BD0B39">
        <w:t>more than</w:t>
      </w:r>
      <w:r w:rsidRPr="005F7914">
        <w:t xml:space="preserve"> half of children under five</w:t>
      </w:r>
      <w:r w:rsidR="0082758A">
        <w:t xml:space="preserve"> years of age</w:t>
      </w:r>
      <w:r w:rsidRPr="005F7914">
        <w:t xml:space="preserve"> in Timor-Leste are stunted and a third of women have inadequate nutritional status.</w:t>
      </w:r>
      <w:r w:rsidRPr="005F7914">
        <w:rPr>
          <w:rStyle w:val="FootnoteReference"/>
        </w:rPr>
        <w:footnoteReference w:id="11"/>
      </w:r>
      <w:r w:rsidRPr="005F7914">
        <w:t xml:space="preserve">  </w:t>
      </w:r>
      <w:r w:rsidR="008153D9">
        <w:br w:type="page"/>
      </w:r>
    </w:p>
    <w:p w:rsidR="009D55F8" w:rsidRPr="005F7914" w:rsidRDefault="009D55F8" w:rsidP="009D55F8">
      <w:pPr>
        <w:pStyle w:val="BodyText"/>
      </w:pPr>
      <w:r w:rsidRPr="005F7914">
        <w:lastRenderedPageBreak/>
        <w:t>Communities are therefore ill-prepared for any lengthening of the annual ‘hungry season’ experienced when their grain stores are exhausted.</w:t>
      </w:r>
    </w:p>
    <w:p w:rsidR="009D55F8" w:rsidRPr="005F7914" w:rsidRDefault="009D55F8" w:rsidP="009D55F8">
      <w:pPr>
        <w:pStyle w:val="BodyText"/>
      </w:pPr>
      <w:r w:rsidRPr="005F7914">
        <w:t>Timor-Leste’s Constitution provides for the decentralisation of public administration</w:t>
      </w:r>
      <w:r w:rsidR="00BD0B39">
        <w:t xml:space="preserve">. </w:t>
      </w:r>
      <w:r w:rsidRPr="005F7914">
        <w:t xml:space="preserve">Draft local government laws produced in 2009 propose decentralised municipal governments at the level of the current districts. However, the Government has deferred decentralisation until after 2012 and has struggled to strengthen governance at sub-national level. At the same time, 2010 saw the Government continue to flood the districts with money through grant packages, including the Decentralisation and Development Package for procurement of small-scale infrastructure and budgeting for the </w:t>
      </w:r>
      <w:r w:rsidR="009A42E2" w:rsidRPr="009A42E2">
        <w:t xml:space="preserve">Millennium Development Goals </w:t>
      </w:r>
      <w:r w:rsidR="009A42E2">
        <w:t>(</w:t>
      </w:r>
      <w:r w:rsidRPr="009A42E2">
        <w:t>MDG</w:t>
      </w:r>
      <w:r w:rsidR="009A42E2">
        <w:t>)</w:t>
      </w:r>
      <w:r w:rsidRPr="005F7914">
        <w:t xml:space="preserve"> Suco Program. This indicates continuing </w:t>
      </w:r>
      <w:r w:rsidR="003A0758">
        <w:t>g</w:t>
      </w:r>
      <w:r w:rsidRPr="005F7914">
        <w:t>overnment interest in spreading the country’s wealth to the districts.</w:t>
      </w:r>
    </w:p>
    <w:p w:rsidR="001E2D82" w:rsidRDefault="009D55F8" w:rsidP="009D55F8">
      <w:pPr>
        <w:pStyle w:val="BodyText"/>
      </w:pPr>
      <w:r w:rsidRPr="005F7914">
        <w:t>The global financial crisis and other international events have affected the ability of some of Timor-Leste’s traditional donors to remain engaged, at least to previous levels</w:t>
      </w:r>
      <w:r w:rsidR="00BD0B39">
        <w:t xml:space="preserve">. </w:t>
      </w:r>
      <w:r w:rsidRPr="005F7914">
        <w:t xml:space="preserve">Multilateral relationships are changing: the </w:t>
      </w:r>
      <w:r w:rsidRPr="00281023">
        <w:t>U</w:t>
      </w:r>
      <w:r w:rsidR="00281023">
        <w:t xml:space="preserve">nited </w:t>
      </w:r>
      <w:r w:rsidRPr="00281023">
        <w:t>N</w:t>
      </w:r>
      <w:r w:rsidR="00281023">
        <w:t>ations</w:t>
      </w:r>
      <w:r w:rsidRPr="005F7914">
        <w:t xml:space="preserve"> plans to draw down its mission in 2012; and Timor’s increased </w:t>
      </w:r>
      <w:r w:rsidR="009A42E2">
        <w:t>g</w:t>
      </w:r>
      <w:r w:rsidR="009A42E2" w:rsidRPr="009A42E2">
        <w:t xml:space="preserve">ross </w:t>
      </w:r>
      <w:r w:rsidR="009A42E2">
        <w:t>n</w:t>
      </w:r>
      <w:r w:rsidR="009A42E2" w:rsidRPr="009A42E2">
        <w:t xml:space="preserve">ational </w:t>
      </w:r>
      <w:r w:rsidR="009A42E2">
        <w:t>i</w:t>
      </w:r>
      <w:r w:rsidR="009A42E2" w:rsidRPr="009A42E2">
        <w:t>ncome</w:t>
      </w:r>
      <w:r w:rsidRPr="005F7914">
        <w:t xml:space="preserve"> means it has dramatically less access to grant funds from the </w:t>
      </w:r>
      <w:r w:rsidR="003A0758">
        <w:t>i</w:t>
      </w:r>
      <w:r w:rsidRPr="005F7914">
        <w:t xml:space="preserve">nternational </w:t>
      </w:r>
      <w:r w:rsidR="003A0758">
        <w:t>f</w:t>
      </w:r>
      <w:r w:rsidRPr="005F7914">
        <w:t xml:space="preserve">inancial </w:t>
      </w:r>
      <w:r w:rsidR="003A0758">
        <w:t>i</w:t>
      </w:r>
      <w:r w:rsidRPr="005F7914">
        <w:t xml:space="preserve">nstitutions. As a result, both the </w:t>
      </w:r>
      <w:r w:rsidR="006F35D5">
        <w:t>W</w:t>
      </w:r>
      <w:r w:rsidR="003A0758">
        <w:t>orld Bank</w:t>
      </w:r>
      <w:r w:rsidRPr="005F7914">
        <w:t xml:space="preserve"> and the </w:t>
      </w:r>
      <w:r w:rsidR="009A42E2">
        <w:t>A</w:t>
      </w:r>
      <w:r w:rsidR="007418D0">
        <w:t>sian Development Bank</w:t>
      </w:r>
      <w:r w:rsidRPr="005F7914">
        <w:t xml:space="preserve"> are shifting their focus to infrastructure lending</w:t>
      </w:r>
      <w:r w:rsidR="00BD0B39">
        <w:t xml:space="preserve">. </w:t>
      </w:r>
      <w:r w:rsidRPr="005F7914">
        <w:t>Donor coordination at sectoral level improved over 2</w:t>
      </w:r>
      <w:r w:rsidR="001E2D82">
        <w:t xml:space="preserve">010, chiefly driven by donors. </w:t>
      </w:r>
    </w:p>
    <w:p w:rsidR="001E2D82" w:rsidRPr="00462194" w:rsidRDefault="001E2D82" w:rsidP="001E163C">
      <w:pPr>
        <w:pStyle w:val="H1"/>
      </w:pPr>
      <w:r>
        <w:t>Program objectives</w:t>
      </w:r>
    </w:p>
    <w:p w:rsidR="009D55F8" w:rsidRPr="005F7914" w:rsidRDefault="009D55F8" w:rsidP="009D55F8">
      <w:pPr>
        <w:pStyle w:val="BodyText"/>
      </w:pPr>
      <w:r w:rsidRPr="005F7914">
        <w:t>Australia is the largest donor in Timor-Leste and our development assistance in 2010 is equivalent to approximately 11</w:t>
      </w:r>
      <w:r>
        <w:t xml:space="preserve"> per cent</w:t>
      </w:r>
      <w:r w:rsidRPr="005F7914">
        <w:t xml:space="preserve"> of </w:t>
      </w:r>
      <w:r w:rsidR="008F3A6D">
        <w:t>the</w:t>
      </w:r>
      <w:r w:rsidR="008F3A6D" w:rsidRPr="005F7914">
        <w:t xml:space="preserve"> State</w:t>
      </w:r>
      <w:r w:rsidRPr="005F7914">
        <w:t xml:space="preserve"> Budget.</w:t>
      </w:r>
      <w:r w:rsidRPr="005F7914">
        <w:rPr>
          <w:rStyle w:val="FootnoteReference"/>
        </w:rPr>
        <w:footnoteReference w:id="12"/>
      </w:r>
      <w:r w:rsidRPr="005F7914">
        <w:t xml:space="preserve"> The spread of Australian assistance (excluding that implemented</w:t>
      </w:r>
      <w:r w:rsidR="001E2D82">
        <w:t xml:space="preserve"> through </w:t>
      </w:r>
      <w:r w:rsidR="009A42E2">
        <w:t xml:space="preserve">the </w:t>
      </w:r>
      <w:r w:rsidR="009A42E2" w:rsidRPr="009A42E2">
        <w:t>Australian Federal Police</w:t>
      </w:r>
      <w:r w:rsidR="001E2D82">
        <w:t>) is outlined in Figure</w:t>
      </w:r>
      <w:r w:rsidRPr="005F7914">
        <w:t xml:space="preserve"> </w:t>
      </w:r>
      <w:r w:rsidR="001E2D82">
        <w:t>1</w:t>
      </w:r>
      <w:r w:rsidRPr="005F7914">
        <w:t xml:space="preserve"> below. Australia is an increasingly influential leader in several sectors of focus for the program and is engaged in constructive policy </w:t>
      </w:r>
      <w:r w:rsidR="003A0758">
        <w:t>discussion</w:t>
      </w:r>
      <w:r w:rsidR="003A0758" w:rsidRPr="005F7914">
        <w:t xml:space="preserve"> </w:t>
      </w:r>
      <w:r w:rsidRPr="005F7914">
        <w:t xml:space="preserve">with relevant </w:t>
      </w:r>
      <w:r w:rsidR="003A0758">
        <w:t>m</w:t>
      </w:r>
      <w:r w:rsidRPr="005F7914">
        <w:t>inistries</w:t>
      </w:r>
      <w:r w:rsidR="00BD0B39">
        <w:t xml:space="preserve">. </w:t>
      </w:r>
      <w:r w:rsidRPr="005F7914">
        <w:t xml:space="preserve">However, the highest levels of Government continued to have few incentives to engage in policy </w:t>
      </w:r>
      <w:r w:rsidR="003A0758">
        <w:t>discussion</w:t>
      </w:r>
      <w:r w:rsidR="003A0758" w:rsidRPr="005F7914">
        <w:t xml:space="preserve"> </w:t>
      </w:r>
      <w:r w:rsidRPr="005F7914">
        <w:t>with Australia</w:t>
      </w:r>
      <w:r w:rsidR="00BD0B39">
        <w:t xml:space="preserve">. </w:t>
      </w:r>
      <w:r w:rsidRPr="005F7914">
        <w:t xml:space="preserve">AusAID’s relationship with the Prime Minister warmed towards the end of 2010 </w:t>
      </w:r>
      <w:r w:rsidR="003A0758">
        <w:t>with</w:t>
      </w:r>
      <w:r w:rsidR="003A0758" w:rsidRPr="005F7914">
        <w:t xml:space="preserve"> </w:t>
      </w:r>
      <w:r w:rsidRPr="005F7914">
        <w:t>the Prime Minister keen to discuss innovative ideas to address the Government’s top priorities. But to influence Timor-Leste in its future spending pattern and ensure real results in alleviating poverty, AusAID must position itself as a useful partner in implementing the forthcoming SDP</w:t>
      </w:r>
      <w:r w:rsidR="00BD0B39">
        <w:t xml:space="preserve">. </w:t>
      </w:r>
    </w:p>
    <w:p w:rsidR="009D55F8" w:rsidRPr="005F7914" w:rsidRDefault="001E2D82" w:rsidP="009D55F8">
      <w:pPr>
        <w:framePr w:hSpace="180" w:wrap="around" w:vAnchor="text" w:hAnchor="margin" w:y="227"/>
        <w:rPr>
          <w:rFonts w:ascii="Georgia" w:hAnsi="Georgia"/>
          <w:b/>
          <w:sz w:val="19"/>
          <w:szCs w:val="19"/>
        </w:rPr>
      </w:pPr>
      <w:r>
        <w:rPr>
          <w:rFonts w:ascii="Georgia" w:hAnsi="Georgia"/>
          <w:b/>
          <w:sz w:val="19"/>
          <w:szCs w:val="19"/>
        </w:rPr>
        <w:lastRenderedPageBreak/>
        <w:t>Figure 1</w:t>
      </w:r>
      <w:r w:rsidR="009D55F8" w:rsidRPr="005F7914">
        <w:rPr>
          <w:rFonts w:ascii="Georgia" w:hAnsi="Georgia"/>
          <w:b/>
          <w:sz w:val="19"/>
          <w:szCs w:val="19"/>
        </w:rPr>
        <w:t>: Estimated AusAID Timor</w:t>
      </w:r>
      <w:r w:rsidR="000E1A2E">
        <w:rPr>
          <w:rFonts w:ascii="Georgia" w:hAnsi="Georgia"/>
          <w:b/>
          <w:sz w:val="19"/>
          <w:szCs w:val="19"/>
        </w:rPr>
        <w:t>-Leste</w:t>
      </w:r>
      <w:r w:rsidR="009D55F8" w:rsidRPr="005F7914">
        <w:rPr>
          <w:rFonts w:ascii="Georgia" w:hAnsi="Georgia"/>
          <w:b/>
          <w:sz w:val="19"/>
          <w:szCs w:val="19"/>
        </w:rPr>
        <w:t xml:space="preserve"> expenditure (</w:t>
      </w:r>
      <w:r w:rsidR="00332630">
        <w:rPr>
          <w:rFonts w:ascii="Georgia" w:hAnsi="Georgia"/>
          <w:b/>
          <w:sz w:val="19"/>
          <w:szCs w:val="19"/>
        </w:rPr>
        <w:t>20</w:t>
      </w:r>
      <w:r w:rsidR="009D55F8" w:rsidRPr="005F7914">
        <w:rPr>
          <w:rFonts w:ascii="Georgia" w:hAnsi="Georgia"/>
          <w:b/>
          <w:sz w:val="19"/>
          <w:szCs w:val="19"/>
        </w:rPr>
        <w:t>10</w:t>
      </w:r>
      <w:r w:rsidR="00332630">
        <w:rPr>
          <w:rFonts w:ascii="Georgia" w:hAnsi="Georgia"/>
          <w:b/>
          <w:sz w:val="19"/>
          <w:szCs w:val="19"/>
        </w:rPr>
        <w:t>-</w:t>
      </w:r>
      <w:r w:rsidR="009D55F8" w:rsidRPr="005F7914">
        <w:rPr>
          <w:rFonts w:ascii="Georgia" w:hAnsi="Georgia"/>
          <w:b/>
          <w:sz w:val="19"/>
          <w:szCs w:val="19"/>
        </w:rPr>
        <w:t>11)</w:t>
      </w:r>
      <w:r w:rsidR="009D55F8" w:rsidRPr="005F7914">
        <w:rPr>
          <w:rStyle w:val="FootnoteReference"/>
          <w:b/>
        </w:rPr>
        <w:footnoteReference w:id="13"/>
      </w:r>
    </w:p>
    <w:p w:rsidR="009D55F8" w:rsidRPr="005F7914" w:rsidRDefault="00B05170" w:rsidP="009D55F8">
      <w:pPr>
        <w:framePr w:hSpace="180" w:wrap="around" w:vAnchor="text" w:hAnchor="margin" w:y="227"/>
        <w:spacing w:before="60" w:after="60"/>
        <w:rPr>
          <w:b/>
        </w:rPr>
      </w:pPr>
      <w:r>
        <w:rPr>
          <w:noProof/>
          <w:lang w:val="en-US" w:eastAsia="en-US"/>
        </w:rPr>
        <w:drawing>
          <wp:inline distT="0" distB="0" distL="0" distR="0" wp14:anchorId="4883A533" wp14:editId="7D65720F">
            <wp:extent cx="5033010" cy="3869690"/>
            <wp:effectExtent l="0" t="0" r="0" b="0"/>
            <wp:docPr id="3" name="Picture 3" descr="Pie chart detailing the expenditure of AusAID in Timor-Leste on the various objectives (Health, Education, etc.). For details, please refer to the following table." title=" Estimated AusAID Timor-Leste Expenditure in 2010-2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PPRpie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33010" cy="3869690"/>
                    </a:xfrm>
                    <a:prstGeom prst="rect">
                      <a:avLst/>
                    </a:prstGeom>
                    <a:noFill/>
                    <a:ln>
                      <a:noFill/>
                    </a:ln>
                  </pic:spPr>
                </pic:pic>
              </a:graphicData>
            </a:graphic>
          </wp:inline>
        </w:drawing>
      </w:r>
    </w:p>
    <w:p w:rsidR="001128FE" w:rsidRDefault="001128FE" w:rsidP="001128FE">
      <w:pPr>
        <w:pStyle w:val="Heading2"/>
        <w:keepNext/>
        <w:tabs>
          <w:tab w:val="left" w:pos="1920"/>
        </w:tabs>
        <w:spacing w:before="0" w:after="120" w:line="320" w:lineRule="atLeast"/>
        <w:ind w:left="0"/>
      </w:pPr>
      <w:bookmarkStart w:id="3" w:name="_Toc360972999"/>
      <w:r w:rsidRPr="00A6320C">
        <w:t>Expenditure</w:t>
      </w:r>
      <w:bookmarkEnd w:id="3"/>
    </w:p>
    <w:p w:rsidR="001128FE" w:rsidRPr="005F7914" w:rsidRDefault="001128FE" w:rsidP="001128FE">
      <w:pPr>
        <w:pStyle w:val="Caption"/>
      </w:pPr>
      <w:r w:rsidRPr="005F7914">
        <w:t xml:space="preserve">Table </w:t>
      </w:r>
      <w:r>
        <w:t>1</w:t>
      </w:r>
      <w:r w:rsidRPr="005F7914">
        <w:t>: Estimated expenditure in 2009</w:t>
      </w:r>
      <w:r w:rsidR="00332630">
        <w:t>–</w:t>
      </w:r>
      <w:r w:rsidRPr="005F7914">
        <w:t>10</w:t>
      </w:r>
    </w:p>
    <w:tbl>
      <w:tblPr>
        <w:tblW w:w="0" w:type="auto"/>
        <w:tblInd w:w="57" w:type="dxa"/>
        <w:tblLayout w:type="fixed"/>
        <w:tblLook w:val="0000" w:firstRow="0" w:lastRow="0" w:firstColumn="0" w:lastColumn="0" w:noHBand="0" w:noVBand="0"/>
      </w:tblPr>
      <w:tblGrid>
        <w:gridCol w:w="5683"/>
        <w:gridCol w:w="1127"/>
        <w:gridCol w:w="1128"/>
      </w:tblGrid>
      <w:tr w:rsidR="001128FE" w:rsidRPr="005F7914" w:rsidTr="009B1310">
        <w:trPr>
          <w:cantSplit/>
          <w:tblHeader/>
        </w:trPr>
        <w:tc>
          <w:tcPr>
            <w:tcW w:w="5683" w:type="dxa"/>
            <w:tcBorders>
              <w:top w:val="single" w:sz="12" w:space="0" w:color="auto"/>
              <w:bottom w:val="single" w:sz="2" w:space="0" w:color="auto"/>
            </w:tcBorders>
            <w:shd w:val="clear" w:color="auto" w:fill="auto"/>
            <w:tcMar>
              <w:left w:w="57" w:type="dxa"/>
              <w:right w:w="57" w:type="dxa"/>
            </w:tcMar>
          </w:tcPr>
          <w:p w:rsidR="001128FE" w:rsidRPr="005F7914" w:rsidRDefault="001128FE" w:rsidP="00AA7753">
            <w:pPr>
              <w:pStyle w:val="TableDataColumnHeading"/>
              <w:jc w:val="left"/>
            </w:pPr>
            <w:r w:rsidRPr="005F7914">
              <w:t>Objective</w:t>
            </w:r>
          </w:p>
        </w:tc>
        <w:tc>
          <w:tcPr>
            <w:tcW w:w="1127" w:type="dxa"/>
            <w:tcBorders>
              <w:top w:val="single" w:sz="12" w:space="0" w:color="auto"/>
              <w:bottom w:val="single" w:sz="2" w:space="0" w:color="auto"/>
            </w:tcBorders>
            <w:shd w:val="clear" w:color="auto" w:fill="auto"/>
            <w:tcMar>
              <w:left w:w="57" w:type="dxa"/>
              <w:right w:w="57" w:type="dxa"/>
            </w:tcMar>
          </w:tcPr>
          <w:p w:rsidR="001128FE" w:rsidRPr="005F7914" w:rsidRDefault="001128FE" w:rsidP="00AA7753">
            <w:pPr>
              <w:pStyle w:val="TableDataColumnHeading"/>
            </w:pPr>
            <w:r w:rsidRPr="005F7914">
              <w:t>$ million</w:t>
            </w:r>
          </w:p>
        </w:tc>
        <w:tc>
          <w:tcPr>
            <w:tcW w:w="1128" w:type="dxa"/>
            <w:tcBorders>
              <w:top w:val="single" w:sz="12" w:space="0" w:color="auto"/>
              <w:bottom w:val="single" w:sz="2" w:space="0" w:color="auto"/>
            </w:tcBorders>
            <w:shd w:val="clear" w:color="auto" w:fill="auto"/>
            <w:tcMar>
              <w:left w:w="57" w:type="dxa"/>
              <w:right w:w="57" w:type="dxa"/>
            </w:tcMar>
          </w:tcPr>
          <w:p w:rsidR="001128FE" w:rsidRPr="005F7914" w:rsidRDefault="001128FE" w:rsidP="00AA7753">
            <w:pPr>
              <w:pStyle w:val="TableDataColumnHeading"/>
            </w:pPr>
            <w:r w:rsidRPr="005F7914">
              <w:t>% of bilateral program</w:t>
            </w:r>
          </w:p>
        </w:tc>
      </w:tr>
      <w:tr w:rsidR="001128FE" w:rsidRPr="005F7914" w:rsidTr="009B1310">
        <w:trPr>
          <w:cantSplit/>
        </w:trPr>
        <w:tc>
          <w:tcPr>
            <w:tcW w:w="5683" w:type="dxa"/>
            <w:tcBorders>
              <w:bottom w:val="single" w:sz="12" w:space="0" w:color="auto"/>
            </w:tcBorders>
            <w:shd w:val="clear" w:color="auto" w:fill="auto"/>
            <w:tcMar>
              <w:left w:w="57" w:type="dxa"/>
              <w:right w:w="57" w:type="dxa"/>
            </w:tcMar>
          </w:tcPr>
          <w:p w:rsidR="001128FE" w:rsidRPr="005F7914" w:rsidRDefault="001128FE" w:rsidP="00AA7753">
            <w:pPr>
              <w:pStyle w:val="TableDataEntries"/>
              <w:jc w:val="left"/>
            </w:pPr>
            <w:r w:rsidRPr="005F7914">
              <w:t>Health</w:t>
            </w:r>
          </w:p>
        </w:tc>
        <w:tc>
          <w:tcPr>
            <w:tcW w:w="1127" w:type="dxa"/>
            <w:tcBorders>
              <w:bottom w:val="single" w:sz="12" w:space="0" w:color="auto"/>
            </w:tcBorders>
            <w:shd w:val="clear" w:color="auto" w:fill="auto"/>
            <w:tcMar>
              <w:left w:w="57" w:type="dxa"/>
              <w:right w:w="57" w:type="dxa"/>
            </w:tcMar>
          </w:tcPr>
          <w:p w:rsidR="001128FE" w:rsidRPr="005F7914" w:rsidRDefault="001128FE" w:rsidP="00AA7753">
            <w:pPr>
              <w:pStyle w:val="TableDataEntries"/>
            </w:pPr>
            <w:r w:rsidRPr="005F7914">
              <w:t>9.5</w:t>
            </w:r>
          </w:p>
        </w:tc>
        <w:tc>
          <w:tcPr>
            <w:tcW w:w="1128" w:type="dxa"/>
            <w:tcBorders>
              <w:bottom w:val="single" w:sz="12" w:space="0" w:color="auto"/>
            </w:tcBorders>
            <w:shd w:val="clear" w:color="auto" w:fill="auto"/>
            <w:tcMar>
              <w:left w:w="57" w:type="dxa"/>
              <w:right w:w="57" w:type="dxa"/>
            </w:tcMar>
          </w:tcPr>
          <w:p w:rsidR="001128FE" w:rsidRPr="005F7914" w:rsidRDefault="001128FE" w:rsidP="00AA7753">
            <w:pPr>
              <w:pStyle w:val="TableDataEntries"/>
            </w:pPr>
            <w:r w:rsidRPr="005F7914">
              <w:t>9.4</w:t>
            </w:r>
          </w:p>
        </w:tc>
      </w:tr>
      <w:tr w:rsidR="001128FE" w:rsidRPr="005F7914" w:rsidTr="009B1310">
        <w:trPr>
          <w:cantSplit/>
        </w:trPr>
        <w:tc>
          <w:tcPr>
            <w:tcW w:w="5683" w:type="dxa"/>
            <w:tcBorders>
              <w:bottom w:val="single" w:sz="12" w:space="0" w:color="auto"/>
            </w:tcBorders>
            <w:shd w:val="clear" w:color="auto" w:fill="auto"/>
            <w:tcMar>
              <w:left w:w="57" w:type="dxa"/>
              <w:right w:w="57" w:type="dxa"/>
            </w:tcMar>
          </w:tcPr>
          <w:p w:rsidR="001128FE" w:rsidRPr="005F7914" w:rsidRDefault="001128FE" w:rsidP="003A0758">
            <w:pPr>
              <w:pStyle w:val="TableDataEntries"/>
              <w:jc w:val="left"/>
            </w:pPr>
            <w:r w:rsidRPr="005F7914">
              <w:t xml:space="preserve">Education and </w:t>
            </w:r>
            <w:r w:rsidR="003A0758">
              <w:t>y</w:t>
            </w:r>
            <w:r w:rsidRPr="005F7914">
              <w:t xml:space="preserve">outh </w:t>
            </w:r>
            <w:r w:rsidR="003A0758">
              <w:t>e</w:t>
            </w:r>
            <w:r w:rsidRPr="005F7914">
              <w:t>mployment</w:t>
            </w:r>
          </w:p>
        </w:tc>
        <w:tc>
          <w:tcPr>
            <w:tcW w:w="1127" w:type="dxa"/>
            <w:tcBorders>
              <w:bottom w:val="single" w:sz="12" w:space="0" w:color="auto"/>
            </w:tcBorders>
            <w:shd w:val="clear" w:color="auto" w:fill="auto"/>
            <w:tcMar>
              <w:left w:w="57" w:type="dxa"/>
              <w:right w:w="57" w:type="dxa"/>
            </w:tcMar>
          </w:tcPr>
          <w:p w:rsidR="001128FE" w:rsidRPr="005F7914" w:rsidRDefault="001128FE" w:rsidP="00AA7753">
            <w:pPr>
              <w:pStyle w:val="TableDataEntries"/>
            </w:pPr>
            <w:r w:rsidRPr="005F7914">
              <w:t>7.6</w:t>
            </w:r>
          </w:p>
        </w:tc>
        <w:tc>
          <w:tcPr>
            <w:tcW w:w="1128" w:type="dxa"/>
            <w:tcBorders>
              <w:bottom w:val="single" w:sz="12" w:space="0" w:color="auto"/>
            </w:tcBorders>
            <w:shd w:val="clear" w:color="auto" w:fill="auto"/>
            <w:tcMar>
              <w:left w:w="57" w:type="dxa"/>
              <w:right w:w="57" w:type="dxa"/>
            </w:tcMar>
          </w:tcPr>
          <w:p w:rsidR="001128FE" w:rsidRPr="005F7914" w:rsidRDefault="001128FE" w:rsidP="00AA7753">
            <w:pPr>
              <w:pStyle w:val="TableDataEntries"/>
            </w:pPr>
            <w:r w:rsidRPr="005F7914">
              <w:t>7.5</w:t>
            </w:r>
          </w:p>
        </w:tc>
      </w:tr>
      <w:tr w:rsidR="001128FE" w:rsidRPr="005F7914" w:rsidTr="009B1310">
        <w:trPr>
          <w:cantSplit/>
        </w:trPr>
        <w:tc>
          <w:tcPr>
            <w:tcW w:w="5683" w:type="dxa"/>
            <w:tcBorders>
              <w:bottom w:val="single" w:sz="12" w:space="0" w:color="auto"/>
            </w:tcBorders>
            <w:shd w:val="clear" w:color="auto" w:fill="auto"/>
            <w:tcMar>
              <w:left w:w="57" w:type="dxa"/>
              <w:right w:w="57" w:type="dxa"/>
            </w:tcMar>
          </w:tcPr>
          <w:p w:rsidR="001128FE" w:rsidRPr="005F7914" w:rsidRDefault="001128FE" w:rsidP="003A0758">
            <w:pPr>
              <w:pStyle w:val="TableDataEntries"/>
              <w:jc w:val="left"/>
            </w:pPr>
            <w:r w:rsidRPr="005F7914">
              <w:t xml:space="preserve">Rural </w:t>
            </w:r>
            <w:r w:rsidR="003A0758">
              <w:t>w</w:t>
            </w:r>
            <w:r w:rsidRPr="005F7914">
              <w:t xml:space="preserve">ater, </w:t>
            </w:r>
            <w:r w:rsidR="003A0758">
              <w:t>s</w:t>
            </w:r>
            <w:r w:rsidRPr="005F7914">
              <w:t xml:space="preserve">anitation and </w:t>
            </w:r>
            <w:r w:rsidR="003A0758">
              <w:t>h</w:t>
            </w:r>
            <w:r w:rsidRPr="005F7914">
              <w:t xml:space="preserve">ygiene </w:t>
            </w:r>
            <w:r w:rsidR="003A0758">
              <w:t>b</w:t>
            </w:r>
            <w:r w:rsidRPr="005F7914">
              <w:t xml:space="preserve">ehaviour </w:t>
            </w:r>
            <w:r w:rsidR="003A0758">
              <w:t>c</w:t>
            </w:r>
            <w:r w:rsidRPr="005F7914">
              <w:t>hange</w:t>
            </w:r>
          </w:p>
        </w:tc>
        <w:tc>
          <w:tcPr>
            <w:tcW w:w="1127" w:type="dxa"/>
            <w:tcBorders>
              <w:bottom w:val="single" w:sz="12" w:space="0" w:color="auto"/>
            </w:tcBorders>
            <w:shd w:val="clear" w:color="auto" w:fill="auto"/>
            <w:tcMar>
              <w:left w:w="57" w:type="dxa"/>
              <w:right w:w="57" w:type="dxa"/>
            </w:tcMar>
          </w:tcPr>
          <w:p w:rsidR="001128FE" w:rsidRPr="005F7914" w:rsidRDefault="001128FE" w:rsidP="00AA7753">
            <w:pPr>
              <w:pStyle w:val="TableDataEntries"/>
            </w:pPr>
            <w:r w:rsidRPr="005F7914">
              <w:t>14.1</w:t>
            </w:r>
          </w:p>
        </w:tc>
        <w:tc>
          <w:tcPr>
            <w:tcW w:w="1128" w:type="dxa"/>
            <w:tcBorders>
              <w:bottom w:val="single" w:sz="12" w:space="0" w:color="auto"/>
            </w:tcBorders>
            <w:shd w:val="clear" w:color="auto" w:fill="auto"/>
            <w:tcMar>
              <w:left w:w="57" w:type="dxa"/>
              <w:right w:w="57" w:type="dxa"/>
            </w:tcMar>
          </w:tcPr>
          <w:p w:rsidR="001128FE" w:rsidRPr="005F7914" w:rsidRDefault="001128FE" w:rsidP="00AA7753">
            <w:pPr>
              <w:pStyle w:val="TableDataEntries"/>
            </w:pPr>
            <w:r w:rsidRPr="005F7914">
              <w:t>13.8</w:t>
            </w:r>
          </w:p>
        </w:tc>
      </w:tr>
      <w:tr w:rsidR="001128FE" w:rsidRPr="005F7914" w:rsidTr="009B1310">
        <w:trPr>
          <w:cantSplit/>
        </w:trPr>
        <w:tc>
          <w:tcPr>
            <w:tcW w:w="5683" w:type="dxa"/>
            <w:tcBorders>
              <w:bottom w:val="single" w:sz="12" w:space="0" w:color="auto"/>
            </w:tcBorders>
            <w:shd w:val="clear" w:color="auto" w:fill="auto"/>
            <w:tcMar>
              <w:left w:w="57" w:type="dxa"/>
              <w:right w:w="57" w:type="dxa"/>
            </w:tcMar>
          </w:tcPr>
          <w:p w:rsidR="001128FE" w:rsidRPr="005F7914" w:rsidRDefault="001128FE" w:rsidP="00AA7753">
            <w:pPr>
              <w:pStyle w:val="TableDataEntries"/>
              <w:jc w:val="left"/>
            </w:pPr>
            <w:r w:rsidRPr="005F7914">
              <w:t>Infrastructure</w:t>
            </w:r>
          </w:p>
        </w:tc>
        <w:tc>
          <w:tcPr>
            <w:tcW w:w="1127" w:type="dxa"/>
            <w:tcBorders>
              <w:bottom w:val="single" w:sz="12" w:space="0" w:color="auto"/>
            </w:tcBorders>
            <w:shd w:val="clear" w:color="auto" w:fill="auto"/>
            <w:tcMar>
              <w:left w:w="57" w:type="dxa"/>
              <w:right w:w="57" w:type="dxa"/>
            </w:tcMar>
          </w:tcPr>
          <w:p w:rsidR="001128FE" w:rsidRPr="005F7914" w:rsidRDefault="001128FE" w:rsidP="00AA7753">
            <w:pPr>
              <w:pStyle w:val="TableDataEntries"/>
            </w:pPr>
            <w:r w:rsidRPr="005F7914">
              <w:t>5.2</w:t>
            </w:r>
          </w:p>
        </w:tc>
        <w:tc>
          <w:tcPr>
            <w:tcW w:w="1128" w:type="dxa"/>
            <w:tcBorders>
              <w:bottom w:val="single" w:sz="12" w:space="0" w:color="auto"/>
            </w:tcBorders>
            <w:shd w:val="clear" w:color="auto" w:fill="auto"/>
            <w:tcMar>
              <w:left w:w="57" w:type="dxa"/>
              <w:right w:w="57" w:type="dxa"/>
            </w:tcMar>
          </w:tcPr>
          <w:p w:rsidR="001128FE" w:rsidRPr="005F7914" w:rsidRDefault="001128FE" w:rsidP="00AA7753">
            <w:pPr>
              <w:pStyle w:val="TableDataEntries"/>
            </w:pPr>
            <w:r w:rsidRPr="005F7914">
              <w:t>5.1</w:t>
            </w:r>
          </w:p>
        </w:tc>
      </w:tr>
      <w:tr w:rsidR="001128FE" w:rsidRPr="005F7914" w:rsidTr="009B1310">
        <w:trPr>
          <w:cantSplit/>
        </w:trPr>
        <w:tc>
          <w:tcPr>
            <w:tcW w:w="5683" w:type="dxa"/>
            <w:tcBorders>
              <w:bottom w:val="single" w:sz="12" w:space="0" w:color="auto"/>
            </w:tcBorders>
            <w:shd w:val="clear" w:color="auto" w:fill="auto"/>
            <w:tcMar>
              <w:left w:w="57" w:type="dxa"/>
              <w:right w:w="57" w:type="dxa"/>
            </w:tcMar>
          </w:tcPr>
          <w:p w:rsidR="001128FE" w:rsidRPr="005F7914" w:rsidRDefault="001128FE" w:rsidP="003A0758">
            <w:pPr>
              <w:pStyle w:val="TableDataEntries"/>
              <w:jc w:val="left"/>
            </w:pPr>
            <w:r w:rsidRPr="005F7914">
              <w:t xml:space="preserve">Agriculture </w:t>
            </w:r>
            <w:r w:rsidR="003A0758">
              <w:t>p</w:t>
            </w:r>
            <w:r w:rsidRPr="005F7914">
              <w:t xml:space="preserve">roductivity and </w:t>
            </w:r>
            <w:r w:rsidR="003A0758">
              <w:t>f</w:t>
            </w:r>
            <w:r w:rsidRPr="005F7914">
              <w:t xml:space="preserve">ood </w:t>
            </w:r>
            <w:r w:rsidR="003A0758">
              <w:t>s</w:t>
            </w:r>
            <w:r w:rsidRPr="005F7914">
              <w:t>ecurity</w:t>
            </w:r>
          </w:p>
        </w:tc>
        <w:tc>
          <w:tcPr>
            <w:tcW w:w="1127" w:type="dxa"/>
            <w:tcBorders>
              <w:bottom w:val="single" w:sz="12" w:space="0" w:color="auto"/>
            </w:tcBorders>
            <w:shd w:val="clear" w:color="auto" w:fill="auto"/>
            <w:tcMar>
              <w:left w:w="57" w:type="dxa"/>
              <w:right w:w="57" w:type="dxa"/>
            </w:tcMar>
          </w:tcPr>
          <w:p w:rsidR="001128FE" w:rsidRPr="005F7914" w:rsidRDefault="001128FE" w:rsidP="00AA7753">
            <w:pPr>
              <w:pStyle w:val="TableDataEntries"/>
            </w:pPr>
            <w:r w:rsidRPr="005F7914">
              <w:t>3.0</w:t>
            </w:r>
          </w:p>
        </w:tc>
        <w:tc>
          <w:tcPr>
            <w:tcW w:w="1128" w:type="dxa"/>
            <w:tcBorders>
              <w:bottom w:val="single" w:sz="12" w:space="0" w:color="auto"/>
            </w:tcBorders>
            <w:shd w:val="clear" w:color="auto" w:fill="auto"/>
            <w:tcMar>
              <w:left w:w="57" w:type="dxa"/>
              <w:right w:w="57" w:type="dxa"/>
            </w:tcMar>
          </w:tcPr>
          <w:p w:rsidR="001128FE" w:rsidRPr="005F7914" w:rsidRDefault="001128FE" w:rsidP="00AA7753">
            <w:pPr>
              <w:pStyle w:val="TableDataEntries"/>
            </w:pPr>
            <w:r w:rsidRPr="005F7914">
              <w:t>3.0</w:t>
            </w:r>
          </w:p>
        </w:tc>
      </w:tr>
      <w:tr w:rsidR="001128FE" w:rsidRPr="005F7914" w:rsidTr="009B1310">
        <w:trPr>
          <w:cantSplit/>
        </w:trPr>
        <w:tc>
          <w:tcPr>
            <w:tcW w:w="5683" w:type="dxa"/>
            <w:tcBorders>
              <w:bottom w:val="single" w:sz="12" w:space="0" w:color="auto"/>
            </w:tcBorders>
            <w:shd w:val="clear" w:color="auto" w:fill="auto"/>
            <w:tcMar>
              <w:left w:w="57" w:type="dxa"/>
              <w:right w:w="57" w:type="dxa"/>
            </w:tcMar>
          </w:tcPr>
          <w:p w:rsidR="001128FE" w:rsidRPr="005F7914" w:rsidRDefault="001128FE" w:rsidP="003A0758">
            <w:pPr>
              <w:pStyle w:val="TableDataEntries"/>
              <w:jc w:val="left"/>
            </w:pPr>
            <w:r w:rsidRPr="005F7914">
              <w:t xml:space="preserve">Public </w:t>
            </w:r>
            <w:r w:rsidR="003A0758">
              <w:t>s</w:t>
            </w:r>
            <w:r w:rsidRPr="005F7914">
              <w:t xml:space="preserve">ector and </w:t>
            </w:r>
            <w:r w:rsidR="003A0758">
              <w:t>d</w:t>
            </w:r>
            <w:r w:rsidRPr="005F7914">
              <w:t xml:space="preserve">emocratic </w:t>
            </w:r>
            <w:r w:rsidR="003A0758">
              <w:t>g</w:t>
            </w:r>
            <w:r w:rsidRPr="005F7914">
              <w:t>overnance</w:t>
            </w:r>
          </w:p>
        </w:tc>
        <w:tc>
          <w:tcPr>
            <w:tcW w:w="1127" w:type="dxa"/>
            <w:tcBorders>
              <w:bottom w:val="single" w:sz="12" w:space="0" w:color="auto"/>
            </w:tcBorders>
            <w:shd w:val="clear" w:color="auto" w:fill="auto"/>
            <w:tcMar>
              <w:left w:w="57" w:type="dxa"/>
              <w:right w:w="57" w:type="dxa"/>
            </w:tcMar>
          </w:tcPr>
          <w:p w:rsidR="001128FE" w:rsidRPr="005F7914" w:rsidRDefault="001128FE" w:rsidP="00AA7753">
            <w:pPr>
              <w:pStyle w:val="TableDataEntries"/>
            </w:pPr>
            <w:r w:rsidRPr="005F7914">
              <w:t>7.1</w:t>
            </w:r>
          </w:p>
        </w:tc>
        <w:tc>
          <w:tcPr>
            <w:tcW w:w="1128" w:type="dxa"/>
            <w:tcBorders>
              <w:bottom w:val="single" w:sz="12" w:space="0" w:color="auto"/>
            </w:tcBorders>
            <w:shd w:val="clear" w:color="auto" w:fill="auto"/>
            <w:tcMar>
              <w:left w:w="57" w:type="dxa"/>
              <w:right w:w="57" w:type="dxa"/>
            </w:tcMar>
          </w:tcPr>
          <w:p w:rsidR="001128FE" w:rsidRPr="005F7914" w:rsidRDefault="001128FE" w:rsidP="00AA7753">
            <w:pPr>
              <w:pStyle w:val="TableDataEntries"/>
            </w:pPr>
            <w:r w:rsidRPr="005F7914">
              <w:t>7.0</w:t>
            </w:r>
          </w:p>
        </w:tc>
      </w:tr>
      <w:tr w:rsidR="001128FE" w:rsidRPr="005F7914" w:rsidTr="009B1310">
        <w:trPr>
          <w:cantSplit/>
        </w:trPr>
        <w:tc>
          <w:tcPr>
            <w:tcW w:w="5683" w:type="dxa"/>
            <w:tcBorders>
              <w:bottom w:val="single" w:sz="12" w:space="0" w:color="auto"/>
            </w:tcBorders>
            <w:shd w:val="clear" w:color="auto" w:fill="auto"/>
            <w:tcMar>
              <w:left w:w="57" w:type="dxa"/>
              <w:right w:w="57" w:type="dxa"/>
            </w:tcMar>
          </w:tcPr>
          <w:p w:rsidR="001128FE" w:rsidRPr="005F7914" w:rsidRDefault="001128FE" w:rsidP="003A0758">
            <w:pPr>
              <w:pStyle w:val="TableDataEntries"/>
              <w:jc w:val="left"/>
            </w:pPr>
            <w:r w:rsidRPr="005F7914">
              <w:t xml:space="preserve">Public </w:t>
            </w:r>
            <w:r w:rsidR="003A0758">
              <w:t>f</w:t>
            </w:r>
            <w:r w:rsidRPr="005F7914">
              <w:t xml:space="preserve">inancial </w:t>
            </w:r>
            <w:r w:rsidR="003A0758">
              <w:t>m</w:t>
            </w:r>
            <w:r w:rsidRPr="005F7914">
              <w:t>anagement</w:t>
            </w:r>
          </w:p>
        </w:tc>
        <w:tc>
          <w:tcPr>
            <w:tcW w:w="1127" w:type="dxa"/>
            <w:tcBorders>
              <w:bottom w:val="single" w:sz="12" w:space="0" w:color="auto"/>
            </w:tcBorders>
            <w:shd w:val="clear" w:color="auto" w:fill="auto"/>
            <w:tcMar>
              <w:left w:w="57" w:type="dxa"/>
              <w:right w:w="57" w:type="dxa"/>
            </w:tcMar>
          </w:tcPr>
          <w:p w:rsidR="001128FE" w:rsidRPr="005F7914" w:rsidRDefault="001128FE" w:rsidP="00AA7753">
            <w:pPr>
              <w:pStyle w:val="TableDataEntries"/>
            </w:pPr>
            <w:r w:rsidRPr="005F7914">
              <w:t>6.5</w:t>
            </w:r>
          </w:p>
        </w:tc>
        <w:tc>
          <w:tcPr>
            <w:tcW w:w="1128" w:type="dxa"/>
            <w:tcBorders>
              <w:bottom w:val="single" w:sz="12" w:space="0" w:color="auto"/>
            </w:tcBorders>
            <w:shd w:val="clear" w:color="auto" w:fill="auto"/>
            <w:tcMar>
              <w:left w:w="57" w:type="dxa"/>
              <w:right w:w="57" w:type="dxa"/>
            </w:tcMar>
          </w:tcPr>
          <w:p w:rsidR="001128FE" w:rsidRPr="005F7914" w:rsidRDefault="001128FE" w:rsidP="00AA7753">
            <w:pPr>
              <w:pStyle w:val="TableDataEntries"/>
            </w:pPr>
            <w:r w:rsidRPr="005F7914">
              <w:t>6.4</w:t>
            </w:r>
          </w:p>
        </w:tc>
      </w:tr>
      <w:tr w:rsidR="001128FE" w:rsidRPr="005F7914" w:rsidTr="009B1310">
        <w:trPr>
          <w:cantSplit/>
        </w:trPr>
        <w:tc>
          <w:tcPr>
            <w:tcW w:w="5683" w:type="dxa"/>
            <w:tcBorders>
              <w:bottom w:val="single" w:sz="12" w:space="0" w:color="auto"/>
            </w:tcBorders>
            <w:shd w:val="clear" w:color="auto" w:fill="auto"/>
            <w:tcMar>
              <w:left w:w="57" w:type="dxa"/>
              <w:right w:w="57" w:type="dxa"/>
            </w:tcMar>
          </w:tcPr>
          <w:p w:rsidR="001128FE" w:rsidRPr="005F7914" w:rsidRDefault="001128FE" w:rsidP="003A0758">
            <w:pPr>
              <w:pStyle w:val="TableDataEntries"/>
              <w:jc w:val="left"/>
            </w:pPr>
            <w:r w:rsidRPr="005F7914">
              <w:t xml:space="preserve">Resilience to </w:t>
            </w:r>
            <w:r w:rsidR="003A0758">
              <w:t>n</w:t>
            </w:r>
            <w:r w:rsidRPr="005F7914">
              <w:t xml:space="preserve">atural </w:t>
            </w:r>
            <w:r w:rsidR="003A0758">
              <w:t>e</w:t>
            </w:r>
            <w:r w:rsidRPr="005F7914">
              <w:t>mergencies</w:t>
            </w:r>
          </w:p>
        </w:tc>
        <w:tc>
          <w:tcPr>
            <w:tcW w:w="1127" w:type="dxa"/>
            <w:tcBorders>
              <w:bottom w:val="single" w:sz="12" w:space="0" w:color="auto"/>
            </w:tcBorders>
            <w:shd w:val="clear" w:color="auto" w:fill="auto"/>
            <w:tcMar>
              <w:left w:w="57" w:type="dxa"/>
              <w:right w:w="57" w:type="dxa"/>
            </w:tcMar>
          </w:tcPr>
          <w:p w:rsidR="001128FE" w:rsidRPr="005F7914" w:rsidRDefault="001128FE" w:rsidP="00AA7753">
            <w:pPr>
              <w:pStyle w:val="TableDataEntries"/>
            </w:pPr>
            <w:r w:rsidRPr="005F7914">
              <w:t>1.8</w:t>
            </w:r>
          </w:p>
        </w:tc>
        <w:tc>
          <w:tcPr>
            <w:tcW w:w="1128" w:type="dxa"/>
            <w:tcBorders>
              <w:bottom w:val="single" w:sz="12" w:space="0" w:color="auto"/>
            </w:tcBorders>
            <w:shd w:val="clear" w:color="auto" w:fill="auto"/>
            <w:tcMar>
              <w:left w:w="57" w:type="dxa"/>
              <w:right w:w="57" w:type="dxa"/>
            </w:tcMar>
          </w:tcPr>
          <w:p w:rsidR="001128FE" w:rsidRPr="005F7914" w:rsidRDefault="001128FE" w:rsidP="00AA7753">
            <w:pPr>
              <w:pStyle w:val="TableDataEntries"/>
            </w:pPr>
            <w:r w:rsidRPr="005F7914">
              <w:t>1.7</w:t>
            </w:r>
          </w:p>
        </w:tc>
      </w:tr>
      <w:tr w:rsidR="001128FE" w:rsidRPr="005F7914" w:rsidTr="009B1310">
        <w:trPr>
          <w:cantSplit/>
        </w:trPr>
        <w:tc>
          <w:tcPr>
            <w:tcW w:w="5683" w:type="dxa"/>
            <w:tcBorders>
              <w:bottom w:val="single" w:sz="12" w:space="0" w:color="auto"/>
            </w:tcBorders>
            <w:shd w:val="clear" w:color="auto" w:fill="auto"/>
            <w:tcMar>
              <w:left w:w="57" w:type="dxa"/>
              <w:right w:w="57" w:type="dxa"/>
            </w:tcMar>
          </w:tcPr>
          <w:p w:rsidR="001128FE" w:rsidRPr="005F7914" w:rsidRDefault="001128FE" w:rsidP="00AA7753">
            <w:pPr>
              <w:pStyle w:val="TableDataEntries"/>
              <w:jc w:val="left"/>
            </w:pPr>
            <w:r w:rsidRPr="005F7914">
              <w:t>Violence against women</w:t>
            </w:r>
          </w:p>
        </w:tc>
        <w:tc>
          <w:tcPr>
            <w:tcW w:w="1127" w:type="dxa"/>
            <w:tcBorders>
              <w:bottom w:val="single" w:sz="12" w:space="0" w:color="auto"/>
            </w:tcBorders>
            <w:shd w:val="clear" w:color="auto" w:fill="auto"/>
            <w:tcMar>
              <w:left w:w="57" w:type="dxa"/>
              <w:right w:w="57" w:type="dxa"/>
            </w:tcMar>
          </w:tcPr>
          <w:p w:rsidR="001128FE" w:rsidRPr="005F7914" w:rsidRDefault="001128FE" w:rsidP="00AA7753">
            <w:pPr>
              <w:pStyle w:val="TableDataEntries"/>
            </w:pPr>
            <w:r w:rsidRPr="005F7914">
              <w:t>0.3</w:t>
            </w:r>
          </w:p>
        </w:tc>
        <w:tc>
          <w:tcPr>
            <w:tcW w:w="1128" w:type="dxa"/>
            <w:tcBorders>
              <w:bottom w:val="single" w:sz="12" w:space="0" w:color="auto"/>
            </w:tcBorders>
            <w:shd w:val="clear" w:color="auto" w:fill="auto"/>
            <w:tcMar>
              <w:left w:w="57" w:type="dxa"/>
              <w:right w:w="57" w:type="dxa"/>
            </w:tcMar>
          </w:tcPr>
          <w:p w:rsidR="001128FE" w:rsidRPr="005F7914" w:rsidRDefault="001128FE" w:rsidP="00AA7753">
            <w:pPr>
              <w:pStyle w:val="TableDataEntries"/>
            </w:pPr>
            <w:r w:rsidRPr="005F7914">
              <w:t>0.3</w:t>
            </w:r>
          </w:p>
        </w:tc>
      </w:tr>
      <w:tr w:rsidR="001128FE" w:rsidRPr="005F7914" w:rsidTr="009B1310">
        <w:trPr>
          <w:cantSplit/>
        </w:trPr>
        <w:tc>
          <w:tcPr>
            <w:tcW w:w="5683" w:type="dxa"/>
            <w:shd w:val="clear" w:color="auto" w:fill="auto"/>
            <w:tcMar>
              <w:left w:w="57" w:type="dxa"/>
              <w:right w:w="57" w:type="dxa"/>
            </w:tcMar>
          </w:tcPr>
          <w:p w:rsidR="001128FE" w:rsidRPr="005F7914" w:rsidRDefault="001128FE" w:rsidP="007418D0">
            <w:pPr>
              <w:pStyle w:val="TableDataEntries"/>
              <w:jc w:val="left"/>
            </w:pPr>
            <w:r w:rsidRPr="005F7914">
              <w:t xml:space="preserve">Policing </w:t>
            </w:r>
            <w:r w:rsidR="003A0758">
              <w:t>c</w:t>
            </w:r>
            <w:r w:rsidRPr="005F7914">
              <w:t>apacity (A</w:t>
            </w:r>
            <w:r w:rsidR="007418D0">
              <w:t>ustralian Federal Police</w:t>
            </w:r>
            <w:r w:rsidRPr="005F7914">
              <w:t>)</w:t>
            </w:r>
          </w:p>
        </w:tc>
        <w:tc>
          <w:tcPr>
            <w:tcW w:w="1127" w:type="dxa"/>
            <w:shd w:val="clear" w:color="auto" w:fill="auto"/>
            <w:tcMar>
              <w:left w:w="57" w:type="dxa"/>
              <w:right w:w="57" w:type="dxa"/>
            </w:tcMar>
          </w:tcPr>
          <w:p w:rsidR="001128FE" w:rsidRPr="005F7914" w:rsidRDefault="001128FE" w:rsidP="00AA7753">
            <w:pPr>
              <w:pStyle w:val="TableDataEntries"/>
            </w:pPr>
            <w:r w:rsidRPr="005F7914">
              <w:t>34.7</w:t>
            </w:r>
          </w:p>
        </w:tc>
        <w:tc>
          <w:tcPr>
            <w:tcW w:w="1128" w:type="dxa"/>
            <w:shd w:val="clear" w:color="auto" w:fill="auto"/>
            <w:tcMar>
              <w:left w:w="57" w:type="dxa"/>
              <w:right w:w="57" w:type="dxa"/>
            </w:tcMar>
          </w:tcPr>
          <w:p w:rsidR="001128FE" w:rsidRPr="005F7914" w:rsidRDefault="001128FE" w:rsidP="00AA7753">
            <w:pPr>
              <w:pStyle w:val="TableDataEntries"/>
            </w:pPr>
            <w:r w:rsidRPr="005F7914">
              <w:t>34.1</w:t>
            </w:r>
          </w:p>
        </w:tc>
      </w:tr>
      <w:tr w:rsidR="001128FE" w:rsidRPr="005F7914" w:rsidTr="009B1310">
        <w:trPr>
          <w:cantSplit/>
        </w:trPr>
        <w:tc>
          <w:tcPr>
            <w:tcW w:w="5683" w:type="dxa"/>
            <w:tcBorders>
              <w:bottom w:val="single" w:sz="12" w:space="0" w:color="auto"/>
            </w:tcBorders>
            <w:shd w:val="clear" w:color="auto" w:fill="auto"/>
            <w:tcMar>
              <w:left w:w="57" w:type="dxa"/>
              <w:right w:w="57" w:type="dxa"/>
            </w:tcMar>
          </w:tcPr>
          <w:p w:rsidR="001128FE" w:rsidRPr="005F7914" w:rsidRDefault="001128FE" w:rsidP="00AA7753">
            <w:pPr>
              <w:pStyle w:val="TableDataEntries"/>
              <w:jc w:val="left"/>
            </w:pPr>
            <w:r w:rsidRPr="005F7914">
              <w:t>Justice (AusAID)</w:t>
            </w:r>
          </w:p>
        </w:tc>
        <w:tc>
          <w:tcPr>
            <w:tcW w:w="1127" w:type="dxa"/>
            <w:tcBorders>
              <w:bottom w:val="single" w:sz="12" w:space="0" w:color="auto"/>
            </w:tcBorders>
            <w:shd w:val="clear" w:color="auto" w:fill="auto"/>
            <w:tcMar>
              <w:left w:w="57" w:type="dxa"/>
              <w:right w:w="57" w:type="dxa"/>
            </w:tcMar>
          </w:tcPr>
          <w:p w:rsidR="001128FE" w:rsidRPr="005F7914" w:rsidRDefault="001128FE" w:rsidP="00AA7753">
            <w:pPr>
              <w:pStyle w:val="TableDataEntries"/>
            </w:pPr>
            <w:r w:rsidRPr="005F7914">
              <w:t>8.3</w:t>
            </w:r>
          </w:p>
        </w:tc>
        <w:tc>
          <w:tcPr>
            <w:tcW w:w="1128" w:type="dxa"/>
            <w:tcBorders>
              <w:bottom w:val="single" w:sz="12" w:space="0" w:color="auto"/>
            </w:tcBorders>
            <w:shd w:val="clear" w:color="auto" w:fill="auto"/>
            <w:tcMar>
              <w:left w:w="57" w:type="dxa"/>
              <w:right w:w="57" w:type="dxa"/>
            </w:tcMar>
          </w:tcPr>
          <w:p w:rsidR="001128FE" w:rsidRPr="005F7914" w:rsidRDefault="001128FE" w:rsidP="00AA7753">
            <w:pPr>
              <w:pStyle w:val="TableDataEntries"/>
            </w:pPr>
            <w:r w:rsidRPr="005F7914">
              <w:t>8.2</w:t>
            </w:r>
          </w:p>
        </w:tc>
      </w:tr>
    </w:tbl>
    <w:p w:rsidR="001E2D82" w:rsidRPr="00462194" w:rsidRDefault="001E2D82" w:rsidP="001E163C">
      <w:pPr>
        <w:pStyle w:val="H1"/>
      </w:pPr>
      <w:bookmarkStart w:id="4" w:name="_Toc360973000"/>
      <w:r>
        <w:lastRenderedPageBreak/>
        <w:t>Progress against objectives</w:t>
      </w:r>
      <w:bookmarkEnd w:id="4"/>
    </w:p>
    <w:p w:rsidR="009D55F8" w:rsidRPr="005F7914" w:rsidRDefault="009D55F8" w:rsidP="009D55F8">
      <w:pPr>
        <w:pStyle w:val="BodyText"/>
      </w:pPr>
      <w:r w:rsidRPr="005F7914">
        <w:t>In 2010 Australia changed how it analyses aid performance in Timor-Leste</w:t>
      </w:r>
      <w:r w:rsidR="00BD0B39">
        <w:t xml:space="preserve">. </w:t>
      </w:r>
      <w:r w:rsidRPr="005F7914">
        <w:t xml:space="preserve">In a number of areas, we moved from analysing progress of Australian-funded programs to examining overall progress in a sector. Sector performance frameworks were developed for sectors in which we (i) intend to make a significant, long-term contribution to systemic reform and (ii) can clearly state the </w:t>
      </w:r>
      <w:r w:rsidRPr="005F7914">
        <w:rPr>
          <w:i/>
        </w:rPr>
        <w:t>shared development outcomes</w:t>
      </w:r>
      <w:r w:rsidRPr="005F7914">
        <w:t xml:space="preserve"> to which </w:t>
      </w:r>
      <w:smartTag w:uri="urn:schemas-microsoft-com:office:smarttags" w:element="place">
        <w:smartTag w:uri="urn:schemas-microsoft-com:office:smarttags" w:element="country-region">
          <w:r w:rsidRPr="005F7914">
            <w:t>Australia</w:t>
          </w:r>
        </w:smartTag>
      </w:smartTag>
      <w:r w:rsidRPr="005F7914">
        <w:t xml:space="preserve"> is significantly </w:t>
      </w:r>
      <w:r w:rsidRPr="005F7914">
        <w:rPr>
          <w:i/>
        </w:rPr>
        <w:t>contributing</w:t>
      </w:r>
      <w:r w:rsidRPr="005F7914">
        <w:t xml:space="preserve">. This </w:t>
      </w:r>
      <w:r w:rsidR="009C566B">
        <w:t>DCR</w:t>
      </w:r>
      <w:r w:rsidRPr="005F7914">
        <w:t xml:space="preserve"> rates and discusses shared progress against these shared development outcomes, drawing on the indicators and performance questions set by the relevant sector performance framework</w:t>
      </w:r>
      <w:r w:rsidR="00BD0B39">
        <w:t xml:space="preserve">. </w:t>
      </w:r>
      <w:r w:rsidRPr="005F7914">
        <w:t xml:space="preserve">The quality of </w:t>
      </w:r>
      <w:smartTag w:uri="urn:schemas-microsoft-com:office:smarttags" w:element="country-region">
        <w:r w:rsidRPr="005F7914">
          <w:t>Australia</w:t>
        </w:r>
      </w:smartTag>
      <w:r w:rsidRPr="005F7914">
        <w:t xml:space="preserve">’s </w:t>
      </w:r>
      <w:r w:rsidRPr="005F7914">
        <w:rPr>
          <w:i/>
        </w:rPr>
        <w:t>contribution</w:t>
      </w:r>
      <w:r w:rsidRPr="005F7914">
        <w:t xml:space="preserve"> to these outcomes is also discussed, but the rating is focused on shared progress rather than </w:t>
      </w:r>
      <w:smartTag w:uri="urn:schemas-microsoft-com:office:smarttags" w:element="place">
        <w:smartTag w:uri="urn:schemas-microsoft-com:office:smarttags" w:element="country-region">
          <w:r w:rsidRPr="005F7914">
            <w:t>Australia</w:t>
          </w:r>
        </w:smartTag>
      </w:smartTag>
      <w:r w:rsidRPr="005F7914">
        <w:t xml:space="preserve">’s progress alone. This shift towards rating shared progress against shared outcomes represents an acceptance that </w:t>
      </w:r>
      <w:smartTag w:uri="urn:schemas-microsoft-com:office:smarttags" w:element="place">
        <w:smartTag w:uri="urn:schemas-microsoft-com:office:smarttags" w:element="country-region">
          <w:r w:rsidRPr="005F7914">
            <w:t>Australia</w:t>
          </w:r>
        </w:smartTag>
      </w:smartTag>
      <w:r w:rsidRPr="005F7914">
        <w:t xml:space="preserve"> and Timor-Leste also share accountability for progress. Where shared progress is inadequate, this brings into question whether </w:t>
      </w:r>
      <w:smartTag w:uri="urn:schemas-microsoft-com:office:smarttags" w:element="place">
        <w:smartTag w:uri="urn:schemas-microsoft-com:office:smarttags" w:element="country-region">
          <w:r w:rsidRPr="005F7914">
            <w:t>Australia</w:t>
          </w:r>
        </w:smartTag>
      </w:smartTag>
      <w:r w:rsidRPr="005F7914">
        <w:t xml:space="preserve"> is doing the right thing in the sector, or whether we should change our approach. </w:t>
      </w:r>
    </w:p>
    <w:p w:rsidR="009D55F8" w:rsidRDefault="009D55F8" w:rsidP="009D55F8">
      <w:pPr>
        <w:pStyle w:val="BodyText"/>
      </w:pPr>
      <w:r w:rsidRPr="005F7914">
        <w:t>In sectors where sector performance frameworks have not yet been developed, outcomes stat</w:t>
      </w:r>
      <w:r w:rsidR="009C566B">
        <w:t>ements are drawn from the 2009 DC</w:t>
      </w:r>
      <w:r w:rsidR="003A0758">
        <w:t>R</w:t>
      </w:r>
      <w:r w:rsidRPr="005F7914">
        <w:t>, which are based on the Australia</w:t>
      </w:r>
      <w:r w:rsidR="005F64B1">
        <w:t xml:space="preserve"> – </w:t>
      </w:r>
      <w:r w:rsidRPr="005F7914">
        <w:t xml:space="preserve">Timor-Leste Country Strategy. Although many of these sectors have multiple outcome statements, one overall rating was agreed for each, as the shared outcome statements may change when sector performance frameworks are developed. These overall ratings were agreed as part of the </w:t>
      </w:r>
      <w:r w:rsidR="000E1A2E">
        <w:t xml:space="preserve">2010 </w:t>
      </w:r>
      <w:r w:rsidR="009C566B">
        <w:t>DCR</w:t>
      </w:r>
      <w:r w:rsidRPr="005F7914">
        <w:t xml:space="preserve"> drafting process. Sector performance frameworks for some of these sectors will be developed in 2011. </w:t>
      </w:r>
    </w:p>
    <w:p w:rsidR="001E2D82" w:rsidRPr="005F7914" w:rsidRDefault="001E2D82" w:rsidP="001E2D82">
      <w:pPr>
        <w:pStyle w:val="Caption"/>
      </w:pPr>
      <w:r w:rsidRPr="005F7914">
        <w:t xml:space="preserve">Table </w:t>
      </w:r>
      <w:r w:rsidR="001128FE">
        <w:t>2</w:t>
      </w:r>
      <w:r w:rsidRPr="005F7914">
        <w:t xml:space="preserve">: Ratings of progress in 2010 towards the objectives of the Timor-Leste </w:t>
      </w:r>
      <w:r w:rsidR="003A0758">
        <w:t>p</w:t>
      </w:r>
      <w:r w:rsidRPr="005F7914">
        <w:t>rogram</w:t>
      </w:r>
      <w:r w:rsidRPr="005F7914">
        <w:rPr>
          <w:rStyle w:val="FootnoteReference"/>
        </w:rPr>
        <w:footnoteReference w:id="14"/>
      </w:r>
    </w:p>
    <w:tbl>
      <w:tblPr>
        <w:tblW w:w="0" w:type="auto"/>
        <w:tblInd w:w="57" w:type="dxa"/>
        <w:tblLook w:val="01E0" w:firstRow="1" w:lastRow="1" w:firstColumn="1" w:lastColumn="1" w:noHBand="0" w:noVBand="0"/>
      </w:tblPr>
      <w:tblGrid>
        <w:gridCol w:w="5725"/>
        <w:gridCol w:w="896"/>
        <w:gridCol w:w="1316"/>
      </w:tblGrid>
      <w:tr w:rsidR="001E2D82" w:rsidRPr="005F7914" w:rsidTr="001128FE">
        <w:trPr>
          <w:cantSplit/>
          <w:tblHeader/>
        </w:trPr>
        <w:tc>
          <w:tcPr>
            <w:tcW w:w="5725" w:type="dxa"/>
            <w:tcBorders>
              <w:top w:val="single" w:sz="12" w:space="0" w:color="auto"/>
              <w:bottom w:val="single" w:sz="2" w:space="0" w:color="auto"/>
            </w:tcBorders>
            <w:shd w:val="clear" w:color="auto" w:fill="auto"/>
            <w:tcMar>
              <w:left w:w="57" w:type="dxa"/>
              <w:right w:w="57" w:type="dxa"/>
            </w:tcMar>
          </w:tcPr>
          <w:p w:rsidR="001E2D82" w:rsidRPr="005F7914" w:rsidRDefault="001E2D82" w:rsidP="00AA7753">
            <w:pPr>
              <w:pStyle w:val="TableTextColumnHeading"/>
            </w:pPr>
            <w:r w:rsidRPr="005F7914">
              <w:t>Objective</w:t>
            </w:r>
          </w:p>
        </w:tc>
        <w:tc>
          <w:tcPr>
            <w:tcW w:w="896" w:type="dxa"/>
            <w:tcBorders>
              <w:top w:val="single" w:sz="12" w:space="0" w:color="auto"/>
              <w:bottom w:val="single" w:sz="2" w:space="0" w:color="auto"/>
            </w:tcBorders>
            <w:shd w:val="clear" w:color="auto" w:fill="auto"/>
            <w:tcMar>
              <w:left w:w="57" w:type="dxa"/>
              <w:right w:w="57" w:type="dxa"/>
            </w:tcMar>
          </w:tcPr>
          <w:p w:rsidR="001E2D82" w:rsidRPr="005F7914" w:rsidRDefault="001E2D82" w:rsidP="00AA7753">
            <w:pPr>
              <w:pStyle w:val="TableTextColumnHeading"/>
              <w:jc w:val="center"/>
            </w:pPr>
            <w:r w:rsidRPr="005F7914">
              <w:t>Rating in 2010</w:t>
            </w:r>
          </w:p>
        </w:tc>
        <w:tc>
          <w:tcPr>
            <w:tcW w:w="1316" w:type="dxa"/>
            <w:tcBorders>
              <w:top w:val="single" w:sz="12" w:space="0" w:color="auto"/>
              <w:bottom w:val="single" w:sz="2" w:space="0" w:color="auto"/>
            </w:tcBorders>
            <w:shd w:val="clear" w:color="auto" w:fill="auto"/>
            <w:tcMar>
              <w:left w:w="57" w:type="dxa"/>
              <w:right w:w="57" w:type="dxa"/>
            </w:tcMar>
          </w:tcPr>
          <w:p w:rsidR="001E2D82" w:rsidRPr="005F7914" w:rsidRDefault="001E2D82" w:rsidP="00AA7753">
            <w:pPr>
              <w:pStyle w:val="TableTextColumnHeading"/>
              <w:jc w:val="center"/>
            </w:pPr>
            <w:r w:rsidRPr="005F7914">
              <w:t xml:space="preserve">Relative to </w:t>
            </w:r>
            <w:r w:rsidRPr="005F7914">
              <w:br/>
              <w:t>previous rating</w:t>
            </w:r>
          </w:p>
        </w:tc>
      </w:tr>
      <w:tr w:rsidR="001E2D82" w:rsidRPr="005F7914" w:rsidTr="00AA7753">
        <w:trPr>
          <w:cantSplit/>
        </w:trPr>
        <w:tc>
          <w:tcPr>
            <w:tcW w:w="7937" w:type="dxa"/>
            <w:gridSpan w:val="3"/>
            <w:tcBorders>
              <w:top w:val="single" w:sz="2" w:space="0" w:color="auto"/>
            </w:tcBorders>
            <w:tcMar>
              <w:left w:w="57" w:type="dxa"/>
              <w:right w:w="57" w:type="dxa"/>
            </w:tcMar>
            <w:vAlign w:val="center"/>
          </w:tcPr>
          <w:p w:rsidR="001E2D82" w:rsidRPr="005F7914" w:rsidRDefault="001E2D82" w:rsidP="003A0758">
            <w:pPr>
              <w:pStyle w:val="TableTextEntries"/>
              <w:rPr>
                <w:b/>
                <w:i/>
              </w:rPr>
            </w:pPr>
            <w:r w:rsidRPr="005F7914">
              <w:rPr>
                <w:b/>
              </w:rPr>
              <w:t xml:space="preserve">Country </w:t>
            </w:r>
            <w:r w:rsidR="003A0758">
              <w:rPr>
                <w:b/>
              </w:rPr>
              <w:t>s</w:t>
            </w:r>
            <w:r w:rsidRPr="005F7914">
              <w:rPr>
                <w:b/>
              </w:rPr>
              <w:t xml:space="preserve">trategy </w:t>
            </w:r>
            <w:r w:rsidR="003A0758">
              <w:rPr>
                <w:b/>
              </w:rPr>
              <w:t>o</w:t>
            </w:r>
            <w:r w:rsidRPr="005F7914">
              <w:rPr>
                <w:b/>
              </w:rPr>
              <w:t xml:space="preserve">bjective 1: Strengthen </w:t>
            </w:r>
            <w:r w:rsidR="003A0758">
              <w:rPr>
                <w:b/>
              </w:rPr>
              <w:t>b</w:t>
            </w:r>
            <w:r w:rsidRPr="005F7914">
              <w:rPr>
                <w:b/>
              </w:rPr>
              <w:t xml:space="preserve">asic </w:t>
            </w:r>
            <w:r w:rsidR="003A0758">
              <w:rPr>
                <w:b/>
              </w:rPr>
              <w:t>h</w:t>
            </w:r>
            <w:r w:rsidRPr="005F7914">
              <w:rPr>
                <w:b/>
              </w:rPr>
              <w:t xml:space="preserve">ealth and </w:t>
            </w:r>
            <w:r w:rsidR="003A0758">
              <w:rPr>
                <w:b/>
              </w:rPr>
              <w:t>e</w:t>
            </w:r>
            <w:r w:rsidRPr="005F7914">
              <w:rPr>
                <w:b/>
              </w:rPr>
              <w:t xml:space="preserve">ducation </w:t>
            </w:r>
            <w:r w:rsidR="003A0758">
              <w:rPr>
                <w:b/>
              </w:rPr>
              <w:t>s</w:t>
            </w:r>
            <w:r w:rsidRPr="005F7914">
              <w:rPr>
                <w:b/>
              </w:rPr>
              <w:t xml:space="preserve">ervice </w:t>
            </w:r>
            <w:r w:rsidR="003A0758">
              <w:rPr>
                <w:b/>
              </w:rPr>
              <w:t>d</w:t>
            </w:r>
            <w:r w:rsidRPr="005F7914">
              <w:rPr>
                <w:b/>
              </w:rPr>
              <w:t>elivery</w:t>
            </w:r>
          </w:p>
        </w:tc>
      </w:tr>
      <w:tr w:rsidR="001E2D82" w:rsidRPr="005F7914" w:rsidTr="00AA7753">
        <w:trPr>
          <w:cantSplit/>
        </w:trPr>
        <w:tc>
          <w:tcPr>
            <w:tcW w:w="7937" w:type="dxa"/>
            <w:gridSpan w:val="3"/>
            <w:tcMar>
              <w:left w:w="57" w:type="dxa"/>
              <w:right w:w="57" w:type="dxa"/>
            </w:tcMar>
            <w:vAlign w:val="center"/>
          </w:tcPr>
          <w:p w:rsidR="001E2D82" w:rsidRPr="005F7914" w:rsidRDefault="001E2D82" w:rsidP="00AA7753">
            <w:pPr>
              <w:pStyle w:val="TableTextEntries"/>
              <w:rPr>
                <w:bCs/>
              </w:rPr>
            </w:pPr>
            <w:r w:rsidRPr="005F7914">
              <w:rPr>
                <w:i/>
              </w:rPr>
              <w:t>Health</w:t>
            </w:r>
          </w:p>
        </w:tc>
      </w:tr>
      <w:tr w:rsidR="001E2D82" w:rsidRPr="005F7914" w:rsidTr="00AA7753">
        <w:trPr>
          <w:cantSplit/>
        </w:trPr>
        <w:tc>
          <w:tcPr>
            <w:tcW w:w="5725" w:type="dxa"/>
            <w:tcMar>
              <w:left w:w="57" w:type="dxa"/>
              <w:right w:w="57" w:type="dxa"/>
            </w:tcMar>
            <w:vAlign w:val="center"/>
          </w:tcPr>
          <w:p w:rsidR="001E2D82" w:rsidRPr="005F7914" w:rsidRDefault="001E2D82" w:rsidP="00AA7753">
            <w:pPr>
              <w:pStyle w:val="TableTextEntries"/>
            </w:pPr>
            <w:r w:rsidRPr="005F7914">
              <w:t>Adequate and predictable national and district operational budgets for health</w:t>
            </w:r>
          </w:p>
        </w:tc>
        <w:tc>
          <w:tcPr>
            <w:tcW w:w="896" w:type="dxa"/>
            <w:shd w:val="clear" w:color="auto" w:fill="auto"/>
            <w:tcMar>
              <w:left w:w="57" w:type="dxa"/>
              <w:right w:w="57" w:type="dxa"/>
            </w:tcMar>
            <w:vAlign w:val="center"/>
          </w:tcPr>
          <w:p w:rsidR="001E2D82" w:rsidRPr="005F7914" w:rsidRDefault="009B1310" w:rsidP="00AA7753">
            <w:pPr>
              <w:pStyle w:val="Ratingbullet"/>
            </w:pPr>
            <w:r>
              <w:rPr>
                <w:noProof/>
                <w:lang w:val="en-US"/>
              </w:rPr>
              <mc:AlternateContent>
                <mc:Choice Requires="wps">
                  <w:drawing>
                    <wp:inline distT="0" distB="0" distL="0" distR="0" wp14:anchorId="60254245" wp14:editId="106C4150">
                      <wp:extent cx="153670" cy="153670"/>
                      <wp:effectExtent l="0" t="0" r="0" b="0"/>
                      <wp:docPr id="1195" name="Rectangle 15" descr="Red"/>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670" cy="153670"/>
                              </a:xfrm>
                              <a:prstGeom prst="rect">
                                <a:avLst/>
                              </a:prstGeom>
                              <a:solidFill>
                                <a:srgbClr val="FF0000"/>
                              </a:solidFill>
                              <a:ln>
                                <a:noFill/>
                              </a:ln>
                              <a:extLst/>
                            </wps:spPr>
                            <wps:bodyPr rot="0" vert="horz" wrap="square" lIns="91440" tIns="45720" rIns="91440" bIns="45720" anchor="t" anchorCtr="0" upright="1">
                              <a:noAutofit/>
                            </wps:bodyPr>
                          </wps:wsp>
                        </a:graphicData>
                      </a:graphic>
                    </wp:inline>
                  </w:drawing>
                </mc:Choice>
                <mc:Fallback>
                  <w:pict>
                    <v:rect id="Rectangle 15" o:spid="_x0000_s1026" alt="Red" style="width:12.1pt;height:1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" fillcolor="red" stroked="f">
                      <w10:anchorlock/>
                    </v:rect>
                  </w:pict>
                </mc:Fallback>
              </mc:AlternateContent>
            </w:r>
          </w:p>
        </w:tc>
        <w:tc>
          <w:tcPr>
            <w:tcW w:w="1316" w:type="dxa"/>
            <w:tcMar>
              <w:left w:w="57" w:type="dxa"/>
              <w:right w:w="57" w:type="dxa"/>
            </w:tcMar>
            <w:vAlign w:val="center"/>
          </w:tcPr>
          <w:p w:rsidR="001E2D82" w:rsidRPr="005F7914" w:rsidRDefault="001E2D82" w:rsidP="00AA7753">
            <w:pPr>
              <w:pStyle w:val="TableTextEntries"/>
              <w:jc w:val="center"/>
              <w:rPr>
                <w:bCs/>
              </w:rPr>
            </w:pPr>
            <w:r w:rsidRPr="005F7914">
              <w:rPr>
                <w:bCs/>
              </w:rPr>
              <w:fldChar w:fldCharType="begin"/>
            </w:r>
            <w:r w:rsidRPr="005F7914">
              <w:rPr>
                <w:bCs/>
              </w:rPr>
              <w:instrText xml:space="preserve"> AUTOTEXTLIST  \s "Table Text Entries"\t "Right click to choose a response" \* MERGEFORMAT </w:instrText>
            </w:r>
            <w:r w:rsidRPr="005F7914">
              <w:rPr>
                <w:bCs/>
              </w:rPr>
              <w:fldChar w:fldCharType="separate"/>
            </w:r>
            <w:r w:rsidRPr="005F7914">
              <w:rPr>
                <w:bCs/>
              </w:rPr>
              <w:t>Not applicable</w:t>
            </w:r>
            <w:r w:rsidRPr="005F7914">
              <w:rPr>
                <w:bCs/>
              </w:rPr>
              <w:fldChar w:fldCharType="end"/>
            </w:r>
          </w:p>
        </w:tc>
      </w:tr>
      <w:tr w:rsidR="001E2D82" w:rsidRPr="005F7914" w:rsidTr="00AA7753">
        <w:trPr>
          <w:cantSplit/>
        </w:trPr>
        <w:tc>
          <w:tcPr>
            <w:tcW w:w="5725" w:type="dxa"/>
            <w:tcMar>
              <w:left w:w="57" w:type="dxa"/>
              <w:right w:w="57" w:type="dxa"/>
            </w:tcMar>
            <w:vAlign w:val="center"/>
          </w:tcPr>
          <w:p w:rsidR="001E2D82" w:rsidRPr="005F7914" w:rsidRDefault="001E2D82" w:rsidP="00AA7753">
            <w:pPr>
              <w:pStyle w:val="TableTextEntries"/>
            </w:pPr>
            <w:r w:rsidRPr="005F7914">
              <w:t>Quality preventative and promotive health services which reflect resources available</w:t>
            </w:r>
          </w:p>
        </w:tc>
        <w:tc>
          <w:tcPr>
            <w:tcW w:w="896" w:type="dxa"/>
            <w:shd w:val="clear" w:color="auto" w:fill="auto"/>
            <w:tcMar>
              <w:left w:w="57" w:type="dxa"/>
              <w:right w:w="57" w:type="dxa"/>
            </w:tcMar>
            <w:vAlign w:val="center"/>
          </w:tcPr>
          <w:p w:rsidR="001E2D82" w:rsidRPr="005F7914" w:rsidRDefault="009B1310" w:rsidP="00AA7753">
            <w:pPr>
              <w:pStyle w:val="Ratingbullet"/>
            </w:pPr>
            <w:r>
              <w:rPr>
                <w:noProof/>
                <w:lang w:val="en-US"/>
              </w:rPr>
              <mc:AlternateContent>
                <mc:Choice Requires="wps">
                  <w:drawing>
                    <wp:inline distT="0" distB="0" distL="0" distR="0" wp14:anchorId="24125149" wp14:editId="6DC53256">
                      <wp:extent cx="153670" cy="153670"/>
                      <wp:effectExtent l="0" t="0" r="0" b="0"/>
                      <wp:docPr id="1196" name="Rectangle 15" descr="Ambe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670" cy="153670"/>
                              </a:xfrm>
                              <a:prstGeom prst="rect">
                                <a:avLst/>
                              </a:prstGeom>
                              <a:solidFill>
                                <a:srgbClr val="F57E1B"/>
                              </a:solidFill>
                              <a:ln>
                                <a:noFill/>
                              </a:ln>
                              <a:extLst/>
                            </wps:spPr>
                            <wps:bodyPr rot="0" vert="horz" wrap="square" lIns="91440" tIns="45720" rIns="91440" bIns="45720" anchor="t" anchorCtr="0" upright="1">
                              <a:noAutofit/>
                            </wps:bodyPr>
                          </wps:wsp>
                        </a:graphicData>
                      </a:graphic>
                    </wp:inline>
                  </w:drawing>
                </mc:Choice>
                <mc:Fallback>
                  <w:pict>
                    <v:rect id="Rectangle 15" o:spid="_x0000_s1026" alt="Amber" style="width:12.1pt;height:1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" fillcolor="#f57e1b" stroked="f">
                      <w10:anchorlock/>
                    </v:rect>
                  </w:pict>
                </mc:Fallback>
              </mc:AlternateContent>
            </w:r>
          </w:p>
        </w:tc>
        <w:tc>
          <w:tcPr>
            <w:tcW w:w="1316" w:type="dxa"/>
            <w:tcMar>
              <w:left w:w="57" w:type="dxa"/>
              <w:right w:w="57" w:type="dxa"/>
            </w:tcMar>
            <w:vAlign w:val="center"/>
          </w:tcPr>
          <w:p w:rsidR="001E2D82" w:rsidRPr="005F7914" w:rsidRDefault="001E2D82" w:rsidP="00AA7753">
            <w:pPr>
              <w:pStyle w:val="TableTextEntries"/>
              <w:jc w:val="center"/>
              <w:rPr>
                <w:bCs/>
              </w:rPr>
            </w:pPr>
            <w:r w:rsidRPr="005F7914">
              <w:rPr>
                <w:bCs/>
              </w:rPr>
              <w:fldChar w:fldCharType="begin"/>
            </w:r>
            <w:r w:rsidRPr="005F7914">
              <w:rPr>
                <w:bCs/>
              </w:rPr>
              <w:instrText xml:space="preserve"> AUTOTEXTLIST  \s "Table Text Entries"\t "Right click to choose a response" \* MERGEFORMAT </w:instrText>
            </w:r>
            <w:r w:rsidRPr="005F7914">
              <w:rPr>
                <w:bCs/>
              </w:rPr>
              <w:fldChar w:fldCharType="separate"/>
            </w:r>
            <w:r w:rsidRPr="005F7914">
              <w:rPr>
                <w:bCs/>
              </w:rPr>
              <w:t>Not applicable</w:t>
            </w:r>
            <w:r w:rsidRPr="005F7914">
              <w:rPr>
                <w:bCs/>
              </w:rPr>
              <w:fldChar w:fldCharType="end"/>
            </w:r>
          </w:p>
        </w:tc>
      </w:tr>
      <w:tr w:rsidR="001E2D82" w:rsidRPr="005F7914" w:rsidTr="00AA7753">
        <w:trPr>
          <w:cantSplit/>
        </w:trPr>
        <w:tc>
          <w:tcPr>
            <w:tcW w:w="5725" w:type="dxa"/>
            <w:tcMar>
              <w:left w:w="57" w:type="dxa"/>
              <w:right w:w="57" w:type="dxa"/>
            </w:tcMar>
            <w:vAlign w:val="center"/>
          </w:tcPr>
          <w:p w:rsidR="001E2D82" w:rsidRPr="005F7914" w:rsidRDefault="001E2D82" w:rsidP="00AA7753">
            <w:pPr>
              <w:pStyle w:val="TableTextEntries"/>
            </w:pPr>
            <w:r w:rsidRPr="005F7914">
              <w:t>Equitable distribution of an adequate number of skilled and motivated health workers</w:t>
            </w:r>
          </w:p>
        </w:tc>
        <w:tc>
          <w:tcPr>
            <w:tcW w:w="896" w:type="dxa"/>
            <w:shd w:val="clear" w:color="auto" w:fill="auto"/>
            <w:tcMar>
              <w:left w:w="57" w:type="dxa"/>
              <w:right w:w="57" w:type="dxa"/>
            </w:tcMar>
            <w:vAlign w:val="center"/>
          </w:tcPr>
          <w:p w:rsidR="001E2D82" w:rsidRPr="005F7914" w:rsidRDefault="009B1310" w:rsidP="00AA7753">
            <w:pPr>
              <w:pStyle w:val="Ratingbullet"/>
            </w:pPr>
            <w:r>
              <w:rPr>
                <w:noProof/>
                <w:lang w:val="en-US"/>
              </w:rPr>
              <mc:AlternateContent>
                <mc:Choice Requires="wps">
                  <w:drawing>
                    <wp:inline distT="0" distB="0" distL="0" distR="0" wp14:anchorId="4128FEC2" wp14:editId="5CC23982">
                      <wp:extent cx="153670" cy="153670"/>
                      <wp:effectExtent l="0" t="0" r="0" b="0"/>
                      <wp:docPr id="1205" name="Rectangle 15" descr="Ambe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670" cy="153670"/>
                              </a:xfrm>
                              <a:prstGeom prst="rect">
                                <a:avLst/>
                              </a:prstGeom>
                              <a:solidFill>
                                <a:srgbClr val="F57E1B"/>
                              </a:solidFill>
                              <a:ln>
                                <a:noFill/>
                              </a:ln>
                              <a:extLst/>
                            </wps:spPr>
                            <wps:bodyPr rot="0" vert="horz" wrap="square" lIns="91440" tIns="45720" rIns="91440" bIns="45720" anchor="t" anchorCtr="0" upright="1">
                              <a:noAutofit/>
                            </wps:bodyPr>
                          </wps:wsp>
                        </a:graphicData>
                      </a:graphic>
                    </wp:inline>
                  </w:drawing>
                </mc:Choice>
                <mc:Fallback>
                  <w:pict>
                    <v:rect id="Rectangle 15" o:spid="_x0000_s1026" alt="Amber" style="width:12.1pt;height:1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" fillcolor="#f57e1b" stroked="f">
                      <w10:anchorlock/>
                    </v:rect>
                  </w:pict>
                </mc:Fallback>
              </mc:AlternateContent>
            </w:r>
          </w:p>
        </w:tc>
        <w:tc>
          <w:tcPr>
            <w:tcW w:w="1316" w:type="dxa"/>
            <w:tcMar>
              <w:left w:w="57" w:type="dxa"/>
              <w:right w:w="57" w:type="dxa"/>
            </w:tcMar>
            <w:vAlign w:val="center"/>
          </w:tcPr>
          <w:p w:rsidR="001E2D82" w:rsidRPr="005F7914" w:rsidRDefault="001E2D82" w:rsidP="00AA7753">
            <w:pPr>
              <w:pStyle w:val="TableTextEntries"/>
              <w:jc w:val="center"/>
            </w:pPr>
            <w:r w:rsidRPr="005F7914">
              <w:rPr>
                <w:bCs/>
              </w:rPr>
              <w:fldChar w:fldCharType="begin"/>
            </w:r>
            <w:r w:rsidRPr="005F7914">
              <w:rPr>
                <w:bCs/>
              </w:rPr>
              <w:instrText xml:space="preserve"> AUTOTEXTLIST  \s "Table Text Entries"\t "Right click to choose a response" \* MERGEFORMAT </w:instrText>
            </w:r>
            <w:r w:rsidRPr="005F7914">
              <w:rPr>
                <w:bCs/>
              </w:rPr>
              <w:fldChar w:fldCharType="separate"/>
            </w:r>
            <w:r w:rsidRPr="005F7914">
              <w:rPr>
                <w:bCs/>
              </w:rPr>
              <w:t>Not applicable</w:t>
            </w:r>
            <w:r w:rsidRPr="005F7914">
              <w:rPr>
                <w:bCs/>
              </w:rPr>
              <w:fldChar w:fldCharType="end"/>
            </w:r>
          </w:p>
        </w:tc>
      </w:tr>
      <w:tr w:rsidR="001E2D82" w:rsidRPr="005F7914" w:rsidTr="00AA7753">
        <w:trPr>
          <w:cantSplit/>
        </w:trPr>
        <w:tc>
          <w:tcPr>
            <w:tcW w:w="5725" w:type="dxa"/>
            <w:tcMar>
              <w:left w:w="57" w:type="dxa"/>
              <w:right w:w="57" w:type="dxa"/>
            </w:tcMar>
            <w:vAlign w:val="center"/>
          </w:tcPr>
          <w:p w:rsidR="001E2D82" w:rsidRPr="005F7914" w:rsidRDefault="001E2D82" w:rsidP="00AA7753">
            <w:pPr>
              <w:pStyle w:val="TableTextEntries"/>
            </w:pPr>
            <w:r w:rsidRPr="005F7914">
              <w:t>Improved health sector procurement and logistics</w:t>
            </w:r>
          </w:p>
        </w:tc>
        <w:tc>
          <w:tcPr>
            <w:tcW w:w="896" w:type="dxa"/>
            <w:shd w:val="clear" w:color="auto" w:fill="auto"/>
            <w:tcMar>
              <w:left w:w="57" w:type="dxa"/>
              <w:right w:w="57" w:type="dxa"/>
            </w:tcMar>
            <w:vAlign w:val="center"/>
          </w:tcPr>
          <w:p w:rsidR="001E2D82" w:rsidRPr="005F7914" w:rsidRDefault="009B1310" w:rsidP="00AA7753">
            <w:pPr>
              <w:pStyle w:val="Ratingbullet"/>
            </w:pPr>
            <w:r>
              <w:rPr>
                <w:noProof/>
                <w:lang w:val="en-US"/>
              </w:rPr>
              <mc:AlternateContent>
                <mc:Choice Requires="wps">
                  <w:drawing>
                    <wp:inline distT="0" distB="0" distL="0" distR="0" wp14:anchorId="222512AF" wp14:editId="034A90FB">
                      <wp:extent cx="153670" cy="153670"/>
                      <wp:effectExtent l="0" t="0" r="0" b="0"/>
                      <wp:docPr id="1197" name="Rectangle 15" descr="Red"/>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670" cy="153670"/>
                              </a:xfrm>
                              <a:prstGeom prst="rect">
                                <a:avLst/>
                              </a:prstGeom>
                              <a:solidFill>
                                <a:srgbClr val="FF0000"/>
                              </a:solidFill>
                              <a:ln>
                                <a:noFill/>
                              </a:ln>
                              <a:extLst/>
                            </wps:spPr>
                            <wps:bodyPr rot="0" vert="horz" wrap="square" lIns="91440" tIns="45720" rIns="91440" bIns="45720" anchor="t" anchorCtr="0" upright="1">
                              <a:noAutofit/>
                            </wps:bodyPr>
                          </wps:wsp>
                        </a:graphicData>
                      </a:graphic>
                    </wp:inline>
                  </w:drawing>
                </mc:Choice>
                <mc:Fallback>
                  <w:pict>
                    <v:rect id="Rectangle 15" o:spid="_x0000_s1026" alt="Red" style="width:12.1pt;height:1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" fillcolor="red" stroked="f">
                      <w10:anchorlock/>
                    </v:rect>
                  </w:pict>
                </mc:Fallback>
              </mc:AlternateContent>
            </w:r>
          </w:p>
        </w:tc>
        <w:tc>
          <w:tcPr>
            <w:tcW w:w="1316" w:type="dxa"/>
            <w:tcMar>
              <w:left w:w="57" w:type="dxa"/>
              <w:right w:w="57" w:type="dxa"/>
            </w:tcMar>
            <w:vAlign w:val="center"/>
          </w:tcPr>
          <w:p w:rsidR="001E2D82" w:rsidRPr="005F7914" w:rsidRDefault="001E2D82" w:rsidP="00AA7753">
            <w:pPr>
              <w:pStyle w:val="TableTextEntries"/>
              <w:jc w:val="center"/>
            </w:pPr>
            <w:r w:rsidRPr="005F7914">
              <w:rPr>
                <w:bCs/>
              </w:rPr>
              <w:fldChar w:fldCharType="begin"/>
            </w:r>
            <w:r w:rsidRPr="005F7914">
              <w:rPr>
                <w:bCs/>
              </w:rPr>
              <w:instrText xml:space="preserve"> AUTOTEXTLIST  \s "Table Text Entries"\t "Right click to choose a response" \* MERGEFORMAT </w:instrText>
            </w:r>
            <w:r w:rsidRPr="005F7914">
              <w:rPr>
                <w:bCs/>
              </w:rPr>
              <w:fldChar w:fldCharType="separate"/>
            </w:r>
            <w:r w:rsidRPr="005F7914">
              <w:rPr>
                <w:bCs/>
              </w:rPr>
              <w:t>Not applicable</w:t>
            </w:r>
            <w:r w:rsidRPr="005F7914">
              <w:rPr>
                <w:bCs/>
              </w:rPr>
              <w:fldChar w:fldCharType="end"/>
            </w:r>
          </w:p>
        </w:tc>
      </w:tr>
      <w:tr w:rsidR="001E2D82" w:rsidRPr="005F7914" w:rsidTr="00AA7753">
        <w:trPr>
          <w:cantSplit/>
        </w:trPr>
        <w:tc>
          <w:tcPr>
            <w:tcW w:w="7937" w:type="dxa"/>
            <w:gridSpan w:val="3"/>
            <w:tcMar>
              <w:left w:w="57" w:type="dxa"/>
              <w:right w:w="57" w:type="dxa"/>
            </w:tcMar>
            <w:vAlign w:val="center"/>
          </w:tcPr>
          <w:p w:rsidR="001E2D82" w:rsidRPr="005F7914" w:rsidRDefault="001E2D82" w:rsidP="00AA7753">
            <w:pPr>
              <w:pStyle w:val="TableTextEntries"/>
              <w:rPr>
                <w:bCs/>
                <w:i/>
              </w:rPr>
            </w:pPr>
            <w:r w:rsidRPr="005F7914">
              <w:rPr>
                <w:i/>
              </w:rPr>
              <w:t xml:space="preserve">Education and </w:t>
            </w:r>
            <w:r w:rsidR="005F64B1">
              <w:rPr>
                <w:i/>
              </w:rPr>
              <w:t>y</w:t>
            </w:r>
            <w:r w:rsidRPr="005F7914">
              <w:rPr>
                <w:i/>
              </w:rPr>
              <w:t xml:space="preserve">outh </w:t>
            </w:r>
            <w:r w:rsidR="005F64B1">
              <w:rPr>
                <w:i/>
              </w:rPr>
              <w:t>e</w:t>
            </w:r>
            <w:r w:rsidRPr="005F7914">
              <w:rPr>
                <w:i/>
              </w:rPr>
              <w:t>mployment</w:t>
            </w:r>
          </w:p>
        </w:tc>
      </w:tr>
      <w:tr w:rsidR="001E2D82" w:rsidRPr="005F7914" w:rsidTr="00AA7753">
        <w:trPr>
          <w:cantSplit/>
        </w:trPr>
        <w:tc>
          <w:tcPr>
            <w:tcW w:w="5725" w:type="dxa"/>
            <w:tcMar>
              <w:left w:w="57" w:type="dxa"/>
              <w:right w:w="57" w:type="dxa"/>
            </w:tcMar>
            <w:vAlign w:val="center"/>
          </w:tcPr>
          <w:p w:rsidR="001E2D82" w:rsidRPr="005F7914" w:rsidRDefault="001E2D82" w:rsidP="00AA7753">
            <w:pPr>
              <w:pStyle w:val="TableTextEntries"/>
            </w:pPr>
            <w:r w:rsidRPr="005F7914">
              <w:t>By 2015 quality basic education is available for children, and dropouts are almost reduced to zero.</w:t>
            </w:r>
          </w:p>
        </w:tc>
        <w:tc>
          <w:tcPr>
            <w:tcW w:w="896" w:type="dxa"/>
            <w:shd w:val="clear" w:color="auto" w:fill="auto"/>
            <w:tcMar>
              <w:left w:w="57" w:type="dxa"/>
              <w:right w:w="57" w:type="dxa"/>
            </w:tcMar>
            <w:vAlign w:val="center"/>
          </w:tcPr>
          <w:p w:rsidR="001E2D82" w:rsidRPr="005F7914" w:rsidRDefault="009B1310" w:rsidP="00AA7753">
            <w:pPr>
              <w:pStyle w:val="Ratingbullet"/>
            </w:pPr>
            <w:r>
              <w:rPr>
                <w:noProof/>
                <w:lang w:val="en-US"/>
              </w:rPr>
              <mc:AlternateContent>
                <mc:Choice Requires="wps">
                  <w:drawing>
                    <wp:inline distT="0" distB="0" distL="0" distR="0" wp14:anchorId="5EA892A5" wp14:editId="040EBD42">
                      <wp:extent cx="153670" cy="153670"/>
                      <wp:effectExtent l="0" t="0" r="0" b="0"/>
                      <wp:docPr id="1198" name="Rectangle 15" descr="Red"/>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670" cy="153670"/>
                              </a:xfrm>
                              <a:prstGeom prst="rect">
                                <a:avLst/>
                              </a:prstGeom>
                              <a:solidFill>
                                <a:srgbClr val="FF0000"/>
                              </a:solidFill>
                              <a:ln>
                                <a:noFill/>
                              </a:ln>
                              <a:extLst/>
                            </wps:spPr>
                            <wps:bodyPr rot="0" vert="horz" wrap="square" lIns="91440" tIns="45720" rIns="91440" bIns="45720" anchor="t" anchorCtr="0" upright="1">
                              <a:noAutofit/>
                            </wps:bodyPr>
                          </wps:wsp>
                        </a:graphicData>
                      </a:graphic>
                    </wp:inline>
                  </w:drawing>
                </mc:Choice>
                <mc:Fallback>
                  <w:pict>
                    <v:rect id="Rectangle 15" o:spid="_x0000_s1026" alt="Red" style="width:12.1pt;height:1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" fillcolor="red" stroked="f">
                      <w10:anchorlock/>
                    </v:rect>
                  </w:pict>
                </mc:Fallback>
              </mc:AlternateContent>
            </w:r>
          </w:p>
        </w:tc>
        <w:tc>
          <w:tcPr>
            <w:tcW w:w="1316" w:type="dxa"/>
            <w:tcMar>
              <w:left w:w="57" w:type="dxa"/>
              <w:right w:w="57" w:type="dxa"/>
            </w:tcMar>
            <w:vAlign w:val="center"/>
          </w:tcPr>
          <w:p w:rsidR="001E2D82" w:rsidRPr="005F7914" w:rsidRDefault="001E2D82" w:rsidP="00AA7753">
            <w:pPr>
              <w:pStyle w:val="TableTextEntries"/>
              <w:jc w:val="center"/>
              <w:rPr>
                <w:bCs/>
              </w:rPr>
            </w:pPr>
            <w:r w:rsidRPr="005F7914">
              <w:rPr>
                <w:bCs/>
              </w:rPr>
              <w:fldChar w:fldCharType="begin"/>
            </w:r>
            <w:r w:rsidRPr="005F7914">
              <w:rPr>
                <w:bCs/>
              </w:rPr>
              <w:instrText xml:space="preserve"> AUTOTEXTLIST  \s "Table Text Entries"\t "Right click to choose a response" \* MERGEFORMAT </w:instrText>
            </w:r>
            <w:r w:rsidRPr="005F7914">
              <w:rPr>
                <w:bCs/>
              </w:rPr>
              <w:fldChar w:fldCharType="separate"/>
            </w:r>
            <w:r w:rsidRPr="005F7914">
              <w:rPr>
                <w:bCs/>
              </w:rPr>
              <w:t>Not applicable</w:t>
            </w:r>
            <w:r w:rsidRPr="005F7914">
              <w:rPr>
                <w:bCs/>
              </w:rPr>
              <w:fldChar w:fldCharType="end"/>
            </w:r>
          </w:p>
        </w:tc>
      </w:tr>
      <w:tr w:rsidR="001E2D82" w:rsidRPr="005F7914" w:rsidTr="00AA7753">
        <w:trPr>
          <w:cantSplit/>
        </w:trPr>
        <w:tc>
          <w:tcPr>
            <w:tcW w:w="5725" w:type="dxa"/>
            <w:tcMar>
              <w:left w:w="57" w:type="dxa"/>
              <w:right w:w="57" w:type="dxa"/>
            </w:tcMar>
            <w:vAlign w:val="center"/>
          </w:tcPr>
          <w:p w:rsidR="001E2D82" w:rsidRPr="005F7914" w:rsidRDefault="001E2D82" w:rsidP="000E1A2E">
            <w:pPr>
              <w:pStyle w:val="TableTextEntries"/>
            </w:pPr>
            <w:r w:rsidRPr="005F7914">
              <w:t xml:space="preserve">By 2012, at national, regional and school levels there is the capacity to provide effective and efficient education management against </w:t>
            </w:r>
            <w:r w:rsidRPr="000E1A2E">
              <w:t xml:space="preserve">the </w:t>
            </w:r>
            <w:r w:rsidR="005F64B1" w:rsidRPr="000E1A2E">
              <w:t>s</w:t>
            </w:r>
            <w:r w:rsidRPr="000E1A2E">
              <w:t xml:space="preserve">trategic </w:t>
            </w:r>
            <w:r w:rsidR="005F64B1" w:rsidRPr="009E02E2">
              <w:t>p</w:t>
            </w:r>
            <w:r w:rsidRPr="0017211F">
              <w:t>lan.</w:t>
            </w:r>
            <w:r w:rsidR="005F64B1" w:rsidRPr="0017211F">
              <w:t xml:space="preserve"> </w:t>
            </w:r>
          </w:p>
        </w:tc>
        <w:tc>
          <w:tcPr>
            <w:tcW w:w="896" w:type="dxa"/>
            <w:shd w:val="clear" w:color="auto" w:fill="auto"/>
            <w:tcMar>
              <w:left w:w="57" w:type="dxa"/>
              <w:right w:w="57" w:type="dxa"/>
            </w:tcMar>
            <w:vAlign w:val="center"/>
          </w:tcPr>
          <w:p w:rsidR="001E2D82" w:rsidRPr="005F7914" w:rsidRDefault="009B1310" w:rsidP="00AA7753">
            <w:pPr>
              <w:pStyle w:val="Ratingbullet"/>
            </w:pPr>
            <w:r>
              <w:rPr>
                <w:noProof/>
                <w:lang w:val="en-US"/>
              </w:rPr>
              <mc:AlternateContent>
                <mc:Choice Requires="wps">
                  <w:drawing>
                    <wp:inline distT="0" distB="0" distL="0" distR="0" wp14:anchorId="447F3404" wp14:editId="5EFB4947">
                      <wp:extent cx="153670" cy="153670"/>
                      <wp:effectExtent l="0" t="0" r="0" b="0"/>
                      <wp:docPr id="1200" name="Rectangle 15" descr="Red"/>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670" cy="153670"/>
                              </a:xfrm>
                              <a:prstGeom prst="rect">
                                <a:avLst/>
                              </a:prstGeom>
                              <a:solidFill>
                                <a:srgbClr val="FF0000"/>
                              </a:solidFill>
                              <a:ln>
                                <a:noFill/>
                              </a:ln>
                              <a:extLst/>
                            </wps:spPr>
                            <wps:bodyPr rot="0" vert="horz" wrap="square" lIns="91440" tIns="45720" rIns="91440" bIns="45720" anchor="t" anchorCtr="0" upright="1">
                              <a:noAutofit/>
                            </wps:bodyPr>
                          </wps:wsp>
                        </a:graphicData>
                      </a:graphic>
                    </wp:inline>
                  </w:drawing>
                </mc:Choice>
                <mc:Fallback>
                  <w:pict>
                    <v:rect id="Rectangle 15" o:spid="_x0000_s1026" alt="Red" style="width:12.1pt;height:1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" fillcolor="red" stroked="f">
                      <w10:anchorlock/>
                    </v:rect>
                  </w:pict>
                </mc:Fallback>
              </mc:AlternateContent>
            </w:r>
          </w:p>
        </w:tc>
        <w:tc>
          <w:tcPr>
            <w:tcW w:w="1316" w:type="dxa"/>
            <w:tcMar>
              <w:left w:w="57" w:type="dxa"/>
              <w:right w:w="57" w:type="dxa"/>
            </w:tcMar>
            <w:vAlign w:val="center"/>
          </w:tcPr>
          <w:p w:rsidR="001E2D82" w:rsidRPr="005F7914" w:rsidRDefault="001E2D82" w:rsidP="00AA7753">
            <w:pPr>
              <w:pStyle w:val="TableTextEntries"/>
              <w:jc w:val="center"/>
              <w:rPr>
                <w:bCs/>
              </w:rPr>
            </w:pPr>
            <w:r w:rsidRPr="005F7914">
              <w:rPr>
                <w:bCs/>
              </w:rPr>
              <w:fldChar w:fldCharType="begin"/>
            </w:r>
            <w:r w:rsidRPr="005F7914">
              <w:rPr>
                <w:bCs/>
              </w:rPr>
              <w:instrText xml:space="preserve"> AUTOTEXTLIST  \s "Table Text Entries"\t "Right click to choose a response" \* MERGEFORMAT </w:instrText>
            </w:r>
            <w:r w:rsidRPr="005F7914">
              <w:rPr>
                <w:bCs/>
              </w:rPr>
              <w:fldChar w:fldCharType="separate"/>
            </w:r>
            <w:r w:rsidRPr="005F7914">
              <w:rPr>
                <w:bCs/>
              </w:rPr>
              <w:t>Not applicable</w:t>
            </w:r>
            <w:r w:rsidRPr="005F7914">
              <w:rPr>
                <w:bCs/>
              </w:rPr>
              <w:fldChar w:fldCharType="end"/>
            </w:r>
          </w:p>
        </w:tc>
      </w:tr>
      <w:tr w:rsidR="001E2D82" w:rsidRPr="005F7914" w:rsidTr="00AA7753">
        <w:trPr>
          <w:cantSplit/>
        </w:trPr>
        <w:tc>
          <w:tcPr>
            <w:tcW w:w="5725" w:type="dxa"/>
            <w:tcMar>
              <w:left w:w="57" w:type="dxa"/>
              <w:right w:w="57" w:type="dxa"/>
            </w:tcMar>
            <w:vAlign w:val="center"/>
          </w:tcPr>
          <w:p w:rsidR="001E2D82" w:rsidRPr="005F7914" w:rsidRDefault="001E2D82" w:rsidP="00AA7753">
            <w:pPr>
              <w:pStyle w:val="TableTextEntries"/>
            </w:pPr>
            <w:r w:rsidRPr="005F7914">
              <w:t>A tertiary and vocational education competency framework is developed to support recognition of Timor-Leste qualifications and create stronger links with the labour market.</w:t>
            </w:r>
          </w:p>
        </w:tc>
        <w:tc>
          <w:tcPr>
            <w:tcW w:w="896" w:type="dxa"/>
            <w:shd w:val="clear" w:color="auto" w:fill="auto"/>
            <w:tcMar>
              <w:left w:w="57" w:type="dxa"/>
              <w:right w:w="57" w:type="dxa"/>
            </w:tcMar>
            <w:vAlign w:val="center"/>
          </w:tcPr>
          <w:p w:rsidR="001E2D82" w:rsidRPr="005F7914" w:rsidRDefault="009B1310" w:rsidP="00AA7753">
            <w:pPr>
              <w:pStyle w:val="Ratingbullet"/>
            </w:pPr>
            <w:r>
              <w:rPr>
                <w:noProof/>
                <w:lang w:val="en-US"/>
              </w:rPr>
              <mc:AlternateContent>
                <mc:Choice Requires="wps">
                  <w:drawing>
                    <wp:inline distT="0" distB="0" distL="0" distR="0" wp14:anchorId="6937221A" wp14:editId="03241C36">
                      <wp:extent cx="154305" cy="154305"/>
                      <wp:effectExtent l="0" t="0" r="0" b="0"/>
                      <wp:docPr id="308" name="Rectangle 4" descr="Gree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 cy="154305"/>
                              </a:xfrm>
                              <a:prstGeom prst="rect">
                                <a:avLst/>
                              </a:prstGeom>
                              <a:solidFill>
                                <a:srgbClr val="7DBE28"/>
                              </a:solidFill>
                              <a:ln>
                                <a:noFill/>
                              </a:ln>
                              <a:effectLst/>
                              <a:extLst/>
                            </wps:spPr>
                            <wps:bodyPr rot="0" vert="horz" wrap="square" lIns="91440" tIns="45720" rIns="91440" bIns="45720" anchor="t" anchorCtr="0" upright="1">
                              <a:noAutofit/>
                            </wps:bodyPr>
                          </wps:wsp>
                        </a:graphicData>
                      </a:graphic>
                    </wp:inline>
                  </w:drawing>
                </mc:Choice>
                <mc:Fallback>
                  <w:pict>
                    <v:rect id="Rectangle 4" o:spid="_x0000_s1026" alt="Green" style="width:12.1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" fillcolor="#7dbe28" stroked="f">
                      <w10:anchorlock/>
                    </v:rect>
                  </w:pict>
                </mc:Fallback>
              </mc:AlternateContent>
            </w:r>
          </w:p>
        </w:tc>
        <w:tc>
          <w:tcPr>
            <w:tcW w:w="1316" w:type="dxa"/>
            <w:tcMar>
              <w:left w:w="57" w:type="dxa"/>
              <w:right w:w="57" w:type="dxa"/>
            </w:tcMar>
            <w:vAlign w:val="center"/>
          </w:tcPr>
          <w:p w:rsidR="001E2D82" w:rsidRPr="005F7914" w:rsidRDefault="001E2D82" w:rsidP="00AA7753">
            <w:pPr>
              <w:pStyle w:val="TableTextEntries"/>
              <w:jc w:val="center"/>
              <w:rPr>
                <w:bCs/>
              </w:rPr>
            </w:pPr>
            <w:r w:rsidRPr="005F7914">
              <w:rPr>
                <w:bCs/>
              </w:rPr>
              <w:fldChar w:fldCharType="begin"/>
            </w:r>
            <w:r w:rsidRPr="005F7914">
              <w:rPr>
                <w:bCs/>
              </w:rPr>
              <w:instrText xml:space="preserve"> AUTOTEXTLIST  \s "Table Text Entries"\t "Right click to choose a response" \* MERGEFORMAT </w:instrText>
            </w:r>
            <w:r w:rsidRPr="005F7914">
              <w:rPr>
                <w:bCs/>
              </w:rPr>
              <w:fldChar w:fldCharType="separate"/>
            </w:r>
            <w:r w:rsidRPr="005F7914">
              <w:rPr>
                <w:bCs/>
              </w:rPr>
              <w:t>Not applicable</w:t>
            </w:r>
            <w:r w:rsidRPr="005F7914">
              <w:rPr>
                <w:bCs/>
              </w:rPr>
              <w:fldChar w:fldCharType="end"/>
            </w:r>
          </w:p>
        </w:tc>
      </w:tr>
      <w:tr w:rsidR="001E2D82" w:rsidRPr="005F7914" w:rsidTr="00AA7753">
        <w:trPr>
          <w:cantSplit/>
        </w:trPr>
        <w:tc>
          <w:tcPr>
            <w:tcW w:w="7937" w:type="dxa"/>
            <w:gridSpan w:val="3"/>
            <w:tcMar>
              <w:left w:w="57" w:type="dxa"/>
              <w:right w:w="57" w:type="dxa"/>
            </w:tcMar>
            <w:vAlign w:val="center"/>
          </w:tcPr>
          <w:p w:rsidR="001E2D82" w:rsidRPr="005F7914" w:rsidRDefault="001E2D82" w:rsidP="005F64B1">
            <w:pPr>
              <w:pStyle w:val="TableTextEntries"/>
              <w:rPr>
                <w:i/>
              </w:rPr>
            </w:pPr>
            <w:r w:rsidRPr="005F7914">
              <w:rPr>
                <w:b/>
              </w:rPr>
              <w:lastRenderedPageBreak/>
              <w:t xml:space="preserve">Country </w:t>
            </w:r>
            <w:r w:rsidR="005F64B1">
              <w:rPr>
                <w:b/>
              </w:rPr>
              <w:t>s</w:t>
            </w:r>
            <w:r w:rsidRPr="005F7914">
              <w:rPr>
                <w:b/>
              </w:rPr>
              <w:t xml:space="preserve">trategy </w:t>
            </w:r>
            <w:r w:rsidR="005F64B1">
              <w:rPr>
                <w:b/>
              </w:rPr>
              <w:t>o</w:t>
            </w:r>
            <w:r w:rsidRPr="005F7914">
              <w:rPr>
                <w:b/>
              </w:rPr>
              <w:t xml:space="preserve">bjective 2: Increasing </w:t>
            </w:r>
            <w:r w:rsidR="005F64B1">
              <w:rPr>
                <w:b/>
              </w:rPr>
              <w:t>e</w:t>
            </w:r>
            <w:r w:rsidRPr="005F7914">
              <w:rPr>
                <w:b/>
              </w:rPr>
              <w:t>mployment</w:t>
            </w:r>
          </w:p>
        </w:tc>
      </w:tr>
      <w:tr w:rsidR="001E2D82" w:rsidRPr="005F7914" w:rsidTr="00AA7753">
        <w:trPr>
          <w:cantSplit/>
        </w:trPr>
        <w:tc>
          <w:tcPr>
            <w:tcW w:w="7937" w:type="dxa"/>
            <w:gridSpan w:val="3"/>
            <w:tcMar>
              <w:left w:w="57" w:type="dxa"/>
              <w:right w:w="57" w:type="dxa"/>
            </w:tcMar>
            <w:vAlign w:val="center"/>
          </w:tcPr>
          <w:p w:rsidR="001E2D82" w:rsidRPr="005F7914" w:rsidRDefault="001E2D82" w:rsidP="005F64B1">
            <w:pPr>
              <w:pStyle w:val="TableTextEntries"/>
              <w:rPr>
                <w:bCs/>
                <w:i/>
              </w:rPr>
            </w:pPr>
            <w:r w:rsidRPr="005F7914">
              <w:rPr>
                <w:i/>
              </w:rPr>
              <w:t xml:space="preserve">Rural </w:t>
            </w:r>
            <w:r w:rsidR="005F64B1">
              <w:rPr>
                <w:i/>
              </w:rPr>
              <w:t>w</w:t>
            </w:r>
            <w:r w:rsidRPr="005F7914">
              <w:rPr>
                <w:i/>
              </w:rPr>
              <w:t xml:space="preserve">ater, </w:t>
            </w:r>
            <w:r w:rsidR="005F64B1">
              <w:rPr>
                <w:i/>
              </w:rPr>
              <w:t>s</w:t>
            </w:r>
            <w:r w:rsidRPr="005F7914">
              <w:rPr>
                <w:i/>
              </w:rPr>
              <w:t xml:space="preserve">anitation and </w:t>
            </w:r>
            <w:r w:rsidR="005F64B1">
              <w:rPr>
                <w:i/>
              </w:rPr>
              <w:t>h</w:t>
            </w:r>
            <w:r w:rsidRPr="005F7914">
              <w:rPr>
                <w:i/>
              </w:rPr>
              <w:t xml:space="preserve">ygiene </w:t>
            </w:r>
            <w:r w:rsidR="005F64B1">
              <w:rPr>
                <w:i/>
              </w:rPr>
              <w:t>b</w:t>
            </w:r>
            <w:r w:rsidRPr="005F7914">
              <w:rPr>
                <w:i/>
              </w:rPr>
              <w:t xml:space="preserve">ehaviour </w:t>
            </w:r>
            <w:r w:rsidR="005F64B1">
              <w:rPr>
                <w:i/>
              </w:rPr>
              <w:t>c</w:t>
            </w:r>
            <w:r w:rsidRPr="005F7914">
              <w:rPr>
                <w:i/>
              </w:rPr>
              <w:t>hange</w:t>
            </w:r>
          </w:p>
        </w:tc>
      </w:tr>
      <w:tr w:rsidR="001E2D82" w:rsidRPr="005F7914" w:rsidTr="00AA7753">
        <w:trPr>
          <w:cantSplit/>
        </w:trPr>
        <w:tc>
          <w:tcPr>
            <w:tcW w:w="5725" w:type="dxa"/>
            <w:tcMar>
              <w:left w:w="57" w:type="dxa"/>
              <w:right w:w="57" w:type="dxa"/>
            </w:tcMar>
            <w:vAlign w:val="center"/>
          </w:tcPr>
          <w:p w:rsidR="001E2D82" w:rsidRPr="005F7914" w:rsidRDefault="001E2D82" w:rsidP="00AA7753">
            <w:pPr>
              <w:pStyle w:val="TableTextEntries"/>
            </w:pPr>
            <w:r w:rsidRPr="005F7914">
              <w:t>District and central authorities improve planning and resourcing for sustainable and equitable delivery of rural water, sanitation and hygiene services</w:t>
            </w:r>
          </w:p>
        </w:tc>
        <w:tc>
          <w:tcPr>
            <w:tcW w:w="896" w:type="dxa"/>
            <w:shd w:val="clear" w:color="auto" w:fill="auto"/>
            <w:tcMar>
              <w:left w:w="57" w:type="dxa"/>
              <w:right w:w="57" w:type="dxa"/>
            </w:tcMar>
            <w:vAlign w:val="center"/>
          </w:tcPr>
          <w:p w:rsidR="001E2D82" w:rsidRPr="005F7914" w:rsidRDefault="009B1310" w:rsidP="00AA7753">
            <w:pPr>
              <w:pStyle w:val="Ratingbullet"/>
            </w:pPr>
            <w:r>
              <w:rPr>
                <w:noProof/>
                <w:lang w:val="en-US"/>
              </w:rPr>
              <mc:AlternateContent>
                <mc:Choice Requires="wps">
                  <w:drawing>
                    <wp:inline distT="0" distB="0" distL="0" distR="0" wp14:anchorId="1B5AF226" wp14:editId="0B086DEF">
                      <wp:extent cx="153670" cy="153670"/>
                      <wp:effectExtent l="0" t="0" r="0" b="0"/>
                      <wp:docPr id="1206" name="Rectangle 15" descr="Ambe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670" cy="153670"/>
                              </a:xfrm>
                              <a:prstGeom prst="rect">
                                <a:avLst/>
                              </a:prstGeom>
                              <a:solidFill>
                                <a:srgbClr val="F57E1B"/>
                              </a:solidFill>
                              <a:ln>
                                <a:noFill/>
                              </a:ln>
                              <a:extLst/>
                            </wps:spPr>
                            <wps:bodyPr rot="0" vert="horz" wrap="square" lIns="91440" tIns="45720" rIns="91440" bIns="45720" anchor="t" anchorCtr="0" upright="1">
                              <a:noAutofit/>
                            </wps:bodyPr>
                          </wps:wsp>
                        </a:graphicData>
                      </a:graphic>
                    </wp:inline>
                  </w:drawing>
                </mc:Choice>
                <mc:Fallback>
                  <w:pict>
                    <v:rect id="Rectangle 15" o:spid="_x0000_s1026" alt="Amber" style="width:12.1pt;height:1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" fillcolor="#f57e1b" stroked="f">
                      <w10:anchorlock/>
                    </v:rect>
                  </w:pict>
                </mc:Fallback>
              </mc:AlternateContent>
            </w:r>
          </w:p>
        </w:tc>
        <w:tc>
          <w:tcPr>
            <w:tcW w:w="1316" w:type="dxa"/>
            <w:tcMar>
              <w:left w:w="57" w:type="dxa"/>
              <w:right w:w="57" w:type="dxa"/>
            </w:tcMar>
            <w:vAlign w:val="center"/>
          </w:tcPr>
          <w:p w:rsidR="001E2D82" w:rsidRPr="005F7914" w:rsidRDefault="001E2D82" w:rsidP="00AA7753">
            <w:pPr>
              <w:pStyle w:val="TableTextEntries"/>
              <w:jc w:val="center"/>
              <w:rPr>
                <w:bCs/>
              </w:rPr>
            </w:pPr>
            <w:r w:rsidRPr="005F7914">
              <w:rPr>
                <w:bCs/>
              </w:rPr>
              <w:fldChar w:fldCharType="begin"/>
            </w:r>
            <w:r w:rsidRPr="005F7914">
              <w:rPr>
                <w:bCs/>
              </w:rPr>
              <w:instrText xml:space="preserve"> AUTOTEXTLIST  \s "Table Text Entries"\t "Right click to choose a response" \* MERGEFORMAT </w:instrText>
            </w:r>
            <w:r w:rsidRPr="005F7914">
              <w:rPr>
                <w:bCs/>
              </w:rPr>
              <w:fldChar w:fldCharType="separate"/>
            </w:r>
            <w:r w:rsidRPr="005F7914">
              <w:rPr>
                <w:bCs/>
              </w:rPr>
              <w:t>Not applicable</w:t>
            </w:r>
            <w:r w:rsidRPr="005F7914">
              <w:rPr>
                <w:bCs/>
              </w:rPr>
              <w:fldChar w:fldCharType="end"/>
            </w:r>
          </w:p>
        </w:tc>
      </w:tr>
      <w:tr w:rsidR="001E2D82" w:rsidRPr="005F7914" w:rsidTr="00AA7753">
        <w:trPr>
          <w:cantSplit/>
        </w:trPr>
        <w:tc>
          <w:tcPr>
            <w:tcW w:w="5725" w:type="dxa"/>
            <w:tcMar>
              <w:left w:w="57" w:type="dxa"/>
              <w:right w:w="57" w:type="dxa"/>
            </w:tcMar>
            <w:vAlign w:val="center"/>
          </w:tcPr>
          <w:p w:rsidR="001E2D82" w:rsidRPr="005F7914" w:rsidRDefault="001E2D82" w:rsidP="00AA7753">
            <w:pPr>
              <w:pStyle w:val="TableTextEntries"/>
            </w:pPr>
            <w:r w:rsidRPr="005F7914">
              <w:t>Increase in government and community capacity to build, rehabilitate and maintain water supply systems</w:t>
            </w:r>
          </w:p>
        </w:tc>
        <w:tc>
          <w:tcPr>
            <w:tcW w:w="896" w:type="dxa"/>
            <w:shd w:val="clear" w:color="auto" w:fill="auto"/>
            <w:tcMar>
              <w:left w:w="57" w:type="dxa"/>
              <w:right w:w="57" w:type="dxa"/>
            </w:tcMar>
            <w:vAlign w:val="center"/>
          </w:tcPr>
          <w:p w:rsidR="001E2D82" w:rsidRPr="005F7914" w:rsidRDefault="009B1310" w:rsidP="00AA7753">
            <w:pPr>
              <w:pStyle w:val="Ratingbullet"/>
            </w:pPr>
            <w:r>
              <w:rPr>
                <w:noProof/>
                <w:lang w:val="en-US"/>
              </w:rPr>
              <mc:AlternateContent>
                <mc:Choice Requires="wps">
                  <w:drawing>
                    <wp:inline distT="0" distB="0" distL="0" distR="0" wp14:anchorId="5D6E10EF" wp14:editId="628C99FB">
                      <wp:extent cx="154305" cy="154305"/>
                      <wp:effectExtent l="0" t="0" r="0" b="0"/>
                      <wp:docPr id="307" name="Rectangle 4" descr="Gree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 cy="154305"/>
                              </a:xfrm>
                              <a:prstGeom prst="rect">
                                <a:avLst/>
                              </a:prstGeom>
                              <a:solidFill>
                                <a:srgbClr val="7DBE28"/>
                              </a:solidFill>
                              <a:ln>
                                <a:noFill/>
                              </a:ln>
                              <a:effectLst/>
                              <a:extLst/>
                            </wps:spPr>
                            <wps:bodyPr rot="0" vert="horz" wrap="square" lIns="91440" tIns="45720" rIns="91440" bIns="45720" anchor="t" anchorCtr="0" upright="1">
                              <a:noAutofit/>
                            </wps:bodyPr>
                          </wps:wsp>
                        </a:graphicData>
                      </a:graphic>
                    </wp:inline>
                  </w:drawing>
                </mc:Choice>
                <mc:Fallback>
                  <w:pict>
                    <v:rect id="Rectangle 4" o:spid="_x0000_s1026" alt="Green" style="width:12.1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" fillcolor="#7dbe28" stroked="f">
                      <w10:anchorlock/>
                    </v:rect>
                  </w:pict>
                </mc:Fallback>
              </mc:AlternateContent>
            </w:r>
          </w:p>
        </w:tc>
        <w:tc>
          <w:tcPr>
            <w:tcW w:w="1316" w:type="dxa"/>
            <w:tcMar>
              <w:left w:w="57" w:type="dxa"/>
              <w:right w:w="57" w:type="dxa"/>
            </w:tcMar>
            <w:vAlign w:val="center"/>
          </w:tcPr>
          <w:p w:rsidR="001E2D82" w:rsidRPr="005F7914" w:rsidRDefault="001E2D82" w:rsidP="00AA7753">
            <w:pPr>
              <w:pStyle w:val="TableTextEntries"/>
              <w:jc w:val="center"/>
              <w:rPr>
                <w:bCs/>
              </w:rPr>
            </w:pPr>
            <w:r w:rsidRPr="005F7914">
              <w:rPr>
                <w:bCs/>
              </w:rPr>
              <w:fldChar w:fldCharType="begin"/>
            </w:r>
            <w:r w:rsidRPr="005F7914">
              <w:rPr>
                <w:bCs/>
              </w:rPr>
              <w:instrText xml:space="preserve"> AUTOTEXTLIST  \s "Table Text Entries"\t "Right click to choose a response" \* MERGEFORMAT </w:instrText>
            </w:r>
            <w:r w:rsidRPr="005F7914">
              <w:rPr>
                <w:bCs/>
              </w:rPr>
              <w:fldChar w:fldCharType="separate"/>
            </w:r>
            <w:r w:rsidRPr="005F7914">
              <w:rPr>
                <w:bCs/>
              </w:rPr>
              <w:t>Not applicable</w:t>
            </w:r>
            <w:r w:rsidRPr="005F7914">
              <w:rPr>
                <w:bCs/>
              </w:rPr>
              <w:fldChar w:fldCharType="end"/>
            </w:r>
          </w:p>
        </w:tc>
      </w:tr>
      <w:tr w:rsidR="001E2D82" w:rsidRPr="005F7914" w:rsidTr="00AA7753">
        <w:trPr>
          <w:cantSplit/>
        </w:trPr>
        <w:tc>
          <w:tcPr>
            <w:tcW w:w="5725" w:type="dxa"/>
            <w:shd w:val="clear" w:color="auto" w:fill="auto"/>
            <w:tcMar>
              <w:left w:w="57" w:type="dxa"/>
              <w:right w:w="57" w:type="dxa"/>
            </w:tcMar>
            <w:vAlign w:val="center"/>
          </w:tcPr>
          <w:p w:rsidR="001E2D82" w:rsidRPr="005F7914" w:rsidRDefault="001E2D82" w:rsidP="00AA7753">
            <w:pPr>
              <w:pStyle w:val="TableTextEntries"/>
            </w:pPr>
            <w:r w:rsidRPr="005F7914">
              <w:t>Increase in government and community capacity to improve hygiene and sanitation practices</w:t>
            </w:r>
          </w:p>
        </w:tc>
        <w:tc>
          <w:tcPr>
            <w:tcW w:w="896" w:type="dxa"/>
            <w:shd w:val="clear" w:color="auto" w:fill="auto"/>
            <w:tcMar>
              <w:left w:w="57" w:type="dxa"/>
              <w:right w:w="57" w:type="dxa"/>
            </w:tcMar>
            <w:vAlign w:val="center"/>
          </w:tcPr>
          <w:p w:rsidR="001E2D82" w:rsidRPr="005F7914" w:rsidRDefault="009B1310" w:rsidP="00AA7753">
            <w:pPr>
              <w:pStyle w:val="Ratingbullet"/>
            </w:pPr>
            <w:r>
              <w:rPr>
                <w:noProof/>
                <w:lang w:val="en-US"/>
              </w:rPr>
              <mc:AlternateContent>
                <mc:Choice Requires="wps">
                  <w:drawing>
                    <wp:inline distT="0" distB="0" distL="0" distR="0" wp14:anchorId="46FC275F" wp14:editId="527F44A6">
                      <wp:extent cx="153670" cy="153670"/>
                      <wp:effectExtent l="0" t="0" r="0" b="0"/>
                      <wp:docPr id="1207" name="Rectangle 15" descr="Ambe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670" cy="153670"/>
                              </a:xfrm>
                              <a:prstGeom prst="rect">
                                <a:avLst/>
                              </a:prstGeom>
                              <a:solidFill>
                                <a:srgbClr val="F57E1B"/>
                              </a:solidFill>
                              <a:ln>
                                <a:noFill/>
                              </a:ln>
                              <a:extLst/>
                            </wps:spPr>
                            <wps:bodyPr rot="0" vert="horz" wrap="square" lIns="91440" tIns="45720" rIns="91440" bIns="45720" anchor="t" anchorCtr="0" upright="1">
                              <a:noAutofit/>
                            </wps:bodyPr>
                          </wps:wsp>
                        </a:graphicData>
                      </a:graphic>
                    </wp:inline>
                  </w:drawing>
                </mc:Choice>
                <mc:Fallback>
                  <w:pict>
                    <v:rect id="Rectangle 15" o:spid="_x0000_s1026" alt="Amber" style="width:12.1pt;height:1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" fillcolor="#f57e1b" stroked="f">
                      <w10:anchorlock/>
                    </v:rect>
                  </w:pict>
                </mc:Fallback>
              </mc:AlternateContent>
            </w:r>
          </w:p>
        </w:tc>
        <w:tc>
          <w:tcPr>
            <w:tcW w:w="1316" w:type="dxa"/>
            <w:shd w:val="clear" w:color="auto" w:fill="auto"/>
            <w:tcMar>
              <w:left w:w="57" w:type="dxa"/>
              <w:right w:w="57" w:type="dxa"/>
            </w:tcMar>
            <w:vAlign w:val="center"/>
          </w:tcPr>
          <w:p w:rsidR="001E2D82" w:rsidRPr="005F7914" w:rsidRDefault="001E2D82" w:rsidP="00AA7753">
            <w:pPr>
              <w:pStyle w:val="TableTextEntries"/>
              <w:jc w:val="center"/>
            </w:pPr>
            <w:r w:rsidRPr="005F7914">
              <w:rPr>
                <w:bCs/>
              </w:rPr>
              <w:fldChar w:fldCharType="begin"/>
            </w:r>
            <w:r w:rsidRPr="005F7914">
              <w:rPr>
                <w:bCs/>
              </w:rPr>
              <w:instrText xml:space="preserve"> AUTOTEXTLIST  \s "Table Text Entries"\t "Right click to choose a response" \* MERGEFORMAT </w:instrText>
            </w:r>
            <w:r w:rsidRPr="005F7914">
              <w:rPr>
                <w:bCs/>
              </w:rPr>
              <w:fldChar w:fldCharType="separate"/>
            </w:r>
            <w:r w:rsidRPr="005F7914">
              <w:rPr>
                <w:bCs/>
              </w:rPr>
              <w:t>Not applicable</w:t>
            </w:r>
            <w:r w:rsidRPr="005F7914">
              <w:rPr>
                <w:bCs/>
              </w:rPr>
              <w:fldChar w:fldCharType="end"/>
            </w:r>
          </w:p>
        </w:tc>
      </w:tr>
      <w:tr w:rsidR="001E2D82" w:rsidRPr="005F7914" w:rsidTr="00AA7753">
        <w:trPr>
          <w:cantSplit/>
        </w:trPr>
        <w:tc>
          <w:tcPr>
            <w:tcW w:w="5725" w:type="dxa"/>
            <w:shd w:val="clear" w:color="auto" w:fill="auto"/>
            <w:tcMar>
              <w:left w:w="57" w:type="dxa"/>
              <w:right w:w="57" w:type="dxa"/>
            </w:tcMar>
            <w:vAlign w:val="center"/>
          </w:tcPr>
          <w:p w:rsidR="001E2D82" w:rsidRPr="005F7914" w:rsidRDefault="001E2D82" w:rsidP="00AA7753">
            <w:pPr>
              <w:pStyle w:val="TableTextEntries"/>
              <w:rPr>
                <w:i/>
              </w:rPr>
            </w:pPr>
            <w:r w:rsidRPr="005F7914">
              <w:rPr>
                <w:i/>
              </w:rPr>
              <w:t>Infrastructure</w:t>
            </w:r>
          </w:p>
          <w:p w:rsidR="001E2D82" w:rsidRPr="005F7914" w:rsidRDefault="001E2D82" w:rsidP="00AA7753">
            <w:pPr>
              <w:pStyle w:val="TableTextEntries"/>
            </w:pPr>
            <w:r w:rsidRPr="005F7914">
              <w:t>&gt;  Improved budget execution of the Government of East Timor’s capital works program</w:t>
            </w:r>
          </w:p>
          <w:p w:rsidR="001E2D82" w:rsidRPr="005F7914" w:rsidRDefault="001E2D82" w:rsidP="00AA7753">
            <w:pPr>
              <w:pStyle w:val="TableTextEntries"/>
            </w:pPr>
            <w:r w:rsidRPr="005F7914">
              <w:t>&gt;  Improved capacity of the Ministry of Infrastructure for capital works procurement</w:t>
            </w:r>
          </w:p>
          <w:p w:rsidR="001E2D82" w:rsidRPr="005F7914" w:rsidRDefault="001E2D82" w:rsidP="00AA7753">
            <w:pPr>
              <w:pStyle w:val="TableTextEntries"/>
            </w:pPr>
            <w:r w:rsidRPr="005F7914">
              <w:t>&gt;  Rehabilitation and maintenance of rural roads</w:t>
            </w:r>
          </w:p>
        </w:tc>
        <w:tc>
          <w:tcPr>
            <w:tcW w:w="896" w:type="dxa"/>
            <w:shd w:val="clear" w:color="auto" w:fill="auto"/>
            <w:tcMar>
              <w:left w:w="57" w:type="dxa"/>
              <w:right w:w="57" w:type="dxa"/>
            </w:tcMar>
            <w:vAlign w:val="center"/>
          </w:tcPr>
          <w:p w:rsidR="001E2D82" w:rsidRPr="005F7914" w:rsidRDefault="009B1310" w:rsidP="00AA7753">
            <w:pPr>
              <w:pStyle w:val="Ratingbullet"/>
            </w:pPr>
            <w:r>
              <w:rPr>
                <w:noProof/>
                <w:lang w:val="en-US"/>
              </w:rPr>
              <mc:AlternateContent>
                <mc:Choice Requires="wps">
                  <w:drawing>
                    <wp:inline distT="0" distB="0" distL="0" distR="0" wp14:anchorId="777965AC" wp14:editId="073E81BB">
                      <wp:extent cx="153670" cy="153670"/>
                      <wp:effectExtent l="0" t="0" r="0" b="0"/>
                      <wp:docPr id="1201" name="Rectangle 15" descr="Red"/>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670" cy="153670"/>
                              </a:xfrm>
                              <a:prstGeom prst="rect">
                                <a:avLst/>
                              </a:prstGeom>
                              <a:solidFill>
                                <a:srgbClr val="FF0000"/>
                              </a:solidFill>
                              <a:ln>
                                <a:noFill/>
                              </a:ln>
                              <a:extLst/>
                            </wps:spPr>
                            <wps:bodyPr rot="0" vert="horz" wrap="square" lIns="91440" tIns="45720" rIns="91440" bIns="45720" anchor="t" anchorCtr="0" upright="1">
                              <a:noAutofit/>
                            </wps:bodyPr>
                          </wps:wsp>
                        </a:graphicData>
                      </a:graphic>
                    </wp:inline>
                  </w:drawing>
                </mc:Choice>
                <mc:Fallback>
                  <w:pict>
                    <v:rect id="Rectangle 15" o:spid="_x0000_s1026" alt="Red" style="width:12.1pt;height:1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" fillcolor="red" stroked="f">
                      <w10:anchorlock/>
                    </v:rect>
                  </w:pict>
                </mc:Fallback>
              </mc:AlternateContent>
            </w:r>
          </w:p>
        </w:tc>
        <w:tc>
          <w:tcPr>
            <w:tcW w:w="1316" w:type="dxa"/>
            <w:shd w:val="clear" w:color="auto" w:fill="auto"/>
            <w:tcMar>
              <w:left w:w="57" w:type="dxa"/>
              <w:right w:w="57" w:type="dxa"/>
            </w:tcMar>
            <w:vAlign w:val="center"/>
          </w:tcPr>
          <w:p w:rsidR="001E2D82" w:rsidRPr="005F7914" w:rsidRDefault="001E2D82" w:rsidP="00AA7753">
            <w:pPr>
              <w:pStyle w:val="TableTextEntries"/>
              <w:jc w:val="center"/>
              <w:rPr>
                <w:bCs/>
              </w:rPr>
            </w:pPr>
            <w:r w:rsidRPr="005F7914">
              <w:rPr>
                <w:bCs/>
              </w:rPr>
              <w:fldChar w:fldCharType="begin"/>
            </w:r>
            <w:r w:rsidRPr="005F7914">
              <w:rPr>
                <w:bCs/>
              </w:rPr>
              <w:instrText xml:space="preserve"> AUTOTEXTLIST  \s "Table Text Entries"\t "Right click to choose a response" \* MERGEFORMAT </w:instrText>
            </w:r>
            <w:r w:rsidRPr="005F7914">
              <w:rPr>
                <w:bCs/>
              </w:rPr>
              <w:fldChar w:fldCharType="separate"/>
            </w:r>
            <w:r w:rsidRPr="005F7914">
              <w:rPr>
                <w:bCs/>
              </w:rPr>
              <w:t>Unchanged</w:t>
            </w:r>
            <w:r w:rsidRPr="005F7914">
              <w:rPr>
                <w:bCs/>
              </w:rPr>
              <w:fldChar w:fldCharType="end"/>
            </w:r>
          </w:p>
        </w:tc>
      </w:tr>
      <w:tr w:rsidR="001E2D82" w:rsidRPr="005F7914" w:rsidTr="00AA7753">
        <w:trPr>
          <w:cantSplit/>
        </w:trPr>
        <w:tc>
          <w:tcPr>
            <w:tcW w:w="7937" w:type="dxa"/>
            <w:gridSpan w:val="3"/>
            <w:shd w:val="clear" w:color="auto" w:fill="auto"/>
            <w:tcMar>
              <w:left w:w="57" w:type="dxa"/>
              <w:right w:w="57" w:type="dxa"/>
            </w:tcMar>
            <w:vAlign w:val="center"/>
          </w:tcPr>
          <w:p w:rsidR="001E2D82" w:rsidRPr="005F7914" w:rsidRDefault="001E2D82" w:rsidP="00AA7753">
            <w:pPr>
              <w:pStyle w:val="TableTextEntries"/>
              <w:rPr>
                <w:bCs/>
                <w:i/>
              </w:rPr>
            </w:pPr>
            <w:r w:rsidRPr="005F7914">
              <w:rPr>
                <w:i/>
              </w:rPr>
              <w:t>Agricultural Productivity and Food Security</w:t>
            </w:r>
          </w:p>
        </w:tc>
      </w:tr>
      <w:tr w:rsidR="001E2D82" w:rsidRPr="005F7914" w:rsidTr="00AA7753">
        <w:trPr>
          <w:cantSplit/>
        </w:trPr>
        <w:tc>
          <w:tcPr>
            <w:tcW w:w="5725" w:type="dxa"/>
            <w:shd w:val="clear" w:color="auto" w:fill="auto"/>
            <w:tcMar>
              <w:left w:w="57" w:type="dxa"/>
              <w:right w:w="57" w:type="dxa"/>
            </w:tcMar>
            <w:vAlign w:val="center"/>
          </w:tcPr>
          <w:p w:rsidR="001E2D82" w:rsidRPr="005F7914" w:rsidRDefault="001E2D82" w:rsidP="00AA7753">
            <w:pPr>
              <w:pStyle w:val="TableTextEntries"/>
            </w:pPr>
            <w:r w:rsidRPr="005F7914">
              <w:t>Improved food security through increased productivity of major food</w:t>
            </w:r>
            <w:r w:rsidR="005F64B1">
              <w:t xml:space="preserve"> </w:t>
            </w:r>
            <w:r w:rsidRPr="005F7914">
              <w:t>crops</w:t>
            </w:r>
          </w:p>
        </w:tc>
        <w:tc>
          <w:tcPr>
            <w:tcW w:w="896" w:type="dxa"/>
            <w:shd w:val="clear" w:color="auto" w:fill="auto"/>
            <w:tcMar>
              <w:left w:w="57" w:type="dxa"/>
              <w:right w:w="57" w:type="dxa"/>
            </w:tcMar>
            <w:vAlign w:val="center"/>
          </w:tcPr>
          <w:p w:rsidR="001E2D82" w:rsidRPr="005F7914" w:rsidRDefault="009B1310" w:rsidP="00AA7753">
            <w:pPr>
              <w:pStyle w:val="Ratingbullet"/>
            </w:pPr>
            <w:r>
              <w:rPr>
                <w:noProof/>
                <w:lang w:val="en-US"/>
              </w:rPr>
              <mc:AlternateContent>
                <mc:Choice Requires="wps">
                  <w:drawing>
                    <wp:inline distT="0" distB="0" distL="0" distR="0" wp14:anchorId="04039B5C" wp14:editId="196BC349">
                      <wp:extent cx="153670" cy="153670"/>
                      <wp:effectExtent l="0" t="0" r="0" b="0"/>
                      <wp:docPr id="1202" name="Rectangle 15" descr="Red"/>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670" cy="153670"/>
                              </a:xfrm>
                              <a:prstGeom prst="rect">
                                <a:avLst/>
                              </a:prstGeom>
                              <a:solidFill>
                                <a:srgbClr val="FF0000"/>
                              </a:solidFill>
                              <a:ln>
                                <a:noFill/>
                              </a:ln>
                              <a:extLst/>
                            </wps:spPr>
                            <wps:bodyPr rot="0" vert="horz" wrap="square" lIns="91440" tIns="45720" rIns="91440" bIns="45720" anchor="t" anchorCtr="0" upright="1">
                              <a:noAutofit/>
                            </wps:bodyPr>
                          </wps:wsp>
                        </a:graphicData>
                      </a:graphic>
                    </wp:inline>
                  </w:drawing>
                </mc:Choice>
                <mc:Fallback>
                  <w:pict>
                    <v:rect id="Rectangle 15" o:spid="_x0000_s1026" alt="Red" style="width:12.1pt;height:1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" fillcolor="red" stroked="f">
                      <w10:anchorlock/>
                    </v:rect>
                  </w:pict>
                </mc:Fallback>
              </mc:AlternateContent>
            </w:r>
          </w:p>
        </w:tc>
        <w:tc>
          <w:tcPr>
            <w:tcW w:w="1316" w:type="dxa"/>
            <w:shd w:val="clear" w:color="auto" w:fill="auto"/>
            <w:tcMar>
              <w:left w:w="57" w:type="dxa"/>
              <w:right w:w="57" w:type="dxa"/>
            </w:tcMar>
            <w:vAlign w:val="center"/>
          </w:tcPr>
          <w:p w:rsidR="001E2D82" w:rsidRPr="005F7914" w:rsidRDefault="001E2D82" w:rsidP="00AA7753">
            <w:pPr>
              <w:pStyle w:val="TableTextEntries"/>
              <w:jc w:val="center"/>
              <w:rPr>
                <w:bCs/>
              </w:rPr>
            </w:pPr>
            <w:r w:rsidRPr="005F7914">
              <w:rPr>
                <w:bCs/>
              </w:rPr>
              <w:fldChar w:fldCharType="begin"/>
            </w:r>
            <w:r w:rsidRPr="005F7914">
              <w:rPr>
                <w:bCs/>
              </w:rPr>
              <w:instrText xml:space="preserve"> AUTOTEXTLIST  \s "Table Text Entries"\t "Right click to choose a response" \* MERGEFORMAT </w:instrText>
            </w:r>
            <w:r w:rsidRPr="005F7914">
              <w:rPr>
                <w:bCs/>
              </w:rPr>
              <w:fldChar w:fldCharType="separate"/>
            </w:r>
            <w:r w:rsidRPr="005F7914">
              <w:rPr>
                <w:bCs/>
              </w:rPr>
              <w:t>Not applicable</w:t>
            </w:r>
            <w:r w:rsidRPr="005F7914">
              <w:rPr>
                <w:bCs/>
              </w:rPr>
              <w:fldChar w:fldCharType="end"/>
            </w:r>
          </w:p>
        </w:tc>
      </w:tr>
      <w:tr w:rsidR="001E2D82" w:rsidRPr="005F7914" w:rsidTr="00AA7753">
        <w:trPr>
          <w:cantSplit/>
        </w:trPr>
        <w:tc>
          <w:tcPr>
            <w:tcW w:w="5725" w:type="dxa"/>
            <w:shd w:val="clear" w:color="auto" w:fill="auto"/>
            <w:tcMar>
              <w:left w:w="57" w:type="dxa"/>
              <w:right w:w="57" w:type="dxa"/>
            </w:tcMar>
            <w:vAlign w:val="center"/>
          </w:tcPr>
          <w:p w:rsidR="001E2D82" w:rsidRPr="005F7914" w:rsidRDefault="001E2D82" w:rsidP="00AA7753">
            <w:pPr>
              <w:pStyle w:val="TableTextEntries"/>
            </w:pPr>
            <w:r w:rsidRPr="005F7914">
              <w:t>Increased access to rural financial services</w:t>
            </w:r>
          </w:p>
        </w:tc>
        <w:tc>
          <w:tcPr>
            <w:tcW w:w="896" w:type="dxa"/>
            <w:shd w:val="clear" w:color="auto" w:fill="auto"/>
            <w:tcMar>
              <w:left w:w="57" w:type="dxa"/>
              <w:right w:w="57" w:type="dxa"/>
            </w:tcMar>
            <w:vAlign w:val="center"/>
          </w:tcPr>
          <w:p w:rsidR="001E2D82" w:rsidRPr="005F7914" w:rsidRDefault="009B1310" w:rsidP="00AA7753">
            <w:pPr>
              <w:pStyle w:val="Ratingbullet"/>
            </w:pPr>
            <w:r>
              <w:rPr>
                <w:noProof/>
                <w:lang w:val="en-US"/>
              </w:rPr>
              <mc:AlternateContent>
                <mc:Choice Requires="wps">
                  <w:drawing>
                    <wp:inline distT="0" distB="0" distL="0" distR="0" wp14:anchorId="562F7719" wp14:editId="75F8E108">
                      <wp:extent cx="153670" cy="153670"/>
                      <wp:effectExtent l="0" t="0" r="0" b="0"/>
                      <wp:docPr id="1208" name="Rectangle 15" descr="Ambe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670" cy="153670"/>
                              </a:xfrm>
                              <a:prstGeom prst="rect">
                                <a:avLst/>
                              </a:prstGeom>
                              <a:solidFill>
                                <a:srgbClr val="F57E1B"/>
                              </a:solidFill>
                              <a:ln>
                                <a:noFill/>
                              </a:ln>
                              <a:extLst/>
                            </wps:spPr>
                            <wps:bodyPr rot="0" vert="horz" wrap="square" lIns="91440" tIns="45720" rIns="91440" bIns="45720" anchor="t" anchorCtr="0" upright="1">
                              <a:noAutofit/>
                            </wps:bodyPr>
                          </wps:wsp>
                        </a:graphicData>
                      </a:graphic>
                    </wp:inline>
                  </w:drawing>
                </mc:Choice>
                <mc:Fallback>
                  <w:pict>
                    <v:rect id="Rectangle 15" o:spid="_x0000_s1026" alt="Amber" style="width:12.1pt;height:1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" fillcolor="#f57e1b" stroked="f">
                      <w10:anchorlock/>
                    </v:rect>
                  </w:pict>
                </mc:Fallback>
              </mc:AlternateContent>
            </w:r>
          </w:p>
        </w:tc>
        <w:tc>
          <w:tcPr>
            <w:tcW w:w="1316" w:type="dxa"/>
            <w:shd w:val="clear" w:color="auto" w:fill="auto"/>
            <w:tcMar>
              <w:left w:w="57" w:type="dxa"/>
              <w:right w:w="57" w:type="dxa"/>
            </w:tcMar>
            <w:vAlign w:val="center"/>
          </w:tcPr>
          <w:p w:rsidR="001E2D82" w:rsidRPr="005F7914" w:rsidRDefault="001E2D82" w:rsidP="00AA7753">
            <w:pPr>
              <w:pStyle w:val="TableTextEntries"/>
              <w:jc w:val="center"/>
              <w:rPr>
                <w:bCs/>
              </w:rPr>
            </w:pPr>
            <w:r w:rsidRPr="005F7914">
              <w:rPr>
                <w:bCs/>
              </w:rPr>
              <w:fldChar w:fldCharType="begin"/>
            </w:r>
            <w:r w:rsidRPr="005F7914">
              <w:rPr>
                <w:bCs/>
              </w:rPr>
              <w:instrText xml:space="preserve"> AUTOTEXTLIST  \s "Table Text Entries"\t "Right click to choose a response" \* MERGEFORMAT </w:instrText>
            </w:r>
            <w:r w:rsidRPr="005F7914">
              <w:rPr>
                <w:bCs/>
              </w:rPr>
              <w:fldChar w:fldCharType="separate"/>
            </w:r>
            <w:r w:rsidRPr="005F7914">
              <w:rPr>
                <w:bCs/>
              </w:rPr>
              <w:t>Not applicable</w:t>
            </w:r>
            <w:r w:rsidRPr="005F7914">
              <w:rPr>
                <w:bCs/>
              </w:rPr>
              <w:fldChar w:fldCharType="end"/>
            </w:r>
          </w:p>
        </w:tc>
      </w:tr>
      <w:tr w:rsidR="001E2D82" w:rsidRPr="005F7914" w:rsidTr="00AA7753">
        <w:trPr>
          <w:cantSplit/>
        </w:trPr>
        <w:tc>
          <w:tcPr>
            <w:tcW w:w="7937" w:type="dxa"/>
            <w:gridSpan w:val="3"/>
            <w:shd w:val="clear" w:color="auto" w:fill="auto"/>
            <w:tcMar>
              <w:left w:w="57" w:type="dxa"/>
              <w:right w:w="57" w:type="dxa"/>
            </w:tcMar>
            <w:vAlign w:val="center"/>
          </w:tcPr>
          <w:p w:rsidR="001E2D82" w:rsidRPr="005F7914" w:rsidRDefault="001E2D82" w:rsidP="005F64B1">
            <w:pPr>
              <w:pStyle w:val="TableTextEntries"/>
              <w:rPr>
                <w:bCs/>
              </w:rPr>
            </w:pPr>
            <w:r w:rsidRPr="005F7914">
              <w:rPr>
                <w:b/>
              </w:rPr>
              <w:t xml:space="preserve">Country </w:t>
            </w:r>
            <w:r w:rsidR="005F64B1">
              <w:rPr>
                <w:b/>
              </w:rPr>
              <w:t>s</w:t>
            </w:r>
            <w:r w:rsidR="005F64B1" w:rsidRPr="005F7914">
              <w:rPr>
                <w:b/>
              </w:rPr>
              <w:t xml:space="preserve">trategy </w:t>
            </w:r>
            <w:r w:rsidR="005F64B1">
              <w:rPr>
                <w:b/>
              </w:rPr>
              <w:t>o</w:t>
            </w:r>
            <w:r w:rsidRPr="005F7914">
              <w:rPr>
                <w:b/>
              </w:rPr>
              <w:t xml:space="preserve">bjective 3: Improving </w:t>
            </w:r>
            <w:r w:rsidR="005F64B1">
              <w:rPr>
                <w:b/>
              </w:rPr>
              <w:t>g</w:t>
            </w:r>
            <w:r w:rsidRPr="005F7914">
              <w:rPr>
                <w:b/>
              </w:rPr>
              <w:t xml:space="preserve">overnment </w:t>
            </w:r>
            <w:r w:rsidR="005F64B1">
              <w:rPr>
                <w:b/>
              </w:rPr>
              <w:t>a</w:t>
            </w:r>
            <w:r w:rsidRPr="005F7914">
              <w:rPr>
                <w:b/>
              </w:rPr>
              <w:t>ccountability,</w:t>
            </w:r>
            <w:r w:rsidR="005F64B1">
              <w:rPr>
                <w:b/>
              </w:rPr>
              <w:br/>
            </w:r>
            <w:r w:rsidRPr="005F7914">
              <w:rPr>
                <w:b/>
              </w:rPr>
              <w:t xml:space="preserve"> </w:t>
            </w:r>
            <w:r w:rsidR="005F64B1">
              <w:rPr>
                <w:b/>
              </w:rPr>
              <w:t>t</w:t>
            </w:r>
            <w:r w:rsidRPr="005F7914">
              <w:rPr>
                <w:b/>
              </w:rPr>
              <w:t xml:space="preserve">ransparency and </w:t>
            </w:r>
            <w:r w:rsidR="005F64B1">
              <w:rPr>
                <w:b/>
              </w:rPr>
              <w:t>i</w:t>
            </w:r>
            <w:r w:rsidRPr="005F7914">
              <w:rPr>
                <w:b/>
              </w:rPr>
              <w:t>ntegrity</w:t>
            </w:r>
          </w:p>
        </w:tc>
      </w:tr>
      <w:tr w:rsidR="001E2D82" w:rsidRPr="005F7914" w:rsidTr="00AA7753">
        <w:trPr>
          <w:cantSplit/>
        </w:trPr>
        <w:tc>
          <w:tcPr>
            <w:tcW w:w="5725" w:type="dxa"/>
            <w:shd w:val="clear" w:color="auto" w:fill="auto"/>
            <w:tcMar>
              <w:left w:w="57" w:type="dxa"/>
              <w:right w:w="57" w:type="dxa"/>
            </w:tcMar>
            <w:vAlign w:val="center"/>
          </w:tcPr>
          <w:p w:rsidR="001E2D82" w:rsidRPr="005F7914" w:rsidRDefault="001E2D82" w:rsidP="00AA7753">
            <w:pPr>
              <w:pStyle w:val="TableTextEntries"/>
              <w:rPr>
                <w:i/>
              </w:rPr>
            </w:pPr>
            <w:r w:rsidRPr="005F7914">
              <w:rPr>
                <w:i/>
              </w:rPr>
              <w:t>Public</w:t>
            </w:r>
            <w:r w:rsidR="005F64B1">
              <w:rPr>
                <w:i/>
              </w:rPr>
              <w:t xml:space="preserve"> s</w:t>
            </w:r>
            <w:r w:rsidRPr="005F7914">
              <w:rPr>
                <w:i/>
              </w:rPr>
              <w:t xml:space="preserve">ector and </w:t>
            </w:r>
            <w:r w:rsidR="005F64B1">
              <w:rPr>
                <w:i/>
              </w:rPr>
              <w:t>d</w:t>
            </w:r>
            <w:r w:rsidRPr="005F7914">
              <w:rPr>
                <w:i/>
              </w:rPr>
              <w:t xml:space="preserve">emocratic </w:t>
            </w:r>
            <w:r w:rsidR="005F64B1">
              <w:rPr>
                <w:i/>
              </w:rPr>
              <w:t>g</w:t>
            </w:r>
            <w:r w:rsidRPr="005F7914">
              <w:rPr>
                <w:i/>
              </w:rPr>
              <w:t>overnance</w:t>
            </w:r>
          </w:p>
          <w:p w:rsidR="001E2D82" w:rsidRPr="005F7914" w:rsidRDefault="001E2D82" w:rsidP="00AA7753">
            <w:pPr>
              <w:pStyle w:val="TableTextEntries"/>
            </w:pPr>
            <w:r w:rsidRPr="005F7914">
              <w:t>&gt;  To help establish and develop cent</w:t>
            </w:r>
            <w:r w:rsidR="0064058D">
              <w:t>ral agencies, in line with GoTL</w:t>
            </w:r>
            <w:r w:rsidR="005F64B1">
              <w:t>’</w:t>
            </w:r>
            <w:r w:rsidRPr="005F7914">
              <w:t>s public sector reform agenda</w:t>
            </w:r>
          </w:p>
          <w:p w:rsidR="001E2D82" w:rsidRPr="005F7914" w:rsidRDefault="001E2D82" w:rsidP="00AA7753">
            <w:pPr>
              <w:pStyle w:val="TableTextEntries"/>
            </w:pPr>
            <w:r w:rsidRPr="005F7914">
              <w:t>&gt;  To help establish and implement a regulatory framework for, and enable provision of training to, the public sector</w:t>
            </w:r>
          </w:p>
          <w:p w:rsidR="001E2D82" w:rsidRPr="005F7914" w:rsidRDefault="001E2D82" w:rsidP="00AA7753">
            <w:pPr>
              <w:pStyle w:val="TableTextEntries"/>
            </w:pPr>
            <w:r w:rsidRPr="005F7914">
              <w:t>&gt;  To build functional formal political institutions and respect for democratic processes</w:t>
            </w:r>
          </w:p>
          <w:p w:rsidR="001E2D82" w:rsidRPr="005F7914" w:rsidRDefault="001E2D82" w:rsidP="00AA7753">
            <w:pPr>
              <w:pStyle w:val="TableTextEntries"/>
            </w:pPr>
            <w:r w:rsidRPr="005F7914">
              <w:t>&gt;  To build effective relations between the state and communities</w:t>
            </w:r>
          </w:p>
        </w:tc>
        <w:tc>
          <w:tcPr>
            <w:tcW w:w="896" w:type="dxa"/>
            <w:shd w:val="clear" w:color="auto" w:fill="auto"/>
            <w:tcMar>
              <w:left w:w="57" w:type="dxa"/>
              <w:right w:w="57" w:type="dxa"/>
            </w:tcMar>
            <w:vAlign w:val="center"/>
          </w:tcPr>
          <w:p w:rsidR="001E2D82" w:rsidRPr="005F7914" w:rsidRDefault="009B1310" w:rsidP="00AA7753">
            <w:pPr>
              <w:pStyle w:val="Ratingbullet"/>
            </w:pPr>
            <w:r>
              <w:rPr>
                <w:noProof/>
                <w:lang w:val="en-US"/>
              </w:rPr>
              <mc:AlternateContent>
                <mc:Choice Requires="wps">
                  <w:drawing>
                    <wp:inline distT="0" distB="0" distL="0" distR="0" wp14:anchorId="67DDDFC6" wp14:editId="45DE901D">
                      <wp:extent cx="153670" cy="153670"/>
                      <wp:effectExtent l="0" t="0" r="0" b="0"/>
                      <wp:docPr id="1209" name="Rectangle 15" descr="Ambe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670" cy="153670"/>
                              </a:xfrm>
                              <a:prstGeom prst="rect">
                                <a:avLst/>
                              </a:prstGeom>
                              <a:solidFill>
                                <a:srgbClr val="F57E1B"/>
                              </a:solidFill>
                              <a:ln>
                                <a:noFill/>
                              </a:ln>
                              <a:extLst/>
                            </wps:spPr>
                            <wps:bodyPr rot="0" vert="horz" wrap="square" lIns="91440" tIns="45720" rIns="91440" bIns="45720" anchor="t" anchorCtr="0" upright="1">
                              <a:noAutofit/>
                            </wps:bodyPr>
                          </wps:wsp>
                        </a:graphicData>
                      </a:graphic>
                    </wp:inline>
                  </w:drawing>
                </mc:Choice>
                <mc:Fallback>
                  <w:pict>
                    <v:rect id="Rectangle 15" o:spid="_x0000_s1026" alt="Amber" style="width:12.1pt;height:1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" fillcolor="#f57e1b" stroked="f">
                      <w10:anchorlock/>
                    </v:rect>
                  </w:pict>
                </mc:Fallback>
              </mc:AlternateContent>
            </w:r>
          </w:p>
        </w:tc>
        <w:tc>
          <w:tcPr>
            <w:tcW w:w="1316" w:type="dxa"/>
            <w:shd w:val="clear" w:color="auto" w:fill="auto"/>
            <w:tcMar>
              <w:left w:w="57" w:type="dxa"/>
              <w:right w:w="57" w:type="dxa"/>
            </w:tcMar>
            <w:vAlign w:val="center"/>
          </w:tcPr>
          <w:p w:rsidR="001E2D82" w:rsidRPr="005F7914" w:rsidRDefault="001E2D82" w:rsidP="00AA7753">
            <w:pPr>
              <w:pStyle w:val="TableTextEntries"/>
              <w:jc w:val="center"/>
              <w:rPr>
                <w:bCs/>
              </w:rPr>
            </w:pPr>
            <w:r w:rsidRPr="005F7914">
              <w:rPr>
                <w:bCs/>
              </w:rPr>
              <w:fldChar w:fldCharType="begin"/>
            </w:r>
            <w:r w:rsidRPr="005F7914">
              <w:rPr>
                <w:bCs/>
              </w:rPr>
              <w:instrText xml:space="preserve"> AUTOTEXTLIST  \s "Table Text Entries"\t "Right click to choose a response" \* MERGEFORMAT </w:instrText>
            </w:r>
            <w:r w:rsidRPr="005F7914">
              <w:rPr>
                <w:bCs/>
              </w:rPr>
              <w:fldChar w:fldCharType="separate"/>
            </w:r>
            <w:r w:rsidRPr="005F7914">
              <w:rPr>
                <w:bCs/>
              </w:rPr>
              <w:t>Unchanged</w:t>
            </w:r>
            <w:r w:rsidRPr="005F7914">
              <w:rPr>
                <w:bCs/>
              </w:rPr>
              <w:fldChar w:fldCharType="end"/>
            </w:r>
          </w:p>
        </w:tc>
      </w:tr>
      <w:tr w:rsidR="001E2D82" w:rsidRPr="005F7914" w:rsidTr="00AA7753">
        <w:trPr>
          <w:cantSplit/>
        </w:trPr>
        <w:tc>
          <w:tcPr>
            <w:tcW w:w="5725" w:type="dxa"/>
            <w:shd w:val="clear" w:color="auto" w:fill="auto"/>
            <w:tcMar>
              <w:left w:w="57" w:type="dxa"/>
              <w:right w:w="57" w:type="dxa"/>
            </w:tcMar>
            <w:vAlign w:val="center"/>
          </w:tcPr>
          <w:p w:rsidR="001E2D82" w:rsidRPr="005F7914" w:rsidRDefault="001E2D82" w:rsidP="00AA7753">
            <w:pPr>
              <w:pStyle w:val="TableTextEntries"/>
              <w:rPr>
                <w:i/>
              </w:rPr>
            </w:pPr>
            <w:r w:rsidRPr="005F7914">
              <w:rPr>
                <w:i/>
              </w:rPr>
              <w:t xml:space="preserve">Public </w:t>
            </w:r>
            <w:r w:rsidR="005F64B1">
              <w:rPr>
                <w:i/>
              </w:rPr>
              <w:t>f</w:t>
            </w:r>
            <w:r w:rsidRPr="005F7914">
              <w:rPr>
                <w:i/>
              </w:rPr>
              <w:t xml:space="preserve">inancial </w:t>
            </w:r>
            <w:r w:rsidR="005F64B1">
              <w:rPr>
                <w:i/>
              </w:rPr>
              <w:t>m</w:t>
            </w:r>
            <w:r w:rsidRPr="005F7914">
              <w:rPr>
                <w:i/>
              </w:rPr>
              <w:t>anagement</w:t>
            </w:r>
          </w:p>
          <w:p w:rsidR="001E2D82" w:rsidRPr="005F7914" w:rsidRDefault="001E2D82" w:rsidP="00AA7753">
            <w:pPr>
              <w:pStyle w:val="TableTextEntries"/>
            </w:pPr>
            <w:r w:rsidRPr="005F7914">
              <w:t xml:space="preserve">&gt;  To strengthen systems and processes in the areas of planning, budgeting, public expenditure management and revenue administration in the </w:t>
            </w:r>
            <w:r w:rsidR="00A85F7E">
              <w:t>MoF</w:t>
            </w:r>
            <w:r w:rsidR="00A85F7E" w:rsidRPr="005F7914">
              <w:t xml:space="preserve"> </w:t>
            </w:r>
          </w:p>
          <w:p w:rsidR="001E2D82" w:rsidRPr="005F7914" w:rsidRDefault="001E2D82" w:rsidP="00A85F7E">
            <w:pPr>
              <w:pStyle w:val="TableTextEntries"/>
            </w:pPr>
            <w:r w:rsidRPr="005F7914">
              <w:t xml:space="preserve">&gt;  To build human resource capacity within the </w:t>
            </w:r>
            <w:r w:rsidR="00A85F7E">
              <w:t>MoF</w:t>
            </w:r>
            <w:r w:rsidR="00A85F7E" w:rsidRPr="005F7914">
              <w:t xml:space="preserve"> </w:t>
            </w:r>
            <w:r w:rsidRPr="005F7914">
              <w:t xml:space="preserve"> </w:t>
            </w:r>
          </w:p>
        </w:tc>
        <w:tc>
          <w:tcPr>
            <w:tcW w:w="896" w:type="dxa"/>
            <w:shd w:val="clear" w:color="auto" w:fill="auto"/>
            <w:tcMar>
              <w:left w:w="57" w:type="dxa"/>
              <w:right w:w="57" w:type="dxa"/>
            </w:tcMar>
            <w:vAlign w:val="center"/>
          </w:tcPr>
          <w:p w:rsidR="001E2D82" w:rsidRPr="005F7914" w:rsidRDefault="009B1310" w:rsidP="00AA7753">
            <w:pPr>
              <w:pStyle w:val="Ratingbullet"/>
            </w:pPr>
            <w:r>
              <w:rPr>
                <w:noProof/>
                <w:lang w:val="en-US"/>
              </w:rPr>
              <mc:AlternateContent>
                <mc:Choice Requires="wps">
                  <w:drawing>
                    <wp:inline distT="0" distB="0" distL="0" distR="0" wp14:anchorId="064B7291" wp14:editId="1776E9D6">
                      <wp:extent cx="153670" cy="153670"/>
                      <wp:effectExtent l="0" t="0" r="0" b="0"/>
                      <wp:docPr id="1210" name="Rectangle 15" descr="Ambe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670" cy="153670"/>
                              </a:xfrm>
                              <a:prstGeom prst="rect">
                                <a:avLst/>
                              </a:prstGeom>
                              <a:solidFill>
                                <a:srgbClr val="F57E1B"/>
                              </a:solidFill>
                              <a:ln>
                                <a:noFill/>
                              </a:ln>
                              <a:extLst/>
                            </wps:spPr>
                            <wps:bodyPr rot="0" vert="horz" wrap="square" lIns="91440" tIns="45720" rIns="91440" bIns="45720" anchor="t" anchorCtr="0" upright="1">
                              <a:noAutofit/>
                            </wps:bodyPr>
                          </wps:wsp>
                        </a:graphicData>
                      </a:graphic>
                    </wp:inline>
                  </w:drawing>
                </mc:Choice>
                <mc:Fallback>
                  <w:pict>
                    <v:rect id="Rectangle 15" o:spid="_x0000_s1026" alt="Amber" style="width:12.1pt;height:1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" fillcolor="#f57e1b" stroked="f">
                      <w10:anchorlock/>
                    </v:rect>
                  </w:pict>
                </mc:Fallback>
              </mc:AlternateContent>
            </w:r>
          </w:p>
        </w:tc>
        <w:tc>
          <w:tcPr>
            <w:tcW w:w="1316" w:type="dxa"/>
            <w:shd w:val="clear" w:color="auto" w:fill="auto"/>
            <w:tcMar>
              <w:left w:w="57" w:type="dxa"/>
              <w:right w:w="57" w:type="dxa"/>
            </w:tcMar>
            <w:vAlign w:val="center"/>
          </w:tcPr>
          <w:p w:rsidR="001E2D82" w:rsidRPr="005F7914" w:rsidRDefault="001E2D82" w:rsidP="00AA7753">
            <w:pPr>
              <w:pStyle w:val="TableTextEntries"/>
              <w:jc w:val="center"/>
              <w:rPr>
                <w:bCs/>
              </w:rPr>
            </w:pPr>
            <w:r w:rsidRPr="005F7914">
              <w:rPr>
                <w:bCs/>
              </w:rPr>
              <w:fldChar w:fldCharType="begin"/>
            </w:r>
            <w:r w:rsidRPr="005F7914">
              <w:rPr>
                <w:bCs/>
              </w:rPr>
              <w:instrText xml:space="preserve"> AUTOTEXTLIST  \s "Table Text Entries"\t "Right click to choose a response" \* MERGEFORMAT </w:instrText>
            </w:r>
            <w:r w:rsidRPr="005F7914">
              <w:rPr>
                <w:bCs/>
              </w:rPr>
              <w:fldChar w:fldCharType="separate"/>
            </w:r>
            <w:r w:rsidRPr="005F7914">
              <w:rPr>
                <w:bCs/>
              </w:rPr>
              <w:t>Unchanged</w:t>
            </w:r>
            <w:r w:rsidRPr="005F7914">
              <w:rPr>
                <w:bCs/>
              </w:rPr>
              <w:fldChar w:fldCharType="end"/>
            </w:r>
          </w:p>
        </w:tc>
      </w:tr>
      <w:tr w:rsidR="001E2D82" w:rsidRPr="005F7914" w:rsidTr="00AA7753">
        <w:trPr>
          <w:cantSplit/>
        </w:trPr>
        <w:tc>
          <w:tcPr>
            <w:tcW w:w="7937" w:type="dxa"/>
            <w:gridSpan w:val="3"/>
            <w:shd w:val="clear" w:color="auto" w:fill="auto"/>
            <w:tcMar>
              <w:left w:w="57" w:type="dxa"/>
              <w:right w:w="57" w:type="dxa"/>
            </w:tcMar>
            <w:vAlign w:val="center"/>
          </w:tcPr>
          <w:p w:rsidR="001E2D82" w:rsidRPr="005F7914" w:rsidRDefault="001E2D82" w:rsidP="005F64B1">
            <w:pPr>
              <w:pStyle w:val="TableTextEntries"/>
              <w:rPr>
                <w:bCs/>
              </w:rPr>
            </w:pPr>
            <w:r w:rsidRPr="005F7914">
              <w:rPr>
                <w:b/>
              </w:rPr>
              <w:t xml:space="preserve">Country </w:t>
            </w:r>
            <w:r w:rsidR="005F64B1">
              <w:rPr>
                <w:b/>
              </w:rPr>
              <w:t>s</w:t>
            </w:r>
            <w:r w:rsidRPr="005F7914">
              <w:rPr>
                <w:b/>
              </w:rPr>
              <w:t xml:space="preserve">trategy </w:t>
            </w:r>
            <w:r w:rsidR="005F64B1">
              <w:rPr>
                <w:b/>
              </w:rPr>
              <w:t>o</w:t>
            </w:r>
            <w:r w:rsidRPr="005F7914">
              <w:rPr>
                <w:b/>
              </w:rPr>
              <w:t xml:space="preserve">bjective 4: Building the </w:t>
            </w:r>
            <w:r w:rsidR="005F64B1">
              <w:rPr>
                <w:b/>
              </w:rPr>
              <w:t>f</w:t>
            </w:r>
            <w:r w:rsidRPr="005F7914">
              <w:rPr>
                <w:b/>
              </w:rPr>
              <w:t xml:space="preserve">oundations of a </w:t>
            </w:r>
            <w:r w:rsidR="005F64B1">
              <w:rPr>
                <w:b/>
              </w:rPr>
              <w:t>s</w:t>
            </w:r>
            <w:r w:rsidRPr="005F7914">
              <w:rPr>
                <w:b/>
              </w:rPr>
              <w:t xml:space="preserve">afer </w:t>
            </w:r>
            <w:r w:rsidR="005F64B1">
              <w:rPr>
                <w:b/>
              </w:rPr>
              <w:t>c</w:t>
            </w:r>
            <w:r w:rsidRPr="005F7914">
              <w:rPr>
                <w:b/>
              </w:rPr>
              <w:t>ommunity</w:t>
            </w:r>
          </w:p>
        </w:tc>
      </w:tr>
      <w:tr w:rsidR="001E2D82" w:rsidRPr="005F7914" w:rsidTr="00AA7753">
        <w:trPr>
          <w:cantSplit/>
        </w:trPr>
        <w:tc>
          <w:tcPr>
            <w:tcW w:w="5725" w:type="dxa"/>
            <w:shd w:val="clear" w:color="auto" w:fill="auto"/>
            <w:tcMar>
              <w:left w:w="57" w:type="dxa"/>
              <w:right w:w="57" w:type="dxa"/>
            </w:tcMar>
            <w:vAlign w:val="center"/>
          </w:tcPr>
          <w:p w:rsidR="001E2D82" w:rsidRPr="005F7914" w:rsidRDefault="001E2D82" w:rsidP="005F64B1">
            <w:pPr>
              <w:pStyle w:val="TableTextEntries"/>
              <w:rPr>
                <w:i/>
              </w:rPr>
            </w:pPr>
            <w:r w:rsidRPr="005F7914">
              <w:rPr>
                <w:i/>
              </w:rPr>
              <w:t xml:space="preserve">Resilience to </w:t>
            </w:r>
            <w:r w:rsidR="005F64B1">
              <w:rPr>
                <w:i/>
              </w:rPr>
              <w:t>n</w:t>
            </w:r>
            <w:r w:rsidRPr="005F7914">
              <w:rPr>
                <w:i/>
              </w:rPr>
              <w:t xml:space="preserve">atural </w:t>
            </w:r>
            <w:r w:rsidR="005F64B1">
              <w:rPr>
                <w:i/>
              </w:rPr>
              <w:t>e</w:t>
            </w:r>
            <w:r w:rsidRPr="005F7914">
              <w:rPr>
                <w:i/>
              </w:rPr>
              <w:t>mergencies</w:t>
            </w:r>
          </w:p>
        </w:tc>
        <w:tc>
          <w:tcPr>
            <w:tcW w:w="896" w:type="dxa"/>
            <w:shd w:val="clear" w:color="auto" w:fill="auto"/>
            <w:tcMar>
              <w:left w:w="57" w:type="dxa"/>
              <w:right w:w="57" w:type="dxa"/>
            </w:tcMar>
            <w:vAlign w:val="center"/>
          </w:tcPr>
          <w:p w:rsidR="001E2D82" w:rsidRPr="005F7914" w:rsidRDefault="009B1310" w:rsidP="00AA7753">
            <w:pPr>
              <w:pStyle w:val="Ratingbullet"/>
            </w:pPr>
            <w:r>
              <w:rPr>
                <w:noProof/>
                <w:lang w:val="en-US"/>
              </w:rPr>
              <mc:AlternateContent>
                <mc:Choice Requires="wps">
                  <w:drawing>
                    <wp:inline distT="0" distB="0" distL="0" distR="0" wp14:anchorId="47F58352" wp14:editId="30BBACB1">
                      <wp:extent cx="153670" cy="153670"/>
                      <wp:effectExtent l="0" t="0" r="0" b="0"/>
                      <wp:docPr id="1211" name="Rectangle 15" descr="Ambe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670" cy="153670"/>
                              </a:xfrm>
                              <a:prstGeom prst="rect">
                                <a:avLst/>
                              </a:prstGeom>
                              <a:solidFill>
                                <a:srgbClr val="F57E1B"/>
                              </a:solidFill>
                              <a:ln>
                                <a:noFill/>
                              </a:ln>
                              <a:extLst/>
                            </wps:spPr>
                            <wps:bodyPr rot="0" vert="horz" wrap="square" lIns="91440" tIns="45720" rIns="91440" bIns="45720" anchor="t" anchorCtr="0" upright="1">
                              <a:noAutofit/>
                            </wps:bodyPr>
                          </wps:wsp>
                        </a:graphicData>
                      </a:graphic>
                    </wp:inline>
                  </w:drawing>
                </mc:Choice>
                <mc:Fallback>
                  <w:pict>
                    <v:rect id="Rectangle 15" o:spid="_x0000_s1026" alt="Amber" style="width:12.1pt;height:1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" fillcolor="#f57e1b" stroked="f">
                      <w10:anchorlock/>
                    </v:rect>
                  </w:pict>
                </mc:Fallback>
              </mc:AlternateContent>
            </w:r>
          </w:p>
        </w:tc>
        <w:tc>
          <w:tcPr>
            <w:tcW w:w="1316" w:type="dxa"/>
            <w:shd w:val="clear" w:color="auto" w:fill="auto"/>
            <w:tcMar>
              <w:left w:w="57" w:type="dxa"/>
              <w:right w:w="57" w:type="dxa"/>
            </w:tcMar>
            <w:vAlign w:val="center"/>
          </w:tcPr>
          <w:p w:rsidR="001E2D82" w:rsidRPr="005F7914" w:rsidRDefault="001E2D82" w:rsidP="00AA7753">
            <w:pPr>
              <w:pStyle w:val="TableTextEntries"/>
              <w:jc w:val="center"/>
              <w:rPr>
                <w:bCs/>
              </w:rPr>
            </w:pPr>
            <w:r w:rsidRPr="005F7914">
              <w:rPr>
                <w:bCs/>
              </w:rPr>
              <w:fldChar w:fldCharType="begin"/>
            </w:r>
            <w:r w:rsidRPr="005F7914">
              <w:rPr>
                <w:bCs/>
              </w:rPr>
              <w:instrText xml:space="preserve"> AUTOTEXTLIST  \s "Table Text Entries"\t "Right click to choose a response" \* MERGEFORMAT </w:instrText>
            </w:r>
            <w:r w:rsidRPr="005F7914">
              <w:rPr>
                <w:bCs/>
              </w:rPr>
              <w:fldChar w:fldCharType="separate"/>
            </w:r>
            <w:r w:rsidRPr="005F7914">
              <w:rPr>
                <w:bCs/>
              </w:rPr>
              <w:t>Not applicable</w:t>
            </w:r>
            <w:r w:rsidRPr="005F7914">
              <w:rPr>
                <w:bCs/>
              </w:rPr>
              <w:fldChar w:fldCharType="end"/>
            </w:r>
          </w:p>
        </w:tc>
      </w:tr>
      <w:tr w:rsidR="001E2D82" w:rsidRPr="005F7914" w:rsidTr="00AA7753">
        <w:trPr>
          <w:cantSplit/>
        </w:trPr>
        <w:tc>
          <w:tcPr>
            <w:tcW w:w="5725" w:type="dxa"/>
            <w:shd w:val="clear" w:color="auto" w:fill="auto"/>
            <w:tcMar>
              <w:left w:w="57" w:type="dxa"/>
              <w:right w:w="57" w:type="dxa"/>
            </w:tcMar>
            <w:vAlign w:val="center"/>
          </w:tcPr>
          <w:p w:rsidR="001E2D82" w:rsidRPr="005F7914" w:rsidRDefault="001E2D82" w:rsidP="005F64B1">
            <w:pPr>
              <w:pStyle w:val="TableTextEntries"/>
              <w:rPr>
                <w:i/>
              </w:rPr>
            </w:pPr>
            <w:r w:rsidRPr="005F7914">
              <w:rPr>
                <w:i/>
              </w:rPr>
              <w:t xml:space="preserve">Combating </w:t>
            </w:r>
            <w:r w:rsidR="005F64B1">
              <w:rPr>
                <w:i/>
              </w:rPr>
              <w:t>v</w:t>
            </w:r>
            <w:r w:rsidRPr="005F7914">
              <w:rPr>
                <w:i/>
              </w:rPr>
              <w:t xml:space="preserve">iolence </w:t>
            </w:r>
            <w:r w:rsidR="005F64B1">
              <w:rPr>
                <w:i/>
              </w:rPr>
              <w:t>a</w:t>
            </w:r>
            <w:r w:rsidRPr="005F7914">
              <w:rPr>
                <w:i/>
              </w:rPr>
              <w:t xml:space="preserve">gainst </w:t>
            </w:r>
            <w:r w:rsidR="005F64B1">
              <w:rPr>
                <w:i/>
              </w:rPr>
              <w:t>w</w:t>
            </w:r>
            <w:r w:rsidRPr="005F7914">
              <w:rPr>
                <w:i/>
              </w:rPr>
              <w:t>omen</w:t>
            </w:r>
          </w:p>
        </w:tc>
        <w:tc>
          <w:tcPr>
            <w:tcW w:w="896" w:type="dxa"/>
            <w:shd w:val="clear" w:color="auto" w:fill="auto"/>
            <w:tcMar>
              <w:left w:w="57" w:type="dxa"/>
              <w:right w:w="57" w:type="dxa"/>
            </w:tcMar>
            <w:vAlign w:val="center"/>
          </w:tcPr>
          <w:p w:rsidR="001E2D82" w:rsidRPr="005F7914" w:rsidRDefault="009B1310" w:rsidP="00AA7753">
            <w:pPr>
              <w:pStyle w:val="Ratingbullet"/>
            </w:pPr>
            <w:r>
              <w:rPr>
                <w:noProof/>
                <w:lang w:val="en-US"/>
              </w:rPr>
              <mc:AlternateContent>
                <mc:Choice Requires="wps">
                  <w:drawing>
                    <wp:inline distT="0" distB="0" distL="0" distR="0" wp14:anchorId="2ADCDC37" wp14:editId="75F9029E">
                      <wp:extent cx="153670" cy="153670"/>
                      <wp:effectExtent l="0" t="0" r="0" b="0"/>
                      <wp:docPr id="1212" name="Rectangle 15" descr="Ambe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670" cy="153670"/>
                              </a:xfrm>
                              <a:prstGeom prst="rect">
                                <a:avLst/>
                              </a:prstGeom>
                              <a:solidFill>
                                <a:srgbClr val="F57E1B"/>
                              </a:solidFill>
                              <a:ln>
                                <a:noFill/>
                              </a:ln>
                              <a:extLst/>
                            </wps:spPr>
                            <wps:bodyPr rot="0" vert="horz" wrap="square" lIns="91440" tIns="45720" rIns="91440" bIns="45720" anchor="t" anchorCtr="0" upright="1">
                              <a:noAutofit/>
                            </wps:bodyPr>
                          </wps:wsp>
                        </a:graphicData>
                      </a:graphic>
                    </wp:inline>
                  </w:drawing>
                </mc:Choice>
                <mc:Fallback>
                  <w:pict>
                    <v:rect id="Rectangle 15" o:spid="_x0000_s1026" alt="Amber" style="width:12.1pt;height:1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" fillcolor="#f57e1b" stroked="f">
                      <w10:anchorlock/>
                    </v:rect>
                  </w:pict>
                </mc:Fallback>
              </mc:AlternateContent>
            </w:r>
          </w:p>
        </w:tc>
        <w:tc>
          <w:tcPr>
            <w:tcW w:w="1316" w:type="dxa"/>
            <w:shd w:val="clear" w:color="auto" w:fill="auto"/>
            <w:tcMar>
              <w:left w:w="57" w:type="dxa"/>
              <w:right w:w="57" w:type="dxa"/>
            </w:tcMar>
            <w:vAlign w:val="center"/>
          </w:tcPr>
          <w:p w:rsidR="001E2D82" w:rsidRPr="005F7914" w:rsidRDefault="001E2D82" w:rsidP="00AA7753">
            <w:pPr>
              <w:pStyle w:val="TableTextEntries"/>
              <w:jc w:val="center"/>
              <w:rPr>
                <w:bCs/>
              </w:rPr>
            </w:pPr>
            <w:r w:rsidRPr="005F7914">
              <w:rPr>
                <w:bCs/>
              </w:rPr>
              <w:fldChar w:fldCharType="begin"/>
            </w:r>
            <w:r w:rsidRPr="005F7914">
              <w:rPr>
                <w:bCs/>
              </w:rPr>
              <w:instrText xml:space="preserve"> AUTOTEXTLIST  \s "Table Text Entries"\t "Right click to choose a response" \* MERGEFORMAT </w:instrText>
            </w:r>
            <w:r w:rsidRPr="005F7914">
              <w:rPr>
                <w:bCs/>
              </w:rPr>
              <w:fldChar w:fldCharType="separate"/>
            </w:r>
            <w:r w:rsidRPr="005F7914">
              <w:rPr>
                <w:bCs/>
              </w:rPr>
              <w:t>Not applicable</w:t>
            </w:r>
            <w:r w:rsidRPr="005F7914">
              <w:rPr>
                <w:bCs/>
              </w:rPr>
              <w:fldChar w:fldCharType="end"/>
            </w:r>
          </w:p>
        </w:tc>
      </w:tr>
      <w:tr w:rsidR="001E2D82" w:rsidRPr="005F7914" w:rsidTr="00AA7753">
        <w:trPr>
          <w:cantSplit/>
        </w:trPr>
        <w:tc>
          <w:tcPr>
            <w:tcW w:w="5725" w:type="dxa"/>
            <w:shd w:val="clear" w:color="auto" w:fill="auto"/>
            <w:tcMar>
              <w:left w:w="57" w:type="dxa"/>
              <w:right w:w="57" w:type="dxa"/>
            </w:tcMar>
            <w:vAlign w:val="center"/>
          </w:tcPr>
          <w:p w:rsidR="001E2D82" w:rsidRPr="005F7914" w:rsidRDefault="001E2D82" w:rsidP="005F64B1">
            <w:pPr>
              <w:pStyle w:val="TableTextEntries"/>
              <w:rPr>
                <w:i/>
              </w:rPr>
            </w:pPr>
            <w:r w:rsidRPr="005F7914">
              <w:rPr>
                <w:i/>
              </w:rPr>
              <w:t xml:space="preserve">Policing </w:t>
            </w:r>
            <w:r w:rsidR="005F64B1">
              <w:rPr>
                <w:i/>
              </w:rPr>
              <w:t>c</w:t>
            </w:r>
            <w:r w:rsidRPr="005F7914">
              <w:rPr>
                <w:i/>
              </w:rPr>
              <w:t xml:space="preserve">apacity and </w:t>
            </w:r>
            <w:r w:rsidR="005F64B1">
              <w:rPr>
                <w:i/>
              </w:rPr>
              <w:t>j</w:t>
            </w:r>
            <w:r w:rsidRPr="005F7914">
              <w:rPr>
                <w:i/>
              </w:rPr>
              <w:t>ustice</w:t>
            </w:r>
          </w:p>
        </w:tc>
        <w:tc>
          <w:tcPr>
            <w:tcW w:w="896" w:type="dxa"/>
            <w:shd w:val="clear" w:color="auto" w:fill="auto"/>
            <w:tcMar>
              <w:left w:w="57" w:type="dxa"/>
              <w:right w:w="57" w:type="dxa"/>
            </w:tcMar>
            <w:vAlign w:val="center"/>
          </w:tcPr>
          <w:p w:rsidR="001E2D82" w:rsidRPr="005F7914" w:rsidRDefault="001E2D82" w:rsidP="00AA7753">
            <w:pPr>
              <w:pStyle w:val="Ratingbullet"/>
            </w:pPr>
          </w:p>
        </w:tc>
        <w:tc>
          <w:tcPr>
            <w:tcW w:w="1316" w:type="dxa"/>
            <w:shd w:val="clear" w:color="auto" w:fill="auto"/>
            <w:tcMar>
              <w:left w:w="57" w:type="dxa"/>
              <w:right w:w="57" w:type="dxa"/>
            </w:tcMar>
            <w:vAlign w:val="center"/>
          </w:tcPr>
          <w:p w:rsidR="001E2D82" w:rsidRPr="005F7914" w:rsidRDefault="001E2D82" w:rsidP="00AA7753">
            <w:pPr>
              <w:pStyle w:val="TableTextEntries"/>
              <w:jc w:val="center"/>
              <w:rPr>
                <w:bCs/>
              </w:rPr>
            </w:pPr>
          </w:p>
        </w:tc>
      </w:tr>
      <w:tr w:rsidR="001E2D82" w:rsidRPr="005F7914" w:rsidTr="00AA7753">
        <w:trPr>
          <w:cantSplit/>
        </w:trPr>
        <w:tc>
          <w:tcPr>
            <w:tcW w:w="5725" w:type="dxa"/>
            <w:shd w:val="clear" w:color="auto" w:fill="auto"/>
            <w:tcMar>
              <w:left w:w="57" w:type="dxa"/>
              <w:right w:w="57" w:type="dxa"/>
            </w:tcMar>
            <w:vAlign w:val="center"/>
          </w:tcPr>
          <w:p w:rsidR="001E2D82" w:rsidRPr="005F7914" w:rsidRDefault="001E2D82" w:rsidP="00AA7753">
            <w:pPr>
              <w:pStyle w:val="TableTextEntries"/>
            </w:pPr>
            <w:r w:rsidRPr="005F7914">
              <w:t>Helping to build the foundations of a more effective and accountable police service</w:t>
            </w:r>
          </w:p>
        </w:tc>
        <w:tc>
          <w:tcPr>
            <w:tcW w:w="896" w:type="dxa"/>
            <w:shd w:val="clear" w:color="auto" w:fill="auto"/>
            <w:tcMar>
              <w:left w:w="57" w:type="dxa"/>
              <w:right w:w="57" w:type="dxa"/>
            </w:tcMar>
            <w:vAlign w:val="center"/>
          </w:tcPr>
          <w:p w:rsidR="001E2D82" w:rsidRPr="005F7914" w:rsidRDefault="009B1310" w:rsidP="00AA7753">
            <w:pPr>
              <w:pStyle w:val="Ratingbullet"/>
            </w:pPr>
            <w:r>
              <w:rPr>
                <w:noProof/>
                <w:lang w:val="en-US"/>
              </w:rPr>
              <mc:AlternateContent>
                <mc:Choice Requires="wps">
                  <w:drawing>
                    <wp:inline distT="0" distB="0" distL="0" distR="0" wp14:anchorId="6CE66307" wp14:editId="5D71F8A8">
                      <wp:extent cx="154305" cy="154305"/>
                      <wp:effectExtent l="0" t="0" r="0" b="0"/>
                      <wp:docPr id="306" name="Rectangle 4" descr="Gree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 cy="154305"/>
                              </a:xfrm>
                              <a:prstGeom prst="rect">
                                <a:avLst/>
                              </a:prstGeom>
                              <a:solidFill>
                                <a:srgbClr val="7DBE28"/>
                              </a:solidFill>
                              <a:ln>
                                <a:noFill/>
                              </a:ln>
                              <a:effectLst/>
                              <a:extLst/>
                            </wps:spPr>
                            <wps:bodyPr rot="0" vert="horz" wrap="square" lIns="91440" tIns="45720" rIns="91440" bIns="45720" anchor="t" anchorCtr="0" upright="1">
                              <a:noAutofit/>
                            </wps:bodyPr>
                          </wps:wsp>
                        </a:graphicData>
                      </a:graphic>
                    </wp:inline>
                  </w:drawing>
                </mc:Choice>
                <mc:Fallback>
                  <w:pict>
                    <v:rect id="Rectangle 4" o:spid="_x0000_s1026" alt="Green" style="width:12.1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" fillcolor="#7dbe28" stroked="f">
                      <w10:anchorlock/>
                    </v:rect>
                  </w:pict>
                </mc:Fallback>
              </mc:AlternateContent>
            </w:r>
          </w:p>
        </w:tc>
        <w:tc>
          <w:tcPr>
            <w:tcW w:w="1316" w:type="dxa"/>
            <w:shd w:val="clear" w:color="auto" w:fill="auto"/>
            <w:tcMar>
              <w:left w:w="57" w:type="dxa"/>
              <w:right w:w="57" w:type="dxa"/>
            </w:tcMar>
            <w:vAlign w:val="center"/>
          </w:tcPr>
          <w:p w:rsidR="001E2D82" w:rsidRPr="005F7914" w:rsidRDefault="001E2D82" w:rsidP="00AA7753">
            <w:pPr>
              <w:pStyle w:val="TableTextEntries"/>
              <w:jc w:val="center"/>
              <w:rPr>
                <w:bCs/>
              </w:rPr>
            </w:pPr>
            <w:r w:rsidRPr="005F7914">
              <w:rPr>
                <w:bCs/>
              </w:rPr>
              <w:fldChar w:fldCharType="begin"/>
            </w:r>
            <w:r w:rsidRPr="005F7914">
              <w:rPr>
                <w:bCs/>
              </w:rPr>
              <w:instrText xml:space="preserve"> AUTOTEXTLIST  \s "Table Text Entries"\t "Right click to choose a response" \* MERGEFORMAT </w:instrText>
            </w:r>
            <w:r w:rsidRPr="005F7914">
              <w:rPr>
                <w:bCs/>
              </w:rPr>
              <w:fldChar w:fldCharType="separate"/>
            </w:r>
            <w:r w:rsidRPr="005F7914">
              <w:rPr>
                <w:bCs/>
              </w:rPr>
              <w:t>Unchanged</w:t>
            </w:r>
            <w:r w:rsidRPr="005F7914">
              <w:rPr>
                <w:bCs/>
              </w:rPr>
              <w:fldChar w:fldCharType="end"/>
            </w:r>
          </w:p>
        </w:tc>
      </w:tr>
      <w:tr w:rsidR="001E2D82" w:rsidRPr="005F7914" w:rsidTr="00AA7753">
        <w:trPr>
          <w:cantSplit/>
        </w:trPr>
        <w:tc>
          <w:tcPr>
            <w:tcW w:w="5725" w:type="dxa"/>
            <w:tcBorders>
              <w:bottom w:val="single" w:sz="12" w:space="0" w:color="auto"/>
            </w:tcBorders>
            <w:shd w:val="clear" w:color="auto" w:fill="auto"/>
            <w:tcMar>
              <w:left w:w="57" w:type="dxa"/>
              <w:right w:w="57" w:type="dxa"/>
            </w:tcMar>
            <w:vAlign w:val="center"/>
          </w:tcPr>
          <w:p w:rsidR="001E2D82" w:rsidRPr="005F7914" w:rsidRDefault="001E2D82" w:rsidP="00AA7753">
            <w:pPr>
              <w:pStyle w:val="TableTextEntries"/>
            </w:pPr>
            <w:r w:rsidRPr="005F7914">
              <w:t>Achieve fair and timely access to justice for children, women, and men in Timor-Leste</w:t>
            </w:r>
          </w:p>
        </w:tc>
        <w:tc>
          <w:tcPr>
            <w:tcW w:w="896" w:type="dxa"/>
            <w:tcBorders>
              <w:bottom w:val="single" w:sz="12" w:space="0" w:color="auto"/>
            </w:tcBorders>
            <w:shd w:val="clear" w:color="auto" w:fill="auto"/>
            <w:tcMar>
              <w:left w:w="57" w:type="dxa"/>
              <w:right w:w="57" w:type="dxa"/>
            </w:tcMar>
            <w:vAlign w:val="center"/>
          </w:tcPr>
          <w:p w:rsidR="001E2D82" w:rsidRPr="005F7914" w:rsidRDefault="009B1310" w:rsidP="00AA7753">
            <w:pPr>
              <w:pStyle w:val="Ratingbullet"/>
            </w:pPr>
            <w:r>
              <w:rPr>
                <w:noProof/>
                <w:lang w:val="en-US"/>
              </w:rPr>
              <mc:AlternateContent>
                <mc:Choice Requires="wps">
                  <w:drawing>
                    <wp:inline distT="0" distB="0" distL="0" distR="0" wp14:anchorId="785D1B45" wp14:editId="26EC28E5">
                      <wp:extent cx="153670" cy="153670"/>
                      <wp:effectExtent l="0" t="0" r="0" b="0"/>
                      <wp:docPr id="305" name="Rectangle 15" descr="Ambe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670" cy="153670"/>
                              </a:xfrm>
                              <a:prstGeom prst="rect">
                                <a:avLst/>
                              </a:prstGeom>
                              <a:solidFill>
                                <a:srgbClr val="F57E1B"/>
                              </a:solidFill>
                              <a:ln>
                                <a:noFill/>
                              </a:ln>
                              <a:extLst/>
                            </wps:spPr>
                            <wps:bodyPr rot="0" vert="horz" wrap="square" lIns="91440" tIns="45720" rIns="91440" bIns="45720" anchor="t" anchorCtr="0" upright="1">
                              <a:noAutofit/>
                            </wps:bodyPr>
                          </wps:wsp>
                        </a:graphicData>
                      </a:graphic>
                    </wp:inline>
                  </w:drawing>
                </mc:Choice>
                <mc:Fallback>
                  <w:pict>
                    <v:rect id="Rectangle 15" o:spid="_x0000_s1026" alt="Amber" style="width:12.1pt;height:1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" fillcolor="#f57e1b" stroked="f">
                      <w10:anchorlock/>
                    </v:rect>
                  </w:pict>
                </mc:Fallback>
              </mc:AlternateContent>
            </w:r>
          </w:p>
        </w:tc>
        <w:tc>
          <w:tcPr>
            <w:tcW w:w="1316" w:type="dxa"/>
            <w:tcBorders>
              <w:bottom w:val="single" w:sz="12" w:space="0" w:color="auto"/>
            </w:tcBorders>
            <w:shd w:val="clear" w:color="auto" w:fill="auto"/>
            <w:tcMar>
              <w:left w:w="57" w:type="dxa"/>
              <w:right w:w="57" w:type="dxa"/>
            </w:tcMar>
            <w:vAlign w:val="center"/>
          </w:tcPr>
          <w:p w:rsidR="001E2D82" w:rsidRPr="005F7914" w:rsidRDefault="001E2D82" w:rsidP="00AA7753">
            <w:pPr>
              <w:pStyle w:val="TableTextEntries"/>
              <w:jc w:val="center"/>
              <w:rPr>
                <w:bCs/>
              </w:rPr>
            </w:pPr>
            <w:r w:rsidRPr="005F7914">
              <w:rPr>
                <w:bCs/>
              </w:rPr>
              <w:fldChar w:fldCharType="begin"/>
            </w:r>
            <w:r w:rsidRPr="005F7914">
              <w:rPr>
                <w:bCs/>
              </w:rPr>
              <w:instrText xml:space="preserve"> AUTOTEXTLIST  \s "Table Text Entries"\t "Right click to choose a response" \* MERGEFORMAT </w:instrText>
            </w:r>
            <w:r w:rsidRPr="005F7914">
              <w:rPr>
                <w:bCs/>
              </w:rPr>
              <w:fldChar w:fldCharType="separate"/>
            </w:r>
            <w:r w:rsidRPr="005F7914">
              <w:rPr>
                <w:bCs/>
              </w:rPr>
              <w:t>Not applicable</w:t>
            </w:r>
            <w:r w:rsidRPr="005F7914">
              <w:rPr>
                <w:bCs/>
              </w:rPr>
              <w:fldChar w:fldCharType="end"/>
            </w:r>
          </w:p>
        </w:tc>
      </w:tr>
    </w:tbl>
    <w:p w:rsidR="001E2D82" w:rsidRPr="005F7914" w:rsidRDefault="001E2D82" w:rsidP="001E2D82">
      <w:pPr>
        <w:pStyle w:val="Note"/>
        <w:keepNext/>
      </w:pPr>
      <w:r w:rsidRPr="005F7914">
        <w:t xml:space="preserve">Note: </w:t>
      </w:r>
    </w:p>
    <w:p w:rsidR="001E2D82" w:rsidRPr="005F7914" w:rsidRDefault="009B1310" w:rsidP="001E2D82">
      <w:pPr>
        <w:pStyle w:val="Note"/>
        <w:keepNext/>
        <w:spacing w:before="0"/>
      </w:pPr>
      <w:r>
        <w:rPr>
          <w:noProof/>
          <w:lang w:val="en-US"/>
        </w:rPr>
        <mc:AlternateContent>
          <mc:Choice Requires="wps">
            <w:drawing>
              <wp:inline distT="0" distB="0" distL="0" distR="0" wp14:anchorId="4CE9925C" wp14:editId="37A0C3F7">
                <wp:extent cx="154305" cy="90805"/>
                <wp:effectExtent l="0" t="0" r="0" b="4445"/>
                <wp:docPr id="310" name="Rectangle 10" descr="Gree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 cy="90805"/>
                        </a:xfrm>
                        <a:prstGeom prst="rect">
                          <a:avLst/>
                        </a:prstGeom>
                        <a:solidFill>
                          <a:srgbClr val="7DBE28"/>
                        </a:solidFill>
                        <a:ln>
                          <a:noFill/>
                        </a:ln>
                        <a:effectLst/>
                        <a:extLst/>
                      </wps:spPr>
                      <wps:bodyPr rot="0" vert="horz" wrap="square" lIns="91440" tIns="45720" rIns="91440" bIns="45720" anchor="t" anchorCtr="0" upright="1">
                        <a:noAutofit/>
                      </wps:bodyPr>
                    </wps:wsp>
                  </a:graphicData>
                </a:graphic>
              </wp:inline>
            </w:drawing>
          </mc:Choice>
          <mc:Fallback>
            <w:pict>
              <v:rect id="Rectangle 10" o:spid="_x0000_s1026" alt="Green" style="width:12.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" fillcolor="#7dbe28" stroked="f">
                <w10:anchorlock/>
              </v:rect>
            </w:pict>
          </mc:Fallback>
        </mc:AlternateContent>
      </w:r>
      <w:r w:rsidR="001E2D82" w:rsidRPr="005F7914">
        <w:rPr>
          <w:rFonts w:ascii="Arial Unicode MS" w:eastAsia="Arial Unicode MS" w:hAnsi="Arial Unicode MS" w:cs="Arial Unicode MS"/>
        </w:rPr>
        <w:t> </w:t>
      </w:r>
      <w:r w:rsidR="001E2D82" w:rsidRPr="005F7914">
        <w:t>The objective will be fully achieved within the timeframe of the strategy.</w:t>
      </w:r>
    </w:p>
    <w:p w:rsidR="001E2D82" w:rsidRPr="005F7914" w:rsidRDefault="009B1310" w:rsidP="001E2D82">
      <w:pPr>
        <w:pStyle w:val="Note"/>
        <w:keepNext/>
        <w:spacing w:before="0"/>
      </w:pPr>
      <w:r>
        <w:rPr>
          <w:noProof/>
          <w:lang w:val="en-US"/>
        </w:rPr>
        <mc:AlternateContent>
          <mc:Choice Requires="wps">
            <w:drawing>
              <wp:inline distT="0" distB="0" distL="0" distR="0" wp14:anchorId="2D8AADD4" wp14:editId="3C3B625A">
                <wp:extent cx="153670" cy="98425"/>
                <wp:effectExtent l="0" t="0" r="0" b="0"/>
                <wp:docPr id="309" name="Rectangle 12" descr="Ambe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670" cy="98425"/>
                        </a:xfrm>
                        <a:prstGeom prst="rect">
                          <a:avLst/>
                        </a:prstGeom>
                        <a:solidFill>
                          <a:srgbClr val="F57E1B"/>
                        </a:solidFill>
                        <a:ln>
                          <a:noFill/>
                        </a:ln>
                        <a:extLst/>
                      </wps:spPr>
                      <wps:bodyPr rot="0" vert="horz" wrap="square" lIns="91440" tIns="45720" rIns="91440" bIns="45720" anchor="t" anchorCtr="0" upright="1">
                        <a:noAutofit/>
                      </wps:bodyPr>
                    </wps:wsp>
                  </a:graphicData>
                </a:graphic>
              </wp:inline>
            </w:drawing>
          </mc:Choice>
          <mc:Fallback>
            <w:pict>
              <v:rect id="Rectangle 12" o:spid="_x0000_s1026" alt="Amber" style="width:12.1pt;height: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" fillcolor="#f57e1b" stroked="f">
                <w10:anchorlock/>
              </v:rect>
            </w:pict>
          </mc:Fallback>
        </mc:AlternateContent>
      </w:r>
      <w:r w:rsidR="001E2D82" w:rsidRPr="005F7914">
        <w:rPr>
          <w:rFonts w:ascii="Arial Unicode MS" w:eastAsia="Arial Unicode MS" w:hAnsi="Arial Unicode MS" w:cs="Arial Unicode MS"/>
        </w:rPr>
        <w:t> </w:t>
      </w:r>
      <w:r w:rsidR="001E2D82" w:rsidRPr="005F7914">
        <w:t>The objective will be partly achieved within the timeframe of the strategy.</w:t>
      </w:r>
    </w:p>
    <w:p w:rsidR="001E2D82" w:rsidRPr="005F7914" w:rsidRDefault="009B1310" w:rsidP="001E2D82">
      <w:pPr>
        <w:pStyle w:val="Note"/>
        <w:spacing w:before="0"/>
      </w:pPr>
      <w:r>
        <w:rPr>
          <w:noProof/>
          <w:lang w:val="en-US"/>
        </w:rPr>
        <mc:AlternateContent>
          <mc:Choice Requires="wps">
            <w:drawing>
              <wp:inline distT="0" distB="0" distL="0" distR="0" wp14:anchorId="4D38E359" wp14:editId="1A76A035">
                <wp:extent cx="153670" cy="90805"/>
                <wp:effectExtent l="0" t="0" r="0" b="4445"/>
                <wp:docPr id="1204" name="Rectangle 14" descr="Red"/>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670" cy="90805"/>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4" o:spid="_x0000_s1026" alt="Red" style="width:12.1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" fillcolor="red" stroked="f">
                <w10:anchorlock/>
              </v:rect>
            </w:pict>
          </mc:Fallback>
        </mc:AlternateContent>
      </w:r>
      <w:r w:rsidR="001E2D82" w:rsidRPr="005F7914">
        <w:rPr>
          <w:rFonts w:ascii="Arial Unicode MS" w:eastAsia="Arial Unicode MS" w:hAnsi="Arial Unicode MS" w:cs="Arial Unicode MS"/>
        </w:rPr>
        <w:t> </w:t>
      </w:r>
      <w:r w:rsidR="001E2D82" w:rsidRPr="005F7914">
        <w:t>The objective is unlikely to be achieved within the timeframe of the strategy.</w:t>
      </w:r>
    </w:p>
    <w:p w:rsidR="009D55F8" w:rsidRPr="005F7914" w:rsidRDefault="009D55F8" w:rsidP="001E163C">
      <w:pPr>
        <w:pStyle w:val="Heading2"/>
        <w:keepNext/>
        <w:spacing w:before="480"/>
        <w:ind w:left="0"/>
      </w:pPr>
      <w:bookmarkStart w:id="5" w:name="_Toc360973001"/>
      <w:r w:rsidRPr="005F7914">
        <w:t xml:space="preserve">Sector: </w:t>
      </w:r>
      <w:r w:rsidRPr="005F64B1">
        <w:t>Health</w:t>
      </w:r>
      <w:bookmarkEnd w:id="5"/>
    </w:p>
    <w:p w:rsidR="008153D9" w:rsidRPr="008153D9" w:rsidRDefault="009D55F8" w:rsidP="008153D9">
      <w:pPr>
        <w:pStyle w:val="Heading3"/>
      </w:pPr>
      <w:bookmarkStart w:id="6" w:name="_Toc360973002"/>
      <w:r w:rsidRPr="005F7914">
        <w:t xml:space="preserve">Sector </w:t>
      </w:r>
      <w:r w:rsidR="005F64B1">
        <w:t>c</w:t>
      </w:r>
      <w:r w:rsidRPr="005F7914">
        <w:t>ontext</w:t>
      </w:r>
      <w:bookmarkEnd w:id="6"/>
      <w:r w:rsidRPr="005F7914">
        <w:t xml:space="preserve"> </w:t>
      </w:r>
      <w:r w:rsidR="008153D9">
        <w:br w:type="page"/>
      </w:r>
    </w:p>
    <w:p w:rsidR="009D55F8" w:rsidRPr="005F7914" w:rsidRDefault="009D55F8" w:rsidP="009D55F8">
      <w:pPr>
        <w:pStyle w:val="BodyText"/>
      </w:pPr>
      <w:r w:rsidRPr="005F7914">
        <w:lastRenderedPageBreak/>
        <w:t xml:space="preserve">In the </w:t>
      </w:r>
      <w:r w:rsidR="00320268">
        <w:t>10</w:t>
      </w:r>
      <w:r w:rsidRPr="005F7914">
        <w:t xml:space="preserve"> years following </w:t>
      </w:r>
      <w:r w:rsidR="00434D4D">
        <w:t>I</w:t>
      </w:r>
      <w:r w:rsidRPr="005F7914">
        <w:t>ndependence, Timor-Leste has made good progress towards establishing a functioning health system</w:t>
      </w:r>
      <w:r w:rsidR="00BD0B39">
        <w:t xml:space="preserve">. </w:t>
      </w:r>
      <w:r w:rsidRPr="005F7914">
        <w:t>It has a basic health workforce, physical infrastructure and a pharmaceutical supply system</w:t>
      </w:r>
      <w:r w:rsidR="00BD0B39">
        <w:t xml:space="preserve">. </w:t>
      </w:r>
      <w:r w:rsidRPr="005F7914">
        <w:t>There is reliable evidence that some health indicators are improving, particularly child and neonatal mortality rates due, for example, to an increase in the proportion of births attended by skilled health workers and immunisation rates.</w:t>
      </w:r>
      <w:r w:rsidRPr="005F7914">
        <w:rPr>
          <w:rStyle w:val="FootnoteReference"/>
        </w:rPr>
        <w:footnoteReference w:id="15"/>
      </w:r>
      <w:r w:rsidRPr="005F7914">
        <w:t xml:space="preserve"> Trends in providing basic health service delivery for women are generally positive</w:t>
      </w:r>
      <w:r w:rsidR="00BD0B39">
        <w:t xml:space="preserve">. </w:t>
      </w:r>
      <w:r w:rsidRPr="005F7914">
        <w:t>For example, in 2003 only 13.9</w:t>
      </w:r>
      <w:r>
        <w:t xml:space="preserve"> per cent</w:t>
      </w:r>
      <w:r w:rsidRPr="005F7914">
        <w:t xml:space="preserve"> of women received four or more antenatal check ups; by the end of 2009 this was 55</w:t>
      </w:r>
      <w:r>
        <w:t xml:space="preserve"> per cent</w:t>
      </w:r>
      <w:r w:rsidRPr="005F7914">
        <w:t>.</w:t>
      </w:r>
      <w:r w:rsidRPr="005F7914">
        <w:rPr>
          <w:rStyle w:val="FootnoteReference"/>
        </w:rPr>
        <w:footnoteReference w:id="16"/>
      </w:r>
    </w:p>
    <w:p w:rsidR="009D55F8" w:rsidRDefault="009D55F8" w:rsidP="009D55F8">
      <w:pPr>
        <w:pStyle w:val="BodyText"/>
      </w:pPr>
      <w:r w:rsidRPr="005F7914">
        <w:t>Despite significant gains in the sector, health outcomes remain poor</w:t>
      </w:r>
      <w:r w:rsidR="00BD0B39">
        <w:t xml:space="preserve">. </w:t>
      </w:r>
      <w:r w:rsidRPr="005F7914">
        <w:t>Timorese still continue to die in high numbers from common and preventable diseases, including malaria and respiratory illness. In 2009 life expectancy at birth was around 62 years.</w:t>
      </w:r>
      <w:r w:rsidRPr="005F7914">
        <w:rPr>
          <w:rStyle w:val="FootnoteReference"/>
        </w:rPr>
        <w:footnoteReference w:id="17"/>
      </w:r>
      <w:r w:rsidRPr="005F7914">
        <w:rPr>
          <w:rStyle w:val="FootnoteReference"/>
        </w:rPr>
        <w:t xml:space="preserve"> </w:t>
      </w:r>
      <w:r w:rsidRPr="005F7914">
        <w:t>The country is unlikely to meet any of its health</w:t>
      </w:r>
      <w:r w:rsidR="00434D4D">
        <w:t>-</w:t>
      </w:r>
      <w:r w:rsidRPr="005F7914">
        <w:t>related MDGs by 2015, and women and children are disproportionately affected by poor health</w:t>
      </w:r>
      <w:r w:rsidR="00BD0B39">
        <w:t xml:space="preserve">. </w:t>
      </w:r>
      <w:r w:rsidRPr="005F7914">
        <w:t xml:space="preserve">It is estimated that Timor-Leste's maternal mortality rate is still somewhere between 440 and 557 deaths </w:t>
      </w:r>
      <w:r w:rsidR="00434D4D">
        <w:t xml:space="preserve">per </w:t>
      </w:r>
      <w:r w:rsidRPr="005F7914">
        <w:t>100</w:t>
      </w:r>
      <w:r w:rsidR="0064058D">
        <w:t> </w:t>
      </w:r>
      <w:r w:rsidRPr="005F7914">
        <w:t>000 live births, while the infant mortality is around 44 deaths per 1000 live births.</w:t>
      </w:r>
      <w:r w:rsidRPr="005F7914">
        <w:rPr>
          <w:rStyle w:val="FootnoteReference"/>
          <w:rFonts w:ascii="Arial" w:hAnsi="Arial" w:cs="Arial"/>
        </w:rPr>
        <w:footnoteReference w:id="18"/>
      </w:r>
      <w:r w:rsidRPr="005F7914">
        <w:rPr>
          <w:rFonts w:ascii="Arial" w:hAnsi="Arial" w:cs="Arial"/>
        </w:rPr>
        <w:t xml:space="preserve"> </w:t>
      </w:r>
      <w:r w:rsidRPr="005F7914">
        <w:t xml:space="preserve">Adequate nutrition also remains a serious problem, with rates of stunting </w:t>
      </w:r>
      <w:r w:rsidR="00434D4D">
        <w:t xml:space="preserve">for children under the age of five </w:t>
      </w:r>
      <w:r w:rsidRPr="005F7914">
        <w:t>at 58</w:t>
      </w:r>
      <w:r>
        <w:t xml:space="preserve"> per cent</w:t>
      </w:r>
      <w:r w:rsidRPr="005F7914">
        <w:t xml:space="preserve"> and wasting at 19</w:t>
      </w:r>
      <w:r>
        <w:t xml:space="preserve"> per cent</w:t>
      </w:r>
      <w:r w:rsidRPr="005F7914">
        <w:t xml:space="preserve"> in 2009.</w:t>
      </w:r>
      <w:r w:rsidRPr="00DE666D">
        <w:rPr>
          <w:rStyle w:val="FootnoteReference"/>
          <w:rFonts w:ascii="Arial" w:hAnsi="Arial"/>
        </w:rPr>
        <w:footnoteReference w:id="19"/>
      </w:r>
      <w:r w:rsidRPr="005F7914">
        <w:t xml:space="preserve"> These figures represent an increase over the past six</w:t>
      </w:r>
      <w:r w:rsidR="00EC7B76">
        <w:t> </w:t>
      </w:r>
      <w:r w:rsidRPr="005F7914">
        <w:t>years, meaning that the MDG of a 50 per</w:t>
      </w:r>
      <w:r w:rsidR="00320268">
        <w:t xml:space="preserve"> </w:t>
      </w:r>
      <w:r w:rsidRPr="005F7914">
        <w:t xml:space="preserve">cent reduction in the prevalence of underweight children under </w:t>
      </w:r>
      <w:r w:rsidR="00434D4D">
        <w:t>five</w:t>
      </w:r>
      <w:r w:rsidRPr="005F7914">
        <w:t xml:space="preserve"> years of age by 2015 will be hard to achieve.</w:t>
      </w:r>
    </w:p>
    <w:p w:rsidR="009D55F8" w:rsidRPr="005F7914" w:rsidRDefault="009D55F8" w:rsidP="009D55F8">
      <w:pPr>
        <w:pStyle w:val="BodyText"/>
      </w:pPr>
      <w:r w:rsidRPr="005F7914">
        <w:t>Compounding the problem are poor literacy rates and hygiene practices</w:t>
      </w:r>
      <w:r w:rsidR="00434D4D">
        <w:t>,</w:t>
      </w:r>
      <w:r w:rsidRPr="005F7914">
        <w:t xml:space="preserve"> along with poor infrastructure, including lack of clean water supply and basic sanitation facilities, especially outside Dili</w:t>
      </w:r>
      <w:r w:rsidR="00BD0B39">
        <w:t xml:space="preserve">. </w:t>
      </w:r>
      <w:r w:rsidRPr="005F7914">
        <w:t>While a network of primary and some specialist health</w:t>
      </w:r>
      <w:r w:rsidR="00434D4D">
        <w:t>-</w:t>
      </w:r>
      <w:r w:rsidRPr="005F7914">
        <w:t>care facilities exists, the rural population still has difficulty accessing care when they need it due</w:t>
      </w:r>
      <w:r w:rsidR="00434D4D">
        <w:t>,</w:t>
      </w:r>
      <w:r w:rsidRPr="005F7914">
        <w:t xml:space="preserve"> in large part</w:t>
      </w:r>
      <w:r w:rsidR="00434D4D">
        <w:t>,</w:t>
      </w:r>
      <w:r w:rsidRPr="005F7914">
        <w:t xml:space="preserve"> to distance and the poor quality of rural roads</w:t>
      </w:r>
      <w:r w:rsidR="00BD0B39">
        <w:t xml:space="preserve">. </w:t>
      </w:r>
      <w:r w:rsidRPr="005F7914">
        <w:t>Available services are also under-</w:t>
      </w:r>
      <w:r w:rsidR="00434D4D">
        <w:t>used</w:t>
      </w:r>
      <w:r w:rsidR="00434D4D" w:rsidRPr="005F7914">
        <w:t xml:space="preserve"> </w:t>
      </w:r>
      <w:r w:rsidRPr="005F7914">
        <w:t>for a range of social and cultural reasons</w:t>
      </w:r>
      <w:r w:rsidR="00BD0B39">
        <w:t xml:space="preserve">. </w:t>
      </w:r>
    </w:p>
    <w:p w:rsidR="009D55F8" w:rsidRPr="001E163C" w:rsidRDefault="009D55F8" w:rsidP="001E163C">
      <w:pPr>
        <w:pStyle w:val="H3"/>
      </w:pPr>
      <w:r w:rsidRPr="001E163C">
        <w:t xml:space="preserve">Shared </w:t>
      </w:r>
      <w:r w:rsidR="005F64B1" w:rsidRPr="001E163C">
        <w:t>p</w:t>
      </w:r>
      <w:r w:rsidRPr="001E163C">
        <w:t>rogress</w:t>
      </w:r>
    </w:p>
    <w:p w:rsidR="009D55F8" w:rsidRPr="005F7914" w:rsidRDefault="009D55F8" w:rsidP="009D55F8">
      <w:pPr>
        <w:pStyle w:val="BodyText"/>
      </w:pPr>
      <w:r w:rsidRPr="005F7914">
        <w:t>The health care system in Timor-Leste is funded by the GoTL, a range of development partners and the private sector</w:t>
      </w:r>
      <w:r w:rsidR="00BD0B39">
        <w:t xml:space="preserve">. </w:t>
      </w:r>
      <w:r w:rsidRPr="005F7914">
        <w:t xml:space="preserve">The Government’s vision is that all Timorese </w:t>
      </w:r>
      <w:r w:rsidR="00434D4D">
        <w:t xml:space="preserve">will </w:t>
      </w:r>
      <w:r w:rsidRPr="005F7914">
        <w:t>have access to primary health care by 2030</w:t>
      </w:r>
      <w:r w:rsidR="00BD0B39">
        <w:t xml:space="preserve">. </w:t>
      </w:r>
      <w:r w:rsidRPr="005F7914">
        <w:t>The Government is developing a new National Health Sector Strategic Plan 2011</w:t>
      </w:r>
      <w:r w:rsidR="0064058D">
        <w:t>–</w:t>
      </w:r>
      <w:r w:rsidRPr="005F7914">
        <w:t xml:space="preserve">30 </w:t>
      </w:r>
      <w:r w:rsidR="009A42E2">
        <w:t xml:space="preserve">(NHSSP) </w:t>
      </w:r>
      <w:r w:rsidRPr="005F7914">
        <w:t>(due for release in the second half of 2011) to replace the existing Health Sector Strategic Plan 2008</w:t>
      </w:r>
      <w:r w:rsidR="0064058D">
        <w:t>–1</w:t>
      </w:r>
      <w:r w:rsidRPr="005F7914">
        <w:t>2 (</w:t>
      </w:r>
      <w:r w:rsidRPr="00A85F7E">
        <w:t>HSSP</w:t>
      </w:r>
      <w:r w:rsidRPr="005F7914">
        <w:t>), which focused in the short term on achieving the MDGs. The new NHSP outlines national health priorities and strategies</w:t>
      </w:r>
      <w:r w:rsidR="00434D4D">
        <w:t>,</w:t>
      </w:r>
      <w:r w:rsidRPr="005F7914">
        <w:t xml:space="preserve"> including the need to strengthen collaboration between the Ministry of Health and its development partners within the spirit of the Paris Declaration </w:t>
      </w:r>
      <w:r w:rsidR="00434D4D">
        <w:t>on Aid Effectiveness.</w:t>
      </w:r>
    </w:p>
    <w:p w:rsidR="008153D9" w:rsidRDefault="009D55F8" w:rsidP="009D55F8">
      <w:pPr>
        <w:pStyle w:val="BodyText"/>
      </w:pPr>
      <w:smartTag w:uri="urn:schemas-microsoft-com:office:smarttags" w:element="place">
        <w:smartTag w:uri="urn:schemas-microsoft-com:office:smarttags" w:element="country-region">
          <w:r w:rsidRPr="005F7914">
            <w:t>Australia</w:t>
          </w:r>
        </w:smartTag>
      </w:smartTag>
      <w:r w:rsidRPr="005F7914">
        <w:t xml:space="preserve"> is the largest donor in the health sector</w:t>
      </w:r>
      <w:r w:rsidR="00BD0B39">
        <w:t xml:space="preserve">. </w:t>
      </w:r>
      <w:r w:rsidRPr="005F7914">
        <w:t>Other key players include the W</w:t>
      </w:r>
      <w:r w:rsidR="00434D4D">
        <w:t xml:space="preserve">orld </w:t>
      </w:r>
      <w:r w:rsidRPr="005F7914">
        <w:t>B</w:t>
      </w:r>
      <w:r w:rsidR="00434D4D">
        <w:t>ank</w:t>
      </w:r>
      <w:r w:rsidRPr="005F7914">
        <w:t xml:space="preserve">, which manages a multi-donor trust fund, through which AusAID provides support for the HSSP, together with the Cuban Medical Brigade, </w:t>
      </w:r>
      <w:r w:rsidR="00A85F7E" w:rsidRPr="00A85F7E">
        <w:t xml:space="preserve">United States Agency for International </w:t>
      </w:r>
    </w:p>
    <w:p w:rsidR="008153D9" w:rsidRDefault="008153D9" w:rsidP="008153D9">
      <w:pPr>
        <w:pStyle w:val="Subtitle"/>
        <w:rPr>
          <w:rFonts w:ascii="Georgia" w:hAnsi="Georgia"/>
          <w:sz w:val="19"/>
          <w:szCs w:val="19"/>
        </w:rPr>
      </w:pPr>
      <w:r>
        <w:br w:type="page"/>
      </w:r>
    </w:p>
    <w:p w:rsidR="009D55F8" w:rsidRPr="005F7914" w:rsidRDefault="00A85F7E" w:rsidP="009D55F8">
      <w:pPr>
        <w:pStyle w:val="BodyText"/>
      </w:pPr>
      <w:r w:rsidRPr="00A85F7E">
        <w:lastRenderedPageBreak/>
        <w:t xml:space="preserve">Development </w:t>
      </w:r>
      <w:r w:rsidR="009D55F8" w:rsidRPr="005F7914">
        <w:t xml:space="preserve">and </w:t>
      </w:r>
      <w:r w:rsidRPr="00A85F7E">
        <w:t>non-government organisation</w:t>
      </w:r>
      <w:r>
        <w:t>s</w:t>
      </w:r>
      <w:r w:rsidRPr="00A85F7E">
        <w:t xml:space="preserve"> </w:t>
      </w:r>
      <w:r>
        <w:t>(</w:t>
      </w:r>
      <w:r w:rsidR="009D55F8" w:rsidRPr="00A85F7E">
        <w:t>NGO</w:t>
      </w:r>
      <w:r w:rsidR="009D55F8" w:rsidRPr="005F7914">
        <w:t>s</w:t>
      </w:r>
      <w:r>
        <w:t>)</w:t>
      </w:r>
      <w:r w:rsidR="00BD0B39">
        <w:t xml:space="preserve">. </w:t>
      </w:r>
      <w:r w:rsidR="009D55F8" w:rsidRPr="005F7914">
        <w:t xml:space="preserve">Most development partners operating outside the </w:t>
      </w:r>
      <w:r w:rsidR="00352900">
        <w:t>trust fund</w:t>
      </w:r>
      <w:r w:rsidR="009D55F8" w:rsidRPr="005F7914">
        <w:t xml:space="preserve"> are supporting projects and activities that also contribute to the HSSP</w:t>
      </w:r>
      <w:r w:rsidR="00BD0B39">
        <w:t xml:space="preserve">. </w:t>
      </w:r>
    </w:p>
    <w:p w:rsidR="009D55F8" w:rsidRPr="005F7914" w:rsidRDefault="009D55F8" w:rsidP="009D55F8">
      <w:pPr>
        <w:pStyle w:val="BodyText"/>
      </w:pPr>
      <w:r w:rsidRPr="005F7914">
        <w:t xml:space="preserve">Progress in the sector would benefit from stronger </w:t>
      </w:r>
      <w:r w:rsidR="00434D4D">
        <w:t>g</w:t>
      </w:r>
      <w:r w:rsidRPr="005F7914">
        <w:t>overnment leadership, particularly on the issue of donor coordination, together with reduced fragmentation and a real commitment from all players to achieving results</w:t>
      </w:r>
      <w:r w:rsidR="00BD0B39">
        <w:t xml:space="preserve">. </w:t>
      </w:r>
      <w:r w:rsidRPr="005F7914">
        <w:t>The achievement of high</w:t>
      </w:r>
      <w:r w:rsidR="00434D4D">
        <w:t>-</w:t>
      </w:r>
      <w:r w:rsidRPr="005F7914">
        <w:t>quality health outcomes across Timor-Leste has been hampered by the proliferation and poor coordination of donor activities with well over 100 donor-funded</w:t>
      </w:r>
      <w:r w:rsidR="00434D4D">
        <w:t>,</w:t>
      </w:r>
      <w:r w:rsidRPr="005F7914">
        <w:t xml:space="preserve"> health-related projects being delivered through the M</w:t>
      </w:r>
      <w:r w:rsidR="00352900">
        <w:t>inistry of Health</w:t>
      </w:r>
      <w:r w:rsidRPr="005F7914">
        <w:t xml:space="preserve"> and NGOs</w:t>
      </w:r>
      <w:r w:rsidR="00BD0B39">
        <w:t xml:space="preserve">. </w:t>
      </w:r>
    </w:p>
    <w:p w:rsidR="009D55F8" w:rsidRPr="005F7914" w:rsidRDefault="009D55F8" w:rsidP="009D55F8">
      <w:pPr>
        <w:pStyle w:val="BodyText"/>
      </w:pPr>
      <w:r w:rsidRPr="005F7914">
        <w:t xml:space="preserve"> Australia’s investment in the sector has been significant</w:t>
      </w:r>
      <w:r w:rsidR="00434D4D">
        <w:t>. We</w:t>
      </w:r>
      <w:r w:rsidRPr="005F7914">
        <w:t xml:space="preserve"> invested around </w:t>
      </w:r>
      <w:r w:rsidR="00993AC3">
        <w:t>$</w:t>
      </w:r>
      <w:r w:rsidRPr="005F7914">
        <w:t>10.9</w:t>
      </w:r>
      <w:r w:rsidR="00434D4D">
        <w:t> </w:t>
      </w:r>
      <w:r w:rsidRPr="005F7914">
        <w:t>million in the sector in 2009</w:t>
      </w:r>
      <w:r w:rsidR="00993AC3">
        <w:t>–</w:t>
      </w:r>
      <w:r w:rsidRPr="005F7914">
        <w:t>10, which constituted approximately 16</w:t>
      </w:r>
      <w:r>
        <w:t xml:space="preserve"> per cent</w:t>
      </w:r>
      <w:r w:rsidRPr="005F7914">
        <w:t xml:space="preserve"> of donor funding and 9</w:t>
      </w:r>
      <w:r w:rsidR="00EC7B76">
        <w:t> </w:t>
      </w:r>
      <w:r>
        <w:t>per cent</w:t>
      </w:r>
      <w:r w:rsidRPr="005F7914">
        <w:t xml:space="preserve"> of total health spending in the country</w:t>
      </w:r>
      <w:r w:rsidR="0095115F">
        <w:t xml:space="preserve">, </w:t>
      </w:r>
      <w:r w:rsidRPr="005F7914">
        <w:t>but our support has been fragmented</w:t>
      </w:r>
      <w:r w:rsidR="00BD0B39">
        <w:t xml:space="preserve">. </w:t>
      </w:r>
      <w:r w:rsidRPr="005F7914">
        <w:t xml:space="preserve">We have worked principally through the </w:t>
      </w:r>
      <w:r w:rsidR="00352900">
        <w:t>multi-donor trust fund</w:t>
      </w:r>
      <w:r w:rsidRPr="005F7914">
        <w:t>, but also delivered bilateral projects supporting specialist surgical services, the World Food Program</w:t>
      </w:r>
      <w:r w:rsidR="0095115F">
        <w:t>me</w:t>
      </w:r>
      <w:r w:rsidRPr="005F7914">
        <w:t>’s maternal and child health feeding program and through selected NGOs, especially for family planning activities</w:t>
      </w:r>
      <w:r w:rsidR="00BD0B39">
        <w:t xml:space="preserve">. </w:t>
      </w:r>
      <w:r w:rsidRPr="005F7914">
        <w:t xml:space="preserve">But we have arguably acted as a financier of activities (especially through the </w:t>
      </w:r>
      <w:r w:rsidR="00352900">
        <w:t>multi-donor trust fund</w:t>
      </w:r>
      <w:r w:rsidRPr="005F7914">
        <w:t xml:space="preserve">) rather than an active development partner, and we do not have the influence in the sector that </w:t>
      </w:r>
      <w:r w:rsidR="000E1A2E">
        <w:t>sh</w:t>
      </w:r>
      <w:r w:rsidRPr="005F7914">
        <w:t>ould reasonably be expected from our investment</w:t>
      </w:r>
      <w:r w:rsidR="00BD0B39">
        <w:t xml:space="preserve">. </w:t>
      </w:r>
    </w:p>
    <w:p w:rsidR="009D55F8" w:rsidRPr="005F7914" w:rsidRDefault="009D55F8" w:rsidP="009D55F8">
      <w:pPr>
        <w:pStyle w:val="BodyText"/>
        <w:rPr>
          <w:i/>
        </w:rPr>
      </w:pPr>
      <w:r w:rsidRPr="005F7914">
        <w:rPr>
          <w:i/>
        </w:rPr>
        <w:t xml:space="preserve">Adequate and predictable national and district </w:t>
      </w:r>
      <w:r w:rsidRPr="005F7914">
        <w:rPr>
          <w:b/>
          <w:i/>
        </w:rPr>
        <w:t>operational budgets</w:t>
      </w:r>
      <w:r w:rsidRPr="005F7914">
        <w:rPr>
          <w:i/>
        </w:rPr>
        <w:t xml:space="preserve"> for health </w:t>
      </w:r>
    </w:p>
    <w:p w:rsidR="009D55F8" w:rsidRPr="005F7914" w:rsidRDefault="009D55F8" w:rsidP="009D55F8">
      <w:pPr>
        <w:pStyle w:val="BodyText"/>
      </w:pPr>
      <w:r w:rsidRPr="005F7914">
        <w:t xml:space="preserve">National and district </w:t>
      </w:r>
      <w:r w:rsidRPr="005F7914">
        <w:rPr>
          <w:b/>
        </w:rPr>
        <w:t>health budgets</w:t>
      </w:r>
      <w:r w:rsidRPr="005F7914">
        <w:t xml:space="preserve"> are neither adequate nor predictable. Encouragingly, actual health budget execution has increased, however Timor-Leste’s annual health budget allocation remained steady at US</w:t>
      </w:r>
      <w:r w:rsidR="00993AC3">
        <w:t>$</w:t>
      </w:r>
      <w:r w:rsidRPr="005F7914">
        <w:t>35 million for the last few years, and declined as a proportion of the</w:t>
      </w:r>
      <w:r w:rsidR="00A86EEE">
        <w:t xml:space="preserve"> country’s</w:t>
      </w:r>
      <w:r w:rsidRPr="005F7914">
        <w:t xml:space="preserve"> overall budget, from 10.8 per cent in 2005</w:t>
      </w:r>
      <w:r w:rsidR="00993AC3">
        <w:t>–0</w:t>
      </w:r>
      <w:r w:rsidRPr="005F7914">
        <w:t>6 to 5.6 per cent in 2010.</w:t>
      </w:r>
      <w:r w:rsidRPr="005F7914">
        <w:rPr>
          <w:rStyle w:val="FootnoteReference"/>
        </w:rPr>
        <w:footnoteReference w:id="20"/>
      </w:r>
      <w:r w:rsidRPr="005F7914">
        <w:t xml:space="preserve">  The reasons behind this decline are not clear. It is of concern that salary expenditure is increasing at the expense of goods and services funding. Increased salary expenditure is also generally difficult to draw back from later. Compounding this is the need to add </w:t>
      </w:r>
      <w:r w:rsidR="00BD0B39">
        <w:t>more than</w:t>
      </w:r>
      <w:r w:rsidRPr="005F7914">
        <w:t xml:space="preserve"> 700 trainee doctors to the payroll, and increasing demand for pharmaceutical and family planning commodities. </w:t>
      </w:r>
    </w:p>
    <w:p w:rsidR="009D55F8" w:rsidRPr="005F7914" w:rsidRDefault="009D55F8" w:rsidP="009D55F8">
      <w:pPr>
        <w:pStyle w:val="BodyText"/>
      </w:pPr>
      <w:r w:rsidRPr="005F7914">
        <w:t>Australia continues to support the MoH</w:t>
      </w:r>
      <w:r w:rsidR="00A86EEE">
        <w:t>’</w:t>
      </w:r>
      <w:r w:rsidRPr="005F7914">
        <w:t xml:space="preserve">s Planning </w:t>
      </w:r>
      <w:r w:rsidR="00BD0B39">
        <w:t>and</w:t>
      </w:r>
      <w:r w:rsidRPr="005F7914">
        <w:t xml:space="preserve"> Finance Directorate to prepare annual budgets and plan for the equitable distribution and growth of the workforce. We also commissioned analysis in 2010 of the bottlenecks affecting service delivery. This work identified issues such as lack of funding and autonomy at district level, an overly-centralised purchasing system, and slow and confused acquittal procedures.</w:t>
      </w:r>
      <w:r w:rsidRPr="005F7914">
        <w:rPr>
          <w:rStyle w:val="FootnoteReference"/>
        </w:rPr>
        <w:footnoteReference w:id="21"/>
      </w:r>
      <w:r w:rsidRPr="005F7914">
        <w:t xml:space="preserve"> It has led to development partners working with </w:t>
      </w:r>
      <w:r w:rsidR="00A86EEE">
        <w:t xml:space="preserve">the </w:t>
      </w:r>
      <w:r w:rsidRPr="005F7914">
        <w:t>Government to simplify acquittal and disbursement systems to increase funds available for health service delivery. The M</w:t>
      </w:r>
      <w:r w:rsidR="00352900">
        <w:t>inistry of Health</w:t>
      </w:r>
      <w:r w:rsidRPr="005F7914">
        <w:t xml:space="preserve"> and </w:t>
      </w:r>
      <w:r w:rsidRPr="00A85F7E">
        <w:t>MoF</w:t>
      </w:r>
      <w:r w:rsidRPr="005F7914">
        <w:t xml:space="preserve"> are working together to improve</w:t>
      </w:r>
      <w:r w:rsidR="00A86EEE">
        <w:t xml:space="preserve"> the </w:t>
      </w:r>
      <w:r w:rsidR="006F35D5">
        <w:t>PFM</w:t>
      </w:r>
      <w:r w:rsidRPr="005F7914">
        <w:t>, through plans for annual reforms in financial management systems to improve health delivery starting in mid-2011. This will inform the Government’s decentralisation agenda in coming years.</w:t>
      </w:r>
    </w:p>
    <w:p w:rsidR="009D55F8" w:rsidRPr="005F7914" w:rsidRDefault="009D55F8" w:rsidP="009D55F8">
      <w:pPr>
        <w:pStyle w:val="BodyText"/>
        <w:rPr>
          <w:i/>
        </w:rPr>
      </w:pPr>
      <w:r w:rsidRPr="005F7914">
        <w:rPr>
          <w:i/>
        </w:rPr>
        <w:t xml:space="preserve">Quality preventative and promotive </w:t>
      </w:r>
      <w:r w:rsidRPr="005F7914">
        <w:rPr>
          <w:b/>
          <w:i/>
        </w:rPr>
        <w:t>health services</w:t>
      </w:r>
      <w:r w:rsidRPr="005F7914">
        <w:rPr>
          <w:i/>
        </w:rPr>
        <w:t xml:space="preserve"> which reflect resources available at the district level</w:t>
      </w:r>
    </w:p>
    <w:p w:rsidR="008153D9" w:rsidRDefault="008153D9">
      <w:pPr>
        <w:rPr>
          <w:rFonts w:ascii="Georgia" w:hAnsi="Georgia"/>
          <w:sz w:val="19"/>
          <w:szCs w:val="19"/>
        </w:rPr>
      </w:pPr>
      <w:r>
        <w:br w:type="page"/>
      </w:r>
    </w:p>
    <w:p w:rsidR="009D55F8" w:rsidRPr="005F7914" w:rsidRDefault="009D55F8" w:rsidP="009D55F8">
      <w:pPr>
        <w:pStyle w:val="BodyText"/>
      </w:pPr>
      <w:r w:rsidRPr="005F7914">
        <w:lastRenderedPageBreak/>
        <w:t xml:space="preserve">While there is still room for improvement in the quality of services, the </w:t>
      </w:r>
      <w:r w:rsidR="00A86EEE">
        <w:t>use</w:t>
      </w:r>
      <w:r w:rsidR="00A86EEE" w:rsidRPr="005F7914">
        <w:t xml:space="preserve"> </w:t>
      </w:r>
      <w:r w:rsidRPr="005F7914">
        <w:t xml:space="preserve">of health promotion and curative services has slightly increased due to the monthly </w:t>
      </w:r>
      <w:r w:rsidRPr="00CD12B1">
        <w:rPr>
          <w:i/>
        </w:rPr>
        <w:t>Servisu Integrado Saude Communitaire</w:t>
      </w:r>
      <w:r w:rsidRPr="005F7914">
        <w:t xml:space="preserve"> (</w:t>
      </w:r>
      <w:r w:rsidRPr="00A85F7E">
        <w:t>SISCa</w:t>
      </w:r>
      <w:r w:rsidRPr="005F7914">
        <w:t>), or village-level health outreach services</w:t>
      </w:r>
      <w:r w:rsidR="00BD0B39">
        <w:t xml:space="preserve">. </w:t>
      </w:r>
      <w:r w:rsidRPr="005F7914">
        <w:t>SISCa</w:t>
      </w:r>
      <w:r w:rsidR="00A86EEE">
        <w:t>s</w:t>
      </w:r>
      <w:r w:rsidRPr="005F7914">
        <w:t xml:space="preserve"> are mobile health clinics that visit more than 450 vil</w:t>
      </w:r>
      <w:r w:rsidR="00993AC3">
        <w:t>lages each month to provide pre</w:t>
      </w:r>
      <w:r w:rsidRPr="005F7914">
        <w:t xml:space="preserve"> and post-pregnancy care for women and babies, family planning services and treatment of common illnesses.</w:t>
      </w:r>
    </w:p>
    <w:p w:rsidR="009D55F8" w:rsidRPr="005F7914" w:rsidRDefault="009D55F8" w:rsidP="009D55F8">
      <w:pPr>
        <w:pStyle w:val="BodyText"/>
      </w:pPr>
      <w:r w:rsidRPr="005F7914">
        <w:t>In 2010, 71</w:t>
      </w:r>
      <w:r>
        <w:t xml:space="preserve"> per cent</w:t>
      </w:r>
      <w:r w:rsidRPr="005F7914">
        <w:t xml:space="preserve"> of Timor-Leste’s monthly SISCa visits benefited from Australian support. SISCas play a key role in maintaining a family health register, providing immunisations, antenatal care, and nutrition information, and family planning and reproductive health advice. The vast majority are run with technical, logistical and transportation support from international and local health NGOs, contracted by </w:t>
      </w:r>
      <w:r w:rsidR="00A86EEE">
        <w:t xml:space="preserve">the </w:t>
      </w:r>
      <w:r w:rsidRPr="005F7914">
        <w:t>M</w:t>
      </w:r>
      <w:r w:rsidR="00352900">
        <w:t>inistry of Health</w:t>
      </w:r>
      <w:r w:rsidRPr="005F7914">
        <w:t xml:space="preserve"> with Australian funds. This direct funding has brought health services closer to people</w:t>
      </w:r>
      <w:r w:rsidR="00BD0B39">
        <w:t xml:space="preserve">. </w:t>
      </w:r>
      <w:r w:rsidRPr="005F7914">
        <w:t>We also provided vehicles and motor bikes to facilitate service delivery in the districts.</w:t>
      </w:r>
    </w:p>
    <w:p w:rsidR="009D55F8" w:rsidRPr="005F7914" w:rsidRDefault="009D55F8" w:rsidP="009D55F8">
      <w:pPr>
        <w:pStyle w:val="BodyText"/>
      </w:pPr>
      <w:r w:rsidRPr="005F7914">
        <w:t>Timor-Leste’s 2009</w:t>
      </w:r>
      <w:r w:rsidR="00993AC3">
        <w:t>–</w:t>
      </w:r>
      <w:r w:rsidRPr="005F7914">
        <w:t>10 Demographic and Health Survey indicated that 71</w:t>
      </w:r>
      <w:r>
        <w:t xml:space="preserve"> per cent</w:t>
      </w:r>
      <w:r w:rsidRPr="005F7914">
        <w:t xml:space="preserve"> of women in</w:t>
      </w:r>
      <w:r w:rsidR="00A86EEE">
        <w:t>-country</w:t>
      </w:r>
      <w:r w:rsidRPr="005F7914">
        <w:t xml:space="preserve"> want to delay their next pregnancy by at least two years, or have no more children.</w:t>
      </w:r>
      <w:r w:rsidRPr="005F7914">
        <w:rPr>
          <w:rStyle w:val="FootnoteReference"/>
        </w:rPr>
        <w:footnoteReference w:id="22"/>
      </w:r>
      <w:r w:rsidRPr="005F7914">
        <w:t xml:space="preserve"> </w:t>
      </w:r>
      <w:smartTag w:uri="urn:schemas-microsoft-com:office:smarttags" w:element="place">
        <w:smartTag w:uri="urn:schemas-microsoft-com:office:smarttags" w:element="country-region">
          <w:r w:rsidRPr="005F7914">
            <w:t>Australia</w:t>
          </w:r>
        </w:smartTag>
      </w:smartTag>
      <w:r w:rsidRPr="005F7914">
        <w:t xml:space="preserve"> is helping address this significant unmet need for family planning by supporting NGOs to provide sexual and reproductive health counselling, family planning commodities and clinical services, as well as ante-natal and post-natal and newborn care. In</w:t>
      </w:r>
      <w:r w:rsidR="00EC7B76">
        <w:t> </w:t>
      </w:r>
      <w:r w:rsidRPr="005F7914">
        <w:t>2010 alone, 142</w:t>
      </w:r>
      <w:r w:rsidR="00993AC3">
        <w:t> </w:t>
      </w:r>
      <w:r w:rsidRPr="005F7914">
        <w:t>732 Timorese women of reproductive age across eight districts accessed Australian-funded family planning advice and services.</w:t>
      </w:r>
      <w:r w:rsidRPr="005F7914">
        <w:rPr>
          <w:rStyle w:val="FootnoteReference"/>
        </w:rPr>
        <w:footnoteReference w:id="23"/>
      </w:r>
    </w:p>
    <w:p w:rsidR="009D55F8" w:rsidRPr="005F7914" w:rsidRDefault="009D55F8" w:rsidP="009D55F8">
      <w:pPr>
        <w:pStyle w:val="BodyText"/>
      </w:pPr>
      <w:smartTag w:uri="urn:schemas-microsoft-com:office:smarttags" w:element="country-region">
        <w:r w:rsidRPr="005F7914">
          <w:t>Australia</w:t>
        </w:r>
      </w:smartTag>
      <w:r w:rsidRPr="005F7914">
        <w:t xml:space="preserve"> has trained 21 nurse anaesthetists, through the </w:t>
      </w:r>
      <w:smartTag w:uri="urn:schemas-microsoft-com:office:smarttags" w:element="place">
        <w:smartTag w:uri="urn:schemas-microsoft-com:office:smarttags" w:element="PlaceName">
          <w:r w:rsidRPr="005F7914">
            <w:t>Royal</w:t>
          </w:r>
        </w:smartTag>
        <w:r w:rsidRPr="005F7914">
          <w:t xml:space="preserve"> </w:t>
        </w:r>
        <w:smartTag w:uri="urn:schemas-microsoft-com:office:smarttags" w:element="PlaceName">
          <w:r w:rsidRPr="005F7914">
            <w:t>Australasian</w:t>
          </w:r>
        </w:smartTag>
        <w:r w:rsidRPr="005F7914">
          <w:t xml:space="preserve"> </w:t>
        </w:r>
        <w:smartTag w:uri="urn:schemas-microsoft-com:office:smarttags" w:element="PlaceType">
          <w:r w:rsidRPr="005F7914">
            <w:t>College</w:t>
          </w:r>
        </w:smartTag>
      </w:smartTag>
      <w:r w:rsidRPr="005F7914">
        <w:t xml:space="preserve"> of Surgeons. They are the only nurse anaesthetists practising in Timor-Leste and are now based primarily in district referral hospitals assisting with basic and comprehensive emergency obstetric care, including caesarean sections. </w:t>
      </w:r>
    </w:p>
    <w:p w:rsidR="009D55F8" w:rsidRPr="005F7914" w:rsidRDefault="009D55F8" w:rsidP="009D55F8">
      <w:pPr>
        <w:pStyle w:val="BodyText"/>
      </w:pPr>
      <w:r w:rsidRPr="005F7914">
        <w:rPr>
          <w:i/>
        </w:rPr>
        <w:t xml:space="preserve">Equitable distribution of an adequate number of skilled and motivated </w:t>
      </w:r>
      <w:r w:rsidRPr="005F7914">
        <w:rPr>
          <w:b/>
          <w:i/>
        </w:rPr>
        <w:t>health workers</w:t>
      </w:r>
    </w:p>
    <w:p w:rsidR="009D55F8" w:rsidRPr="005F7914" w:rsidRDefault="009D55F8" w:rsidP="009D55F8">
      <w:pPr>
        <w:pStyle w:val="BodyText"/>
      </w:pPr>
      <w:r w:rsidRPr="005F7914">
        <w:t xml:space="preserve">A </w:t>
      </w:r>
      <w:r w:rsidR="000E1A2E" w:rsidRPr="000E1A2E">
        <w:t>University of New South Wales</w:t>
      </w:r>
      <w:r w:rsidRPr="005F7914">
        <w:t xml:space="preserve"> report estimates 4000 health professionals are currently working in Timor</w:t>
      </w:r>
      <w:r w:rsidR="000E1A2E">
        <w:t>-Leste</w:t>
      </w:r>
      <w:r w:rsidRPr="005F7914">
        <w:t>.</w:t>
      </w:r>
      <w:r w:rsidRPr="005F7914">
        <w:rPr>
          <w:rStyle w:val="FootnoteReference"/>
        </w:rPr>
        <w:footnoteReference w:id="24"/>
      </w:r>
      <w:r w:rsidRPr="005F7914">
        <w:t xml:space="preserve"> The workforce remains fragmented and incomplete, however, due to an </w:t>
      </w:r>
      <w:r w:rsidR="001B5733">
        <w:t xml:space="preserve">unfinished </w:t>
      </w:r>
      <w:r w:rsidRPr="005F7914">
        <w:t>workforce planning and information system. The Cuban Medical Brigade provides the largest number of health workforce and about 700 students are studying medicine in Cuba</w:t>
      </w:r>
      <w:r w:rsidR="00BD0B39">
        <w:t xml:space="preserve">. </w:t>
      </w:r>
      <w:r w:rsidRPr="005F7914">
        <w:t>The challenge for Timor-Leste is how to integrate the newly trained doctors into the health system. Australia and the W</w:t>
      </w:r>
      <w:r w:rsidR="00A86EEE">
        <w:t xml:space="preserve">orld </w:t>
      </w:r>
      <w:r w:rsidRPr="005F7914">
        <w:t>B</w:t>
      </w:r>
      <w:r w:rsidR="00A86EEE">
        <w:t>ank</w:t>
      </w:r>
      <w:r w:rsidRPr="005F7914">
        <w:t xml:space="preserve"> have been trying to engage the M</w:t>
      </w:r>
      <w:r w:rsidR="00352900">
        <w:t>inistry of Health</w:t>
      </w:r>
      <w:r w:rsidRPr="005F7914">
        <w:t xml:space="preserve"> on these issues, especially in light of the pressures on workforce planning and budgeting discussed above. </w:t>
      </w:r>
    </w:p>
    <w:p w:rsidR="009D55F8" w:rsidRPr="005F7914" w:rsidRDefault="009D55F8" w:rsidP="009D55F8">
      <w:pPr>
        <w:pStyle w:val="BodyText"/>
      </w:pPr>
      <w:r w:rsidRPr="005F7914">
        <w:t xml:space="preserve">In 2010, </w:t>
      </w:r>
      <w:r w:rsidR="00320268">
        <w:t>50</w:t>
      </w:r>
      <w:r w:rsidRPr="005F7914">
        <w:t xml:space="preserve"> Timor-Leste doctors, nurses, surgeons and health managers undertook health studies in Australia, Fiji, Indonesia </w:t>
      </w:r>
      <w:r w:rsidRPr="00A85F7E">
        <w:t>and P</w:t>
      </w:r>
      <w:r w:rsidR="00A85F7E" w:rsidRPr="00A85F7E">
        <w:t xml:space="preserve">apua </w:t>
      </w:r>
      <w:r w:rsidRPr="00A85F7E">
        <w:t>N</w:t>
      </w:r>
      <w:r w:rsidR="00A85F7E" w:rsidRPr="00A85F7E">
        <w:t xml:space="preserve">ew </w:t>
      </w:r>
      <w:r w:rsidRPr="00A85F7E">
        <w:t>G</w:t>
      </w:r>
      <w:r w:rsidR="00A85F7E" w:rsidRPr="00A85F7E">
        <w:t>uinea</w:t>
      </w:r>
      <w:r w:rsidRPr="00A85F7E">
        <w:t>. In</w:t>
      </w:r>
      <w:r w:rsidRPr="005F7914">
        <w:t xml:space="preserve"> addition, </w:t>
      </w:r>
      <w:smartTag w:uri="urn:schemas-microsoft-com:office:smarttags" w:element="place">
        <w:smartTag w:uri="urn:schemas-microsoft-com:office:smarttags" w:element="country-region">
          <w:r w:rsidRPr="005F7914">
            <w:t>Australia</w:t>
          </w:r>
        </w:smartTag>
      </w:smartTag>
      <w:r w:rsidRPr="005F7914">
        <w:t xml:space="preserve"> has trained 54 midwives in Timor-Leste to Diploma 3 level, making them the most qualified in the country. Under the Australia</w:t>
      </w:r>
      <w:r w:rsidR="00A86EEE">
        <w:t xml:space="preserve"> –</w:t>
      </w:r>
      <w:r w:rsidRPr="005F7914">
        <w:t xml:space="preserve"> Timor-Leste Program of A</w:t>
      </w:r>
      <w:r w:rsidR="00A85F7E">
        <w:t>ssistance for Surgical Services</w:t>
      </w:r>
      <w:r w:rsidRPr="005F7914">
        <w:t>, Australia is supporting surgical training for three Timorese through a mix of in-country and overseas training units.</w:t>
      </w:r>
    </w:p>
    <w:p w:rsidR="009D55F8" w:rsidRPr="005F7914" w:rsidRDefault="009D55F8" w:rsidP="009D55F8">
      <w:pPr>
        <w:pStyle w:val="BodyText"/>
        <w:rPr>
          <w:i/>
        </w:rPr>
      </w:pPr>
      <w:r w:rsidRPr="005F7914">
        <w:rPr>
          <w:i/>
        </w:rPr>
        <w:t xml:space="preserve">Improved health sector </w:t>
      </w:r>
      <w:r w:rsidRPr="005F7914">
        <w:rPr>
          <w:b/>
          <w:i/>
        </w:rPr>
        <w:t>procurement and logistics</w:t>
      </w:r>
    </w:p>
    <w:p w:rsidR="009D55F8" w:rsidRPr="005F7914" w:rsidRDefault="009D55F8" w:rsidP="009D55F8">
      <w:pPr>
        <w:pStyle w:val="BodyText"/>
      </w:pPr>
      <w:r w:rsidRPr="005F7914">
        <w:lastRenderedPageBreak/>
        <w:t>While the number of health facilities which regularly report having no pharmaceutical drugs (stock outs) dropped from 40</w:t>
      </w:r>
      <w:r>
        <w:t xml:space="preserve"> per cent</w:t>
      </w:r>
      <w:r w:rsidRPr="005F7914">
        <w:t xml:space="preserve"> to approximately 17</w:t>
      </w:r>
      <w:r>
        <w:t xml:space="preserve"> per cent</w:t>
      </w:r>
      <w:r w:rsidRPr="005F7914">
        <w:t xml:space="preserve"> between 2008 and 2010, significant concerns remain.</w:t>
      </w:r>
      <w:r w:rsidRPr="005F7914">
        <w:rPr>
          <w:rStyle w:val="FootnoteReference"/>
        </w:rPr>
        <w:footnoteReference w:id="25"/>
      </w:r>
      <w:r w:rsidRPr="005F7914">
        <w:t xml:space="preserve"> The Essential Drugs List is too long, the G</w:t>
      </w:r>
      <w:r w:rsidR="0057481E">
        <w:t>o</w:t>
      </w:r>
      <w:r w:rsidRPr="005F7914">
        <w:t>T</w:t>
      </w:r>
      <w:r w:rsidR="0057481E">
        <w:t>L’s</w:t>
      </w:r>
      <w:r w:rsidRPr="005F7914">
        <w:t xml:space="preserve"> budget allocations for pharmaceuticals are decreasing, and poor planning means the Government is conducting expensive emergency procurements too regularly. Australia has supported a tracer drugs list for assessing the number of districts reporting having no pharmaceutical drugs and the </w:t>
      </w:r>
      <w:r w:rsidRPr="00A85F7E">
        <w:t>E</w:t>
      </w:r>
      <w:r w:rsidR="00A85F7E" w:rsidRPr="00A85F7E">
        <w:t xml:space="preserve">uropean </w:t>
      </w:r>
      <w:r w:rsidRPr="00A85F7E">
        <w:t>U</w:t>
      </w:r>
      <w:r w:rsidR="00A85F7E" w:rsidRPr="00A85F7E">
        <w:t>nion</w:t>
      </w:r>
      <w:r w:rsidRPr="005F7914">
        <w:t xml:space="preserve"> have provided long-term support to the central pharmaceuticals and medical equipment warehouse. We are concerned, however</w:t>
      </w:r>
      <w:r w:rsidR="00A86EEE">
        <w:t>,</w:t>
      </w:r>
      <w:r w:rsidRPr="005F7914">
        <w:t xml:space="preserve"> that a gap will be left by the impending completion of the E</w:t>
      </w:r>
      <w:r w:rsidR="00A85F7E">
        <w:t xml:space="preserve">uropean </w:t>
      </w:r>
      <w:r w:rsidRPr="005F7914">
        <w:t>U</w:t>
      </w:r>
      <w:r w:rsidR="00A85F7E">
        <w:t>nion</w:t>
      </w:r>
      <w:r w:rsidRPr="005F7914">
        <w:t>’s program.</w:t>
      </w:r>
    </w:p>
    <w:p w:rsidR="009D55F8" w:rsidRPr="005F7914" w:rsidRDefault="009D55F8" w:rsidP="001E163C">
      <w:pPr>
        <w:pStyle w:val="H3"/>
      </w:pPr>
      <w:r w:rsidRPr="005F7914">
        <w:t xml:space="preserve">Management </w:t>
      </w:r>
      <w:r w:rsidR="00A86EEE">
        <w:t>c</w:t>
      </w:r>
      <w:r w:rsidRPr="005F7914">
        <w:t>onsequences</w:t>
      </w:r>
    </w:p>
    <w:p w:rsidR="009D55F8" w:rsidRPr="005F7914" w:rsidRDefault="009D55F8" w:rsidP="009D55F8">
      <w:pPr>
        <w:pStyle w:val="BodyText"/>
      </w:pPr>
      <w:r w:rsidRPr="005F7914">
        <w:t>&gt;</w:t>
      </w:r>
      <w:r w:rsidRPr="005F7914">
        <w:tab/>
        <w:t xml:space="preserve">Australia will reshape its major health programs behind the new </w:t>
      </w:r>
      <w:r w:rsidR="009A42E2" w:rsidRPr="009A42E2">
        <w:t>NHSSP</w:t>
      </w:r>
      <w:r w:rsidRPr="005F7914">
        <w:t xml:space="preserve">. A key focus will be strengthening our commitment to service delivery (particularly maternal and child health) and transitioning towards greater sector harmonisation, where </w:t>
      </w:r>
      <w:smartTag w:uri="urn:schemas-microsoft-com:office:smarttags" w:element="place">
        <w:smartTag w:uri="urn:schemas-microsoft-com:office:smarttags" w:element="country-region">
          <w:r w:rsidRPr="005F7914">
            <w:t>Australia</w:t>
          </w:r>
        </w:smartTag>
      </w:smartTag>
      <w:r w:rsidRPr="005F7914">
        <w:t xml:space="preserve"> will take a lead role in donor coordination. It will also involve addressing unsatisfactory monitoring and evaluation</w:t>
      </w:r>
      <w:r w:rsidR="00096446">
        <w:t xml:space="preserve"> (M&amp;E)</w:t>
      </w:r>
      <w:r w:rsidRPr="005F7914">
        <w:t xml:space="preserve"> systems. This will include re-designing the W</w:t>
      </w:r>
      <w:r w:rsidR="00A86EEE">
        <w:t xml:space="preserve">orld </w:t>
      </w:r>
      <w:r w:rsidRPr="005F7914">
        <w:t>B</w:t>
      </w:r>
      <w:r w:rsidR="00A86EEE">
        <w:t>ank-</w:t>
      </w:r>
      <w:r w:rsidRPr="00A85F7E">
        <w:t>supervised HSSP-SP</w:t>
      </w:r>
      <w:r w:rsidRPr="00A85F7E">
        <w:rPr>
          <w:rStyle w:val="FootnoteReference"/>
        </w:rPr>
        <w:footnoteReference w:id="26"/>
      </w:r>
      <w:r w:rsidR="00A86EEE">
        <w:t>,</w:t>
      </w:r>
      <w:r w:rsidRPr="00A85F7E">
        <w:t xml:space="preserve"> the</w:t>
      </w:r>
      <w:r w:rsidRPr="005F7914">
        <w:t xml:space="preserve"> efficiency and effectiveness of which has so far been disappointing. The re-design will address the constraints and bottlenecks to service delivery at central and district levels.</w:t>
      </w:r>
    </w:p>
    <w:p w:rsidR="009D55F8" w:rsidRPr="005F7914" w:rsidRDefault="009D55F8" w:rsidP="009D55F8">
      <w:pPr>
        <w:pStyle w:val="BodyText"/>
      </w:pPr>
      <w:r w:rsidRPr="005F7914">
        <w:t>&gt;</w:t>
      </w:r>
      <w:r w:rsidRPr="005F7914">
        <w:tab/>
        <w:t xml:space="preserve">Australia will undertake policy </w:t>
      </w:r>
      <w:r w:rsidR="00A86EEE">
        <w:t>discussion</w:t>
      </w:r>
      <w:r w:rsidR="00A86EEE" w:rsidRPr="005F7914">
        <w:t xml:space="preserve"> </w:t>
      </w:r>
      <w:r w:rsidRPr="005F7914">
        <w:t xml:space="preserve">with the </w:t>
      </w:r>
      <w:r w:rsidR="00A85F7E">
        <w:t>MoF</w:t>
      </w:r>
      <w:r w:rsidR="00A85F7E" w:rsidRPr="005F7914">
        <w:t xml:space="preserve"> </w:t>
      </w:r>
      <w:r w:rsidRPr="005F7914">
        <w:t xml:space="preserve">on the issue of budget allocations for health and with the </w:t>
      </w:r>
      <w:r w:rsidR="00A85F7E" w:rsidRPr="00A85F7E">
        <w:t>M</w:t>
      </w:r>
      <w:r w:rsidR="00352900">
        <w:t>inistry of Health</w:t>
      </w:r>
      <w:r w:rsidR="00A85F7E" w:rsidRPr="00A85F7E">
        <w:t xml:space="preserve"> </w:t>
      </w:r>
      <w:r w:rsidRPr="005F7914">
        <w:t>around the quality of health spending</w:t>
      </w:r>
      <w:r w:rsidR="00BD0B39">
        <w:t xml:space="preserve">. </w:t>
      </w:r>
      <w:r w:rsidRPr="005F7914">
        <w:t>Australia will aim to influence PFM reforms and recommend that funds required for the growing salary budget do not displace recurrent costs required for district-level service delivery. This will involve preparing a ‘roadmap’ for strengthening MoH’s financial management systems (</w:t>
      </w:r>
      <w:r w:rsidR="00A9702E">
        <w:t xml:space="preserve">for example, </w:t>
      </w:r>
      <w:r w:rsidRPr="005F7914">
        <w:t xml:space="preserve">operational procedures, supporting </w:t>
      </w:r>
      <w:r w:rsidR="008F7E2C">
        <w:t>information technology</w:t>
      </w:r>
      <w:r w:rsidRPr="005F7914">
        <w:t xml:space="preserve"> systems), a </w:t>
      </w:r>
      <w:r w:rsidR="008F7E2C">
        <w:t>f</w:t>
      </w:r>
      <w:r w:rsidRPr="005F7914">
        <w:t xml:space="preserve">iduciary </w:t>
      </w:r>
      <w:r w:rsidR="008F7E2C">
        <w:t>r</w:t>
      </w:r>
      <w:r w:rsidRPr="005F7914">
        <w:t xml:space="preserve">isk </w:t>
      </w:r>
      <w:r w:rsidR="008F7E2C">
        <w:t>a</w:t>
      </w:r>
      <w:r w:rsidRPr="005F7914">
        <w:t xml:space="preserve">ssessment to inform consideration of increased use of </w:t>
      </w:r>
      <w:r w:rsidR="008F7E2C">
        <w:t>g</w:t>
      </w:r>
      <w:r w:rsidRPr="005F7914">
        <w:t xml:space="preserve">overnment systems, and engaging credible technical assistance to manage and implement this change process. </w:t>
      </w:r>
    </w:p>
    <w:p w:rsidR="009D55F8" w:rsidRPr="005F7914" w:rsidRDefault="009D55F8" w:rsidP="009D55F8">
      <w:pPr>
        <w:pStyle w:val="BodyText"/>
      </w:pPr>
      <w:r w:rsidRPr="005F7914">
        <w:t xml:space="preserve">&gt; Australia will help to strengthen pharmaceutical and medical supply chain management through a new program of support for the </w:t>
      </w:r>
      <w:r w:rsidR="009A42E2" w:rsidRPr="009A42E2">
        <w:t>NHSSP</w:t>
      </w:r>
      <w:r w:rsidRPr="005F7914">
        <w:t>, including through assistance for improved coordination in the procur</w:t>
      </w:r>
      <w:r w:rsidR="008F7E2C">
        <w:t>ing</w:t>
      </w:r>
      <w:r w:rsidRPr="005F7914">
        <w:t>, warehousing, distributi</w:t>
      </w:r>
      <w:r w:rsidR="008F7E2C">
        <w:t>ng</w:t>
      </w:r>
      <w:r w:rsidRPr="005F7914">
        <w:t xml:space="preserve"> and manag</w:t>
      </w:r>
      <w:r w:rsidR="008F7E2C">
        <w:t>ing</w:t>
      </w:r>
      <w:r w:rsidRPr="005F7914">
        <w:t xml:space="preserve"> supplies</w:t>
      </w:r>
      <w:r w:rsidR="00BD0B39">
        <w:t xml:space="preserve">. </w:t>
      </w:r>
    </w:p>
    <w:p w:rsidR="009D55F8" w:rsidRPr="005F7914" w:rsidRDefault="009D55F8" w:rsidP="009D55F8">
      <w:pPr>
        <w:pStyle w:val="BodyText"/>
      </w:pPr>
      <w:r w:rsidRPr="005F7914">
        <w:t>&gt;</w:t>
      </w:r>
      <w:r w:rsidRPr="005F7914">
        <w:tab/>
        <w:t>Australia and the GoTL will expand the evidence base for health policy development. T</w:t>
      </w:r>
      <w:r w:rsidR="00993AC3">
        <w:t>his will involve supporting MoH</w:t>
      </w:r>
      <w:r w:rsidR="00A85F7E">
        <w:t>’</w:t>
      </w:r>
      <w:r w:rsidRPr="005F7914">
        <w:t>s new Research Department to establish a joint operational agenda with its new partner</w:t>
      </w:r>
      <w:r w:rsidR="008F7E2C">
        <w:t>.</w:t>
      </w:r>
      <w:r w:rsidRPr="005F7914">
        <w:t xml:space="preserve"> the Menzies School of Health Research. The </w:t>
      </w:r>
      <w:r w:rsidR="008F7E2C">
        <w:t>s</w:t>
      </w:r>
      <w:r w:rsidRPr="005F7914">
        <w:t>chool will focus on: research barriers to improving nutrition and reducing maternal deaths; comparative analysis of district performance; results-based financing; and</w:t>
      </w:r>
      <w:r w:rsidR="008F7E2C">
        <w:t xml:space="preserve"> an</w:t>
      </w:r>
      <w:r w:rsidRPr="005F7914">
        <w:t xml:space="preserve"> improv</w:t>
      </w:r>
      <w:r w:rsidR="008F7E2C">
        <w:t>ed</w:t>
      </w:r>
      <w:r w:rsidRPr="005F7914">
        <w:t xml:space="preserve"> pharmaceutical system. </w:t>
      </w:r>
    </w:p>
    <w:p w:rsidR="009D55F8" w:rsidRPr="005F7914" w:rsidRDefault="009D55F8" w:rsidP="009D55F8">
      <w:pPr>
        <w:pStyle w:val="BodyText"/>
      </w:pPr>
      <w:r w:rsidRPr="005F7914">
        <w:t>&gt; Australia will work with the Go</w:t>
      </w:r>
      <w:r w:rsidR="00EC7B76">
        <w:t>TL</w:t>
      </w:r>
      <w:r w:rsidRPr="005F7914">
        <w:t xml:space="preserve"> on a multi-sector response to improve nutrition in Timor-Leste, through our support to health, education and food security, drawing on the findings of the research outlined above.</w:t>
      </w:r>
    </w:p>
    <w:p w:rsidR="009D55F8" w:rsidRPr="005F7914" w:rsidRDefault="009D55F8" w:rsidP="009D55F8">
      <w:pPr>
        <w:pStyle w:val="Heading2"/>
        <w:keepNext/>
        <w:spacing w:before="240"/>
        <w:ind w:left="0"/>
      </w:pPr>
      <w:bookmarkStart w:id="7" w:name="_Toc360973003"/>
      <w:r w:rsidRPr="005F7914">
        <w:t xml:space="preserve">Sector: Education and </w:t>
      </w:r>
      <w:r w:rsidR="008F7E2C">
        <w:t>y</w:t>
      </w:r>
      <w:r w:rsidRPr="005F7914">
        <w:t xml:space="preserve">outh </w:t>
      </w:r>
      <w:r w:rsidR="008F7E2C">
        <w:t>e</w:t>
      </w:r>
      <w:r w:rsidRPr="005F7914">
        <w:t>mployment</w:t>
      </w:r>
      <w:bookmarkEnd w:id="7"/>
    </w:p>
    <w:p w:rsidR="006A7098" w:rsidRPr="005F7914" w:rsidRDefault="009D55F8" w:rsidP="006A7098">
      <w:pPr>
        <w:pStyle w:val="H3"/>
      </w:pPr>
      <w:bookmarkStart w:id="8" w:name="_Toc360973004"/>
      <w:r w:rsidRPr="006A7098">
        <w:t xml:space="preserve">Sector </w:t>
      </w:r>
      <w:r w:rsidR="00DE666D" w:rsidRPr="006A7098">
        <w:t>c</w:t>
      </w:r>
      <w:r w:rsidRPr="006A7098">
        <w:t>ontext</w:t>
      </w:r>
      <w:bookmarkEnd w:id="8"/>
    </w:p>
    <w:p w:rsidR="008153D9" w:rsidRDefault="008153D9">
      <w:pPr>
        <w:rPr>
          <w:rFonts w:ascii="Georgia" w:hAnsi="Georgia"/>
          <w:sz w:val="19"/>
          <w:szCs w:val="19"/>
        </w:rPr>
      </w:pPr>
      <w:r>
        <w:br w:type="page"/>
      </w:r>
    </w:p>
    <w:p w:rsidR="009D55F8" w:rsidRPr="005F7914" w:rsidRDefault="009D55F8" w:rsidP="009D55F8">
      <w:pPr>
        <w:pStyle w:val="BodyText"/>
      </w:pPr>
      <w:r w:rsidRPr="005F7914">
        <w:lastRenderedPageBreak/>
        <w:t>Timor-Leste will not achieve Millennium Development Goal 2 by 2015. Basic education enrolment improved from 67</w:t>
      </w:r>
      <w:r>
        <w:t xml:space="preserve"> per cent</w:t>
      </w:r>
      <w:r w:rsidRPr="005F7914">
        <w:t xml:space="preserve"> in 2005 to 86</w:t>
      </w:r>
      <w:r>
        <w:t xml:space="preserve"> per cent</w:t>
      </w:r>
      <w:r w:rsidRPr="005F7914">
        <w:t xml:space="preserve"> in 2010.</w:t>
      </w:r>
      <w:r w:rsidRPr="005F7914">
        <w:rPr>
          <w:rStyle w:val="FootnoteReference"/>
        </w:rPr>
        <w:t xml:space="preserve"> </w:t>
      </w:r>
      <w:r w:rsidRPr="005F7914">
        <w:rPr>
          <w:rStyle w:val="FootnoteReference"/>
        </w:rPr>
        <w:footnoteReference w:id="27"/>
      </w:r>
      <w:r w:rsidRPr="005F7914">
        <w:t xml:space="preserve"> Unfortunately secondary enrolment rates have not improved, nor have primary completion rates</w:t>
      </w:r>
      <w:r w:rsidR="00993AC3">
        <w:t>—</w:t>
      </w:r>
      <w:r w:rsidRPr="005F7914">
        <w:t>with only 73</w:t>
      </w:r>
      <w:r>
        <w:t xml:space="preserve"> per cent</w:t>
      </w:r>
      <w:r w:rsidRPr="005F7914">
        <w:t xml:space="preserve"> of students completing grade </w:t>
      </w:r>
      <w:r w:rsidR="008F7E2C">
        <w:t>5</w:t>
      </w:r>
      <w:r w:rsidRPr="005F7914">
        <w:t>.</w:t>
      </w:r>
      <w:r w:rsidRPr="005F7914">
        <w:rPr>
          <w:rStyle w:val="FootnoteReference"/>
        </w:rPr>
        <w:footnoteReference w:id="28"/>
      </w:r>
      <w:r w:rsidRPr="005F7914">
        <w:t xml:space="preserve"> Illiteracy, particularly in adults, remains high. Gender ratios tell a mixed story: they are almost equal at primary level and improving at tertiary level, but at the secondary level there are three boys enrolled for every girl. </w:t>
      </w:r>
    </w:p>
    <w:p w:rsidR="009D55F8" w:rsidRPr="005F7914" w:rsidRDefault="009D55F8" w:rsidP="009D55F8">
      <w:pPr>
        <w:pStyle w:val="BodyText"/>
      </w:pPr>
      <w:r w:rsidRPr="005F7914">
        <w:t>Quality of education is of greater concern than access to it. An Early Grade Reading Assessment conducted in 2010 identified worrying shortfalls: 70</w:t>
      </w:r>
      <w:r>
        <w:t xml:space="preserve"> per cent</w:t>
      </w:r>
      <w:r w:rsidRPr="005F7914">
        <w:t xml:space="preserve"> of students at the end of grade 1 could not recognise a single word and only 30</w:t>
      </w:r>
      <w:r>
        <w:t xml:space="preserve"> per cent</w:t>
      </w:r>
      <w:r w:rsidRPr="005F7914">
        <w:t xml:space="preserve"> of students at the end of grade 3 could read to an international standard.</w:t>
      </w:r>
      <w:r w:rsidRPr="005F7914">
        <w:rPr>
          <w:rStyle w:val="FootnoteReference"/>
        </w:rPr>
        <w:footnoteReference w:id="29"/>
      </w:r>
      <w:r w:rsidRPr="005F7914">
        <w:t xml:space="preserve"> These are not easy figures to turn around.</w:t>
      </w:r>
    </w:p>
    <w:p w:rsidR="009D55F8" w:rsidRPr="005F7914" w:rsidRDefault="009D55F8" w:rsidP="009D55F8">
      <w:pPr>
        <w:pStyle w:val="BodyText"/>
      </w:pPr>
      <w:r w:rsidRPr="005F7914">
        <w:t xml:space="preserve">However, 2010 saw some positive developments in the policy environment: The Ministry of Education, with Australian support, hosted an </w:t>
      </w:r>
      <w:r w:rsidR="008F7E2C">
        <w:t>a</w:t>
      </w:r>
      <w:r w:rsidRPr="005F7914">
        <w:t xml:space="preserve">nnual </w:t>
      </w:r>
      <w:r w:rsidR="008F7E2C">
        <w:t>j</w:t>
      </w:r>
      <w:r w:rsidRPr="005F7914">
        <w:t xml:space="preserve">oint </w:t>
      </w:r>
      <w:r w:rsidR="008F7E2C">
        <w:t>r</w:t>
      </w:r>
      <w:r w:rsidRPr="005F7914">
        <w:t>eview of the sector to encourage greater coordination and developed an ambitious National Education Strategic Plan 2010</w:t>
      </w:r>
      <w:r w:rsidR="00993AC3">
        <w:t>–</w:t>
      </w:r>
      <w:r w:rsidRPr="005F7914">
        <w:t xml:space="preserve">30. </w:t>
      </w:r>
    </w:p>
    <w:p w:rsidR="009D55F8" w:rsidRPr="005F7914" w:rsidRDefault="009D55F8" w:rsidP="009D55F8">
      <w:pPr>
        <w:pStyle w:val="BodyText"/>
      </w:pPr>
      <w:r w:rsidRPr="005F7914">
        <w:t xml:space="preserve">The outcomes against which shared progress is rated below are drawn from the </w:t>
      </w:r>
      <w:r w:rsidR="004633BA" w:rsidRPr="004633BA">
        <w:t>National Education Strategic Plan 2010–30</w:t>
      </w:r>
      <w:r w:rsidRPr="005F7914">
        <w:t xml:space="preserve"> outcomes</w:t>
      </w:r>
      <w:r w:rsidR="008F7E2C">
        <w:t>,</w:t>
      </w:r>
      <w:r w:rsidRPr="005F7914">
        <w:t xml:space="preserve"> which Australia </w:t>
      </w:r>
      <w:r w:rsidR="008F7E2C">
        <w:t>contributes to.</w:t>
      </w:r>
    </w:p>
    <w:p w:rsidR="009D55F8" w:rsidRPr="005F7914" w:rsidRDefault="009D55F8" w:rsidP="006A7098">
      <w:pPr>
        <w:pStyle w:val="H3"/>
      </w:pPr>
      <w:bookmarkStart w:id="9" w:name="_Toc360973005"/>
      <w:r w:rsidRPr="005F7914">
        <w:t xml:space="preserve">Shared </w:t>
      </w:r>
      <w:r w:rsidR="00DE666D">
        <w:t>p</w:t>
      </w:r>
      <w:r w:rsidRPr="005F7914">
        <w:t>rogress</w:t>
      </w:r>
      <w:bookmarkEnd w:id="9"/>
    </w:p>
    <w:p w:rsidR="009D55F8" w:rsidRPr="005F7914" w:rsidRDefault="009D55F8" w:rsidP="009D55F8">
      <w:pPr>
        <w:pStyle w:val="BodyText"/>
      </w:pPr>
      <w:r w:rsidRPr="005F7914">
        <w:t>Australian support to the education sector has been through two main programs</w:t>
      </w:r>
      <w:r w:rsidR="00993AC3">
        <w:t>—</w:t>
      </w:r>
      <w:r w:rsidRPr="005F7914">
        <w:t>the Education Sector Support Program and</w:t>
      </w:r>
      <w:r w:rsidR="008F7E2C">
        <w:t>,</w:t>
      </w:r>
      <w:r w:rsidRPr="005F7914">
        <w:t xml:space="preserve"> to a lesser extent</w:t>
      </w:r>
      <w:r w:rsidR="008F7E2C">
        <w:t>,</w:t>
      </w:r>
      <w:r w:rsidRPr="005F7914">
        <w:t xml:space="preserve"> the Youth Employment Promotion Program. Both programs </w:t>
      </w:r>
      <w:r w:rsidR="008F7E2C">
        <w:t>finish during</w:t>
      </w:r>
      <w:r w:rsidRPr="005F7914">
        <w:t xml:space="preserve"> 2011</w:t>
      </w:r>
      <w:r w:rsidR="00993AC3">
        <w:t>–</w:t>
      </w:r>
      <w:r w:rsidRPr="005F7914">
        <w:t xml:space="preserve">12. </w:t>
      </w:r>
      <w:r w:rsidR="007418D0">
        <w:t>The Education Sector Support Program</w:t>
      </w:r>
      <w:r w:rsidRPr="005F7914">
        <w:t xml:space="preserve"> has primarily focused on building the</w:t>
      </w:r>
      <w:r w:rsidR="008F7E2C">
        <w:t xml:space="preserve"> M</w:t>
      </w:r>
      <w:r w:rsidR="00352900">
        <w:t>inistry of Education</w:t>
      </w:r>
      <w:r w:rsidR="008F7E2C">
        <w:t>’s staff and systems</w:t>
      </w:r>
      <w:r w:rsidRPr="005F7914">
        <w:t xml:space="preserve"> capacity</w:t>
      </w:r>
      <w:r w:rsidRPr="00A85F7E">
        <w:t>,</w:t>
      </w:r>
      <w:r w:rsidRPr="005F7914">
        <w:t xml:space="preserve"> while </w:t>
      </w:r>
      <w:r w:rsidR="004633BA" w:rsidRPr="004633BA">
        <w:t xml:space="preserve">Youth </w:t>
      </w:r>
      <w:r w:rsidR="008F7E2C">
        <w:t>E</w:t>
      </w:r>
      <w:r w:rsidR="008F7E2C" w:rsidRPr="004633BA">
        <w:t xml:space="preserve">mployment </w:t>
      </w:r>
      <w:r w:rsidR="008F7E2C">
        <w:t>P</w:t>
      </w:r>
      <w:r w:rsidR="004633BA" w:rsidRPr="004633BA">
        <w:t xml:space="preserve">romotion </w:t>
      </w:r>
      <w:r w:rsidR="008F7E2C">
        <w:t>P</w:t>
      </w:r>
      <w:r w:rsidR="004633BA" w:rsidRPr="004633BA">
        <w:t xml:space="preserve">rogram </w:t>
      </w:r>
      <w:r w:rsidRPr="005F7914">
        <w:t>focuse</w:t>
      </w:r>
      <w:r w:rsidR="008F7E2C">
        <w:t>s</w:t>
      </w:r>
      <w:r w:rsidRPr="005F7914">
        <w:t xml:space="preserve"> on developing a </w:t>
      </w:r>
      <w:r w:rsidR="004633BA" w:rsidRPr="004633BA">
        <w:t xml:space="preserve">technical and vocational education and training </w:t>
      </w:r>
      <w:r w:rsidR="00CA4A6E" w:rsidRPr="005F7914">
        <w:t>framework,</w:t>
      </w:r>
      <w:r w:rsidRPr="005F7914">
        <w:t xml:space="preserve"> providing opportunities for short</w:t>
      </w:r>
      <w:r w:rsidR="008F7E2C">
        <w:t>-</w:t>
      </w:r>
      <w:r w:rsidRPr="005F7914">
        <w:t>term employment</w:t>
      </w:r>
      <w:r w:rsidR="008F7E2C">
        <w:t>,</w:t>
      </w:r>
      <w:r w:rsidRPr="005F7914">
        <w:t xml:space="preserve"> and careers counselling.</w:t>
      </w:r>
    </w:p>
    <w:p w:rsidR="009D55F8" w:rsidRPr="005F7914" w:rsidRDefault="009D55F8" w:rsidP="009D55F8">
      <w:pPr>
        <w:pStyle w:val="BodyText"/>
      </w:pPr>
      <w:r w:rsidRPr="005F7914">
        <w:t>While the focus of these programs was relevant to the needs of the sector at inception, the</w:t>
      </w:r>
      <w:r w:rsidR="008F7E2C">
        <w:t xml:space="preserve"> GoTL and donors have</w:t>
      </w:r>
      <w:r w:rsidRPr="005F7914">
        <w:t xml:space="preserve"> increasing</w:t>
      </w:r>
      <w:r w:rsidR="008F7E2C">
        <w:t>ly</w:t>
      </w:r>
      <w:r w:rsidRPr="005F7914">
        <w:t xml:space="preserve"> acknowledge</w:t>
      </w:r>
      <w:r w:rsidR="008F7E2C">
        <w:t>d</w:t>
      </w:r>
      <w:r w:rsidRPr="005F7914">
        <w:t xml:space="preserve"> the need</w:t>
      </w:r>
      <w:r w:rsidR="008F7E2C">
        <w:t xml:space="preserve"> for more</w:t>
      </w:r>
      <w:r w:rsidRPr="005F7914">
        <w:t xml:space="preserve"> focus on gains at service delivery level</w:t>
      </w:r>
      <w:r w:rsidR="008F7E2C">
        <w:t>,</w:t>
      </w:r>
      <w:r w:rsidRPr="005F7914">
        <w:t xml:space="preserve"> where learning achievement and improvements in the educational status of children have been minimal. </w:t>
      </w:r>
    </w:p>
    <w:p w:rsidR="009D55F8" w:rsidRPr="005F7914" w:rsidRDefault="009D55F8" w:rsidP="009D55F8">
      <w:pPr>
        <w:pStyle w:val="BodyText"/>
        <w:rPr>
          <w:i/>
        </w:rPr>
      </w:pPr>
      <w:r w:rsidRPr="005F7914">
        <w:rPr>
          <w:i/>
        </w:rPr>
        <w:t xml:space="preserve">By 2015 quality </w:t>
      </w:r>
      <w:r w:rsidRPr="005F7914">
        <w:rPr>
          <w:b/>
          <w:i/>
        </w:rPr>
        <w:t>basic education</w:t>
      </w:r>
      <w:r w:rsidRPr="005F7914">
        <w:rPr>
          <w:i/>
        </w:rPr>
        <w:t xml:space="preserve"> is available for children, and dropouts are almost reduced to zero</w:t>
      </w:r>
    </w:p>
    <w:p w:rsidR="009D55F8" w:rsidRPr="005F7914" w:rsidRDefault="009D55F8" w:rsidP="009D55F8">
      <w:pPr>
        <w:pStyle w:val="BodyText"/>
      </w:pPr>
      <w:r w:rsidRPr="005F7914">
        <w:t xml:space="preserve">Strong progress has been made in increasing enrolment rates at basic level. </w:t>
      </w:r>
      <w:r w:rsidR="00EC7B76">
        <w:t>Le</w:t>
      </w:r>
      <w:r w:rsidRPr="005F7914">
        <w:t xml:space="preserve">arning achievement </w:t>
      </w:r>
      <w:r w:rsidR="008F7E2C">
        <w:t>in</w:t>
      </w:r>
      <w:r w:rsidR="008F7E2C" w:rsidRPr="005F7914">
        <w:t xml:space="preserve"> </w:t>
      </w:r>
      <w:r w:rsidRPr="005F7914">
        <w:t>schools</w:t>
      </w:r>
      <w:r w:rsidR="00EC7B76">
        <w:t>, however,</w:t>
      </w:r>
      <w:r w:rsidRPr="005F7914">
        <w:t xml:space="preserve"> continues to be of significant concern. This problem is driven by complex factors that are not well understood</w:t>
      </w:r>
      <w:r w:rsidR="007409FB">
        <w:t>,</w:t>
      </w:r>
      <w:r w:rsidRPr="005F7914">
        <w:t xml:space="preserve"> including teaching quality, language of instruction, classroom infrastructure and materials</w:t>
      </w:r>
      <w:r w:rsidR="007409FB">
        <w:t>,</w:t>
      </w:r>
      <w:r w:rsidRPr="005F7914">
        <w:t xml:space="preserve"> and high drop out and repetition rates. Change will come slowly, making it unlikely</w:t>
      </w:r>
      <w:r w:rsidR="007409FB">
        <w:t xml:space="preserve"> that</w:t>
      </w:r>
      <w:r w:rsidRPr="005F7914">
        <w:t xml:space="preserve"> the Go</w:t>
      </w:r>
      <w:r w:rsidR="007409FB">
        <w:t>TL</w:t>
      </w:r>
      <w:r w:rsidRPr="005F7914">
        <w:t xml:space="preserve"> will achieve this outcome by 2015. </w:t>
      </w:r>
    </w:p>
    <w:p w:rsidR="008153D9" w:rsidRDefault="009D55F8" w:rsidP="009D55F8">
      <w:pPr>
        <w:pStyle w:val="BodyText"/>
      </w:pPr>
      <w:r w:rsidRPr="005F7914">
        <w:t xml:space="preserve">In 2010 </w:t>
      </w:r>
      <w:smartTag w:uri="urn:schemas-microsoft-com:office:smarttags" w:element="place">
        <w:smartTag w:uri="urn:schemas-microsoft-com:office:smarttags" w:element="country-region">
          <w:r w:rsidRPr="005F7914">
            <w:t>Australia</w:t>
          </w:r>
        </w:smartTag>
      </w:smartTag>
      <w:r w:rsidRPr="005F7914">
        <w:t xml:space="preserve"> assisted the Government to increase basic education quality by supporting the provision of Tetum and Portuguese language supplementary learning materials to every school and child in the country. Further, 313 classrooms were rehabilitated and 84 classrooms </w:t>
      </w:r>
    </w:p>
    <w:p w:rsidR="008153D9" w:rsidRDefault="008153D9" w:rsidP="008153D9">
      <w:pPr>
        <w:pStyle w:val="Subtitle"/>
        <w:rPr>
          <w:rFonts w:ascii="Georgia" w:hAnsi="Georgia"/>
          <w:sz w:val="19"/>
          <w:szCs w:val="19"/>
        </w:rPr>
      </w:pPr>
      <w:r>
        <w:br w:type="page"/>
      </w:r>
    </w:p>
    <w:p w:rsidR="009D55F8" w:rsidRPr="005F7914" w:rsidRDefault="009D55F8" w:rsidP="009D55F8">
      <w:pPr>
        <w:pStyle w:val="BodyText"/>
      </w:pPr>
      <w:r w:rsidRPr="005F7914">
        <w:lastRenderedPageBreak/>
        <w:t>constructed by the Government, with E</w:t>
      </w:r>
      <w:r w:rsidR="007418D0">
        <w:t>ducation Sector Support Program</w:t>
      </w:r>
      <w:r w:rsidRPr="005F7914">
        <w:t xml:space="preserve"> technical support, </w:t>
      </w:r>
      <w:r w:rsidR="007409FB">
        <w:t>throughout</w:t>
      </w:r>
      <w:r w:rsidRPr="005F7914">
        <w:t xml:space="preserve"> 2010.</w:t>
      </w:r>
    </w:p>
    <w:p w:rsidR="009D55F8" w:rsidRPr="005F7914" w:rsidRDefault="009D55F8" w:rsidP="009D55F8">
      <w:pPr>
        <w:pStyle w:val="BodyText"/>
        <w:rPr>
          <w:i/>
        </w:rPr>
      </w:pPr>
      <w:r w:rsidRPr="005F7914">
        <w:rPr>
          <w:i/>
        </w:rPr>
        <w:t xml:space="preserve">By 2012, at the national, regional and school levels there is the capacity to provide effective and efficient </w:t>
      </w:r>
      <w:r w:rsidRPr="005F7914">
        <w:rPr>
          <w:b/>
          <w:i/>
        </w:rPr>
        <w:t>education management</w:t>
      </w:r>
      <w:r w:rsidRPr="005F7914">
        <w:rPr>
          <w:i/>
        </w:rPr>
        <w:t xml:space="preserve"> against the </w:t>
      </w:r>
      <w:r w:rsidR="007409FB">
        <w:rPr>
          <w:i/>
        </w:rPr>
        <w:t>s</w:t>
      </w:r>
      <w:r w:rsidRPr="005F7914">
        <w:rPr>
          <w:i/>
        </w:rPr>
        <w:t xml:space="preserve">trategic </w:t>
      </w:r>
      <w:r w:rsidR="007409FB">
        <w:rPr>
          <w:i/>
        </w:rPr>
        <w:t>p</w:t>
      </w:r>
      <w:r w:rsidRPr="005F7914">
        <w:rPr>
          <w:i/>
        </w:rPr>
        <w:t>lan</w:t>
      </w:r>
    </w:p>
    <w:p w:rsidR="009D55F8" w:rsidRPr="005F7914" w:rsidRDefault="009D55F8" w:rsidP="009D55F8">
      <w:pPr>
        <w:pStyle w:val="BodyText"/>
      </w:pPr>
      <w:r w:rsidRPr="005F7914">
        <w:t>Medium</w:t>
      </w:r>
      <w:r w:rsidR="007409FB">
        <w:t>-</w:t>
      </w:r>
      <w:r w:rsidRPr="005F7914">
        <w:t xml:space="preserve">term </w:t>
      </w:r>
      <w:r w:rsidR="007409FB">
        <w:t>g</w:t>
      </w:r>
      <w:r w:rsidRPr="005F7914">
        <w:t>overnment budget allocations to the sector are uncertain, which thr</w:t>
      </w:r>
      <w:r w:rsidR="003A1AF9">
        <w:t>eatens the roll-out of the M</w:t>
      </w:r>
      <w:r w:rsidR="00352900">
        <w:t>inistry of Education</w:t>
      </w:r>
      <w:r w:rsidR="007409FB">
        <w:t>’</w:t>
      </w:r>
      <w:r w:rsidRPr="005F7914">
        <w:t xml:space="preserve">s </w:t>
      </w:r>
      <w:r w:rsidR="007409FB">
        <w:t>s</w:t>
      </w:r>
      <w:r w:rsidRPr="005F7914">
        <w:t xml:space="preserve">trategic </w:t>
      </w:r>
      <w:r w:rsidR="007409FB">
        <w:t>p</w:t>
      </w:r>
      <w:r w:rsidRPr="005F7914">
        <w:t xml:space="preserve">lan. However, with Australia’s support, budget execution for the entire </w:t>
      </w:r>
      <w:r w:rsidR="00352900">
        <w:t>ministry</w:t>
      </w:r>
      <w:r w:rsidRPr="005F7914">
        <w:t>, including salaries, capital development, minor capital and good and services has improved to approximately 98</w:t>
      </w:r>
      <w:r>
        <w:t xml:space="preserve"> per cent</w:t>
      </w:r>
      <w:r w:rsidRPr="005F7914">
        <w:t xml:space="preserve"> in 2010.</w:t>
      </w:r>
      <w:r w:rsidRPr="005F7914">
        <w:rPr>
          <w:rStyle w:val="FootnoteReference"/>
        </w:rPr>
        <w:t xml:space="preserve"> </w:t>
      </w:r>
      <w:r w:rsidRPr="005F7914">
        <w:rPr>
          <w:rStyle w:val="FootnoteReference"/>
        </w:rPr>
        <w:footnoteReference w:id="30"/>
      </w:r>
      <w:r w:rsidRPr="005F7914">
        <w:t xml:space="preserve"> Additionally, Australian support has assisted in the deployment of the Education Management Information System, which allows the M</w:t>
      </w:r>
      <w:r w:rsidR="00352900">
        <w:t>inistry of Education</w:t>
      </w:r>
      <w:r w:rsidRPr="005F7914">
        <w:t xml:space="preserve"> to collect critical data on the education sector and provide grounds for stronger evidence-based policy, planning and budgeting. However, this is not yet informing management decisions within </w:t>
      </w:r>
      <w:r w:rsidR="00352900">
        <w:t>the ministry</w:t>
      </w:r>
      <w:r w:rsidRPr="005F7914">
        <w:t xml:space="preserve">. </w:t>
      </w:r>
      <w:r w:rsidR="00352900">
        <w:t>Its</w:t>
      </w:r>
      <w:r w:rsidRPr="005F7914">
        <w:t xml:space="preserve"> procurement, PFM and logistics systems also remain weak. The </w:t>
      </w:r>
      <w:r w:rsidR="007409FB">
        <w:t>m</w:t>
      </w:r>
      <w:r w:rsidRPr="005F7914">
        <w:t>inistry still highly depend</w:t>
      </w:r>
      <w:r w:rsidR="007409FB">
        <w:t>s</w:t>
      </w:r>
      <w:r w:rsidRPr="005F7914">
        <w:t xml:space="preserve"> on technical assistance. This needs to be acknowledged as unavoidable for the medium term or addressed </w:t>
      </w:r>
      <w:r w:rsidR="007409FB">
        <w:t>by</w:t>
      </w:r>
      <w:r w:rsidR="007409FB" w:rsidRPr="005F7914">
        <w:t xml:space="preserve"> </w:t>
      </w:r>
      <w:r w:rsidRPr="005F7914">
        <w:t xml:space="preserve">exploring new ways to build local capacity. </w:t>
      </w:r>
    </w:p>
    <w:p w:rsidR="009D55F8" w:rsidRPr="005F7914" w:rsidRDefault="009D55F8" w:rsidP="009D55F8">
      <w:pPr>
        <w:pStyle w:val="BodyText"/>
      </w:pPr>
      <w:r w:rsidRPr="005F7914">
        <w:t xml:space="preserve">In 2011, the Government plans to implement the </w:t>
      </w:r>
      <w:r w:rsidRPr="003A1AF9">
        <w:rPr>
          <w:i/>
        </w:rPr>
        <w:t>Escola Basica</w:t>
      </w:r>
      <w:r w:rsidRPr="005F7914">
        <w:t xml:space="preserve"> (school cluster) initiative which seeks to reform the way schools are managed to ensure greater responsibility at the service delivery frontline of the school and regional level. The initiative will focus on child-centred learning and seeks to improve distribution of learning materials and school meals. This significant reform will be a clear test of the M</w:t>
      </w:r>
      <w:r w:rsidR="00352900">
        <w:t>inistry of Education</w:t>
      </w:r>
      <w:r w:rsidR="007409FB">
        <w:t>’</w:t>
      </w:r>
      <w:r w:rsidRPr="005F7914">
        <w:t>s relatively weak procurement, logistics and distribution systems.</w:t>
      </w:r>
    </w:p>
    <w:p w:rsidR="009D55F8" w:rsidRPr="005F7914" w:rsidRDefault="009D55F8" w:rsidP="009D55F8">
      <w:pPr>
        <w:pStyle w:val="BodyText"/>
        <w:rPr>
          <w:i/>
        </w:rPr>
      </w:pPr>
      <w:r w:rsidRPr="005F7914">
        <w:rPr>
          <w:i/>
        </w:rPr>
        <w:t xml:space="preserve">A </w:t>
      </w:r>
      <w:r w:rsidRPr="005F7914">
        <w:rPr>
          <w:b/>
          <w:i/>
        </w:rPr>
        <w:t>tertiary and vocational education competency framework</w:t>
      </w:r>
      <w:r w:rsidRPr="005F7914">
        <w:rPr>
          <w:i/>
        </w:rPr>
        <w:t xml:space="preserve"> is developed to support recognition of Timor-Leste qualifications and create stronger links with the labour market.</w:t>
      </w:r>
    </w:p>
    <w:p w:rsidR="009D55F8" w:rsidRPr="005F7914" w:rsidRDefault="009D55F8" w:rsidP="009D55F8">
      <w:pPr>
        <w:pStyle w:val="BodyText"/>
      </w:pPr>
      <w:r w:rsidRPr="005F7914">
        <w:t xml:space="preserve">In 2010 the Government undertook </w:t>
      </w:r>
      <w:r w:rsidR="007409FB">
        <w:t>its</w:t>
      </w:r>
      <w:r w:rsidR="007409FB" w:rsidRPr="005F7914">
        <w:t xml:space="preserve"> </w:t>
      </w:r>
      <w:r w:rsidRPr="005F7914">
        <w:t>first ever National Labour Force Survey, which will provide a valuable evidence</w:t>
      </w:r>
      <w:r w:rsidR="007409FB">
        <w:t>-</w:t>
      </w:r>
      <w:r w:rsidRPr="005F7914">
        <w:t>base for policy development. The Government also developed the National Qualifications Framework</w:t>
      </w:r>
      <w:r w:rsidR="007409FB">
        <w:t>,</w:t>
      </w:r>
      <w:r w:rsidRPr="005F7914">
        <w:t xml:space="preserve"> which indicates the minimum standards to be met for completi</w:t>
      </w:r>
      <w:r w:rsidR="007409FB">
        <w:t>ng</w:t>
      </w:r>
      <w:r w:rsidRPr="005F7914">
        <w:t xml:space="preserve"> recognised and accredited tertiary-level qualifications (including at secondary technical and vocational level</w:t>
      </w:r>
      <w:r w:rsidR="007409FB">
        <w:t>s</w:t>
      </w:r>
      <w:r w:rsidRPr="005F7914">
        <w:t>) and should</w:t>
      </w:r>
      <w:r w:rsidR="007409FB">
        <w:t>,</w:t>
      </w:r>
      <w:r w:rsidRPr="005F7914">
        <w:t xml:space="preserve"> over time</w:t>
      </w:r>
      <w:r w:rsidR="007409FB">
        <w:t>,</w:t>
      </w:r>
      <w:r w:rsidRPr="005F7914">
        <w:t xml:space="preserve"> ensure teaching qualifications are based on standardised levels of competency</w:t>
      </w:r>
      <w:r w:rsidR="00BD0B39">
        <w:t xml:space="preserve">. </w:t>
      </w:r>
    </w:p>
    <w:p w:rsidR="009D55F8" w:rsidRPr="005F7914" w:rsidRDefault="009D55F8" w:rsidP="009D55F8">
      <w:pPr>
        <w:pStyle w:val="BodyText"/>
      </w:pPr>
      <w:r w:rsidRPr="005F7914">
        <w:t xml:space="preserve">Australia contributed technical assistance and funding to support the </w:t>
      </w:r>
      <w:r w:rsidR="004633BA" w:rsidRPr="004633BA">
        <w:t xml:space="preserve">National Labour Force Survey </w:t>
      </w:r>
      <w:r w:rsidRPr="005F7914">
        <w:t xml:space="preserve">and the initial development of the </w:t>
      </w:r>
      <w:r w:rsidR="004633BA" w:rsidRPr="004633BA">
        <w:t>Na</w:t>
      </w:r>
      <w:r w:rsidR="004633BA">
        <w:t>tional Qualifications Framework</w:t>
      </w:r>
      <w:r w:rsidRPr="005F7914">
        <w:t>. Australia also continued to support the National Labour Force Development Institute to establish an industry driven, competency</w:t>
      </w:r>
      <w:r w:rsidR="007409FB">
        <w:t>-</w:t>
      </w:r>
      <w:r w:rsidRPr="005F7914">
        <w:t xml:space="preserve">based tertiary qualification system. A key priority for 2011 will be the development of a pool of qualified trainers to deliver these qualifications. </w:t>
      </w:r>
      <w:r w:rsidR="007409FB">
        <w:t xml:space="preserve">The </w:t>
      </w:r>
      <w:r w:rsidR="004633BA" w:rsidRPr="004633BA">
        <w:t xml:space="preserve">National Labour Force Development Institute </w:t>
      </w:r>
      <w:r w:rsidRPr="005F7914">
        <w:t>is increasingly operating with a much-decreased reliance on international technical advice.</w:t>
      </w:r>
    </w:p>
    <w:p w:rsidR="009D55F8" w:rsidRPr="005F7914" w:rsidRDefault="009D55F8" w:rsidP="006A7098">
      <w:pPr>
        <w:pStyle w:val="H3"/>
      </w:pPr>
      <w:bookmarkStart w:id="10" w:name="_Toc360973006"/>
      <w:r w:rsidRPr="005F7914">
        <w:t>Management consequences</w:t>
      </w:r>
      <w:bookmarkEnd w:id="10"/>
      <w:r w:rsidRPr="005F7914">
        <w:t xml:space="preserve"> </w:t>
      </w:r>
    </w:p>
    <w:p w:rsidR="008153D9" w:rsidRDefault="008153D9">
      <w:pPr>
        <w:rPr>
          <w:rFonts w:ascii="Georgia" w:hAnsi="Georgia"/>
          <w:sz w:val="19"/>
          <w:szCs w:val="19"/>
        </w:rPr>
      </w:pPr>
      <w:r>
        <w:br w:type="page"/>
      </w:r>
    </w:p>
    <w:p w:rsidR="009D55F8" w:rsidRPr="005F7914" w:rsidRDefault="009D55F8" w:rsidP="009D55F8">
      <w:pPr>
        <w:pStyle w:val="BodyText"/>
      </w:pPr>
      <w:r w:rsidRPr="005F7914">
        <w:lastRenderedPageBreak/>
        <w:t>Jointly with New Zealand, Australia will embark on a change in strategic focus through the design of a new sector program</w:t>
      </w:r>
      <w:r w:rsidR="007409FB">
        <w:t xml:space="preserve"> for Timor-Leste</w:t>
      </w:r>
      <w:r w:rsidRPr="005F7914">
        <w:t xml:space="preserve"> that will ensure: </w:t>
      </w:r>
    </w:p>
    <w:p w:rsidR="006A7098" w:rsidRDefault="009D55F8" w:rsidP="00244182">
      <w:pPr>
        <w:pStyle w:val="BodyText"/>
        <w:numPr>
          <w:ilvl w:val="0"/>
          <w:numId w:val="18"/>
        </w:numPr>
      </w:pPr>
      <w:r w:rsidRPr="005F7914">
        <w:t xml:space="preserve">A delivery strategy by the end of 2011 </w:t>
      </w:r>
      <w:r w:rsidR="007409FB">
        <w:t>to</w:t>
      </w:r>
      <w:r w:rsidRPr="005F7914">
        <w:t xml:space="preserve"> guide AusAID’s engagement in the sector, particularly the development of a new program of ongoing support to replace the E</w:t>
      </w:r>
      <w:r w:rsidR="007418D0">
        <w:t>ducation Sector Support Program</w:t>
      </w:r>
      <w:r w:rsidRPr="005F7914">
        <w:t>.</w:t>
      </w:r>
    </w:p>
    <w:p w:rsidR="006A7098" w:rsidRDefault="009D55F8" w:rsidP="00244182">
      <w:pPr>
        <w:pStyle w:val="BodyText"/>
        <w:numPr>
          <w:ilvl w:val="0"/>
          <w:numId w:val="18"/>
        </w:numPr>
      </w:pPr>
      <w:r w:rsidRPr="005F7914">
        <w:t>A package of interim measures to support the early implementation of the National Education Strategic Plan and cover capacity needs between the conclusion</w:t>
      </w:r>
      <w:r w:rsidR="007409FB">
        <w:t xml:space="preserve"> of existing donor programs</w:t>
      </w:r>
      <w:r w:rsidRPr="005F7914">
        <w:t xml:space="preserve"> and</w:t>
      </w:r>
      <w:r w:rsidR="007409FB">
        <w:t xml:space="preserve"> the</w:t>
      </w:r>
      <w:r w:rsidRPr="005F7914">
        <w:t xml:space="preserve"> start of new </w:t>
      </w:r>
      <w:r w:rsidR="007409FB">
        <w:t>ones</w:t>
      </w:r>
      <w:r w:rsidRPr="005F7914">
        <w:t>.</w:t>
      </w:r>
    </w:p>
    <w:p w:rsidR="006A7098" w:rsidRDefault="009D55F8" w:rsidP="00244182">
      <w:pPr>
        <w:pStyle w:val="BodyText"/>
        <w:numPr>
          <w:ilvl w:val="0"/>
          <w:numId w:val="18"/>
        </w:numPr>
      </w:pPr>
      <w:r w:rsidRPr="005F7914">
        <w:t xml:space="preserve"> A research agenda to identify the needs of the sector and assist in the development of  more effective and targeted programs by all donors.</w:t>
      </w:r>
    </w:p>
    <w:p w:rsidR="006A7098" w:rsidRDefault="009D55F8" w:rsidP="00244182">
      <w:pPr>
        <w:pStyle w:val="BodyText"/>
        <w:numPr>
          <w:ilvl w:val="0"/>
          <w:numId w:val="18"/>
        </w:numPr>
      </w:pPr>
      <w:r w:rsidRPr="005F7914">
        <w:t xml:space="preserve"> More direct policy engagement with </w:t>
      </w:r>
      <w:r w:rsidR="007409FB">
        <w:t xml:space="preserve">the </w:t>
      </w:r>
      <w:r w:rsidRPr="005F7914">
        <w:t>M</w:t>
      </w:r>
      <w:r w:rsidR="00EC7B76">
        <w:t>inistry of Education</w:t>
      </w:r>
      <w:r w:rsidRPr="005F7914">
        <w:t xml:space="preserve"> and other development partners, supported by an </w:t>
      </w:r>
      <w:r w:rsidR="007409FB">
        <w:t>e</w:t>
      </w:r>
      <w:r w:rsidRPr="005F7914">
        <w:t xml:space="preserve">ducation </w:t>
      </w:r>
      <w:r w:rsidR="007409FB">
        <w:t>a</w:t>
      </w:r>
      <w:r w:rsidRPr="005F7914">
        <w:t>dviser.</w:t>
      </w:r>
    </w:p>
    <w:p w:rsidR="006A7098" w:rsidRDefault="009D55F8" w:rsidP="00244182">
      <w:pPr>
        <w:pStyle w:val="BodyText"/>
        <w:numPr>
          <w:ilvl w:val="0"/>
          <w:numId w:val="18"/>
        </w:numPr>
      </w:pPr>
      <w:r w:rsidRPr="005F7914">
        <w:t xml:space="preserve"> Assistance to the </w:t>
      </w:r>
      <w:r w:rsidR="00A85F7E" w:rsidRPr="00A85F7E">
        <w:t>M</w:t>
      </w:r>
      <w:r w:rsidR="00EC7B76">
        <w:t>inistry of Education</w:t>
      </w:r>
      <w:r w:rsidR="00A85F7E" w:rsidRPr="005F7914">
        <w:t xml:space="preserve"> </w:t>
      </w:r>
      <w:r w:rsidRPr="005F7914">
        <w:t>to ensure the core components of the National Education Strategic Plan can be implemented effectively.</w:t>
      </w:r>
    </w:p>
    <w:p w:rsidR="006A7098" w:rsidRDefault="009D55F8" w:rsidP="00244182">
      <w:pPr>
        <w:pStyle w:val="BodyText"/>
        <w:numPr>
          <w:ilvl w:val="0"/>
          <w:numId w:val="18"/>
        </w:numPr>
      </w:pPr>
      <w:r w:rsidRPr="005F7914">
        <w:t xml:space="preserve"> A stronger focus on gains at service delivery level</w:t>
      </w:r>
      <w:r w:rsidR="007409FB">
        <w:t xml:space="preserve"> and</w:t>
      </w:r>
      <w:r w:rsidRPr="005F7914">
        <w:t xml:space="preserve"> on achieving tangible gains in literacy and </w:t>
      </w:r>
      <w:r w:rsidR="007409FB">
        <w:t xml:space="preserve">the </w:t>
      </w:r>
      <w:r w:rsidRPr="005F7914">
        <w:t>learning achievement of children.</w:t>
      </w:r>
      <w:r w:rsidR="007409FB">
        <w:t xml:space="preserve"> </w:t>
      </w:r>
      <w:r w:rsidRPr="005F7914">
        <w:t>This will include creating conditions for more equitable access to education (</w:t>
      </w:r>
      <w:r w:rsidR="00A9702E">
        <w:t>for example,</w:t>
      </w:r>
      <w:r w:rsidRPr="005F7914">
        <w:t xml:space="preserve"> rural students and girls)</w:t>
      </w:r>
      <w:r w:rsidR="007409FB">
        <w:t>,</w:t>
      </w:r>
      <w:r w:rsidRPr="005F7914">
        <w:t xml:space="preserve"> including stronger engagement in teacher training, curriculum development, school management and learning materials.</w:t>
      </w:r>
    </w:p>
    <w:p w:rsidR="009D55F8" w:rsidRPr="005F7914" w:rsidRDefault="009D55F8" w:rsidP="00244182">
      <w:pPr>
        <w:pStyle w:val="BodyText"/>
        <w:numPr>
          <w:ilvl w:val="0"/>
          <w:numId w:val="18"/>
        </w:numPr>
      </w:pPr>
      <w:r w:rsidRPr="005F7914">
        <w:t xml:space="preserve"> </w:t>
      </w:r>
      <w:r w:rsidR="007409FB">
        <w:t>A</w:t>
      </w:r>
      <w:r w:rsidRPr="005F7914">
        <w:t xml:space="preserve"> multi-sector response to improve nutrition in Timor-Leste, through support to education, health and food security.</w:t>
      </w:r>
    </w:p>
    <w:p w:rsidR="009D55F8" w:rsidRPr="005F7914" w:rsidRDefault="009D55F8" w:rsidP="009D55F8">
      <w:pPr>
        <w:pStyle w:val="Heading2"/>
        <w:keepNext/>
        <w:spacing w:before="240"/>
        <w:ind w:left="0"/>
      </w:pPr>
      <w:bookmarkStart w:id="11" w:name="_Toc360973007"/>
      <w:r w:rsidRPr="005F7914">
        <w:t xml:space="preserve">Sector: Rural </w:t>
      </w:r>
      <w:r w:rsidR="007409FB">
        <w:t>w</w:t>
      </w:r>
      <w:r w:rsidRPr="005F7914">
        <w:t xml:space="preserve">ater, </w:t>
      </w:r>
      <w:r w:rsidR="007409FB">
        <w:t>s</w:t>
      </w:r>
      <w:r w:rsidRPr="005F7914">
        <w:t xml:space="preserve">anitation and </w:t>
      </w:r>
      <w:r w:rsidR="007409FB">
        <w:t>h</w:t>
      </w:r>
      <w:r w:rsidRPr="005F7914">
        <w:t xml:space="preserve">ygiene </w:t>
      </w:r>
      <w:r w:rsidR="007409FB">
        <w:t>b</w:t>
      </w:r>
      <w:r w:rsidRPr="005F7914">
        <w:t xml:space="preserve">ehaviour </w:t>
      </w:r>
      <w:r w:rsidR="007409FB">
        <w:t>c</w:t>
      </w:r>
      <w:r w:rsidRPr="005F7914">
        <w:t>hange</w:t>
      </w:r>
      <w:bookmarkEnd w:id="11"/>
    </w:p>
    <w:p w:rsidR="009D55F8" w:rsidRPr="005F7914" w:rsidRDefault="009D55F8" w:rsidP="006A7098">
      <w:pPr>
        <w:pStyle w:val="H3"/>
      </w:pPr>
      <w:bookmarkStart w:id="12" w:name="_Toc360973008"/>
      <w:r w:rsidRPr="005F7914">
        <w:t xml:space="preserve">Sector </w:t>
      </w:r>
      <w:r w:rsidR="00DE666D">
        <w:t>c</w:t>
      </w:r>
      <w:r w:rsidRPr="005F7914">
        <w:t>ontext</w:t>
      </w:r>
      <w:bookmarkEnd w:id="12"/>
    </w:p>
    <w:p w:rsidR="009D55F8" w:rsidRPr="005F7914" w:rsidRDefault="009D55F8" w:rsidP="009D55F8">
      <w:pPr>
        <w:pStyle w:val="BodyText"/>
      </w:pPr>
      <w:r w:rsidRPr="005F7914">
        <w:t>Access to safe water is improving with increased government commitment, but in rural areas only 63</w:t>
      </w:r>
      <w:r>
        <w:t xml:space="preserve"> per cent</w:t>
      </w:r>
      <w:r w:rsidRPr="005F7914">
        <w:t xml:space="preserve"> of the population have access to adequate water supply and only 39</w:t>
      </w:r>
      <w:r>
        <w:t xml:space="preserve"> per cent</w:t>
      </w:r>
      <w:r w:rsidRPr="005F7914">
        <w:t xml:space="preserve"> have access to improved sanitation.</w:t>
      </w:r>
      <w:r w:rsidRPr="005F7914">
        <w:rPr>
          <w:rStyle w:val="FootnoteReference"/>
        </w:rPr>
        <w:footnoteReference w:id="31"/>
      </w:r>
      <w:r w:rsidRPr="005F7914">
        <w:t xml:space="preserve"> However, if the current investment by the Government and development partners is maintained, it is possible for Timor-Leste to achieve the Millennium Development Goal for access to safe water by 2015.</w:t>
      </w:r>
      <w:r w:rsidRPr="005F7914">
        <w:rPr>
          <w:rStyle w:val="FootnoteReference"/>
        </w:rPr>
        <w:footnoteReference w:id="32"/>
      </w:r>
      <w:r w:rsidRPr="005F7914">
        <w:t xml:space="preserve"> Australia is the largest donor in the sector and the only donor working within </w:t>
      </w:r>
      <w:r w:rsidR="007409FB">
        <w:t>the GoTL</w:t>
      </w:r>
      <w:r w:rsidRPr="005F7914">
        <w:t>.</w:t>
      </w:r>
    </w:p>
    <w:p w:rsidR="009D55F8" w:rsidRPr="005F7914" w:rsidRDefault="009D55F8" w:rsidP="006A7098">
      <w:pPr>
        <w:pStyle w:val="H3"/>
      </w:pPr>
      <w:bookmarkStart w:id="13" w:name="_Toc360973009"/>
      <w:r w:rsidRPr="005F7914">
        <w:t xml:space="preserve">Shared </w:t>
      </w:r>
      <w:r w:rsidR="00DE666D">
        <w:t>p</w:t>
      </w:r>
      <w:r w:rsidRPr="005F7914">
        <w:t>rogress</w:t>
      </w:r>
      <w:bookmarkEnd w:id="13"/>
    </w:p>
    <w:p w:rsidR="009D55F8" w:rsidRPr="005F7914" w:rsidRDefault="009D55F8" w:rsidP="009D55F8">
      <w:pPr>
        <w:pStyle w:val="BodyText"/>
        <w:rPr>
          <w:i/>
        </w:rPr>
      </w:pPr>
      <w:r w:rsidRPr="005F7914">
        <w:rPr>
          <w:i/>
        </w:rPr>
        <w:t xml:space="preserve">District and central authorities improve </w:t>
      </w:r>
      <w:r w:rsidRPr="005F7914">
        <w:rPr>
          <w:b/>
          <w:i/>
        </w:rPr>
        <w:t>planning and resourcing</w:t>
      </w:r>
      <w:r w:rsidRPr="005F7914">
        <w:rPr>
          <w:i/>
        </w:rPr>
        <w:t xml:space="preserve"> for sustainable and equitable delivery of rural water, sanitation and hygiene services </w:t>
      </w:r>
    </w:p>
    <w:p w:rsidR="008153D9" w:rsidRDefault="009D55F8" w:rsidP="009D55F8">
      <w:pPr>
        <w:pStyle w:val="BodyText"/>
      </w:pPr>
      <w:r w:rsidRPr="005F7914">
        <w:t>In 2010, the Go</w:t>
      </w:r>
      <w:r w:rsidR="007409FB">
        <w:t>TL</w:t>
      </w:r>
      <w:r w:rsidRPr="005F7914">
        <w:t xml:space="preserve"> demonstrated its commitment</w:t>
      </w:r>
      <w:r w:rsidR="007409FB">
        <w:t xml:space="preserve"> to the sector</w:t>
      </w:r>
      <w:r w:rsidRPr="005F7914">
        <w:t xml:space="preserve"> by approving an increase in budget allocation for rural water (US</w:t>
      </w:r>
      <w:r w:rsidR="003A1AF9">
        <w:t>$</w:t>
      </w:r>
      <w:r w:rsidRPr="005F7914">
        <w:t>8.9 million in 2011, up from US</w:t>
      </w:r>
      <w:r w:rsidR="003A1AF9">
        <w:t>$</w:t>
      </w:r>
      <w:r w:rsidRPr="005F7914">
        <w:t xml:space="preserve">5.7 million in 2010) </w:t>
      </w:r>
    </w:p>
    <w:p w:rsidR="008153D9" w:rsidRDefault="008153D9" w:rsidP="008153D9">
      <w:pPr>
        <w:pStyle w:val="Subtitle"/>
        <w:rPr>
          <w:rFonts w:ascii="Georgia" w:hAnsi="Georgia"/>
          <w:sz w:val="19"/>
          <w:szCs w:val="19"/>
        </w:rPr>
      </w:pPr>
      <w:r>
        <w:br w:type="page"/>
      </w:r>
    </w:p>
    <w:p w:rsidR="009D55F8" w:rsidRPr="005F7914" w:rsidRDefault="009D55F8" w:rsidP="009D55F8">
      <w:pPr>
        <w:pStyle w:val="BodyText"/>
      </w:pPr>
      <w:r w:rsidRPr="005F7914">
        <w:lastRenderedPageBreak/>
        <w:t>and sanitation (US</w:t>
      </w:r>
      <w:r w:rsidR="003A1AF9">
        <w:t>$</w:t>
      </w:r>
      <w:r w:rsidRPr="005F7914">
        <w:t>760</w:t>
      </w:r>
      <w:r w:rsidR="003A1AF9">
        <w:t> </w:t>
      </w:r>
      <w:r w:rsidRPr="005F7914">
        <w:t>000 in 2011, up from US</w:t>
      </w:r>
      <w:r w:rsidR="003A1AF9">
        <w:t>$200 </w:t>
      </w:r>
      <w:r w:rsidRPr="005F7914">
        <w:t>000 in 2010).</w:t>
      </w:r>
      <w:r w:rsidRPr="005F7914">
        <w:rPr>
          <w:rStyle w:val="FootnoteReference"/>
        </w:rPr>
        <w:footnoteReference w:id="33"/>
      </w:r>
      <w:r w:rsidRPr="005F7914">
        <w:t xml:space="preserve"> It also allocated funding for water system maintenance for the first time in 2011 and funded the employment of 88 additional staff at sub-district level (previously Australian-funded)</w:t>
      </w:r>
      <w:r w:rsidR="003A1AF9">
        <w:t>—</w:t>
      </w:r>
      <w:r w:rsidRPr="005F7914">
        <w:t>due in part to Australia’s influence</w:t>
      </w:r>
      <w:r w:rsidR="00BD0B39">
        <w:t xml:space="preserve">. </w:t>
      </w:r>
    </w:p>
    <w:p w:rsidR="009D55F8" w:rsidRPr="005F7914" w:rsidRDefault="009D55F8" w:rsidP="009D55F8">
      <w:pPr>
        <w:pStyle w:val="BodyText"/>
      </w:pPr>
      <w:r w:rsidRPr="005F7914">
        <w:t xml:space="preserve">The Government also drafted a National Sanitation and Water Policy, revised </w:t>
      </w:r>
      <w:r w:rsidR="00E25455">
        <w:t>its</w:t>
      </w:r>
      <w:r w:rsidR="00E25455" w:rsidRPr="005F7914">
        <w:t xml:space="preserve"> </w:t>
      </w:r>
      <w:r w:rsidRPr="005F7914">
        <w:t>National Rural Water Guidelines, and delivered major improvements to monitoring and information management systems in the sector</w:t>
      </w:r>
      <w:r w:rsidR="003A1AF9">
        <w:t>—</w:t>
      </w:r>
      <w:r w:rsidRPr="005F7914">
        <w:t>all st</w:t>
      </w:r>
      <w:r w:rsidR="004633BA">
        <w:t xml:space="preserve">rongly supported by </w:t>
      </w:r>
      <w:r w:rsidR="009D6EC3">
        <w:t xml:space="preserve">the </w:t>
      </w:r>
      <w:r w:rsidRPr="005F7914">
        <w:t xml:space="preserve">RWSSP. </w:t>
      </w:r>
      <w:smartTag w:uri="urn:schemas-microsoft-com:office:smarttags" w:element="place">
        <w:smartTag w:uri="urn:schemas-microsoft-com:office:smarttags" w:element="country-region">
          <w:r w:rsidRPr="005F7914">
            <w:t>Australia</w:t>
          </w:r>
        </w:smartTag>
      </w:smartTag>
      <w:r w:rsidRPr="005F7914">
        <w:t xml:space="preserve"> is also helping the Government to plan how it can adapt to climate change by assessing the impact on water resources. </w:t>
      </w:r>
    </w:p>
    <w:p w:rsidR="009D55F8" w:rsidRPr="005F7914" w:rsidRDefault="009D55F8" w:rsidP="009D55F8">
      <w:pPr>
        <w:pStyle w:val="BodyText"/>
      </w:pPr>
      <w:r w:rsidRPr="005F7914">
        <w:t>However, there is still some way to go to improve annual planning, particularly at district level</w:t>
      </w:r>
      <w:r w:rsidR="00E25455">
        <w:t>, a</w:t>
      </w:r>
      <w:r w:rsidRPr="005F7914">
        <w:t xml:space="preserve">nd the absence of multi-year financial planning </w:t>
      </w:r>
      <w:r w:rsidR="00E25455">
        <w:t>limits</w:t>
      </w:r>
      <w:r w:rsidRPr="005F7914">
        <w:t xml:space="preserve"> ongoing certainty. </w:t>
      </w:r>
    </w:p>
    <w:p w:rsidR="009D55F8" w:rsidRPr="005F7914" w:rsidRDefault="009D55F8" w:rsidP="009D55F8">
      <w:pPr>
        <w:pStyle w:val="BodyText"/>
      </w:pPr>
      <w:r w:rsidRPr="005F7914">
        <w:t xml:space="preserve">A positive mid-term review of </w:t>
      </w:r>
      <w:r w:rsidR="009D6EC3">
        <w:t xml:space="preserve">the </w:t>
      </w:r>
      <w:r w:rsidRPr="005F7914">
        <w:t>RWSSP and the sector in 2010 encouraged Australia</w:t>
      </w:r>
      <w:r w:rsidR="00E25455">
        <w:t xml:space="preserve"> to shift it</w:t>
      </w:r>
      <w:r w:rsidRPr="005F7914">
        <w:t>s support toward us</w:t>
      </w:r>
      <w:r w:rsidR="00E25455">
        <w:t>ing</w:t>
      </w:r>
      <w:r w:rsidRPr="005F7914">
        <w:t xml:space="preserve"> </w:t>
      </w:r>
      <w:r w:rsidR="00E25455">
        <w:t>g</w:t>
      </w:r>
      <w:r w:rsidRPr="005F7914">
        <w:t>overnment financial and procurement systems for greater impact</w:t>
      </w:r>
      <w:r w:rsidR="00BD0B39">
        <w:t xml:space="preserve">. </w:t>
      </w:r>
      <w:r w:rsidRPr="005F7914">
        <w:t>The review noted there are a large but appropriate number of advisers given the low capacity of government</w:t>
      </w:r>
      <w:r w:rsidR="00BD0B39">
        <w:t xml:space="preserve">. </w:t>
      </w:r>
      <w:r w:rsidRPr="005F7914">
        <w:t xml:space="preserve">The Joint Adviser Review in 2010 confirmed this but </w:t>
      </w:r>
      <w:r w:rsidR="00E25455">
        <w:t xml:space="preserve">also </w:t>
      </w:r>
      <w:r w:rsidRPr="005F7914">
        <w:t xml:space="preserve">identified a number of advisers </w:t>
      </w:r>
      <w:r w:rsidR="00E25455">
        <w:t>who</w:t>
      </w:r>
      <w:r w:rsidR="00E25455" w:rsidRPr="005F7914">
        <w:t xml:space="preserve"> </w:t>
      </w:r>
      <w:r w:rsidRPr="005F7914">
        <w:t>could be phased out as government capacity increases.</w:t>
      </w:r>
    </w:p>
    <w:p w:rsidR="009D55F8" w:rsidRPr="005F7914" w:rsidRDefault="009D55F8" w:rsidP="009D55F8">
      <w:pPr>
        <w:pStyle w:val="BodyText"/>
      </w:pPr>
      <w:r w:rsidRPr="005F7914">
        <w:t>Australia has made strong contributions to gender equality and inclusiveness</w:t>
      </w:r>
      <w:r w:rsidR="00E25455">
        <w:t xml:space="preserve"> of people with disability</w:t>
      </w:r>
      <w:r w:rsidRPr="005F7914">
        <w:t xml:space="preserve"> in the water and sanitation sector. </w:t>
      </w:r>
      <w:r w:rsidR="00E25455">
        <w:t>The latter</w:t>
      </w:r>
      <w:r w:rsidRPr="005F7914">
        <w:t xml:space="preserve"> is included in needs analysis, regular stakeholder mainstreaming workshops and integration into the GoTL sanitation policy and program</w:t>
      </w:r>
      <w:r w:rsidR="00E25455">
        <w:t>m</w:t>
      </w:r>
      <w:r w:rsidRPr="005F7914">
        <w:t>ing</w:t>
      </w:r>
      <w:r w:rsidR="00BD0B39">
        <w:t xml:space="preserve">. </w:t>
      </w:r>
      <w:r w:rsidRPr="005F7914">
        <w:t xml:space="preserve">Australian support has promoted the active involvement of women and men in all design and maintenance activities, and promoted women as community facilitators and members of the water user groups. </w:t>
      </w:r>
    </w:p>
    <w:p w:rsidR="009D55F8" w:rsidRPr="005F7914" w:rsidRDefault="009D55F8" w:rsidP="009D55F8">
      <w:pPr>
        <w:pStyle w:val="BodyText"/>
        <w:rPr>
          <w:i/>
        </w:rPr>
      </w:pPr>
      <w:r w:rsidRPr="005F7914">
        <w:rPr>
          <w:i/>
        </w:rPr>
        <w:t xml:space="preserve">Increase in government and community capacity to build, rehabilitate and maintain </w:t>
      </w:r>
      <w:r w:rsidRPr="005F7914">
        <w:rPr>
          <w:b/>
          <w:i/>
        </w:rPr>
        <w:t>water supply</w:t>
      </w:r>
      <w:r w:rsidRPr="005F7914">
        <w:rPr>
          <w:i/>
        </w:rPr>
        <w:t xml:space="preserve"> systems</w:t>
      </w:r>
      <w:r w:rsidRPr="005F7914" w:rsidDel="0046338E">
        <w:rPr>
          <w:i/>
        </w:rPr>
        <w:t xml:space="preserve"> </w:t>
      </w:r>
    </w:p>
    <w:p w:rsidR="009D55F8" w:rsidRPr="005F7914" w:rsidRDefault="009D55F8" w:rsidP="009D55F8">
      <w:pPr>
        <w:pStyle w:val="BodyText"/>
      </w:pPr>
      <w:r w:rsidRPr="005F7914">
        <w:t xml:space="preserve">In 2010 </w:t>
      </w:r>
      <w:r w:rsidR="00BD0B39">
        <w:t>more than</w:t>
      </w:r>
      <w:r w:rsidRPr="005F7914">
        <w:t xml:space="preserve"> 60</w:t>
      </w:r>
      <w:r w:rsidR="003A1AF9">
        <w:t> </w:t>
      </w:r>
      <w:r w:rsidRPr="005F7914">
        <w:t>000 additional people in rural areas in Timor-Leste received access to improved water supply.</w:t>
      </w:r>
      <w:r w:rsidRPr="005F7914">
        <w:rPr>
          <w:rStyle w:val="FootnoteReference"/>
        </w:rPr>
        <w:footnoteReference w:id="34"/>
      </w:r>
      <w:r w:rsidRPr="005F7914">
        <w:t xml:space="preserve"> However, there is still some way to go in ensuring </w:t>
      </w:r>
      <w:r w:rsidR="00EC7B76">
        <w:t xml:space="preserve">that </w:t>
      </w:r>
      <w:r w:rsidRPr="005F7914">
        <w:t>systems are good quality and maintained</w:t>
      </w:r>
      <w:r w:rsidR="00BD0B39">
        <w:t xml:space="preserve">. </w:t>
      </w:r>
      <w:r w:rsidRPr="005F7914">
        <w:t>A 2009 study in two districts found that 70</w:t>
      </w:r>
      <w:r>
        <w:t xml:space="preserve"> per cent</w:t>
      </w:r>
      <w:r w:rsidRPr="005F7914">
        <w:t xml:space="preserve"> of rural water supply infrastructure was not fully functioning one year after construction.</w:t>
      </w:r>
      <w:r w:rsidRPr="005F7914">
        <w:rPr>
          <w:rStyle w:val="FootnoteReference"/>
        </w:rPr>
        <w:footnoteReference w:id="35"/>
      </w:r>
      <w:r w:rsidRPr="005F7914">
        <w:t xml:space="preserve"> Reasons include: poor design; unqualified contractors; inadequate materials and supervision; weak community involvement in the design, construction and operation; and irregular maintenance. These risks were heightened </w:t>
      </w:r>
      <w:r w:rsidR="00E25455">
        <w:t>when</w:t>
      </w:r>
      <w:r w:rsidR="00E25455" w:rsidRPr="005F7914">
        <w:t xml:space="preserve"> </w:t>
      </w:r>
      <w:r w:rsidRPr="005F7914">
        <w:t>the Government deci</w:t>
      </w:r>
      <w:r w:rsidR="00E25455">
        <w:t>ded</w:t>
      </w:r>
      <w:r w:rsidRPr="005F7914">
        <w:t xml:space="preserve"> to deliver water supply through its Decentralisation and Development Program</w:t>
      </w:r>
      <w:r w:rsidR="00E25455">
        <w:t xml:space="preserve"> because of the program’s</w:t>
      </w:r>
      <w:r w:rsidRPr="005F7914">
        <w:t xml:space="preserve"> weak </w:t>
      </w:r>
      <w:r w:rsidR="00E25455">
        <w:t xml:space="preserve">selection of </w:t>
      </w:r>
      <w:r w:rsidRPr="005F7914">
        <w:t>contractor</w:t>
      </w:r>
      <w:r w:rsidR="00E25455">
        <w:t xml:space="preserve">s, weak </w:t>
      </w:r>
      <w:r w:rsidRPr="005F7914">
        <w:t>supervision and poor quality work</w:t>
      </w:r>
      <w:r w:rsidR="00BD0B39">
        <w:t xml:space="preserve">. </w:t>
      </w:r>
    </w:p>
    <w:p w:rsidR="008153D9" w:rsidRDefault="009D55F8" w:rsidP="009D55F8">
      <w:pPr>
        <w:pStyle w:val="BodyText"/>
      </w:pPr>
      <w:r w:rsidRPr="005F7914">
        <w:t>Of the 60</w:t>
      </w:r>
      <w:r w:rsidR="003A1AF9">
        <w:t> </w:t>
      </w:r>
      <w:r w:rsidRPr="005F7914">
        <w:t xml:space="preserve">000 </w:t>
      </w:r>
      <w:r w:rsidR="00E25455" w:rsidRPr="005F7914">
        <w:t>additional people in rural areas receiv</w:t>
      </w:r>
      <w:r w:rsidR="00E25455">
        <w:t>ing</w:t>
      </w:r>
      <w:r w:rsidR="00E25455" w:rsidRPr="005F7914">
        <w:t xml:space="preserve"> access to improved water supply.</w:t>
      </w:r>
      <w:r w:rsidRPr="005F7914">
        <w:t xml:space="preserve"> 6000 benefited from Australian</w:t>
      </w:r>
      <w:r w:rsidR="00E25455">
        <w:t>-</w:t>
      </w:r>
      <w:r w:rsidRPr="005F7914">
        <w:t>constructed water systems and 19</w:t>
      </w:r>
      <w:r w:rsidR="003A1AF9">
        <w:t> </w:t>
      </w:r>
      <w:r w:rsidRPr="005F7914">
        <w:t xml:space="preserve">000 from </w:t>
      </w:r>
      <w:r w:rsidR="00E25455">
        <w:t>g</w:t>
      </w:r>
      <w:r w:rsidRPr="005F7914">
        <w:t xml:space="preserve">overnment constructed systems </w:t>
      </w:r>
      <w:r w:rsidR="00E25455">
        <w:t xml:space="preserve">drawing </w:t>
      </w:r>
      <w:r w:rsidRPr="005F7914">
        <w:t xml:space="preserve">on Australian support with surveying and design. Australia also helped the </w:t>
      </w:r>
      <w:r w:rsidR="00E25455">
        <w:t>GoTL</w:t>
      </w:r>
      <w:r w:rsidRPr="005F7914">
        <w:t xml:space="preserve"> develop a monitoring system </w:t>
      </w:r>
      <w:r w:rsidR="00E25455">
        <w:t>with</w:t>
      </w:r>
      <w:r w:rsidRPr="005F7914">
        <w:t xml:space="preserve"> data on the functionality of 90</w:t>
      </w:r>
      <w:r>
        <w:t xml:space="preserve"> per cent</w:t>
      </w:r>
      <w:r w:rsidRPr="005F7914">
        <w:t xml:space="preserve"> of the rural water supply systems</w:t>
      </w:r>
      <w:r w:rsidR="00BD0B39">
        <w:t xml:space="preserve">. </w:t>
      </w:r>
      <w:r w:rsidRPr="005F7914">
        <w:t>Australia has been training and supporting community-based</w:t>
      </w:r>
    </w:p>
    <w:p w:rsidR="008153D9" w:rsidRDefault="008153D9" w:rsidP="008153D9">
      <w:pPr>
        <w:pStyle w:val="Subtitle"/>
        <w:rPr>
          <w:rFonts w:ascii="Georgia" w:hAnsi="Georgia"/>
          <w:sz w:val="19"/>
          <w:szCs w:val="19"/>
        </w:rPr>
      </w:pPr>
      <w:r>
        <w:br w:type="page"/>
      </w:r>
    </w:p>
    <w:p w:rsidR="009D55F8" w:rsidRPr="005F7914" w:rsidRDefault="009D55F8" w:rsidP="009D55F8">
      <w:pPr>
        <w:pStyle w:val="BodyText"/>
      </w:pPr>
      <w:r w:rsidRPr="005F7914">
        <w:lastRenderedPageBreak/>
        <w:t xml:space="preserve"> water user groups to manage and maintain water systems. Women’s participation in these groups has increased from 18</w:t>
      </w:r>
      <w:r w:rsidR="00E25455">
        <w:t> </w:t>
      </w:r>
      <w:r>
        <w:t>per</w:t>
      </w:r>
      <w:r w:rsidR="00E25455">
        <w:t> </w:t>
      </w:r>
      <w:r>
        <w:t>cent</w:t>
      </w:r>
      <w:r w:rsidRPr="005F7914">
        <w:t xml:space="preserve"> to 38</w:t>
      </w:r>
      <w:r>
        <w:t xml:space="preserve"> per cent</w:t>
      </w:r>
      <w:r w:rsidR="00BD0B39">
        <w:t xml:space="preserve">. </w:t>
      </w:r>
      <w:r w:rsidRPr="005F7914">
        <w:t>Australia’s support for the monitoring system, the 88 sub-district staff, and the increasing number of water user groups has significantly increased the capacity to manage and monitor water systems</w:t>
      </w:r>
      <w:r w:rsidR="00BD0B39">
        <w:t xml:space="preserve">. </w:t>
      </w:r>
      <w:r w:rsidRPr="005F7914">
        <w:t>If appropriate resources are provided for operation and maintenance then more systems should remain functioning.</w:t>
      </w:r>
    </w:p>
    <w:p w:rsidR="009D55F8" w:rsidRPr="005F7914" w:rsidRDefault="009D55F8" w:rsidP="009D55F8">
      <w:pPr>
        <w:pStyle w:val="BodyText"/>
        <w:rPr>
          <w:i/>
        </w:rPr>
      </w:pPr>
      <w:r w:rsidRPr="005F7914">
        <w:rPr>
          <w:i/>
        </w:rPr>
        <w:t xml:space="preserve">Increase in government and community capacity to improve </w:t>
      </w:r>
      <w:r w:rsidRPr="005F7914">
        <w:rPr>
          <w:b/>
          <w:i/>
        </w:rPr>
        <w:t>hygiene and sanitation</w:t>
      </w:r>
      <w:r w:rsidRPr="005F7914">
        <w:rPr>
          <w:i/>
        </w:rPr>
        <w:t xml:space="preserve"> practices</w:t>
      </w:r>
      <w:r w:rsidRPr="005F7914" w:rsidDel="0046338E">
        <w:rPr>
          <w:i/>
        </w:rPr>
        <w:t xml:space="preserve"> </w:t>
      </w:r>
    </w:p>
    <w:p w:rsidR="009D55F8" w:rsidRPr="005F7914" w:rsidRDefault="009D55F8" w:rsidP="009D55F8">
      <w:pPr>
        <w:pStyle w:val="BodyText"/>
      </w:pPr>
      <w:r w:rsidRPr="005F7914">
        <w:t>The Government implemented community sanitation programs in 162 villages (out of a total 2228 villages)</w:t>
      </w:r>
      <w:r w:rsidR="00BD0B39">
        <w:t xml:space="preserve">. </w:t>
      </w:r>
      <w:r w:rsidRPr="005F7914">
        <w:t xml:space="preserve">Fifty five of these (17 directly supported by </w:t>
      </w:r>
      <w:smartTag w:uri="urn:schemas-microsoft-com:office:smarttags" w:element="place">
        <w:smartTag w:uri="urn:schemas-microsoft-com:office:smarttags" w:element="country-region">
          <w:r w:rsidRPr="005F7914">
            <w:t>Australia</w:t>
          </w:r>
        </w:smartTag>
      </w:smartTag>
      <w:r w:rsidRPr="005F7914">
        <w:t>) declared themselves ‘open defecation free’, with all people using latrines instead of encouraging the spread of disease by defecating in the open. While these figures are small, progress is expected to accelerate</w:t>
      </w:r>
      <w:r w:rsidR="00BD0B39">
        <w:t xml:space="preserve">. </w:t>
      </w:r>
      <w:r w:rsidRPr="005F7914">
        <w:t>In 2010 Australia provided around 7000 people with improved sanitation and promoted behaviour change of 1000 people to use hand</w:t>
      </w:r>
      <w:r w:rsidR="00E25455">
        <w:t>-</w:t>
      </w:r>
      <w:r w:rsidRPr="005F7914">
        <w:t>washing facilities with soap.</w:t>
      </w:r>
    </w:p>
    <w:p w:rsidR="009D55F8" w:rsidRPr="005F7914" w:rsidRDefault="009D55F8" w:rsidP="009D55F8">
      <w:pPr>
        <w:pStyle w:val="BodyText"/>
      </w:pPr>
      <w:r w:rsidRPr="005F7914">
        <w:t>In addition</w:t>
      </w:r>
      <w:r w:rsidR="00E25455">
        <w:t>,</w:t>
      </w:r>
      <w:r w:rsidRPr="005F7914">
        <w:t xml:space="preserve"> Australia funded a number of Australian NGOs in 2010 that collectively provided </w:t>
      </w:r>
      <w:r w:rsidR="00BD0B39">
        <w:t>more than</w:t>
      </w:r>
      <w:r w:rsidRPr="005F7914">
        <w:t xml:space="preserve"> 4000 people with improved access to rural water supply and/or sanitation.</w:t>
      </w:r>
    </w:p>
    <w:p w:rsidR="009D55F8" w:rsidRPr="005F7914" w:rsidRDefault="00DE666D" w:rsidP="006A7098">
      <w:pPr>
        <w:pStyle w:val="H3"/>
      </w:pPr>
      <w:bookmarkStart w:id="14" w:name="_Toc360973010"/>
      <w:r>
        <w:t>Management c</w:t>
      </w:r>
      <w:r w:rsidR="009D55F8" w:rsidRPr="005F7914">
        <w:t>onsequences</w:t>
      </w:r>
      <w:bookmarkEnd w:id="14"/>
    </w:p>
    <w:p w:rsidR="009D55F8" w:rsidRPr="005F7914" w:rsidRDefault="009D55F8" w:rsidP="009D55F8">
      <w:pPr>
        <w:pStyle w:val="BodyText"/>
      </w:pPr>
      <w:r w:rsidRPr="005F7914">
        <w:t xml:space="preserve">In 2011 </w:t>
      </w:r>
      <w:smartTag w:uri="urn:schemas-microsoft-com:office:smarttags" w:element="place">
        <w:smartTag w:uri="urn:schemas-microsoft-com:office:smarttags" w:element="country-region">
          <w:r w:rsidRPr="005F7914">
            <w:t>Australia</w:t>
          </w:r>
        </w:smartTag>
      </w:smartTag>
      <w:r w:rsidRPr="005F7914">
        <w:t xml:space="preserve"> will design a new phase of support to rural water, sanitation and hygiene in Timor-Leste that will: </w:t>
      </w:r>
    </w:p>
    <w:p w:rsidR="006A7098" w:rsidRDefault="009D55F8" w:rsidP="00244182">
      <w:pPr>
        <w:pStyle w:val="BodyText"/>
        <w:numPr>
          <w:ilvl w:val="0"/>
          <w:numId w:val="19"/>
        </w:numPr>
      </w:pPr>
      <w:r w:rsidRPr="005F7914">
        <w:t xml:space="preserve">Support greater government leadership, management and implementation. In early 2011 Australia will begin analysis to identify potential areas where Australia can work through </w:t>
      </w:r>
      <w:r w:rsidR="00E25455">
        <w:t>g</w:t>
      </w:r>
      <w:r w:rsidRPr="005F7914">
        <w:t>overnment systems and the associated risks and benefits</w:t>
      </w:r>
      <w:r w:rsidR="00E25455">
        <w:t xml:space="preserve"> of doing so</w:t>
      </w:r>
      <w:r w:rsidRPr="005F7914">
        <w:t>. Th</w:t>
      </w:r>
      <w:r w:rsidR="00E25455">
        <w:t>is</w:t>
      </w:r>
      <w:r w:rsidRPr="005F7914">
        <w:t xml:space="preserve"> will inform decisions on potentially making greater use of government financial and human resources and management systems for greater sustainability. </w:t>
      </w:r>
    </w:p>
    <w:p w:rsidR="006A7098" w:rsidRDefault="009D55F8" w:rsidP="00244182">
      <w:pPr>
        <w:pStyle w:val="BodyText"/>
        <w:numPr>
          <w:ilvl w:val="0"/>
          <w:numId w:val="19"/>
        </w:numPr>
      </w:pPr>
      <w:r w:rsidRPr="005F7914">
        <w:t xml:space="preserve">Emphasise resourcing and developing an effective rural water supply maintenance system and encouraging the Government to shift to multi-year financial planning for the sector. </w:t>
      </w:r>
    </w:p>
    <w:p w:rsidR="009D55F8" w:rsidRPr="005F7914" w:rsidRDefault="009D55F8" w:rsidP="00244182">
      <w:pPr>
        <w:pStyle w:val="BodyText"/>
        <w:numPr>
          <w:ilvl w:val="0"/>
          <w:numId w:val="19"/>
        </w:numPr>
      </w:pPr>
      <w:r w:rsidRPr="005F7914">
        <w:t xml:space="preserve">Engage with the Government on reform and improvement of </w:t>
      </w:r>
      <w:r w:rsidR="00E25455">
        <w:t>g</w:t>
      </w:r>
      <w:r w:rsidRPr="005F7914">
        <w:t>overnment systems</w:t>
      </w:r>
      <w:r w:rsidR="00E25455">
        <w:t>,</w:t>
      </w:r>
      <w:r w:rsidRPr="005F7914">
        <w:t xml:space="preserve"> including </w:t>
      </w:r>
      <w:r w:rsidR="00E25455">
        <w:t xml:space="preserve">the </w:t>
      </w:r>
      <w:r w:rsidRPr="005F7914">
        <w:t xml:space="preserve">procurement, supervision and quality of capital works. </w:t>
      </w:r>
    </w:p>
    <w:p w:rsidR="009D55F8" w:rsidRPr="005F7914" w:rsidRDefault="009D55F8" w:rsidP="009D55F8">
      <w:pPr>
        <w:pStyle w:val="Heading2"/>
        <w:keepNext/>
        <w:spacing w:before="240"/>
        <w:ind w:left="0"/>
      </w:pPr>
      <w:bookmarkStart w:id="15" w:name="_Toc360973011"/>
      <w:r w:rsidRPr="005F7914">
        <w:t>Sector: Infrastructure</w:t>
      </w:r>
      <w:bookmarkEnd w:id="15"/>
    </w:p>
    <w:p w:rsidR="001B5733" w:rsidRDefault="001B5733" w:rsidP="009D55F8">
      <w:pPr>
        <w:pStyle w:val="BodyText"/>
      </w:pPr>
      <w:r>
        <w:t>Objectives:</w:t>
      </w:r>
    </w:p>
    <w:p w:rsidR="006A7098" w:rsidRDefault="009D55F8" w:rsidP="00244182">
      <w:pPr>
        <w:pStyle w:val="BodyText"/>
        <w:numPr>
          <w:ilvl w:val="0"/>
          <w:numId w:val="20"/>
        </w:numPr>
      </w:pPr>
      <w:r w:rsidRPr="005F7914">
        <w:t>Improved budget execution of the Government of East Timor’s capital works program</w:t>
      </w:r>
    </w:p>
    <w:p w:rsidR="006A7098" w:rsidRDefault="009D55F8" w:rsidP="00244182">
      <w:pPr>
        <w:pStyle w:val="BodyText"/>
        <w:numPr>
          <w:ilvl w:val="0"/>
          <w:numId w:val="20"/>
        </w:numPr>
      </w:pPr>
      <w:r w:rsidRPr="005F7914">
        <w:t xml:space="preserve">Improved capacity of the </w:t>
      </w:r>
      <w:r w:rsidR="004633BA">
        <w:t>M</w:t>
      </w:r>
      <w:r w:rsidR="00352900">
        <w:t>inistry of Infrastructure</w:t>
      </w:r>
      <w:r w:rsidRPr="005F7914">
        <w:t xml:space="preserve"> for capital works procurement</w:t>
      </w:r>
    </w:p>
    <w:p w:rsidR="009D55F8" w:rsidRPr="005F7914" w:rsidRDefault="009D55F8" w:rsidP="00244182">
      <w:pPr>
        <w:pStyle w:val="BodyText"/>
        <w:numPr>
          <w:ilvl w:val="0"/>
          <w:numId w:val="20"/>
        </w:numPr>
      </w:pPr>
      <w:r w:rsidRPr="005F7914">
        <w:t>Rehabilitation and maintenance of rural roads</w:t>
      </w:r>
    </w:p>
    <w:p w:rsidR="009D55F8" w:rsidRPr="005F7914" w:rsidRDefault="00DE666D" w:rsidP="006A7098">
      <w:pPr>
        <w:pStyle w:val="H3"/>
      </w:pPr>
      <w:bookmarkStart w:id="16" w:name="_Toc360973012"/>
      <w:r>
        <w:t>Sector c</w:t>
      </w:r>
      <w:r w:rsidR="009D55F8" w:rsidRPr="005F7914">
        <w:t>ontext</w:t>
      </w:r>
      <w:bookmarkEnd w:id="16"/>
    </w:p>
    <w:p w:rsidR="009D55F8" w:rsidRPr="005F7914" w:rsidRDefault="009D55F8" w:rsidP="009D55F8">
      <w:pPr>
        <w:pStyle w:val="BodyText"/>
      </w:pPr>
      <w:r w:rsidRPr="005F7914">
        <w:t>Since the widespread destruction of infrastructure during the post-referendum conflict in 1999 and the 2006 crisis, little rehabilitation has occurred and infrastructure continues to deteriorate. Major economic infrastructure is absent or entirely inadequate. There is no national power grid and there are regular power outages. The nation’s roads, bridges and irrigation systems have suffered from high levels of rainfall, lack of maintenance and poor</w:t>
      </w:r>
      <w:r w:rsidR="00675728">
        <w:t>-</w:t>
      </w:r>
      <w:r w:rsidRPr="005F7914">
        <w:lastRenderedPageBreak/>
        <w:t>quality public works</w:t>
      </w:r>
      <w:r w:rsidR="00BD0B39">
        <w:t xml:space="preserve">. </w:t>
      </w:r>
      <w:r w:rsidRPr="005F7914">
        <w:t>A roads survey in 2010 found that around 90 per cent of rural roads were in bad or very bad condition.</w:t>
      </w:r>
      <w:r w:rsidRPr="005F7914">
        <w:rPr>
          <w:rStyle w:val="FootnoteReference"/>
        </w:rPr>
        <w:footnoteReference w:id="36"/>
      </w:r>
      <w:r w:rsidRPr="005F7914">
        <w:t xml:space="preserve"> </w:t>
      </w:r>
    </w:p>
    <w:p w:rsidR="009D55F8" w:rsidRPr="005F7914" w:rsidRDefault="00DE666D" w:rsidP="006A7098">
      <w:pPr>
        <w:pStyle w:val="H3"/>
      </w:pPr>
      <w:bookmarkStart w:id="17" w:name="_Toc360973013"/>
      <w:r>
        <w:t>Shared p</w:t>
      </w:r>
      <w:r w:rsidR="009D55F8" w:rsidRPr="005F7914">
        <w:t>rogress</w:t>
      </w:r>
      <w:bookmarkEnd w:id="17"/>
    </w:p>
    <w:p w:rsidR="009D55F8" w:rsidRPr="005F7914" w:rsidRDefault="009D55F8" w:rsidP="009D55F8">
      <w:pPr>
        <w:pStyle w:val="BodyText"/>
      </w:pPr>
      <w:r w:rsidRPr="005F7914">
        <w:t xml:space="preserve">The Government allocated </w:t>
      </w:r>
      <w:r w:rsidR="00BD0B39">
        <w:t>more than</w:t>
      </w:r>
      <w:r w:rsidRPr="005F7914">
        <w:t xml:space="preserve"> 40</w:t>
      </w:r>
      <w:r>
        <w:t xml:space="preserve"> per cent</w:t>
      </w:r>
      <w:r w:rsidRPr="005F7914">
        <w:t xml:space="preserve"> of its 2011 budget to economic infrastructure (about US</w:t>
      </w:r>
      <w:r w:rsidR="003A1AF9">
        <w:t>$</w:t>
      </w:r>
      <w:r w:rsidRPr="005F7914">
        <w:t>550 million).</w:t>
      </w:r>
      <w:r w:rsidRPr="005F7914">
        <w:rPr>
          <w:rStyle w:val="FootnoteReference"/>
        </w:rPr>
        <w:footnoteReference w:id="37"/>
      </w:r>
      <w:r w:rsidRPr="005F7914">
        <w:t xml:space="preserve">  In recent years around 80</w:t>
      </w:r>
      <w:r w:rsidR="003A1AF9">
        <w:t xml:space="preserve"> to </w:t>
      </w:r>
      <w:r w:rsidRPr="005F7914">
        <w:t>90 per cent of the infrastructure budget has been executed.</w:t>
      </w:r>
      <w:r w:rsidRPr="005F7914">
        <w:rPr>
          <w:rStyle w:val="FootnoteReference"/>
        </w:rPr>
        <w:footnoteReference w:id="38"/>
      </w:r>
      <w:r w:rsidRPr="005F7914">
        <w:t xml:space="preserve"> While this seems high, little infrastructure improvement can be observed on the ground and the quality of public works is poor</w:t>
      </w:r>
      <w:r w:rsidR="00BD0B39">
        <w:t xml:space="preserve">. </w:t>
      </w:r>
      <w:r w:rsidRPr="005F7914">
        <w:t>A significant share of infrastructure funds has been devoted to a large purchase of electricity generation and transmission equipment (</w:t>
      </w:r>
      <w:r w:rsidR="00BD0B39">
        <w:t>more than</w:t>
      </w:r>
      <w:r w:rsidRPr="005F7914">
        <w:t xml:space="preserve"> 80</w:t>
      </w:r>
      <w:r>
        <w:t xml:space="preserve"> per cent</w:t>
      </w:r>
      <w:r w:rsidRPr="005F7914">
        <w:t xml:space="preserve"> of the 2011 economic infrastructure budget). </w:t>
      </w:r>
    </w:p>
    <w:p w:rsidR="009D55F8" w:rsidRPr="005F7914" w:rsidRDefault="009D55F8" w:rsidP="009D55F8">
      <w:pPr>
        <w:pStyle w:val="BodyText"/>
      </w:pPr>
      <w:r w:rsidRPr="005F7914">
        <w:t>Government policy on procurement of infrastructure works has changed regularly and is still uncertain, particularly in light of planned decentralisation reforms</w:t>
      </w:r>
      <w:r w:rsidR="00BD0B39">
        <w:t xml:space="preserve">. </w:t>
      </w:r>
      <w:r w:rsidRPr="005F7914">
        <w:t xml:space="preserve">While the </w:t>
      </w:r>
      <w:r w:rsidRPr="004633BA">
        <w:t>M</w:t>
      </w:r>
      <w:r w:rsidR="00352900">
        <w:t>inistry of Infrastructure</w:t>
      </w:r>
      <w:r w:rsidRPr="005F7914">
        <w:t xml:space="preserve"> retains responsibility for most</w:t>
      </w:r>
      <w:r w:rsidR="00EC7B76">
        <w:t xml:space="preserve"> of the country’s</w:t>
      </w:r>
      <w:r w:rsidRPr="005F7914">
        <w:t xml:space="preserve"> infrastructure planning</w:t>
      </w:r>
      <w:r w:rsidR="00675728">
        <w:t>,</w:t>
      </w:r>
      <w:r w:rsidRPr="005F7914">
        <w:t xml:space="preserve"> </w:t>
      </w:r>
      <w:r w:rsidR="00EC7B76">
        <w:t>most</w:t>
      </w:r>
      <w:r w:rsidR="00EC7B76" w:rsidRPr="005F7914">
        <w:t xml:space="preserve"> </w:t>
      </w:r>
      <w:r w:rsidRPr="005F7914">
        <w:t xml:space="preserve">of the infrastructure budget is procured outside of </w:t>
      </w:r>
      <w:r w:rsidR="00675728">
        <w:t>its</w:t>
      </w:r>
      <w:r w:rsidRPr="005F7914">
        <w:t xml:space="preserve"> control</w:t>
      </w:r>
      <w:r w:rsidR="00BD0B39">
        <w:t xml:space="preserve">. </w:t>
      </w:r>
      <w:r w:rsidRPr="005F7914">
        <w:t>For example, small projects are procured at district level through the Prime Minister’s Decentralisation and Development Program</w:t>
      </w:r>
      <w:r w:rsidR="00BD0B39">
        <w:t xml:space="preserve">. </w:t>
      </w:r>
      <w:r w:rsidRPr="005F7914">
        <w:t xml:space="preserve">The Government plans to establish a National Development Agency in 2011 which </w:t>
      </w:r>
      <w:r w:rsidR="00675728">
        <w:t>will</w:t>
      </w:r>
      <w:r w:rsidR="00675728" w:rsidRPr="005F7914">
        <w:t xml:space="preserve"> </w:t>
      </w:r>
      <w:r w:rsidRPr="005F7914">
        <w:t>likely have a large role in overseeing infrastructure development. Donors have sometimes added to the confusion, recently supporting several policy and planning exercises in the sector despite weak government ownership.</w:t>
      </w:r>
    </w:p>
    <w:p w:rsidR="009D55F8" w:rsidRPr="005F7914" w:rsidRDefault="009D55F8" w:rsidP="009D55F8">
      <w:pPr>
        <w:pStyle w:val="BodyText"/>
      </w:pPr>
      <w:r w:rsidRPr="005F7914">
        <w:t>Australia’s A</w:t>
      </w:r>
      <w:r w:rsidR="009A42E2">
        <w:t>DB</w:t>
      </w:r>
      <w:r w:rsidRPr="005F7914">
        <w:t>-mana</w:t>
      </w:r>
      <w:r w:rsidR="003A1AF9">
        <w:t>ged program is building the MoI</w:t>
      </w:r>
      <w:r w:rsidR="00675728">
        <w:t>’</w:t>
      </w:r>
      <w:r w:rsidRPr="005F7914">
        <w:t xml:space="preserve">s capacity to implement the infrastructure budget. </w:t>
      </w:r>
      <w:r w:rsidR="00675728">
        <w:t>The program</w:t>
      </w:r>
      <w:r w:rsidRPr="005F7914">
        <w:t xml:space="preserve"> has helped </w:t>
      </w:r>
      <w:r w:rsidR="00675728">
        <w:t xml:space="preserve">the </w:t>
      </w:r>
      <w:r w:rsidRPr="005F7914">
        <w:t>M</w:t>
      </w:r>
      <w:r w:rsidR="00352900">
        <w:t>inistry of Infrastructure</w:t>
      </w:r>
      <w:r w:rsidRPr="005F7914">
        <w:t xml:space="preserve"> develop useful tools like a project monitoring and control system, databases to estimate project costs and building codes</w:t>
      </w:r>
      <w:r w:rsidR="00BD0B39">
        <w:t xml:space="preserve">. </w:t>
      </w:r>
      <w:r w:rsidRPr="005F7914">
        <w:t>In 2011, it will support these further to ensure they are institutionalised and used by the government. Also, a scholarship scheme was established in 2010 and 15 students sent to Indonesia to study</w:t>
      </w:r>
      <w:r w:rsidR="00BD0B39">
        <w:t xml:space="preserve">. </w:t>
      </w:r>
      <w:r w:rsidRPr="005F7914">
        <w:t>However, the program’s impact has been constrained by the shift of control over procurement away from the M</w:t>
      </w:r>
      <w:r w:rsidR="00675728">
        <w:t>oI</w:t>
      </w:r>
      <w:r w:rsidRPr="005F7914">
        <w:t>, and a mid-term review in 2010 identified a number of adviser positions that had not been effective. In response, the program was restructured to focus adviser inputs around specific tasks that build on successful elements of the program</w:t>
      </w:r>
      <w:r w:rsidR="00BD0B39">
        <w:t xml:space="preserve">. </w:t>
      </w:r>
    </w:p>
    <w:p w:rsidR="008153D9" w:rsidRDefault="009D55F8" w:rsidP="009D55F8">
      <w:pPr>
        <w:pStyle w:val="BodyText"/>
      </w:pPr>
      <w:smartTag w:uri="urn:schemas-microsoft-com:office:smarttags" w:element="place">
        <w:smartTag w:uri="urn:schemas-microsoft-com:office:smarttags" w:element="country-region">
          <w:r w:rsidRPr="005F7914">
            <w:t>Australia</w:t>
          </w:r>
        </w:smartTag>
      </w:smartTag>
      <w:r w:rsidRPr="005F7914">
        <w:t xml:space="preserve"> is supporting the rehabilitation and maintenance of rural roads that connect villages to major road networks. The </w:t>
      </w:r>
      <w:smartTag w:uri="urn:schemas-microsoft-com:office:smarttags" w:element="PersonName">
        <w:r w:rsidRPr="005F7914">
          <w:t>International</w:t>
        </w:r>
      </w:smartTag>
      <w:r w:rsidRPr="005F7914">
        <w:t xml:space="preserve"> Labour Organization</w:t>
      </w:r>
      <w:r w:rsidR="00675728">
        <w:t>-</w:t>
      </w:r>
      <w:r w:rsidRPr="005F7914">
        <w:t>managed program (</w:t>
      </w:r>
      <w:r w:rsidRPr="004633BA">
        <w:t>TIM-</w:t>
      </w:r>
      <w:r w:rsidRPr="005F7914">
        <w:t>Works) uses labour-based approaches to generate employment, and has demonstrated their viability and cost effectiveness</w:t>
      </w:r>
      <w:r w:rsidR="00BD0B39">
        <w:t xml:space="preserve">. </w:t>
      </w:r>
      <w:r w:rsidRPr="005F7914">
        <w:t>During 2010 the program rehabilitated 150 km of road, maintained 679 km and provided 11</w:t>
      </w:r>
      <w:r w:rsidR="003A1AF9">
        <w:t> </w:t>
      </w:r>
      <w:r w:rsidRPr="005F7914">
        <w:t>472 people with short-term employment (average 30</w:t>
      </w:r>
      <w:r w:rsidR="003A1AF9">
        <w:t xml:space="preserve"> to </w:t>
      </w:r>
      <w:r w:rsidRPr="005F7914">
        <w:t>60 days)</w:t>
      </w:r>
      <w:r w:rsidR="00BD0B39">
        <w:t xml:space="preserve">. </w:t>
      </w:r>
      <w:r w:rsidRPr="005F7914">
        <w:t>This brings the program total since 2008 to 240 km road rehabilitated, 1751 km maintained and 25</w:t>
      </w:r>
      <w:r w:rsidR="003A1AF9">
        <w:t> </w:t>
      </w:r>
      <w:r w:rsidRPr="005F7914">
        <w:t>480 people employed</w:t>
      </w:r>
      <w:r w:rsidR="00BD0B39">
        <w:t xml:space="preserve">. </w:t>
      </w:r>
      <w:r w:rsidRPr="005F7914">
        <w:t>The program has injected around US</w:t>
      </w:r>
      <w:r w:rsidR="003A1AF9">
        <w:t>$</w:t>
      </w:r>
      <w:r w:rsidRPr="005F7914">
        <w:t>2 million into local communities and has given some villages vehicle access to the outside world</w:t>
      </w:r>
      <w:r w:rsidR="00675728">
        <w:t xml:space="preserve"> which, in turn, has given villagers access to</w:t>
      </w:r>
      <w:r w:rsidRPr="005F7914">
        <w:t xml:space="preserve"> health, education, and economic services</w:t>
      </w:r>
      <w:r w:rsidR="00BD0B39">
        <w:t xml:space="preserve">. </w:t>
      </w:r>
      <w:r w:rsidRPr="005F7914">
        <w:t>Australia is also supporting the I</w:t>
      </w:r>
      <w:r w:rsidR="007418D0">
        <w:t>nternational Labour Organisation’s</w:t>
      </w:r>
      <w:r w:rsidRPr="005F7914">
        <w:t xml:space="preserve"> Youth Employment Program which is</w:t>
      </w:r>
    </w:p>
    <w:p w:rsidR="008153D9" w:rsidRDefault="008153D9" w:rsidP="008153D9">
      <w:pPr>
        <w:pStyle w:val="Subtitle"/>
        <w:rPr>
          <w:rFonts w:ascii="Georgia" w:hAnsi="Georgia"/>
          <w:sz w:val="19"/>
          <w:szCs w:val="19"/>
        </w:rPr>
      </w:pPr>
      <w:r>
        <w:br w:type="page"/>
      </w:r>
    </w:p>
    <w:p w:rsidR="009D55F8" w:rsidRPr="005F7914" w:rsidRDefault="009D55F8" w:rsidP="009D55F8">
      <w:pPr>
        <w:pStyle w:val="BodyText"/>
      </w:pPr>
      <w:r w:rsidRPr="005F7914">
        <w:lastRenderedPageBreak/>
        <w:t xml:space="preserve"> employing people to undertake unskilled maintenance of rural roads</w:t>
      </w:r>
      <w:r w:rsidR="00BD0B39">
        <w:t xml:space="preserve">. </w:t>
      </w:r>
      <w:r w:rsidRPr="005F7914">
        <w:t>During 2010 around 1500 km of roads were maintained under this program employing nearly 13</w:t>
      </w:r>
      <w:r w:rsidR="003A1AF9">
        <w:t> </w:t>
      </w:r>
      <w:r w:rsidRPr="005F7914">
        <w:t>000 workers.</w:t>
      </w:r>
      <w:r w:rsidRPr="005F7914">
        <w:rPr>
          <w:rStyle w:val="FootnoteReference"/>
        </w:rPr>
        <w:footnoteReference w:id="39"/>
      </w:r>
      <w:r w:rsidRPr="005F7914">
        <w:t xml:space="preserve"> Both programs work with Government but outside</w:t>
      </w:r>
      <w:r w:rsidR="00675728">
        <w:t xml:space="preserve"> of</w:t>
      </w:r>
      <w:r w:rsidRPr="005F7914">
        <w:t xml:space="preserve"> the </w:t>
      </w:r>
      <w:r w:rsidR="004633BA">
        <w:t>MoI</w:t>
      </w:r>
      <w:r w:rsidRPr="005F7914">
        <w:t>, which limits their ability to influence road works at scale.</w:t>
      </w:r>
    </w:p>
    <w:p w:rsidR="009D55F8" w:rsidRPr="005F7914" w:rsidRDefault="00DE666D" w:rsidP="006A7098">
      <w:pPr>
        <w:pStyle w:val="H3"/>
      </w:pPr>
      <w:bookmarkStart w:id="18" w:name="_Toc360973014"/>
      <w:r>
        <w:t>Management c</w:t>
      </w:r>
      <w:r w:rsidR="009D55F8" w:rsidRPr="005F7914">
        <w:t>onsequences</w:t>
      </w:r>
      <w:bookmarkEnd w:id="18"/>
    </w:p>
    <w:p w:rsidR="006A7098" w:rsidRDefault="009D55F8" w:rsidP="00244182">
      <w:pPr>
        <w:pStyle w:val="BodyText"/>
        <w:numPr>
          <w:ilvl w:val="0"/>
          <w:numId w:val="21"/>
        </w:numPr>
      </w:pPr>
      <w:r w:rsidRPr="005F7914">
        <w:t xml:space="preserve">Australia is developing a new program with the </w:t>
      </w:r>
      <w:r w:rsidR="007418D0">
        <w:t>International Labour Organization</w:t>
      </w:r>
      <w:r w:rsidRPr="005F7914">
        <w:t xml:space="preserve"> to establish a rural road rehabilitation and maintenance system in the M</w:t>
      </w:r>
      <w:r w:rsidR="00352900">
        <w:t>inistry of Infrastructure</w:t>
      </w:r>
      <w:r w:rsidR="00BD0B39">
        <w:t xml:space="preserve">. </w:t>
      </w:r>
      <w:r w:rsidRPr="005F7914">
        <w:t xml:space="preserve">A focus on rural roads is appropriate given that other donors have focused on national roads. Australia will lead policy </w:t>
      </w:r>
      <w:r w:rsidR="00675728">
        <w:t>discussion</w:t>
      </w:r>
      <w:r w:rsidR="00675728" w:rsidRPr="005F7914">
        <w:t xml:space="preserve"> </w:t>
      </w:r>
      <w:r w:rsidRPr="005F7914">
        <w:t xml:space="preserve">and donor coordination in this sub-sector. The program will build on the experience of TIM-Works to integrate the labour-based approach into </w:t>
      </w:r>
      <w:r w:rsidR="00675728">
        <w:t xml:space="preserve">the </w:t>
      </w:r>
      <w:r w:rsidRPr="005F7914">
        <w:t>M</w:t>
      </w:r>
      <w:r w:rsidR="00352900">
        <w:t>inistry of Infrastructure</w:t>
      </w:r>
      <w:r w:rsidR="00BD0B39">
        <w:t xml:space="preserve">. </w:t>
      </w:r>
      <w:r w:rsidRPr="005F7914">
        <w:t xml:space="preserve">The new program will balance tangible results with building </w:t>
      </w:r>
      <w:r w:rsidR="00CA4A6E">
        <w:t xml:space="preserve">ministry </w:t>
      </w:r>
      <w:r w:rsidR="00CA4A6E" w:rsidRPr="005F7914">
        <w:t>capacity</w:t>
      </w:r>
      <w:r w:rsidRPr="005F7914">
        <w:t xml:space="preserve"> to better manage its own resources</w:t>
      </w:r>
      <w:r w:rsidR="00BD0B39">
        <w:t xml:space="preserve">. </w:t>
      </w:r>
      <w:r w:rsidRPr="005F7914">
        <w:t>The program will have the flexibility to respond to a changing institutional environment and encourage better inter-agency coordination</w:t>
      </w:r>
      <w:r w:rsidR="00BD0B39">
        <w:t xml:space="preserve">. </w:t>
      </w:r>
    </w:p>
    <w:p w:rsidR="006A7098" w:rsidRDefault="009D55F8" w:rsidP="00244182">
      <w:pPr>
        <w:pStyle w:val="BodyText"/>
        <w:numPr>
          <w:ilvl w:val="0"/>
          <w:numId w:val="21"/>
        </w:numPr>
      </w:pPr>
      <w:r w:rsidRPr="005F7914">
        <w:t xml:space="preserve">Australia is supporting the establishment of a Major Projects Unit in the </w:t>
      </w:r>
      <w:r w:rsidR="00A85F7E">
        <w:t>MoF</w:t>
      </w:r>
      <w:r w:rsidR="00BD0B39">
        <w:t xml:space="preserve">. </w:t>
      </w:r>
      <w:r w:rsidRPr="005F7914">
        <w:t>This will include policy advice and a fund to enhance</w:t>
      </w:r>
      <w:r w:rsidR="00675728">
        <w:t xml:space="preserve"> the</w:t>
      </w:r>
      <w:r w:rsidRPr="005F7914">
        <w:t xml:space="preserve"> selection, preparation and implementation of major infrastructure projects such as ports and road networks. Australia support is contingent on the G</w:t>
      </w:r>
      <w:r w:rsidR="0057481E">
        <w:t>o</w:t>
      </w:r>
      <w:r w:rsidRPr="005F7914">
        <w:t>T</w:t>
      </w:r>
      <w:r w:rsidR="0057481E">
        <w:t>L</w:t>
      </w:r>
      <w:r w:rsidRPr="005F7914">
        <w:t xml:space="preserve"> proceeding with its stated policy of engaging the services of an international firm to act as a procurement agent for all major government procurement</w:t>
      </w:r>
      <w:r w:rsidR="00BD0B39">
        <w:t xml:space="preserve">. </w:t>
      </w:r>
      <w:r w:rsidRPr="005F7914">
        <w:t xml:space="preserve">Improved capacity is needed in this area as the government is rapidly increasing funding for large projects and lacks </w:t>
      </w:r>
      <w:r w:rsidR="00675728">
        <w:t xml:space="preserve">the </w:t>
      </w:r>
      <w:r w:rsidRPr="005F7914">
        <w:t>capacity to manage the procurement process.</w:t>
      </w:r>
    </w:p>
    <w:p w:rsidR="009D55F8" w:rsidRPr="005F7914" w:rsidRDefault="009D55F8" w:rsidP="00244182">
      <w:pPr>
        <w:pStyle w:val="BodyText"/>
        <w:numPr>
          <w:ilvl w:val="0"/>
          <w:numId w:val="21"/>
        </w:numPr>
      </w:pPr>
      <w:r w:rsidRPr="005F7914">
        <w:t xml:space="preserve">During 2011 Australia will clarify its approach to the infrastructure sector. A delivery strategy will consider how the </w:t>
      </w:r>
      <w:r w:rsidR="00675728">
        <w:t>GoTL</w:t>
      </w:r>
      <w:r w:rsidR="00675728" w:rsidRPr="005F7914">
        <w:t xml:space="preserve"> </w:t>
      </w:r>
      <w:r w:rsidRPr="005F7914">
        <w:t xml:space="preserve">is placed </w:t>
      </w:r>
      <w:r w:rsidR="006F35D5">
        <w:t>to implement its upcoming SDP</w:t>
      </w:r>
      <w:r w:rsidR="00675728">
        <w:t>,</w:t>
      </w:r>
      <w:r w:rsidRPr="005F7914">
        <w:t xml:space="preserve"> which is likely to feature major infrastructure development</w:t>
      </w:r>
      <w:r w:rsidR="00675728">
        <w:t>,</w:t>
      </w:r>
      <w:r w:rsidRPr="005F7914">
        <w:t xml:space="preserve"> and whether there is a case for Australia to contribute funding for major infrastructure.</w:t>
      </w:r>
    </w:p>
    <w:p w:rsidR="009D55F8" w:rsidRPr="005F7914" w:rsidRDefault="009D55F8" w:rsidP="009D55F8">
      <w:pPr>
        <w:pStyle w:val="Heading2"/>
        <w:keepNext/>
        <w:spacing w:before="240"/>
        <w:ind w:left="0"/>
      </w:pPr>
      <w:bookmarkStart w:id="19" w:name="_Toc360973015"/>
      <w:r w:rsidRPr="005F7914">
        <w:t xml:space="preserve">Sector: Agriculture </w:t>
      </w:r>
      <w:r w:rsidR="00675728">
        <w:t>p</w:t>
      </w:r>
      <w:r w:rsidRPr="005F7914">
        <w:t xml:space="preserve">roductivity and </w:t>
      </w:r>
      <w:r w:rsidR="00675728">
        <w:t>f</w:t>
      </w:r>
      <w:r w:rsidRPr="005F7914">
        <w:t xml:space="preserve">ood </w:t>
      </w:r>
      <w:r w:rsidR="00675728">
        <w:t>s</w:t>
      </w:r>
      <w:r w:rsidRPr="005F7914">
        <w:t>ecurity</w:t>
      </w:r>
      <w:bookmarkEnd w:id="19"/>
    </w:p>
    <w:p w:rsidR="009D55F8" w:rsidRPr="005F7914" w:rsidRDefault="00DE666D" w:rsidP="006A7098">
      <w:pPr>
        <w:pStyle w:val="H3"/>
      </w:pPr>
      <w:bookmarkStart w:id="20" w:name="_Toc360973016"/>
      <w:r>
        <w:t>Sector c</w:t>
      </w:r>
      <w:r w:rsidR="009D55F8" w:rsidRPr="005F7914">
        <w:t>ontext</w:t>
      </w:r>
      <w:bookmarkEnd w:id="20"/>
    </w:p>
    <w:p w:rsidR="008153D9" w:rsidRDefault="009D55F8" w:rsidP="006B6177">
      <w:pPr>
        <w:pStyle w:val="BodyText"/>
      </w:pPr>
      <w:r w:rsidRPr="005F7914">
        <w:t>In Timor-Leste 80 per</w:t>
      </w:r>
      <w:r w:rsidR="00320268">
        <w:t xml:space="preserve"> </w:t>
      </w:r>
      <w:r w:rsidRPr="005F7914">
        <w:t>cent of the country’s poor depend on subsistence agriculture for their livelihood</w:t>
      </w:r>
      <w:r w:rsidR="00BD0B39">
        <w:t xml:space="preserve">. </w:t>
      </w:r>
      <w:r w:rsidRPr="005F7914">
        <w:t xml:space="preserve">Over the seven years to 2009 agricultural </w:t>
      </w:r>
      <w:r w:rsidR="007418D0">
        <w:t>gross domestic product</w:t>
      </w:r>
      <w:r w:rsidRPr="005F7914">
        <w:t xml:space="preserve"> grew at a real average rate of 4.2</w:t>
      </w:r>
      <w:r w:rsidR="00675728">
        <w:t> </w:t>
      </w:r>
      <w:r w:rsidRPr="005F7914">
        <w:t>per</w:t>
      </w:r>
      <w:r w:rsidR="00675728">
        <w:t> </w:t>
      </w:r>
      <w:r w:rsidRPr="005F7914">
        <w:t>cent, based on official estimates, but this is from a low base.</w:t>
      </w:r>
      <w:r w:rsidRPr="005F7914">
        <w:rPr>
          <w:rStyle w:val="FootnoteReference"/>
        </w:rPr>
        <w:footnoteReference w:id="40"/>
      </w:r>
      <w:r w:rsidRPr="005F7914">
        <w:t xml:space="preserve"> Reduced food production was expected in 2010 because heavy rains and floods damaged crops and irrigation systems and prevented some farmers from planting new crops</w:t>
      </w:r>
      <w:r w:rsidR="00BD0B39">
        <w:t xml:space="preserve">. </w:t>
      </w:r>
      <w:r w:rsidRPr="005F7914">
        <w:t>Recent indications are that these impacts were less severe than expected during 2010 but harvests in 2011 are likely to be affected</w:t>
      </w:r>
      <w:r w:rsidR="00BD0B39">
        <w:t xml:space="preserve">. </w:t>
      </w:r>
      <w:r w:rsidRPr="005F7914">
        <w:t>The I</w:t>
      </w:r>
      <w:r w:rsidR="00E07BF1">
        <w:t>nternational Monetary Fund</w:t>
      </w:r>
      <w:r w:rsidRPr="005F7914">
        <w:t xml:space="preserve"> estimates that agricultural </w:t>
      </w:r>
      <w:r w:rsidR="007418D0">
        <w:t>gross domestic product</w:t>
      </w:r>
      <w:r w:rsidRPr="005F7914">
        <w:t xml:space="preserve"> grew by 0.5 per cent in 2010.</w:t>
      </w:r>
      <w:r w:rsidRPr="005F7914">
        <w:rPr>
          <w:rStyle w:val="FootnoteReference"/>
        </w:rPr>
        <w:footnoteReference w:id="41"/>
      </w:r>
      <w:r w:rsidR="006B6177" w:rsidRPr="005F7914">
        <w:t xml:space="preserve"> </w:t>
      </w:r>
      <w:r w:rsidRPr="005F7914">
        <w:t>Low agricultural productivity means that food security is an ongoing issue</w:t>
      </w:r>
      <w:r w:rsidR="00BD0B39">
        <w:t xml:space="preserve">. </w:t>
      </w:r>
      <w:r w:rsidRPr="005F7914">
        <w:t xml:space="preserve">The 2007 </w:t>
      </w:r>
      <w:r w:rsidR="00675728">
        <w:br/>
      </w:r>
      <w:r w:rsidRPr="005F7914">
        <w:t>Timor-Leste Survey of Living Standards identified that households</w:t>
      </w:r>
      <w:r w:rsidR="00675728">
        <w:t>’</w:t>
      </w:r>
      <w:r w:rsidRPr="005F7914">
        <w:t xml:space="preserve"> experience a ‘hungry season’ of an average of 3.2 months of low food consumption during the year</w:t>
      </w:r>
      <w:r w:rsidR="00BD0B39">
        <w:t xml:space="preserve">. </w:t>
      </w:r>
      <w:r w:rsidRPr="005F7914">
        <w:t xml:space="preserve">Food insecurity </w:t>
      </w:r>
    </w:p>
    <w:p w:rsidR="009D55F8" w:rsidRPr="005F7914" w:rsidRDefault="009D55F8" w:rsidP="006B6177">
      <w:pPr>
        <w:pStyle w:val="BodyText"/>
      </w:pPr>
      <w:r w:rsidRPr="005F7914">
        <w:lastRenderedPageBreak/>
        <w:t>contributes to malnutrition. The 2010 Demographic and Health Survey revealed that 58</w:t>
      </w:r>
      <w:r w:rsidR="00675728">
        <w:t> </w:t>
      </w:r>
      <w:r w:rsidRPr="005F7914">
        <w:t>per</w:t>
      </w:r>
      <w:r w:rsidR="00675728">
        <w:t> </w:t>
      </w:r>
      <w:r w:rsidRPr="005F7914">
        <w:t>cent of children under</w:t>
      </w:r>
      <w:r w:rsidR="00675728">
        <w:t xml:space="preserve"> the age of</w:t>
      </w:r>
      <w:r w:rsidRPr="005F7914">
        <w:t xml:space="preserve"> five</w:t>
      </w:r>
      <w:r w:rsidR="00675728">
        <w:t xml:space="preserve"> years</w:t>
      </w:r>
      <w:r w:rsidRPr="005F7914">
        <w:t xml:space="preserve"> are stunted and 45 per cent underweight. These are increases since </w:t>
      </w:r>
      <w:r w:rsidR="00675728">
        <w:t>the</w:t>
      </w:r>
      <w:r w:rsidRPr="005F7914">
        <w:t xml:space="preserve"> 2003 survey</w:t>
      </w:r>
      <w:r w:rsidR="00BD0B39">
        <w:t xml:space="preserve">. </w:t>
      </w:r>
      <w:r w:rsidRPr="005F7914">
        <w:t xml:space="preserve">The 2010 survey also found that 27 per cent of women are malnourished and </w:t>
      </w:r>
      <w:r w:rsidR="00320268">
        <w:t>3</w:t>
      </w:r>
      <w:r w:rsidRPr="005F7914">
        <w:t xml:space="preserve"> in </w:t>
      </w:r>
      <w:r w:rsidR="00320268">
        <w:t>10</w:t>
      </w:r>
      <w:r w:rsidRPr="005F7914">
        <w:t xml:space="preserve"> pregnant women are anaemic.</w:t>
      </w:r>
    </w:p>
    <w:p w:rsidR="009D55F8" w:rsidRPr="005F7914" w:rsidRDefault="00DE666D" w:rsidP="006A7098">
      <w:pPr>
        <w:pStyle w:val="H3"/>
      </w:pPr>
      <w:bookmarkStart w:id="21" w:name="_Toc360973017"/>
      <w:r>
        <w:t>Shared p</w:t>
      </w:r>
      <w:r w:rsidR="009D55F8" w:rsidRPr="005F7914">
        <w:t>rogress</w:t>
      </w:r>
      <w:bookmarkEnd w:id="21"/>
    </w:p>
    <w:p w:rsidR="009D55F8" w:rsidRPr="005F7914" w:rsidRDefault="009D55F8" w:rsidP="009D55F8">
      <w:pPr>
        <w:pStyle w:val="BodyText"/>
        <w:rPr>
          <w:i/>
        </w:rPr>
      </w:pPr>
      <w:r w:rsidRPr="005F7914">
        <w:rPr>
          <w:i/>
        </w:rPr>
        <w:t>Improved food security through increase productivity of major foodcrops</w:t>
      </w:r>
    </w:p>
    <w:p w:rsidR="009D55F8" w:rsidRPr="005F7914" w:rsidRDefault="009D55F8" w:rsidP="009D55F8">
      <w:pPr>
        <w:pStyle w:val="BodyText"/>
      </w:pPr>
      <w:r w:rsidRPr="005F7914">
        <w:t>The natural conditions for agriculture in Timor-Leste, including rainfall patterns and land quality, are challenging</w:t>
      </w:r>
      <w:r w:rsidR="00BD0B39">
        <w:t xml:space="preserve">. </w:t>
      </w:r>
      <w:r w:rsidRPr="005F7914">
        <w:t>Agriculture is also hampered by poorly-coordinated and often counterproductive government policies and inadequate infrastructure</w:t>
      </w:r>
      <w:r w:rsidR="00BD0B39">
        <w:t xml:space="preserve">. </w:t>
      </w:r>
      <w:r w:rsidRPr="005F7914">
        <w:t>The government has in the past subsidised the distribution of significant quantities of imported rice which reduces incentives for domestic food production</w:t>
      </w:r>
      <w:r w:rsidR="00BD0B39">
        <w:t xml:space="preserve">. </w:t>
      </w:r>
      <w:r w:rsidRPr="005F7914">
        <w:t>The government is also freely distributing agricultural inputs such as seeds and fertiliser which could undermine the development of sustainable markets for inputs, as well as Australia’s efforts to establish a seed production and distribution system in Timor-Leste.</w:t>
      </w:r>
    </w:p>
    <w:p w:rsidR="009D55F8" w:rsidRPr="005F7914" w:rsidRDefault="009D55F8" w:rsidP="009D55F8">
      <w:pPr>
        <w:pStyle w:val="BodyText"/>
      </w:pPr>
      <w:r w:rsidRPr="005F7914">
        <w:t>These broader factors undermine Timor-Leste’s food security factors. Australia’s main food security program</w:t>
      </w:r>
      <w:r w:rsidR="00FD1371">
        <w:t>—</w:t>
      </w:r>
      <w:r w:rsidRPr="005F7914">
        <w:t>Seeds of Life (</w:t>
      </w:r>
      <w:r w:rsidRPr="004633BA">
        <w:t>SoL</w:t>
      </w:r>
      <w:r w:rsidRPr="005F7914">
        <w:t>)</w:t>
      </w:r>
      <w:r w:rsidR="00FD1371">
        <w:t>—</w:t>
      </w:r>
      <w:r w:rsidRPr="005F7914">
        <w:t xml:space="preserve">is performing well. However, </w:t>
      </w:r>
      <w:r w:rsidR="00FD1371">
        <w:t>it</w:t>
      </w:r>
      <w:r w:rsidR="00FD1371" w:rsidRPr="005F7914">
        <w:t xml:space="preserve"> </w:t>
      </w:r>
      <w:r w:rsidRPr="005F7914">
        <w:t>is still making the transition to a scale where it can have a significant and impact on food security</w:t>
      </w:r>
      <w:r w:rsidR="00BD0B39">
        <w:t xml:space="preserve">. </w:t>
      </w:r>
      <w:r w:rsidRPr="005F7914">
        <w:t>SoL works in partnership with the Ministry of Agriculture and Fisheries to evaluate and release higher yielding crop varieties (maize, rice, peanuts, cassava and sweet potato)</w:t>
      </w:r>
      <w:r w:rsidR="00BD0B39">
        <w:t xml:space="preserve">. </w:t>
      </w:r>
      <w:r w:rsidRPr="005F7914">
        <w:t>Yield advantages in research and demonstration trials ranged from 24</w:t>
      </w:r>
      <w:r>
        <w:t xml:space="preserve"> per cent</w:t>
      </w:r>
      <w:r w:rsidRPr="005F7914">
        <w:t xml:space="preserve"> to 159</w:t>
      </w:r>
      <w:r>
        <w:t xml:space="preserve"> per cent</w:t>
      </w:r>
      <w:r w:rsidRPr="005F7914">
        <w:t>.</w:t>
      </w:r>
      <w:r w:rsidRPr="005F7914">
        <w:rPr>
          <w:rStyle w:val="FootnoteReference"/>
        </w:rPr>
        <w:footnoteReference w:id="42"/>
      </w:r>
      <w:r w:rsidRPr="005F7914">
        <w:t xml:space="preserve">  Food security is improving in communities where demonstration trials are undertaken</w:t>
      </w:r>
      <w:r w:rsidR="00BD0B39">
        <w:t xml:space="preserve">. </w:t>
      </w:r>
      <w:r w:rsidRPr="005F7914">
        <w:t>Farmers use their increased yields to supplement food sources and sell excess product to meet other household needs (</w:t>
      </w:r>
      <w:r w:rsidR="00A9702E">
        <w:t>for example,</w:t>
      </w:r>
      <w:r w:rsidRPr="005F7914">
        <w:t xml:space="preserve"> medical services)</w:t>
      </w:r>
      <w:r w:rsidR="00BD0B39">
        <w:t xml:space="preserve">. </w:t>
      </w:r>
      <w:r w:rsidR="00E07BF1">
        <w:t>The Ministry of Agriculture and Fisheries’</w:t>
      </w:r>
      <w:r w:rsidRPr="005F7914">
        <w:t xml:space="preserve"> staff capacity to produce, store and distribute seed is slowly improving.</w:t>
      </w:r>
    </w:p>
    <w:p w:rsidR="009D55F8" w:rsidRPr="005F7914" w:rsidRDefault="009D55F8" w:rsidP="009D55F8">
      <w:pPr>
        <w:pStyle w:val="BodyText"/>
      </w:pPr>
      <w:r w:rsidRPr="005F7914">
        <w:t>Improved crop varieties were distributed to up to 21</w:t>
      </w:r>
      <w:r w:rsidR="003A1AF9">
        <w:t> </w:t>
      </w:r>
      <w:r w:rsidRPr="005F7914">
        <w:t>000 farming households during the 2009</w:t>
      </w:r>
      <w:r w:rsidR="003A1AF9">
        <w:t>–</w:t>
      </w:r>
      <w:r w:rsidRPr="005F7914">
        <w:t>10 wet season and to up to 11</w:t>
      </w:r>
      <w:r w:rsidR="003A1AF9">
        <w:t> </w:t>
      </w:r>
      <w:r w:rsidRPr="005F7914">
        <w:t>000 households during the 2010</w:t>
      </w:r>
      <w:r w:rsidR="003A1AF9">
        <w:t>–</w:t>
      </w:r>
      <w:r w:rsidRPr="005F7914">
        <w:t>11 wet season</w:t>
      </w:r>
      <w:r w:rsidR="00BD0B39">
        <w:t xml:space="preserve">. </w:t>
      </w:r>
      <w:r w:rsidRPr="005F7914">
        <w:t>It is estimated that between September 2008 and the end of phase two of SoL in January 2011 improved varieties were distributed to 25</w:t>
      </w:r>
      <w:r w:rsidR="003A1AF9">
        <w:t> </w:t>
      </w:r>
      <w:r w:rsidRPr="005F7914">
        <w:t>000 farming households, benefiting around 150</w:t>
      </w:r>
      <w:r w:rsidR="003A1AF9">
        <w:t> </w:t>
      </w:r>
      <w:r w:rsidRPr="005F7914">
        <w:t>000 individuals.</w:t>
      </w:r>
      <w:r w:rsidRPr="005F7914">
        <w:rPr>
          <w:rStyle w:val="FootnoteReference"/>
        </w:rPr>
        <w:footnoteReference w:id="43"/>
      </w:r>
      <w:r w:rsidR="00FD1371">
        <w:t xml:space="preserve"> </w:t>
      </w:r>
      <w:r w:rsidRPr="005F7914">
        <w:t>These farmers would have passed on these crop varieties to even more farmers. Future work under the SoL will focus on up scaling distribution and accessing more farmers to meet more of the country’s needs.</w:t>
      </w:r>
    </w:p>
    <w:p w:rsidR="008153D9" w:rsidRDefault="009D55F8" w:rsidP="009D55F8">
      <w:pPr>
        <w:pStyle w:val="BodyText"/>
      </w:pPr>
      <w:r w:rsidRPr="005F7914">
        <w:t>Around one quarter of farms in Timor-Leste are managed by women</w:t>
      </w:r>
      <w:r w:rsidR="00BD0B39">
        <w:t xml:space="preserve">. </w:t>
      </w:r>
      <w:r w:rsidRPr="005F7914">
        <w:t xml:space="preserve">Women are actively targeted under </w:t>
      </w:r>
      <w:r w:rsidR="00FD1371">
        <w:t xml:space="preserve">the </w:t>
      </w:r>
      <w:r w:rsidRPr="005F7914">
        <w:t>SoL</w:t>
      </w:r>
      <w:r w:rsidR="00BD0B39">
        <w:t>. More than</w:t>
      </w:r>
      <w:r w:rsidRPr="005F7914">
        <w:t xml:space="preserve"> 60</w:t>
      </w:r>
      <w:r>
        <w:t xml:space="preserve"> per cent</w:t>
      </w:r>
      <w:r w:rsidRPr="005F7914">
        <w:t xml:space="preserve"> of farmers attending SoL demonstration field days were women.</w:t>
      </w:r>
      <w:r w:rsidRPr="005F7914">
        <w:rPr>
          <w:rStyle w:val="FootnoteReference"/>
        </w:rPr>
        <w:footnoteReference w:id="44"/>
      </w:r>
      <w:r w:rsidRPr="005F7914">
        <w:t xml:space="preserve"> In 2010</w:t>
      </w:r>
      <w:r w:rsidR="00FD1371">
        <w:t xml:space="preserve"> the</w:t>
      </w:r>
      <w:r w:rsidRPr="005F7914">
        <w:t xml:space="preserve"> SoL produced a report outlining climate change impact and adaptation issues for the agriculture sector in Timor-Leste.</w:t>
      </w:r>
    </w:p>
    <w:p w:rsidR="008153D9" w:rsidRDefault="008153D9" w:rsidP="008153D9">
      <w:pPr>
        <w:pStyle w:val="Subtitle"/>
        <w:rPr>
          <w:rFonts w:ascii="Georgia" w:hAnsi="Georgia"/>
          <w:sz w:val="19"/>
          <w:szCs w:val="19"/>
        </w:rPr>
      </w:pPr>
      <w:r>
        <w:br w:type="page"/>
      </w:r>
    </w:p>
    <w:p w:rsidR="009D55F8" w:rsidRPr="005F7914" w:rsidRDefault="009D55F8" w:rsidP="009D55F8">
      <w:pPr>
        <w:pStyle w:val="BodyText"/>
      </w:pPr>
      <w:r w:rsidRPr="005F7914">
        <w:lastRenderedPageBreak/>
        <w:t>Australia, working through the Food and Agriculture Organization</w:t>
      </w:r>
      <w:r w:rsidR="00FD1371">
        <w:t>,</w:t>
      </w:r>
      <w:r w:rsidRPr="005F7914">
        <w:t xml:space="preserve"> is also assisting </w:t>
      </w:r>
      <w:r w:rsidR="00FD1371">
        <w:t>to build the</w:t>
      </w:r>
      <w:r w:rsidRPr="005F7914">
        <w:t xml:space="preserve"> MAF</w:t>
      </w:r>
      <w:r w:rsidR="00FD1371">
        <w:t>’</w:t>
      </w:r>
      <w:r w:rsidRPr="005F7914">
        <w:t>s capacity to prevent and control infectious diseases in livestock</w:t>
      </w:r>
      <w:r w:rsidR="00BD0B39">
        <w:t xml:space="preserve">. </w:t>
      </w:r>
      <w:r w:rsidRPr="005F7914">
        <w:t>This included establishing a veterinary laboratory facility.</w:t>
      </w:r>
    </w:p>
    <w:p w:rsidR="009D55F8" w:rsidRPr="005F7914" w:rsidRDefault="009D55F8" w:rsidP="009D55F8">
      <w:pPr>
        <w:pStyle w:val="BodyText"/>
        <w:rPr>
          <w:i/>
        </w:rPr>
      </w:pPr>
      <w:r w:rsidRPr="005F7914">
        <w:rPr>
          <w:i/>
        </w:rPr>
        <w:t>Increased access to rural financial services</w:t>
      </w:r>
    </w:p>
    <w:p w:rsidR="009D55F8" w:rsidRPr="005F7914" w:rsidRDefault="009D55F8" w:rsidP="009D55F8">
      <w:pPr>
        <w:pStyle w:val="BodyText"/>
      </w:pPr>
      <w:r w:rsidRPr="005F7914">
        <w:t xml:space="preserve">The microfinance sector in Timor-Leste is young but growing steadily. Australia, working </w:t>
      </w:r>
      <w:r w:rsidRPr="00096446">
        <w:t>through U</w:t>
      </w:r>
      <w:r w:rsidR="00096446" w:rsidRPr="00096446">
        <w:t xml:space="preserve">nited </w:t>
      </w:r>
      <w:r w:rsidRPr="00096446">
        <w:t>N</w:t>
      </w:r>
      <w:r w:rsidR="00096446" w:rsidRPr="00096446">
        <w:t>ations</w:t>
      </w:r>
      <w:r w:rsidRPr="00096446">
        <w:t xml:space="preserve"> agencies</w:t>
      </w:r>
      <w:r w:rsidRPr="005F7914">
        <w:t>, is assisting the poor in rural areas of Timor-Leste to access financial services (saving and microcredit) by building the capacity of local microfinance institutions</w:t>
      </w:r>
      <w:r w:rsidR="00BD0B39">
        <w:t xml:space="preserve">. </w:t>
      </w:r>
      <w:r w:rsidRPr="005F7914">
        <w:t>During 2009 and 2010 the number of microfinance clients in Timor-Leste increased by around 21</w:t>
      </w:r>
      <w:r w:rsidR="003A1AF9">
        <w:t> </w:t>
      </w:r>
      <w:r w:rsidRPr="005F7914">
        <w:t>000</w:t>
      </w:r>
      <w:r w:rsidR="00FD1371">
        <w:t>.</w:t>
      </w:r>
      <w:r w:rsidRPr="005F7914">
        <w:rPr>
          <w:rStyle w:val="FootnoteReference"/>
        </w:rPr>
        <w:footnoteReference w:id="45"/>
      </w:r>
      <w:r w:rsidRPr="005F7914">
        <w:t xml:space="preserve"> However most of this growth was in the government-sponsored microfinance institution which was not directly supported by </w:t>
      </w:r>
      <w:r w:rsidR="00096446" w:rsidRPr="00096446">
        <w:t xml:space="preserve">Inclusive finance for the under-served economy </w:t>
      </w:r>
      <w:r w:rsidR="00096446">
        <w:t>(</w:t>
      </w:r>
      <w:r w:rsidRPr="00096446">
        <w:t>INFUSE</w:t>
      </w:r>
      <w:r w:rsidR="00096446">
        <w:t>)</w:t>
      </w:r>
      <w:r w:rsidR="00BD0B39">
        <w:t xml:space="preserve">. </w:t>
      </w:r>
      <w:r w:rsidRPr="005F7914">
        <w:t>In 2010 the Go</w:t>
      </w:r>
      <w:r w:rsidR="00FD1371">
        <w:t>TL</w:t>
      </w:r>
      <w:r w:rsidRPr="005F7914">
        <w:t xml:space="preserve"> introduced a new regulation for the microfinance industry aimed at providing greater protection to depositors</w:t>
      </w:r>
      <w:r w:rsidR="00BD0B39">
        <w:t xml:space="preserve">. </w:t>
      </w:r>
      <w:r w:rsidRPr="005F7914">
        <w:t>Our program helped facilitate consultation with the microfinance industry and will assist institutions to comply with the new regulation in the future</w:t>
      </w:r>
      <w:r w:rsidR="00BD0B39">
        <w:t xml:space="preserve">. </w:t>
      </w:r>
      <w:r w:rsidR="00FD1371">
        <w:t>Australian</w:t>
      </w:r>
      <w:r w:rsidR="00FD1371" w:rsidRPr="005F7914">
        <w:t xml:space="preserve"> </w:t>
      </w:r>
      <w:r w:rsidRPr="005F7914">
        <w:t>support has also helped microfinance institutions strengthen their management systems and improve their financial sustainability</w:t>
      </w:r>
      <w:r w:rsidR="00BD0B39">
        <w:t xml:space="preserve">. </w:t>
      </w:r>
      <w:r w:rsidRPr="005F7914">
        <w:t>The two microfinance institutions directly supported by INFUSE have achieved financial self-sufficiency and were achieving positive returns on their assets.</w:t>
      </w:r>
      <w:r w:rsidRPr="005F7914">
        <w:rPr>
          <w:rStyle w:val="FootnoteReference"/>
        </w:rPr>
        <w:footnoteReference w:id="46"/>
      </w:r>
    </w:p>
    <w:p w:rsidR="009D55F8" w:rsidRPr="005F7914" w:rsidRDefault="00DE666D" w:rsidP="006A7098">
      <w:pPr>
        <w:pStyle w:val="H3"/>
      </w:pPr>
      <w:bookmarkStart w:id="24" w:name="_Toc360973018"/>
      <w:r>
        <w:t>Management c</w:t>
      </w:r>
      <w:r w:rsidR="009D55F8" w:rsidRPr="005F7914">
        <w:t>onsequences</w:t>
      </w:r>
      <w:bookmarkEnd w:id="24"/>
    </w:p>
    <w:p w:rsidR="006A7098" w:rsidRDefault="009D55F8" w:rsidP="00244182">
      <w:pPr>
        <w:pStyle w:val="BodyText"/>
        <w:numPr>
          <w:ilvl w:val="0"/>
          <w:numId w:val="22"/>
        </w:numPr>
      </w:pPr>
      <w:r w:rsidRPr="005F7914">
        <w:t xml:space="preserve">During 2011 Australia will seek a larger impact on the long-term constraints to agricultural productivity and food security through new and expanded interventions and stronger policy </w:t>
      </w:r>
      <w:r w:rsidR="00FD1371">
        <w:t>discussion</w:t>
      </w:r>
      <w:r w:rsidR="00BD0B39">
        <w:t xml:space="preserve">. </w:t>
      </w:r>
      <w:r w:rsidRPr="005F7914">
        <w:t xml:space="preserve">Australia, working with </w:t>
      </w:r>
      <w:r w:rsidR="00E07BF1">
        <w:t xml:space="preserve">the </w:t>
      </w:r>
      <w:r w:rsidR="00E07BF1" w:rsidRPr="005F7914">
        <w:t xml:space="preserve">Ministry of Agriculture and Fisheries </w:t>
      </w:r>
      <w:r w:rsidRPr="005F7914">
        <w:t xml:space="preserve">and other donors, will closely monitor short-term food security (including storage) and work with government and other donors to provide assistance if required. Australia will engage in </w:t>
      </w:r>
      <w:r w:rsidR="00FD1371">
        <w:t>discussion</w:t>
      </w:r>
      <w:r w:rsidR="00FD1371" w:rsidRPr="005F7914">
        <w:t xml:space="preserve"> </w:t>
      </w:r>
      <w:r w:rsidRPr="005F7914">
        <w:t>with the Go</w:t>
      </w:r>
      <w:r w:rsidR="00FD1371">
        <w:t>TL</w:t>
      </w:r>
      <w:r w:rsidRPr="005F7914">
        <w:t xml:space="preserve"> on issues relating to food security</w:t>
      </w:r>
      <w:r w:rsidR="00FD1371">
        <w:t>,</w:t>
      </w:r>
      <w:r w:rsidRPr="005F7914">
        <w:t xml:space="preserve"> such as agricultural policies and subsidies. Australia will use multiple points of engagement on policy issues. However, it will be important to have realistic expectations of what policy changes are likely in the short term</w:t>
      </w:r>
      <w:r w:rsidR="00BD0B39">
        <w:t xml:space="preserve">. </w:t>
      </w:r>
      <w:r w:rsidRPr="005F7914">
        <w:t>Australia will also work with the Government on a multi-sector response to improve nutrition in Timor-Leste, through our support to health and education.</w:t>
      </w:r>
    </w:p>
    <w:p w:rsidR="006A7098" w:rsidRDefault="009D55F8" w:rsidP="00244182">
      <w:pPr>
        <w:pStyle w:val="BodyText"/>
        <w:numPr>
          <w:ilvl w:val="0"/>
          <w:numId w:val="22"/>
        </w:numPr>
      </w:pPr>
      <w:r w:rsidRPr="005F7914">
        <w:t>A new phase of S</w:t>
      </w:r>
      <w:r w:rsidR="004633BA">
        <w:t>oL</w:t>
      </w:r>
      <w:r w:rsidRPr="005F7914">
        <w:t xml:space="preserve"> </w:t>
      </w:r>
      <w:r w:rsidR="00412F2F">
        <w:t>started</w:t>
      </w:r>
      <w:r w:rsidR="00412F2F" w:rsidRPr="005F7914">
        <w:t xml:space="preserve"> </w:t>
      </w:r>
      <w:r w:rsidRPr="005F7914">
        <w:t xml:space="preserve">in February 2011 for five years to expand the program to the whole </w:t>
      </w:r>
      <w:r w:rsidR="00412F2F">
        <w:t>country</w:t>
      </w:r>
      <w:r w:rsidRPr="005F7914">
        <w:t xml:space="preserve"> and significantly upscale the distribution of improved crop varieties</w:t>
      </w:r>
      <w:r w:rsidR="00BD0B39">
        <w:t xml:space="preserve">. </w:t>
      </w:r>
      <w:r w:rsidR="00412F2F">
        <w:t>The new phase</w:t>
      </w:r>
      <w:r w:rsidR="00412F2F" w:rsidRPr="005F7914">
        <w:t xml:space="preserve"> </w:t>
      </w:r>
      <w:r w:rsidRPr="005F7914">
        <w:t xml:space="preserve">aims to establish a sustainable seed system managed by </w:t>
      </w:r>
      <w:r w:rsidR="00412F2F">
        <w:t xml:space="preserve">the </w:t>
      </w:r>
      <w:r w:rsidR="00E07BF1" w:rsidRPr="005F7914">
        <w:t>Ministry of Agriculture and Fisheries</w:t>
      </w:r>
      <w:r w:rsidRPr="005F7914">
        <w:t xml:space="preserve"> and incorporating community-based and market-based seed production and distribution</w:t>
      </w:r>
      <w:r w:rsidR="00BD0B39">
        <w:t xml:space="preserve">. </w:t>
      </w:r>
      <w:r w:rsidRPr="005F7914">
        <w:t xml:space="preserve">It will be important to ensure new elements of the program are effectively implemented and that the </w:t>
      </w:r>
      <w:r w:rsidRPr="00096446">
        <w:t>M&amp;E</w:t>
      </w:r>
      <w:r w:rsidRPr="005F7914">
        <w:t xml:space="preserve"> framework captures robust data on the food security impacts of increased seed distribution</w:t>
      </w:r>
      <w:r w:rsidR="00BD0B39">
        <w:t xml:space="preserve">. </w:t>
      </w:r>
      <w:r w:rsidRPr="005F7914">
        <w:t xml:space="preserve">One of the great challenges will be to build </w:t>
      </w:r>
      <w:r w:rsidR="00E07BF1">
        <w:t xml:space="preserve">the </w:t>
      </w:r>
      <w:r w:rsidR="00EC7B76">
        <w:t>m</w:t>
      </w:r>
      <w:r w:rsidR="00E07BF1">
        <w:t>inistry’s</w:t>
      </w:r>
      <w:r w:rsidRPr="005F7914">
        <w:t xml:space="preserve"> leadership and capacity</w:t>
      </w:r>
      <w:r w:rsidR="00BD0B39">
        <w:t xml:space="preserve">. </w:t>
      </w:r>
    </w:p>
    <w:p w:rsidR="006A7098" w:rsidRDefault="009D55F8" w:rsidP="00244182">
      <w:pPr>
        <w:pStyle w:val="BodyText"/>
        <w:numPr>
          <w:ilvl w:val="0"/>
          <w:numId w:val="22"/>
        </w:numPr>
      </w:pPr>
      <w:r w:rsidRPr="005F7914">
        <w:t xml:space="preserve">Australia’s Multi-Country Market Development Facility is expected to </w:t>
      </w:r>
      <w:r w:rsidR="00412F2F">
        <w:t>start</w:t>
      </w:r>
      <w:r w:rsidR="00412F2F" w:rsidRPr="005F7914">
        <w:t xml:space="preserve"> </w:t>
      </w:r>
      <w:r w:rsidRPr="005F7914">
        <w:t xml:space="preserve">in Timor-Leste </w:t>
      </w:r>
      <w:r w:rsidR="00412F2F">
        <w:t>in</w:t>
      </w:r>
      <w:r w:rsidR="00412F2F" w:rsidRPr="005F7914">
        <w:t xml:space="preserve"> </w:t>
      </w:r>
      <w:r w:rsidRPr="005F7914">
        <w:t>2011</w:t>
      </w:r>
      <w:r w:rsidR="00412F2F">
        <w:t>, analysing</w:t>
      </w:r>
      <w:r w:rsidRPr="005F7914">
        <w:t xml:space="preserve"> markets to identify opportunities to make </w:t>
      </w:r>
      <w:r w:rsidR="00412F2F">
        <w:t>them</w:t>
      </w:r>
      <w:r w:rsidR="00412F2F" w:rsidRPr="005F7914">
        <w:t xml:space="preserve"> </w:t>
      </w:r>
      <w:r w:rsidRPr="005F7914">
        <w:t xml:space="preserve">more </w:t>
      </w:r>
      <w:r w:rsidRPr="005F7914">
        <w:lastRenderedPageBreak/>
        <w:t>competitive and accessible to poor men and women</w:t>
      </w:r>
      <w:r w:rsidR="00BD0B39">
        <w:t xml:space="preserve">. </w:t>
      </w:r>
      <w:r w:rsidRPr="005F7914">
        <w:t>The facility will greatly expand Australia’s analytical capacity and outreach into agriculture and other sectors.</w:t>
      </w:r>
    </w:p>
    <w:p w:rsidR="006A7098" w:rsidRDefault="00412F2F" w:rsidP="00244182">
      <w:pPr>
        <w:pStyle w:val="BodyText"/>
        <w:numPr>
          <w:ilvl w:val="0"/>
          <w:numId w:val="22"/>
        </w:numPr>
      </w:pPr>
      <w:r>
        <w:t>In</w:t>
      </w:r>
      <w:r w:rsidRPr="005F7914">
        <w:t xml:space="preserve"> </w:t>
      </w:r>
      <w:r w:rsidR="009D55F8" w:rsidRPr="005F7914">
        <w:t>2011 Australia will review its assistance to Timor-Leste for livestock disease prevention and control</w:t>
      </w:r>
      <w:r>
        <w:t>, focusing</w:t>
      </w:r>
      <w:r w:rsidR="009D55F8" w:rsidRPr="005F7914">
        <w:t xml:space="preserve"> on the government’s ability to sustain the laboratory facility. This review will inform Australia’s decision about whether to provide </w:t>
      </w:r>
      <w:r>
        <w:t>more</w:t>
      </w:r>
      <w:r w:rsidRPr="005F7914">
        <w:t xml:space="preserve"> </w:t>
      </w:r>
      <w:r w:rsidR="009D55F8" w:rsidRPr="005F7914">
        <w:t>assistance</w:t>
      </w:r>
      <w:r w:rsidR="00BD0B39">
        <w:t xml:space="preserve">. </w:t>
      </w:r>
      <w:r>
        <w:t xml:space="preserve">The </w:t>
      </w:r>
      <w:r w:rsidR="009D55F8" w:rsidRPr="005F7914">
        <w:t>A</w:t>
      </w:r>
      <w:r w:rsidR="009D6EC3">
        <w:t>ustralian Centre for International Agricultural Research (A</w:t>
      </w:r>
      <w:r w:rsidR="009D55F8" w:rsidRPr="005F7914">
        <w:t>CIAR</w:t>
      </w:r>
      <w:r w:rsidR="009D6EC3">
        <w:t>)</w:t>
      </w:r>
      <w:r w:rsidR="009D55F8" w:rsidRPr="005F7914">
        <w:t xml:space="preserve"> will also begin a livestock-management project </w:t>
      </w:r>
      <w:r>
        <w:t>in</w:t>
      </w:r>
      <w:r w:rsidRPr="005F7914">
        <w:t xml:space="preserve"> </w:t>
      </w:r>
      <w:r w:rsidR="009D55F8" w:rsidRPr="005F7914">
        <w:t>2011 in partnership with an Indonesian university.</w:t>
      </w:r>
    </w:p>
    <w:p w:rsidR="009D55F8" w:rsidRPr="005F7914" w:rsidRDefault="009D55F8" w:rsidP="00244182">
      <w:pPr>
        <w:pStyle w:val="BodyText"/>
        <w:numPr>
          <w:ilvl w:val="0"/>
          <w:numId w:val="22"/>
        </w:numPr>
      </w:pPr>
      <w:r w:rsidRPr="005F7914">
        <w:t>A mid-term review of the U</w:t>
      </w:r>
      <w:r w:rsidR="00281023">
        <w:t xml:space="preserve">nited </w:t>
      </w:r>
      <w:r w:rsidRPr="005F7914">
        <w:t>N</w:t>
      </w:r>
      <w:r w:rsidR="00281023">
        <w:t>ations</w:t>
      </w:r>
      <w:r w:rsidRPr="005F7914">
        <w:t xml:space="preserve"> microfinance program will be finalised in March</w:t>
      </w:r>
      <w:r w:rsidR="00412F2F">
        <w:t> </w:t>
      </w:r>
      <w:r w:rsidRPr="005F7914">
        <w:t>2011</w:t>
      </w:r>
      <w:r w:rsidR="00BD0B39">
        <w:t xml:space="preserve">. </w:t>
      </w:r>
      <w:r w:rsidRPr="005F7914">
        <w:t>Australia, as a member of the</w:t>
      </w:r>
      <w:r w:rsidR="00412F2F">
        <w:t xml:space="preserve"> program’s</w:t>
      </w:r>
      <w:r w:rsidRPr="005F7914">
        <w:t xml:space="preserve"> management board, will address </w:t>
      </w:r>
      <w:r w:rsidR="00412F2F">
        <w:t xml:space="preserve">review </w:t>
      </w:r>
      <w:r w:rsidRPr="005F7914">
        <w:t>recommendations</w:t>
      </w:r>
      <w:r w:rsidR="00BD0B39">
        <w:t xml:space="preserve">. </w:t>
      </w:r>
      <w:r w:rsidRPr="005F7914">
        <w:t xml:space="preserve">The Australian-funded Pacific Microfinance Initiative implemented through the </w:t>
      </w:r>
      <w:smartTag w:uri="urn:schemas-microsoft-com:office:smarttags" w:element="PersonName">
        <w:r w:rsidRPr="005F7914">
          <w:t>International</w:t>
        </w:r>
      </w:smartTag>
      <w:r w:rsidRPr="005F7914">
        <w:t xml:space="preserve"> Finance Corporation has funding allocated to provide assistance in Timor-Leste</w:t>
      </w:r>
      <w:r w:rsidR="00BD0B39">
        <w:t xml:space="preserve">. </w:t>
      </w:r>
      <w:r w:rsidRPr="005F7914">
        <w:t>Australia will ensure this initiative is well coordinated with the U</w:t>
      </w:r>
      <w:r w:rsidR="00096446">
        <w:t xml:space="preserve">nited </w:t>
      </w:r>
      <w:r w:rsidRPr="005F7914">
        <w:t>N</w:t>
      </w:r>
      <w:r w:rsidR="00096446">
        <w:t>ations</w:t>
      </w:r>
      <w:r w:rsidR="00412F2F">
        <w:t xml:space="preserve"> microfinance</w:t>
      </w:r>
      <w:r w:rsidRPr="005F7914">
        <w:t xml:space="preserve"> program and other development partners working in microfinance in Timor-Leste. </w:t>
      </w:r>
    </w:p>
    <w:p w:rsidR="009D55F8" w:rsidRPr="005F7914" w:rsidRDefault="009D55F8" w:rsidP="009D55F8">
      <w:pPr>
        <w:pStyle w:val="Heading2"/>
        <w:keepNext/>
        <w:spacing w:before="240"/>
        <w:ind w:left="0"/>
      </w:pPr>
      <w:bookmarkStart w:id="25" w:name="_Toc360973019"/>
      <w:r w:rsidRPr="005F7914">
        <w:t xml:space="preserve">Sector: Public </w:t>
      </w:r>
      <w:r w:rsidR="00412F2F">
        <w:t>s</w:t>
      </w:r>
      <w:r w:rsidRPr="005F7914">
        <w:t xml:space="preserve">ector and </w:t>
      </w:r>
      <w:r w:rsidR="00412F2F">
        <w:t>d</w:t>
      </w:r>
      <w:r w:rsidRPr="005F7914">
        <w:t xml:space="preserve">emocratic </w:t>
      </w:r>
      <w:r w:rsidR="00412F2F">
        <w:t>g</w:t>
      </w:r>
      <w:r w:rsidRPr="005F7914">
        <w:t>overnance</w:t>
      </w:r>
      <w:bookmarkEnd w:id="25"/>
    </w:p>
    <w:p w:rsidR="001B5733" w:rsidRDefault="001B5733" w:rsidP="009D55F8">
      <w:pPr>
        <w:pStyle w:val="BodyText"/>
      </w:pPr>
      <w:r>
        <w:t>Objectives:</w:t>
      </w:r>
    </w:p>
    <w:p w:rsidR="006A7098" w:rsidRDefault="009D55F8" w:rsidP="00244182">
      <w:pPr>
        <w:pStyle w:val="BodyText"/>
        <w:numPr>
          <w:ilvl w:val="0"/>
          <w:numId w:val="23"/>
        </w:numPr>
      </w:pPr>
      <w:r w:rsidRPr="005F7914">
        <w:t>To help establish and develop central agencies, in line with GoTL’s public sector reform agenda</w:t>
      </w:r>
    </w:p>
    <w:p w:rsidR="006A7098" w:rsidRDefault="009D55F8" w:rsidP="00244182">
      <w:pPr>
        <w:pStyle w:val="BodyText"/>
        <w:numPr>
          <w:ilvl w:val="0"/>
          <w:numId w:val="23"/>
        </w:numPr>
      </w:pPr>
      <w:r w:rsidRPr="005F7914">
        <w:t>To help establish and implement a regulatory framework for, and enable provision of training to, the public sector</w:t>
      </w:r>
    </w:p>
    <w:p w:rsidR="006A7098" w:rsidRDefault="009D55F8" w:rsidP="00244182">
      <w:pPr>
        <w:pStyle w:val="BodyText"/>
        <w:numPr>
          <w:ilvl w:val="0"/>
          <w:numId w:val="23"/>
        </w:numPr>
      </w:pPr>
      <w:r w:rsidRPr="005F7914">
        <w:t>To build functional formal political institutions and respect for democratic processes</w:t>
      </w:r>
    </w:p>
    <w:p w:rsidR="009D55F8" w:rsidRPr="005F7914" w:rsidRDefault="009D55F8" w:rsidP="00244182">
      <w:pPr>
        <w:pStyle w:val="BodyText"/>
        <w:numPr>
          <w:ilvl w:val="0"/>
          <w:numId w:val="23"/>
        </w:numPr>
      </w:pPr>
      <w:r w:rsidRPr="005F7914">
        <w:t>To build effective relations between the state and communities</w:t>
      </w:r>
    </w:p>
    <w:p w:rsidR="009D55F8" w:rsidRPr="005F7914" w:rsidRDefault="00DE666D" w:rsidP="006A7098">
      <w:pPr>
        <w:pStyle w:val="H3"/>
      </w:pPr>
      <w:bookmarkStart w:id="26" w:name="_Toc360973020"/>
      <w:r>
        <w:t>Sector c</w:t>
      </w:r>
      <w:r w:rsidR="009D55F8" w:rsidRPr="005F7914">
        <w:t>ontext</w:t>
      </w:r>
      <w:bookmarkEnd w:id="26"/>
    </w:p>
    <w:p w:rsidR="009D55F8" w:rsidRPr="005F7914" w:rsidRDefault="009D55F8" w:rsidP="009D55F8">
      <w:pPr>
        <w:pStyle w:val="BodyText"/>
      </w:pPr>
      <w:r w:rsidRPr="005F7914">
        <w:t xml:space="preserve">Progress in strengthening public sector capacity in Timor-Leste </w:t>
      </w:r>
      <w:r w:rsidR="00412F2F">
        <w:t>was</w:t>
      </w:r>
      <w:r w:rsidRPr="005F7914">
        <w:t xml:space="preserve"> mixed in 2010</w:t>
      </w:r>
      <w:r w:rsidR="00BD0B39">
        <w:t xml:space="preserve">. </w:t>
      </w:r>
      <w:r w:rsidRPr="005F7914">
        <w:t>The Government’s new Human Capital Development Fund, set up under the 2011 National Budget, will intensify human resource development, with an allocation of US</w:t>
      </w:r>
      <w:r w:rsidR="001C29E0">
        <w:t>$</w:t>
      </w:r>
      <w:r w:rsidRPr="005F7914">
        <w:t>25 million in its first year and rising to US</w:t>
      </w:r>
      <w:r w:rsidR="001C29E0">
        <w:t>$</w:t>
      </w:r>
      <w:r w:rsidRPr="005F7914">
        <w:t>45 million by 2015 to fund a range of training and scholarship opportunities. But workforce numbers and salary costs continu</w:t>
      </w:r>
      <w:r w:rsidR="00412F2F">
        <w:t>e</w:t>
      </w:r>
      <w:r w:rsidRPr="005F7914">
        <w:t xml:space="preserve"> to grow: to 26</w:t>
      </w:r>
      <w:r w:rsidR="001C29E0">
        <w:t> </w:t>
      </w:r>
      <w:r w:rsidRPr="005F7914">
        <w:t>093 civil servants in 2010 (from 21</w:t>
      </w:r>
      <w:r w:rsidR="001C29E0">
        <w:t> </w:t>
      </w:r>
      <w:r w:rsidRPr="005F7914">
        <w:t>954 in 2008) at a bill of US</w:t>
      </w:r>
      <w:r w:rsidR="001C29E0">
        <w:t>$</w:t>
      </w:r>
      <w:r w:rsidRPr="005F7914">
        <w:t>72 million (up from US</w:t>
      </w:r>
      <w:r w:rsidR="001C29E0">
        <w:t>$</w:t>
      </w:r>
      <w:r w:rsidRPr="005F7914">
        <w:t>33.6 million in 2008). This is rapid expansion by international standards and Timor-Leste’s civil servant</w:t>
      </w:r>
      <w:r w:rsidR="00412F2F">
        <w:t>-</w:t>
      </w:r>
      <w:r w:rsidRPr="005F7914">
        <w:t>to</w:t>
      </w:r>
      <w:r w:rsidR="00412F2F">
        <w:t>-</w:t>
      </w:r>
      <w:r w:rsidRPr="005F7914">
        <w:t xml:space="preserve">population ratio is now among the highest in the region. </w:t>
      </w:r>
    </w:p>
    <w:p w:rsidR="009D55F8" w:rsidRPr="005F7914" w:rsidRDefault="009D55F8" w:rsidP="009D55F8">
      <w:pPr>
        <w:pStyle w:val="BodyText"/>
      </w:pPr>
      <w:r w:rsidRPr="005F7914">
        <w:t>The Government’s public sector reform agenda</w:t>
      </w:r>
      <w:r w:rsidR="00412F2F">
        <w:t>—</w:t>
      </w:r>
      <w:r w:rsidRPr="005F7914">
        <w:t xml:space="preserve"> introduced in 2008 as part of the ‘Year of Administrative Reform’</w:t>
      </w:r>
      <w:r w:rsidR="00412F2F">
        <w:t>—</w:t>
      </w:r>
      <w:r w:rsidRPr="005F7914">
        <w:t>has established new institutions and mechanisms to improve the civil service. But the ongoing absence of a strategic plan for the public sector</w:t>
      </w:r>
      <w:r w:rsidR="00236E3D">
        <w:t>—</w:t>
      </w:r>
      <w:r w:rsidRPr="005F7914">
        <w:t>to determine overall size, shape and cost</w:t>
      </w:r>
      <w:r w:rsidR="00236E3D">
        <w:t>—</w:t>
      </w:r>
      <w:r w:rsidRPr="005F7914">
        <w:t>is increasingly problematic. The need for a stronger framework extends to the Government’s use of consultants financed from the state budget, with expenditure on professional services increasing 136</w:t>
      </w:r>
      <w:r>
        <w:t xml:space="preserve"> per cent</w:t>
      </w:r>
      <w:r w:rsidRPr="005F7914">
        <w:t xml:space="preserve"> since 2008 to US</w:t>
      </w:r>
      <w:r w:rsidR="00236E3D">
        <w:t>$</w:t>
      </w:r>
      <w:r w:rsidRPr="005F7914">
        <w:t>53.7 million in 2010 (separate to the wages and salaries bill)</w:t>
      </w:r>
      <w:r w:rsidR="00BD0B39">
        <w:t xml:space="preserve">. </w:t>
      </w:r>
      <w:r w:rsidRPr="005F7914">
        <w:t>Furthermore, building a workforce with the requisite skills</w:t>
      </w:r>
      <w:r w:rsidR="00236E3D">
        <w:t>—</w:t>
      </w:r>
      <w:r w:rsidRPr="005F7914">
        <w:t>at both the basic and highly-specialised ends of the spectrum</w:t>
      </w:r>
      <w:r w:rsidR="00236E3D">
        <w:t>—</w:t>
      </w:r>
      <w:r w:rsidRPr="005F7914">
        <w:t xml:space="preserve">remains a key challenge for </w:t>
      </w:r>
      <w:r w:rsidR="00412F2F">
        <w:t>the GoTL</w:t>
      </w:r>
      <w:r w:rsidR="00BD0B39">
        <w:t xml:space="preserve">. </w:t>
      </w:r>
    </w:p>
    <w:p w:rsidR="009D55F8" w:rsidRPr="005F7914" w:rsidRDefault="009D55F8" w:rsidP="009D55F8">
      <w:pPr>
        <w:pStyle w:val="BodyText"/>
      </w:pPr>
      <w:r w:rsidRPr="005F7914">
        <w:t xml:space="preserve">An emerging democratic culture continued to be evident in Timor-Leste </w:t>
      </w:r>
      <w:r w:rsidR="00412F2F">
        <w:t>in</w:t>
      </w:r>
      <w:r w:rsidR="00412F2F" w:rsidRPr="005F7914">
        <w:t xml:space="preserve"> </w:t>
      </w:r>
      <w:r w:rsidRPr="005F7914">
        <w:t>2010, with robust parliamentary debate and scrutiny from parliamentary committees, the media and civil society</w:t>
      </w:r>
      <w:r w:rsidR="00BD0B39">
        <w:t xml:space="preserve">. </w:t>
      </w:r>
      <w:r w:rsidRPr="005F7914">
        <w:t>The Prime Minister travell</w:t>
      </w:r>
      <w:r w:rsidR="00412F2F">
        <w:t>ed</w:t>
      </w:r>
      <w:r w:rsidRPr="005F7914">
        <w:t xml:space="preserve"> across the country</w:t>
      </w:r>
      <w:r w:rsidR="00412F2F">
        <w:t xml:space="preserve"> in 2010</w:t>
      </w:r>
      <w:r w:rsidRPr="005F7914">
        <w:t xml:space="preserve"> to consult on his </w:t>
      </w:r>
      <w:r w:rsidRPr="005F7914">
        <w:lastRenderedPageBreak/>
        <w:t xml:space="preserve">government’s </w:t>
      </w:r>
      <w:r w:rsidR="006F35D5">
        <w:t>SDP</w:t>
      </w:r>
      <w:r w:rsidR="00BD0B39">
        <w:t xml:space="preserve">. </w:t>
      </w:r>
      <w:r w:rsidRPr="005F7914">
        <w:t>However a mission led by Australian governance advisors concluded that although the Constitution guarantees citizen participation in public matters, decision</w:t>
      </w:r>
      <w:r w:rsidR="00412F2F">
        <w:t xml:space="preserve"> </w:t>
      </w:r>
      <w:r w:rsidRPr="005F7914">
        <w:t xml:space="preserve">making remains highly centralised within government. Despite some strong voices against corruption within civil society, there are not yet clear channels of interaction between government and citizens. </w:t>
      </w:r>
    </w:p>
    <w:p w:rsidR="009D55F8" w:rsidRPr="005F7914" w:rsidRDefault="009D55F8" w:rsidP="009D55F8">
      <w:pPr>
        <w:pStyle w:val="BodyText"/>
      </w:pPr>
      <w:r w:rsidRPr="005F7914">
        <w:t>Further analysis undertaken in 2010 recommended that Australia reconsider its governance portfolio and develop an approach link</w:t>
      </w:r>
      <w:r w:rsidR="00412F2F">
        <w:t>ing</w:t>
      </w:r>
      <w:r w:rsidRPr="005F7914">
        <w:t xml:space="preserve"> our support in public sector reform, democratic governance and </w:t>
      </w:r>
      <w:r w:rsidR="006F35D5">
        <w:t>PFM</w:t>
      </w:r>
      <w:r w:rsidRPr="005F7914">
        <w:t xml:space="preserve">. As with other sectoral programs, this approach requires a sharper focus on improving service delivery </w:t>
      </w:r>
      <w:r w:rsidR="00412F2F">
        <w:t>to</w:t>
      </w:r>
      <w:r w:rsidR="00412F2F" w:rsidRPr="005F7914">
        <w:t xml:space="preserve"> </w:t>
      </w:r>
      <w:r w:rsidRPr="005F7914">
        <w:t>involve citizens as active participants</w:t>
      </w:r>
      <w:r w:rsidR="00412F2F">
        <w:t>—</w:t>
      </w:r>
      <w:r w:rsidRPr="005F7914">
        <w:t>thereby strengthening the citizen-state relationship.</w:t>
      </w:r>
    </w:p>
    <w:p w:rsidR="009D55F8" w:rsidRPr="005F7914" w:rsidRDefault="00DE666D" w:rsidP="006A7098">
      <w:pPr>
        <w:pStyle w:val="H3"/>
      </w:pPr>
      <w:bookmarkStart w:id="27" w:name="_Toc360973021"/>
      <w:r>
        <w:t>Shared p</w:t>
      </w:r>
      <w:r w:rsidR="009D55F8" w:rsidRPr="005F7914">
        <w:t>rogress</w:t>
      </w:r>
      <w:bookmarkEnd w:id="27"/>
      <w:r w:rsidR="009D55F8" w:rsidRPr="005F7914">
        <w:t xml:space="preserve"> </w:t>
      </w:r>
    </w:p>
    <w:p w:rsidR="009D55F8" w:rsidRPr="001E163C" w:rsidRDefault="009D55F8" w:rsidP="001E163C">
      <w:pPr>
        <w:pStyle w:val="H4A"/>
      </w:pPr>
      <w:r w:rsidRPr="001E163C">
        <w:t>Public sector reform</w:t>
      </w:r>
    </w:p>
    <w:p w:rsidR="009D55F8" w:rsidRPr="005F7914" w:rsidRDefault="009D55F8" w:rsidP="009D55F8">
      <w:pPr>
        <w:pStyle w:val="ListNumber"/>
        <w:numPr>
          <w:ilvl w:val="0"/>
          <w:numId w:val="0"/>
        </w:numPr>
      </w:pPr>
      <w:r w:rsidRPr="005F7914">
        <w:t>Australia’s public sector support program has seen a period of strategic drift in which it has supported almost the full range of Timor-Leste agencies on a suite of issues ranging from food security and nutrition through to disability inclusive development</w:t>
      </w:r>
      <w:r w:rsidR="00BD0B39">
        <w:t xml:space="preserve">. </w:t>
      </w:r>
      <w:r w:rsidRPr="005F7914">
        <w:t>To rectify this</w:t>
      </w:r>
      <w:r w:rsidR="001B5733">
        <w:t xml:space="preserve"> disparity</w:t>
      </w:r>
      <w:r w:rsidRPr="005F7914">
        <w:t xml:space="preserve">, </w:t>
      </w:r>
      <w:r w:rsidR="001B5733">
        <w:t xml:space="preserve">the program’s </w:t>
      </w:r>
      <w:r w:rsidRPr="005F7914">
        <w:t xml:space="preserve">‘Additional Initiatives’ stream of sub-projects ended </w:t>
      </w:r>
      <w:r w:rsidR="00DD324B">
        <w:t xml:space="preserve">in 2010 </w:t>
      </w:r>
      <w:r w:rsidRPr="005F7914">
        <w:t xml:space="preserve">and focus continued on support to (i) central agencies, in line with GoTL’s public sector reform </w:t>
      </w:r>
      <w:r w:rsidRPr="00EC7B76">
        <w:t>agenda</w:t>
      </w:r>
      <w:r w:rsidR="00EC7B76">
        <w:t xml:space="preserve"> </w:t>
      </w:r>
      <w:r w:rsidRPr="00EC7B76">
        <w:t>and</w:t>
      </w:r>
      <w:r w:rsidRPr="005F7914">
        <w:t xml:space="preserve"> (ii) a regulatory framework for, and enabling provision of training to, the public sector.</w:t>
      </w:r>
    </w:p>
    <w:p w:rsidR="009D55F8" w:rsidRPr="005F7914" w:rsidRDefault="009D55F8" w:rsidP="001E163C">
      <w:pPr>
        <w:pStyle w:val="H4A"/>
      </w:pPr>
      <w:r w:rsidRPr="005F7914">
        <w:t xml:space="preserve">Helping establish and develop central agencies, in line with GoTL’s public sector reform agenda </w:t>
      </w:r>
    </w:p>
    <w:p w:rsidR="009D55F8" w:rsidRPr="005F7914" w:rsidRDefault="009D55F8" w:rsidP="009D55F8">
      <w:pPr>
        <w:pStyle w:val="BodyText"/>
      </w:pPr>
      <w:r w:rsidRPr="005F7914">
        <w:t>The mandate for reforming Timor-Leste’s public sector resides predominantly with the Ministry of State Administration and Territorial Management and the Civil Service Commission (</w:t>
      </w:r>
      <w:r w:rsidRPr="00096446">
        <w:t>CSC</w:t>
      </w:r>
      <w:r w:rsidRPr="005F7914">
        <w:t>)</w:t>
      </w:r>
      <w:r w:rsidR="00BD0B39">
        <w:t xml:space="preserve">. </w:t>
      </w:r>
      <w:r w:rsidRPr="005F7914">
        <w:t>These agencies were therefore the main recipients of Australian support under this objective in 2010.</w:t>
      </w:r>
    </w:p>
    <w:p w:rsidR="009D55F8" w:rsidRPr="005F7914" w:rsidRDefault="009D55F8" w:rsidP="009D55F8">
      <w:pPr>
        <w:pStyle w:val="BodyText"/>
      </w:pPr>
      <w:r w:rsidRPr="005F7914">
        <w:t xml:space="preserve">Australian support to the CSC in 2010 helped it place controls around Timor-Leste’s </w:t>
      </w:r>
      <w:r w:rsidR="00DD324B">
        <w:t xml:space="preserve">expanding </w:t>
      </w:r>
      <w:r w:rsidRPr="005F7914">
        <w:t>civil service which has been a key cause for concern in recent years</w:t>
      </w:r>
      <w:r w:rsidR="00BD0B39">
        <w:t xml:space="preserve">. </w:t>
      </w:r>
      <w:r w:rsidRPr="005F7914">
        <w:t>In 2010 the CSC instituted a recruitment freeze for 2011 while taking forward a process for conver</w:t>
      </w:r>
      <w:r w:rsidR="00DD324B">
        <w:t>ting</w:t>
      </w:r>
      <w:r w:rsidRPr="005F7914">
        <w:t xml:space="preserve"> ‘temporary’ positions (that account for about half of all public service jobs)</w:t>
      </w:r>
      <w:r w:rsidR="00DD324B">
        <w:t xml:space="preserve"> into permanent positions</w:t>
      </w:r>
      <w:r w:rsidRPr="005F7914">
        <w:t>. Australian technical assistance helped CSC drive these reforms.</w:t>
      </w:r>
    </w:p>
    <w:p w:rsidR="009D55F8" w:rsidRPr="005F7914" w:rsidRDefault="009D55F8" w:rsidP="009D55F8">
      <w:pPr>
        <w:pStyle w:val="BodyText"/>
      </w:pPr>
      <w:r w:rsidRPr="005F7914">
        <w:t>We</w:t>
      </w:r>
      <w:r w:rsidR="00236E3D">
        <w:t xml:space="preserve"> also helped strengthen the CSC</w:t>
      </w:r>
      <w:r w:rsidRPr="005F7914">
        <w:t xml:space="preserve">s corporate functions </w:t>
      </w:r>
      <w:r w:rsidR="00DD324B">
        <w:t>so</w:t>
      </w:r>
      <w:r w:rsidRPr="005F7914">
        <w:t xml:space="preserve"> it can better meet its mandate. With Australian support, the </w:t>
      </w:r>
      <w:r w:rsidR="00DD324B">
        <w:t>c</w:t>
      </w:r>
      <w:r w:rsidRPr="005F7914">
        <w:t>ommission produced a five</w:t>
      </w:r>
      <w:r w:rsidR="00DD324B">
        <w:t>-</w:t>
      </w:r>
      <w:r w:rsidRPr="005F7914">
        <w:t xml:space="preserve">year </w:t>
      </w:r>
      <w:r w:rsidR="00DD324B">
        <w:t>s</w:t>
      </w:r>
      <w:r w:rsidRPr="005F7914">
        <w:t xml:space="preserve">trategic </w:t>
      </w:r>
      <w:r w:rsidR="00DD324B">
        <w:t>p</w:t>
      </w:r>
      <w:r w:rsidRPr="005F7914">
        <w:t xml:space="preserve">lan, submitted its first </w:t>
      </w:r>
      <w:r w:rsidR="00DD324B">
        <w:t>a</w:t>
      </w:r>
      <w:r w:rsidRPr="005F7914">
        <w:t xml:space="preserve">nnual </w:t>
      </w:r>
      <w:r w:rsidR="00DD324B">
        <w:t>r</w:t>
      </w:r>
      <w:r w:rsidRPr="005F7914">
        <w:t>eport to Parliament and consolidated internal structures through developing new operational procedures in 2010. The CSC is also actively addressing disciplinary issues, with 164 cases investigated in 2010</w:t>
      </w:r>
      <w:r w:rsidR="00BD0B39">
        <w:t xml:space="preserve">. </w:t>
      </w:r>
      <w:r w:rsidRPr="005F7914">
        <w:t xml:space="preserve">In addition, the CSC suspended the salaries of </w:t>
      </w:r>
      <w:r w:rsidR="00BD0B39">
        <w:t>more than</w:t>
      </w:r>
      <w:r w:rsidRPr="005F7914">
        <w:t xml:space="preserve"> 363</w:t>
      </w:r>
      <w:r w:rsidR="00EC7B76">
        <w:t> </w:t>
      </w:r>
      <w:r w:rsidRPr="005F7914">
        <w:t xml:space="preserve">officers who had abandoned their employment and terminated the salaries (or employment) of 29 officers. The Disciplinary Directorate’s caseload is expected to grow following </w:t>
      </w:r>
      <w:smartTag w:uri="urn:schemas-microsoft-com:office:smarttags" w:element="place">
        <w:smartTag w:uri="urn:schemas-microsoft-com:office:smarttags" w:element="country-region">
          <w:r w:rsidRPr="005F7914">
            <w:t>Australia</w:t>
          </w:r>
        </w:smartTag>
      </w:smartTag>
      <w:r w:rsidRPr="005F7914">
        <w:t>’s recent provision of work equipment.</w:t>
      </w:r>
    </w:p>
    <w:p w:rsidR="002E2B9A" w:rsidRDefault="009D55F8" w:rsidP="009D55F8">
      <w:pPr>
        <w:pStyle w:val="BodyText"/>
      </w:pPr>
      <w:r w:rsidRPr="005F7914">
        <w:t xml:space="preserve">While our support to </w:t>
      </w:r>
      <w:r w:rsidR="00352900">
        <w:t xml:space="preserve">the </w:t>
      </w:r>
      <w:r w:rsidR="00352900" w:rsidRPr="005F7914">
        <w:t xml:space="preserve">Ministry of State Administration and Territorial Management </w:t>
      </w:r>
      <w:r w:rsidRPr="005F7914">
        <w:t xml:space="preserve">has been limited to date, in 2010, the Council of Ministers approved a new organic organisational structure for the agency with legal input from Australia. The new structure establishes clearer </w:t>
      </w:r>
    </w:p>
    <w:p w:rsidR="002E2B9A" w:rsidRDefault="002E2B9A" w:rsidP="002E2B9A">
      <w:pPr>
        <w:pStyle w:val="Subtitle"/>
        <w:rPr>
          <w:rFonts w:ascii="Georgia" w:hAnsi="Georgia"/>
          <w:sz w:val="19"/>
          <w:szCs w:val="19"/>
        </w:rPr>
      </w:pPr>
      <w:r>
        <w:br w:type="page"/>
      </w:r>
    </w:p>
    <w:p w:rsidR="009D55F8" w:rsidRPr="005F7914" w:rsidRDefault="009D55F8" w:rsidP="009D55F8">
      <w:pPr>
        <w:pStyle w:val="BodyText"/>
      </w:pPr>
      <w:r w:rsidRPr="005F7914">
        <w:lastRenderedPageBreak/>
        <w:t xml:space="preserve">areas of responsibility and lines of accountability that will enable more effective management of the Government’s future decentralised development agenda. </w:t>
      </w:r>
    </w:p>
    <w:p w:rsidR="009D55F8" w:rsidRPr="005F7914" w:rsidRDefault="009D55F8" w:rsidP="001E163C">
      <w:pPr>
        <w:pStyle w:val="H4A"/>
      </w:pPr>
      <w:r w:rsidRPr="005F7914">
        <w:t>Helping establish and implement a regulatory framework for, and enabling provision of training to, the public sector</w:t>
      </w:r>
    </w:p>
    <w:p w:rsidR="009D55F8" w:rsidRPr="005F7914" w:rsidRDefault="009D55F8" w:rsidP="009D55F8">
      <w:pPr>
        <w:pStyle w:val="BodyText"/>
      </w:pPr>
      <w:r w:rsidRPr="005F7914">
        <w:t>The National Institute for Public Administration is primarily responsible for developing the capacity of Timor-Leste’s civil service by delivering training and capacity development support across government</w:t>
      </w:r>
      <w:r w:rsidR="00BD0B39">
        <w:t xml:space="preserve">. </w:t>
      </w:r>
      <w:r w:rsidRPr="005F7914">
        <w:t>In 2010</w:t>
      </w:r>
      <w:r w:rsidR="00DD324B">
        <w:t>,</w:t>
      </w:r>
      <w:r w:rsidRPr="005F7914">
        <w:t xml:space="preserve"> </w:t>
      </w:r>
      <w:r w:rsidR="00E07BF1">
        <w:t>the institute</w:t>
      </w:r>
      <w:r w:rsidR="00E07BF1" w:rsidRPr="005F7914">
        <w:t xml:space="preserve"> </w:t>
      </w:r>
      <w:r w:rsidRPr="005F7914">
        <w:t xml:space="preserve">successfully piloted a Senior Management Course with 18 participants. The pilot drew on local experts to help deliver the seven modules and provide expert advice during the training. </w:t>
      </w:r>
      <w:r w:rsidR="00E07BF1">
        <w:t>The National Institu</w:t>
      </w:r>
      <w:r w:rsidR="00EC7B76">
        <w:t>t</w:t>
      </w:r>
      <w:r w:rsidR="00E07BF1">
        <w:t>e for Public Administration</w:t>
      </w:r>
      <w:r w:rsidRPr="005F7914">
        <w:t xml:space="preserve"> also delivered the Administrative Assistants course to 300 civil servants (</w:t>
      </w:r>
      <w:r w:rsidR="00DD324B">
        <w:t>in addition</w:t>
      </w:r>
      <w:r w:rsidR="00DD324B" w:rsidRPr="005F7914">
        <w:t xml:space="preserve"> </w:t>
      </w:r>
      <w:r w:rsidRPr="005F7914">
        <w:t xml:space="preserve">to the 200 </w:t>
      </w:r>
      <w:r w:rsidR="00DD324B">
        <w:t xml:space="preserve">who </w:t>
      </w:r>
      <w:r w:rsidRPr="005F7914">
        <w:t>particip</w:t>
      </w:r>
      <w:r w:rsidR="00DD324B">
        <w:t>ated in the 2009 pilot</w:t>
      </w:r>
      <w:r w:rsidRPr="005F7914">
        <w:t xml:space="preserve">). While Australia provided direct assistance to both initiatives, a review we commissioned found it will be critical to </w:t>
      </w:r>
      <w:r w:rsidR="00236E3D">
        <w:t xml:space="preserve">strengthen </w:t>
      </w:r>
      <w:r w:rsidR="00E07BF1">
        <w:t>the institute’s</w:t>
      </w:r>
      <w:r w:rsidR="00E07BF1" w:rsidRPr="005F7914">
        <w:t xml:space="preserve"> </w:t>
      </w:r>
      <w:r w:rsidRPr="005F7914">
        <w:t>internal organisation and learning facilities to sustain and expand these training courses in line with GoTL expectations.</w:t>
      </w:r>
    </w:p>
    <w:p w:rsidR="009D55F8" w:rsidRPr="005F7914" w:rsidRDefault="009D55F8" w:rsidP="009D55F8">
      <w:pPr>
        <w:pStyle w:val="BodyText"/>
      </w:pPr>
      <w:r w:rsidRPr="005F7914">
        <w:t xml:space="preserve">In 2010 Australia </w:t>
      </w:r>
      <w:r w:rsidR="00DD324B">
        <w:t>helped</w:t>
      </w:r>
      <w:r w:rsidR="00DD324B" w:rsidRPr="005F7914">
        <w:t xml:space="preserve"> </w:t>
      </w:r>
      <w:r w:rsidRPr="005F7914">
        <w:t xml:space="preserve">the GoTL broker a whole-of-government approach to training by helping establish an interagency Training and Development Consultative Committee, jointly chaired by the CSC and </w:t>
      </w:r>
      <w:r w:rsidR="00E07BF1">
        <w:t>the institute</w:t>
      </w:r>
      <w:r w:rsidR="00BD0B39">
        <w:t xml:space="preserve">. </w:t>
      </w:r>
      <w:r w:rsidRPr="005F7914">
        <w:t xml:space="preserve">This </w:t>
      </w:r>
      <w:r w:rsidR="00DD324B">
        <w:t>c</w:t>
      </w:r>
      <w:r w:rsidRPr="005F7914">
        <w:t xml:space="preserve">ommittee will inform the development and dissemination of new policy on civil service training. </w:t>
      </w:r>
      <w:r w:rsidR="00DD324B">
        <w:t>It</w:t>
      </w:r>
      <w:r w:rsidRPr="005F7914">
        <w:t xml:space="preserve"> has prepared a draft decree law on </w:t>
      </w:r>
      <w:r w:rsidR="004D330A">
        <w:t>t</w:t>
      </w:r>
      <w:r w:rsidRPr="005F7914">
        <w:t xml:space="preserve">raining and </w:t>
      </w:r>
      <w:r w:rsidR="004D330A">
        <w:t>d</w:t>
      </w:r>
      <w:r w:rsidRPr="005F7914">
        <w:t xml:space="preserve">evelopment, as well as a </w:t>
      </w:r>
      <w:r w:rsidR="004D330A">
        <w:t>s</w:t>
      </w:r>
      <w:r w:rsidRPr="005F7914">
        <w:t xml:space="preserve">cholarship and </w:t>
      </w:r>
      <w:r w:rsidR="004D330A">
        <w:t>s</w:t>
      </w:r>
      <w:r w:rsidRPr="005F7914">
        <w:t xml:space="preserve">tudy assistance policy, for approval by the Council of Ministers. This framework will help strengthen skills development across the civil service through a </w:t>
      </w:r>
      <w:r w:rsidR="004D330A" w:rsidRPr="005F7914">
        <w:t>standardi</w:t>
      </w:r>
      <w:r w:rsidR="004D330A">
        <w:t>s</w:t>
      </w:r>
      <w:r w:rsidR="004D330A" w:rsidRPr="005F7914">
        <w:t xml:space="preserve">ed </w:t>
      </w:r>
      <w:r w:rsidRPr="005F7914">
        <w:t>management approach and provide an important</w:t>
      </w:r>
      <w:r w:rsidR="00236E3D">
        <w:t xml:space="preserve"> mechanism to mobilise the GoTL</w:t>
      </w:r>
      <w:r w:rsidR="004D330A">
        <w:t>’</w:t>
      </w:r>
      <w:r w:rsidRPr="005F7914">
        <w:t xml:space="preserve">s new Human Capital Development Fund. </w:t>
      </w:r>
    </w:p>
    <w:p w:rsidR="009D55F8" w:rsidRPr="005F7914" w:rsidRDefault="004D330A" w:rsidP="009D55F8">
      <w:pPr>
        <w:pStyle w:val="BodyText"/>
      </w:pPr>
      <w:r>
        <w:t>I</w:t>
      </w:r>
      <w:r w:rsidR="009D55F8" w:rsidRPr="005F7914">
        <w:t>n 2010 Australia expanded the number of available Australian Development Scholarships by 50</w:t>
      </w:r>
      <w:r w:rsidR="009D55F8">
        <w:t xml:space="preserve"> per cent</w:t>
      </w:r>
      <w:r w:rsidR="009D55F8" w:rsidRPr="005F7914">
        <w:t>, from 20 to 30 scholarships annually, expand</w:t>
      </w:r>
      <w:r>
        <w:t>ed</w:t>
      </w:r>
      <w:r w:rsidR="009D55F8" w:rsidRPr="005F7914">
        <w:t xml:space="preserve"> marketing approaches</w:t>
      </w:r>
      <w:r>
        <w:t xml:space="preserve"> and</w:t>
      </w:r>
      <w:r w:rsidR="009D55F8" w:rsidRPr="005F7914">
        <w:t xml:space="preserve"> host</w:t>
      </w:r>
      <w:r>
        <w:t>ed</w:t>
      </w:r>
      <w:r w:rsidR="009D55F8" w:rsidRPr="005F7914">
        <w:t xml:space="preserve"> the first</w:t>
      </w:r>
      <w:r>
        <w:t>-</w:t>
      </w:r>
      <w:r w:rsidR="009D55F8" w:rsidRPr="005F7914">
        <w:t xml:space="preserve">ever exhibition of Australian and New Zealand universities. Working closely with the CSC, we also established a new Government Internship Program for returning Australian and New Zealand scholarship graduates, to be piloted in 2011 with </w:t>
      </w:r>
      <w:r>
        <w:t>five</w:t>
      </w:r>
      <w:r w:rsidR="009D55F8" w:rsidRPr="005F7914">
        <w:t xml:space="preserve"> interns across a range of </w:t>
      </w:r>
      <w:r>
        <w:t>m</w:t>
      </w:r>
      <w:r w:rsidR="009D55F8" w:rsidRPr="005F7914">
        <w:t xml:space="preserve">inistries. </w:t>
      </w:r>
    </w:p>
    <w:p w:rsidR="009D55F8" w:rsidRPr="005F7914" w:rsidRDefault="009D55F8" w:rsidP="001E163C">
      <w:pPr>
        <w:pStyle w:val="H4A"/>
      </w:pPr>
      <w:r w:rsidRPr="005F7914">
        <w:t>Democratic governance</w:t>
      </w:r>
    </w:p>
    <w:p w:rsidR="004D330A" w:rsidRDefault="009D55F8" w:rsidP="009D55F8">
      <w:pPr>
        <w:pStyle w:val="BodyText"/>
      </w:pPr>
      <w:r w:rsidRPr="005F7914">
        <w:t xml:space="preserve">Australia continued to support a range of small-value initiatives related to democratic governance in 2010, including support to </w:t>
      </w:r>
      <w:r w:rsidR="004D330A">
        <w:t>P</w:t>
      </w:r>
      <w:r w:rsidRPr="005F7914">
        <w:t xml:space="preserve">arliament, media, electoral systems and civil society. Achievements included improved legal drafting and analysis skills in Parliament, through an intensive program led by Indonesian professors and incorporating Portuguese language skills. Australia also continued support to a Gender Resource Centre in Parliament as well as female members of </w:t>
      </w:r>
      <w:r w:rsidR="004D330A">
        <w:t>P</w:t>
      </w:r>
      <w:r w:rsidRPr="005F7914">
        <w:t>arliament and permanent committees to work on gender-sensitive legislation</w:t>
      </w:r>
      <w:r w:rsidR="00BD0B39">
        <w:t xml:space="preserve">. </w:t>
      </w:r>
    </w:p>
    <w:p w:rsidR="009D55F8" w:rsidRPr="005F7914" w:rsidRDefault="009D55F8" w:rsidP="009D55F8">
      <w:pPr>
        <w:pStyle w:val="BodyText"/>
      </w:pPr>
      <w:r w:rsidRPr="005F7914">
        <w:t>Our long-term support to Timor-Leste’s electoral management authorities continued, with the Australian Electoral Commission providing Building Resources in Democracy, Governance and Elections training to 94 representatives from government and civil society organisations to help them promote public understanding of, and support for, electoral processes</w:t>
      </w:r>
      <w:r w:rsidR="00BD0B39">
        <w:t xml:space="preserve">. </w:t>
      </w:r>
      <w:r w:rsidR="009F45ED" w:rsidRPr="005F7914">
        <w:t xml:space="preserve">Building Resources in Democracy, Governance and Elections </w:t>
      </w:r>
      <w:r w:rsidRPr="005F7914">
        <w:t xml:space="preserve">was awarded a 2010 United Nations Public Service Award. </w:t>
      </w:r>
    </w:p>
    <w:p w:rsidR="002E2B9A" w:rsidRDefault="00DE666D" w:rsidP="006A7098">
      <w:pPr>
        <w:pStyle w:val="H3"/>
      </w:pPr>
      <w:bookmarkStart w:id="28" w:name="_Toc360973022"/>
      <w:r>
        <w:t>Management c</w:t>
      </w:r>
      <w:r w:rsidR="009D55F8" w:rsidRPr="005F7914">
        <w:t>onsequences</w:t>
      </w:r>
      <w:bookmarkEnd w:id="28"/>
    </w:p>
    <w:p w:rsidR="002E2B9A" w:rsidRDefault="002E2B9A" w:rsidP="002E2B9A">
      <w:pPr>
        <w:pStyle w:val="Subtitle"/>
        <w:rPr>
          <w:rFonts w:ascii="Georgia" w:hAnsi="Georgia"/>
          <w:sz w:val="19"/>
          <w:szCs w:val="19"/>
        </w:rPr>
      </w:pPr>
      <w:r>
        <w:br w:type="page"/>
      </w:r>
    </w:p>
    <w:p w:rsidR="006A7098" w:rsidRDefault="009D55F8" w:rsidP="00244182">
      <w:pPr>
        <w:pStyle w:val="BodyText"/>
        <w:numPr>
          <w:ilvl w:val="0"/>
          <w:numId w:val="24"/>
        </w:numPr>
      </w:pPr>
      <w:r w:rsidRPr="005F7914">
        <w:lastRenderedPageBreak/>
        <w:t xml:space="preserve">Building on analytical groundwork in 2010, Australia will develop a governance delivery strategy </w:t>
      </w:r>
      <w:r w:rsidR="004D330A">
        <w:t>to</w:t>
      </w:r>
      <w:r w:rsidR="004D330A" w:rsidRPr="005F7914">
        <w:t xml:space="preserve"> </w:t>
      </w:r>
      <w:r w:rsidRPr="005F7914">
        <w:t xml:space="preserve">link our support in public sector reform, democratic governance and </w:t>
      </w:r>
      <w:r w:rsidR="006F35D5">
        <w:t>PFM</w:t>
      </w:r>
      <w:r w:rsidRPr="005F7914">
        <w:t xml:space="preserve">. This strategy will </w:t>
      </w:r>
      <w:r w:rsidR="004D330A">
        <w:t>sharpen our</w:t>
      </w:r>
      <w:r w:rsidRPr="005F7914">
        <w:t xml:space="preserve"> focus on improving service delivery </w:t>
      </w:r>
      <w:r w:rsidR="004D330A">
        <w:t>by involving</w:t>
      </w:r>
      <w:r w:rsidRPr="005F7914">
        <w:t xml:space="preserve"> citizens as active participants</w:t>
      </w:r>
      <w:r w:rsidR="00236E3D">
        <w:t>—</w:t>
      </w:r>
      <w:r w:rsidRPr="005F7914">
        <w:t>thereby strengthening the citizen-state relationship. This will guide the re-design of our public sector reform program and rationalis</w:t>
      </w:r>
      <w:r w:rsidR="004D330A">
        <w:t>e</w:t>
      </w:r>
      <w:r w:rsidRPr="005F7914">
        <w:t xml:space="preserve"> our democratic governance portfolio.</w:t>
      </w:r>
    </w:p>
    <w:p w:rsidR="006A7098" w:rsidRDefault="009D55F8" w:rsidP="00244182">
      <w:pPr>
        <w:pStyle w:val="BodyText"/>
        <w:numPr>
          <w:ilvl w:val="0"/>
          <w:numId w:val="24"/>
        </w:numPr>
      </w:pPr>
      <w:r w:rsidRPr="005F7914">
        <w:t xml:space="preserve">Australia will work with the GoTL to integrate this governance approach of promoting community involvement in service delivery across all sectors in which </w:t>
      </w:r>
      <w:r w:rsidR="004D330A">
        <w:t>we</w:t>
      </w:r>
      <w:r w:rsidR="004D330A" w:rsidRPr="005F7914">
        <w:t xml:space="preserve"> </w:t>
      </w:r>
      <w:r w:rsidRPr="005F7914">
        <w:t>provide support</w:t>
      </w:r>
      <w:r w:rsidR="00BD0B39">
        <w:t xml:space="preserve">. </w:t>
      </w:r>
      <w:r w:rsidR="004D330A">
        <w:t xml:space="preserve">We </w:t>
      </w:r>
      <w:r w:rsidRPr="005F7914">
        <w:t>will report</w:t>
      </w:r>
      <w:r w:rsidR="004D330A">
        <w:t xml:space="preserve"> on this</w:t>
      </w:r>
      <w:r w:rsidRPr="005F7914">
        <w:t xml:space="preserve"> against individual sectors</w:t>
      </w:r>
      <w:r w:rsidR="004D330A">
        <w:t xml:space="preserve"> and</w:t>
      </w:r>
      <w:r w:rsidRPr="005F7914">
        <w:t xml:space="preserve"> against a governance delivery strategy</w:t>
      </w:r>
      <w:r w:rsidR="004D330A">
        <w:t xml:space="preserve"> to be developed</w:t>
      </w:r>
      <w:r w:rsidRPr="005F7914">
        <w:t>.</w:t>
      </w:r>
    </w:p>
    <w:p w:rsidR="009D55F8" w:rsidRPr="005F7914" w:rsidRDefault="009D55F8" w:rsidP="00244182">
      <w:pPr>
        <w:pStyle w:val="BodyText"/>
        <w:numPr>
          <w:ilvl w:val="0"/>
          <w:numId w:val="24"/>
        </w:numPr>
      </w:pPr>
      <w:r w:rsidRPr="005F7914">
        <w:t xml:space="preserve">The governance delivery strategy will also guide ongoing </w:t>
      </w:r>
      <w:r w:rsidR="004D330A">
        <w:t>discussion</w:t>
      </w:r>
      <w:r w:rsidR="004D330A" w:rsidRPr="005F7914">
        <w:t xml:space="preserve"> </w:t>
      </w:r>
      <w:r w:rsidRPr="005F7914">
        <w:t xml:space="preserve">around: GoTL leadership of a public administration reform strategy and support for the mandates of the CSC and INAP; </w:t>
      </w:r>
      <w:r w:rsidR="00352900">
        <w:t xml:space="preserve">the </w:t>
      </w:r>
      <w:r w:rsidR="00352900" w:rsidRPr="005F7914">
        <w:t>Ministry of State Administration and Territorial Management</w:t>
      </w:r>
      <w:r w:rsidRPr="005F7914">
        <w:t xml:space="preserve">’s management of decentralised funding; and the MoF-led </w:t>
      </w:r>
      <w:r w:rsidR="00A85F7E" w:rsidRPr="005F7914">
        <w:t xml:space="preserve">technical assistance </w:t>
      </w:r>
      <w:r w:rsidRPr="005F7914">
        <w:t>policy</w:t>
      </w:r>
      <w:r w:rsidR="00236E3D">
        <w:t>—</w:t>
      </w:r>
      <w:r w:rsidRPr="005F7914">
        <w:t>explained further below</w:t>
      </w:r>
      <w:r w:rsidR="00236E3D">
        <w:t>—</w:t>
      </w:r>
      <w:r w:rsidRPr="005F7914">
        <w:t>to ensure more discipline around the Government’s use of professional services and development partners’ use of advisers.</w:t>
      </w:r>
    </w:p>
    <w:p w:rsidR="009D55F8" w:rsidRPr="005F7914" w:rsidRDefault="009D55F8" w:rsidP="009D55F8">
      <w:pPr>
        <w:pStyle w:val="Heading2"/>
        <w:keepNext/>
        <w:spacing w:before="240"/>
        <w:ind w:left="0"/>
      </w:pPr>
      <w:bookmarkStart w:id="29" w:name="_Toc360973023"/>
      <w:r w:rsidRPr="005F7914">
        <w:t xml:space="preserve">Sector: Public </w:t>
      </w:r>
      <w:r w:rsidR="004D330A">
        <w:t>f</w:t>
      </w:r>
      <w:r w:rsidRPr="005F7914">
        <w:t xml:space="preserve">inancial </w:t>
      </w:r>
      <w:r w:rsidR="004D330A">
        <w:t>m</w:t>
      </w:r>
      <w:r w:rsidRPr="005F7914">
        <w:t>anagement</w:t>
      </w:r>
      <w:bookmarkEnd w:id="29"/>
    </w:p>
    <w:p w:rsidR="001B5733" w:rsidRDefault="001B5733" w:rsidP="009D55F8">
      <w:pPr>
        <w:pStyle w:val="BodyText"/>
      </w:pPr>
      <w:r>
        <w:t>Objectives:</w:t>
      </w:r>
    </w:p>
    <w:p w:rsidR="006A7098" w:rsidRDefault="009D55F8" w:rsidP="00244182">
      <w:pPr>
        <w:pStyle w:val="BodyText"/>
        <w:numPr>
          <w:ilvl w:val="0"/>
          <w:numId w:val="25"/>
        </w:numPr>
      </w:pPr>
      <w:r w:rsidRPr="005F7914">
        <w:t xml:space="preserve">To strengthen systems and processes in the areas of planning, budgeting, public expenditure management and revenue administration in the </w:t>
      </w:r>
      <w:r w:rsidR="00A85F7E">
        <w:t>MoF</w:t>
      </w:r>
      <w:r w:rsidR="00A85F7E" w:rsidRPr="005F7914">
        <w:t xml:space="preserve"> </w:t>
      </w:r>
    </w:p>
    <w:p w:rsidR="009D55F8" w:rsidRPr="005F7914" w:rsidRDefault="009D55F8" w:rsidP="00244182">
      <w:pPr>
        <w:pStyle w:val="BodyText"/>
        <w:numPr>
          <w:ilvl w:val="0"/>
          <w:numId w:val="25"/>
        </w:numPr>
      </w:pPr>
      <w:r w:rsidRPr="005F7914">
        <w:t xml:space="preserve">To build human resource capacity within the </w:t>
      </w:r>
      <w:r w:rsidR="00A85F7E">
        <w:t>MoF</w:t>
      </w:r>
      <w:r w:rsidR="00A85F7E" w:rsidRPr="005F7914">
        <w:t xml:space="preserve"> </w:t>
      </w:r>
      <w:r w:rsidRPr="005F7914">
        <w:t xml:space="preserve"> </w:t>
      </w:r>
    </w:p>
    <w:p w:rsidR="009D55F8" w:rsidRPr="005F7914" w:rsidRDefault="00DE666D" w:rsidP="006A7098">
      <w:pPr>
        <w:pStyle w:val="H3"/>
      </w:pPr>
      <w:bookmarkStart w:id="30" w:name="_Toc360973024"/>
      <w:r>
        <w:t>Sector c</w:t>
      </w:r>
      <w:r w:rsidR="009D55F8" w:rsidRPr="005F7914">
        <w:t>ontext</w:t>
      </w:r>
      <w:bookmarkEnd w:id="30"/>
    </w:p>
    <w:p w:rsidR="009D55F8" w:rsidRPr="005F7914" w:rsidRDefault="009D55F8" w:rsidP="009D55F8">
      <w:pPr>
        <w:pStyle w:val="BodyText"/>
      </w:pPr>
      <w:r w:rsidRPr="005F7914">
        <w:t>A recent I</w:t>
      </w:r>
      <w:r w:rsidR="00E07BF1">
        <w:t>nternational Monetary Fund</w:t>
      </w:r>
      <w:r w:rsidRPr="005F7914">
        <w:t xml:space="preserve"> Public Expenditure and Financial Accountability assessment found that Timor-Leste has made </w:t>
      </w:r>
      <w:r w:rsidR="004D330A">
        <w:t xml:space="preserve">overall </w:t>
      </w:r>
      <w:r w:rsidRPr="005F7914">
        <w:t xml:space="preserve">solid progress in strengthening </w:t>
      </w:r>
      <w:r w:rsidR="006F35D5">
        <w:t>PFM</w:t>
      </w:r>
      <w:r w:rsidRPr="005F7914">
        <w:t xml:space="preserve"> systems in just a very few years with improvements measured in 12 of the 29 applicable indicators.</w:t>
      </w:r>
      <w:r w:rsidRPr="005F7914">
        <w:rPr>
          <w:rStyle w:val="FootnoteReference"/>
        </w:rPr>
        <w:footnoteReference w:id="47"/>
      </w:r>
      <w:r w:rsidRPr="005F7914">
        <w:t xml:space="preserve"> The improvements are often modest, but underpinned by real changes in work practices, legislation </w:t>
      </w:r>
      <w:r w:rsidRPr="00096446">
        <w:t xml:space="preserve">and </w:t>
      </w:r>
      <w:r w:rsidR="004D330A">
        <w:t>i</w:t>
      </w:r>
      <w:r w:rsidR="00096446" w:rsidRPr="00096446">
        <w:t xml:space="preserve">nformation </w:t>
      </w:r>
      <w:r w:rsidR="004D330A">
        <w:t>t</w:t>
      </w:r>
      <w:r w:rsidR="00096446" w:rsidRPr="00096446">
        <w:t>echnology</w:t>
      </w:r>
      <w:r w:rsidRPr="00096446">
        <w:t xml:space="preserve"> systems. Most notable are the gains made in the comprehensiveness of fiscal information, fiscal transparency, funding predictability, timeliness and quality of bank</w:t>
      </w:r>
      <w:r w:rsidRPr="005F7914">
        <w:t xml:space="preserve"> reconciliation and financial statements. Legislative scrutiny and the external audit process also improved. </w:t>
      </w:r>
    </w:p>
    <w:p w:rsidR="002E2B9A" w:rsidRDefault="004D330A" w:rsidP="009D55F8">
      <w:pPr>
        <w:pStyle w:val="BodyText"/>
      </w:pPr>
      <w:r>
        <w:t>T</w:t>
      </w:r>
      <w:r w:rsidR="009D55F8" w:rsidRPr="005F7914">
        <w:t>he gains achieved and relative strengths of the MoF are</w:t>
      </w:r>
      <w:r>
        <w:t>, however,</w:t>
      </w:r>
      <w:r w:rsidR="009D55F8" w:rsidRPr="005F7914">
        <w:t xml:space="preserve"> diminished by gaps in the PFM system elsewhere. </w:t>
      </w:r>
      <w:r>
        <w:t>There is no</w:t>
      </w:r>
      <w:r w:rsidR="009D55F8" w:rsidRPr="005F7914">
        <w:t xml:space="preserve"> independent, external auditor</w:t>
      </w:r>
      <w:r>
        <w:t>,</w:t>
      </w:r>
      <w:r w:rsidR="009D55F8" w:rsidRPr="005F7914">
        <w:t xml:space="preserve"> internal audit is almost non-existent and budget planning and implementation capacity in line ministries </w:t>
      </w:r>
      <w:r>
        <w:t>remains</w:t>
      </w:r>
      <w:r w:rsidR="009D55F8" w:rsidRPr="005F7914">
        <w:t xml:space="preserve"> weak. There has also been some major slippage in performance, for example on orderliness of the budget process, capacity of the MoF to do medium-term fiscal planning, development of sectoral investment strategies and multi-year budgeting</w:t>
      </w:r>
      <w:r w:rsidR="00BD0B39">
        <w:t xml:space="preserve">. </w:t>
      </w:r>
      <w:r w:rsidR="009D55F8" w:rsidRPr="005F7914">
        <w:t>The flow of funds to service delivery units remains problematic. Issues of emerging corruption in procurement and tax administration remain a concern</w:t>
      </w:r>
      <w:r w:rsidR="00BD0B39">
        <w:t xml:space="preserve">. </w:t>
      </w:r>
      <w:r w:rsidR="009D55F8" w:rsidRPr="005F7914">
        <w:t>Overall, the Go</w:t>
      </w:r>
      <w:r>
        <w:t>TL has</w:t>
      </w:r>
      <w:r w:rsidR="009D55F8" w:rsidRPr="005F7914">
        <w:t xml:space="preserve"> not </w:t>
      </w:r>
      <w:r>
        <w:t>kept</w:t>
      </w:r>
      <w:r w:rsidR="009D55F8" w:rsidRPr="005F7914">
        <w:t xml:space="preserve"> a consistent approach to PFM reform, with major decentralisation and relaxation of controls in some areas (</w:t>
      </w:r>
      <w:r w:rsidR="00A9702E">
        <w:t xml:space="preserve">for </w:t>
      </w:r>
    </w:p>
    <w:p w:rsidR="009D55F8" w:rsidRPr="005F7914" w:rsidRDefault="00A9702E" w:rsidP="009D55F8">
      <w:pPr>
        <w:pStyle w:val="BodyText"/>
      </w:pPr>
      <w:r>
        <w:t>example,</w:t>
      </w:r>
      <w:r w:rsidR="009D55F8" w:rsidRPr="005F7914">
        <w:t xml:space="preserve"> procurement, cash handling and large sub-national grants mechanisms such as the MDG Suco Program) contrasted </w:t>
      </w:r>
      <w:r w:rsidR="006B515A">
        <w:t>with centralisation of decision-</w:t>
      </w:r>
      <w:r w:rsidR="009D55F8" w:rsidRPr="005F7914">
        <w:t>making powers in others (</w:t>
      </w:r>
      <w:r>
        <w:t xml:space="preserve">for </w:t>
      </w:r>
      <w:r>
        <w:lastRenderedPageBreak/>
        <w:t>example,</w:t>
      </w:r>
      <w:r w:rsidR="009D55F8" w:rsidRPr="005F7914">
        <w:t xml:space="preserve"> planning and budgeting, particularly capital expenditure) . This has led to inconsistency and inefficiency across the broader PFM system</w:t>
      </w:r>
      <w:r w:rsidR="00BD0B39">
        <w:t xml:space="preserve">. </w:t>
      </w:r>
    </w:p>
    <w:p w:rsidR="009D55F8" w:rsidRPr="005F7914" w:rsidRDefault="009D55F8" w:rsidP="006A7098">
      <w:pPr>
        <w:pStyle w:val="H3"/>
      </w:pPr>
      <w:bookmarkStart w:id="31" w:name="_Toc360973025"/>
      <w:r w:rsidRPr="005F7914">
        <w:t>Sh</w:t>
      </w:r>
      <w:r w:rsidR="00DE666D">
        <w:t>ared p</w:t>
      </w:r>
      <w:r w:rsidRPr="005F7914">
        <w:t>rogress</w:t>
      </w:r>
      <w:bookmarkEnd w:id="31"/>
      <w:r w:rsidRPr="005F7914">
        <w:t xml:space="preserve"> </w:t>
      </w:r>
    </w:p>
    <w:p w:rsidR="009D55F8" w:rsidRPr="005F7914" w:rsidRDefault="009D55F8" w:rsidP="009D55F8">
      <w:pPr>
        <w:pStyle w:val="BodyText"/>
      </w:pPr>
      <w:r w:rsidRPr="005F7914">
        <w:t>With Australian support through the W</w:t>
      </w:r>
      <w:r w:rsidR="00BC23F3">
        <w:t xml:space="preserve">orld </w:t>
      </w:r>
      <w:r w:rsidRPr="005F7914">
        <w:t>B</w:t>
      </w:r>
      <w:r w:rsidR="00BC23F3">
        <w:t>ank</w:t>
      </w:r>
      <w:r w:rsidR="006F35D5">
        <w:t>-</w:t>
      </w:r>
      <w:r w:rsidRPr="005F7914">
        <w:t>supervised Planning and Finance Management Capacity Building Program (</w:t>
      </w:r>
      <w:r w:rsidRPr="00096446">
        <w:t>PFMCBP</w:t>
      </w:r>
      <w:r w:rsidRPr="005F7914">
        <w:t xml:space="preserve">), the </w:t>
      </w:r>
      <w:r w:rsidR="00A85F7E">
        <w:t>MoF</w:t>
      </w:r>
      <w:r w:rsidR="00A85F7E" w:rsidRPr="005F7914">
        <w:t xml:space="preserve"> </w:t>
      </w:r>
      <w:r w:rsidRPr="005F7914">
        <w:t>took some positive steps in 2010. This included imp</w:t>
      </w:r>
      <w:r w:rsidR="00320268">
        <w:t>lement</w:t>
      </w:r>
      <w:r w:rsidR="00BC23F3">
        <w:t>ing</w:t>
      </w:r>
      <w:r w:rsidR="00320268">
        <w:t xml:space="preserve"> a major reorganis</w:t>
      </w:r>
      <w:r w:rsidRPr="005F7914">
        <w:t xml:space="preserve">ation of the </w:t>
      </w:r>
      <w:r w:rsidR="00EC7B76">
        <w:t>m</w:t>
      </w:r>
      <w:r w:rsidRPr="005F7914">
        <w:t xml:space="preserve">inistry, strengthening public expenditure management </w:t>
      </w:r>
      <w:r w:rsidR="00BC23F3">
        <w:t>by simplifying</w:t>
      </w:r>
      <w:r w:rsidRPr="005F7914">
        <w:t xml:space="preserve"> and streamlining of treasury systems and processes and increas</w:t>
      </w:r>
      <w:r w:rsidR="00BC23F3">
        <w:t>ing</w:t>
      </w:r>
      <w:r w:rsidRPr="005F7914">
        <w:t xml:space="preserve"> delegation of authority to line ministries. Further progress included improved revenue management</w:t>
      </w:r>
      <w:r w:rsidR="00236E3D">
        <w:t>—</w:t>
      </w:r>
      <w:r w:rsidRPr="005F7914">
        <w:t>with increased transparency in tax administration and reinforcing petroleum tax administration</w:t>
      </w:r>
      <w:r w:rsidR="00236E3D">
        <w:t>—</w:t>
      </w:r>
      <w:r w:rsidRPr="005F7914">
        <w:t xml:space="preserve">and a gradual improvement in macroeconomic planning. Advisers have made significant contributions over the past </w:t>
      </w:r>
      <w:r w:rsidR="00320268">
        <w:t>18</w:t>
      </w:r>
      <w:r w:rsidRPr="005F7914">
        <w:t xml:space="preserve"> months to MoF</w:t>
      </w:r>
      <w:r w:rsidR="00BC23F3">
        <w:t>’</w:t>
      </w:r>
      <w:r w:rsidRPr="005F7914">
        <w:t>s overall capacity</w:t>
      </w:r>
    </w:p>
    <w:p w:rsidR="009D55F8" w:rsidRPr="005F7914" w:rsidRDefault="009D55F8" w:rsidP="009D55F8">
      <w:pPr>
        <w:pStyle w:val="BodyText"/>
      </w:pPr>
      <w:r w:rsidRPr="005F7914">
        <w:t>However, the challenges are large and growing</w:t>
      </w:r>
      <w:r w:rsidR="00BD0B39">
        <w:t xml:space="preserve">. </w:t>
      </w:r>
      <w:r w:rsidRPr="005F7914">
        <w:t xml:space="preserve">Capacity of civil servants remains very low, with continued heavy reliance on </w:t>
      </w:r>
      <w:r w:rsidR="00BC23F3">
        <w:t>t</w:t>
      </w:r>
      <w:r w:rsidRPr="005F7914">
        <w:t xml:space="preserve">echnical </w:t>
      </w:r>
      <w:r w:rsidR="00BC23F3">
        <w:t>a</w:t>
      </w:r>
      <w:r w:rsidRPr="005F7914">
        <w:t xml:space="preserve">ssistance across the </w:t>
      </w:r>
      <w:r w:rsidR="00EC7B76">
        <w:t>m</w:t>
      </w:r>
      <w:r w:rsidRPr="005F7914">
        <w:t>inistry</w:t>
      </w:r>
      <w:r w:rsidR="00BD0B39">
        <w:t xml:space="preserve">. </w:t>
      </w:r>
      <w:r w:rsidR="009D6EC3">
        <w:t xml:space="preserve">The </w:t>
      </w:r>
      <w:r w:rsidRPr="005F7914">
        <w:t>MoF faces two competing pressures</w:t>
      </w:r>
      <w:r w:rsidR="00BD0B39">
        <w:t xml:space="preserve">. </w:t>
      </w:r>
      <w:r w:rsidRPr="005F7914">
        <w:t xml:space="preserve">On the one hand, the </w:t>
      </w:r>
      <w:r w:rsidR="00EC7B76">
        <w:t>m</w:t>
      </w:r>
      <w:r w:rsidRPr="005F7914">
        <w:t>inistry must address the lack of basic skills among civil servants and focus on building core skills such as numeracy, literacy and basic accounting</w:t>
      </w:r>
      <w:r w:rsidR="00BD0B39">
        <w:t xml:space="preserve">. </w:t>
      </w:r>
      <w:r w:rsidRPr="005F7914">
        <w:t>On the other hand, the huge ambition of the Government to fast track development with increased expenditure highlights the need for high-level policy advice around investment decisions, along with implementation support to make it happen</w:t>
      </w:r>
      <w:r w:rsidR="00BD0B39">
        <w:t xml:space="preserve">. </w:t>
      </w:r>
      <w:r w:rsidR="00BC23F3">
        <w:t xml:space="preserve">The </w:t>
      </w:r>
      <w:r w:rsidRPr="005F7914">
        <w:t>PFMCBP has struggled to do both well, and the review recommended taking a more clearly defined approach to challenges at each end of the capacity spectrum</w:t>
      </w:r>
      <w:r w:rsidR="00BD0B39">
        <w:t xml:space="preserve">. </w:t>
      </w:r>
      <w:r w:rsidRPr="005F7914">
        <w:t xml:space="preserve">Australia supported a new approach in the MoF, indicating that we expect to see a more coherent approach to the use of </w:t>
      </w:r>
      <w:r w:rsidR="004B7312">
        <w:t>technical assistance</w:t>
      </w:r>
      <w:r w:rsidR="00BD0B39">
        <w:t xml:space="preserve">. </w:t>
      </w:r>
    </w:p>
    <w:p w:rsidR="009D55F8" w:rsidRPr="005F7914" w:rsidRDefault="00DE666D" w:rsidP="006A7098">
      <w:pPr>
        <w:pStyle w:val="H3"/>
      </w:pPr>
      <w:bookmarkStart w:id="32" w:name="_Toc360973026"/>
      <w:r>
        <w:t>Management c</w:t>
      </w:r>
      <w:r w:rsidR="009D55F8" w:rsidRPr="005F7914">
        <w:t>onsequences</w:t>
      </w:r>
      <w:bookmarkEnd w:id="32"/>
    </w:p>
    <w:p w:rsidR="006A7098" w:rsidRDefault="009D55F8" w:rsidP="00244182">
      <w:pPr>
        <w:pStyle w:val="BodyText"/>
        <w:numPr>
          <w:ilvl w:val="0"/>
          <w:numId w:val="26"/>
        </w:numPr>
      </w:pPr>
      <w:r w:rsidRPr="005F7914">
        <w:t>Assist</w:t>
      </w:r>
      <w:r w:rsidR="009D6EC3">
        <w:t xml:space="preserve"> the</w:t>
      </w:r>
      <w:r w:rsidRPr="005F7914">
        <w:t xml:space="preserve"> MoF </w:t>
      </w:r>
      <w:r w:rsidR="000F3B24">
        <w:t xml:space="preserve">to </w:t>
      </w:r>
      <w:r w:rsidRPr="005F7914">
        <w:t xml:space="preserve">develop a policy on capacity building and the use of </w:t>
      </w:r>
      <w:r w:rsidR="00A85F7E" w:rsidRPr="005F7914">
        <w:t xml:space="preserve">technical assistance </w:t>
      </w:r>
      <w:r w:rsidRPr="005F7914">
        <w:t>in March 2011</w:t>
      </w:r>
      <w:r w:rsidR="00BD0B39">
        <w:t xml:space="preserve">. </w:t>
      </w:r>
      <w:r w:rsidRPr="005F7914">
        <w:t>It is expected that this policy will flow through and impact</w:t>
      </w:r>
      <w:r w:rsidR="00BC23F3">
        <w:t xml:space="preserve"> on the</w:t>
      </w:r>
      <w:r w:rsidRPr="005F7914">
        <w:t xml:space="preserve"> PFMCBP through its redesign in late 2011</w:t>
      </w:r>
      <w:r w:rsidR="00BD0B39">
        <w:t xml:space="preserve">. </w:t>
      </w:r>
    </w:p>
    <w:p w:rsidR="006A7098" w:rsidRDefault="009D55F8" w:rsidP="00244182">
      <w:pPr>
        <w:pStyle w:val="BodyText"/>
        <w:numPr>
          <w:ilvl w:val="0"/>
          <w:numId w:val="26"/>
        </w:numPr>
      </w:pPr>
      <w:r w:rsidRPr="005F7914">
        <w:t>Keep working to iden</w:t>
      </w:r>
      <w:r w:rsidR="00236E3D">
        <w:t>tify opportunities to build MoF</w:t>
      </w:r>
      <w:r w:rsidR="00BC23F3">
        <w:t>’</w:t>
      </w:r>
      <w:r w:rsidRPr="005F7914">
        <w:t xml:space="preserve">s client service and outreach capacity through bilateral engagement with </w:t>
      </w:r>
      <w:r w:rsidR="00BC23F3">
        <w:t xml:space="preserve">the </w:t>
      </w:r>
      <w:r w:rsidRPr="005F7914">
        <w:t xml:space="preserve">MoF and through the 2011 redesign of </w:t>
      </w:r>
      <w:r w:rsidR="00BC23F3">
        <w:t xml:space="preserve">the </w:t>
      </w:r>
      <w:r w:rsidRPr="005F7914">
        <w:t xml:space="preserve">PFMCBP. This means ensuring more attention on the quality of PFM systems in line ministries. </w:t>
      </w:r>
    </w:p>
    <w:p w:rsidR="006A7098" w:rsidRDefault="009D55F8" w:rsidP="00244182">
      <w:pPr>
        <w:pStyle w:val="BodyText"/>
        <w:numPr>
          <w:ilvl w:val="0"/>
          <w:numId w:val="26"/>
        </w:numPr>
      </w:pPr>
      <w:r w:rsidRPr="005F7914">
        <w:t xml:space="preserve">Ensure that the MoF </w:t>
      </w:r>
      <w:r w:rsidR="00BC23F3">
        <w:t>s</w:t>
      </w:r>
      <w:r w:rsidRPr="005F7914">
        <w:t xml:space="preserve">trategic </w:t>
      </w:r>
      <w:r w:rsidR="00BC23F3">
        <w:t>p</w:t>
      </w:r>
      <w:r w:rsidRPr="005F7914">
        <w:t xml:space="preserve">lan </w:t>
      </w:r>
      <w:r w:rsidR="000F3B24">
        <w:t>is used as</w:t>
      </w:r>
      <w:r w:rsidR="00BC23F3" w:rsidRPr="005F7914">
        <w:t xml:space="preserve"> </w:t>
      </w:r>
      <w:r w:rsidRPr="005F7914">
        <w:t xml:space="preserve">the basis on which future assistance is designed, and that </w:t>
      </w:r>
      <w:r w:rsidR="00BC23F3">
        <w:t>it adopt</w:t>
      </w:r>
      <w:r w:rsidRPr="005F7914">
        <w:t xml:space="preserve"> a more realistic and pragmatic approach to balancing institutional and individual capacity.</w:t>
      </w:r>
    </w:p>
    <w:p w:rsidR="009D55F8" w:rsidRPr="005F7914" w:rsidRDefault="009D55F8" w:rsidP="00244182">
      <w:pPr>
        <w:pStyle w:val="BodyText"/>
        <w:numPr>
          <w:ilvl w:val="0"/>
          <w:numId w:val="26"/>
        </w:numPr>
      </w:pPr>
      <w:r w:rsidRPr="005F7914">
        <w:t>Continue to improve the current limited bilateral engagement in key areas, particularly in relation to infrastructure investment and decentralisation</w:t>
      </w:r>
      <w:r w:rsidR="00BD0B39">
        <w:t xml:space="preserve">. </w:t>
      </w:r>
      <w:r w:rsidRPr="005F7914">
        <w:t>As</w:t>
      </w:r>
      <w:r w:rsidR="00BC23F3">
        <w:t xml:space="preserve"> the</w:t>
      </w:r>
      <w:r w:rsidRPr="005F7914">
        <w:t xml:space="preserve"> PFMCBP is redesigned in the latter half of 2011, Australia will need to carefully shape its engagement in PFM reform and ensure strong linkages with our broader public sector development strategy.</w:t>
      </w:r>
    </w:p>
    <w:p w:rsidR="009D55F8" w:rsidRPr="005F7914" w:rsidRDefault="009D55F8" w:rsidP="009D55F8">
      <w:pPr>
        <w:pStyle w:val="Heading2"/>
        <w:keepNext/>
        <w:spacing w:before="240"/>
        <w:ind w:left="0"/>
      </w:pPr>
      <w:bookmarkStart w:id="33" w:name="_Toc360973027"/>
      <w:r w:rsidRPr="005F7914">
        <w:t xml:space="preserve">Sector: Resilience to </w:t>
      </w:r>
      <w:r w:rsidR="00BC23F3">
        <w:t>n</w:t>
      </w:r>
      <w:r w:rsidRPr="005F7914">
        <w:t xml:space="preserve">atural </w:t>
      </w:r>
      <w:r w:rsidR="00BC23F3">
        <w:t>e</w:t>
      </w:r>
      <w:r w:rsidRPr="005F7914">
        <w:t>mergencies</w:t>
      </w:r>
      <w:bookmarkEnd w:id="33"/>
    </w:p>
    <w:p w:rsidR="009D55F8" w:rsidRPr="005F7914" w:rsidRDefault="00DE666D" w:rsidP="006A7098">
      <w:pPr>
        <w:pStyle w:val="H3"/>
      </w:pPr>
      <w:bookmarkStart w:id="34" w:name="_Toc360973028"/>
      <w:r>
        <w:t>Sector c</w:t>
      </w:r>
      <w:r w:rsidR="009D55F8" w:rsidRPr="005F7914">
        <w:t>ontext</w:t>
      </w:r>
      <w:bookmarkEnd w:id="34"/>
    </w:p>
    <w:p w:rsidR="009D55F8" w:rsidRPr="005F7914" w:rsidRDefault="009D55F8" w:rsidP="009D55F8">
      <w:pPr>
        <w:pStyle w:val="BodyText"/>
      </w:pPr>
      <w:r w:rsidRPr="005F7914">
        <w:t>Timor-Leste experienced an extended wet season reflecting La Niña-related weather patterns with two significant ep</w:t>
      </w:r>
      <w:r w:rsidR="00236E3D">
        <w:t xml:space="preserve">isodes of flooding in late June to </w:t>
      </w:r>
      <w:r w:rsidRPr="005F7914">
        <w:t xml:space="preserve">early July (affecting 923 families) and early August (affecting 1044 families). While many districts were affected, the impact on </w:t>
      </w:r>
      <w:r w:rsidRPr="005F7914">
        <w:lastRenderedPageBreak/>
        <w:t>families and homes and the long-term impact on agricultural land was assessed as limited. However, the flooding highlighted inadequate access to emergency shelter for displaced victims, which will worsen as the population grows. There are unclear roles and responsibilities within the various parts of government with a mandate in relation to disaster risk reduction and emergency response. A variety of different agencies have an operational mandate in relation to emergency response, including the National Disaster Management Directorate</w:t>
      </w:r>
      <w:r w:rsidR="00963E0E">
        <w:t>, PNTL</w:t>
      </w:r>
      <w:r w:rsidRPr="005F7914">
        <w:t>, the armed forces and the Ministry for Security and Defence.</w:t>
      </w:r>
    </w:p>
    <w:p w:rsidR="009D55F8" w:rsidRPr="005F7914" w:rsidRDefault="00DE666D" w:rsidP="006A7098">
      <w:pPr>
        <w:pStyle w:val="H3"/>
      </w:pPr>
      <w:bookmarkStart w:id="35" w:name="_Toc360973029"/>
      <w:r>
        <w:t>Shared p</w:t>
      </w:r>
      <w:r w:rsidR="009D55F8" w:rsidRPr="005F7914">
        <w:t>rogress</w:t>
      </w:r>
      <w:bookmarkEnd w:id="35"/>
    </w:p>
    <w:p w:rsidR="009D55F8" w:rsidRPr="005F7914" w:rsidRDefault="009D55F8" w:rsidP="009D55F8">
      <w:pPr>
        <w:pStyle w:val="BodyText"/>
      </w:pPr>
      <w:r w:rsidRPr="005F7914">
        <w:t xml:space="preserve">In 2010 </w:t>
      </w:r>
      <w:r w:rsidR="00F53B3E">
        <w:t>the National Disaster Management Directorate</w:t>
      </w:r>
      <w:r w:rsidR="00096446">
        <w:t>’</w:t>
      </w:r>
      <w:r w:rsidRPr="005F7914">
        <w:t xml:space="preserve">s </w:t>
      </w:r>
      <w:r w:rsidR="00BC23F3">
        <w:t>s</w:t>
      </w:r>
      <w:r w:rsidRPr="005F7914">
        <w:t xml:space="preserve">trategic </w:t>
      </w:r>
      <w:r w:rsidR="00BC23F3">
        <w:t>p</w:t>
      </w:r>
      <w:r w:rsidRPr="005F7914">
        <w:t>lan was approved and its budget increased significantly</w:t>
      </w:r>
      <w:r w:rsidR="00BD0B39">
        <w:t xml:space="preserve">. </w:t>
      </w:r>
      <w:r w:rsidRPr="005F7914">
        <w:t xml:space="preserve">With 60 staff now in place, the </w:t>
      </w:r>
      <w:r w:rsidR="00F53B3E">
        <w:t>directorate</w:t>
      </w:r>
      <w:r w:rsidRPr="005F7914">
        <w:t xml:space="preserve"> is increasingly well placed to implement its workplan</w:t>
      </w:r>
      <w:r w:rsidR="00BC23F3">
        <w:t>,</w:t>
      </w:r>
      <w:r w:rsidRPr="005F7914">
        <w:t xml:space="preserve"> although human resource capacity and budget allocation are both still constraints.</w:t>
      </w:r>
    </w:p>
    <w:p w:rsidR="009D55F8" w:rsidRPr="005F7914" w:rsidRDefault="009D55F8" w:rsidP="009D55F8">
      <w:pPr>
        <w:pStyle w:val="BodyText"/>
      </w:pPr>
      <w:r w:rsidRPr="005F7914">
        <w:t xml:space="preserve">The Government responded well to localised emergencies, with limited international assistance. Through Australian funding, the </w:t>
      </w:r>
      <w:smartTag w:uri="urn:schemas-microsoft-com:office:smarttags" w:element="PersonName">
        <w:r w:rsidRPr="005F7914">
          <w:t>International</w:t>
        </w:r>
      </w:smartTag>
      <w:r w:rsidRPr="005F7914">
        <w:t xml:space="preserve"> Organi</w:t>
      </w:r>
      <w:r w:rsidR="00E07BF1">
        <w:t>z</w:t>
      </w:r>
      <w:r w:rsidRPr="005F7914">
        <w:t>ation for Migration and NGOs based in the districts provided support in the form of transport and volunteers to evacuate victims, and distribute the Ministry of Social Solidarity</w:t>
      </w:r>
      <w:r w:rsidR="00236E3D">
        <w:t>’s</w:t>
      </w:r>
      <w:r w:rsidRPr="005F7914">
        <w:t xml:space="preserve"> food and non-food items in coordination with District Disaster Management Committees. </w:t>
      </w:r>
      <w:r w:rsidR="00E07BF1">
        <w:t>The International Organization for Migration</w:t>
      </w:r>
      <w:r w:rsidRPr="005F7914">
        <w:t xml:space="preserve"> provided logistical support in coordination with </w:t>
      </w:r>
      <w:r w:rsidR="00096446" w:rsidRPr="00096446">
        <w:t>Ministry of Social Solidarity</w:t>
      </w:r>
      <w:r w:rsidRPr="005F7914">
        <w:t>, while the U</w:t>
      </w:r>
      <w:r w:rsidR="00096446">
        <w:t xml:space="preserve">nited </w:t>
      </w:r>
      <w:r w:rsidRPr="005F7914">
        <w:t>N</w:t>
      </w:r>
      <w:r w:rsidR="00096446">
        <w:t>ations</w:t>
      </w:r>
      <w:r w:rsidRPr="005F7914">
        <w:t xml:space="preserve"> provided air support to conduct assessments.</w:t>
      </w:r>
    </w:p>
    <w:p w:rsidR="009D55F8" w:rsidRPr="005F7914" w:rsidRDefault="009D55F8" w:rsidP="009D55F8">
      <w:pPr>
        <w:pStyle w:val="BodyText"/>
      </w:pPr>
      <w:r w:rsidRPr="005F7914">
        <w:t xml:space="preserve">Our support through </w:t>
      </w:r>
      <w:r w:rsidR="00E07BF1">
        <w:t>the International Organization for Migration</w:t>
      </w:r>
      <w:r w:rsidRPr="005F7914">
        <w:t xml:space="preserve"> to improve the long-term capacity of communities and the Government to reduce the risks from disasters continues. A whole-of-government disaster risk management workshop in 2010 reveal</w:t>
      </w:r>
      <w:r w:rsidR="006C6158">
        <w:t>ed</w:t>
      </w:r>
      <w:r w:rsidRPr="005F7914">
        <w:t xml:space="preserve"> a lack of coordination in responding to natural emergencies due to </w:t>
      </w:r>
      <w:r w:rsidR="001A72F5">
        <w:t xml:space="preserve">a wide </w:t>
      </w:r>
      <w:r w:rsidRPr="005F7914">
        <w:t xml:space="preserve">variety of agencies with </w:t>
      </w:r>
      <w:r w:rsidR="001A72F5">
        <w:t xml:space="preserve">overlapping </w:t>
      </w:r>
      <w:r w:rsidRPr="005F7914">
        <w:t>mandate</w:t>
      </w:r>
      <w:r w:rsidR="001A72F5">
        <w:t>s</w:t>
      </w:r>
      <w:r w:rsidRPr="005F7914">
        <w:t>.</w:t>
      </w:r>
    </w:p>
    <w:p w:rsidR="009D55F8" w:rsidRPr="005F7914" w:rsidRDefault="009D55F8" w:rsidP="006A7098">
      <w:pPr>
        <w:pStyle w:val="H3"/>
      </w:pPr>
      <w:bookmarkStart w:id="36" w:name="_Toc360973030"/>
      <w:r w:rsidRPr="005F7914">
        <w:t>Management consequences</w:t>
      </w:r>
      <w:bookmarkEnd w:id="36"/>
    </w:p>
    <w:p w:rsidR="009D55F8" w:rsidRPr="005F7914" w:rsidRDefault="009D55F8" w:rsidP="00244182">
      <w:pPr>
        <w:pStyle w:val="BodyText"/>
        <w:numPr>
          <w:ilvl w:val="0"/>
          <w:numId w:val="27"/>
        </w:numPr>
      </w:pPr>
      <w:r w:rsidRPr="005F7914">
        <w:t>With Australia’s current disaster risk reduction project due to be completed in late 2011, we will review the sector and our funding to consider how to improve disaster preparedness measures and coordination at national and community levels.</w:t>
      </w:r>
    </w:p>
    <w:p w:rsidR="009D55F8" w:rsidRPr="005F7914" w:rsidRDefault="009D55F8" w:rsidP="009D55F8">
      <w:pPr>
        <w:pStyle w:val="Heading2"/>
        <w:keepNext/>
        <w:spacing w:before="240"/>
        <w:ind w:left="0"/>
      </w:pPr>
      <w:bookmarkStart w:id="37" w:name="_Toc360973031"/>
      <w:r w:rsidRPr="005F7914">
        <w:t>Sector: Combating violence against women</w:t>
      </w:r>
      <w:bookmarkEnd w:id="37"/>
    </w:p>
    <w:p w:rsidR="009D55F8" w:rsidRPr="005F7914" w:rsidRDefault="00DE666D" w:rsidP="006A7098">
      <w:pPr>
        <w:pStyle w:val="H3"/>
      </w:pPr>
      <w:bookmarkStart w:id="38" w:name="_Toc360973032"/>
      <w:r>
        <w:t>Sector c</w:t>
      </w:r>
      <w:r w:rsidR="009D55F8" w:rsidRPr="005F7914">
        <w:t>ontext</w:t>
      </w:r>
      <w:bookmarkEnd w:id="38"/>
    </w:p>
    <w:p w:rsidR="002E2B9A" w:rsidRDefault="009D55F8" w:rsidP="009D55F8">
      <w:pPr>
        <w:pStyle w:val="BodyText"/>
      </w:pPr>
      <w:r w:rsidRPr="005F7914">
        <w:t>According to Timor-Leste’s 2009</w:t>
      </w:r>
      <w:r w:rsidR="00236E3D">
        <w:t>–</w:t>
      </w:r>
      <w:r w:rsidRPr="005F7914">
        <w:t xml:space="preserve">10 Demographic and Health Survey more than </w:t>
      </w:r>
      <w:r w:rsidR="00320268">
        <w:t>1</w:t>
      </w:r>
      <w:r w:rsidRPr="005F7914">
        <w:t xml:space="preserve"> in </w:t>
      </w:r>
      <w:r w:rsidR="00320268">
        <w:t>3</w:t>
      </w:r>
      <w:r w:rsidR="000F3B24">
        <w:t> </w:t>
      </w:r>
      <w:r w:rsidR="006C6158">
        <w:br/>
      </w:r>
      <w:r w:rsidRPr="005F7914">
        <w:t>Timor-Leste women (39.2</w:t>
      </w:r>
      <w:r>
        <w:t xml:space="preserve"> per cent</w:t>
      </w:r>
      <w:r w:rsidRPr="005F7914">
        <w:t xml:space="preserve">) have experienced physical or sexual violence, with current husbands or partners being the key perpetrators. Of these women, about </w:t>
      </w:r>
      <w:r w:rsidR="00236E3D">
        <w:t>1</w:t>
      </w:r>
      <w:r w:rsidRPr="005F7914">
        <w:t xml:space="preserve"> in </w:t>
      </w:r>
      <w:r w:rsidR="00236E3D">
        <w:t>5</w:t>
      </w:r>
      <w:r w:rsidRPr="005F7914">
        <w:t xml:space="preserve"> (24</w:t>
      </w:r>
      <w:r>
        <w:t xml:space="preserve"> per cent</w:t>
      </w:r>
      <w:r w:rsidRPr="005F7914">
        <w:t>) seek help</w:t>
      </w:r>
      <w:r w:rsidR="00236E3D">
        <w:t>—</w:t>
      </w:r>
      <w:r w:rsidRPr="005F7914">
        <w:t>usually from family members. Support services</w:t>
      </w:r>
      <w:r w:rsidR="006C6158">
        <w:t xml:space="preserve"> </w:t>
      </w:r>
      <w:r w:rsidRPr="005F7914">
        <w:t xml:space="preserve">are not adequate </w:t>
      </w:r>
      <w:r w:rsidR="006C6158">
        <w:t xml:space="preserve">enough </w:t>
      </w:r>
      <w:r w:rsidRPr="005F7914">
        <w:t>to address the extent of the problem and only 1</w:t>
      </w:r>
      <w:r>
        <w:t xml:space="preserve"> per cent</w:t>
      </w:r>
      <w:r w:rsidRPr="005F7914">
        <w:t xml:space="preserve"> of affected women access these services.</w:t>
      </w:r>
    </w:p>
    <w:p w:rsidR="009D55F8" w:rsidRPr="002E2B9A" w:rsidRDefault="002E2B9A" w:rsidP="002E2B9A">
      <w:pPr>
        <w:pStyle w:val="Subtitle"/>
        <w:rPr>
          <w:rFonts w:ascii="Georgia" w:hAnsi="Georgia"/>
          <w:sz w:val="19"/>
          <w:szCs w:val="19"/>
        </w:rPr>
      </w:pPr>
      <w:r>
        <w:br w:type="page"/>
      </w:r>
    </w:p>
    <w:p w:rsidR="009D55F8" w:rsidRPr="005F7914" w:rsidRDefault="009D55F8" w:rsidP="009D55F8">
      <w:pPr>
        <w:pStyle w:val="BodyText"/>
      </w:pPr>
      <w:r w:rsidRPr="005F7914">
        <w:lastRenderedPageBreak/>
        <w:t>Although domestic violence was recognised as a specific crime (separate to assault) by the Penal Code promulgated in 2009, it remains a largely hidden problem. Only 4</w:t>
      </w:r>
      <w:r>
        <w:t xml:space="preserve"> per cent</w:t>
      </w:r>
      <w:r w:rsidRPr="005F7914">
        <w:t xml:space="preserve"> of women who experience violence seek help from the police.</w:t>
      </w:r>
      <w:r w:rsidRPr="005F7914">
        <w:rPr>
          <w:rStyle w:val="FootnoteReference"/>
        </w:rPr>
        <w:footnoteReference w:id="48"/>
      </w:r>
      <w:r w:rsidRPr="005F7914">
        <w:rPr>
          <w:rFonts w:ascii="Arial" w:hAnsi="Arial" w:cs="Arial"/>
          <w:b/>
          <w:bCs/>
          <w:color w:val="000080"/>
          <w:sz w:val="20"/>
          <w:szCs w:val="20"/>
        </w:rPr>
        <w:t xml:space="preserve"> </w:t>
      </w:r>
    </w:p>
    <w:p w:rsidR="009D55F8" w:rsidRPr="005F7914" w:rsidRDefault="00DE666D" w:rsidP="006A7098">
      <w:pPr>
        <w:pStyle w:val="H3"/>
      </w:pPr>
      <w:bookmarkStart w:id="39" w:name="_Toc360973033"/>
      <w:r>
        <w:t>Shared p</w:t>
      </w:r>
      <w:r w:rsidR="009D55F8" w:rsidRPr="005F7914">
        <w:t>rogress</w:t>
      </w:r>
      <w:bookmarkEnd w:id="39"/>
      <w:r w:rsidR="009D55F8" w:rsidRPr="005F7914">
        <w:t xml:space="preserve"> </w:t>
      </w:r>
    </w:p>
    <w:p w:rsidR="009D55F8" w:rsidRPr="005F7914" w:rsidRDefault="009D55F8" w:rsidP="009D55F8">
      <w:pPr>
        <w:pStyle w:val="BodyText"/>
      </w:pPr>
      <w:r w:rsidRPr="005F7914">
        <w:t>In 2010Australia continued to work with the Timor-Leste’s Government, legal institutions and civil society through the Justice Facility to tackle the problem of violence against women and girls from two angles. Firstly, interventions were targeted to prevent violence against women and girls. Secondly, efforts were made to ensure those affected by violence have access to justice and appropriate support services. Australia’s Justice Facility provided 20 grants to local civil society groups to work on these efforts</w:t>
      </w:r>
      <w:r w:rsidR="001C387A">
        <w:t>—</w:t>
      </w:r>
      <w:r w:rsidRPr="005F7914">
        <w:t>an increase on the previous year. This support meant that 462 persons benefited from legal and support services in 2010. Additional support, such as advocacy by men’s groups and youth drama performances, increased community awareness about violence against women and girls to change attitudes and prevent violence. An evaluation in 2010 concluded that the grants are being generally effectively managed, complemented by our significant organisational development support. This support rei</w:t>
      </w:r>
      <w:r w:rsidR="001C387A">
        <w:t>nforces efforts through the AFP</w:t>
      </w:r>
      <w:r w:rsidR="00963E0E">
        <w:t>’</w:t>
      </w:r>
      <w:r w:rsidRPr="005F7914">
        <w:t xml:space="preserve">s Timor-Leste Police Development Program to strengthen the capacity of the police to respond to gender-based violence through developing an investigations training manual and training officers of the police’s Vulnerable Persons Unit. </w:t>
      </w:r>
    </w:p>
    <w:p w:rsidR="009D55F8" w:rsidRPr="005F7914" w:rsidRDefault="009D55F8" w:rsidP="009D55F8">
      <w:pPr>
        <w:pStyle w:val="BodyText"/>
      </w:pPr>
      <w:r w:rsidRPr="005F7914">
        <w:t>The Law Against Domestic Violence was promulgated in June 2010, after years of existence in draft form, with support from a number of stakeholders</w:t>
      </w:r>
      <w:r w:rsidR="006C6158">
        <w:t>,</w:t>
      </w:r>
      <w:r w:rsidRPr="005F7914">
        <w:t xml:space="preserve"> including Australia. The law creates and strengthens mechanisms for </w:t>
      </w:r>
      <w:r w:rsidR="006C6158">
        <w:t>preventing</w:t>
      </w:r>
      <w:r w:rsidRPr="005F7914">
        <w:t xml:space="preserve"> domestic violence and promoti</w:t>
      </w:r>
      <w:r w:rsidR="006C6158">
        <w:t>ng</w:t>
      </w:r>
      <w:r w:rsidRPr="005F7914">
        <w:t xml:space="preserve"> the rights of victims, and builds on the criminalis</w:t>
      </w:r>
      <w:r w:rsidR="00BA2590">
        <w:t>ing</w:t>
      </w:r>
      <w:r w:rsidRPr="005F7914">
        <w:t xml:space="preserve"> domestic violence and various sexual crimes </w:t>
      </w:r>
      <w:r w:rsidR="00BA2590">
        <w:t>under</w:t>
      </w:r>
      <w:r w:rsidR="00BA2590" w:rsidRPr="005F7914">
        <w:t xml:space="preserve"> </w:t>
      </w:r>
      <w:r w:rsidRPr="005F7914">
        <w:t>the Penal Code</w:t>
      </w:r>
      <w:r w:rsidR="00BD0B39">
        <w:t xml:space="preserve">. </w:t>
      </w:r>
    </w:p>
    <w:p w:rsidR="009D55F8" w:rsidRPr="005F7914" w:rsidRDefault="009D55F8" w:rsidP="009D55F8">
      <w:pPr>
        <w:pStyle w:val="BodyText"/>
      </w:pPr>
      <w:r w:rsidRPr="005F7914">
        <w:t xml:space="preserve">To action the rights established in this law, the Government prepared a draft ‘gender justice policy’ in 2010 with support from </w:t>
      </w:r>
      <w:smartTag w:uri="urn:schemas-microsoft-com:office:smarttags" w:element="place">
        <w:smartTag w:uri="urn:schemas-microsoft-com:office:smarttags" w:element="country-region">
          <w:r w:rsidRPr="005F7914">
            <w:t>Australia</w:t>
          </w:r>
        </w:smartTag>
      </w:smartTag>
      <w:r w:rsidRPr="005F7914">
        <w:t xml:space="preserve">. Preparing </w:t>
      </w:r>
      <w:r w:rsidR="00BA2590">
        <w:t xml:space="preserve">such </w:t>
      </w:r>
      <w:r w:rsidRPr="005F7914">
        <w:t>a policy was one of the Government’s National Priority objectives in 2010 and aligns with the Justice Sector Strategic Plan 2011</w:t>
      </w:r>
      <w:r w:rsidR="001C387A">
        <w:t>–</w:t>
      </w:r>
      <w:r w:rsidRPr="005F7914">
        <w:t>30. This policy brings together seven strategic areas for intervention: data collection; prevention strategies; legislation; criminal procedure; court processes and facilities; services for victims; and gender equality for employees in the legal system. The policy was referred to the Minister for Justice for final review and approval.</w:t>
      </w:r>
    </w:p>
    <w:p w:rsidR="009D55F8" w:rsidRPr="005F7914" w:rsidRDefault="009D55F8" w:rsidP="006A7098">
      <w:pPr>
        <w:pStyle w:val="H3"/>
      </w:pPr>
      <w:bookmarkStart w:id="40" w:name="_Toc360973034"/>
      <w:r w:rsidRPr="005F7914">
        <w:t>Management consequences</w:t>
      </w:r>
      <w:bookmarkEnd w:id="40"/>
    </w:p>
    <w:p w:rsidR="006A7098" w:rsidRDefault="009D55F8" w:rsidP="00244182">
      <w:pPr>
        <w:pStyle w:val="BodyText"/>
        <w:numPr>
          <w:ilvl w:val="0"/>
          <w:numId w:val="27"/>
        </w:numPr>
      </w:pPr>
      <w:r w:rsidRPr="005F7914">
        <w:t>In 2011 Australia will continue its dual focus on preventing violence against women and girls, while ensuring</w:t>
      </w:r>
      <w:r w:rsidR="00BA2590">
        <w:t xml:space="preserve"> that</w:t>
      </w:r>
      <w:r w:rsidRPr="005F7914">
        <w:t xml:space="preserve"> those affected have access to justice and support services. In regard to prevention, Australia will continue to support local organisations working in the districts to change community attitudes, for example through community radio and youth theatre, training with men’s groups, educati</w:t>
      </w:r>
      <w:r w:rsidR="00BA2590">
        <w:t>ng</w:t>
      </w:r>
      <w:r w:rsidRPr="005F7914">
        <w:t xml:space="preserve"> about domestic violence legislation and strengthening child-protection networks.</w:t>
      </w:r>
    </w:p>
    <w:p w:rsidR="002E2B9A" w:rsidRDefault="009D55F8" w:rsidP="00244182">
      <w:pPr>
        <w:pStyle w:val="BodyText"/>
        <w:numPr>
          <w:ilvl w:val="0"/>
          <w:numId w:val="27"/>
        </w:numPr>
      </w:pPr>
      <w:r w:rsidRPr="005F7914">
        <w:t>In 2011 Australia will work to expand reach of existing victim support services by addressing the lack of infrastructure for these services. We will build on current support for the limited number of existing ‘safe rooms’ and ‘safe houses’ with a major program of capital works to establish safe</w:t>
      </w:r>
      <w:r w:rsidR="00963E0E">
        <w:t>-</w:t>
      </w:r>
      <w:r w:rsidRPr="005F7914">
        <w:t xml:space="preserve">room facilities attached to the five referral hospitals in Oecusse, Suai, </w:t>
      </w:r>
    </w:p>
    <w:p w:rsidR="006A7098" w:rsidRDefault="009D55F8" w:rsidP="002E2B9A">
      <w:pPr>
        <w:pStyle w:val="BodyText"/>
        <w:ind w:left="720"/>
      </w:pPr>
      <w:r w:rsidRPr="005F7914">
        <w:lastRenderedPageBreak/>
        <w:t>Maliana, Maubisse and Baucau. The safe rooms will provide crisis and follow-up care for victims of domestic violence, sexual assault and child abuse. Over time</w:t>
      </w:r>
      <w:r w:rsidR="00963E0E">
        <w:t>,</w:t>
      </w:r>
      <w:r w:rsidRPr="005F7914">
        <w:t xml:space="preserve"> and </w:t>
      </w:r>
      <w:r w:rsidR="00963E0E">
        <w:t>by</w:t>
      </w:r>
      <w:r w:rsidRPr="005F7914">
        <w:t xml:space="preserve"> provi</w:t>
      </w:r>
      <w:r w:rsidR="00963E0E">
        <w:t>ding</w:t>
      </w:r>
      <w:r w:rsidRPr="005F7914">
        <w:t xml:space="preserve"> training, the intention is </w:t>
      </w:r>
      <w:r w:rsidR="00963E0E">
        <w:t>to expand</w:t>
      </w:r>
      <w:r w:rsidR="00963E0E" w:rsidRPr="005F7914">
        <w:t xml:space="preserve"> </w:t>
      </w:r>
      <w:r w:rsidRPr="005F7914">
        <w:t>safe</w:t>
      </w:r>
      <w:r w:rsidR="00963E0E">
        <w:t>-</w:t>
      </w:r>
      <w:r w:rsidRPr="005F7914">
        <w:t>room services to include counselling, medical care, forensic examination and documentation of injuries for prosecution purposes.</w:t>
      </w:r>
    </w:p>
    <w:p w:rsidR="009D55F8" w:rsidRPr="005F7914" w:rsidRDefault="009D55F8" w:rsidP="00244182">
      <w:pPr>
        <w:pStyle w:val="BodyText"/>
        <w:numPr>
          <w:ilvl w:val="0"/>
          <w:numId w:val="27"/>
        </w:numPr>
      </w:pPr>
      <w:r w:rsidRPr="005F7914">
        <w:t>An evaluation of Australia’s Justice Facility in the second half of 2011 will examine the effectiveness of Australia’s interventions to reduce violence against women and inform the mechanisms for ongoing support.</w:t>
      </w:r>
    </w:p>
    <w:p w:rsidR="009D55F8" w:rsidRPr="005F7914" w:rsidRDefault="009D55F8" w:rsidP="009D55F8">
      <w:pPr>
        <w:pStyle w:val="Heading2"/>
        <w:keepNext/>
        <w:spacing w:before="240"/>
        <w:ind w:left="0"/>
      </w:pPr>
      <w:bookmarkStart w:id="41" w:name="_Toc360973035"/>
      <w:r w:rsidRPr="005F7914">
        <w:t xml:space="preserve">Sector: Policing </w:t>
      </w:r>
      <w:r w:rsidR="00BA2590">
        <w:t>c</w:t>
      </w:r>
      <w:r w:rsidRPr="005F7914">
        <w:t xml:space="preserve">apacity and </w:t>
      </w:r>
      <w:r w:rsidR="00BA2590">
        <w:t>j</w:t>
      </w:r>
      <w:r w:rsidRPr="005F7914">
        <w:t>ustice</w:t>
      </w:r>
      <w:bookmarkEnd w:id="41"/>
    </w:p>
    <w:p w:rsidR="009D55F8" w:rsidRPr="005F7914" w:rsidRDefault="009D55F8" w:rsidP="006A7098">
      <w:pPr>
        <w:pStyle w:val="H3"/>
      </w:pPr>
      <w:bookmarkStart w:id="42" w:name="_Toc360973036"/>
      <w:r w:rsidRPr="005F7914">
        <w:t>Australia</w:t>
      </w:r>
      <w:r w:rsidR="00DE666D">
        <w:t>’s r</w:t>
      </w:r>
      <w:r w:rsidRPr="005F7914">
        <w:t>ole</w:t>
      </w:r>
      <w:bookmarkEnd w:id="42"/>
      <w:r w:rsidRPr="005F7914">
        <w:t xml:space="preserve"> </w:t>
      </w:r>
    </w:p>
    <w:p w:rsidR="009D55F8" w:rsidRPr="005F7914" w:rsidRDefault="009D55F8" w:rsidP="009D55F8">
      <w:pPr>
        <w:pStyle w:val="BodyText"/>
      </w:pPr>
      <w:r w:rsidRPr="005F7914">
        <w:t>The A</w:t>
      </w:r>
      <w:r w:rsidR="007418D0">
        <w:t>ustralian Federal Police</w:t>
      </w:r>
      <w:r w:rsidRPr="005F7914">
        <w:t xml:space="preserve"> implement the Timor-Leste Police Development Program (</w:t>
      </w:r>
      <w:r w:rsidRPr="00096446">
        <w:t>TLPDP</w:t>
      </w:r>
      <w:r w:rsidRPr="005F7914">
        <w:t>), which supports the development of PNTL as well as assisting the Office of the Secretary of State-Security and the Office of the Prosecutor-General (</w:t>
      </w:r>
      <w:r w:rsidRPr="00096446">
        <w:t>OPG</w:t>
      </w:r>
      <w:r w:rsidRPr="005F7914">
        <w:t xml:space="preserve">). The </w:t>
      </w:r>
      <w:r w:rsidR="00963E0E">
        <w:t xml:space="preserve">program’s </w:t>
      </w:r>
      <w:r w:rsidRPr="005F7914">
        <w:t xml:space="preserve">overarching aim is to </w:t>
      </w:r>
      <w:r w:rsidR="00963E0E">
        <w:t>help</w:t>
      </w:r>
      <w:r w:rsidR="00963E0E" w:rsidRPr="005F7914">
        <w:t xml:space="preserve"> </w:t>
      </w:r>
      <w:r w:rsidRPr="005F7914">
        <w:t>the GoT</w:t>
      </w:r>
      <w:r w:rsidR="0057481E">
        <w:t>L</w:t>
      </w:r>
      <w:r w:rsidRPr="005F7914">
        <w:t xml:space="preserve"> establish a policing capability where the governance, values and operational characteristics of PNTL support increasingly strengthened</w:t>
      </w:r>
      <w:r w:rsidR="00963E0E">
        <w:t xml:space="preserve"> the</w:t>
      </w:r>
      <w:r w:rsidRPr="005F7914">
        <w:t xml:space="preserve"> rule of law in an emerging democracy. Australia has made significant efforts to </w:t>
      </w:r>
      <w:r w:rsidR="00963E0E">
        <w:t>help</w:t>
      </w:r>
      <w:r w:rsidR="00963E0E" w:rsidRPr="005F7914">
        <w:t xml:space="preserve"> </w:t>
      </w:r>
      <w:r w:rsidRPr="005F7914">
        <w:t>Timor-Leste develop such a police force. With the draw-down of the United Nations Police presence, and the hand over of police leadership to the PNTL in all districts in 2010, the success of these efforts is increasingly being tested. TLPDP’s role is</w:t>
      </w:r>
      <w:r w:rsidR="00963E0E">
        <w:t xml:space="preserve"> to build the</w:t>
      </w:r>
      <w:r w:rsidRPr="005F7914">
        <w:t xml:space="preserve"> capacity of the PNTL and does not include any security or policing role. </w:t>
      </w:r>
    </w:p>
    <w:p w:rsidR="009D55F8" w:rsidRPr="005F7914" w:rsidRDefault="009D55F8" w:rsidP="009D55F8">
      <w:pPr>
        <w:pStyle w:val="BodyText"/>
        <w:rPr>
          <w:b/>
        </w:rPr>
      </w:pPr>
      <w:r w:rsidRPr="005F7914">
        <w:t xml:space="preserve">Complementing this role, AusAID is working through a bilateral Justice Facility to improve </w:t>
      </w:r>
      <w:r w:rsidR="00963E0E">
        <w:t>service</w:t>
      </w:r>
      <w:r w:rsidR="00963E0E" w:rsidRPr="005F7914">
        <w:t xml:space="preserve"> </w:t>
      </w:r>
      <w:r w:rsidRPr="005F7914">
        <w:t>delivery in the sector. Th</w:t>
      </w:r>
      <w:r w:rsidR="00963E0E">
        <w:t>is</w:t>
      </w:r>
      <w:r w:rsidRPr="005F7914">
        <w:t xml:space="preserve"> AusAID-funded </w:t>
      </w:r>
      <w:r w:rsidR="00963E0E">
        <w:t>f</w:t>
      </w:r>
      <w:r w:rsidRPr="005F7914">
        <w:t>acility works with key sector institutions, particularly the Ministry of Justice and the O</w:t>
      </w:r>
      <w:r w:rsidR="00963E0E">
        <w:t>PG</w:t>
      </w:r>
      <w:r w:rsidRPr="005F7914">
        <w:t>, to strengthen their administration, leadership, human resource management and budget and financial management</w:t>
      </w:r>
      <w:r w:rsidRPr="005F7914">
        <w:rPr>
          <w:b/>
        </w:rPr>
        <w:t xml:space="preserve">. </w:t>
      </w:r>
    </w:p>
    <w:p w:rsidR="009D55F8" w:rsidRPr="005F7914" w:rsidRDefault="00DE666D" w:rsidP="006A7098">
      <w:pPr>
        <w:pStyle w:val="H3"/>
      </w:pPr>
      <w:bookmarkStart w:id="43" w:name="_Toc360973037"/>
      <w:r>
        <w:t>Shared p</w:t>
      </w:r>
      <w:r w:rsidR="009D55F8" w:rsidRPr="005F7914">
        <w:t>rogress</w:t>
      </w:r>
      <w:bookmarkEnd w:id="43"/>
      <w:r w:rsidR="009D55F8" w:rsidRPr="005F7914">
        <w:t xml:space="preserve"> </w:t>
      </w:r>
    </w:p>
    <w:p w:rsidR="009D55F8" w:rsidRPr="005F7914" w:rsidRDefault="009D55F8" w:rsidP="009D55F8">
      <w:pPr>
        <w:pStyle w:val="BodyText"/>
      </w:pPr>
      <w:r w:rsidRPr="005F7914">
        <w:t>In 2010 positive progress was made by the GoTL, PNTL and A</w:t>
      </w:r>
      <w:r w:rsidR="007418D0">
        <w:t>ustralian Federal Police</w:t>
      </w:r>
      <w:r w:rsidRPr="005F7914">
        <w:t xml:space="preserve"> towards creating an effective and accou</w:t>
      </w:r>
      <w:r w:rsidR="001C387A">
        <w:t>ntable police service. The PNTL</w:t>
      </w:r>
      <w:r w:rsidR="00963E0E">
        <w:t>’</w:t>
      </w:r>
      <w:r w:rsidRPr="005F7914">
        <w:t xml:space="preserve">s 2010 Annual Action Plan prioritised key elements for the organisation: administration, operations, legislation, training, discipline and infrastructure. In response, TLPDP identified five priority capacity building outcomes that it will work towards </w:t>
      </w:r>
      <w:r w:rsidR="00963E0E">
        <w:t>during</w:t>
      </w:r>
      <w:r w:rsidRPr="005F7914">
        <w:t xml:space="preserve"> the 2010</w:t>
      </w:r>
      <w:r w:rsidR="00963E0E">
        <w:t>–</w:t>
      </w:r>
      <w:r w:rsidRPr="005F7914">
        <w:t xml:space="preserve">14 program: (i) the Police Training Centre; (ii) PNTL supervision and management; (iii) PNTL </w:t>
      </w:r>
      <w:r w:rsidR="00963E0E">
        <w:t>i</w:t>
      </w:r>
      <w:r w:rsidRPr="005F7914">
        <w:t xml:space="preserve">nvestigations capability; (iv) sustainable </w:t>
      </w:r>
      <w:r w:rsidR="00963E0E">
        <w:t>a</w:t>
      </w:r>
      <w:r w:rsidRPr="005F7914">
        <w:t xml:space="preserve">dministrative systems for PNTL and the </w:t>
      </w:r>
      <w:r w:rsidR="00F53B3E" w:rsidRPr="005F7914">
        <w:t xml:space="preserve">Secretary of State-Security </w:t>
      </w:r>
      <w:r w:rsidRPr="005F7914">
        <w:t xml:space="preserve">; and (v) provision of sufficient and appropriate training, infrastructure and enabling tools to support capacity development of the PNTL, </w:t>
      </w:r>
      <w:r w:rsidR="00F53B3E">
        <w:t xml:space="preserve">the </w:t>
      </w:r>
      <w:r w:rsidR="00F53B3E" w:rsidRPr="005F7914">
        <w:t xml:space="preserve">Secretary of State-Security </w:t>
      </w:r>
      <w:r w:rsidRPr="005F7914">
        <w:t xml:space="preserve">and OPG. </w:t>
      </w:r>
    </w:p>
    <w:p w:rsidR="009D55F8" w:rsidRPr="005F7914" w:rsidRDefault="009D55F8" w:rsidP="009D55F8">
      <w:pPr>
        <w:pStyle w:val="BodyText"/>
      </w:pPr>
      <w:r w:rsidRPr="005F7914">
        <w:t xml:space="preserve">There </w:t>
      </w:r>
      <w:r w:rsidR="00963E0E">
        <w:t>were</w:t>
      </w:r>
      <w:r w:rsidRPr="005F7914">
        <w:t xml:space="preserve"> incremental improvements in the</w:t>
      </w:r>
      <w:r w:rsidR="00963E0E">
        <w:t xml:space="preserve"> PNTL’s</w:t>
      </w:r>
      <w:r w:rsidRPr="005F7914">
        <w:t xml:space="preserve"> organisational robustness and effectiveness </w:t>
      </w:r>
      <w:r w:rsidR="00963E0E">
        <w:t>in</w:t>
      </w:r>
      <w:r w:rsidRPr="005F7914">
        <w:t xml:space="preserve"> 2010, with improvements to basic training, investigations training and greater opportunities for advanced police management training. </w:t>
      </w:r>
    </w:p>
    <w:p w:rsidR="009D55F8" w:rsidRPr="005F7914" w:rsidRDefault="00963E0E" w:rsidP="009D55F8">
      <w:pPr>
        <w:pStyle w:val="BodyText"/>
      </w:pPr>
      <w:r>
        <w:t xml:space="preserve">The </w:t>
      </w:r>
      <w:r w:rsidR="009D55F8" w:rsidRPr="005F7914">
        <w:t>TLPDP made significant contributions to progress</w:t>
      </w:r>
      <w:r>
        <w:t>ing</w:t>
      </w:r>
      <w:r w:rsidR="009D55F8" w:rsidRPr="005F7914">
        <w:t xml:space="preserve"> these priorities in 2010. A key enabler for all five priorities was the creation within </w:t>
      </w:r>
      <w:r>
        <w:t xml:space="preserve">the </w:t>
      </w:r>
      <w:r w:rsidR="009D55F8" w:rsidRPr="005F7914">
        <w:t xml:space="preserve">TLPDP of a program evaluation and development team, </w:t>
      </w:r>
      <w:r>
        <w:t>which has started</w:t>
      </w:r>
      <w:r w:rsidR="009D55F8" w:rsidRPr="005F7914">
        <w:t xml:space="preserve"> to benchmark capability across the PNTL to ensure adequate indicators are available to assess progress. </w:t>
      </w:r>
    </w:p>
    <w:p w:rsidR="002E2B9A" w:rsidRDefault="009D55F8" w:rsidP="009D55F8">
      <w:pPr>
        <w:pStyle w:val="BodyText"/>
      </w:pPr>
      <w:r w:rsidRPr="005F7914">
        <w:t>The Police Training Centre</w:t>
      </w:r>
      <w:r w:rsidR="001C387A">
        <w:t>—</w:t>
      </w:r>
      <w:r w:rsidRPr="005F7914">
        <w:t xml:space="preserve">the key institution </w:t>
      </w:r>
      <w:r w:rsidR="00963E0E">
        <w:t>that</w:t>
      </w:r>
      <w:r w:rsidR="00963E0E" w:rsidRPr="005F7914">
        <w:t xml:space="preserve"> </w:t>
      </w:r>
      <w:r w:rsidRPr="005F7914">
        <w:t>deliver</w:t>
      </w:r>
      <w:r w:rsidR="00963E0E">
        <w:t>s</w:t>
      </w:r>
      <w:r w:rsidRPr="005F7914">
        <w:t xml:space="preserve"> training to PNTL officers</w:t>
      </w:r>
      <w:r w:rsidR="001C387A">
        <w:t>—</w:t>
      </w:r>
      <w:r w:rsidRPr="005F7914">
        <w:t xml:space="preserve">has progressed towards accreditation as a learning institution. National accreditation is a </w:t>
      </w:r>
    </w:p>
    <w:p w:rsidR="002E2B9A" w:rsidRDefault="002E2B9A" w:rsidP="002E2B9A">
      <w:pPr>
        <w:pStyle w:val="Subtitle"/>
        <w:rPr>
          <w:rFonts w:ascii="Georgia" w:hAnsi="Georgia"/>
          <w:sz w:val="19"/>
          <w:szCs w:val="19"/>
        </w:rPr>
      </w:pPr>
      <w:r>
        <w:br w:type="page"/>
      </w:r>
    </w:p>
    <w:p w:rsidR="009D55F8" w:rsidRPr="005F7914" w:rsidRDefault="009D55F8" w:rsidP="009D55F8">
      <w:pPr>
        <w:pStyle w:val="BodyText"/>
      </w:pPr>
      <w:r w:rsidRPr="005F7914">
        <w:lastRenderedPageBreak/>
        <w:t xml:space="preserve">significant outcome, given that it links police training and education explicitly to national plans to develop and improve the average level of education. The </w:t>
      </w:r>
      <w:r w:rsidR="001C387A">
        <w:t>$</w:t>
      </w:r>
      <w:r w:rsidRPr="005F7914">
        <w:t>4.3 million renovation of the P</w:t>
      </w:r>
      <w:r w:rsidR="00F53B3E">
        <w:t>olice Training Centre’s</w:t>
      </w:r>
      <w:r w:rsidRPr="005F7914">
        <w:t xml:space="preserve"> infrastructure, training rooms and accommodation has </w:t>
      </w:r>
      <w:r w:rsidR="00963E0E">
        <w:t>started</w:t>
      </w:r>
      <w:r w:rsidRPr="005F7914">
        <w:t xml:space="preserve">. This is progressing on schedule and is </w:t>
      </w:r>
      <w:r w:rsidR="00FE105F">
        <w:t>scheduled</w:t>
      </w:r>
      <w:r w:rsidR="00FE105F" w:rsidRPr="005F7914">
        <w:t xml:space="preserve"> </w:t>
      </w:r>
      <w:r w:rsidRPr="005F7914">
        <w:t>to be completed in 2012</w:t>
      </w:r>
      <w:r w:rsidR="001C387A">
        <w:t>–</w:t>
      </w:r>
      <w:r w:rsidRPr="005F7914">
        <w:t xml:space="preserve">13. Once complete the </w:t>
      </w:r>
      <w:r w:rsidR="00F53B3E">
        <w:t>centre</w:t>
      </w:r>
      <w:r w:rsidR="00F53B3E" w:rsidRPr="005F7914">
        <w:t xml:space="preserve"> </w:t>
      </w:r>
      <w:r w:rsidRPr="005F7914">
        <w:t>will have live-in accommodation for 250 members, and should be sufficient to provide the infrastructure the PNTL</w:t>
      </w:r>
      <w:r w:rsidR="00FE105F">
        <w:t xml:space="preserve"> needs</w:t>
      </w:r>
      <w:r w:rsidRPr="005F7914">
        <w:t xml:space="preserve"> to conduct the training require</w:t>
      </w:r>
      <w:r w:rsidR="00FE105F">
        <w:t>d</w:t>
      </w:r>
      <w:r w:rsidRPr="005F7914">
        <w:t xml:space="preserve"> to support ongoing development into a resilient national police.</w:t>
      </w:r>
    </w:p>
    <w:p w:rsidR="009D55F8" w:rsidRPr="005F7914" w:rsidRDefault="00FE105F" w:rsidP="009D55F8">
      <w:pPr>
        <w:pStyle w:val="BodyText"/>
      </w:pPr>
      <w:r>
        <w:t>With</w:t>
      </w:r>
      <w:r w:rsidR="009D55F8" w:rsidRPr="005F7914">
        <w:t xml:space="preserve"> PNTL supervision and management, significant progress has been made towards the development and national accreditation of the diploma-level executive police management program. The first of these programs has </w:t>
      </w:r>
      <w:r>
        <w:t>started</w:t>
      </w:r>
      <w:r w:rsidR="009D55F8" w:rsidRPr="005F7914">
        <w:t xml:space="preserve">, and it is intended that all 256 commissioned PNTL officers will have completed certificate four to diploma level by 2014. </w:t>
      </w:r>
    </w:p>
    <w:p w:rsidR="009D55F8" w:rsidRPr="005F7914" w:rsidRDefault="009D55F8" w:rsidP="009D55F8">
      <w:pPr>
        <w:pStyle w:val="BodyText"/>
      </w:pPr>
      <w:r w:rsidRPr="005F7914">
        <w:t xml:space="preserve">For investigations training, three levels of accredited training (for the PNTL </w:t>
      </w:r>
      <w:r w:rsidR="00FE105F">
        <w:t>i</w:t>
      </w:r>
      <w:r w:rsidRPr="005F7914">
        <w:t xml:space="preserve">nvestigations units and the </w:t>
      </w:r>
      <w:r w:rsidR="00FE105F">
        <w:t>p</w:t>
      </w:r>
      <w:r w:rsidRPr="005F7914">
        <w:t xml:space="preserve">rosecutors of the OPG) has been developed, and the first of the level one courses has </w:t>
      </w:r>
      <w:r w:rsidR="00FE105F">
        <w:t>started</w:t>
      </w:r>
      <w:r w:rsidRPr="005F7914">
        <w:t xml:space="preserve">. All 260 PNTL investigators, along with all OPG prosecutors, should have completed one or more levels of training by 2014. </w:t>
      </w:r>
      <w:r w:rsidR="00FE105F">
        <w:t>T</w:t>
      </w:r>
      <w:r w:rsidRPr="005F7914">
        <w:t xml:space="preserve">hese courses </w:t>
      </w:r>
      <w:r w:rsidR="00FE105F">
        <w:t>aim to</w:t>
      </w:r>
      <w:r w:rsidR="00FE105F" w:rsidRPr="005F7914">
        <w:t xml:space="preserve"> </w:t>
      </w:r>
      <w:r w:rsidRPr="005F7914">
        <w:t>address some significant issues that have occurred between the PNTL and OPG with coordinatin</w:t>
      </w:r>
      <w:r w:rsidR="00FE105F">
        <w:t>g</w:t>
      </w:r>
      <w:r w:rsidRPr="005F7914">
        <w:t xml:space="preserve"> and prepar</w:t>
      </w:r>
      <w:r w:rsidR="00FE105F">
        <w:t>ing</w:t>
      </w:r>
      <w:r w:rsidRPr="005F7914">
        <w:t xml:space="preserve"> cases, and the consequential negative effects on perceptions of the PNTL. </w:t>
      </w:r>
    </w:p>
    <w:p w:rsidR="009D55F8" w:rsidRPr="005F7914" w:rsidRDefault="009D55F8" w:rsidP="009D55F8">
      <w:pPr>
        <w:pStyle w:val="BodyText"/>
      </w:pPr>
      <w:r w:rsidRPr="005F7914">
        <w:t>Contribution to the development of sustainable administrative systems is at an early stage. The intent is to support the PNTL</w:t>
      </w:r>
      <w:r w:rsidR="00FE105F">
        <w:t>’s</w:t>
      </w:r>
      <w:r w:rsidRPr="005F7914">
        <w:t xml:space="preserve"> human resources, finance, planning, and logistics administrative systems to</w:t>
      </w:r>
      <w:r w:rsidR="00FE105F">
        <w:t>, in turn,</w:t>
      </w:r>
      <w:r w:rsidRPr="005F7914">
        <w:t xml:space="preserve"> support improved </w:t>
      </w:r>
      <w:r w:rsidR="00FE105F">
        <w:t>its</w:t>
      </w:r>
      <w:r w:rsidR="00FE105F" w:rsidRPr="005F7914">
        <w:t xml:space="preserve"> </w:t>
      </w:r>
      <w:r w:rsidRPr="005F7914">
        <w:t>operational capability. Technical assistance has been delivered to the PNTL’s career regime and promotions process. Career progression and promotion has been a significant issue for the PNTL, and improv</w:t>
      </w:r>
      <w:r w:rsidR="00F76E72">
        <w:t>ing</w:t>
      </w:r>
      <w:r w:rsidRPr="005F7914">
        <w:t xml:space="preserve"> processes is expected to lead to significant improvements in staff moral and retention.</w:t>
      </w:r>
    </w:p>
    <w:p w:rsidR="009D55F8" w:rsidRPr="005F7914" w:rsidRDefault="009D55F8" w:rsidP="009D55F8">
      <w:pPr>
        <w:pStyle w:val="BodyText"/>
      </w:pPr>
      <w:r w:rsidRPr="005F7914">
        <w:t xml:space="preserve"> The last priority outcome area,</w:t>
      </w:r>
      <w:r w:rsidR="00F76E72">
        <w:t>—</w:t>
      </w:r>
      <w:r w:rsidRPr="005F7914">
        <w:t>provi</w:t>
      </w:r>
      <w:r w:rsidR="00F76E72">
        <w:t>ding</w:t>
      </w:r>
      <w:r w:rsidRPr="005F7914">
        <w:t xml:space="preserve"> training, infrastructure, and enabling tools to support capacity development</w:t>
      </w:r>
      <w:r w:rsidR="00F76E72">
        <w:t>—</w:t>
      </w:r>
      <w:r w:rsidRPr="005F7914">
        <w:t xml:space="preserve">includes a significant number of projects that </w:t>
      </w:r>
      <w:r w:rsidR="00F76E72">
        <w:t xml:space="preserve">the </w:t>
      </w:r>
      <w:r w:rsidRPr="005F7914">
        <w:t xml:space="preserve">TLPDP </w:t>
      </w:r>
      <w:r w:rsidR="00F76E72">
        <w:t xml:space="preserve">will </w:t>
      </w:r>
      <w:r w:rsidRPr="005F7914">
        <w:t xml:space="preserve">carry out to assist PNTL development that are not covered under the other four priority areas. A total of 187 projects were initiated </w:t>
      </w:r>
      <w:r w:rsidR="00F76E72">
        <w:t>in</w:t>
      </w:r>
      <w:r w:rsidR="00F76E72" w:rsidRPr="005F7914">
        <w:t xml:space="preserve"> </w:t>
      </w:r>
      <w:r w:rsidRPr="005F7914">
        <w:t>2010, with 151 completed. These include</w:t>
      </w:r>
      <w:r w:rsidR="00F76E72">
        <w:t>d</w:t>
      </w:r>
      <w:r w:rsidRPr="005F7914">
        <w:t xml:space="preserve"> projects designed to improve PNTL forensic capability through the provision of training and equipment. Improvements in training PNTL investigators in crime</w:t>
      </w:r>
      <w:r w:rsidR="00F76E72">
        <w:t>-</w:t>
      </w:r>
      <w:r w:rsidRPr="005F7914">
        <w:t xml:space="preserve">scene management and physical evidence examination will provide the PNTL with an improved capability to collect evidence and provide the OPG with adequately prepared briefs of evidence. </w:t>
      </w:r>
    </w:p>
    <w:p w:rsidR="009D55F8" w:rsidRPr="005F7914" w:rsidRDefault="009D55F8" w:rsidP="009D55F8">
      <w:pPr>
        <w:pStyle w:val="BodyText"/>
      </w:pPr>
      <w:r w:rsidRPr="005F7914">
        <w:t xml:space="preserve">In 2010 in the justice sector more generally, the GoTL, with AusAID support, achieved a number of milestones to improve sectoral coordination and service delivery. The Government formally launched its Justice </w:t>
      </w:r>
      <w:r w:rsidR="00835053">
        <w:t xml:space="preserve">Sector </w:t>
      </w:r>
      <w:r w:rsidRPr="005F7914">
        <w:t xml:space="preserve">Strategic Plan to guide priorities across the sector. Further the Government continued to roll out </w:t>
      </w:r>
      <w:r w:rsidR="00F76E72">
        <w:t>its</w:t>
      </w:r>
      <w:r w:rsidRPr="005F7914">
        <w:t xml:space="preserve"> case tracking management system. This enables justice institutions to track and report accurately on cases, helping improve transparency and coordination. AusAID also helped extend judicial services to the districts through</w:t>
      </w:r>
      <w:r w:rsidR="00F76E72">
        <w:t xml:space="preserve"> the</w:t>
      </w:r>
      <w:r w:rsidRPr="005F7914">
        <w:t xml:space="preserve"> completion of eight prosecutors’ houses and support to two mobile court sessions. </w:t>
      </w:r>
    </w:p>
    <w:p w:rsidR="009D55F8" w:rsidRPr="005F7914" w:rsidRDefault="00DE666D" w:rsidP="006A7098">
      <w:pPr>
        <w:pStyle w:val="H3"/>
      </w:pPr>
      <w:bookmarkStart w:id="44" w:name="_Toc360973038"/>
      <w:r>
        <w:t>Management c</w:t>
      </w:r>
      <w:r w:rsidR="009D55F8" w:rsidRPr="005F7914">
        <w:t>onsequences</w:t>
      </w:r>
      <w:bookmarkEnd w:id="44"/>
    </w:p>
    <w:p w:rsidR="002E2B9A" w:rsidRDefault="009D55F8" w:rsidP="00244182">
      <w:pPr>
        <w:pStyle w:val="BodyText"/>
        <w:numPr>
          <w:ilvl w:val="0"/>
          <w:numId w:val="28"/>
        </w:numPr>
      </w:pPr>
      <w:r w:rsidRPr="005F7914">
        <w:t xml:space="preserve">Within </w:t>
      </w:r>
      <w:r w:rsidR="00EE750C">
        <w:t xml:space="preserve">the </w:t>
      </w:r>
      <w:r w:rsidRPr="005F7914">
        <w:t>TLPDP, two key risks are being managed as the program moves into its 2011</w:t>
      </w:r>
      <w:r w:rsidR="001C387A">
        <w:t>–</w:t>
      </w:r>
      <w:r w:rsidRPr="005F7914">
        <w:t>12 cycle. The first, lack of sufficient accurate data on PNTL progress, is being addressed through develop</w:t>
      </w:r>
      <w:r w:rsidR="00EE750C">
        <w:t>ing</w:t>
      </w:r>
      <w:r w:rsidRPr="005F7914">
        <w:t xml:space="preserve"> and implement</w:t>
      </w:r>
      <w:r w:rsidR="00EE750C">
        <w:t>ing</w:t>
      </w:r>
      <w:r w:rsidRPr="005F7914">
        <w:t xml:space="preserve"> benchmarking</w:t>
      </w:r>
      <w:r w:rsidR="00EE750C">
        <w:t xml:space="preserve"> and</w:t>
      </w:r>
      <w:r w:rsidRPr="005F7914">
        <w:t xml:space="preserve"> coordinated by the program evaluation and development team. This will give</w:t>
      </w:r>
      <w:r w:rsidR="00A34401">
        <w:t xml:space="preserve"> the</w:t>
      </w:r>
      <w:r w:rsidRPr="005F7914">
        <w:t xml:space="preserve"> TLPDP greater situational awareness</w:t>
      </w:r>
      <w:r w:rsidR="00A34401">
        <w:t xml:space="preserve"> and</w:t>
      </w:r>
      <w:r w:rsidRPr="005F7914">
        <w:t xml:space="preserve"> allow</w:t>
      </w:r>
      <w:r w:rsidR="00A34401">
        <w:t xml:space="preserve"> the</w:t>
      </w:r>
      <w:r w:rsidRPr="005F7914">
        <w:t xml:space="preserve"> developmental program focus </w:t>
      </w:r>
      <w:r w:rsidR="00A34401">
        <w:t xml:space="preserve">to be adjusted and refined </w:t>
      </w:r>
      <w:r w:rsidRPr="005F7914">
        <w:t xml:space="preserve">in response to PNTL organisational </w:t>
      </w:r>
    </w:p>
    <w:p w:rsidR="006A7098" w:rsidRDefault="009D55F8" w:rsidP="002E2B9A">
      <w:pPr>
        <w:pStyle w:val="BodyText"/>
        <w:ind w:left="720"/>
      </w:pPr>
      <w:r w:rsidRPr="005F7914">
        <w:lastRenderedPageBreak/>
        <w:t>issues as they are identified.</w:t>
      </w:r>
      <w:r w:rsidR="00A34401">
        <w:t xml:space="preserve">  </w:t>
      </w:r>
      <w:r w:rsidRPr="005F7914">
        <w:t xml:space="preserve">The second key risk area is the sustainability of these training programs without direct TLPDP support. Progress was made on embedding PNTL-led training into the PTC, investigations and management programs. However as this is the first year of this effort the gains in capacity to sustain training were smaller than those in the infrastructure and delivery of training areas. As the programs become established and bedded down </w:t>
      </w:r>
      <w:r w:rsidR="00A34401">
        <w:t>in</w:t>
      </w:r>
      <w:r w:rsidR="00A34401" w:rsidRPr="005F7914">
        <w:t xml:space="preserve"> </w:t>
      </w:r>
      <w:r w:rsidRPr="005F7914">
        <w:t xml:space="preserve">2011 and beyond, </w:t>
      </w:r>
      <w:r w:rsidR="00A34401">
        <w:t xml:space="preserve">the </w:t>
      </w:r>
      <w:r w:rsidRPr="005F7914">
        <w:t>TLPDP will increasingly focus on ensuring they are sustainable within PNTL training capability.</w:t>
      </w:r>
    </w:p>
    <w:p w:rsidR="009D55F8" w:rsidRPr="005F7914" w:rsidRDefault="009D55F8" w:rsidP="00244182">
      <w:pPr>
        <w:pStyle w:val="BodyText"/>
        <w:numPr>
          <w:ilvl w:val="0"/>
          <w:numId w:val="28"/>
        </w:numPr>
      </w:pPr>
      <w:r w:rsidRPr="005F7914">
        <w:t xml:space="preserve">An evaluation of Australia’s Justice Facility will be conducted in the second half of 2011 </w:t>
      </w:r>
      <w:r w:rsidR="00A34401">
        <w:t>on</w:t>
      </w:r>
      <w:r w:rsidRPr="005F7914">
        <w:t xml:space="preserve"> the effectiveness and sustainability of support provided to the justice sector. This evaluation will guide</w:t>
      </w:r>
      <w:r w:rsidR="001C387A">
        <w:t xml:space="preserve"> management decisions on AusAID</w:t>
      </w:r>
      <w:r w:rsidR="00A34401">
        <w:t>’</w:t>
      </w:r>
      <w:r w:rsidRPr="005F7914">
        <w:t>s role in the sector following completion of the Justice Facility in 2013.</w:t>
      </w:r>
    </w:p>
    <w:p w:rsidR="00040FC8" w:rsidRPr="0067772C" w:rsidRDefault="00DE666D" w:rsidP="001E163C">
      <w:pPr>
        <w:pStyle w:val="H1"/>
        <w:spacing w:before="480"/>
      </w:pPr>
      <w:bookmarkStart w:id="45" w:name="_Toc360973039"/>
      <w:r>
        <w:t>Program q</w:t>
      </w:r>
      <w:r w:rsidR="00040FC8">
        <w:t>uality</w:t>
      </w:r>
      <w:bookmarkEnd w:id="45"/>
    </w:p>
    <w:p w:rsidR="009D55F8" w:rsidRPr="005F7914" w:rsidRDefault="00DE666D" w:rsidP="009D55F8">
      <w:pPr>
        <w:pStyle w:val="Heading2"/>
        <w:keepNext/>
        <w:ind w:left="0"/>
      </w:pPr>
      <w:bookmarkStart w:id="46" w:name="_Toc360973040"/>
      <w:r>
        <w:t xml:space="preserve">Discussion of </w:t>
      </w:r>
      <w:r w:rsidR="00A34401">
        <w:t>Q</w:t>
      </w:r>
      <w:r>
        <w:t xml:space="preserve">uality at </w:t>
      </w:r>
      <w:r w:rsidR="00A34401">
        <w:t>I</w:t>
      </w:r>
      <w:r>
        <w:t>mplementation r</w:t>
      </w:r>
      <w:r w:rsidR="009D55F8" w:rsidRPr="005F7914">
        <w:t>atings</w:t>
      </w:r>
      <w:bookmarkEnd w:id="46"/>
    </w:p>
    <w:p w:rsidR="009D55F8" w:rsidRPr="005F7914" w:rsidRDefault="00B05170" w:rsidP="009D55F8">
      <w:pPr>
        <w:pStyle w:val="BodyText"/>
        <w:jc w:val="center"/>
      </w:pPr>
      <w:r>
        <w:rPr>
          <w:noProof/>
          <w:lang w:val="en-US" w:eastAsia="en-US"/>
        </w:rPr>
        <mc:AlternateContent>
          <mc:Choice Requires="wps">
            <w:drawing>
              <wp:anchor distT="0" distB="0" distL="114300" distR="114300" simplePos="0" relativeHeight="251657216" behindDoc="0" locked="0" layoutInCell="1" allowOverlap="1" wp14:anchorId="75061F05" wp14:editId="06E0FF6D">
                <wp:simplePos x="0" y="0"/>
                <wp:positionH relativeFrom="column">
                  <wp:posOffset>743585</wp:posOffset>
                </wp:positionH>
                <wp:positionV relativeFrom="paragraph">
                  <wp:posOffset>553720</wp:posOffset>
                </wp:positionV>
                <wp:extent cx="76835" cy="1605280"/>
                <wp:effectExtent l="635" t="1270" r="0" b="3175"/>
                <wp:wrapNone/>
                <wp:docPr id="1213" name="Rectangle 13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835" cy="1605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53D9" w:rsidRDefault="008153D9" w:rsidP="006B6177">
                            <w:r>
                              <w:rPr>
                                <w:rFonts w:ascii="Arial" w:hAnsi="Arial" w:cs="Arial"/>
                                <w:color w:val="000000"/>
                                <w:sz w:val="10"/>
                                <w:szCs w:val="10"/>
                                <w:lang w:val="en-US"/>
                              </w:rPr>
                              <w:t>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12" o:spid="_x0000_s1026" style="position:absolute;left:0;text-align:left;margin-left:58.55pt;margin-top:43.6pt;width:6.05pt;height:126.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" filled="f" stroked="f">
                <v:textbox inset="0,0,0,0">
                  <w:txbxContent>
                    <w:p w:rsidR="008153D9" w:rsidRDefault="008153D9" w:rsidP="006B6177">
                      <w:r>
                        <w:rPr>
                          <w:rFonts w:ascii="Arial" w:hAnsi="Arial" w:cs="Arial"/>
                          <w:color w:val="000000"/>
                          <w:sz w:val="10"/>
                          <w:szCs w:val="10"/>
                          <w:lang w:val="en-US"/>
                        </w:rPr>
                        <w:t>8</w:t>
                      </w:r>
                    </w:p>
                  </w:txbxContent>
                </v:textbox>
              </v:rect>
            </w:pict>
          </mc:Fallback>
        </mc:AlternateContent>
      </w:r>
      <w:r w:rsidR="000E0845">
        <w:rPr>
          <w:noProof/>
          <w:lang w:val="en-US" w:eastAsia="en-US"/>
        </w:rPr>
        <mc:AlternateContent>
          <mc:Choice Requires="wpc">
            <w:drawing>
              <wp:inline distT="0" distB="0" distL="0" distR="0" wp14:anchorId="00B3AEC6" wp14:editId="0844A1EC">
                <wp:extent cx="4166559" cy="2820838"/>
                <wp:effectExtent l="0" t="438150" r="0" b="0"/>
                <wp:docPr id="1291" name="Canvas 1291" descr="Bar chart comparing the Quality of Inititatives in 2009 versus 2010:&#10;High Quality Initiatives: 3 in 2009, 4 in 2010.&#10;Acceptable/Moderate Quality Initiative: 4 in 2009, 2 in 2010.&#10;Initiatives whose Quality Needs Improvement: 7 in 2009, 8 in 2010." title="Quality of Initiatives in 2009 and 201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215" name="Rectangle 4"/>
                        <wps:cNvSpPr>
                          <a:spLocks noChangeArrowheads="1"/>
                        </wps:cNvSpPr>
                        <wps:spPr bwMode="auto">
                          <a:xfrm>
                            <a:off x="206375" y="304606"/>
                            <a:ext cx="3141980" cy="160655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48" name="Rectangle 5"/>
                        <wps:cNvSpPr>
                          <a:spLocks noChangeArrowheads="1"/>
                        </wps:cNvSpPr>
                        <wps:spPr bwMode="auto">
                          <a:xfrm>
                            <a:off x="206375" y="304606"/>
                            <a:ext cx="3141980" cy="1606550"/>
                          </a:xfrm>
                          <a:prstGeom prst="rect">
                            <a:avLst/>
                          </a:prstGeom>
                          <a:noFill/>
                          <a:ln w="5080">
                            <a:solidFill>
                              <a:srgbClr val="808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49" name="Rectangle 6"/>
                        <wps:cNvSpPr>
                          <a:spLocks noChangeArrowheads="1"/>
                        </wps:cNvSpPr>
                        <wps:spPr bwMode="auto">
                          <a:xfrm>
                            <a:off x="431165" y="1375851"/>
                            <a:ext cx="299085" cy="535305"/>
                          </a:xfrm>
                          <a:prstGeom prst="rect">
                            <a:avLst/>
                          </a:prstGeom>
                          <a:solidFill>
                            <a:srgbClr val="9999FF"/>
                          </a:solidFill>
                          <a:ln w="5080">
                            <a:solidFill>
                              <a:srgbClr val="000000"/>
                            </a:solidFill>
                            <a:miter lim="800000"/>
                            <a:headEnd/>
                            <a:tailEnd/>
                          </a:ln>
                        </wps:spPr>
                        <wps:bodyPr rot="0" vert="horz" wrap="square" lIns="91440" tIns="45720" rIns="91440" bIns="45720" anchor="t" anchorCtr="0" upright="1">
                          <a:noAutofit/>
                        </wps:bodyPr>
                      </wps:wsp>
                      <wps:wsp>
                        <wps:cNvPr id="1250" name="Rectangle 7"/>
                        <wps:cNvSpPr>
                          <a:spLocks noChangeArrowheads="1"/>
                        </wps:cNvSpPr>
                        <wps:spPr bwMode="auto">
                          <a:xfrm>
                            <a:off x="1478280" y="1197416"/>
                            <a:ext cx="299085" cy="713740"/>
                          </a:xfrm>
                          <a:prstGeom prst="rect">
                            <a:avLst/>
                          </a:prstGeom>
                          <a:solidFill>
                            <a:srgbClr val="9999FF"/>
                          </a:solidFill>
                          <a:ln w="5080">
                            <a:solidFill>
                              <a:srgbClr val="000000"/>
                            </a:solidFill>
                            <a:miter lim="800000"/>
                            <a:headEnd/>
                            <a:tailEnd/>
                          </a:ln>
                        </wps:spPr>
                        <wps:bodyPr rot="0" vert="horz" wrap="square" lIns="91440" tIns="45720" rIns="91440" bIns="45720" anchor="t" anchorCtr="0" upright="1">
                          <a:noAutofit/>
                        </wps:bodyPr>
                      </wps:wsp>
                      <wps:wsp>
                        <wps:cNvPr id="1251" name="Rectangle 8"/>
                        <wps:cNvSpPr>
                          <a:spLocks noChangeArrowheads="1"/>
                        </wps:cNvSpPr>
                        <wps:spPr bwMode="auto">
                          <a:xfrm>
                            <a:off x="2526030" y="662111"/>
                            <a:ext cx="299085" cy="1249045"/>
                          </a:xfrm>
                          <a:prstGeom prst="rect">
                            <a:avLst/>
                          </a:prstGeom>
                          <a:solidFill>
                            <a:srgbClr val="9999FF"/>
                          </a:solidFill>
                          <a:ln w="5080">
                            <a:solidFill>
                              <a:srgbClr val="000000"/>
                            </a:solidFill>
                            <a:miter lim="800000"/>
                            <a:headEnd/>
                            <a:tailEnd/>
                          </a:ln>
                        </wps:spPr>
                        <wps:bodyPr rot="0" vert="horz" wrap="square" lIns="91440" tIns="45720" rIns="91440" bIns="45720" anchor="t" anchorCtr="0" upright="1">
                          <a:noAutofit/>
                        </wps:bodyPr>
                      </wps:wsp>
                      <wps:wsp>
                        <wps:cNvPr id="1252" name="Rectangle 9"/>
                        <wps:cNvSpPr>
                          <a:spLocks noChangeArrowheads="1"/>
                        </wps:cNvSpPr>
                        <wps:spPr bwMode="auto">
                          <a:xfrm>
                            <a:off x="730250" y="1197416"/>
                            <a:ext cx="299085" cy="713740"/>
                          </a:xfrm>
                          <a:prstGeom prst="rect">
                            <a:avLst/>
                          </a:prstGeom>
                          <a:solidFill>
                            <a:srgbClr val="993366"/>
                          </a:solidFill>
                          <a:ln w="5080">
                            <a:solidFill>
                              <a:srgbClr val="000000"/>
                            </a:solidFill>
                            <a:miter lim="800000"/>
                            <a:headEnd/>
                            <a:tailEnd/>
                          </a:ln>
                        </wps:spPr>
                        <wps:bodyPr rot="0" vert="horz" wrap="square" lIns="91440" tIns="45720" rIns="91440" bIns="45720" anchor="t" anchorCtr="0" upright="1">
                          <a:noAutofit/>
                        </wps:bodyPr>
                      </wps:wsp>
                      <wps:wsp>
                        <wps:cNvPr id="1253" name="Rectangle 10"/>
                        <wps:cNvSpPr>
                          <a:spLocks noChangeArrowheads="1"/>
                        </wps:cNvSpPr>
                        <wps:spPr bwMode="auto">
                          <a:xfrm>
                            <a:off x="1777365" y="1553651"/>
                            <a:ext cx="299720" cy="357505"/>
                          </a:xfrm>
                          <a:prstGeom prst="rect">
                            <a:avLst/>
                          </a:prstGeom>
                          <a:solidFill>
                            <a:srgbClr val="993366"/>
                          </a:solidFill>
                          <a:ln w="5080">
                            <a:solidFill>
                              <a:srgbClr val="000000"/>
                            </a:solidFill>
                            <a:miter lim="800000"/>
                            <a:headEnd/>
                            <a:tailEnd/>
                          </a:ln>
                        </wps:spPr>
                        <wps:bodyPr rot="0" vert="horz" wrap="square" lIns="91440" tIns="45720" rIns="91440" bIns="45720" anchor="t" anchorCtr="0" upright="1">
                          <a:noAutofit/>
                        </wps:bodyPr>
                      </wps:wsp>
                      <wps:wsp>
                        <wps:cNvPr id="1254" name="Rectangle 11"/>
                        <wps:cNvSpPr>
                          <a:spLocks noChangeArrowheads="1"/>
                        </wps:cNvSpPr>
                        <wps:spPr bwMode="auto">
                          <a:xfrm>
                            <a:off x="2825115" y="483676"/>
                            <a:ext cx="299085" cy="1427480"/>
                          </a:xfrm>
                          <a:prstGeom prst="rect">
                            <a:avLst/>
                          </a:prstGeom>
                          <a:solidFill>
                            <a:srgbClr val="993366"/>
                          </a:solidFill>
                          <a:ln w="5080">
                            <a:solidFill>
                              <a:srgbClr val="000000"/>
                            </a:solidFill>
                            <a:miter lim="800000"/>
                            <a:headEnd/>
                            <a:tailEnd/>
                          </a:ln>
                        </wps:spPr>
                        <wps:bodyPr rot="0" vert="horz" wrap="square" lIns="91440" tIns="45720" rIns="91440" bIns="45720" anchor="t" anchorCtr="0" upright="1">
                          <a:noAutofit/>
                        </wps:bodyPr>
                      </wps:wsp>
                      <wps:wsp>
                        <wps:cNvPr id="1255" name="Line 12"/>
                        <wps:cNvCnPr/>
                        <wps:spPr bwMode="auto">
                          <a:xfrm>
                            <a:off x="206375" y="304606"/>
                            <a:ext cx="0" cy="160655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256" name="Line 13"/>
                        <wps:cNvCnPr/>
                        <wps:spPr bwMode="auto">
                          <a:xfrm>
                            <a:off x="187325" y="1911156"/>
                            <a:ext cx="1905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257" name="Line 14"/>
                        <wps:cNvCnPr/>
                        <wps:spPr bwMode="auto">
                          <a:xfrm>
                            <a:off x="187325" y="1732721"/>
                            <a:ext cx="1905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258" name="Line 15"/>
                        <wps:cNvCnPr/>
                        <wps:spPr bwMode="auto">
                          <a:xfrm>
                            <a:off x="187325" y="1553651"/>
                            <a:ext cx="1905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259" name="Line 16"/>
                        <wps:cNvCnPr/>
                        <wps:spPr bwMode="auto">
                          <a:xfrm>
                            <a:off x="187325" y="1375851"/>
                            <a:ext cx="1905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260" name="Line 17"/>
                        <wps:cNvCnPr/>
                        <wps:spPr bwMode="auto">
                          <a:xfrm>
                            <a:off x="187325" y="1197416"/>
                            <a:ext cx="1905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261" name="Line 18"/>
                        <wps:cNvCnPr/>
                        <wps:spPr bwMode="auto">
                          <a:xfrm>
                            <a:off x="187325" y="1018981"/>
                            <a:ext cx="1905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262" name="Line 19"/>
                        <wps:cNvCnPr/>
                        <wps:spPr bwMode="auto">
                          <a:xfrm>
                            <a:off x="187325" y="839911"/>
                            <a:ext cx="1905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263" name="Line 20"/>
                        <wps:cNvCnPr/>
                        <wps:spPr bwMode="auto">
                          <a:xfrm>
                            <a:off x="187325" y="662111"/>
                            <a:ext cx="1905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264" name="Line 21"/>
                        <wps:cNvCnPr/>
                        <wps:spPr bwMode="auto">
                          <a:xfrm>
                            <a:off x="187325" y="483676"/>
                            <a:ext cx="1905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265" name="Line 22"/>
                        <wps:cNvCnPr/>
                        <wps:spPr bwMode="auto">
                          <a:xfrm>
                            <a:off x="187325" y="304606"/>
                            <a:ext cx="1905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266" name="Line 23"/>
                        <wps:cNvCnPr/>
                        <wps:spPr bwMode="auto">
                          <a:xfrm>
                            <a:off x="206375" y="1911156"/>
                            <a:ext cx="314198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267" name="Line 24"/>
                        <wps:cNvCnPr/>
                        <wps:spPr bwMode="auto">
                          <a:xfrm flipV="1">
                            <a:off x="206375" y="1911156"/>
                            <a:ext cx="0" cy="254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268" name="Line 25"/>
                        <wps:cNvCnPr/>
                        <wps:spPr bwMode="auto">
                          <a:xfrm flipV="1">
                            <a:off x="1253490" y="1911156"/>
                            <a:ext cx="0" cy="254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269" name="Line 26"/>
                        <wps:cNvCnPr/>
                        <wps:spPr bwMode="auto">
                          <a:xfrm flipV="1">
                            <a:off x="2301240" y="1911156"/>
                            <a:ext cx="0" cy="254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270" name="Line 27"/>
                        <wps:cNvCnPr/>
                        <wps:spPr bwMode="auto">
                          <a:xfrm flipV="1">
                            <a:off x="3348355" y="1911156"/>
                            <a:ext cx="0" cy="254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271" name="Rectangle 28"/>
                        <wps:cNvSpPr>
                          <a:spLocks noChangeArrowheads="1"/>
                        </wps:cNvSpPr>
                        <wps:spPr bwMode="auto">
                          <a:xfrm>
                            <a:off x="831850" y="36001"/>
                            <a:ext cx="189357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53D9" w:rsidRPr="00C2475E" w:rsidRDefault="008153D9" w:rsidP="000E0845">
                              <w:pPr>
                                <w:rPr>
                                  <w:sz w:val="18"/>
                                  <w:szCs w:val="18"/>
                                </w:rPr>
                              </w:pPr>
                              <w:r w:rsidRPr="00C2475E">
                                <w:rPr>
                                  <w:rFonts w:ascii="Arial" w:hAnsi="Arial" w:cs="Arial"/>
                                  <w:b/>
                                  <w:bCs/>
                                  <w:color w:val="000000"/>
                                  <w:sz w:val="18"/>
                                  <w:szCs w:val="18"/>
                                  <w:lang w:val="en-US"/>
                                </w:rPr>
                                <w:t xml:space="preserve">Quality of </w:t>
                              </w:r>
                              <w:r>
                                <w:rPr>
                                  <w:rFonts w:ascii="Arial" w:hAnsi="Arial" w:cs="Arial"/>
                                  <w:b/>
                                  <w:bCs/>
                                  <w:color w:val="000000"/>
                                  <w:sz w:val="18"/>
                                  <w:szCs w:val="18"/>
                                  <w:lang w:val="en-US"/>
                                </w:rPr>
                                <w:t>i</w:t>
                              </w:r>
                              <w:r w:rsidRPr="00C2475E">
                                <w:rPr>
                                  <w:rFonts w:ascii="Arial" w:hAnsi="Arial" w:cs="Arial"/>
                                  <w:b/>
                                  <w:bCs/>
                                  <w:color w:val="000000"/>
                                  <w:sz w:val="18"/>
                                  <w:szCs w:val="18"/>
                                  <w:lang w:val="en-US"/>
                                </w:rPr>
                                <w:t>nitiatives 2009 and 2010</w:t>
                              </w:r>
                            </w:p>
                          </w:txbxContent>
                        </wps:txbx>
                        <wps:bodyPr rot="0" vert="horz" wrap="none" lIns="0" tIns="0" rIns="0" bIns="0" anchor="t" anchorCtr="0" upright="1">
                          <a:spAutoFit/>
                        </wps:bodyPr>
                      </wps:wsp>
                      <wps:wsp>
                        <wps:cNvPr id="1272" name="Rectangle 29"/>
                        <wps:cNvSpPr>
                          <a:spLocks noChangeArrowheads="1"/>
                        </wps:cNvSpPr>
                        <wps:spPr bwMode="auto">
                          <a:xfrm>
                            <a:off x="125085" y="1875484"/>
                            <a:ext cx="35560" cy="73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53D9" w:rsidRDefault="008153D9" w:rsidP="006B6177">
                              <w:r>
                                <w:rPr>
                                  <w:rFonts w:ascii="Arial" w:hAnsi="Arial" w:cs="Arial"/>
                                  <w:color w:val="000000"/>
                                  <w:sz w:val="10"/>
                                  <w:szCs w:val="10"/>
                                  <w:lang w:val="en-US"/>
                                </w:rPr>
                                <w:t>0</w:t>
                              </w:r>
                            </w:p>
                          </w:txbxContent>
                        </wps:txbx>
                        <wps:bodyPr rot="0" vert="horz" wrap="none" lIns="0" tIns="0" rIns="0" bIns="0" anchor="t" anchorCtr="0" upright="1">
                          <a:spAutoFit/>
                        </wps:bodyPr>
                      </wps:wsp>
                      <wps:wsp>
                        <wps:cNvPr id="1273" name="Rectangle 30"/>
                        <wps:cNvSpPr>
                          <a:spLocks noChangeArrowheads="1"/>
                        </wps:cNvSpPr>
                        <wps:spPr bwMode="auto">
                          <a:xfrm>
                            <a:off x="125085" y="1696425"/>
                            <a:ext cx="35560" cy="73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53D9" w:rsidRDefault="008153D9" w:rsidP="006B6177">
                              <w:r>
                                <w:rPr>
                                  <w:rFonts w:ascii="Arial" w:hAnsi="Arial" w:cs="Arial"/>
                                  <w:color w:val="000000"/>
                                  <w:sz w:val="10"/>
                                  <w:szCs w:val="10"/>
                                  <w:lang w:val="en-US"/>
                                </w:rPr>
                                <w:t>1</w:t>
                              </w:r>
                            </w:p>
                          </w:txbxContent>
                        </wps:txbx>
                        <wps:bodyPr rot="0" vert="horz" wrap="none" lIns="0" tIns="0" rIns="0" bIns="0" anchor="t" anchorCtr="0" upright="1">
                          <a:spAutoFit/>
                        </wps:bodyPr>
                      </wps:wsp>
                      <wps:wsp>
                        <wps:cNvPr id="1274" name="Rectangle 31"/>
                        <wps:cNvSpPr>
                          <a:spLocks noChangeArrowheads="1"/>
                        </wps:cNvSpPr>
                        <wps:spPr bwMode="auto">
                          <a:xfrm>
                            <a:off x="125085" y="1518001"/>
                            <a:ext cx="35560" cy="73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53D9" w:rsidRDefault="008153D9" w:rsidP="006B6177">
                              <w:r>
                                <w:rPr>
                                  <w:rFonts w:ascii="Arial" w:hAnsi="Arial" w:cs="Arial"/>
                                  <w:color w:val="000000"/>
                                  <w:sz w:val="10"/>
                                  <w:szCs w:val="10"/>
                                  <w:lang w:val="en-US"/>
                                </w:rPr>
                                <w:t>2</w:t>
                              </w:r>
                            </w:p>
                          </w:txbxContent>
                        </wps:txbx>
                        <wps:bodyPr rot="0" vert="horz" wrap="none" lIns="0" tIns="0" rIns="0" bIns="0" anchor="t" anchorCtr="0" upright="1">
                          <a:spAutoFit/>
                        </wps:bodyPr>
                      </wps:wsp>
                      <wps:wsp>
                        <wps:cNvPr id="1275" name="Rectangle 32"/>
                        <wps:cNvSpPr>
                          <a:spLocks noChangeArrowheads="1"/>
                        </wps:cNvSpPr>
                        <wps:spPr bwMode="auto">
                          <a:xfrm>
                            <a:off x="125085" y="1340211"/>
                            <a:ext cx="35560" cy="73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53D9" w:rsidRDefault="008153D9" w:rsidP="006B6177">
                              <w:r>
                                <w:rPr>
                                  <w:rFonts w:ascii="Arial" w:hAnsi="Arial" w:cs="Arial"/>
                                  <w:color w:val="000000"/>
                                  <w:sz w:val="10"/>
                                  <w:szCs w:val="10"/>
                                  <w:lang w:val="en-US"/>
                                </w:rPr>
                                <w:t>3</w:t>
                              </w:r>
                            </w:p>
                          </w:txbxContent>
                        </wps:txbx>
                        <wps:bodyPr rot="0" vert="horz" wrap="none" lIns="0" tIns="0" rIns="0" bIns="0" anchor="t" anchorCtr="0" upright="1">
                          <a:spAutoFit/>
                        </wps:bodyPr>
                      </wps:wsp>
                      <wps:wsp>
                        <wps:cNvPr id="1276" name="Rectangle 33"/>
                        <wps:cNvSpPr>
                          <a:spLocks noChangeArrowheads="1"/>
                        </wps:cNvSpPr>
                        <wps:spPr bwMode="auto">
                          <a:xfrm>
                            <a:off x="125085" y="1161787"/>
                            <a:ext cx="35560" cy="73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53D9" w:rsidRDefault="008153D9" w:rsidP="006B6177">
                              <w:r>
                                <w:rPr>
                                  <w:rFonts w:ascii="Arial" w:hAnsi="Arial" w:cs="Arial"/>
                                  <w:color w:val="000000"/>
                                  <w:sz w:val="10"/>
                                  <w:szCs w:val="10"/>
                                  <w:lang w:val="en-US"/>
                                </w:rPr>
                                <w:t>4</w:t>
                              </w:r>
                            </w:p>
                          </w:txbxContent>
                        </wps:txbx>
                        <wps:bodyPr rot="0" vert="horz" wrap="none" lIns="0" tIns="0" rIns="0" bIns="0" anchor="t" anchorCtr="0" upright="1">
                          <a:spAutoFit/>
                        </wps:bodyPr>
                      </wps:wsp>
                      <wps:wsp>
                        <wps:cNvPr id="1278" name="Rectangle 34"/>
                        <wps:cNvSpPr>
                          <a:spLocks noChangeArrowheads="1"/>
                        </wps:cNvSpPr>
                        <wps:spPr bwMode="auto">
                          <a:xfrm>
                            <a:off x="125085" y="982727"/>
                            <a:ext cx="35560" cy="73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53D9" w:rsidRDefault="008153D9" w:rsidP="006B6177">
                              <w:r>
                                <w:rPr>
                                  <w:rFonts w:ascii="Arial" w:hAnsi="Arial" w:cs="Arial"/>
                                  <w:color w:val="000000"/>
                                  <w:sz w:val="10"/>
                                  <w:szCs w:val="10"/>
                                  <w:lang w:val="en-US"/>
                                </w:rPr>
                                <w:t>5</w:t>
                              </w:r>
                            </w:p>
                          </w:txbxContent>
                        </wps:txbx>
                        <wps:bodyPr rot="0" vert="horz" wrap="none" lIns="0" tIns="0" rIns="0" bIns="0" anchor="t" anchorCtr="0" upright="1">
                          <a:spAutoFit/>
                        </wps:bodyPr>
                      </wps:wsp>
                      <wps:wsp>
                        <wps:cNvPr id="1279" name="Rectangle 35"/>
                        <wps:cNvSpPr>
                          <a:spLocks noChangeArrowheads="1"/>
                        </wps:cNvSpPr>
                        <wps:spPr bwMode="auto">
                          <a:xfrm>
                            <a:off x="125085" y="804303"/>
                            <a:ext cx="35560" cy="73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53D9" w:rsidRDefault="008153D9" w:rsidP="006B6177">
                              <w:r>
                                <w:rPr>
                                  <w:rFonts w:ascii="Arial" w:hAnsi="Arial" w:cs="Arial"/>
                                  <w:color w:val="000000"/>
                                  <w:sz w:val="10"/>
                                  <w:szCs w:val="10"/>
                                  <w:lang w:val="en-US"/>
                                </w:rPr>
                                <w:t>6</w:t>
                              </w:r>
                            </w:p>
                          </w:txbxContent>
                        </wps:txbx>
                        <wps:bodyPr rot="0" vert="horz" wrap="none" lIns="0" tIns="0" rIns="0" bIns="0" anchor="t" anchorCtr="0" upright="1">
                          <a:spAutoFit/>
                        </wps:bodyPr>
                      </wps:wsp>
                      <wps:wsp>
                        <wps:cNvPr id="1280" name="Rectangle 36"/>
                        <wps:cNvSpPr>
                          <a:spLocks noChangeArrowheads="1"/>
                        </wps:cNvSpPr>
                        <wps:spPr bwMode="auto">
                          <a:xfrm>
                            <a:off x="125085" y="626514"/>
                            <a:ext cx="35560" cy="73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53D9" w:rsidRDefault="008153D9" w:rsidP="006B6177">
                              <w:r>
                                <w:rPr>
                                  <w:rFonts w:ascii="Arial" w:hAnsi="Arial" w:cs="Arial"/>
                                  <w:color w:val="000000"/>
                                  <w:sz w:val="10"/>
                                  <w:szCs w:val="10"/>
                                  <w:lang w:val="en-US"/>
                                </w:rPr>
                                <w:t>7</w:t>
                              </w:r>
                            </w:p>
                          </w:txbxContent>
                        </wps:txbx>
                        <wps:bodyPr rot="0" vert="horz" wrap="none" lIns="0" tIns="0" rIns="0" bIns="0" anchor="t" anchorCtr="0" upright="1">
                          <a:spAutoFit/>
                        </wps:bodyPr>
                      </wps:wsp>
                      <wps:wsp>
                        <wps:cNvPr id="1281" name="Rectangle 37"/>
                        <wps:cNvSpPr>
                          <a:spLocks noChangeArrowheads="1"/>
                        </wps:cNvSpPr>
                        <wps:spPr bwMode="auto">
                          <a:xfrm>
                            <a:off x="125085" y="269030"/>
                            <a:ext cx="35560" cy="73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53D9" w:rsidRDefault="008153D9" w:rsidP="006B6177">
                              <w:r>
                                <w:rPr>
                                  <w:rFonts w:ascii="Arial" w:hAnsi="Arial" w:cs="Arial"/>
                                  <w:color w:val="000000"/>
                                  <w:sz w:val="10"/>
                                  <w:szCs w:val="10"/>
                                  <w:lang w:val="en-US"/>
                                </w:rPr>
                                <w:t>9</w:t>
                              </w:r>
                            </w:p>
                          </w:txbxContent>
                        </wps:txbx>
                        <wps:bodyPr rot="0" vert="horz" wrap="none" lIns="0" tIns="0" rIns="0" bIns="0" anchor="t" anchorCtr="0" upright="1">
                          <a:spAutoFit/>
                        </wps:bodyPr>
                      </wps:wsp>
                      <wps:wsp>
                        <wps:cNvPr id="1282" name="Rectangle 38"/>
                        <wps:cNvSpPr>
                          <a:spLocks noChangeArrowheads="1"/>
                        </wps:cNvSpPr>
                        <wps:spPr bwMode="auto">
                          <a:xfrm>
                            <a:off x="507365" y="1982276"/>
                            <a:ext cx="531495" cy="231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53D9" w:rsidRDefault="008153D9" w:rsidP="006B6177">
                              <w:r w:rsidRPr="00C2475E">
                                <w:rPr>
                                  <w:rFonts w:ascii="Arial" w:hAnsi="Arial" w:cs="Arial"/>
                                  <w:color w:val="000000"/>
                                  <w:sz w:val="16"/>
                                  <w:szCs w:val="16"/>
                                  <w:lang w:val="en-US"/>
                                </w:rPr>
                                <w:t xml:space="preserve">High </w:t>
                              </w:r>
                              <w:r>
                                <w:rPr>
                                  <w:rFonts w:ascii="Arial" w:hAnsi="Arial" w:cs="Arial"/>
                                  <w:color w:val="000000"/>
                                  <w:sz w:val="16"/>
                                  <w:szCs w:val="16"/>
                                  <w:lang w:val="en-US"/>
                                </w:rPr>
                                <w:t>q</w:t>
                              </w:r>
                              <w:r w:rsidRPr="00C2475E">
                                <w:rPr>
                                  <w:rFonts w:ascii="Arial" w:hAnsi="Arial" w:cs="Arial"/>
                                  <w:color w:val="000000"/>
                                  <w:sz w:val="16"/>
                                  <w:szCs w:val="16"/>
                                  <w:lang w:val="en-US"/>
                                </w:rPr>
                                <w:t>uality</w:t>
                              </w:r>
                            </w:p>
                          </w:txbxContent>
                        </wps:txbx>
                        <wps:bodyPr rot="0" vert="horz" wrap="none" lIns="0" tIns="0" rIns="0" bIns="0" anchor="t" anchorCtr="0" upright="1">
                          <a:noAutofit/>
                        </wps:bodyPr>
                      </wps:wsp>
                      <wps:wsp>
                        <wps:cNvPr id="1283" name="Rectangle 39"/>
                        <wps:cNvSpPr>
                          <a:spLocks noChangeArrowheads="1"/>
                        </wps:cNvSpPr>
                        <wps:spPr bwMode="auto">
                          <a:xfrm>
                            <a:off x="1294130" y="1974021"/>
                            <a:ext cx="100711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53D9" w:rsidRDefault="008153D9" w:rsidP="006B6177">
                              <w:pPr>
                                <w:jc w:val="center"/>
                              </w:pPr>
                              <w:r w:rsidRPr="00C2475E">
                                <w:rPr>
                                  <w:rFonts w:ascii="Arial" w:hAnsi="Arial" w:cs="Arial"/>
                                  <w:color w:val="000000"/>
                                  <w:sz w:val="16"/>
                                  <w:szCs w:val="16"/>
                                  <w:lang w:val="en-US"/>
                                </w:rPr>
                                <w:t>Acceptable/moderate</w:t>
                              </w:r>
                              <w:r>
                                <w:rPr>
                                  <w:rFonts w:ascii="Arial" w:hAnsi="Arial" w:cs="Arial"/>
                                  <w:color w:val="000000"/>
                                  <w:sz w:val="16"/>
                                  <w:szCs w:val="16"/>
                                  <w:lang w:val="en-US"/>
                                </w:rPr>
                                <w:t xml:space="preserve"> quality</w:t>
                              </w:r>
                            </w:p>
                            <w:p w:rsidR="008153D9" w:rsidRDefault="008153D9" w:rsidP="000E0845"/>
                          </w:txbxContent>
                        </wps:txbx>
                        <wps:bodyPr rot="0" vert="horz" wrap="square" lIns="0" tIns="0" rIns="0" bIns="0" anchor="t" anchorCtr="0" upright="1">
                          <a:noAutofit/>
                        </wps:bodyPr>
                      </wps:wsp>
                      <wps:wsp>
                        <wps:cNvPr id="1284" name="Rectangle 40"/>
                        <wps:cNvSpPr>
                          <a:spLocks noChangeArrowheads="1"/>
                        </wps:cNvSpPr>
                        <wps:spPr bwMode="auto">
                          <a:xfrm>
                            <a:off x="2585085" y="1974021"/>
                            <a:ext cx="599440" cy="381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53D9" w:rsidRDefault="008153D9" w:rsidP="006B6177">
                              <w:pPr>
                                <w:jc w:val="center"/>
                              </w:pPr>
                              <w:r w:rsidRPr="001A72F5">
                                <w:rPr>
                                  <w:rFonts w:ascii="Arial" w:hAnsi="Arial" w:cs="Arial"/>
                                  <w:sz w:val="16"/>
                                  <w:szCs w:val="16"/>
                                  <w:lang w:val="en-US"/>
                                </w:rPr>
                                <w:t>Need</w:t>
                              </w:r>
                              <w:r>
                                <w:rPr>
                                  <w:rFonts w:ascii="Arial" w:hAnsi="Arial" w:cs="Arial"/>
                                  <w:sz w:val="16"/>
                                  <w:szCs w:val="16"/>
                                  <w:lang w:val="en-US"/>
                                </w:rPr>
                                <w:t>s</w:t>
                              </w:r>
                              <w:r w:rsidRPr="001A72F5">
                                <w:rPr>
                                  <w:rFonts w:ascii="Arial" w:hAnsi="Arial" w:cs="Arial"/>
                                  <w:sz w:val="16"/>
                                  <w:szCs w:val="16"/>
                                  <w:lang w:val="en-US"/>
                                </w:rPr>
                                <w:t xml:space="preserve"> improvement</w:t>
                              </w:r>
                            </w:p>
                            <w:p w:rsidR="008153D9" w:rsidRDefault="008153D9" w:rsidP="000E0845"/>
                          </w:txbxContent>
                        </wps:txbx>
                        <wps:bodyPr rot="0" vert="horz" wrap="square" lIns="0" tIns="0" rIns="0" bIns="0" anchor="t" anchorCtr="0" upright="1">
                          <a:noAutofit/>
                        </wps:bodyPr>
                      </wps:wsp>
                      <wps:wsp>
                        <wps:cNvPr id="1285" name="Rectangle 41"/>
                        <wps:cNvSpPr>
                          <a:spLocks noChangeArrowheads="1"/>
                        </wps:cNvSpPr>
                        <wps:spPr bwMode="auto">
                          <a:xfrm rot="16200000">
                            <a:off x="1243996" y="-422268"/>
                            <a:ext cx="667137" cy="3120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53D9" w:rsidRDefault="008153D9" w:rsidP="006B6177">
                              <w:r w:rsidRPr="00C2475E">
                                <w:rPr>
                                  <w:rFonts w:ascii="Arial" w:hAnsi="Arial" w:cs="Arial"/>
                                  <w:color w:val="000000"/>
                                  <w:sz w:val="16"/>
                                  <w:szCs w:val="16"/>
                                  <w:lang w:val="en-US"/>
                                </w:rPr>
                                <w:t>N</w:t>
                              </w:r>
                              <w:r>
                                <w:rPr>
                                  <w:rFonts w:ascii="Arial" w:hAnsi="Arial" w:cs="Arial"/>
                                  <w:color w:val="000000"/>
                                  <w:sz w:val="16"/>
                                  <w:szCs w:val="16"/>
                                  <w:lang w:val="en-US"/>
                                </w:rPr>
                                <w:t>o. ini</w:t>
                              </w:r>
                              <w:r w:rsidRPr="00C2475E">
                                <w:rPr>
                                  <w:rFonts w:ascii="Arial" w:hAnsi="Arial" w:cs="Arial"/>
                                  <w:color w:val="000000"/>
                                  <w:sz w:val="16"/>
                                  <w:szCs w:val="16"/>
                                  <w:lang w:val="en-US"/>
                                </w:rPr>
                                <w:t>tiatives</w:t>
                              </w:r>
                            </w:p>
                          </w:txbxContent>
                        </wps:txbx>
                        <wps:bodyPr rot="0" vert="vert270" wrap="square" lIns="0" tIns="0" rIns="0" bIns="0" anchor="t" anchorCtr="0" upright="1">
                          <a:noAutofit/>
                        </wps:bodyPr>
                      </wps:wsp>
                      <wps:wsp>
                        <wps:cNvPr id="1286" name="Rectangle 42"/>
                        <wps:cNvSpPr>
                          <a:spLocks noChangeArrowheads="1"/>
                        </wps:cNvSpPr>
                        <wps:spPr bwMode="auto">
                          <a:xfrm>
                            <a:off x="3388995" y="1006916"/>
                            <a:ext cx="415925" cy="310515"/>
                          </a:xfrm>
                          <a:prstGeom prst="rect">
                            <a:avLst/>
                          </a:prstGeom>
                          <a:solidFill>
                            <a:srgbClr val="FFFFFF"/>
                          </a:solidFill>
                          <a:ln w="0">
                            <a:solidFill>
                              <a:srgbClr val="000000"/>
                            </a:solidFill>
                            <a:miter lim="800000"/>
                            <a:headEnd/>
                            <a:tailEnd/>
                          </a:ln>
                        </wps:spPr>
                        <wps:bodyPr rot="0" vert="horz" wrap="square" lIns="91440" tIns="45720" rIns="91440" bIns="45720" anchor="t" anchorCtr="0" upright="1">
                          <a:noAutofit/>
                        </wps:bodyPr>
                      </wps:wsp>
                      <wps:wsp>
                        <wps:cNvPr id="1287" name="Rectangle 43"/>
                        <wps:cNvSpPr>
                          <a:spLocks noChangeArrowheads="1"/>
                        </wps:cNvSpPr>
                        <wps:spPr bwMode="auto">
                          <a:xfrm>
                            <a:off x="3411220" y="1038666"/>
                            <a:ext cx="43815" cy="43180"/>
                          </a:xfrm>
                          <a:prstGeom prst="rect">
                            <a:avLst/>
                          </a:prstGeom>
                          <a:solidFill>
                            <a:srgbClr val="9999FF"/>
                          </a:solidFill>
                          <a:ln w="5080">
                            <a:solidFill>
                              <a:srgbClr val="000000"/>
                            </a:solidFill>
                            <a:miter lim="800000"/>
                            <a:headEnd/>
                            <a:tailEnd/>
                          </a:ln>
                        </wps:spPr>
                        <wps:bodyPr rot="0" vert="horz" wrap="square" lIns="91440" tIns="45720" rIns="91440" bIns="45720" anchor="t" anchorCtr="0" upright="1">
                          <a:noAutofit/>
                        </wps:bodyPr>
                      </wps:wsp>
                      <wps:wsp>
                        <wps:cNvPr id="1288" name="Rectangle 44"/>
                        <wps:cNvSpPr>
                          <a:spLocks noChangeArrowheads="1"/>
                        </wps:cNvSpPr>
                        <wps:spPr bwMode="auto">
                          <a:xfrm>
                            <a:off x="3472180" y="1020251"/>
                            <a:ext cx="226060" cy="635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53D9" w:rsidRDefault="008153D9" w:rsidP="006B6177">
                              <w:r w:rsidRPr="00C2475E">
                                <w:rPr>
                                  <w:rFonts w:ascii="Arial" w:hAnsi="Arial" w:cs="Arial"/>
                                  <w:color w:val="000000"/>
                                  <w:sz w:val="16"/>
                                  <w:szCs w:val="16"/>
                                  <w:lang w:val="en-US"/>
                                </w:rPr>
                                <w:t>2009</w:t>
                              </w:r>
                            </w:p>
                          </w:txbxContent>
                        </wps:txbx>
                        <wps:bodyPr rot="0" vert="horz" wrap="none" lIns="0" tIns="0" rIns="0" bIns="0" anchor="t" anchorCtr="0" upright="1">
                          <a:noAutofit/>
                        </wps:bodyPr>
                      </wps:wsp>
                      <wps:wsp>
                        <wps:cNvPr id="1289" name="Rectangle 45"/>
                        <wps:cNvSpPr>
                          <a:spLocks noChangeArrowheads="1"/>
                        </wps:cNvSpPr>
                        <wps:spPr bwMode="auto">
                          <a:xfrm>
                            <a:off x="3411220" y="1138996"/>
                            <a:ext cx="43815" cy="43815"/>
                          </a:xfrm>
                          <a:prstGeom prst="rect">
                            <a:avLst/>
                          </a:prstGeom>
                          <a:solidFill>
                            <a:srgbClr val="993366"/>
                          </a:solidFill>
                          <a:ln w="5080">
                            <a:solidFill>
                              <a:srgbClr val="000000"/>
                            </a:solidFill>
                            <a:miter lim="800000"/>
                            <a:headEnd/>
                            <a:tailEnd/>
                          </a:ln>
                        </wps:spPr>
                        <wps:bodyPr rot="0" vert="horz" wrap="square" lIns="91440" tIns="45720" rIns="91440" bIns="45720" anchor="t" anchorCtr="0" upright="1">
                          <a:noAutofit/>
                        </wps:bodyPr>
                      </wps:wsp>
                      <wps:wsp>
                        <wps:cNvPr id="1290" name="Rectangle 46"/>
                        <wps:cNvSpPr>
                          <a:spLocks noChangeArrowheads="1"/>
                        </wps:cNvSpPr>
                        <wps:spPr bwMode="auto">
                          <a:xfrm>
                            <a:off x="3471910" y="1120514"/>
                            <a:ext cx="22606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53D9" w:rsidRDefault="008153D9" w:rsidP="006B6177">
                              <w:r w:rsidRPr="00C2475E">
                                <w:rPr>
                                  <w:rFonts w:ascii="Arial" w:hAnsi="Arial" w:cs="Arial"/>
                                  <w:color w:val="000000"/>
                                  <w:sz w:val="16"/>
                                  <w:szCs w:val="16"/>
                                  <w:lang w:val="en-US"/>
                                </w:rPr>
                                <w:t>2010</w:t>
                              </w:r>
                            </w:p>
                          </w:txbxContent>
                        </wps:txbx>
                        <wps:bodyPr rot="0" vert="horz" wrap="none" lIns="0" tIns="0" rIns="0" bIns="0" anchor="t" anchorCtr="0" upright="1">
                          <a:spAutoFit/>
                        </wps:bodyPr>
                      </wps:wsp>
                    </wpc:wpc>
                  </a:graphicData>
                </a:graphic>
              </wp:inline>
            </w:drawing>
          </mc:Choice>
          <mc:Fallback>
            <w:pict>
              <v:group id="Canvas 1291" o:spid="_x0000_s1027" editas="canvas" alt="Title: Quality of Initiatives in 2009 and 2010 - Description: Bar chart comparing the Quality of Inititatives in 2009 versus 2010:&#10;High Quality Initiatives: 3 in 2009, 4 in 2010.&#10;Acceptable/Moderate Quality Initiative: 4 in 2009, 2 in 2010.&#10;Initiatives whose Quality Needs Improvement: 7 in 2009, 8 in 2010." style="width:328.1pt;height:222.1pt;mso-position-horizontal-relative:char;mso-position-vertical-relative:line" coordsize="41662,282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alt="Bar chart comparing the Quality of Inititatives in 2009 versus 2010:&#10;High Quality Initiatives: 3 in 2009, 4 in 2010.&#10;Acceptable/Moderate Quality Initiative: 4 in 2009, 2 in 2010.&#10;Initiatives whose Quality Needs Improvement: 7 in 2009, 8 in 2010." style="position:absolute;width:41662;height:28206;visibility:visible;mso-wrap-style:square">
                  <v:fill o:detectmouseclick="t"/>
                  <v:path o:connecttype="none"/>
                </v:shape>
                <v:rect id="Rectangle 4" o:spid="_x0000_s1029" style="position:absolute;left:2063;top:3046;width:31420;height:16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Rlx8IA&#10;AADdAAAADwAAAGRycy9kb3ducmV2LnhtbERPTWvCQBC9C/0PyxR6043RikRXEcG2N1FLz0N2mqRm&#10;Z8PuqOm/7wpCb/N4n7Nc965VVwqx8WxgPMpAEZfeNlwZ+DzthnNQUZAttp7JwC9FWK+eBkssrL/x&#10;ga5HqVQK4ViggVqkK7SOZU0O48h3xIn79sGhJBgqbQPeUrhrdZ5lM+2w4dRQY0fbmsrz8eIM6NMs&#10;yHkynfwcJOYbd3l735dfxrw895sFKKFe/sUP94dN8/PxK9y/SSfo1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xGXHwgAAAN0AAAAPAAAAAAAAAAAAAAAAAJgCAABkcnMvZG93&#10;bnJldi54bWxQSwUGAAAAAAQABAD1AAAAhwMAAAAA&#10;" fillcolor="silver" stroked="f"/>
                <v:rect id="Rectangle 5" o:spid="_x0000_s1030" style="position:absolute;left:2063;top:3046;width:31420;height:16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I9sYA&#10;AADdAAAADwAAAGRycy9kb3ducmV2LnhtbESPQWvCQBCF7wX/wzJCL0V3I7aU6CpSEOpFaGzvQ3ZM&#10;otnZNLtq2l/vHAq9zfDevPfNcj34Vl2pj01gC9nUgCIug2u4svB52E5eQcWE7LANTBZ+KMJ6NXpY&#10;Yu7CjT/oWqRKSQjHHC3UKXW51rGsyWOcho5YtGPoPSZZ+0q7Hm8S7ls9M+ZFe2xYGmrs6K2m8lxc&#10;vIXfp4Npiv1p9zzPst03nTNTbL6sfRwPmwWoREP6N/9dvzvBn80FV76REfTq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RI9sYAAADdAAAADwAAAAAAAAAAAAAAAACYAgAAZHJz&#10;L2Rvd25yZXYueG1sUEsFBgAAAAAEAAQA9QAAAIsDAAAAAA==&#10;" filled="f" strokecolor="gray" strokeweight=".4pt"/>
                <v:rect id="Rectangle 6" o:spid="_x0000_s1031" style="position:absolute;left:4311;top:13758;width:2991;height:53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P7JsUA&#10;AADdAAAADwAAAGRycy9kb3ducmV2LnhtbERPS2vCQBC+F/wPywi9FLNRStE0G9FCoB5K8dH7NDtN&#10;gtnZmN3GtL/eFQRv8/E9J10OphE9da62rGAaxSCIC6trLhUc9vlkDsJ5ZI2NZVLwRw6W2eghxUTb&#10;M2+p3/lShBB2CSqovG8TKV1RkUEX2ZY4cD+2M+gD7EqpOzyHcNPIWRy/SIM1h4YKW3qrqDjufo2C&#10;vj3mT/7jtP7env7jzWefb1b5l1KP42H1CsLT4O/im/tdh/mz5wVcvwknyO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M/smxQAAAN0AAAAPAAAAAAAAAAAAAAAAAJgCAABkcnMv&#10;ZG93bnJldi54bWxQSwUGAAAAAAQABAD1AAAAigMAAAAA&#10;" fillcolor="#99f" strokeweight=".4pt"/>
                <v:rect id="Rectangle 7" o:spid="_x0000_s1032" style="position:absolute;left:14782;top:11974;width:2991;height:71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DEZscA&#10;AADdAAAADwAAAGRycy9kb3ducmV2LnhtbESPQWvCQBCF7wX/wzJCL6VuFCwldRUVAvUgom3v0+w0&#10;CWZnY3aN0V/vHAreZnhv3vtmtuhdrTpqQ+XZwHiUgCLOva24MPD9lb2+gwoR2WLtmQxcKcBiPnia&#10;YWr9hffUHWKhJIRDigbKGJtU65CX5DCMfEMs2p9vHUZZ20LbFi8S7mo9SZI37bBiaSixoXVJ+fFw&#10;dga65pi9xO1p9bs/3ZLNrss2y+zHmOdhv/wAFamPD/P/9acV/MlU+OUbGUHP7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bQxGbHAAAA3QAAAA8AAAAAAAAAAAAAAAAAmAIAAGRy&#10;cy9kb3ducmV2LnhtbFBLBQYAAAAABAAEAPUAAACMAwAAAAA=&#10;" fillcolor="#99f" strokeweight=".4pt"/>
                <v:rect id="Rectangle 8" o:spid="_x0000_s1033" style="position:absolute;left:25260;top:6621;width:2991;height:124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xh/cMA&#10;AADdAAAADwAAAGRycy9kb3ducmV2LnhtbERPTYvCMBC9C/sfwix4EU0VFKlGcRcKehBRd+9jM7bF&#10;ZlKbWOv++o0geJvH+5z5sjWlaKh2hWUFw0EEgji1uuBMwc8x6U9BOI+ssbRMCh7kYLn46Mwx1vbO&#10;e2oOPhMhhF2MCnLvq1hKl+Zk0A1sRRy4s60N+gDrTOoa7yHclHIURRNpsODQkGNF3zmll8PNKGiq&#10;S9Lz2+vXaX/9iza7Jtmskl+lup/tagbCU+vf4pd7rcP80XgIz2/CC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Zxh/cMAAADdAAAADwAAAAAAAAAAAAAAAACYAgAAZHJzL2Rv&#10;d25yZXYueG1sUEsFBgAAAAAEAAQA9QAAAIgDAAAAAA==&#10;" fillcolor="#99f" strokeweight=".4pt"/>
                <v:rect id="Rectangle 9" o:spid="_x0000_s1034" style="position:absolute;left:7302;top:11974;width:2991;height:71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BEMcQA&#10;AADdAAAADwAAAGRycy9kb3ducmV2LnhtbERPTWvCQBC9F/oflil4q5sGtJK6CaVQ9aRUPdTbNDtN&#10;gtnZNbvG+O/dQsHbPN7nzIvBtKKnzjeWFbyMExDEpdUNVwr2u8/nGQgfkDW2lknBlTwU+ePDHDNt&#10;L/xF/TZUIoawz1BBHYLLpPRlTQb92DriyP3azmCIsKuk7vASw00r0ySZSoMNx4YaHX3UVB63Z6Pg&#10;9Lpeb6qf3cFthoNbun7hj99GqdHT8P4GItAQ7uJ/90rH+ekkhb9v4gkyv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6ARDHEAAAA3QAAAA8AAAAAAAAAAAAAAAAAmAIAAGRycy9k&#10;b3ducmV2LnhtbFBLBQYAAAAABAAEAPUAAACJAwAAAAA=&#10;" fillcolor="#936" strokeweight=".4pt"/>
                <v:rect id="Rectangle 10" o:spid="_x0000_s1035" style="position:absolute;left:17773;top:15536;width:2997;height:35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zhqsUA&#10;AADdAAAADwAAAGRycy9kb3ducmV2LnhtbERPS2vCQBC+C/6HZYTedFOltUQ3IkJtT4qPQ72N2WkS&#10;kp3dZrcx/ffdQsHbfHzPWa5604iOWl9ZVvA4SUAQ51ZXXCg4n17HLyB8QNbYWCYFP+RhlQ0HS0y1&#10;vfGBumMoRAxhn6KCMgSXSunzkgz6iXXEkfu0rcEQYVtI3eIthptGTpPkWRqsODaU6GhTUl4fv42C&#10;r/luty+up4vb9xf35rqtrz+MUg+jfr0AEagPd/G/+13H+dOnGfx9E0+Q2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zOGqxQAAAN0AAAAPAAAAAAAAAAAAAAAAAJgCAABkcnMv&#10;ZG93bnJldi54bWxQSwUGAAAAAAQABAD1AAAAigMAAAAA&#10;" fillcolor="#936" strokeweight=".4pt"/>
                <v:rect id="Rectangle 11" o:spid="_x0000_s1036" style="position:absolute;left:28251;top:4836;width:2991;height:142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iV53sUA&#10;AADdAAAADwAAAGRycy9kb3ducmV2LnhtbERPS2vCQBC+C/6HZYTedFOxtUQ3IkJtT4qPQ72N2WkS&#10;kp3dZrcx/ffdQsHbfHzPWa5604iOWl9ZVvA4SUAQ51ZXXCg4n17HLyB8QNbYWCYFP+RhlQ0HS0y1&#10;vfGBumMoRAxhn6KCMgSXSunzkgz6iXXEkfu0rcEQYVtI3eIthptGTpPkWRqsODaU6GhTUl4fv42C&#10;r/luty+up4vb9xf35rqtrz+MUg+jfr0AEagPd/G/+13H+dOnGfx9E0+Q2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JXnexQAAAN0AAAAPAAAAAAAAAAAAAAAAAJgCAABkcnMv&#10;ZG93bnJldi54bWxQSwUGAAAAAAQABAD1AAAAigMAAAAA&#10;" fillcolor="#936" strokeweight=".4pt"/>
                <v:line id="Line 12" o:spid="_x0000_s1037" style="position:absolute;visibility:visible;mso-wrap-style:square" from="2063,3046" to="2063,191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Ps4J8MAAADdAAAADwAAAGRycy9kb3ducmV2LnhtbERPTWvCQBC9F/oflin0VjcKsWl0IyIW&#10;9dZahR6H7Jgsyc6G7Krx37uFgrd5vM+ZLwbbigv13jhWMB4lIIhLpw1XCg4/n28ZCB+QNbaOScGN&#10;PCyK56c55tpd+Zsu+1CJGMI+RwV1CF0upS9rsuhHriOO3Mn1FkOEfSV1j9cYbls5SZKptGg4NtTY&#10;0aqmstmfrQLzNd2ku/fjx1GuN2H8mzWZsQelXl+G5QxEoCE8xP/urY7zJ2kKf9/EE2Rx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D7OCfDAAAA3QAAAA8AAAAAAAAAAAAA&#10;AAAAoQIAAGRycy9kb3ducmV2LnhtbFBLBQYAAAAABAAEAPkAAACRAwAAAAA=&#10;" strokeweight="0"/>
                <v:line id="Line 13" o:spid="_x0000_s1038" style="position:absolute;visibility:visible;mso-wrap-style:square" from="1873,19111" to="2063,191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mmUMIAAADdAAAADwAAAGRycy9kb3ducmV2LnhtbERPS4vCMBC+L/gfwgje1lTBbq1GEVnR&#10;va0v8Dg0YxtsJqXJav33m4UFb/PxPWe+7Gwt7tR641jBaJiAIC6cNlwqOB037xkIH5A11o5JwZM8&#10;LBe9tznm2j14T/dDKEUMYZ+jgiqEJpfSFxVZ9EPXEEfu6lqLIcK2lLrFRwy3tRwnSSotGo4NFTa0&#10;rqi4HX6sAvOdbidfH+fpWX5uw+iS3TJjT0oN+t1qBiJQF17if/dOx/njSQp/38QT5OI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CmmUMIAAADdAAAADwAAAAAAAAAAAAAA&#10;AAChAgAAZHJzL2Rvd25yZXYueG1sUEsFBgAAAAAEAAQA+QAAAJADAAAAAA==&#10;" strokeweight="0"/>
                <v:line id="Line 14" o:spid="_x0000_s1039" style="position:absolute;visibility:visible;mso-wrap-style:square" from="1873,17327" to="2063,173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2UDy8IAAADdAAAADwAAAGRycy9kb3ducmV2LnhtbERPTYvCMBC9C/sfwgjeNFVQu9Uoy7KL&#10;elNXwePQjG2wmZQmq/XfG0HwNo/3OfNlaytxpcYbxwqGgwQEce604ULB4e+3n4LwAVlj5ZgU3MnD&#10;cvHRmWOm3Y13dN2HQsQQ9hkqKEOoMyl9XpJFP3A1ceTOrrEYImwKqRu8xXBbyVGSTKRFw7GhxJq+&#10;S8ov+3+rwGwnq/Fmevw8yp9VGJ7SS2rsQalet/2agQjUhrf45V7rOH80nsLzm3iCXDw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2UDy8IAAADdAAAADwAAAAAAAAAAAAAA&#10;AAChAgAAZHJzL2Rvd25yZXYueG1sUEsFBgAAAAAEAAQA+QAAAJADAAAAAA==&#10;" strokeweight="0"/>
                <v:line id="Line 15" o:spid="_x0000_s1040" style="position:absolute;visibility:visible;mso-wrap-style:square" from="1873,15536" to="2063,155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vqXucYAAADdAAAADwAAAGRycy9kb3ducmV2LnhtbESPT2vCQBDF74V+h2UKvdWNgppGVynF&#10;YnvzL/Q4ZMdkMTsbsqum375zELzN8N6895v5sveNulIXXWADw0EGirgM1nFl4LD/estBxYRssQlM&#10;Bv4ownLx/DTHwoYbb+m6S5WSEI4FGqhTagutY1mTxzgILbFop9B5TLJ2lbYd3iTcN3qUZRPt0bE0&#10;1NjSZ03leXfxBtxmsh7/TI/vR71ap+Fvfs6dPxjz+tJ/zEAl6tPDfL/+toI/GguufCMj6M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76l7nGAAAA3QAAAA8AAAAAAAAA&#10;AAAAAAAAoQIAAGRycy9kb3ducmV2LnhtbFBLBQYAAAAABAAEAPkAAACUAwAAAAA=&#10;" strokeweight="0"/>
                <v:line id="Line 16" o:spid="_x0000_s1041" style="position:absolute;visibility:visible;mso-wrap-style:square" from="1873,13758" to="2063,137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bYyIsIAAADdAAAADwAAAGRycy9kb3ducmV2LnhtbERPS4vCMBC+L/gfwgje1lRBt1ajiKy4&#10;3tYXeByasQ02k9JktfvvjSB4m4/vObNFaytxo8YbxwoG/QQEce604ULB8bD+TEH4gKyxckwK/snD&#10;Yt75mGGm3Z13dNuHQsQQ9hkqKEOoMyl9XpJF33c1ceQurrEYImwKqRu8x3BbyWGSjKVFw7GhxJpW&#10;JeXX/Z9VYH7Hm9H26zQ5ye9NGJzTa2rsUalet11OQQRqw1v8cv/oOH84msDzm3iCnD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bYyIsIAAADdAAAADwAAAAAAAAAAAAAA&#10;AAChAgAAZHJzL2Rvd25yZXYueG1sUEsFBgAAAAAEAAQA+QAAAJADAAAAAA==&#10;" strokeweight="0"/>
                <v:line id="Line 17" o:spid="_x0000_s1042" style="position:absolute;visibility:visible;mso-wrap-style:square" from="1873,11974" to="2063,119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uBRAsYAAADdAAAADwAAAGRycy9kb3ducmV2LnhtbESPQWvCQBCF74X+h2UK3upGwTRNXaWI&#10;RXurVqHHITtNFrOzIbvV+O87B8HbDO/Ne9/Ml4Nv1Zn66AIbmIwzUMRVsI5rA4fvj+cCVEzIFtvA&#10;ZOBKEZaLx4c5ljZceEfnfaqVhHAs0UCTUldqHauGPMZx6IhF+w29xyRrX2vb40XCfaunWZZrj46l&#10;ocGOVg1Vp/2fN+C+8s3s8+X4etTrTZr8FKfC+YMxo6fh/Q1UoiHdzbfrrRX8aS788o2MoB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7gUQLGAAAA3QAAAA8AAAAAAAAA&#10;AAAAAAAAoQIAAGRycy9kb3ducmV2LnhtbFBLBQYAAAAABAAEAPkAAACUAwAAAAA=&#10;" strokeweight="0"/>
                <v:line id="Line 18" o:spid="_x0000_s1043" style="position:absolute;visibility:visible;mso-wrap-style:square" from="1873,10189" to="2063,101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az0mcMAAADdAAAADwAAAGRycy9kb3ducmV2LnhtbERPTWvCQBC9F/wPyxS81U0E0zS6iojF&#10;eqtWweOQnSaL2dmQ3Wr6711B8DaP9zmzRW8bcaHOG8cK0lECgrh02nCl4PDz+ZaD8AFZY+OYFPyT&#10;h8V88DLDQrsr7+iyD5WIIewLVFCH0BZS+rImi37kWuLI/brOYoiwq6Tu8BrDbSPHSZJJi4ZjQ40t&#10;rWoqz/s/q8B8Z5vJ9v34cZTrTUhP+Tk39qDU8LVfTkEE6sNT/HB/6Th/nKVw/yaeIOc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Gs9JnDAAAA3QAAAA8AAAAAAAAAAAAA&#10;AAAAoQIAAGRycy9kb3ducmV2LnhtbFBLBQYAAAAABAAEAPkAAACRAwAAAAA=&#10;" strokeweight="0"/>
                <v:line id="Line 19" o:spid="_x0000_s1044" style="position:absolute;visibility:visible;mso-wrap-style:square" from="1873,8399" to="2063,83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X5q7sMAAADdAAAADwAAAGRycy9kb3ducmV2LnhtbERPTWvCQBC9F/wPyxS81Y0B0zS6iojF&#10;eqtWweOQnSaL2dmQ3Wr6711B8DaP9zmzRW8bcaHOG8cKxqMEBHHptOFKweHn8y0H4QOyxsYxKfgn&#10;D4v54GWGhXZX3tFlHyoRQ9gXqKAOoS2k9GVNFv3ItcSR+3WdxRBhV0nd4TWG20amSZJJi4ZjQ40t&#10;rWoqz/s/q8B8Z5vJ9v34cZTrTRif8nNu7EGp4Wu/nIII1Ien+OH+0nF+mqVw/yaeIOc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F+au7DAAAA3QAAAA8AAAAAAAAAAAAA&#10;AAAAoQIAAGRycy9kb3ducmV2LnhtbFBLBQYAAAAABAAEAPkAAACRAwAAAAA=&#10;" strokeweight="0"/>
                <v:line id="Line 20" o:spid="_x0000_s1045" style="position:absolute;visibility:visible;mso-wrap-style:square" from="1873,6621" to="2063,66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jLPdcMAAADdAAAADwAAAGRycy9kb3ducmV2LnhtbERPS2vCQBC+F/wPywje6kalMUZXkdKi&#10;vfkEj0N2TBazsyG71fTfu4VCb/PxPWex6mwt7tR641jBaJiAIC6cNlwqOB0/XzMQPiBrrB2Tgh/y&#10;sFr2XhaYa/fgPd0PoRQxhH2OCqoQmlxKX1Rk0Q9dQxy5q2sthgjbUuoWHzHc1nKcJKm0aDg2VNjQ&#10;e0XF7fBtFZhdunn7mp5nZ/mxCaNLdsuMPSk16HfrOYhAXfgX/7m3Os4fpxP4/SaeIJd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4yz3XDAAAA3QAAAA8AAAAAAAAAAAAA&#10;AAAAoQIAAGRycy9kb3ducmV2LnhtbFBLBQYAAAAABAAEAPkAAACRAwAAAAA=&#10;" strokeweight="0"/>
                <v:line id="Line 21" o:spid="_x0000_s1046" style="position:absolute;visibility:visible;mso-wrap-style:square" from="1873,4836" to="2063,48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dtXAcMAAADdAAAADwAAAGRycy9kb3ducmV2LnhtbERPS2vCQBC+F/wPywje6kaxMUZXkdKi&#10;vfkEj0N2TBazsyG71fTfu4VCb/PxPWex6mwt7tR641jBaJiAIC6cNlwqOB0/XzMQPiBrrB2Tgh/y&#10;sFr2XhaYa/fgPd0PoRQxhH2OCqoQmlxKX1Rk0Q9dQxy5q2sthgjbUuoWHzHc1nKcJKm0aDg2VNjQ&#10;e0XF7fBtFZhdunn7mp5nZ/mxCaNLdsuMPSk16HfrOYhAXfgX/7m3Os4fpxP4/SaeIJd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HbVwHDAAAA3QAAAA8AAAAAAAAAAAAA&#10;AAAAoQIAAGRycy9kb3ducmV2LnhtbFBLBQYAAAAABAAEAPkAAACRAwAAAAA=&#10;" strokeweight="0"/>
                <v:line id="Line 22" o:spid="_x0000_s1047" style="position:absolute;visibility:visible;mso-wrap-style:square" from="1873,3046" to="2063,30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fymsIAAADdAAAADwAAAGRycy9kb3ducmV2LnhtbERPS4vCMBC+L/gfwgje1lTBbq1GEVnR&#10;va0v8Dg0YxtsJqXJav33m4UFb/PxPWe+7Gwt7tR641jBaJiAIC6cNlwqOB037xkIH5A11o5JwZM8&#10;LBe9tznm2j14T/dDKEUMYZ+jgiqEJpfSFxVZ9EPXEEfu6lqLIcK2lLrFRwy3tRwnSSotGo4NFTa0&#10;rqi4HX6sAvOdbidfH+fpWX5uw+iS3TJjT0oN+t1qBiJQF17if/dOx/njdAJ/38QT5OI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fymsIAAADdAAAADwAAAAAAAAAAAAAA&#10;AAChAgAAZHJzL2Rvd25yZXYueG1sUEsFBgAAAAAEAAQA+QAAAJADAAAAAA==&#10;" strokeweight="0"/>
                <v:line id="Line 23" o:spid="_x0000_s1048" style="position:absolute;visibility:visible;mso-wrap-style:square" from="2063,19111" to="33483,191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kVs7cMAAADdAAAADwAAAGRycy9kb3ducmV2LnhtbERPTWvCQBC9C/0PywjedKNgmkZXKWLR&#10;3tpUweOQHZPF7GzIbjX++64g9DaP9znLdW8bcaXOG8cKppMEBHHptOFKweHnY5yB8AFZY+OYFNzJ&#10;w3r1Mlhirt2Nv+lahErEEPY5KqhDaHMpfVmTRT9xLXHkzq6zGCLsKqk7vMVw28hZkqTSouHYUGNL&#10;m5rKS/FrFZivdDf/fD2+HeV2F6an7JIZe1BqNOzfFyAC9eFf/HTvdZw/S1N4fBNPkK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5FbO3DAAAA3QAAAA8AAAAAAAAAAAAA&#10;AAAAoQIAAGRycy9kb3ducmV2LnhtbFBLBQYAAAAABAAEAPkAAACRAwAAAAA=&#10;" strokeweight="0"/>
                <v:line id="Line 24" o:spid="_x0000_s1049" style="position:absolute;flip:y;visibility:visible;mso-wrap-style:square" from="2063,19111" to="2063,193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W+McUAAADdAAAADwAAAGRycy9kb3ducmV2LnhtbERPTWsCMRC9F/ofwgi91aweVLZGkZaW&#10;Uqjith56GzfT3cXNZEmiG/+9EQRv83ifM19G04oTOd9YVjAaZiCIS6sbrhT8/rw/z0D4gKyxtUwK&#10;zuRhuXh8mGOubc9bOhWhEimEfY4K6hC6XEpf1mTQD21HnLh/6wyGBF0ltcM+hZtWjrNsIg02nBpq&#10;7Oi1pvJQHI2C7XrKe/dxjIe47783f7vqa/e2UuppEFcvIALFcBff3J86zR9PpnD9Jp0gF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W+McUAAADdAAAADwAAAAAAAAAA&#10;AAAAAAChAgAAZHJzL2Rvd25yZXYueG1sUEsFBgAAAAAEAAQA+QAAAJMDAAAAAA==&#10;" strokeweight="0"/>
                <v:line id="Line 25" o:spid="_x0000_s1050" style="position:absolute;flip:y;visibility:visible;mso-wrap-style:square" from="12534,19111" to="12534,193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2oqQ8gAAADdAAAADwAAAGRycy9kb3ducmV2LnhtbESPQU8CMRCF7yb8h2ZIvElXDmhWCiES&#10;jDFRA8qB27Addjdsp5u2sPXfOwcTbzN5b977Zr7MrlNXCrH1bOB+UoAirrxtuTbw/bW5ewQVE7LF&#10;zjMZ+KEIy8XoZo6l9QNv6bpLtZIQjiUaaFLqS61j1ZDDOPE9sWgnHxwmWUOtbcBBwl2np0Ux0w5b&#10;loYGe3puqDrvLs7A9uOBj+Hlks/5OLx/Hvb12369MuZ2nFdPoBLl9G/+u361gj+dCa58IyPoxS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i2oqQ8gAAADdAAAADwAAAAAA&#10;AAAAAAAAAAChAgAAZHJzL2Rvd25yZXYueG1sUEsFBgAAAAAEAAQA+QAAAJYDAAAAAA==&#10;" strokeweight="0"/>
                <v:line id="Line 26" o:spid="_x0000_s1051" style="position:absolute;flip:y;visibility:visible;mso-wrap-style:square" from="23012,19111" to="23012,193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CaP2MUAAADdAAAADwAAAGRycy9kb3ducmV2LnhtbERPS2sCMRC+F/ofwgi91awerK5GkZaW&#10;UmjF18HbuBl3FzeTJYlu+u+bguBtPr7nzBbRNOJKzteWFQz6GQjiwuqaSwW77fvzGIQPyBoby6Tg&#10;lzws5o8PM8y17XhN100oRQphn6OCKoQ2l9IXFRn0fdsSJ+5kncGQoCuldtilcNPIYZaNpMGaU0OF&#10;Lb1WVJw3F6Ng/fPCR/dxied47L5Xh335tX9bKvXUi8spiEAx3MU396dO84ejCfx/k06Q8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CaP2MUAAADdAAAADwAAAAAAAAAA&#10;AAAAAAChAgAAZHJzL2Rvd25yZXYueG1sUEsFBgAAAAAEAAQA+QAAAJMDAAAAAA==&#10;" strokeweight="0"/>
                <v:line id="Line 27" o:spid="_x0000_s1052" style="position:absolute;flip:y;visibility:visible;mso-wrap-style:square" from="33483,19111" to="33483,193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MWwmMgAAADdAAAADwAAAGRycy9kb3ducmV2LnhtbESPQU8CMRCF7yb8h2ZIvElXDmJWCiES&#10;jDFRA8qB27Addjdsp5u2sPXfOwcTbzN5b977Zr7MrlNXCrH1bOB+UoAirrxtuTbw/bW5ewQVE7LF&#10;zjMZ+KEIy8XoZo6l9QNv6bpLtZIQjiUaaFLqS61j1ZDDOPE9sWgnHxwmWUOtbcBBwl2np0XxoB22&#10;LA0N9vTcUHXeXZyB7ceMj+Hlks/5OLx/Hvb12369MuZ2nFdPoBLl9G/+u361gj+dCb98IyPoxS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8MWwmMgAAADdAAAADwAAAAAA&#10;AAAAAAAAAAChAgAAZHJzL2Rvd25yZXYueG1sUEsFBgAAAAAEAAQA+QAAAJYDAAAAAA==&#10;" strokeweight="0"/>
                <v:rect id="Rectangle 28" o:spid="_x0000_s1053" style="position:absolute;left:8318;top:360;width:18936;height:12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AExsAA&#10;AADdAAAADwAAAGRycy9kb3ducmV2LnhtbERPzYrCMBC+L/gOYQRva2oPrnSNsiwIKl6sPsDQTH/Y&#10;ZFKSaOvbG0HY23x8v7PejtaIO/nQOVawmGcgiCunO24UXC+7zxWIEJE1Gsek4EEBtpvJxxoL7QY+&#10;072MjUghHApU0MbYF1KGqiWLYe564sTVzluMCfpGao9DCrdG5lm2lBY7Tg0t9vTbUvVX3qwCeSl3&#10;w6o0PnPHvD6Zw/5ck1NqNh1/vkFEGuO/+O3e6zQ//1rA65t0gtw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EAExsAAAADdAAAADwAAAAAAAAAAAAAAAACYAgAAZHJzL2Rvd25y&#10;ZXYueG1sUEsFBgAAAAAEAAQA9QAAAIUDAAAAAA==&#10;" filled="f" stroked="f">
                  <v:textbox style="mso-fit-shape-to-text:t" inset="0,0,0,0">
                    <w:txbxContent>
                      <w:p w:rsidR="008153D9" w:rsidRPr="00C2475E" w:rsidRDefault="008153D9" w:rsidP="000E0845">
                        <w:pPr>
                          <w:rPr>
                            <w:sz w:val="18"/>
                            <w:szCs w:val="18"/>
                          </w:rPr>
                        </w:pPr>
                        <w:r w:rsidRPr="00C2475E">
                          <w:rPr>
                            <w:rFonts w:ascii="Arial" w:hAnsi="Arial" w:cs="Arial"/>
                            <w:b/>
                            <w:bCs/>
                            <w:color w:val="000000"/>
                            <w:sz w:val="18"/>
                            <w:szCs w:val="18"/>
                            <w:lang w:val="en-US"/>
                          </w:rPr>
                          <w:t xml:space="preserve">Quality of </w:t>
                        </w:r>
                        <w:r>
                          <w:rPr>
                            <w:rFonts w:ascii="Arial" w:hAnsi="Arial" w:cs="Arial"/>
                            <w:b/>
                            <w:bCs/>
                            <w:color w:val="000000"/>
                            <w:sz w:val="18"/>
                            <w:szCs w:val="18"/>
                            <w:lang w:val="en-US"/>
                          </w:rPr>
                          <w:t>i</w:t>
                        </w:r>
                        <w:r w:rsidRPr="00C2475E">
                          <w:rPr>
                            <w:rFonts w:ascii="Arial" w:hAnsi="Arial" w:cs="Arial"/>
                            <w:b/>
                            <w:bCs/>
                            <w:color w:val="000000"/>
                            <w:sz w:val="18"/>
                            <w:szCs w:val="18"/>
                            <w:lang w:val="en-US"/>
                          </w:rPr>
                          <w:t>nitiatives 2009 and 2010</w:t>
                        </w:r>
                      </w:p>
                    </w:txbxContent>
                  </v:textbox>
                </v:rect>
                <v:rect id="Rectangle 29" o:spid="_x0000_s1054" style="position:absolute;left:1250;top:18754;width:356;height:73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KascAA&#10;AADdAAAADwAAAGRycy9kb3ducmV2LnhtbERPzYrCMBC+C75DGGFvmtqDK12jiCCo7MW6DzA00x9M&#10;JiWJtr69WVjY23x8v7PZjdaIJ/nQOVawXGQgiCunO24U/NyO8zWIEJE1Gsek4EUBdtvpZIOFdgNf&#10;6VnGRqQQDgUqaGPsCylD1ZLFsHA9ceJq5y3GBH0jtcchhVsj8yxbSYsdp4YWezq0VN3Lh1Ugb+Vx&#10;WJfGZ+6S19/mfLrW5JT6mI37LxCRxvgv/nOfdJqff+bw+006QW7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JKascAAAADdAAAADwAAAAAAAAAAAAAAAACYAgAAZHJzL2Rvd25y&#10;ZXYueG1sUEsFBgAAAAAEAAQA9QAAAIUDAAAAAA==&#10;" filled="f" stroked="f">
                  <v:textbox style="mso-fit-shape-to-text:t" inset="0,0,0,0">
                    <w:txbxContent>
                      <w:p w:rsidR="008153D9" w:rsidRDefault="008153D9" w:rsidP="006B6177">
                        <w:r>
                          <w:rPr>
                            <w:rFonts w:ascii="Arial" w:hAnsi="Arial" w:cs="Arial"/>
                            <w:color w:val="000000"/>
                            <w:sz w:val="10"/>
                            <w:szCs w:val="10"/>
                            <w:lang w:val="en-US"/>
                          </w:rPr>
                          <w:t>0</w:t>
                        </w:r>
                      </w:p>
                    </w:txbxContent>
                  </v:textbox>
                </v:rect>
                <v:rect id="Rectangle 30" o:spid="_x0000_s1055" style="position:absolute;left:1250;top:16964;width:356;height:7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94/KsAA&#10;AADdAAAADwAAAGRycy9kb3ducmV2LnhtbERP22oCMRB9F/yHMIJvmnWFVlajiCDY0hdXP2DYzF4w&#10;mSxJdLd/3xQKfZvDuc7uMFojXuRD51jBapmBIK6c7rhRcL+dFxsQISJrNI5JwTcFOOynkx0W2g18&#10;pVcZG5FCOBSooI2xL6QMVUsWw9L1xImrnbcYE/SN1B6HFG6NzLPsTVrsODW02NOppepRPq0CeSvP&#10;w6Y0PnOfef1lPi7XmpxS89l43IKINMZ/8Z/7otP8/H0Nv9+kE+T+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94/KsAAAADdAAAADwAAAAAAAAAAAAAAAACYAgAAZHJzL2Rvd25y&#10;ZXYueG1sUEsFBgAAAAAEAAQA9QAAAIUDAAAAAA==&#10;" filled="f" stroked="f">
                  <v:textbox style="mso-fit-shape-to-text:t" inset="0,0,0,0">
                    <w:txbxContent>
                      <w:p w:rsidR="008153D9" w:rsidRDefault="008153D9" w:rsidP="006B6177">
                        <w:r>
                          <w:rPr>
                            <w:rFonts w:ascii="Arial" w:hAnsi="Arial" w:cs="Arial"/>
                            <w:color w:val="000000"/>
                            <w:sz w:val="10"/>
                            <w:szCs w:val="10"/>
                            <w:lang w:val="en-US"/>
                          </w:rPr>
                          <w:t>1</w:t>
                        </w:r>
                      </w:p>
                    </w:txbxContent>
                  </v:textbox>
                </v:rect>
                <v:rect id="Rectangle 31" o:spid="_x0000_s1056" style="position:absolute;left:1250;top:15180;width:356;height:7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enXsAA&#10;AADdAAAADwAAAGRycy9kb3ducmV2LnhtbERP22oCMRB9F/yHMIJvmnWRVlajiCDY0hdXP2DYzF4w&#10;mSxJdLd/3xQKfZvDuc7uMFojXuRD51jBapmBIK6c7rhRcL+dFxsQISJrNI5JwTcFOOynkx0W2g18&#10;pVcZG5FCOBSooI2xL6QMVUsWw9L1xImrnbcYE/SN1B6HFG6NzLPsTVrsODW02NOppepRPq0CeSvP&#10;w6Y0PnOfef1lPi7XmpxS89l43IKINMZ/8Z/7otP8/H0Nv9+kE+T+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DenXsAAAADdAAAADwAAAAAAAAAAAAAAAACYAgAAZHJzL2Rvd25y&#10;ZXYueG1sUEsFBgAAAAAEAAQA9QAAAIUDAAAAAA==&#10;" filled="f" stroked="f">
                  <v:textbox style="mso-fit-shape-to-text:t" inset="0,0,0,0">
                    <w:txbxContent>
                      <w:p w:rsidR="008153D9" w:rsidRDefault="008153D9" w:rsidP="006B6177">
                        <w:r>
                          <w:rPr>
                            <w:rFonts w:ascii="Arial" w:hAnsi="Arial" w:cs="Arial"/>
                            <w:color w:val="000000"/>
                            <w:sz w:val="10"/>
                            <w:szCs w:val="10"/>
                            <w:lang w:val="en-US"/>
                          </w:rPr>
                          <w:t>2</w:t>
                        </w:r>
                      </w:p>
                    </w:txbxContent>
                  </v:textbox>
                </v:rect>
                <v:rect id="Rectangle 32" o:spid="_x0000_s1057" style="position:absolute;left:1250;top:13402;width:356;height:7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3sCxcAA&#10;AADdAAAADwAAAGRycy9kb3ducmV2LnhtbERP22oCMRB9F/yHMIJvmnXBVlajiCDY0hdXP2DYzF4w&#10;mSxJdLd/3xQKfZvDuc7uMFojXuRD51jBapmBIK6c7rhRcL+dFxsQISJrNI5JwTcFOOynkx0W2g18&#10;pVcZG5FCOBSooI2xL6QMVUsWw9L1xImrnbcYE/SN1B6HFG6NzLPsTVrsODW02NOppepRPq0CeSvP&#10;w6Y0PnOfef1lPi7XmpxS89l43IKINMZ/8Z/7otP8/H0Nv9+kE+T+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3sCxcAAAADdAAAADwAAAAAAAAAAAAAAAACYAgAAZHJzL2Rvd25y&#10;ZXYueG1sUEsFBgAAAAAEAAQA9QAAAIUDAAAAAA==&#10;" filled="f" stroked="f">
                  <v:textbox style="mso-fit-shape-to-text:t" inset="0,0,0,0">
                    <w:txbxContent>
                      <w:p w:rsidR="008153D9" w:rsidRDefault="008153D9" w:rsidP="006B6177">
                        <w:r>
                          <w:rPr>
                            <w:rFonts w:ascii="Arial" w:hAnsi="Arial" w:cs="Arial"/>
                            <w:color w:val="000000"/>
                            <w:sz w:val="10"/>
                            <w:szCs w:val="10"/>
                            <w:lang w:val="en-US"/>
                          </w:rPr>
                          <w:t>3</w:t>
                        </w:r>
                      </w:p>
                    </w:txbxContent>
                  </v:textbox>
                </v:rect>
                <v:rect id="Rectangle 33" o:spid="_x0000_s1058" style="position:absolute;left:1250;top:11617;width:356;height:73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6mcssAA&#10;AADdAAAADwAAAGRycy9kb3ducmV2LnhtbERPzYrCMBC+C/sOYYS9aWoPrlSjiCC44sXqAwzN9AeT&#10;SUmytvv2ZkHY23x8v7PZjdaIJ/nQOVawmGcgiCunO24U3G/H2QpEiMgajWNS8EsBdtuPyQYL7Qa+&#10;0rOMjUghHApU0MbYF1KGqiWLYe564sTVzluMCfpGao9DCrdG5lm2lBY7Tg0t9nRoqXqUP1aBvJXH&#10;YVUan7lzXl/M9+lak1Pqczru1yAijfFf/HafdJqffy3h75t0gty+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6mcssAAAADdAAAADwAAAAAAAAAAAAAAAACYAgAAZHJzL2Rvd25y&#10;ZXYueG1sUEsFBgAAAAAEAAQA9QAAAIUDAAAAAA==&#10;" filled="f" stroked="f">
                  <v:textbox style="mso-fit-shape-to-text:t" inset="0,0,0,0">
                    <w:txbxContent>
                      <w:p w:rsidR="008153D9" w:rsidRDefault="008153D9" w:rsidP="006B6177">
                        <w:r>
                          <w:rPr>
                            <w:rFonts w:ascii="Arial" w:hAnsi="Arial" w:cs="Arial"/>
                            <w:color w:val="000000"/>
                            <w:sz w:val="10"/>
                            <w:szCs w:val="10"/>
                            <w:lang w:val="en-US"/>
                          </w:rPr>
                          <w:t>4</w:t>
                        </w:r>
                      </w:p>
                    </w:txbxContent>
                  </v:textbox>
                </v:rect>
                <v:rect id="Rectangle 34" o:spid="_x0000_s1059" style="position:absolute;left:1250;top:9827;width:356;height:7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qtW8QA&#10;AADdAAAADwAAAGRycy9kb3ducmV2LnhtbESPzWoDMQyE74W8g1Ght8bbPbRhGyeEQCANvWSTBxBr&#10;7Q+15cV2stu3jw6F3iRmNPNpvZ29U3eKaQhs4G1ZgCJugh24M3C9HF5XoFJGtugCk4FfSrDdLJ7W&#10;WNkw8Znude6UhHCq0ECf81hpnZqePKZlGIlFa0P0mGWNnbYRJwn3TpdF8a49DiwNPY6076n5qW/e&#10;gL7Uh2lVu1iEU9l+u6/juaVgzMvzvPsElWnO/+a/66MV/PJDcOUbGUFv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l6rVvEAAAA3QAAAA8AAAAAAAAAAAAAAAAAmAIAAGRycy9k&#10;b3ducmV2LnhtbFBLBQYAAAAABAAEAPUAAACJAwAAAAA=&#10;" filled="f" stroked="f">
                  <v:textbox style="mso-fit-shape-to-text:t" inset="0,0,0,0">
                    <w:txbxContent>
                      <w:p w:rsidR="008153D9" w:rsidRDefault="008153D9" w:rsidP="006B6177">
                        <w:r>
                          <w:rPr>
                            <w:rFonts w:ascii="Arial" w:hAnsi="Arial" w:cs="Arial"/>
                            <w:color w:val="000000"/>
                            <w:sz w:val="10"/>
                            <w:szCs w:val="10"/>
                            <w:lang w:val="en-US"/>
                          </w:rPr>
                          <w:t>5</w:t>
                        </w:r>
                      </w:p>
                    </w:txbxContent>
                  </v:textbox>
                </v:rect>
                <v:rect id="Rectangle 35" o:spid="_x0000_s1060" style="position:absolute;left:1250;top:8043;width:356;height:7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YIwMEA&#10;AADdAAAADwAAAGRycy9kb3ducmV2LnhtbERPzWoCMRC+F3yHMIK3mnUPVlejiCBo6cXVBxg2sz+Y&#10;TJYkdbdvbwqF3ubj+53tfrRGPMmHzrGCxTwDQVw53XGj4H47va9AhIis0TgmBT8UYL+bvG2x0G7g&#10;Kz3L2IgUwqFABW2MfSFlqFqyGOauJ05c7bzFmKBvpPY4pHBrZJ5lS2mx49TQYk/HlqpH+W0VyFt5&#10;Glal8Zn7zOsvczlfa3JKzabjYQMi0hj/xX/us07z8481/H6TTpC7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Y2CMDBAAAA3QAAAA8AAAAAAAAAAAAAAAAAmAIAAGRycy9kb3du&#10;cmV2LnhtbFBLBQYAAAAABAAEAPUAAACGAwAAAAA=&#10;" filled="f" stroked="f">
                  <v:textbox style="mso-fit-shape-to-text:t" inset="0,0,0,0">
                    <w:txbxContent>
                      <w:p w:rsidR="008153D9" w:rsidRDefault="008153D9" w:rsidP="006B6177">
                        <w:r>
                          <w:rPr>
                            <w:rFonts w:ascii="Arial" w:hAnsi="Arial" w:cs="Arial"/>
                            <w:color w:val="000000"/>
                            <w:sz w:val="10"/>
                            <w:szCs w:val="10"/>
                            <w:lang w:val="en-US"/>
                          </w:rPr>
                          <w:t>6</w:t>
                        </w:r>
                      </w:p>
                    </w:txbxContent>
                  </v:textbox>
                </v:rect>
                <v:rect id="Rectangle 36" o:spid="_x0000_s1061" style="position:absolute;left:1250;top:6265;width:356;height:7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nResMA&#10;AADdAAAADwAAAGRycy9kb3ducmV2LnhtbESPzWrDMBCE74W+g9hCbo1cH4pxo4QQCKShlzh9gMVa&#10;/1BpZSQ1dt8+ewj0tsvMzny72S3eqRvFNAY28LYuQBG3wY7cG/i+Hl8rUCkjW3SBycAfJdhtn582&#10;WNsw84VuTe6VhHCq0cCQ81RrndqBPKZ1mIhF60L0mGWNvbYRZwn3TpdF8a49jiwNA050GKj9aX69&#10;AX1tjnPVuFiEc9l9uc/TpaNgzOpl2X+AyrTkf/Pj+mQFv6yEX76REfT2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tnResMAAADdAAAADwAAAAAAAAAAAAAAAACYAgAAZHJzL2Rv&#10;d25yZXYueG1sUEsFBgAAAAAEAAQA9QAAAIgDAAAAAA==&#10;" filled="f" stroked="f">
                  <v:textbox style="mso-fit-shape-to-text:t" inset="0,0,0,0">
                    <w:txbxContent>
                      <w:p w:rsidR="008153D9" w:rsidRDefault="008153D9" w:rsidP="006B6177">
                        <w:r>
                          <w:rPr>
                            <w:rFonts w:ascii="Arial" w:hAnsi="Arial" w:cs="Arial"/>
                            <w:color w:val="000000"/>
                            <w:sz w:val="10"/>
                            <w:szCs w:val="10"/>
                            <w:lang w:val="en-US"/>
                          </w:rPr>
                          <w:t>7</w:t>
                        </w:r>
                      </w:p>
                    </w:txbxContent>
                  </v:textbox>
                </v:rect>
                <v:rect id="Rectangle 37" o:spid="_x0000_s1062" style="position:absolute;left:1250;top:2690;width:356;height:7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V04cAA&#10;AADdAAAADwAAAGRycy9kb3ducmV2LnhtbERPzYrCMBC+C/sOYRa8aWoPUrpGWRYEFS/WfYChmf6w&#10;yaQk0da3N4Kwt/n4fmezm6wRd/Khd6xgtcxAENdO99wq+L3uFwWIEJE1Gsek4EEBdtuP2QZL7Ua+&#10;0L2KrUghHEpU0MU4lFKGuiOLYekG4sQ1zluMCfpWao9jCrdG5lm2lhZ7Tg0dDvTTUf1X3awCea32&#10;Y1EZn7lT3pzN8XBpyCk1/5y+v0BEmuK/+O0+6DQ/L1bw+iadIL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ZV04cAAAADdAAAADwAAAAAAAAAAAAAAAACYAgAAZHJzL2Rvd25y&#10;ZXYueG1sUEsFBgAAAAAEAAQA9QAAAIUDAAAAAA==&#10;" filled="f" stroked="f">
                  <v:textbox style="mso-fit-shape-to-text:t" inset="0,0,0,0">
                    <w:txbxContent>
                      <w:p w:rsidR="008153D9" w:rsidRDefault="008153D9" w:rsidP="006B6177">
                        <w:r>
                          <w:rPr>
                            <w:rFonts w:ascii="Arial" w:hAnsi="Arial" w:cs="Arial"/>
                            <w:color w:val="000000"/>
                            <w:sz w:val="10"/>
                            <w:szCs w:val="10"/>
                            <w:lang w:val="en-US"/>
                          </w:rPr>
                          <w:t>9</w:t>
                        </w:r>
                      </w:p>
                    </w:txbxContent>
                  </v:textbox>
                </v:rect>
                <v:rect id="Rectangle 38" o:spid="_x0000_s1063" style="position:absolute;left:5073;top:19822;width:5315;height:231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lzZcMA&#10;AADdAAAADwAAAGRycy9kb3ducmV2LnhtbERP22oCMRB9L/gPYYS+1ewuRXRrFBXEIvjg5QOGzXSz&#10;7WayJqlu/74RBN/mcK4zW/S2FVfyoXGsIB9lIIgrpxuuFZxPm7cJiBCRNbaOScEfBVjMBy8zLLW7&#10;8YGux1iLFMKhRAUmxq6UMlSGLIaR64gT9+W8xZigr6X2eEvhtpVFlo2lxYZTg8GO1oaqn+OvVUCr&#10;7WH6vQxmL30e8v1uPH3fXpR6HfbLDxCR+vgUP9yfOs0vJgXcv0knyP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blzZcMAAADdAAAADwAAAAAAAAAAAAAAAACYAgAAZHJzL2Rv&#10;d25yZXYueG1sUEsFBgAAAAAEAAQA9QAAAIgDAAAAAA==&#10;" filled="f" stroked="f">
                  <v:textbox inset="0,0,0,0">
                    <w:txbxContent>
                      <w:p w:rsidR="008153D9" w:rsidRDefault="008153D9" w:rsidP="006B6177">
                        <w:r w:rsidRPr="00C2475E">
                          <w:rPr>
                            <w:rFonts w:ascii="Arial" w:hAnsi="Arial" w:cs="Arial"/>
                            <w:color w:val="000000"/>
                            <w:sz w:val="16"/>
                            <w:szCs w:val="16"/>
                            <w:lang w:val="en-US"/>
                          </w:rPr>
                          <w:t xml:space="preserve">High </w:t>
                        </w:r>
                        <w:r>
                          <w:rPr>
                            <w:rFonts w:ascii="Arial" w:hAnsi="Arial" w:cs="Arial"/>
                            <w:color w:val="000000"/>
                            <w:sz w:val="16"/>
                            <w:szCs w:val="16"/>
                            <w:lang w:val="en-US"/>
                          </w:rPr>
                          <w:t>q</w:t>
                        </w:r>
                        <w:r w:rsidRPr="00C2475E">
                          <w:rPr>
                            <w:rFonts w:ascii="Arial" w:hAnsi="Arial" w:cs="Arial"/>
                            <w:color w:val="000000"/>
                            <w:sz w:val="16"/>
                            <w:szCs w:val="16"/>
                            <w:lang w:val="en-US"/>
                          </w:rPr>
                          <w:t>uality</w:t>
                        </w:r>
                      </w:p>
                    </w:txbxContent>
                  </v:textbox>
                </v:rect>
                <v:rect id="Rectangle 39" o:spid="_x0000_s1064" style="position:absolute;left:12941;top:19740;width:10071;height:34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5ZRcQA&#10;AADdAAAADwAAAGRycy9kb3ducmV2LnhtbERPTWvCQBC9F/wPywi91U0jlBhdJWglHlsVbG9DdkxC&#10;s7Mhu03S/vpuQfA2j/c5q81oGtFT52rLCp5nEQjiwuqaSwXn0/4pAeE8ssbGMin4IQeb9eRhham2&#10;A79Tf/SlCCHsUlRQed+mUrqiIoNuZlviwF1tZ9AH2JVSdziEcNPIOIpepMGaQ0OFLW0rKr6O30ZB&#10;nrTZx8H+DmXz+plf3i6L3WnhlXqcjtkShKfR38U390GH+XEyh/9vwgl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luWUXEAAAA3QAAAA8AAAAAAAAAAAAAAAAAmAIAAGRycy9k&#10;b3ducmV2LnhtbFBLBQYAAAAABAAEAPUAAACJAwAAAAA=&#10;" filled="f" stroked="f">
                  <v:textbox inset="0,0,0,0">
                    <w:txbxContent>
                      <w:p w:rsidR="008153D9" w:rsidRDefault="008153D9" w:rsidP="006B6177">
                        <w:pPr>
                          <w:jc w:val="center"/>
                        </w:pPr>
                        <w:r w:rsidRPr="00C2475E">
                          <w:rPr>
                            <w:rFonts w:ascii="Arial" w:hAnsi="Arial" w:cs="Arial"/>
                            <w:color w:val="000000"/>
                            <w:sz w:val="16"/>
                            <w:szCs w:val="16"/>
                            <w:lang w:val="en-US"/>
                          </w:rPr>
                          <w:t>Acceptable/moderate</w:t>
                        </w:r>
                        <w:r>
                          <w:rPr>
                            <w:rFonts w:ascii="Arial" w:hAnsi="Arial" w:cs="Arial"/>
                            <w:color w:val="000000"/>
                            <w:sz w:val="16"/>
                            <w:szCs w:val="16"/>
                            <w:lang w:val="en-US"/>
                          </w:rPr>
                          <w:t xml:space="preserve"> quality</w:t>
                        </w:r>
                      </w:p>
                      <w:p w:rsidR="008153D9" w:rsidRDefault="008153D9" w:rsidP="000E0845"/>
                    </w:txbxContent>
                  </v:textbox>
                </v:rect>
                <v:rect id="Rectangle 40" o:spid="_x0000_s1065" style="position:absolute;left:25850;top:19740;width:5995;height:38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fBMcQA&#10;AADdAAAADwAAAGRycy9kb3ducmV2LnhtbERPTWvCQBC9F/wPywi91U2DlBhdJWglHlsVbG9DdkxC&#10;s7Mhu03S/vpuQfA2j/c5q81oGtFT52rLCp5nEQjiwuqaSwXn0/4pAeE8ssbGMin4IQeb9eRhham2&#10;A79Tf/SlCCHsUlRQed+mUrqiIoNuZlviwF1tZ9AH2JVSdziEcNPIOIpepMGaQ0OFLW0rKr6O30ZB&#10;nrTZx8H+DmXz+plf3i6L3WnhlXqcjtkShKfR38U390GH+XEyh/9vwgl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aHwTHEAAAA3QAAAA8AAAAAAAAAAAAAAAAAmAIAAGRycy9k&#10;b3ducmV2LnhtbFBLBQYAAAAABAAEAPUAAACJAwAAAAA=&#10;" filled="f" stroked="f">
                  <v:textbox inset="0,0,0,0">
                    <w:txbxContent>
                      <w:p w:rsidR="008153D9" w:rsidRDefault="008153D9" w:rsidP="006B6177">
                        <w:pPr>
                          <w:jc w:val="center"/>
                        </w:pPr>
                        <w:r w:rsidRPr="001A72F5">
                          <w:rPr>
                            <w:rFonts w:ascii="Arial" w:hAnsi="Arial" w:cs="Arial"/>
                            <w:sz w:val="16"/>
                            <w:szCs w:val="16"/>
                            <w:lang w:val="en-US"/>
                          </w:rPr>
                          <w:t>Need</w:t>
                        </w:r>
                        <w:r>
                          <w:rPr>
                            <w:rFonts w:ascii="Arial" w:hAnsi="Arial" w:cs="Arial"/>
                            <w:sz w:val="16"/>
                            <w:szCs w:val="16"/>
                            <w:lang w:val="en-US"/>
                          </w:rPr>
                          <w:t>s</w:t>
                        </w:r>
                        <w:r w:rsidRPr="001A72F5">
                          <w:rPr>
                            <w:rFonts w:ascii="Arial" w:hAnsi="Arial" w:cs="Arial"/>
                            <w:sz w:val="16"/>
                            <w:szCs w:val="16"/>
                            <w:lang w:val="en-US"/>
                          </w:rPr>
                          <w:t xml:space="preserve"> improvement</w:t>
                        </w:r>
                      </w:p>
                      <w:p w:rsidR="008153D9" w:rsidRDefault="008153D9" w:rsidP="000E0845"/>
                    </w:txbxContent>
                  </v:textbox>
                </v:rect>
                <v:rect id="Rectangle 41" o:spid="_x0000_s1066" style="position:absolute;left:12439;top:-4223;width:6671;height:31204;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FN3MMA&#10;AADdAAAADwAAAGRycy9kb3ducmV2LnhtbERPS2vCQBC+C/0PyxR6M5vaByG6iohKqRAw7aHHITsm&#10;odnZmF1N8u+7QsHbfHzPWawG04grda62rOA5ikEQF1bXXCr4/tpNExDOI2tsLJOCkRyslg+TBaba&#10;9nyka+5LEULYpaig8r5NpXRFRQZdZFviwJ1sZ9AH2JVSd9iHcNPIWRy/S4M1h4YKW9pUVPzmF6PA&#10;mdcsOTf7LWf6gDi8bD5/xlGpp8dhPQfhafB38b/7Q4f5s+QNbt+EE+Ty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mFN3MMAAADdAAAADwAAAAAAAAAAAAAAAACYAgAAZHJzL2Rv&#10;d25yZXYueG1sUEsFBgAAAAAEAAQA9QAAAIgDAAAAAA==&#10;" filled="f" stroked="f">
                  <v:textbox style="layout-flow:vertical;mso-layout-flow-alt:bottom-to-top" inset="0,0,0,0">
                    <w:txbxContent>
                      <w:p w:rsidR="008153D9" w:rsidRDefault="008153D9" w:rsidP="006B6177">
                        <w:r w:rsidRPr="00C2475E">
                          <w:rPr>
                            <w:rFonts w:ascii="Arial" w:hAnsi="Arial" w:cs="Arial"/>
                            <w:color w:val="000000"/>
                            <w:sz w:val="16"/>
                            <w:szCs w:val="16"/>
                            <w:lang w:val="en-US"/>
                          </w:rPr>
                          <w:t>N</w:t>
                        </w:r>
                        <w:r>
                          <w:rPr>
                            <w:rFonts w:ascii="Arial" w:hAnsi="Arial" w:cs="Arial"/>
                            <w:color w:val="000000"/>
                            <w:sz w:val="16"/>
                            <w:szCs w:val="16"/>
                            <w:lang w:val="en-US"/>
                          </w:rPr>
                          <w:t>o. ini</w:t>
                        </w:r>
                        <w:r w:rsidRPr="00C2475E">
                          <w:rPr>
                            <w:rFonts w:ascii="Arial" w:hAnsi="Arial" w:cs="Arial"/>
                            <w:color w:val="000000"/>
                            <w:sz w:val="16"/>
                            <w:szCs w:val="16"/>
                            <w:lang w:val="en-US"/>
                          </w:rPr>
                          <w:t>tiatives</w:t>
                        </w:r>
                      </w:p>
                    </w:txbxContent>
                  </v:textbox>
                </v:rect>
                <v:rect id="Rectangle 42" o:spid="_x0000_s1067" style="position:absolute;left:33889;top:10069;width:4160;height:31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R8MsIA&#10;AADdAAAADwAAAGRycy9kb3ducmV2LnhtbERPS4vCMBC+C/sfwizsTVM9SKlGaQVxD3vxAfY4NGNT&#10;bCbdJqvdf28Ewdt8fM9Zrgfbihv1vnGsYDpJQBBXTjdcKzgdt+MUhA/IGlvHpOCfPKxXH6MlZtrd&#10;eU+3Q6hFDGGfoQITQpdJ6StDFv3EdcSRu7jeYoiwr6Xu8R7DbStnSTKXFhuODQY72hiqroc/q4Da&#10;3+05TfN9uSuKKul0aXY/pVJfn0O+ABFoCG/xy/2t4/xZOofnN/EEuXo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RHwywgAAAN0AAAAPAAAAAAAAAAAAAAAAAJgCAABkcnMvZG93&#10;bnJldi54bWxQSwUGAAAAAAQABAD1AAAAhwMAAAAA&#10;" strokeweight="0"/>
                <v:rect id="Rectangle 43" o:spid="_x0000_s1068" style="position:absolute;left:34112;top:10386;width:438;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1lwVcUA&#10;AADdAAAADwAAAGRycy9kb3ducmV2LnhtbERPTWvCQBC9F/wPyxR6KXVTD61EV4mFgDmUYrT3MTtN&#10;gtnZJLvG1F/vFgre5vE+Z7keTSMG6l1tWcHrNAJBXFhdc6ngsE9f5iCcR9bYWCYFv+RgvZo8LDHW&#10;9sI7GnJfihDCLkYFlfdtLKUrKjLoprYlDtyP7Q36APtS6h4vIdw0chZFb9JgzaGhwpY+KipO+dko&#10;GNpT+uw/u81x112j7GtIsyT9VurpcUwWIDyN/i7+d291mD+bv8PfN+EEub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WXBVxQAAAN0AAAAPAAAAAAAAAAAAAAAAAJgCAABkcnMv&#10;ZG93bnJldi54bWxQSwUGAAAAAAQABAD1AAAAigMAAAAA&#10;" fillcolor="#99f" strokeweight=".4pt"/>
                <v:rect id="Rectangle 44" o:spid="_x0000_s1069" style="position:absolute;left:34721;top:10202;width:2261;height:635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FEj8YA&#10;AADdAAAADwAAAGRycy9kb3ducmV2LnhtbESP3WoCMRCF7wt9hzCF3tXsShFdjWILYil44c8DDJtx&#10;s3Yz2SZRt2/fuSj0boZz5pxvFqvBd+pGMbWBDZSjAhRxHWzLjYHTcfMyBZUyssUuMBn4oQSr5ePD&#10;Aisb7ryn2yE3SkI4VWjA5dxXWqfakcc0Cj2xaOcQPWZZY6NtxLuE+06Pi2KiPbYsDQ57endUfx2u&#10;3gC9bfezyzq5nY5lKnefk9nr9tuY56dhPQeVacj/5r/rDyv446ngyjcygl7+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FFEj8YAAADdAAAADwAAAAAAAAAAAAAAAACYAgAAZHJz&#10;L2Rvd25yZXYueG1sUEsFBgAAAAAEAAQA9QAAAIsDAAAAAA==&#10;" filled="f" stroked="f">
                  <v:textbox inset="0,0,0,0">
                    <w:txbxContent>
                      <w:p w:rsidR="008153D9" w:rsidRDefault="008153D9" w:rsidP="006B6177">
                        <w:r w:rsidRPr="00C2475E">
                          <w:rPr>
                            <w:rFonts w:ascii="Arial" w:hAnsi="Arial" w:cs="Arial"/>
                            <w:color w:val="000000"/>
                            <w:sz w:val="16"/>
                            <w:szCs w:val="16"/>
                            <w:lang w:val="en-US"/>
                          </w:rPr>
                          <w:t>2009</w:t>
                        </w:r>
                      </w:p>
                    </w:txbxContent>
                  </v:textbox>
                </v:rect>
                <v:rect id="Rectangle 45" o:spid="_x0000_s1070" style="position:absolute;left:34112;top:11389;width:438;height:4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T6B8QA&#10;AADdAAAADwAAAGRycy9kb3ducmV2LnhtbERPO2/CMBDeK/EfrEPqVhwYWggYVCHxmECQDmU74msS&#10;EZ9NbEL67+tKSGz36XvebNGZWrTU+MqyguEgAUGcW11xoeArW72NQfiArLG2TAp+ycNi3nuZYart&#10;nQ/UHkMhYgj7FBWUIbhUSp+XZNAPrCOO3I9tDIYIm0LqBu8x3NRylCTv0mDFsaFER8uS8svxZhRc&#10;P3a7fXHOTm7fndzGtWt/+TZKvfa7zymIQF14ih/urY7zR+MJ/H8TT5D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5E+gfEAAAA3QAAAA8AAAAAAAAAAAAAAAAAmAIAAGRycy9k&#10;b3ducmV2LnhtbFBLBQYAAAAABAAEAPUAAACJAwAAAAA=&#10;" fillcolor="#936" strokeweight=".4pt"/>
                <v:rect id="Rectangle 46" o:spid="_x0000_s1071" style="position:absolute;left:34719;top:11205;width:2260;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BHp8QA&#10;AADdAAAADwAAAGRycy9kb3ducmV2LnhtbESPzWoDMQyE74W8g1Ght8bbPZR0GyeEQCANvWSTBxBr&#10;7Q+15cV2stu3jw6F3iRmNPNpvZ29U3eKaQhs4G1ZgCJugh24M3C9HF5XoFJGtugCk4FfSrDdLJ7W&#10;WNkw8Znude6UhHCq0ECf81hpnZqePKZlGIlFa0P0mGWNnbYRJwn3TpdF8a49DiwNPY6076n5qW/e&#10;gL7Uh2lVu1iEU9l+u6/juaVgzMvzvPsElWnO/+a/66MV/PJD+OUbGUFv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cAR6fEAAAA3QAAAA8AAAAAAAAAAAAAAAAAmAIAAGRycy9k&#10;b3ducmV2LnhtbFBLBQYAAAAABAAEAPUAAACJAwAAAAA=&#10;" filled="f" stroked="f">
                  <v:textbox style="mso-fit-shape-to-text:t" inset="0,0,0,0">
                    <w:txbxContent>
                      <w:p w:rsidR="008153D9" w:rsidRDefault="008153D9" w:rsidP="006B6177">
                        <w:r w:rsidRPr="00C2475E">
                          <w:rPr>
                            <w:rFonts w:ascii="Arial" w:hAnsi="Arial" w:cs="Arial"/>
                            <w:color w:val="000000"/>
                            <w:sz w:val="16"/>
                            <w:szCs w:val="16"/>
                            <w:lang w:val="en-US"/>
                          </w:rPr>
                          <w:t>2010</w:t>
                        </w:r>
                      </w:p>
                    </w:txbxContent>
                  </v:textbox>
                </v:rect>
                <w10:anchorlock/>
              </v:group>
            </w:pict>
          </mc:Fallback>
        </mc:AlternateContent>
      </w:r>
    </w:p>
    <w:p w:rsidR="009D55F8" w:rsidRPr="005F7914" w:rsidRDefault="009D55F8" w:rsidP="009D55F8">
      <w:pPr>
        <w:pStyle w:val="BodyText"/>
      </w:pPr>
      <w:r w:rsidRPr="005F7914">
        <w:t xml:space="preserve">Overall, the quality of initiatives is roughly similar to 2009, with </w:t>
      </w:r>
      <w:r w:rsidR="00BD0B39">
        <w:t>more than</w:t>
      </w:r>
      <w:r w:rsidRPr="005F7914">
        <w:t xml:space="preserve"> half still needing improvement (</w:t>
      </w:r>
      <w:r w:rsidR="00D224C3">
        <w:t>see figure above</w:t>
      </w:r>
      <w:r w:rsidRPr="005F7914">
        <w:t>).</w:t>
      </w:r>
      <w:r w:rsidRPr="005F7914">
        <w:rPr>
          <w:rStyle w:val="FootnoteReference"/>
        </w:rPr>
        <w:footnoteReference w:id="49"/>
      </w:r>
      <w:r w:rsidR="00A34401">
        <w:t xml:space="preserve"> </w:t>
      </w:r>
      <w:r w:rsidRPr="005F7914">
        <w:t>The great majority (75</w:t>
      </w:r>
      <w:r>
        <w:t xml:space="preserve"> per cent</w:t>
      </w:r>
      <w:r w:rsidRPr="005F7914">
        <w:t xml:space="preserve"> of this half) will be re-designed in 2011, drawing on </w:t>
      </w:r>
      <w:r w:rsidR="00A34401">
        <w:t xml:space="preserve">the </w:t>
      </w:r>
      <w:r w:rsidRPr="005F7914">
        <w:t>considerable delivery strategy work undertaken in 2010. The other 25</w:t>
      </w:r>
      <w:r>
        <w:t xml:space="preserve"> per cent</w:t>
      </w:r>
      <w:r w:rsidRPr="005F7914">
        <w:t xml:space="preserve"> will end.</w:t>
      </w:r>
    </w:p>
    <w:p w:rsidR="009D55F8" w:rsidRPr="005F7914" w:rsidRDefault="009D55F8" w:rsidP="009D55F8">
      <w:pPr>
        <w:pStyle w:val="BodyText"/>
      </w:pPr>
      <w:r w:rsidRPr="005F7914">
        <w:t xml:space="preserve">By criteria, 2010 </w:t>
      </w:r>
      <w:r w:rsidR="004B7312" w:rsidRPr="004B7312">
        <w:t xml:space="preserve">Quality at Implementation </w:t>
      </w:r>
      <w:r w:rsidR="004B7312">
        <w:t>(Qa</w:t>
      </w:r>
      <w:r w:rsidRPr="005F7914">
        <w:t>I</w:t>
      </w:r>
      <w:r w:rsidR="004B7312">
        <w:t>)</w:t>
      </w:r>
      <w:r w:rsidRPr="005F7914">
        <w:t xml:space="preserve"> ratings told a mixed story: </w:t>
      </w:r>
    </w:p>
    <w:p w:rsidR="009D55F8" w:rsidRPr="005F7914" w:rsidRDefault="009D55F8" w:rsidP="009D55F8">
      <w:pPr>
        <w:pStyle w:val="ListBullet"/>
      </w:pPr>
      <w:r w:rsidRPr="005F7914">
        <w:t>About 80</w:t>
      </w:r>
      <w:r>
        <w:t xml:space="preserve"> per cent</w:t>
      </w:r>
      <w:r w:rsidRPr="005F7914">
        <w:t xml:space="preserve"> of initiatives </w:t>
      </w:r>
      <w:r w:rsidR="00A34401">
        <w:t>were rated</w:t>
      </w:r>
      <w:r w:rsidR="00A34401" w:rsidRPr="005F7914">
        <w:t xml:space="preserve"> </w:t>
      </w:r>
      <w:r w:rsidRPr="005F7914">
        <w:t xml:space="preserve">sufficiently </w:t>
      </w:r>
      <w:r w:rsidRPr="005F7914">
        <w:rPr>
          <w:b/>
        </w:rPr>
        <w:t>relevant</w:t>
      </w:r>
      <w:r w:rsidRPr="005F7914">
        <w:t>. This will strengthen in 2011 as new designs drive greater alignment with GoTL directions and the Australia Timor-Leste Country Strategy 2009</w:t>
      </w:r>
      <w:r w:rsidR="001C387A">
        <w:t>–</w:t>
      </w:r>
      <w:r w:rsidRPr="005F7914">
        <w:t xml:space="preserve">14 and as less relevant initiatives end. </w:t>
      </w:r>
    </w:p>
    <w:p w:rsidR="009D55F8" w:rsidRPr="005F7914" w:rsidRDefault="009D55F8" w:rsidP="009D55F8">
      <w:pPr>
        <w:pStyle w:val="ListBullet"/>
      </w:pPr>
      <w:r w:rsidRPr="005F7914">
        <w:lastRenderedPageBreak/>
        <w:t xml:space="preserve">2010 saw little change from 2009 </w:t>
      </w:r>
      <w:r w:rsidR="00A34401">
        <w:t>on</w:t>
      </w:r>
      <w:r w:rsidR="00A34401" w:rsidRPr="005F7914">
        <w:t xml:space="preserve"> </w:t>
      </w:r>
      <w:r w:rsidRPr="005F7914">
        <w:rPr>
          <w:b/>
        </w:rPr>
        <w:t>effectiveness</w:t>
      </w:r>
      <w:r w:rsidRPr="005F7914">
        <w:t xml:space="preserve">: initiatives </w:t>
      </w:r>
      <w:r w:rsidR="00A34401">
        <w:t>were</w:t>
      </w:r>
      <w:r w:rsidR="00A34401" w:rsidRPr="005F7914">
        <w:t xml:space="preserve"> </w:t>
      </w:r>
      <w:r w:rsidRPr="005F7914">
        <w:t>split roughly equally between making inadequate, adequate and good quality progress toward their objectives.</w:t>
      </w:r>
    </w:p>
    <w:p w:rsidR="009D55F8" w:rsidRPr="005F7914" w:rsidRDefault="009D55F8" w:rsidP="009D55F8">
      <w:pPr>
        <w:pStyle w:val="ListBullet"/>
      </w:pPr>
      <w:r w:rsidRPr="005F7914">
        <w:t xml:space="preserve">On </w:t>
      </w:r>
      <w:r w:rsidR="00096446">
        <w:rPr>
          <w:b/>
        </w:rPr>
        <w:t>M&amp;E</w:t>
      </w:r>
      <w:r w:rsidRPr="0017211F">
        <w:rPr>
          <w:rStyle w:val="FootnoteReference"/>
        </w:rPr>
        <w:footnoteReference w:id="50"/>
      </w:r>
      <w:r w:rsidRPr="005F7914">
        <w:t>, mid-performers improved in 2010, while weak initiatives (</w:t>
      </w:r>
      <w:r w:rsidR="00BD0B39">
        <w:t>more than</w:t>
      </w:r>
      <w:r w:rsidRPr="005F7914">
        <w:t xml:space="preserve"> half the portfolio) did not. </w:t>
      </w:r>
      <w:r w:rsidR="00A34401">
        <w:t>One</w:t>
      </w:r>
      <w:r w:rsidRPr="005F7914">
        <w:t xml:space="preserve"> in </w:t>
      </w:r>
      <w:r w:rsidR="00320268">
        <w:t>5</w:t>
      </w:r>
      <w:r w:rsidRPr="005F7914">
        <w:t xml:space="preserve"> initiatives </w:t>
      </w:r>
      <w:r w:rsidR="00A34401">
        <w:t>had</w:t>
      </w:r>
      <w:r w:rsidR="00A34401" w:rsidRPr="005F7914">
        <w:t xml:space="preserve"> </w:t>
      </w:r>
      <w:r w:rsidRPr="005F7914">
        <w:t xml:space="preserve">poor M&amp;E systems. </w:t>
      </w:r>
    </w:p>
    <w:p w:rsidR="009D55F8" w:rsidRPr="005F7914" w:rsidRDefault="00BD0B39" w:rsidP="009D55F8">
      <w:pPr>
        <w:pStyle w:val="ListBullet"/>
      </w:pPr>
      <w:r>
        <w:t>More than</w:t>
      </w:r>
      <w:r w:rsidR="009D55F8" w:rsidRPr="005F7914">
        <w:t xml:space="preserve"> a third of initiatives </w:t>
      </w:r>
      <w:r w:rsidR="00A34401">
        <w:t>were</w:t>
      </w:r>
      <w:r w:rsidR="00A34401" w:rsidRPr="005F7914">
        <w:t xml:space="preserve"> </w:t>
      </w:r>
      <w:r w:rsidR="009D55F8" w:rsidRPr="005F7914">
        <w:t>highly</w:t>
      </w:r>
      <w:r w:rsidR="009D55F8" w:rsidRPr="005F7914">
        <w:rPr>
          <w:b/>
        </w:rPr>
        <w:t xml:space="preserve"> efficient</w:t>
      </w:r>
      <w:r w:rsidR="001C387A" w:rsidRPr="001C387A">
        <w:t>—</w:t>
      </w:r>
      <w:r w:rsidR="009D55F8" w:rsidRPr="005F7914">
        <w:t xml:space="preserve">an improvement on </w:t>
      </w:r>
      <w:r w:rsidR="00A34401">
        <w:t>2009</w:t>
      </w:r>
      <w:r w:rsidR="009D55F8" w:rsidRPr="005F7914">
        <w:t>. However, 42</w:t>
      </w:r>
      <w:r w:rsidR="009D55F8">
        <w:t xml:space="preserve"> per cent</w:t>
      </w:r>
      <w:r w:rsidR="009D55F8" w:rsidRPr="005F7914">
        <w:t xml:space="preserve"> of initiatives </w:t>
      </w:r>
      <w:r w:rsidR="00A34401">
        <w:t>were</w:t>
      </w:r>
      <w:r w:rsidR="00A34401" w:rsidRPr="005F7914">
        <w:t xml:space="preserve"> </w:t>
      </w:r>
      <w:r w:rsidR="009D55F8" w:rsidRPr="005F7914">
        <w:t>still unsatisfactory, including all W</w:t>
      </w:r>
      <w:r w:rsidR="00A34401">
        <w:t xml:space="preserve">orld </w:t>
      </w:r>
      <w:r w:rsidR="006F35D5">
        <w:t>B</w:t>
      </w:r>
      <w:r w:rsidR="00A34401">
        <w:t>ank-</w:t>
      </w:r>
      <w:r w:rsidR="009D55F8" w:rsidRPr="005F7914">
        <w:t xml:space="preserve">supervised initiatives. </w:t>
      </w:r>
    </w:p>
    <w:p w:rsidR="009D55F8" w:rsidRPr="005F7914" w:rsidRDefault="009D55F8" w:rsidP="009D55F8">
      <w:pPr>
        <w:pStyle w:val="ListBullet"/>
      </w:pPr>
      <w:r w:rsidRPr="005F7914">
        <w:rPr>
          <w:b/>
        </w:rPr>
        <w:t>Sustainability</w:t>
      </w:r>
      <w:r w:rsidRPr="005F7914">
        <w:t xml:space="preserve"> scores were disappointing and significantly worse than </w:t>
      </w:r>
      <w:r w:rsidR="00A34401">
        <w:t>in 2009.</w:t>
      </w:r>
      <w:r w:rsidRPr="005F7914">
        <w:rPr>
          <w:rStyle w:val="FootnoteReference"/>
        </w:rPr>
        <w:footnoteReference w:id="51"/>
      </w:r>
      <w:r w:rsidRPr="005F7914">
        <w:t>Almost 65</w:t>
      </w:r>
      <w:r>
        <w:t xml:space="preserve"> per cent</w:t>
      </w:r>
      <w:r w:rsidRPr="005F7914">
        <w:t xml:space="preserve"> of initiatives </w:t>
      </w:r>
      <w:r w:rsidR="00A34401">
        <w:t>were</w:t>
      </w:r>
      <w:r w:rsidR="00A34401" w:rsidRPr="005F7914">
        <w:t xml:space="preserve"> </w:t>
      </w:r>
      <w:r w:rsidRPr="005F7914">
        <w:t>unsatisfactory, and 20</w:t>
      </w:r>
      <w:r>
        <w:t xml:space="preserve"> per cent</w:t>
      </w:r>
      <w:r w:rsidRPr="005F7914">
        <w:t xml:space="preserve"> rated poor. </w:t>
      </w:r>
    </w:p>
    <w:p w:rsidR="009D55F8" w:rsidRPr="005F7914" w:rsidRDefault="009D55F8" w:rsidP="009D55F8">
      <w:pPr>
        <w:pStyle w:val="ListBullet"/>
      </w:pPr>
      <w:r w:rsidRPr="005F7914">
        <w:t xml:space="preserve">Reflecting tougher ratings, </w:t>
      </w:r>
      <w:r w:rsidRPr="005F7914">
        <w:rPr>
          <w:b/>
        </w:rPr>
        <w:t>gender equality</w:t>
      </w:r>
      <w:r w:rsidRPr="005F7914">
        <w:t xml:space="preserve"> scores dropped dramatically in 2010, with half </w:t>
      </w:r>
      <w:r w:rsidR="00A34401">
        <w:t>of</w:t>
      </w:r>
      <w:r w:rsidR="00A34401" w:rsidRPr="005F7914">
        <w:t xml:space="preserve"> </w:t>
      </w:r>
      <w:r w:rsidRPr="005F7914">
        <w:t>initiatives</w:t>
      </w:r>
      <w:r w:rsidR="00A34401">
        <w:t xml:space="preserve"> rated</w:t>
      </w:r>
      <w:r w:rsidRPr="005F7914">
        <w:t xml:space="preserve"> inadequate and 28</w:t>
      </w:r>
      <w:r>
        <w:t xml:space="preserve"> per cent</w:t>
      </w:r>
      <w:r w:rsidRPr="005F7914">
        <w:t xml:space="preserve"> poor.</w:t>
      </w:r>
    </w:p>
    <w:p w:rsidR="009D55F8" w:rsidRDefault="009D55F8" w:rsidP="009D55F8">
      <w:pPr>
        <w:pStyle w:val="BodyText"/>
      </w:pPr>
      <w:r w:rsidRPr="005F7914">
        <w:t>These scores merit further interpretation. Almost two-thirds of initiatives were within a year of completion in 2010, which meant that shortcomings in effectiveness and sustainability were easier to highlight, but harder to address. Australia</w:t>
      </w:r>
      <w:r w:rsidR="0048078C">
        <w:t xml:space="preserve"> </w:t>
      </w:r>
      <w:r w:rsidRPr="005F7914">
        <w:t>reformed programs where immediate changes were possible (</w:t>
      </w:r>
      <w:r w:rsidR="00A9702E">
        <w:t>for example,</w:t>
      </w:r>
      <w:r w:rsidRPr="005F7914">
        <w:t xml:space="preserve"> PSCDPs overuse of advisers)</w:t>
      </w:r>
      <w:r w:rsidR="0048078C">
        <w:t>, h</w:t>
      </w:r>
      <w:r w:rsidRPr="005F7914">
        <w:t xml:space="preserve">owever, the rewards of </w:t>
      </w:r>
      <w:r w:rsidR="0048078C">
        <w:t xml:space="preserve">putting </w:t>
      </w:r>
      <w:r w:rsidRPr="005F7914">
        <w:t>strong effort into diagnosing program shortcomings and discussing new approaches with partners (</w:t>
      </w:r>
      <w:r w:rsidR="00A9702E">
        <w:t>for example,</w:t>
      </w:r>
      <w:r w:rsidRPr="005F7914">
        <w:t xml:space="preserve"> more appropriate use of the trust fund modality by </w:t>
      </w:r>
      <w:r w:rsidR="0048078C">
        <w:t xml:space="preserve">the </w:t>
      </w:r>
      <w:r w:rsidRPr="005F7914">
        <w:t>HSSP-SP) will not be reaped until programs are re-designed in 2011. Lower scores may also indicate improved staff awareness of the logical connections between actions and outcomes and how programs can better address the underlying factors affecting gender equality.</w:t>
      </w:r>
    </w:p>
    <w:p w:rsidR="00040FC8" w:rsidRPr="005F7914" w:rsidRDefault="00040FC8" w:rsidP="00040FC8">
      <w:pPr>
        <w:pStyle w:val="Heading2"/>
        <w:keepNext/>
        <w:ind w:left="0"/>
      </w:pPr>
      <w:bookmarkStart w:id="47" w:name="_Toc360973041"/>
      <w:r w:rsidRPr="005F7914">
        <w:t>Major quality successes, issues and challenges</w:t>
      </w:r>
      <w:bookmarkEnd w:id="47"/>
    </w:p>
    <w:p w:rsidR="00040FC8" w:rsidRPr="005F7914" w:rsidRDefault="00E13202" w:rsidP="00040FC8">
      <w:pPr>
        <w:pStyle w:val="BodyText"/>
      </w:pPr>
      <w:r>
        <w:t xml:space="preserve">Before </w:t>
      </w:r>
      <w:r w:rsidR="00040FC8" w:rsidRPr="005F7914">
        <w:t>the agreement of the five-year Australia Timor-Leste Country Strategy in 2009, Australia’s aid program to Timor-Leste was spread thinly across a high number of low-value activities</w:t>
      </w:r>
      <w:r w:rsidR="00BD0B39">
        <w:t xml:space="preserve">. </w:t>
      </w:r>
      <w:r w:rsidR="00040FC8" w:rsidRPr="005F7914">
        <w:t xml:space="preserve">Since </w:t>
      </w:r>
      <w:r>
        <w:t>then</w:t>
      </w:r>
      <w:r w:rsidR="00040FC8" w:rsidRPr="005F7914">
        <w:t>, major efforts have been undertaken to reduce the number of initiatives and reform the program to align with the strategy</w:t>
      </w:r>
      <w:r w:rsidR="00BD0B39">
        <w:t xml:space="preserve">. </w:t>
      </w:r>
      <w:r w:rsidR="00040FC8" w:rsidRPr="005F7914">
        <w:t>Despite this, a program ‘health check’ conducted in 2010 revealed the number of low-value activities remain</w:t>
      </w:r>
      <w:r>
        <w:t>ed</w:t>
      </w:r>
      <w:r w:rsidR="00040FC8" w:rsidRPr="005F7914">
        <w:t xml:space="preserve"> high.</w:t>
      </w:r>
    </w:p>
    <w:p w:rsidR="00040FC8" w:rsidRPr="005F7914" w:rsidRDefault="00040FC8" w:rsidP="00040FC8">
      <w:pPr>
        <w:pStyle w:val="BodyText"/>
      </w:pPr>
      <w:r w:rsidRPr="005F7914">
        <w:t>This year Australia shifted how we analyse aid performance in Timor-Leste</w:t>
      </w:r>
      <w:r w:rsidR="00E13202">
        <w:t>. We</w:t>
      </w:r>
      <w:r w:rsidRPr="005F7914">
        <w:t xml:space="preserve"> moved from analysing </w:t>
      </w:r>
      <w:r w:rsidR="00E13202">
        <w:t>program progress</w:t>
      </w:r>
      <w:r w:rsidRPr="005F7914">
        <w:t xml:space="preserve"> to overall </w:t>
      </w:r>
      <w:r w:rsidR="00E13202">
        <w:t xml:space="preserve">sector </w:t>
      </w:r>
      <w:r w:rsidRPr="005F7914">
        <w:t>progress. Sector performance frameworks were developed in sectors where we intend to make a long-term contribution to shared development outcomes with the GoTL. This</w:t>
      </w:r>
      <w:r w:rsidR="009C566B">
        <w:t xml:space="preserve"> DCR</w:t>
      </w:r>
      <w:r w:rsidR="00D224C3">
        <w:t xml:space="preserve"> </w:t>
      </w:r>
      <w:r w:rsidRPr="005F7914">
        <w:t>reflects this new approach.</w:t>
      </w:r>
    </w:p>
    <w:p w:rsidR="00040FC8" w:rsidRPr="002E2B9A" w:rsidRDefault="00040FC8" w:rsidP="002E2B9A">
      <w:pPr>
        <w:pStyle w:val="BodyText"/>
      </w:pPr>
      <w:r w:rsidRPr="005F7914">
        <w:t xml:space="preserve">Engagement and policy influence with the GoTL, particularly with the Prime Minster, remained a challenge for Australia’s aid program </w:t>
      </w:r>
      <w:r w:rsidR="00E13202">
        <w:t>in</w:t>
      </w:r>
      <w:r w:rsidR="00E13202" w:rsidRPr="005F7914">
        <w:t xml:space="preserve"> </w:t>
      </w:r>
      <w:r w:rsidRPr="005F7914">
        <w:t>2010. However this relationship warmed towards the end of the year</w:t>
      </w:r>
      <w:r w:rsidR="00BD0B39">
        <w:t xml:space="preserve">. </w:t>
      </w:r>
      <w:r w:rsidRPr="005F7914">
        <w:t xml:space="preserve">Emerging, high-level </w:t>
      </w:r>
      <w:r w:rsidR="00E13202">
        <w:t>g</w:t>
      </w:r>
      <w:r w:rsidRPr="005F7914">
        <w:t xml:space="preserve">overnment decisions and changing </w:t>
      </w:r>
      <w:r w:rsidR="00E13202">
        <w:t>g</w:t>
      </w:r>
      <w:r w:rsidRPr="005F7914">
        <w:t xml:space="preserve">overnment landscape (in regard to small scale infrastructure funds) required flexibility in sectoral support. </w:t>
      </w:r>
    </w:p>
    <w:p w:rsidR="002E2B9A" w:rsidRDefault="002E2B9A">
      <w:pPr>
        <w:rPr>
          <w:rFonts w:ascii="Georgia" w:hAnsi="Georgia"/>
          <w:sz w:val="19"/>
          <w:szCs w:val="19"/>
        </w:rPr>
      </w:pPr>
      <w:r>
        <w:br w:type="page"/>
      </w:r>
    </w:p>
    <w:p w:rsidR="00040FC8" w:rsidRPr="005F7914" w:rsidRDefault="00040FC8" w:rsidP="00040FC8">
      <w:pPr>
        <w:pStyle w:val="BodyText"/>
      </w:pPr>
      <w:r w:rsidRPr="005F7914">
        <w:lastRenderedPageBreak/>
        <w:t>Australia worked with the GoTL to broaden the spectrum of capacity development approaches used through the aid program</w:t>
      </w:r>
      <w:r w:rsidR="00BD0B39">
        <w:t xml:space="preserve">. </w:t>
      </w:r>
      <w:r w:rsidR="00E13202">
        <w:t>Australia and the GoTL reviewed</w:t>
      </w:r>
      <w:r w:rsidRPr="005F7914">
        <w:t xml:space="preserve"> all adviser positions </w:t>
      </w:r>
      <w:r w:rsidR="00E13202">
        <w:t xml:space="preserve"> and committed</w:t>
      </w:r>
      <w:r w:rsidRPr="005F7914">
        <w:t xml:space="preserve"> to reduc</w:t>
      </w:r>
      <w:r w:rsidR="00E13202">
        <w:t>ing</w:t>
      </w:r>
      <w:r w:rsidRPr="005F7914">
        <w:t xml:space="preserve"> reliance on advisers across the program. </w:t>
      </w:r>
    </w:p>
    <w:p w:rsidR="009D55F8" w:rsidRPr="005F7914" w:rsidRDefault="009D55F8" w:rsidP="009D55F8">
      <w:pPr>
        <w:pStyle w:val="Heading2"/>
        <w:keepNext/>
        <w:ind w:left="0"/>
      </w:pPr>
      <w:bookmarkStart w:id="48" w:name="_Toc360973042"/>
      <w:r w:rsidRPr="005F7914">
        <w:t>Crosscutting themes</w:t>
      </w:r>
      <w:bookmarkEnd w:id="48"/>
    </w:p>
    <w:p w:rsidR="009D55F8" w:rsidRPr="005F7914" w:rsidRDefault="00DE666D" w:rsidP="009D55F8">
      <w:pPr>
        <w:pStyle w:val="Heading3"/>
        <w:keepNext/>
      </w:pPr>
      <w:bookmarkStart w:id="49" w:name="_Toc360973043"/>
      <w:r>
        <w:t>Capacity development a</w:t>
      </w:r>
      <w:r w:rsidR="009D55F8" w:rsidRPr="005F7914">
        <w:t>pproaches</w:t>
      </w:r>
      <w:bookmarkEnd w:id="49"/>
    </w:p>
    <w:p w:rsidR="009D55F8" w:rsidRPr="005F7914" w:rsidRDefault="009D55F8" w:rsidP="009D55F8">
      <w:pPr>
        <w:pStyle w:val="BodyText"/>
      </w:pPr>
      <w:r w:rsidRPr="004B7312">
        <w:t>QaI</w:t>
      </w:r>
      <w:r w:rsidRPr="005F7914">
        <w:t xml:space="preserve">s indicate that </w:t>
      </w:r>
      <w:smartTag w:uri="urn:schemas-microsoft-com:office:smarttags" w:element="place">
        <w:smartTag w:uri="urn:schemas-microsoft-com:office:smarttags" w:element="country-region">
          <w:r w:rsidRPr="005F7914">
            <w:t>Australia</w:t>
          </w:r>
        </w:smartTag>
      </w:smartTag>
      <w:r w:rsidRPr="005F7914">
        <w:t>’s current capacity development efforts in Timor-Leste are mostly ill-defined and have little impact on institutional performance, often because original intentions were too ambitious. The experience from</w:t>
      </w:r>
      <w:r w:rsidR="00E13202">
        <w:t xml:space="preserve"> the</w:t>
      </w:r>
      <w:r w:rsidRPr="005F7914">
        <w:t xml:space="preserve"> PFMCBP suggests that Timor-Leste’s context frequently justifies capacity substitution, at least in the medium term. This is appropriate in a fragile state that</w:t>
      </w:r>
      <w:r w:rsidR="00E13202">
        <w:t>—</w:t>
      </w:r>
      <w:r w:rsidRPr="005F7914">
        <w:t>despite weak skills and systems</w:t>
      </w:r>
      <w:r w:rsidR="00E13202">
        <w:t>—</w:t>
      </w:r>
      <w:r w:rsidRPr="005F7914">
        <w:t>must sustain stability</w:t>
      </w:r>
      <w:r w:rsidR="00E13202">
        <w:t xml:space="preserve"> by</w:t>
      </w:r>
      <w:r w:rsidRPr="005F7914">
        <w:t xml:space="preserve"> deliver</w:t>
      </w:r>
      <w:r w:rsidR="00E13202">
        <w:t>ing</w:t>
      </w:r>
      <w:r w:rsidRPr="005F7914">
        <w:t xml:space="preserve"> short-term tangible gains (</w:t>
      </w:r>
      <w:r w:rsidR="00320268">
        <w:t>for example,</w:t>
      </w:r>
      <w:r w:rsidRPr="005F7914">
        <w:t xml:space="preserve"> services</w:t>
      </w:r>
      <w:r w:rsidR="00E13202">
        <w:t xml:space="preserve"> and</w:t>
      </w:r>
      <w:r w:rsidR="00E13202" w:rsidRPr="005F7914">
        <w:t xml:space="preserve"> </w:t>
      </w:r>
      <w:r w:rsidRPr="005F7914">
        <w:t xml:space="preserve">public order) to citizens. However, while advisers </w:t>
      </w:r>
      <w:r w:rsidR="00E13202">
        <w:t>play a valu</w:t>
      </w:r>
      <w:r w:rsidR="000F3B24">
        <w:t>a</w:t>
      </w:r>
      <w:r w:rsidR="00E13202">
        <w:t>ble role, there</w:t>
      </w:r>
      <w:r w:rsidRPr="005F7914">
        <w:t xml:space="preserve"> has been an over-reliance on the adviser-counterpart model as a </w:t>
      </w:r>
      <w:r w:rsidR="00E13202">
        <w:t>way to build</w:t>
      </w:r>
      <w:r w:rsidRPr="005F7914">
        <w:t xml:space="preserve"> capacity. The focus on </w:t>
      </w:r>
      <w:r w:rsidR="00E13202">
        <w:t>this</w:t>
      </w:r>
      <w:r w:rsidRPr="005F7914">
        <w:t xml:space="preserve"> model </w:t>
      </w:r>
      <w:r w:rsidR="00E13202">
        <w:t>to build</w:t>
      </w:r>
      <w:r w:rsidRPr="005F7914">
        <w:t xml:space="preserve"> capacity will continue to scale back in 2011, and the full range of capacity</w:t>
      </w:r>
      <w:r w:rsidR="006F05EC">
        <w:t>-</w:t>
      </w:r>
      <w:r w:rsidRPr="005F7914">
        <w:t xml:space="preserve">development options will be considered. </w:t>
      </w:r>
      <w:r w:rsidR="006F05EC">
        <w:t xml:space="preserve">The </w:t>
      </w:r>
      <w:r w:rsidRPr="005F7914">
        <w:t xml:space="preserve">GoTL has asked Australia to </w:t>
      </w:r>
      <w:r w:rsidR="006F05EC">
        <w:t>help it</w:t>
      </w:r>
      <w:r w:rsidRPr="005F7914">
        <w:t xml:space="preserve"> prepar</w:t>
      </w:r>
      <w:r w:rsidR="006F05EC">
        <w:t>e</w:t>
      </w:r>
      <w:r w:rsidRPr="005F7914">
        <w:t xml:space="preserve"> a new </w:t>
      </w:r>
      <w:r w:rsidR="00A85F7E" w:rsidRPr="005F7914">
        <w:t xml:space="preserve">technical assistance </w:t>
      </w:r>
      <w:r w:rsidRPr="005F7914">
        <w:t>policy, reflecting our reputation for new thinking in capacity development</w:t>
      </w:r>
      <w:r w:rsidR="00BD0B39">
        <w:t xml:space="preserve">. </w:t>
      </w:r>
      <w:r w:rsidRPr="005F7914">
        <w:t>Th</w:t>
      </w:r>
      <w:r w:rsidR="006F05EC">
        <w:t>is</w:t>
      </w:r>
      <w:r w:rsidRPr="005F7914">
        <w:t xml:space="preserve"> new policy will enable the Go</w:t>
      </w:r>
      <w:r w:rsidR="006F05EC">
        <w:t xml:space="preserve">TL </w:t>
      </w:r>
      <w:r w:rsidRPr="005F7914">
        <w:t xml:space="preserve">and donor partners to address different elements of </w:t>
      </w:r>
      <w:r w:rsidR="006F05EC">
        <w:t>c</w:t>
      </w:r>
      <w:r w:rsidRPr="005F7914">
        <w:t>apacity</w:t>
      </w:r>
      <w:r w:rsidR="001C387A">
        <w:t>—</w:t>
      </w:r>
      <w:r w:rsidRPr="005F7914">
        <w:t>policy, in</w:t>
      </w:r>
      <w:r w:rsidR="006F05EC">
        <w:t>-</w:t>
      </w:r>
      <w:r w:rsidRPr="005F7914">
        <w:t xml:space="preserve">line work and developing </w:t>
      </w:r>
      <w:r w:rsidR="00BD0B39">
        <w:t>I</w:t>
      </w:r>
      <w:r w:rsidRPr="005F7914">
        <w:t>ndigenous systems and skills</w:t>
      </w:r>
      <w:r w:rsidR="00BD0B39">
        <w:t xml:space="preserve">. </w:t>
      </w:r>
    </w:p>
    <w:p w:rsidR="009D55F8" w:rsidRPr="005F7914" w:rsidRDefault="00DE666D" w:rsidP="009D55F8">
      <w:pPr>
        <w:pStyle w:val="Heading3"/>
        <w:keepNext/>
      </w:pPr>
      <w:bookmarkStart w:id="50" w:name="_Toc360973044"/>
      <w:r>
        <w:t>Adviser e</w:t>
      </w:r>
      <w:r w:rsidR="009D55F8" w:rsidRPr="005F7914">
        <w:t>ffectiveness</w:t>
      </w:r>
      <w:bookmarkEnd w:id="50"/>
      <w:r w:rsidR="009D55F8" w:rsidRPr="005F7914">
        <w:t xml:space="preserve"> </w:t>
      </w:r>
    </w:p>
    <w:p w:rsidR="009D55F8" w:rsidRPr="005F7914" w:rsidRDefault="009D55F8" w:rsidP="009D55F8">
      <w:pPr>
        <w:pStyle w:val="BodyText"/>
      </w:pPr>
      <w:r w:rsidRPr="005F7914">
        <w:t>We will continue to shift our focus to the full range of capacity</w:t>
      </w:r>
      <w:r w:rsidR="006F05EC">
        <w:t>-</w:t>
      </w:r>
      <w:r w:rsidRPr="005F7914">
        <w:t>development options, rather than just</w:t>
      </w:r>
      <w:r w:rsidR="006F05EC">
        <w:t xml:space="preserve"> relying</w:t>
      </w:r>
      <w:r w:rsidRPr="005F7914">
        <w:t xml:space="preserve"> an adviser-counterpart model. In 2010 we reduced advisor numbers in line with commitments between the </w:t>
      </w:r>
      <w:r w:rsidR="006F05EC">
        <w:t>g</w:t>
      </w:r>
      <w:r w:rsidRPr="005F7914">
        <w:t xml:space="preserve">overnments of Australia and Timor-Leste and joint assessments of need and effectiveness. The ratio of national to international </w:t>
      </w:r>
      <w:r w:rsidR="004B7312">
        <w:t>technical assistance</w:t>
      </w:r>
      <w:r w:rsidRPr="005F7914">
        <w:t xml:space="preserve">, and average adviser remuneration, are ahead of the </w:t>
      </w:r>
      <w:r w:rsidR="00D224C3">
        <w:t xml:space="preserve">AusAID </w:t>
      </w:r>
      <w:r w:rsidRPr="005F7914">
        <w:t xml:space="preserve">mean. </w:t>
      </w:r>
      <w:r w:rsidR="00D224C3">
        <w:t>AusAID’s</w:t>
      </w:r>
      <w:r w:rsidRPr="005F7914">
        <w:t xml:space="preserve"> public sector reform program made particular headway: it </w:t>
      </w:r>
      <w:r w:rsidR="006F05EC">
        <w:t>started</w:t>
      </w:r>
      <w:r w:rsidR="006F05EC" w:rsidRPr="005F7914">
        <w:t xml:space="preserve"> </w:t>
      </w:r>
      <w:r w:rsidRPr="005F7914">
        <w:t xml:space="preserve">more appropriate selection processes that prioritised capacity development skills, instituted more rigorous advisor monitoring and began engaging more national advisors. But concerns about advisor effectiveness and </w:t>
      </w:r>
      <w:r w:rsidR="00A85F7E" w:rsidRPr="005F7914">
        <w:t xml:space="preserve">technical assistance </w:t>
      </w:r>
      <w:r w:rsidRPr="005F7914">
        <w:t>overuse remain in health, infrastructure, education and PFM. Actions are und</w:t>
      </w:r>
      <w:r w:rsidR="001C387A">
        <w:t>erway, including</w:t>
      </w:r>
      <w:r w:rsidR="006F05EC">
        <w:t>:</w:t>
      </w:r>
      <w:r w:rsidR="001C387A">
        <w:t xml:space="preserve"> support</w:t>
      </w:r>
      <w:r w:rsidR="006F05EC">
        <w:t>ing</w:t>
      </w:r>
      <w:r w:rsidR="001C387A">
        <w:t xml:space="preserve"> MoF</w:t>
      </w:r>
      <w:r w:rsidR="006F05EC">
        <w:t>’</w:t>
      </w:r>
      <w:r w:rsidRPr="005F7914">
        <w:t xml:space="preserve">s </w:t>
      </w:r>
      <w:r w:rsidR="00A85F7E" w:rsidRPr="005F7914">
        <w:t xml:space="preserve">technical assistance </w:t>
      </w:r>
      <w:r w:rsidR="006F05EC">
        <w:t>p</w:t>
      </w:r>
      <w:r w:rsidRPr="005F7914">
        <w:t>olicy and capacity</w:t>
      </w:r>
      <w:r w:rsidR="006F05EC">
        <w:t>-</w:t>
      </w:r>
      <w:r w:rsidRPr="005F7914">
        <w:t>building plan; rationalising the A</w:t>
      </w:r>
      <w:r w:rsidR="007418D0">
        <w:t>sian Development Bank</w:t>
      </w:r>
      <w:r w:rsidRPr="005F7914">
        <w:t xml:space="preserve"> infrastructure program; and re-shaping our health and education engagement through re-designs in 2011.</w:t>
      </w:r>
    </w:p>
    <w:p w:rsidR="009D55F8" w:rsidRPr="005F7914" w:rsidRDefault="00DE666D" w:rsidP="009D55F8">
      <w:pPr>
        <w:pStyle w:val="Heading3"/>
        <w:keepNext/>
      </w:pPr>
      <w:bookmarkStart w:id="51" w:name="_Toc360973045"/>
      <w:bookmarkStart w:id="52" w:name="OLE_LINK2"/>
      <w:bookmarkStart w:id="53" w:name="OLE_LINK3"/>
      <w:r>
        <w:t>Service-delivery f</w:t>
      </w:r>
      <w:r w:rsidR="009D55F8" w:rsidRPr="005F7914">
        <w:t>ocus</w:t>
      </w:r>
      <w:bookmarkEnd w:id="51"/>
      <w:r w:rsidR="009D55F8" w:rsidRPr="005F7914">
        <w:t xml:space="preserve"> </w:t>
      </w:r>
    </w:p>
    <w:p w:rsidR="009D55F8" w:rsidRPr="005F7914" w:rsidRDefault="009D55F8" w:rsidP="009D55F8">
      <w:pPr>
        <w:pStyle w:val="BodyText"/>
      </w:pPr>
      <w:r w:rsidRPr="005F7914">
        <w:t xml:space="preserve">A related issue emerging across many initiatives is the need to re-orient our systems </w:t>
      </w:r>
      <w:r w:rsidR="006F05EC">
        <w:t xml:space="preserve">to </w:t>
      </w:r>
      <w:r w:rsidRPr="005F7914">
        <w:t xml:space="preserve">strengthen support toward improvements in service delivery, especially in the districts. This is currently particularly hard to </w:t>
      </w:r>
      <w:r w:rsidR="006F05EC">
        <w:t>accomplish</w:t>
      </w:r>
      <w:r w:rsidRPr="005F7914">
        <w:t xml:space="preserve"> in health, education and public sector reform. Further, to ensure sustainable services, we need to connect top-down state provision of services with bottom-up community involvement in how these are provided. Making this happen will require careful thinking in 2011 design processes. We should also </w:t>
      </w:r>
      <w:r w:rsidR="006F05EC">
        <w:t>learn from</w:t>
      </w:r>
      <w:r w:rsidRPr="005F7914">
        <w:t xml:space="preserve"> the lessons of the water and sanitation program, given that its mid-term review highlighted a good balance between central institutional capacity building and service delivery </w:t>
      </w:r>
      <w:r w:rsidR="006F05EC">
        <w:t>and suggested the program is</w:t>
      </w:r>
      <w:r w:rsidRPr="005F7914">
        <w:t xml:space="preserve"> a positive example of community involvement in service delivery.</w:t>
      </w:r>
    </w:p>
    <w:p w:rsidR="009D55F8" w:rsidRPr="005F7914" w:rsidRDefault="009D55F8" w:rsidP="009D55F8">
      <w:pPr>
        <w:pStyle w:val="Heading3"/>
        <w:keepNext/>
      </w:pPr>
      <w:bookmarkStart w:id="54" w:name="_Toc360973046"/>
      <w:r w:rsidRPr="005F7914">
        <w:lastRenderedPageBreak/>
        <w:t>Gender</w:t>
      </w:r>
      <w:bookmarkEnd w:id="54"/>
    </w:p>
    <w:p w:rsidR="009D55F8" w:rsidRPr="005F7914" w:rsidRDefault="009D55F8" w:rsidP="006B6177">
      <w:pPr>
        <w:pStyle w:val="BodyText"/>
      </w:pPr>
      <w:smartTag w:uri="urn:schemas-microsoft-com:office:smarttags" w:element="place">
        <w:smartTag w:uri="urn:schemas-microsoft-com:office:smarttags" w:element="country-region">
          <w:r w:rsidRPr="005F7914">
            <w:t>Australia</w:t>
          </w:r>
        </w:smartTag>
      </w:smartTag>
      <w:r w:rsidRPr="005F7914">
        <w:t xml:space="preserve"> was a key supporter of the Timor-Leste draft gender justice policy and civil society work to reduce violence against women and girls in 2010. Although strong progress towards gender equality has been made in some service delivery sectors, such as rural water and sanitation and maternal health, QaIs indicate that in other</w:t>
      </w:r>
      <w:r w:rsidR="006F05EC">
        <w:t xml:space="preserve"> </w:t>
      </w:r>
      <w:r w:rsidR="000F3B24">
        <w:t>sectors</w:t>
      </w:r>
      <w:r w:rsidRPr="005F7914">
        <w:t xml:space="preserve"> Australia must improve efforts to systematically address gender issues</w:t>
      </w:r>
      <w:r w:rsidR="00BD0B39">
        <w:t xml:space="preserve">. </w:t>
      </w:r>
      <w:r w:rsidRPr="005F7914">
        <w:t>An evaluation of Australia’s small-value support to increase women’s political participation, provided through U</w:t>
      </w:r>
      <w:r w:rsidR="00281023">
        <w:t xml:space="preserve">nited </w:t>
      </w:r>
      <w:r w:rsidRPr="005F7914">
        <w:t>N</w:t>
      </w:r>
      <w:r w:rsidR="00281023">
        <w:t>ations</w:t>
      </w:r>
      <w:r w:rsidRPr="005F7914">
        <w:t xml:space="preserve"> Women, revealed disappointing results and Australia will review this support, In 2011 we will sharpen our focus on integrating gender across all sectors of Australian support</w:t>
      </w:r>
      <w:r w:rsidR="006F05EC">
        <w:t>,</w:t>
      </w:r>
      <w:r w:rsidRPr="005F7914">
        <w:t xml:space="preserve"> to promote real change for women in the districts</w:t>
      </w:r>
      <w:r w:rsidR="00BD0B39">
        <w:t xml:space="preserve">. </w:t>
      </w:r>
      <w:r w:rsidRPr="005F7914">
        <w:t xml:space="preserve">All evaluations and designs in 2011 will have a specific focus on improving gender equality. The gender focal point at post </w:t>
      </w:r>
      <w:r w:rsidR="00D224C3">
        <w:t xml:space="preserve">(AusAID’s Dili office) </w:t>
      </w:r>
      <w:r w:rsidRPr="005F7914">
        <w:t xml:space="preserve">will continue to lead these efforts, guided by a visit </w:t>
      </w:r>
      <w:r w:rsidR="001C387A">
        <w:t>from AusAID’</w:t>
      </w:r>
      <w:r w:rsidRPr="005F7914">
        <w:t>s senior gender adviser. Australia will encourage other donors to harmonise support to gender across all sectors, as we take on the role of chair of the gender donor coordination group in 2011,</w:t>
      </w:r>
      <w:bookmarkEnd w:id="52"/>
      <w:bookmarkEnd w:id="53"/>
      <w:r w:rsidR="006B6177" w:rsidRPr="005F7914">
        <w:t xml:space="preserve"> </w:t>
      </w:r>
      <w:r w:rsidRPr="005F7914">
        <w:t>Disability</w:t>
      </w:r>
    </w:p>
    <w:p w:rsidR="009D55F8" w:rsidRPr="005F7914" w:rsidRDefault="009D55F8" w:rsidP="009D55F8">
      <w:pPr>
        <w:pStyle w:val="BodyText"/>
      </w:pPr>
      <w:r w:rsidRPr="005F7914">
        <w:t xml:space="preserve">In 2010 we supported Timor-Leste’s first Strategy for Community Based Rehabilitation (Disability Services), </w:t>
      </w:r>
      <w:r w:rsidR="006F05EC">
        <w:t>helped</w:t>
      </w:r>
      <w:r w:rsidR="006F05EC" w:rsidRPr="005F7914">
        <w:t xml:space="preserve"> </w:t>
      </w:r>
      <w:r w:rsidRPr="005F7914">
        <w:t>community health posts to ensure people with disabilit</w:t>
      </w:r>
      <w:r w:rsidR="00BD0B39">
        <w:t>y</w:t>
      </w:r>
      <w:r w:rsidRPr="005F7914">
        <w:t xml:space="preserve"> are included in the </w:t>
      </w:r>
      <w:r w:rsidR="006F05EC">
        <w:t>s</w:t>
      </w:r>
      <w:r w:rsidRPr="005F7914">
        <w:t xml:space="preserve">trategy, and funded the Royal Australasian College of Surgeons to </w:t>
      </w:r>
      <w:r w:rsidR="006F05EC">
        <w:t>increase the number of</w:t>
      </w:r>
      <w:r w:rsidR="006F05EC" w:rsidRPr="005F7914">
        <w:t xml:space="preserve"> </w:t>
      </w:r>
      <w:r w:rsidRPr="005F7914">
        <w:t>surger</w:t>
      </w:r>
      <w:r w:rsidR="006F05EC">
        <w:t>ies for</w:t>
      </w:r>
      <w:r w:rsidRPr="005F7914">
        <w:t xml:space="preserve"> p</w:t>
      </w:r>
      <w:r w:rsidR="00BD0B39">
        <w:t>eople</w:t>
      </w:r>
      <w:r w:rsidRPr="005F7914">
        <w:t xml:space="preserve"> with disabilit</w:t>
      </w:r>
      <w:r w:rsidR="00BD0B39">
        <w:t>y</w:t>
      </w:r>
      <w:r w:rsidRPr="005F7914">
        <w:t>. We also focused our disability mainstreaming efforts in water and sanitation, including a needs analysis, regular stakeholder mainstreaming workshops and integration into GoTL</w:t>
      </w:r>
      <w:r w:rsidR="006F05EC">
        <w:t>’s</w:t>
      </w:r>
      <w:r w:rsidRPr="005F7914">
        <w:t xml:space="preserve"> sanitation policy and program</w:t>
      </w:r>
      <w:r w:rsidR="00835053">
        <w:t>m</w:t>
      </w:r>
      <w:r w:rsidRPr="005F7914">
        <w:t xml:space="preserve">ing. These efforts will increase in 2011, with Timor-Leste </w:t>
      </w:r>
      <w:r w:rsidR="006F05EC">
        <w:t>one</w:t>
      </w:r>
      <w:r w:rsidRPr="005F7914">
        <w:t xml:space="preserve"> of </w:t>
      </w:r>
      <w:r w:rsidR="006F05EC">
        <w:t>two</w:t>
      </w:r>
      <w:r w:rsidRPr="005F7914">
        <w:t xml:space="preserve"> focus countries for implementation of </w:t>
      </w:r>
      <w:r w:rsidR="006F05EC">
        <w:t>Australia’s</w:t>
      </w:r>
      <w:r w:rsidR="006F05EC" w:rsidRPr="005F7914">
        <w:t xml:space="preserve"> </w:t>
      </w:r>
      <w:r w:rsidRPr="005F7914">
        <w:t>‘Development for All’ strategy</w:t>
      </w:r>
      <w:r w:rsidR="00BD0B39">
        <w:t xml:space="preserve">. </w:t>
      </w:r>
      <w:r w:rsidRPr="005F7914">
        <w:t>Additional funding from the disability budget measure will be provided for disability-specific initiatives, in addition to further consideration of options for mainstreaming disability across existing sectoral programs. This will build on work</w:t>
      </w:r>
      <w:r w:rsidR="00EA2919">
        <w:t xml:space="preserve"> accomplished</w:t>
      </w:r>
      <w:r w:rsidRPr="005F7914">
        <w:t xml:space="preserve"> to date and will be supported by the Regional Specialist, Disability-Inclusive Development (Asia). In addition to ensuring good practice disability-inclusive development, program</w:t>
      </w:r>
      <w:r w:rsidR="00EA2919">
        <w:t>m</w:t>
      </w:r>
      <w:r w:rsidRPr="005F7914">
        <w:t>ing decisions will be informed by post management capacity and prioritising mainstreaming during the analysis</w:t>
      </w:r>
      <w:r w:rsidR="00EA2919">
        <w:t xml:space="preserve"> and </w:t>
      </w:r>
      <w:r w:rsidRPr="005F7914">
        <w:t>design phase (as opposed to retrofitting).</w:t>
      </w:r>
    </w:p>
    <w:p w:rsidR="009D55F8" w:rsidRPr="005F7914" w:rsidRDefault="00DE666D" w:rsidP="009D55F8">
      <w:pPr>
        <w:pStyle w:val="Heading3"/>
        <w:keepNext/>
      </w:pPr>
      <w:bookmarkStart w:id="55" w:name="_Toc360973047"/>
      <w:r>
        <w:t>Nutrition and f</w:t>
      </w:r>
      <w:r w:rsidR="009D55F8" w:rsidRPr="005F7914">
        <w:t xml:space="preserve">ood </w:t>
      </w:r>
      <w:r>
        <w:t>s</w:t>
      </w:r>
      <w:r w:rsidR="009D55F8" w:rsidRPr="005F7914">
        <w:t>ecurity</w:t>
      </w:r>
      <w:bookmarkEnd w:id="55"/>
    </w:p>
    <w:p w:rsidR="009D55F8" w:rsidRPr="005F7914" w:rsidRDefault="009D55F8" w:rsidP="009D55F8">
      <w:pPr>
        <w:pStyle w:val="BodyText"/>
      </w:pPr>
      <w:r w:rsidRPr="005F7914">
        <w:t xml:space="preserve">Timor-Leste’s nutrition crisis and food security situation is of enormous concern to </w:t>
      </w:r>
      <w:r w:rsidR="00EA2919">
        <w:t>both countries</w:t>
      </w:r>
      <w:r w:rsidR="00BD0B39">
        <w:t xml:space="preserve">. </w:t>
      </w:r>
      <w:r w:rsidRPr="005F7914">
        <w:t>In 2011 Australia will work with the GoTL to ensure a multi-sector response to malnutrition incorporating all sectors</w:t>
      </w:r>
      <w:r w:rsidR="001C387A">
        <w:t>—</w:t>
      </w:r>
      <w:r w:rsidRPr="005F7914">
        <w:t>particularly health and education. This will complement efforts in agricultural productivity and food security, such as monitoring short-term food security, providing assistance when required and improving crop yields.</w:t>
      </w:r>
    </w:p>
    <w:p w:rsidR="002E2B9A" w:rsidRDefault="002E2B9A">
      <w:pPr>
        <w:rPr>
          <w:rFonts w:ascii="Franklin Gothic Medium" w:hAnsi="Franklin Gothic Medium"/>
          <w:color w:val="54534A"/>
          <w:sz w:val="22"/>
          <w:szCs w:val="22"/>
        </w:rPr>
      </w:pPr>
      <w:bookmarkStart w:id="56" w:name="_Toc360973048"/>
      <w:r>
        <w:br w:type="page"/>
      </w:r>
    </w:p>
    <w:p w:rsidR="009D55F8" w:rsidRPr="005F7914" w:rsidRDefault="00DE666D" w:rsidP="009D55F8">
      <w:pPr>
        <w:pStyle w:val="Heading3"/>
        <w:keepNext/>
      </w:pPr>
      <w:r>
        <w:lastRenderedPageBreak/>
        <w:t>Aid e</w:t>
      </w:r>
      <w:r w:rsidR="009D55F8" w:rsidRPr="005F7914">
        <w:t>ffectiveness</w:t>
      </w:r>
      <w:bookmarkEnd w:id="56"/>
      <w:r w:rsidR="009D55F8" w:rsidRPr="005F7914">
        <w:t xml:space="preserve"> </w:t>
      </w:r>
    </w:p>
    <w:p w:rsidR="009D55F8" w:rsidRPr="005F7914" w:rsidRDefault="009D55F8" w:rsidP="00355F20">
      <w:pPr>
        <w:pStyle w:val="BodyText"/>
      </w:pPr>
      <w:r w:rsidRPr="005F7914">
        <w:t xml:space="preserve">We continued to support GoTL’s leadership of the g7+ agenda through the </w:t>
      </w:r>
      <w:smartTag w:uri="urn:schemas-microsoft-com:office:smarttags" w:element="PersonName">
        <w:r w:rsidRPr="005F7914">
          <w:t>International</w:t>
        </w:r>
      </w:smartTag>
      <w:r w:rsidRPr="005F7914">
        <w:t xml:space="preserve"> Dialogue on Peacebuilding and S</w:t>
      </w:r>
      <w:r w:rsidR="00D224C3">
        <w:t>tate</w:t>
      </w:r>
      <w:r w:rsidRPr="005F7914">
        <w:t>building in 2010. This is providing fragile states</w:t>
      </w:r>
      <w:r w:rsidR="00EA2919">
        <w:t xml:space="preserve"> with</w:t>
      </w:r>
      <w:r w:rsidRPr="005F7914">
        <w:t xml:space="preserve"> a critical voice in the international aid effectiveness debate</w:t>
      </w:r>
      <w:r w:rsidR="00BD0B39">
        <w:t xml:space="preserve">. </w:t>
      </w:r>
      <w:r w:rsidRPr="005F7914">
        <w:t>In 2010 and early 2011</w:t>
      </w:r>
      <w:r w:rsidR="00EA2919">
        <w:t xml:space="preserve"> the</w:t>
      </w:r>
      <w:r w:rsidRPr="005F7914">
        <w:t xml:space="preserve"> GoTL and donors benchmarked current practice against principles of aid effectiveness as a platform for improvements over time. </w:t>
      </w:r>
    </w:p>
    <w:p w:rsidR="009D55F8" w:rsidRPr="005F7914" w:rsidRDefault="009D55F8" w:rsidP="00355F20">
      <w:pPr>
        <w:pStyle w:val="BodyText"/>
      </w:pPr>
      <w:r w:rsidRPr="005F7914">
        <w:rPr>
          <w:i/>
        </w:rPr>
        <w:t>Coordination:</w:t>
      </w:r>
      <w:r w:rsidRPr="005F7914">
        <w:t xml:space="preserve"> Australia led consensus building among</w:t>
      </w:r>
      <w:r w:rsidR="00EA2919">
        <w:t xml:space="preserve"> </w:t>
      </w:r>
      <w:r w:rsidRPr="005F7914">
        <w:t>leading donors around the 2010 Timor-Leste Development Partners Meeting with some success. But within sectors progress was uneven. New GoTL strategies in education, health and PFM created impetus for coordination and a platform for multi-donor designs in 2011. Substantive discussion and exchange between donors and the Go</w:t>
      </w:r>
      <w:r w:rsidR="00EA2919">
        <w:t>TL</w:t>
      </w:r>
      <w:r w:rsidRPr="005F7914">
        <w:t xml:space="preserve"> on PFM received a boost from the mid-term review of the PFM program. These achievements were in spite of weak GoTL architecture for donor coordination (</w:t>
      </w:r>
      <w:r w:rsidR="00EA2919">
        <w:t>n</w:t>
      </w:r>
      <w:r w:rsidRPr="005F7914">
        <w:t xml:space="preserve">ational </w:t>
      </w:r>
      <w:r w:rsidR="00EA2919">
        <w:t>p</w:t>
      </w:r>
      <w:r w:rsidRPr="005F7914">
        <w:t xml:space="preserve">riority </w:t>
      </w:r>
      <w:r w:rsidR="00EA2919">
        <w:t>w</w:t>
      </w:r>
      <w:r w:rsidRPr="005F7914">
        <w:t xml:space="preserve">orking </w:t>
      </w:r>
      <w:r w:rsidR="00EA2919">
        <w:t>g</w:t>
      </w:r>
      <w:r w:rsidRPr="005F7914">
        <w:t>roups), which may strengthen under the forthcoming GoTL S</w:t>
      </w:r>
      <w:r w:rsidR="006F35D5">
        <w:t>DP</w:t>
      </w:r>
      <w:r w:rsidRPr="005F7914">
        <w:t xml:space="preserve"> and </w:t>
      </w:r>
      <w:r w:rsidR="00EA2919">
        <w:t>a</w:t>
      </w:r>
      <w:r w:rsidRPr="005F7914">
        <w:t xml:space="preserve">id </w:t>
      </w:r>
      <w:r w:rsidR="00EA2919">
        <w:t>p</w:t>
      </w:r>
      <w:r w:rsidRPr="005F7914">
        <w:t xml:space="preserve">olicy. </w:t>
      </w:r>
    </w:p>
    <w:p w:rsidR="009D55F8" w:rsidRPr="005F7914" w:rsidRDefault="009D55F8" w:rsidP="00355F20">
      <w:pPr>
        <w:pStyle w:val="BodyText"/>
      </w:pPr>
      <w:r w:rsidRPr="005F7914">
        <w:rPr>
          <w:i/>
        </w:rPr>
        <w:t xml:space="preserve">Use of </w:t>
      </w:r>
      <w:r w:rsidR="00EA2919">
        <w:rPr>
          <w:i/>
        </w:rPr>
        <w:t>g</w:t>
      </w:r>
      <w:r w:rsidRPr="005F7914">
        <w:rPr>
          <w:i/>
        </w:rPr>
        <w:t>overnment PFM systems:</w:t>
      </w:r>
      <w:r w:rsidRPr="005F7914">
        <w:t xml:space="preserve"> To ensure greater sustainability of service delivery through greater </w:t>
      </w:r>
      <w:r w:rsidR="00EA2919">
        <w:t>g</w:t>
      </w:r>
      <w:r w:rsidRPr="005F7914">
        <w:t xml:space="preserve">overnment ownership, </w:t>
      </w:r>
      <w:r w:rsidR="00EA2919">
        <w:t>Australia</w:t>
      </w:r>
      <w:r w:rsidR="00EA2919" w:rsidRPr="005F7914">
        <w:t xml:space="preserve"> </w:t>
      </w:r>
      <w:r w:rsidRPr="005F7914">
        <w:t>took early steps to align</w:t>
      </w:r>
      <w:r w:rsidR="00EA2919">
        <w:t xml:space="preserve"> work</w:t>
      </w:r>
      <w:r w:rsidRPr="005F7914">
        <w:t xml:space="preserve"> with the Government’s PFM systems, including in line agencies. In water and sanitation, health and education, we are </w:t>
      </w:r>
      <w:r w:rsidR="00EA2919">
        <w:t>analysing the</w:t>
      </w:r>
      <w:r w:rsidRPr="005F7914">
        <w:t xml:space="preserve"> </w:t>
      </w:r>
      <w:r w:rsidR="00EA2919">
        <w:t>G</w:t>
      </w:r>
      <w:r w:rsidRPr="005F7914">
        <w:t>overnment</w:t>
      </w:r>
      <w:r w:rsidR="00EA2919">
        <w:t>’s</w:t>
      </w:r>
      <w:r w:rsidRPr="005F7914">
        <w:t xml:space="preserve"> PFM systems to inform their strengthening a</w:t>
      </w:r>
      <w:r w:rsidR="00EA2919">
        <w:t>nd</w:t>
      </w:r>
      <w:r w:rsidRPr="005F7914">
        <w:t xml:space="preserve"> to inform decisions about their potential use through new </w:t>
      </w:r>
      <w:r w:rsidR="00EA2919">
        <w:t>methods</w:t>
      </w:r>
      <w:r w:rsidR="00EA2919" w:rsidRPr="005F7914">
        <w:t xml:space="preserve"> </w:t>
      </w:r>
      <w:r w:rsidRPr="005F7914">
        <w:t>designed in 2011. Decisions about potential use of government PFM systems will involve balancing the fiduciary risks against the development risks of not using these systems.</w:t>
      </w:r>
    </w:p>
    <w:p w:rsidR="009D55F8" w:rsidRPr="005F7914" w:rsidRDefault="009D55F8" w:rsidP="00355F20">
      <w:pPr>
        <w:pStyle w:val="BodyText"/>
      </w:pPr>
      <w:r w:rsidRPr="005F7914">
        <w:rPr>
          <w:i/>
        </w:rPr>
        <w:t xml:space="preserve">Managing for </w:t>
      </w:r>
      <w:r w:rsidR="00EA2919">
        <w:rPr>
          <w:i/>
        </w:rPr>
        <w:t>r</w:t>
      </w:r>
      <w:r w:rsidRPr="005F7914">
        <w:rPr>
          <w:i/>
        </w:rPr>
        <w:t>esults:</w:t>
      </w:r>
      <w:r w:rsidRPr="005F7914">
        <w:t xml:space="preserve"> 2010 saw real progress in getting government’s information systems up and running</w:t>
      </w:r>
      <w:r w:rsidR="001C387A">
        <w:t>—</w:t>
      </w:r>
      <w:r w:rsidRPr="005F7914">
        <w:t xml:space="preserve">an important platform for harmonisation. The Labour Force Survey was launched; </w:t>
      </w:r>
      <w:r w:rsidR="00EA2919">
        <w:t xml:space="preserve">the </w:t>
      </w:r>
      <w:r w:rsidRPr="005F7914">
        <w:t xml:space="preserve">MoF instituted an integrated financial management information system; and a water information system now provides information on coverage, functionality and gaps. On the other hand, the </w:t>
      </w:r>
      <w:r w:rsidR="00EA2919">
        <w:t>h</w:t>
      </w:r>
      <w:r w:rsidRPr="005F7914">
        <w:t xml:space="preserve">ealth </w:t>
      </w:r>
      <w:r w:rsidR="004B7312" w:rsidRPr="004B7312">
        <w:t xml:space="preserve">management information system </w:t>
      </w:r>
      <w:r w:rsidRPr="005F7914">
        <w:t>remain</w:t>
      </w:r>
      <w:r w:rsidR="00EA2919">
        <w:t>ed</w:t>
      </w:r>
      <w:r w:rsidRPr="005F7914">
        <w:t xml:space="preserve"> disappointing, not least due to the 4000 data entry points health workers are required to submit, and there is still a way to go in agriculture and roads. Further, sustaining these new systems with</w:t>
      </w:r>
      <w:r w:rsidR="00EA2919">
        <w:t xml:space="preserve"> the</w:t>
      </w:r>
      <w:r w:rsidRPr="005F7914">
        <w:t xml:space="preserve"> GoTL and linking them to decisions remain</w:t>
      </w:r>
      <w:r w:rsidR="00EA2919">
        <w:t>ed</w:t>
      </w:r>
      <w:r w:rsidRPr="005F7914">
        <w:t xml:space="preserve"> a challenge.</w:t>
      </w:r>
    </w:p>
    <w:p w:rsidR="009D55F8" w:rsidRPr="005F7914" w:rsidRDefault="00DE666D" w:rsidP="009D55F8">
      <w:pPr>
        <w:pStyle w:val="Heading3"/>
        <w:keepNext/>
      </w:pPr>
      <w:bookmarkStart w:id="57" w:name="_Toc360973049"/>
      <w:r>
        <w:t>Policy i</w:t>
      </w:r>
      <w:r w:rsidR="009D55F8" w:rsidRPr="005F7914">
        <w:t>nfluence</w:t>
      </w:r>
      <w:bookmarkEnd w:id="57"/>
      <w:r w:rsidR="009D55F8" w:rsidRPr="005F7914">
        <w:t xml:space="preserve"> </w:t>
      </w:r>
    </w:p>
    <w:p w:rsidR="009D55F8" w:rsidRPr="005F7914" w:rsidRDefault="009D55F8" w:rsidP="009D55F8">
      <w:pPr>
        <w:pStyle w:val="BodyText"/>
      </w:pPr>
      <w:r w:rsidRPr="005F7914">
        <w:t xml:space="preserve">As noted in several QAIs, challenges were posed throughout 2010 by emerging, high-level GoTL decisions like investing in heavy oil electricity generators and instituting multiple procurement approaches to more rapidly execute its capital budget. A recently agreed bilateral annual </w:t>
      </w:r>
      <w:r w:rsidR="00EA2919">
        <w:t>discussion</w:t>
      </w:r>
      <w:r w:rsidR="00EA2919" w:rsidRPr="005F7914">
        <w:t xml:space="preserve"> </w:t>
      </w:r>
      <w:r w:rsidRPr="005F7914">
        <w:t>between the</w:t>
      </w:r>
      <w:r w:rsidR="00EA2919">
        <w:t xml:space="preserve"> two g</w:t>
      </w:r>
      <w:r w:rsidRPr="005F7914">
        <w:t>overnments is an opportunity for constructive high-level engagement around these issues</w:t>
      </w:r>
      <w:r w:rsidR="00BD0B39">
        <w:t xml:space="preserve">. </w:t>
      </w:r>
      <w:r w:rsidR="00320268">
        <w:t>T</w:t>
      </w:r>
      <w:r w:rsidRPr="005F7914">
        <w:t>o be heard on policy issues, Australia need</w:t>
      </w:r>
      <w:r w:rsidR="00EA2919">
        <w:t>s</w:t>
      </w:r>
      <w:r w:rsidRPr="005F7914">
        <w:t xml:space="preserve"> to improve its ability to provide timely, innovative and practical approaches to high-priority problems</w:t>
      </w:r>
      <w:r w:rsidR="00BD0B39">
        <w:t xml:space="preserve">. </w:t>
      </w:r>
      <w:r w:rsidRPr="005F7914">
        <w:t>Further, we will work to position ourselves as a useful partner in implementing the forthcoming S</w:t>
      </w:r>
      <w:r w:rsidR="006F35D5">
        <w:t>DP</w:t>
      </w:r>
      <w:r w:rsidR="00BD0B39">
        <w:t xml:space="preserve">. </w:t>
      </w:r>
    </w:p>
    <w:p w:rsidR="009D55F8" w:rsidRPr="005F7914" w:rsidRDefault="009D55F8" w:rsidP="009D55F8">
      <w:pPr>
        <w:pStyle w:val="BodyText"/>
      </w:pPr>
      <w:r w:rsidRPr="005F7914">
        <w:t>Within sectors of program focus, we continue to try to increase the influence of line agencies (</w:t>
      </w:r>
      <w:r w:rsidR="00320268">
        <w:t>for example,</w:t>
      </w:r>
      <w:r w:rsidRPr="005F7914">
        <w:t xml:space="preserve"> health</w:t>
      </w:r>
      <w:r w:rsidR="00EA2919">
        <w:t xml:space="preserve"> and</w:t>
      </w:r>
      <w:r w:rsidRPr="005F7914">
        <w:t xml:space="preserve"> education) on overall government resource allocation and strategy. This contributed to improvements to GoTL’s water and sanitation allocation. Recently commissioned analysis of PFM systems across key sectors (and </w:t>
      </w:r>
      <w:r w:rsidR="00EA2919">
        <w:t>discussion</w:t>
      </w:r>
      <w:r w:rsidR="00EA2919" w:rsidRPr="005F7914">
        <w:t xml:space="preserve"> </w:t>
      </w:r>
      <w:r w:rsidRPr="005F7914">
        <w:t>with</w:t>
      </w:r>
      <w:r w:rsidR="00EA2919">
        <w:t xml:space="preserve"> the</w:t>
      </w:r>
      <w:r w:rsidRPr="005F7914">
        <w:t xml:space="preserve"> GoTL about the findings) and designs of new </w:t>
      </w:r>
      <w:r w:rsidR="00EA2919">
        <w:t>ways of operating</w:t>
      </w:r>
      <w:r w:rsidR="00EA2919" w:rsidRPr="005F7914">
        <w:t xml:space="preserve"> </w:t>
      </w:r>
      <w:r w:rsidRPr="005F7914">
        <w:t xml:space="preserve">in 2011 offer real opportunities to  ensure policy engagement becomes part and parcel of the way we work. </w:t>
      </w:r>
    </w:p>
    <w:p w:rsidR="009D55F8" w:rsidRPr="005F7914" w:rsidRDefault="009D55F8" w:rsidP="009D55F8">
      <w:pPr>
        <w:pStyle w:val="Heading3"/>
        <w:keepNext/>
      </w:pPr>
      <w:bookmarkStart w:id="58" w:name="_Toc360973050"/>
      <w:r w:rsidRPr="005F7914">
        <w:lastRenderedPageBreak/>
        <w:t xml:space="preserve">Results </w:t>
      </w:r>
      <w:r w:rsidR="00DE666D">
        <w:t>f</w:t>
      </w:r>
      <w:r w:rsidRPr="005F7914">
        <w:t>ocus</w:t>
      </w:r>
      <w:bookmarkEnd w:id="58"/>
      <w:r w:rsidRPr="005F7914">
        <w:t xml:space="preserve"> </w:t>
      </w:r>
    </w:p>
    <w:p w:rsidR="009D55F8" w:rsidRPr="005F7914" w:rsidRDefault="009D55F8" w:rsidP="009D55F8">
      <w:pPr>
        <w:pStyle w:val="BodyText"/>
      </w:pPr>
      <w:r w:rsidRPr="005F7914">
        <w:t>No delivery strategies were completed in 2010 and all lagged behind designs</w:t>
      </w:r>
      <w:r w:rsidR="00BD0B39">
        <w:t xml:space="preserve">. </w:t>
      </w:r>
      <w:r w:rsidRPr="005F7914">
        <w:t>However, the drafting process informed several initiative concepts in early 2011. Key sector performance review discussions were held for the first time. The</w:t>
      </w:r>
      <w:r w:rsidR="00FC061F">
        <w:t>se</w:t>
      </w:r>
      <w:r w:rsidRPr="005F7914">
        <w:t xml:space="preserve"> aligned with draft delivery strategies and aimed to assist more systematic articulation and tracking of the national changes to which our initiatives and policy </w:t>
      </w:r>
      <w:r w:rsidR="00FC061F">
        <w:t>discussion</w:t>
      </w:r>
      <w:r w:rsidR="00FC061F" w:rsidRPr="005F7914">
        <w:t xml:space="preserve"> </w:t>
      </w:r>
      <w:r w:rsidRPr="005F7914">
        <w:t xml:space="preserve">are contributing. </w:t>
      </w:r>
    </w:p>
    <w:p w:rsidR="009D55F8" w:rsidRPr="005F7914" w:rsidRDefault="009D55F8" w:rsidP="009D55F8">
      <w:pPr>
        <w:pStyle w:val="BodyText"/>
      </w:pPr>
      <w:r w:rsidRPr="005F7914">
        <w:t xml:space="preserve">Some initiatives reversed strategic drift in 2010. For example, a mid-term review helped rein in the scope of our ADB-supervised infrastructure support, and in public sector reform we ended an ‘Additional Initiatives’ stream of disparate activities. </w:t>
      </w:r>
    </w:p>
    <w:p w:rsidR="009D55F8" w:rsidRPr="005F7914" w:rsidRDefault="009D55F8" w:rsidP="009D55F8">
      <w:pPr>
        <w:pStyle w:val="BodyText"/>
      </w:pPr>
      <w:r w:rsidRPr="005F7914">
        <w:t xml:space="preserve">Several initiatives made positive reforms to their M&amp;E approaches. However, unclear outcome reporting remained an issue in 11 of 13 QAIs. Inadequate performance information is a particular issue for </w:t>
      </w:r>
      <w:r w:rsidR="00FC061F">
        <w:t xml:space="preserve">the </w:t>
      </w:r>
      <w:r w:rsidRPr="005F7914">
        <w:t>ADB</w:t>
      </w:r>
      <w:r w:rsidR="00FC061F">
        <w:t xml:space="preserve">, </w:t>
      </w:r>
      <w:r w:rsidRPr="005F7914">
        <w:t>and most W</w:t>
      </w:r>
      <w:r w:rsidR="00FC061F">
        <w:t xml:space="preserve">orld </w:t>
      </w:r>
      <w:r w:rsidR="006F35D5">
        <w:t>B</w:t>
      </w:r>
      <w:r w:rsidR="00FC061F">
        <w:t>ank</w:t>
      </w:r>
      <w:r w:rsidRPr="005F7914">
        <w:t>-supervised initiatives</w:t>
      </w:r>
      <w:r w:rsidR="00FC061F">
        <w:t xml:space="preserve"> suffered</w:t>
      </w:r>
      <w:r w:rsidRPr="005F7914">
        <w:t xml:space="preserve"> from gaps in program logic. </w:t>
      </w:r>
      <w:r w:rsidR="00FC061F">
        <w:t>Despite</w:t>
      </w:r>
      <w:r w:rsidRPr="005F7914">
        <w:t xml:space="preserve"> improvements to the management of these programs in 2010, there is still some way to go for these inputs to produce better results. </w:t>
      </w:r>
    </w:p>
    <w:p w:rsidR="009D55F8" w:rsidRPr="005F7914" w:rsidRDefault="009D55F8" w:rsidP="009D55F8">
      <w:pPr>
        <w:pStyle w:val="Heading3"/>
        <w:keepNext/>
      </w:pPr>
      <w:bookmarkStart w:id="59" w:name="_Toc360973051"/>
      <w:r w:rsidRPr="005F7914">
        <w:t>Manageability</w:t>
      </w:r>
      <w:bookmarkEnd w:id="59"/>
    </w:p>
    <w:p w:rsidR="009D55F8" w:rsidRPr="005F7914" w:rsidRDefault="00B05170" w:rsidP="009D55F8">
      <w:pPr>
        <w:pStyle w:val="BodyText"/>
      </w:pPr>
      <w:r>
        <w:rPr>
          <w:noProof/>
          <w:lang w:val="en-US" w:eastAsia="en-US"/>
        </w:rPr>
        <mc:AlternateContent>
          <mc:Choice Requires="wpc">
            <w:drawing>
              <wp:inline distT="0" distB="0" distL="0" distR="0" wp14:anchorId="4C0492DB" wp14:editId="6682C2C5">
                <wp:extent cx="5411470" cy="3239770"/>
                <wp:effectExtent l="76200" t="0" r="0" b="17780"/>
                <wp:docPr id="1199" name="Canvas 1199" descr="Bar chart detailing the Number of Initiatives and the Spending Proposal (FMA Regulation 2009-2010) according to the Initiative's Scale:&#10;Less than #3 million: Number of Initiatives 1, Spending Proposal: $10 million.&#10;Between $3 million and $10 million: Number of Initiatives 9, Spending Proposal: $60 million.&#10;Between $10 million and $20 million: Number of Initiatives 3, Spending Proposal: $40 million.&#10;Between $20 million and $50 million: Number of Initiatives 5, Spending Proposal: $160 million.&#10;More than $50 million: Number of Initiatives 1, Spending Proposal: $80 million." title="Total Value and Number of Active Initiatives by Scale"/>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Rectangle 1201"/>
                        <wps:cNvSpPr>
                          <a:spLocks noChangeArrowheads="1"/>
                        </wps:cNvSpPr>
                        <wps:spPr bwMode="auto">
                          <a:xfrm>
                            <a:off x="47625" y="47625"/>
                            <a:ext cx="5118100" cy="2689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 name="Rectangle 1202"/>
                        <wps:cNvSpPr>
                          <a:spLocks noChangeArrowheads="1"/>
                        </wps:cNvSpPr>
                        <wps:spPr bwMode="auto">
                          <a:xfrm>
                            <a:off x="724535" y="695960"/>
                            <a:ext cx="3954780" cy="15449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1203"/>
                        <wps:cNvSpPr>
                          <a:spLocks noChangeArrowheads="1"/>
                        </wps:cNvSpPr>
                        <wps:spPr bwMode="auto">
                          <a:xfrm>
                            <a:off x="724535" y="695960"/>
                            <a:ext cx="3954780" cy="1544955"/>
                          </a:xfrm>
                          <a:prstGeom prst="rect">
                            <a:avLst/>
                          </a:prstGeom>
                          <a:noFill/>
                          <a:ln w="0">
                            <a:solidFill>
                              <a:srgbClr val="96969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Rectangle 1204"/>
                        <wps:cNvSpPr>
                          <a:spLocks noChangeArrowheads="1"/>
                        </wps:cNvSpPr>
                        <wps:spPr bwMode="auto">
                          <a:xfrm>
                            <a:off x="924560" y="2145665"/>
                            <a:ext cx="400050" cy="95250"/>
                          </a:xfrm>
                          <a:prstGeom prst="rect">
                            <a:avLst/>
                          </a:prstGeom>
                          <a:solidFill>
                            <a:srgbClr val="0066CC"/>
                          </a:solidFill>
                          <a:ln w="9525">
                            <a:solidFill>
                              <a:srgbClr val="000000"/>
                            </a:solidFill>
                            <a:miter lim="800000"/>
                            <a:headEnd/>
                            <a:tailEnd/>
                          </a:ln>
                        </wps:spPr>
                        <wps:bodyPr rot="0" vert="horz" wrap="square" lIns="91440" tIns="45720" rIns="91440" bIns="45720" anchor="t" anchorCtr="0" upright="1">
                          <a:noAutofit/>
                        </wps:bodyPr>
                      </wps:wsp>
                      <wps:wsp>
                        <wps:cNvPr id="6" name="Rectangle 1205"/>
                        <wps:cNvSpPr>
                          <a:spLocks noChangeArrowheads="1"/>
                        </wps:cNvSpPr>
                        <wps:spPr bwMode="auto">
                          <a:xfrm>
                            <a:off x="1715770" y="1744980"/>
                            <a:ext cx="400050" cy="495935"/>
                          </a:xfrm>
                          <a:prstGeom prst="rect">
                            <a:avLst/>
                          </a:prstGeom>
                          <a:solidFill>
                            <a:srgbClr val="0066CC"/>
                          </a:solidFill>
                          <a:ln w="9525">
                            <a:solidFill>
                              <a:srgbClr val="000000"/>
                            </a:solidFill>
                            <a:miter lim="800000"/>
                            <a:headEnd/>
                            <a:tailEnd/>
                          </a:ln>
                        </wps:spPr>
                        <wps:bodyPr rot="0" vert="horz" wrap="square" lIns="91440" tIns="45720" rIns="91440" bIns="45720" anchor="t" anchorCtr="0" upright="1">
                          <a:noAutofit/>
                        </wps:bodyPr>
                      </wps:wsp>
                      <wps:wsp>
                        <wps:cNvPr id="7" name="Rectangle 1206"/>
                        <wps:cNvSpPr>
                          <a:spLocks noChangeArrowheads="1"/>
                        </wps:cNvSpPr>
                        <wps:spPr bwMode="auto">
                          <a:xfrm>
                            <a:off x="2506345" y="1868805"/>
                            <a:ext cx="400685" cy="372110"/>
                          </a:xfrm>
                          <a:prstGeom prst="rect">
                            <a:avLst/>
                          </a:prstGeom>
                          <a:solidFill>
                            <a:srgbClr val="0066CC"/>
                          </a:solidFill>
                          <a:ln w="9525">
                            <a:solidFill>
                              <a:srgbClr val="000000"/>
                            </a:solidFill>
                            <a:miter lim="800000"/>
                            <a:headEnd/>
                            <a:tailEnd/>
                          </a:ln>
                        </wps:spPr>
                        <wps:bodyPr rot="0" vert="horz" wrap="square" lIns="91440" tIns="45720" rIns="91440" bIns="45720" anchor="t" anchorCtr="0" upright="1">
                          <a:noAutofit/>
                        </wps:bodyPr>
                      </wps:wsp>
                      <wps:wsp>
                        <wps:cNvPr id="8" name="Rectangle 1207"/>
                        <wps:cNvSpPr>
                          <a:spLocks noChangeArrowheads="1"/>
                        </wps:cNvSpPr>
                        <wps:spPr bwMode="auto">
                          <a:xfrm>
                            <a:off x="3297555" y="868045"/>
                            <a:ext cx="400685" cy="1372870"/>
                          </a:xfrm>
                          <a:prstGeom prst="rect">
                            <a:avLst/>
                          </a:prstGeom>
                          <a:solidFill>
                            <a:srgbClr val="0066CC"/>
                          </a:solidFill>
                          <a:ln w="9525">
                            <a:solidFill>
                              <a:srgbClr val="000000"/>
                            </a:solidFill>
                            <a:miter lim="800000"/>
                            <a:headEnd/>
                            <a:tailEnd/>
                          </a:ln>
                        </wps:spPr>
                        <wps:bodyPr rot="0" vert="horz" wrap="square" lIns="91440" tIns="45720" rIns="91440" bIns="45720" anchor="t" anchorCtr="0" upright="1">
                          <a:noAutofit/>
                        </wps:bodyPr>
                      </wps:wsp>
                      <wps:wsp>
                        <wps:cNvPr id="9" name="Rectangle 1208"/>
                        <wps:cNvSpPr>
                          <a:spLocks noChangeArrowheads="1"/>
                        </wps:cNvSpPr>
                        <wps:spPr bwMode="auto">
                          <a:xfrm>
                            <a:off x="4088765" y="1535430"/>
                            <a:ext cx="400050" cy="705485"/>
                          </a:xfrm>
                          <a:prstGeom prst="rect">
                            <a:avLst/>
                          </a:prstGeom>
                          <a:solidFill>
                            <a:srgbClr val="0066CC"/>
                          </a:solidFill>
                          <a:ln w="9525">
                            <a:solidFill>
                              <a:srgbClr val="000000"/>
                            </a:solidFill>
                            <a:miter lim="800000"/>
                            <a:headEnd/>
                            <a:tailEnd/>
                          </a:ln>
                        </wps:spPr>
                        <wps:bodyPr rot="0" vert="horz" wrap="square" lIns="91440" tIns="45720" rIns="91440" bIns="45720" anchor="t" anchorCtr="0" upright="1">
                          <a:noAutofit/>
                        </wps:bodyPr>
                      </wps:wsp>
                      <wps:wsp>
                        <wps:cNvPr id="10" name="Rectangle 1209"/>
                        <wps:cNvSpPr>
                          <a:spLocks noChangeArrowheads="1"/>
                        </wps:cNvSpPr>
                        <wps:spPr bwMode="auto">
                          <a:xfrm>
                            <a:off x="1019810" y="915670"/>
                            <a:ext cx="200025" cy="1325245"/>
                          </a:xfrm>
                          <a:prstGeom prst="re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wps:wsp>
                        <wps:cNvPr id="11" name="Rectangle 1210"/>
                        <wps:cNvSpPr>
                          <a:spLocks noChangeArrowheads="1"/>
                        </wps:cNvSpPr>
                        <wps:spPr bwMode="auto">
                          <a:xfrm>
                            <a:off x="1811020" y="1249045"/>
                            <a:ext cx="200025" cy="991870"/>
                          </a:xfrm>
                          <a:prstGeom prst="re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wps:wsp>
                        <wps:cNvPr id="12" name="Rectangle 1211"/>
                        <wps:cNvSpPr>
                          <a:spLocks noChangeArrowheads="1"/>
                        </wps:cNvSpPr>
                        <wps:spPr bwMode="auto">
                          <a:xfrm>
                            <a:off x="2601595" y="1906905"/>
                            <a:ext cx="200660" cy="334010"/>
                          </a:xfrm>
                          <a:prstGeom prst="re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wps:wsp>
                        <wps:cNvPr id="13" name="Rectangle 1212"/>
                        <wps:cNvSpPr>
                          <a:spLocks noChangeArrowheads="1"/>
                        </wps:cNvSpPr>
                        <wps:spPr bwMode="auto">
                          <a:xfrm>
                            <a:off x="3392805" y="1687830"/>
                            <a:ext cx="200025" cy="553085"/>
                          </a:xfrm>
                          <a:prstGeom prst="re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wps:wsp>
                        <wps:cNvPr id="14" name="Rectangle 1213"/>
                        <wps:cNvSpPr>
                          <a:spLocks noChangeArrowheads="1"/>
                        </wps:cNvSpPr>
                        <wps:spPr bwMode="auto">
                          <a:xfrm>
                            <a:off x="4184015" y="2126615"/>
                            <a:ext cx="200025" cy="114300"/>
                          </a:xfrm>
                          <a:prstGeom prst="re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wps:wsp>
                        <wps:cNvPr id="15" name="Line 1214"/>
                        <wps:cNvCnPr/>
                        <wps:spPr bwMode="auto">
                          <a:xfrm>
                            <a:off x="724535" y="695960"/>
                            <a:ext cx="0" cy="154495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6" name="Line 1215"/>
                        <wps:cNvCnPr/>
                        <wps:spPr bwMode="auto">
                          <a:xfrm>
                            <a:off x="695960" y="2240915"/>
                            <a:ext cx="2857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7" name="Line 1216"/>
                        <wps:cNvCnPr/>
                        <wps:spPr bwMode="auto">
                          <a:xfrm>
                            <a:off x="695960" y="2069465"/>
                            <a:ext cx="2857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8" name="Line 1217"/>
                        <wps:cNvCnPr/>
                        <wps:spPr bwMode="auto">
                          <a:xfrm>
                            <a:off x="695960" y="1897380"/>
                            <a:ext cx="2857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9" name="Line 1218"/>
                        <wps:cNvCnPr/>
                        <wps:spPr bwMode="auto">
                          <a:xfrm>
                            <a:off x="695960" y="1725930"/>
                            <a:ext cx="2857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0" name="Line 1219"/>
                        <wps:cNvCnPr/>
                        <wps:spPr bwMode="auto">
                          <a:xfrm>
                            <a:off x="695960" y="1554480"/>
                            <a:ext cx="2857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1" name="Line 1220"/>
                        <wps:cNvCnPr/>
                        <wps:spPr bwMode="auto">
                          <a:xfrm>
                            <a:off x="695960" y="1382395"/>
                            <a:ext cx="2857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2" name="Line 1221"/>
                        <wps:cNvCnPr/>
                        <wps:spPr bwMode="auto">
                          <a:xfrm>
                            <a:off x="695960" y="1210945"/>
                            <a:ext cx="2857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3" name="Line 1222"/>
                        <wps:cNvCnPr/>
                        <wps:spPr bwMode="auto">
                          <a:xfrm>
                            <a:off x="695960" y="1039495"/>
                            <a:ext cx="2857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4" name="Line 1223"/>
                        <wps:cNvCnPr/>
                        <wps:spPr bwMode="auto">
                          <a:xfrm>
                            <a:off x="695960" y="868045"/>
                            <a:ext cx="2857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5" name="Line 1224"/>
                        <wps:cNvCnPr/>
                        <wps:spPr bwMode="auto">
                          <a:xfrm>
                            <a:off x="695960" y="695960"/>
                            <a:ext cx="2857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6" name="Line 1225"/>
                        <wps:cNvCnPr/>
                        <wps:spPr bwMode="auto">
                          <a:xfrm>
                            <a:off x="724535" y="2240915"/>
                            <a:ext cx="395478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7" name="Line 1226"/>
                        <wps:cNvCnPr/>
                        <wps:spPr bwMode="auto">
                          <a:xfrm flipV="1">
                            <a:off x="724535" y="2240915"/>
                            <a:ext cx="0" cy="2857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8" name="Line 1227"/>
                        <wps:cNvCnPr/>
                        <wps:spPr bwMode="auto">
                          <a:xfrm flipV="1">
                            <a:off x="1515110" y="2240915"/>
                            <a:ext cx="0" cy="2857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9" name="Line 1228"/>
                        <wps:cNvCnPr/>
                        <wps:spPr bwMode="auto">
                          <a:xfrm flipV="1">
                            <a:off x="2306320" y="2240915"/>
                            <a:ext cx="0" cy="2857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0" name="Line 1229"/>
                        <wps:cNvCnPr/>
                        <wps:spPr bwMode="auto">
                          <a:xfrm flipV="1">
                            <a:off x="3097530" y="2240915"/>
                            <a:ext cx="0" cy="2857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1" name="Line 1230"/>
                        <wps:cNvCnPr/>
                        <wps:spPr bwMode="auto">
                          <a:xfrm flipV="1">
                            <a:off x="3888740" y="2240915"/>
                            <a:ext cx="0" cy="2857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57" name="Line 1231"/>
                        <wps:cNvCnPr/>
                        <wps:spPr bwMode="auto">
                          <a:xfrm flipV="1">
                            <a:off x="4679315" y="2240915"/>
                            <a:ext cx="0" cy="2857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58" name="Line 1232"/>
                        <wps:cNvCnPr/>
                        <wps:spPr bwMode="auto">
                          <a:xfrm>
                            <a:off x="4679315" y="695960"/>
                            <a:ext cx="0" cy="154495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59" name="Line 1233"/>
                        <wps:cNvCnPr/>
                        <wps:spPr bwMode="auto">
                          <a:xfrm>
                            <a:off x="4679315" y="2240915"/>
                            <a:ext cx="2921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60" name="Line 1234"/>
                        <wps:cNvCnPr/>
                        <wps:spPr bwMode="auto">
                          <a:xfrm>
                            <a:off x="4679315" y="2021840"/>
                            <a:ext cx="2921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61" name="Line 1235"/>
                        <wps:cNvCnPr/>
                        <wps:spPr bwMode="auto">
                          <a:xfrm>
                            <a:off x="4679315" y="1802130"/>
                            <a:ext cx="2921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63" name="Line 1236"/>
                        <wps:cNvCnPr/>
                        <wps:spPr bwMode="auto">
                          <a:xfrm>
                            <a:off x="4679315" y="1583055"/>
                            <a:ext cx="2921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64" name="Line 1237"/>
                        <wps:cNvCnPr/>
                        <wps:spPr bwMode="auto">
                          <a:xfrm>
                            <a:off x="4679315" y="1353820"/>
                            <a:ext cx="2921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65" name="Line 1238"/>
                        <wps:cNvCnPr/>
                        <wps:spPr bwMode="auto">
                          <a:xfrm>
                            <a:off x="4679315" y="1134745"/>
                            <a:ext cx="2921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66" name="Line 1239"/>
                        <wps:cNvCnPr/>
                        <wps:spPr bwMode="auto">
                          <a:xfrm>
                            <a:off x="4679315" y="915670"/>
                            <a:ext cx="2921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67" name="Line 1240"/>
                        <wps:cNvCnPr/>
                        <wps:spPr bwMode="auto">
                          <a:xfrm>
                            <a:off x="4679315" y="695960"/>
                            <a:ext cx="2921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68" name="Rectangle 1241"/>
                        <wps:cNvSpPr>
                          <a:spLocks noChangeArrowheads="1"/>
                        </wps:cNvSpPr>
                        <wps:spPr bwMode="auto">
                          <a:xfrm>
                            <a:off x="953135" y="133350"/>
                            <a:ext cx="275717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53D9" w:rsidRDefault="008153D9" w:rsidP="006B6177">
                              <w:r>
                                <w:rPr>
                                  <w:rFonts w:ascii="Arial" w:hAnsi="Arial" w:cs="Arial"/>
                                  <w:b/>
                                  <w:bCs/>
                                  <w:color w:val="000000"/>
                                  <w:sz w:val="18"/>
                                  <w:szCs w:val="18"/>
                                  <w:lang w:val="en-US"/>
                                </w:rPr>
                                <w:t>Total value and number of active initiatives by scal</w:t>
                              </w:r>
                            </w:p>
                          </w:txbxContent>
                        </wps:txbx>
                        <wps:bodyPr rot="0" vert="horz" wrap="none" lIns="0" tIns="0" rIns="0" bIns="0" anchor="t" anchorCtr="0" upright="1">
                          <a:spAutoFit/>
                        </wps:bodyPr>
                      </wps:wsp>
                      <wps:wsp>
                        <wps:cNvPr id="269" name="Rectangle 1242"/>
                        <wps:cNvSpPr>
                          <a:spLocks noChangeArrowheads="1"/>
                        </wps:cNvSpPr>
                        <wps:spPr bwMode="auto">
                          <a:xfrm>
                            <a:off x="1076960" y="772160"/>
                            <a:ext cx="85090" cy="963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53D9" w:rsidRDefault="008153D9" w:rsidP="009D55F8">
                              <w:r>
                                <w:rPr>
                                  <w:rFonts w:ascii="Small Fonts" w:hAnsi="Small Fonts" w:cs="Small Fonts"/>
                                  <w:color w:val="333333"/>
                                  <w:sz w:val="12"/>
                                  <w:szCs w:val="12"/>
                                  <w:lang w:val="en-US"/>
                                </w:rPr>
                                <w:t>12</w:t>
                              </w:r>
                            </w:p>
                            <w:p w:rsidR="008153D9" w:rsidRDefault="008153D9" w:rsidP="009D55F8"/>
                            <w:p w:rsidR="008153D9" w:rsidRDefault="008153D9" w:rsidP="009D55F8"/>
                            <w:p w:rsidR="008153D9" w:rsidRDefault="008153D9" w:rsidP="009D55F8"/>
                            <w:p w:rsidR="008153D9" w:rsidRDefault="008153D9" w:rsidP="009D55F8"/>
                            <w:p w:rsidR="008153D9" w:rsidRDefault="008153D9" w:rsidP="009D55F8"/>
                            <w:p w:rsidR="008153D9" w:rsidRDefault="008153D9" w:rsidP="009D55F8"/>
                          </w:txbxContent>
                        </wps:txbx>
                        <wps:bodyPr rot="0" vert="horz" wrap="none" lIns="0" tIns="0" rIns="0" bIns="0" anchor="t" anchorCtr="0" upright="1">
                          <a:spAutoFit/>
                        </wps:bodyPr>
                      </wps:wsp>
                      <wps:wsp>
                        <wps:cNvPr id="270" name="Rectangle 1243"/>
                        <wps:cNvSpPr>
                          <a:spLocks noChangeArrowheads="1"/>
                        </wps:cNvSpPr>
                        <wps:spPr bwMode="auto">
                          <a:xfrm>
                            <a:off x="1887220" y="1106170"/>
                            <a:ext cx="57785" cy="963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53D9" w:rsidRDefault="008153D9" w:rsidP="009D55F8">
                              <w:r>
                                <w:rPr>
                                  <w:rFonts w:ascii="Small Fonts" w:hAnsi="Small Fonts" w:cs="Small Fonts"/>
                                  <w:color w:val="333333"/>
                                  <w:sz w:val="12"/>
                                  <w:szCs w:val="12"/>
                                  <w:lang w:val="en-US"/>
                                </w:rPr>
                                <w:t>9</w:t>
                              </w:r>
                            </w:p>
                            <w:p w:rsidR="008153D9" w:rsidRDefault="008153D9" w:rsidP="009D55F8"/>
                            <w:p w:rsidR="008153D9" w:rsidRDefault="008153D9" w:rsidP="009D55F8"/>
                            <w:p w:rsidR="008153D9" w:rsidRDefault="008153D9" w:rsidP="009D55F8"/>
                            <w:p w:rsidR="008153D9" w:rsidRDefault="008153D9" w:rsidP="009D55F8"/>
                            <w:p w:rsidR="008153D9" w:rsidRDefault="008153D9" w:rsidP="009D55F8"/>
                            <w:p w:rsidR="008153D9" w:rsidRDefault="008153D9" w:rsidP="009D55F8"/>
                          </w:txbxContent>
                        </wps:txbx>
                        <wps:bodyPr rot="0" vert="horz" wrap="none" lIns="0" tIns="0" rIns="0" bIns="0" anchor="t" anchorCtr="0" upright="1">
                          <a:spAutoFit/>
                        </wps:bodyPr>
                      </wps:wsp>
                      <wps:wsp>
                        <wps:cNvPr id="271" name="Rectangle 1244"/>
                        <wps:cNvSpPr>
                          <a:spLocks noChangeArrowheads="1"/>
                        </wps:cNvSpPr>
                        <wps:spPr bwMode="auto">
                          <a:xfrm>
                            <a:off x="2678430" y="1764030"/>
                            <a:ext cx="57785" cy="963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53D9" w:rsidRDefault="008153D9" w:rsidP="009D55F8">
                              <w:r>
                                <w:rPr>
                                  <w:rFonts w:ascii="Small Fonts" w:hAnsi="Small Fonts" w:cs="Small Fonts"/>
                                  <w:color w:val="333333"/>
                                  <w:sz w:val="12"/>
                                  <w:szCs w:val="12"/>
                                  <w:lang w:val="en-US"/>
                                </w:rPr>
                                <w:t>3</w:t>
                              </w:r>
                            </w:p>
                            <w:p w:rsidR="008153D9" w:rsidRDefault="008153D9" w:rsidP="009D55F8"/>
                            <w:p w:rsidR="008153D9" w:rsidRDefault="008153D9" w:rsidP="009D55F8"/>
                            <w:p w:rsidR="008153D9" w:rsidRDefault="008153D9" w:rsidP="009D55F8"/>
                            <w:p w:rsidR="008153D9" w:rsidRDefault="008153D9" w:rsidP="009D55F8"/>
                            <w:p w:rsidR="008153D9" w:rsidRDefault="008153D9" w:rsidP="009D55F8"/>
                            <w:p w:rsidR="008153D9" w:rsidRDefault="008153D9" w:rsidP="009D55F8"/>
                          </w:txbxContent>
                        </wps:txbx>
                        <wps:bodyPr rot="0" vert="horz" wrap="none" lIns="0" tIns="0" rIns="0" bIns="0" anchor="t" anchorCtr="0" upright="1">
                          <a:spAutoFit/>
                        </wps:bodyPr>
                      </wps:wsp>
                      <wps:wsp>
                        <wps:cNvPr id="272" name="Rectangle 1245"/>
                        <wps:cNvSpPr>
                          <a:spLocks noChangeArrowheads="1"/>
                        </wps:cNvSpPr>
                        <wps:spPr bwMode="auto">
                          <a:xfrm>
                            <a:off x="3469005" y="1544955"/>
                            <a:ext cx="327025" cy="233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53D9" w:rsidRDefault="008153D9" w:rsidP="009D55F8">
                              <w:r>
                                <w:rPr>
                                  <w:rFonts w:ascii="Small Fonts" w:hAnsi="Small Fonts" w:cs="Small Fonts"/>
                                  <w:color w:val="333333"/>
                                  <w:sz w:val="12"/>
                                  <w:szCs w:val="12"/>
                                  <w:lang w:val="en-US"/>
                                </w:rPr>
                                <w:t>5</w:t>
                              </w:r>
                            </w:p>
                            <w:p w:rsidR="008153D9" w:rsidRDefault="008153D9"/>
                          </w:txbxContent>
                        </wps:txbx>
                        <wps:bodyPr rot="0" vert="horz" wrap="square" lIns="0" tIns="0" rIns="0" bIns="0" anchor="t" anchorCtr="0" upright="1">
                          <a:spAutoFit/>
                        </wps:bodyPr>
                      </wps:wsp>
                      <wps:wsp>
                        <wps:cNvPr id="273" name="Rectangle 1246"/>
                        <wps:cNvSpPr>
                          <a:spLocks noChangeArrowheads="1"/>
                        </wps:cNvSpPr>
                        <wps:spPr bwMode="auto">
                          <a:xfrm>
                            <a:off x="4269740" y="1983740"/>
                            <a:ext cx="57785" cy="1256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53D9" w:rsidRDefault="008153D9" w:rsidP="009D55F8">
                              <w:r>
                                <w:rPr>
                                  <w:rFonts w:ascii="Small Fonts" w:hAnsi="Small Fonts" w:cs="Small Fonts"/>
                                  <w:color w:val="333333"/>
                                  <w:sz w:val="12"/>
                                  <w:szCs w:val="12"/>
                                  <w:lang w:val="en-US"/>
                                </w:rPr>
                                <w:t>1</w:t>
                              </w:r>
                            </w:p>
                            <w:p w:rsidR="008153D9" w:rsidRDefault="008153D9" w:rsidP="009D55F8"/>
                            <w:p w:rsidR="008153D9" w:rsidRDefault="008153D9" w:rsidP="009D55F8"/>
                            <w:p w:rsidR="008153D9" w:rsidRDefault="008153D9" w:rsidP="009D55F8"/>
                            <w:p w:rsidR="008153D9" w:rsidRDefault="008153D9" w:rsidP="009D55F8"/>
                            <w:p w:rsidR="008153D9" w:rsidRDefault="008153D9" w:rsidP="009D55F8"/>
                            <w:p w:rsidR="008153D9" w:rsidRDefault="008153D9" w:rsidP="009D55F8"/>
                            <w:p w:rsidR="008153D9" w:rsidRDefault="008153D9" w:rsidP="009D55F8"/>
                            <w:p w:rsidR="008153D9" w:rsidRDefault="008153D9" w:rsidP="009D55F8"/>
                          </w:txbxContent>
                        </wps:txbx>
                        <wps:bodyPr rot="0" vert="horz" wrap="none" lIns="0" tIns="0" rIns="0" bIns="0" anchor="t" anchorCtr="0" upright="1">
                          <a:spAutoFit/>
                        </wps:bodyPr>
                      </wps:wsp>
                      <wps:wsp>
                        <wps:cNvPr id="275" name="Rectangle 1247"/>
                        <wps:cNvSpPr>
                          <a:spLocks noChangeArrowheads="1"/>
                        </wps:cNvSpPr>
                        <wps:spPr bwMode="auto">
                          <a:xfrm>
                            <a:off x="591185" y="2174240"/>
                            <a:ext cx="57785" cy="706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53D9" w:rsidRDefault="008153D9" w:rsidP="009D55F8">
                              <w:r>
                                <w:rPr>
                                  <w:rFonts w:ascii="Tahoma" w:hAnsi="Tahoma" w:cs="Tahoma"/>
                                  <w:color w:val="333333"/>
                                  <w:sz w:val="16"/>
                                  <w:szCs w:val="16"/>
                                  <w:lang w:val="en-US"/>
                                </w:rPr>
                                <w:t>0</w:t>
                              </w:r>
                            </w:p>
                            <w:p w:rsidR="008153D9" w:rsidRDefault="008153D9" w:rsidP="009D55F8"/>
                            <w:p w:rsidR="008153D9" w:rsidRDefault="008153D9" w:rsidP="009D55F8"/>
                            <w:p w:rsidR="008153D9" w:rsidRDefault="008153D9" w:rsidP="009D55F8"/>
                            <w:p w:rsidR="008153D9" w:rsidRDefault="008153D9" w:rsidP="009D55F8"/>
                          </w:txbxContent>
                        </wps:txbx>
                        <wps:bodyPr rot="0" vert="horz" wrap="none" lIns="0" tIns="0" rIns="0" bIns="0" anchor="t" anchorCtr="0" upright="1">
                          <a:spAutoFit/>
                        </wps:bodyPr>
                      </wps:wsp>
                      <wps:wsp>
                        <wps:cNvPr id="276" name="Rectangle 1248"/>
                        <wps:cNvSpPr>
                          <a:spLocks noChangeArrowheads="1"/>
                        </wps:cNvSpPr>
                        <wps:spPr bwMode="auto">
                          <a:xfrm>
                            <a:off x="534035" y="2002790"/>
                            <a:ext cx="111125" cy="706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53D9" w:rsidRDefault="008153D9" w:rsidP="009D55F8">
                              <w:r>
                                <w:rPr>
                                  <w:rFonts w:ascii="Tahoma" w:hAnsi="Tahoma" w:cs="Tahoma"/>
                                  <w:color w:val="333333"/>
                                  <w:sz w:val="16"/>
                                  <w:szCs w:val="16"/>
                                  <w:lang w:val="en-US"/>
                                </w:rPr>
                                <w:t>20</w:t>
                              </w:r>
                            </w:p>
                            <w:p w:rsidR="008153D9" w:rsidRDefault="008153D9" w:rsidP="009D55F8"/>
                            <w:p w:rsidR="008153D9" w:rsidRDefault="008153D9" w:rsidP="009D55F8"/>
                            <w:p w:rsidR="008153D9" w:rsidRDefault="008153D9" w:rsidP="009D55F8"/>
                            <w:p w:rsidR="008153D9" w:rsidRDefault="008153D9" w:rsidP="009D55F8"/>
                          </w:txbxContent>
                        </wps:txbx>
                        <wps:bodyPr rot="0" vert="horz" wrap="none" lIns="0" tIns="0" rIns="0" bIns="0" anchor="t" anchorCtr="0" upright="1">
                          <a:spAutoFit/>
                        </wps:bodyPr>
                      </wps:wsp>
                      <wps:wsp>
                        <wps:cNvPr id="277" name="Rectangle 1249"/>
                        <wps:cNvSpPr>
                          <a:spLocks noChangeArrowheads="1"/>
                        </wps:cNvSpPr>
                        <wps:spPr bwMode="auto">
                          <a:xfrm>
                            <a:off x="534035" y="1830705"/>
                            <a:ext cx="111125" cy="706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53D9" w:rsidRDefault="008153D9" w:rsidP="009D55F8">
                              <w:r>
                                <w:rPr>
                                  <w:rFonts w:ascii="Tahoma" w:hAnsi="Tahoma" w:cs="Tahoma"/>
                                  <w:color w:val="333333"/>
                                  <w:sz w:val="16"/>
                                  <w:szCs w:val="16"/>
                                  <w:lang w:val="en-US"/>
                                </w:rPr>
                                <w:t>40</w:t>
                              </w:r>
                            </w:p>
                            <w:p w:rsidR="008153D9" w:rsidRDefault="008153D9" w:rsidP="009D55F8"/>
                            <w:p w:rsidR="008153D9" w:rsidRDefault="008153D9" w:rsidP="009D55F8"/>
                            <w:p w:rsidR="008153D9" w:rsidRDefault="008153D9" w:rsidP="009D55F8"/>
                            <w:p w:rsidR="008153D9" w:rsidRDefault="008153D9" w:rsidP="009D55F8"/>
                          </w:txbxContent>
                        </wps:txbx>
                        <wps:bodyPr rot="0" vert="horz" wrap="none" lIns="0" tIns="0" rIns="0" bIns="0" anchor="t" anchorCtr="0" upright="1">
                          <a:spAutoFit/>
                        </wps:bodyPr>
                      </wps:wsp>
                      <wps:wsp>
                        <wps:cNvPr id="278" name="Rectangle 1250"/>
                        <wps:cNvSpPr>
                          <a:spLocks noChangeArrowheads="1"/>
                        </wps:cNvSpPr>
                        <wps:spPr bwMode="auto">
                          <a:xfrm>
                            <a:off x="534035" y="1659255"/>
                            <a:ext cx="111125" cy="706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53D9" w:rsidRDefault="008153D9" w:rsidP="009D55F8">
                              <w:r>
                                <w:rPr>
                                  <w:rFonts w:ascii="Tahoma" w:hAnsi="Tahoma" w:cs="Tahoma"/>
                                  <w:color w:val="333333"/>
                                  <w:sz w:val="16"/>
                                  <w:szCs w:val="16"/>
                                  <w:lang w:val="en-US"/>
                                </w:rPr>
                                <w:t>60</w:t>
                              </w:r>
                            </w:p>
                            <w:p w:rsidR="008153D9" w:rsidRDefault="008153D9" w:rsidP="009D55F8"/>
                            <w:p w:rsidR="008153D9" w:rsidRDefault="008153D9" w:rsidP="009D55F8"/>
                            <w:p w:rsidR="008153D9" w:rsidRDefault="008153D9" w:rsidP="009D55F8"/>
                            <w:p w:rsidR="008153D9" w:rsidRDefault="008153D9" w:rsidP="009D55F8"/>
                          </w:txbxContent>
                        </wps:txbx>
                        <wps:bodyPr rot="0" vert="horz" wrap="none" lIns="0" tIns="0" rIns="0" bIns="0" anchor="t" anchorCtr="0" upright="1">
                          <a:spAutoFit/>
                        </wps:bodyPr>
                      </wps:wsp>
                      <wps:wsp>
                        <wps:cNvPr id="279" name="Rectangle 1251"/>
                        <wps:cNvSpPr>
                          <a:spLocks noChangeArrowheads="1"/>
                        </wps:cNvSpPr>
                        <wps:spPr bwMode="auto">
                          <a:xfrm>
                            <a:off x="534035" y="1487805"/>
                            <a:ext cx="111125" cy="706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53D9" w:rsidRDefault="008153D9" w:rsidP="009D55F8">
                              <w:r>
                                <w:rPr>
                                  <w:rFonts w:ascii="Tahoma" w:hAnsi="Tahoma" w:cs="Tahoma"/>
                                  <w:color w:val="333333"/>
                                  <w:sz w:val="16"/>
                                  <w:szCs w:val="16"/>
                                  <w:lang w:val="en-US"/>
                                </w:rPr>
                                <w:t>80</w:t>
                              </w:r>
                            </w:p>
                            <w:p w:rsidR="008153D9" w:rsidRDefault="008153D9" w:rsidP="009D55F8"/>
                            <w:p w:rsidR="008153D9" w:rsidRDefault="008153D9" w:rsidP="009D55F8"/>
                            <w:p w:rsidR="008153D9" w:rsidRDefault="008153D9" w:rsidP="009D55F8"/>
                            <w:p w:rsidR="008153D9" w:rsidRDefault="008153D9" w:rsidP="009D55F8"/>
                          </w:txbxContent>
                        </wps:txbx>
                        <wps:bodyPr rot="0" vert="horz" wrap="none" lIns="0" tIns="0" rIns="0" bIns="0" anchor="t" anchorCtr="0" upright="1">
                          <a:spAutoFit/>
                        </wps:bodyPr>
                      </wps:wsp>
                      <wps:wsp>
                        <wps:cNvPr id="280" name="Rectangle 1252"/>
                        <wps:cNvSpPr>
                          <a:spLocks noChangeArrowheads="1"/>
                        </wps:cNvSpPr>
                        <wps:spPr bwMode="auto">
                          <a:xfrm>
                            <a:off x="476250" y="1315720"/>
                            <a:ext cx="167005" cy="706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53D9" w:rsidRDefault="008153D9" w:rsidP="009D55F8">
                              <w:r>
                                <w:rPr>
                                  <w:rFonts w:ascii="Tahoma" w:hAnsi="Tahoma" w:cs="Tahoma"/>
                                  <w:color w:val="333333"/>
                                  <w:sz w:val="16"/>
                                  <w:szCs w:val="16"/>
                                  <w:lang w:val="en-US"/>
                                </w:rPr>
                                <w:t>100</w:t>
                              </w:r>
                            </w:p>
                            <w:p w:rsidR="008153D9" w:rsidRDefault="008153D9" w:rsidP="009D55F8"/>
                            <w:p w:rsidR="008153D9" w:rsidRDefault="008153D9" w:rsidP="009D55F8"/>
                            <w:p w:rsidR="008153D9" w:rsidRDefault="008153D9" w:rsidP="009D55F8"/>
                            <w:p w:rsidR="008153D9" w:rsidRDefault="008153D9" w:rsidP="009D55F8"/>
                          </w:txbxContent>
                        </wps:txbx>
                        <wps:bodyPr rot="0" vert="horz" wrap="none" lIns="0" tIns="0" rIns="0" bIns="0" anchor="t" anchorCtr="0" upright="1">
                          <a:spAutoFit/>
                        </wps:bodyPr>
                      </wps:wsp>
                      <wps:wsp>
                        <wps:cNvPr id="281" name="Rectangle 1253"/>
                        <wps:cNvSpPr>
                          <a:spLocks noChangeArrowheads="1"/>
                        </wps:cNvSpPr>
                        <wps:spPr bwMode="auto">
                          <a:xfrm>
                            <a:off x="476250" y="1144270"/>
                            <a:ext cx="167005" cy="706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53D9" w:rsidRDefault="008153D9" w:rsidP="009D55F8">
                              <w:r>
                                <w:rPr>
                                  <w:rFonts w:ascii="Tahoma" w:hAnsi="Tahoma" w:cs="Tahoma"/>
                                  <w:color w:val="333333"/>
                                  <w:sz w:val="16"/>
                                  <w:szCs w:val="16"/>
                                  <w:lang w:val="en-US"/>
                                </w:rPr>
                                <w:t>120</w:t>
                              </w:r>
                            </w:p>
                            <w:p w:rsidR="008153D9" w:rsidRDefault="008153D9" w:rsidP="009D55F8"/>
                            <w:p w:rsidR="008153D9" w:rsidRDefault="008153D9" w:rsidP="009D55F8"/>
                            <w:p w:rsidR="008153D9" w:rsidRDefault="008153D9" w:rsidP="009D55F8"/>
                            <w:p w:rsidR="008153D9" w:rsidRDefault="008153D9" w:rsidP="009D55F8"/>
                          </w:txbxContent>
                        </wps:txbx>
                        <wps:bodyPr rot="0" vert="horz" wrap="none" lIns="0" tIns="0" rIns="0" bIns="0" anchor="t" anchorCtr="0" upright="1">
                          <a:spAutoFit/>
                        </wps:bodyPr>
                      </wps:wsp>
                      <wps:wsp>
                        <wps:cNvPr id="282" name="Rectangle 1254"/>
                        <wps:cNvSpPr>
                          <a:spLocks noChangeArrowheads="1"/>
                        </wps:cNvSpPr>
                        <wps:spPr bwMode="auto">
                          <a:xfrm>
                            <a:off x="476250" y="972820"/>
                            <a:ext cx="167005" cy="706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53D9" w:rsidRDefault="008153D9" w:rsidP="009D55F8">
                              <w:r>
                                <w:rPr>
                                  <w:rFonts w:ascii="Tahoma" w:hAnsi="Tahoma" w:cs="Tahoma"/>
                                  <w:color w:val="333333"/>
                                  <w:sz w:val="16"/>
                                  <w:szCs w:val="16"/>
                                  <w:lang w:val="en-US"/>
                                </w:rPr>
                                <w:t>140</w:t>
                              </w:r>
                            </w:p>
                            <w:p w:rsidR="008153D9" w:rsidRDefault="008153D9" w:rsidP="009D55F8"/>
                            <w:p w:rsidR="008153D9" w:rsidRDefault="008153D9" w:rsidP="009D55F8"/>
                            <w:p w:rsidR="008153D9" w:rsidRDefault="008153D9" w:rsidP="009D55F8"/>
                            <w:p w:rsidR="008153D9" w:rsidRDefault="008153D9" w:rsidP="009D55F8"/>
                          </w:txbxContent>
                        </wps:txbx>
                        <wps:bodyPr rot="0" vert="horz" wrap="none" lIns="0" tIns="0" rIns="0" bIns="0" anchor="t" anchorCtr="0" upright="1">
                          <a:spAutoFit/>
                        </wps:bodyPr>
                      </wps:wsp>
                      <wps:wsp>
                        <wps:cNvPr id="283" name="Rectangle 1255"/>
                        <wps:cNvSpPr>
                          <a:spLocks noChangeArrowheads="1"/>
                        </wps:cNvSpPr>
                        <wps:spPr bwMode="auto">
                          <a:xfrm>
                            <a:off x="476250" y="800735"/>
                            <a:ext cx="167005" cy="706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53D9" w:rsidRDefault="008153D9" w:rsidP="009D55F8">
                              <w:r>
                                <w:rPr>
                                  <w:rFonts w:ascii="Tahoma" w:hAnsi="Tahoma" w:cs="Tahoma"/>
                                  <w:color w:val="333333"/>
                                  <w:sz w:val="16"/>
                                  <w:szCs w:val="16"/>
                                  <w:lang w:val="en-US"/>
                                </w:rPr>
                                <w:t>160</w:t>
                              </w:r>
                            </w:p>
                            <w:p w:rsidR="008153D9" w:rsidRDefault="008153D9" w:rsidP="009D55F8"/>
                            <w:p w:rsidR="008153D9" w:rsidRDefault="008153D9" w:rsidP="009D55F8"/>
                            <w:p w:rsidR="008153D9" w:rsidRDefault="008153D9" w:rsidP="009D55F8"/>
                            <w:p w:rsidR="008153D9" w:rsidRDefault="008153D9" w:rsidP="009D55F8"/>
                          </w:txbxContent>
                        </wps:txbx>
                        <wps:bodyPr rot="0" vert="horz" wrap="none" lIns="0" tIns="0" rIns="0" bIns="0" anchor="t" anchorCtr="0" upright="1">
                          <a:spAutoFit/>
                        </wps:bodyPr>
                      </wps:wsp>
                      <wps:wsp>
                        <wps:cNvPr id="284" name="Rectangle 1256"/>
                        <wps:cNvSpPr>
                          <a:spLocks noChangeArrowheads="1"/>
                        </wps:cNvSpPr>
                        <wps:spPr bwMode="auto">
                          <a:xfrm>
                            <a:off x="476250" y="629285"/>
                            <a:ext cx="167005" cy="706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53D9" w:rsidRDefault="008153D9" w:rsidP="009D55F8">
                              <w:r>
                                <w:rPr>
                                  <w:rFonts w:ascii="Tahoma" w:hAnsi="Tahoma" w:cs="Tahoma"/>
                                  <w:color w:val="333333"/>
                                  <w:sz w:val="16"/>
                                  <w:szCs w:val="16"/>
                                  <w:lang w:val="en-US"/>
                                </w:rPr>
                                <w:t>180</w:t>
                              </w:r>
                            </w:p>
                            <w:p w:rsidR="008153D9" w:rsidRDefault="008153D9" w:rsidP="009D55F8"/>
                            <w:p w:rsidR="008153D9" w:rsidRDefault="008153D9" w:rsidP="009D55F8"/>
                            <w:p w:rsidR="008153D9" w:rsidRDefault="008153D9" w:rsidP="009D55F8"/>
                            <w:p w:rsidR="008153D9" w:rsidRDefault="008153D9" w:rsidP="009D55F8"/>
                          </w:txbxContent>
                        </wps:txbx>
                        <wps:bodyPr rot="0" vert="horz" wrap="none" lIns="0" tIns="0" rIns="0" bIns="0" anchor="t" anchorCtr="0" upright="1">
                          <a:spAutoFit/>
                        </wps:bodyPr>
                      </wps:wsp>
                      <wps:wsp>
                        <wps:cNvPr id="285" name="Rectangle 1257"/>
                        <wps:cNvSpPr>
                          <a:spLocks noChangeArrowheads="1"/>
                        </wps:cNvSpPr>
                        <wps:spPr bwMode="auto">
                          <a:xfrm>
                            <a:off x="867410" y="2288540"/>
                            <a:ext cx="538480" cy="122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53D9" w:rsidRDefault="008153D9" w:rsidP="00A6542C">
                              <w:r>
                                <w:rPr>
                                  <w:rFonts w:ascii="Tahoma" w:hAnsi="Tahoma" w:cs="Tahoma"/>
                                  <w:color w:val="333333"/>
                                  <w:sz w:val="16"/>
                                  <w:szCs w:val="16"/>
                                  <w:lang w:val="en-US"/>
                                </w:rPr>
                                <w:t>&lt; $3 million</w:t>
                              </w:r>
                            </w:p>
                          </w:txbxContent>
                        </wps:txbx>
                        <wps:bodyPr rot="0" vert="horz" wrap="none" lIns="0" tIns="0" rIns="0" bIns="0" anchor="t" anchorCtr="0" upright="1">
                          <a:spAutoFit/>
                        </wps:bodyPr>
                      </wps:wsp>
                      <wps:wsp>
                        <wps:cNvPr id="286" name="Rectangle 1258"/>
                        <wps:cNvSpPr>
                          <a:spLocks noChangeArrowheads="1"/>
                        </wps:cNvSpPr>
                        <wps:spPr bwMode="auto">
                          <a:xfrm>
                            <a:off x="1582420" y="2288540"/>
                            <a:ext cx="487045" cy="560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53D9" w:rsidRDefault="008153D9" w:rsidP="009D55F8">
                              <w:r>
                                <w:rPr>
                                  <w:rFonts w:ascii="Tahoma" w:hAnsi="Tahoma" w:cs="Tahoma"/>
                                  <w:color w:val="333333"/>
                                  <w:sz w:val="16"/>
                                  <w:szCs w:val="16"/>
                                  <w:lang w:val="en-US"/>
                                </w:rPr>
                                <w:t>$3—$10 m</w:t>
                              </w:r>
                            </w:p>
                            <w:p w:rsidR="008153D9" w:rsidRDefault="008153D9" w:rsidP="009D55F8"/>
                            <w:p w:rsidR="008153D9" w:rsidRDefault="008153D9" w:rsidP="009D55F8"/>
                            <w:p w:rsidR="008153D9" w:rsidRDefault="008153D9" w:rsidP="009D55F8"/>
                          </w:txbxContent>
                        </wps:txbx>
                        <wps:bodyPr rot="0" vert="horz" wrap="none" lIns="0" tIns="0" rIns="0" bIns="0" anchor="t" anchorCtr="0" upright="1">
                          <a:spAutoFit/>
                        </wps:bodyPr>
                      </wps:wsp>
                      <wps:wsp>
                        <wps:cNvPr id="287" name="Rectangle 1259"/>
                        <wps:cNvSpPr>
                          <a:spLocks noChangeArrowheads="1"/>
                        </wps:cNvSpPr>
                        <wps:spPr bwMode="auto">
                          <a:xfrm>
                            <a:off x="2344420" y="2288540"/>
                            <a:ext cx="755015" cy="414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53D9" w:rsidRDefault="008153D9" w:rsidP="009D55F8">
                              <w:r>
                                <w:rPr>
                                  <w:rFonts w:ascii="Tahoma" w:hAnsi="Tahoma" w:cs="Tahoma"/>
                                  <w:color w:val="333333"/>
                                  <w:sz w:val="16"/>
                                  <w:szCs w:val="16"/>
                                  <w:lang w:val="en-US"/>
                                </w:rPr>
                                <w:t>$10 - $20 million</w:t>
                              </w:r>
                            </w:p>
                            <w:p w:rsidR="008153D9" w:rsidRDefault="008153D9" w:rsidP="009D55F8"/>
                            <w:p w:rsidR="008153D9" w:rsidRDefault="008153D9" w:rsidP="009D55F8"/>
                          </w:txbxContent>
                        </wps:txbx>
                        <wps:bodyPr rot="0" vert="horz" wrap="none" lIns="0" tIns="0" rIns="0" bIns="0" anchor="t" anchorCtr="0" upright="1">
                          <a:spAutoFit/>
                        </wps:bodyPr>
                      </wps:wsp>
                      <wps:wsp>
                        <wps:cNvPr id="288" name="Rectangle 1260"/>
                        <wps:cNvSpPr>
                          <a:spLocks noChangeArrowheads="1"/>
                        </wps:cNvSpPr>
                        <wps:spPr bwMode="auto">
                          <a:xfrm>
                            <a:off x="3135630" y="2288540"/>
                            <a:ext cx="864870" cy="414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53D9" w:rsidRDefault="008153D9" w:rsidP="009D55F8">
                              <w:r>
                                <w:rPr>
                                  <w:rFonts w:ascii="Tahoma" w:hAnsi="Tahoma" w:cs="Tahoma"/>
                                  <w:color w:val="333333"/>
                                  <w:sz w:val="16"/>
                                  <w:szCs w:val="16"/>
                                  <w:lang w:val="en-US"/>
                                </w:rPr>
                                <w:t>$20 - $50 million</w:t>
                              </w:r>
                            </w:p>
                            <w:p w:rsidR="008153D9" w:rsidRDefault="008153D9" w:rsidP="009D55F8"/>
                            <w:p w:rsidR="008153D9" w:rsidRDefault="008153D9" w:rsidP="009D55F8"/>
                          </w:txbxContent>
                        </wps:txbx>
                        <wps:bodyPr rot="0" vert="horz" wrap="square" lIns="0" tIns="0" rIns="0" bIns="0" anchor="t" anchorCtr="0" upright="1">
                          <a:spAutoFit/>
                        </wps:bodyPr>
                      </wps:wsp>
                      <wps:wsp>
                        <wps:cNvPr id="289" name="Rectangle 1261"/>
                        <wps:cNvSpPr>
                          <a:spLocks noChangeArrowheads="1"/>
                        </wps:cNvSpPr>
                        <wps:spPr bwMode="auto">
                          <a:xfrm>
                            <a:off x="4003040" y="2288540"/>
                            <a:ext cx="594360" cy="414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53D9" w:rsidRDefault="008153D9" w:rsidP="009D55F8">
                              <w:r>
                                <w:rPr>
                                  <w:rFonts w:ascii="Tahoma" w:hAnsi="Tahoma" w:cs="Tahoma"/>
                                  <w:color w:val="333333"/>
                                  <w:sz w:val="16"/>
                                  <w:szCs w:val="16"/>
                                  <w:lang w:val="en-US"/>
                                </w:rPr>
                                <w:t>&gt; $50 million</w:t>
                              </w:r>
                            </w:p>
                            <w:p w:rsidR="008153D9" w:rsidRDefault="008153D9" w:rsidP="009D55F8"/>
                            <w:p w:rsidR="008153D9" w:rsidRDefault="008153D9" w:rsidP="009D55F8"/>
                          </w:txbxContent>
                        </wps:txbx>
                        <wps:bodyPr rot="0" vert="horz" wrap="none" lIns="0" tIns="0" rIns="0" bIns="0" anchor="t" anchorCtr="0" upright="1">
                          <a:spAutoFit/>
                        </wps:bodyPr>
                      </wps:wsp>
                      <wps:wsp>
                        <wps:cNvPr id="290" name="Rectangle 1262"/>
                        <wps:cNvSpPr>
                          <a:spLocks noChangeArrowheads="1"/>
                        </wps:cNvSpPr>
                        <wps:spPr bwMode="auto">
                          <a:xfrm rot="16200000">
                            <a:off x="43180" y="772160"/>
                            <a:ext cx="1338580" cy="1338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53D9" w:rsidRPr="00C2475E" w:rsidRDefault="008153D9" w:rsidP="009D55F8">
                              <w:pPr>
                                <w:rPr>
                                  <w:rFonts w:ascii="Arial" w:hAnsi="Arial" w:cs="Arial"/>
                                </w:rPr>
                              </w:pPr>
                              <w:r w:rsidRPr="00C2475E">
                                <w:rPr>
                                  <w:rFonts w:ascii="Arial" w:hAnsi="Arial" w:cs="Arial"/>
                                  <w:color w:val="333333"/>
                                  <w:sz w:val="16"/>
                                  <w:szCs w:val="16"/>
                                  <w:lang w:val="en-US"/>
                                </w:rPr>
                                <w:t xml:space="preserve">Spending </w:t>
                              </w:r>
                              <w:r>
                                <w:rPr>
                                  <w:rFonts w:ascii="Arial" w:hAnsi="Arial" w:cs="Arial"/>
                                  <w:color w:val="333333"/>
                                  <w:sz w:val="16"/>
                                  <w:szCs w:val="16"/>
                                  <w:lang w:val="en-US"/>
                                </w:rPr>
                                <w:t>p</w:t>
                              </w:r>
                              <w:r w:rsidRPr="00C2475E">
                                <w:rPr>
                                  <w:rFonts w:ascii="Arial" w:hAnsi="Arial" w:cs="Arial"/>
                                  <w:color w:val="333333"/>
                                  <w:sz w:val="16"/>
                                  <w:szCs w:val="16"/>
                                  <w:lang w:val="en-US"/>
                                </w:rPr>
                                <w:t xml:space="preserve">roposal (FMA Reg </w:t>
                              </w:r>
                            </w:p>
                            <w:p w:rsidR="008153D9" w:rsidRDefault="008153D9" w:rsidP="009D55F8"/>
                            <w:p w:rsidR="008153D9" w:rsidRDefault="008153D9" w:rsidP="009D55F8"/>
                          </w:txbxContent>
                        </wps:txbx>
                        <wps:bodyPr rot="0" vert="vert270" wrap="none" lIns="0" tIns="0" rIns="0" bIns="0" anchor="t" anchorCtr="0" upright="1">
                          <a:noAutofit/>
                        </wps:bodyPr>
                      </wps:wsp>
                      <wps:wsp>
                        <wps:cNvPr id="291" name="Rectangle 1263"/>
                        <wps:cNvSpPr>
                          <a:spLocks noChangeArrowheads="1"/>
                        </wps:cNvSpPr>
                        <wps:spPr bwMode="auto">
                          <a:xfrm rot="16200000">
                            <a:off x="-62865" y="942340"/>
                            <a:ext cx="1032510" cy="539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53D9" w:rsidRPr="00C2475E" w:rsidRDefault="008153D9" w:rsidP="009D55F8">
                              <w:pPr>
                                <w:rPr>
                                  <w:rFonts w:ascii="Arial" w:hAnsi="Arial" w:cs="Arial"/>
                                </w:rPr>
                              </w:pPr>
                              <w:r w:rsidRPr="00C2475E">
                                <w:rPr>
                                  <w:rFonts w:ascii="Arial" w:hAnsi="Arial" w:cs="Arial"/>
                                  <w:color w:val="333333"/>
                                  <w:sz w:val="16"/>
                                  <w:szCs w:val="16"/>
                                  <w:lang w:val="en-US"/>
                                </w:rPr>
                                <w:t>9/10) $million</w:t>
                              </w:r>
                            </w:p>
                            <w:p w:rsidR="008153D9" w:rsidRDefault="008153D9" w:rsidP="009D55F8"/>
                            <w:p w:rsidR="008153D9" w:rsidRDefault="008153D9" w:rsidP="009D55F8"/>
                          </w:txbxContent>
                        </wps:txbx>
                        <wps:bodyPr rot="0" vert="vert270" wrap="square" lIns="0" tIns="0" rIns="0" bIns="0" anchor="t" anchorCtr="0" upright="1">
                          <a:noAutofit/>
                        </wps:bodyPr>
                      </wps:wsp>
                      <wps:wsp>
                        <wps:cNvPr id="292" name="Rectangle 1264"/>
                        <wps:cNvSpPr>
                          <a:spLocks noChangeArrowheads="1"/>
                        </wps:cNvSpPr>
                        <wps:spPr bwMode="auto">
                          <a:xfrm>
                            <a:off x="4765675" y="2174240"/>
                            <a:ext cx="57785" cy="414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53D9" w:rsidRDefault="008153D9" w:rsidP="009D55F8">
                              <w:r>
                                <w:rPr>
                                  <w:rFonts w:ascii="Tahoma" w:hAnsi="Tahoma" w:cs="Tahoma"/>
                                  <w:color w:val="333333"/>
                                  <w:sz w:val="16"/>
                                  <w:szCs w:val="16"/>
                                  <w:lang w:val="en-US"/>
                                </w:rPr>
                                <w:t>0</w:t>
                              </w:r>
                            </w:p>
                            <w:p w:rsidR="008153D9" w:rsidRDefault="008153D9" w:rsidP="009D55F8"/>
                            <w:p w:rsidR="008153D9" w:rsidRDefault="008153D9" w:rsidP="009D55F8"/>
                          </w:txbxContent>
                        </wps:txbx>
                        <wps:bodyPr rot="0" vert="horz" wrap="none" lIns="0" tIns="0" rIns="0" bIns="0" anchor="t" anchorCtr="0" upright="1">
                          <a:spAutoFit/>
                        </wps:bodyPr>
                      </wps:wsp>
                      <wps:wsp>
                        <wps:cNvPr id="293" name="Rectangle 1265"/>
                        <wps:cNvSpPr>
                          <a:spLocks noChangeArrowheads="1"/>
                        </wps:cNvSpPr>
                        <wps:spPr bwMode="auto">
                          <a:xfrm>
                            <a:off x="4765675" y="1955165"/>
                            <a:ext cx="57785" cy="414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53D9" w:rsidRDefault="008153D9" w:rsidP="009D55F8">
                              <w:r>
                                <w:rPr>
                                  <w:rFonts w:ascii="Tahoma" w:hAnsi="Tahoma" w:cs="Tahoma"/>
                                  <w:color w:val="333333"/>
                                  <w:sz w:val="16"/>
                                  <w:szCs w:val="16"/>
                                  <w:lang w:val="en-US"/>
                                </w:rPr>
                                <w:t>2</w:t>
                              </w:r>
                            </w:p>
                            <w:p w:rsidR="008153D9" w:rsidRDefault="008153D9" w:rsidP="009D55F8"/>
                            <w:p w:rsidR="008153D9" w:rsidRDefault="008153D9" w:rsidP="009D55F8"/>
                          </w:txbxContent>
                        </wps:txbx>
                        <wps:bodyPr rot="0" vert="horz" wrap="none" lIns="0" tIns="0" rIns="0" bIns="0" anchor="t" anchorCtr="0" upright="1">
                          <a:spAutoFit/>
                        </wps:bodyPr>
                      </wps:wsp>
                      <wps:wsp>
                        <wps:cNvPr id="294" name="Rectangle 1266"/>
                        <wps:cNvSpPr>
                          <a:spLocks noChangeArrowheads="1"/>
                        </wps:cNvSpPr>
                        <wps:spPr bwMode="auto">
                          <a:xfrm>
                            <a:off x="4765675" y="1735455"/>
                            <a:ext cx="57785" cy="414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53D9" w:rsidRDefault="008153D9" w:rsidP="009D55F8">
                              <w:r>
                                <w:rPr>
                                  <w:rFonts w:ascii="Tahoma" w:hAnsi="Tahoma" w:cs="Tahoma"/>
                                  <w:color w:val="333333"/>
                                  <w:sz w:val="16"/>
                                  <w:szCs w:val="16"/>
                                  <w:lang w:val="en-US"/>
                                </w:rPr>
                                <w:t>4</w:t>
                              </w:r>
                            </w:p>
                            <w:p w:rsidR="008153D9" w:rsidRDefault="008153D9" w:rsidP="009D55F8"/>
                            <w:p w:rsidR="008153D9" w:rsidRDefault="008153D9" w:rsidP="009D55F8"/>
                          </w:txbxContent>
                        </wps:txbx>
                        <wps:bodyPr rot="0" vert="horz" wrap="none" lIns="0" tIns="0" rIns="0" bIns="0" anchor="t" anchorCtr="0" upright="1">
                          <a:spAutoFit/>
                        </wps:bodyPr>
                      </wps:wsp>
                      <wps:wsp>
                        <wps:cNvPr id="295" name="Rectangle 1267"/>
                        <wps:cNvSpPr>
                          <a:spLocks noChangeArrowheads="1"/>
                        </wps:cNvSpPr>
                        <wps:spPr bwMode="auto">
                          <a:xfrm>
                            <a:off x="4765675" y="1516380"/>
                            <a:ext cx="57785" cy="414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53D9" w:rsidRDefault="008153D9" w:rsidP="009D55F8">
                              <w:r>
                                <w:rPr>
                                  <w:rFonts w:ascii="Tahoma" w:hAnsi="Tahoma" w:cs="Tahoma"/>
                                  <w:color w:val="333333"/>
                                  <w:sz w:val="16"/>
                                  <w:szCs w:val="16"/>
                                  <w:lang w:val="en-US"/>
                                </w:rPr>
                                <w:t>6</w:t>
                              </w:r>
                            </w:p>
                            <w:p w:rsidR="008153D9" w:rsidRDefault="008153D9" w:rsidP="009D55F8"/>
                            <w:p w:rsidR="008153D9" w:rsidRDefault="008153D9" w:rsidP="009D55F8"/>
                          </w:txbxContent>
                        </wps:txbx>
                        <wps:bodyPr rot="0" vert="horz" wrap="none" lIns="0" tIns="0" rIns="0" bIns="0" anchor="t" anchorCtr="0" upright="1">
                          <a:spAutoFit/>
                        </wps:bodyPr>
                      </wps:wsp>
                      <wps:wsp>
                        <wps:cNvPr id="296" name="Rectangle 1268"/>
                        <wps:cNvSpPr>
                          <a:spLocks noChangeArrowheads="1"/>
                        </wps:cNvSpPr>
                        <wps:spPr bwMode="auto">
                          <a:xfrm>
                            <a:off x="4765675" y="1287145"/>
                            <a:ext cx="57785" cy="414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53D9" w:rsidRDefault="008153D9" w:rsidP="009D55F8">
                              <w:r>
                                <w:rPr>
                                  <w:rFonts w:ascii="Tahoma" w:hAnsi="Tahoma" w:cs="Tahoma"/>
                                  <w:color w:val="333333"/>
                                  <w:sz w:val="16"/>
                                  <w:szCs w:val="16"/>
                                  <w:lang w:val="en-US"/>
                                </w:rPr>
                                <w:t>8</w:t>
                              </w:r>
                            </w:p>
                            <w:p w:rsidR="008153D9" w:rsidRDefault="008153D9" w:rsidP="009D55F8"/>
                            <w:p w:rsidR="008153D9" w:rsidRDefault="008153D9" w:rsidP="009D55F8"/>
                          </w:txbxContent>
                        </wps:txbx>
                        <wps:bodyPr rot="0" vert="horz" wrap="none" lIns="0" tIns="0" rIns="0" bIns="0" anchor="t" anchorCtr="0" upright="1">
                          <a:spAutoFit/>
                        </wps:bodyPr>
                      </wps:wsp>
                      <wps:wsp>
                        <wps:cNvPr id="297" name="Rectangle 1269"/>
                        <wps:cNvSpPr>
                          <a:spLocks noChangeArrowheads="1"/>
                        </wps:cNvSpPr>
                        <wps:spPr bwMode="auto">
                          <a:xfrm>
                            <a:off x="4765675" y="1068070"/>
                            <a:ext cx="111125" cy="414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53D9" w:rsidRDefault="008153D9" w:rsidP="009D55F8">
                              <w:r>
                                <w:rPr>
                                  <w:rFonts w:ascii="Tahoma" w:hAnsi="Tahoma" w:cs="Tahoma"/>
                                  <w:color w:val="333333"/>
                                  <w:sz w:val="16"/>
                                  <w:szCs w:val="16"/>
                                  <w:lang w:val="en-US"/>
                                </w:rPr>
                                <w:t>10</w:t>
                              </w:r>
                            </w:p>
                            <w:p w:rsidR="008153D9" w:rsidRDefault="008153D9" w:rsidP="009D55F8"/>
                            <w:p w:rsidR="008153D9" w:rsidRDefault="008153D9" w:rsidP="009D55F8"/>
                          </w:txbxContent>
                        </wps:txbx>
                        <wps:bodyPr rot="0" vert="horz" wrap="none" lIns="0" tIns="0" rIns="0" bIns="0" anchor="t" anchorCtr="0" upright="1">
                          <a:spAutoFit/>
                        </wps:bodyPr>
                      </wps:wsp>
                      <wps:wsp>
                        <wps:cNvPr id="298" name="Rectangle 1270"/>
                        <wps:cNvSpPr>
                          <a:spLocks noChangeArrowheads="1"/>
                        </wps:cNvSpPr>
                        <wps:spPr bwMode="auto">
                          <a:xfrm>
                            <a:off x="4765675" y="848995"/>
                            <a:ext cx="111125" cy="414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53D9" w:rsidRDefault="008153D9" w:rsidP="009D55F8">
                              <w:r>
                                <w:rPr>
                                  <w:rFonts w:ascii="Tahoma" w:hAnsi="Tahoma" w:cs="Tahoma"/>
                                  <w:color w:val="333333"/>
                                  <w:sz w:val="16"/>
                                  <w:szCs w:val="16"/>
                                  <w:lang w:val="en-US"/>
                                </w:rPr>
                                <w:t>12</w:t>
                              </w:r>
                            </w:p>
                            <w:p w:rsidR="008153D9" w:rsidRDefault="008153D9" w:rsidP="009D55F8"/>
                            <w:p w:rsidR="008153D9" w:rsidRDefault="008153D9" w:rsidP="009D55F8"/>
                          </w:txbxContent>
                        </wps:txbx>
                        <wps:bodyPr rot="0" vert="horz" wrap="none" lIns="0" tIns="0" rIns="0" bIns="0" anchor="t" anchorCtr="0" upright="1">
                          <a:spAutoFit/>
                        </wps:bodyPr>
                      </wps:wsp>
                      <wps:wsp>
                        <wps:cNvPr id="299" name="Rectangle 1271"/>
                        <wps:cNvSpPr>
                          <a:spLocks noChangeArrowheads="1"/>
                        </wps:cNvSpPr>
                        <wps:spPr bwMode="auto">
                          <a:xfrm>
                            <a:off x="4765675" y="629285"/>
                            <a:ext cx="111125" cy="414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53D9" w:rsidRDefault="008153D9" w:rsidP="009D55F8">
                              <w:r>
                                <w:rPr>
                                  <w:rFonts w:ascii="Tahoma" w:hAnsi="Tahoma" w:cs="Tahoma"/>
                                  <w:color w:val="333333"/>
                                  <w:sz w:val="16"/>
                                  <w:szCs w:val="16"/>
                                  <w:lang w:val="en-US"/>
                                </w:rPr>
                                <w:t>14</w:t>
                              </w:r>
                            </w:p>
                            <w:p w:rsidR="008153D9" w:rsidRDefault="008153D9" w:rsidP="009D55F8"/>
                            <w:p w:rsidR="008153D9" w:rsidRDefault="008153D9" w:rsidP="009D55F8"/>
                          </w:txbxContent>
                        </wps:txbx>
                        <wps:bodyPr rot="0" vert="horz" wrap="none" lIns="0" tIns="0" rIns="0" bIns="0" anchor="t" anchorCtr="0" upright="1">
                          <a:spAutoFit/>
                        </wps:bodyPr>
                      </wps:wsp>
                      <wps:wsp>
                        <wps:cNvPr id="300" name="Rectangle 1272"/>
                        <wps:cNvSpPr>
                          <a:spLocks noChangeArrowheads="1"/>
                        </wps:cNvSpPr>
                        <wps:spPr bwMode="auto">
                          <a:xfrm rot="5400000">
                            <a:off x="4681220" y="1195070"/>
                            <a:ext cx="539750" cy="920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53D9" w:rsidRPr="00C2475E" w:rsidRDefault="008153D9" w:rsidP="009D55F8">
                              <w:pPr>
                                <w:rPr>
                                  <w:rFonts w:ascii="Arial" w:hAnsi="Arial" w:cs="Arial"/>
                                </w:rPr>
                              </w:pPr>
                              <w:r w:rsidRPr="00C2475E">
                                <w:rPr>
                                  <w:rFonts w:ascii="Arial" w:hAnsi="Arial" w:cs="Arial"/>
                                  <w:color w:val="333333"/>
                                  <w:sz w:val="16"/>
                                  <w:szCs w:val="16"/>
                                  <w:lang w:val="en-US"/>
                                </w:rPr>
                                <w:t>N</w:t>
                              </w:r>
                              <w:r>
                                <w:rPr>
                                  <w:rFonts w:ascii="Arial" w:hAnsi="Arial" w:cs="Arial"/>
                                  <w:color w:val="333333"/>
                                  <w:sz w:val="16"/>
                                  <w:szCs w:val="16"/>
                                  <w:lang w:val="en-US"/>
                                </w:rPr>
                                <w:t>umber of in</w:t>
                              </w:r>
                              <w:r w:rsidRPr="00C2475E">
                                <w:rPr>
                                  <w:rFonts w:ascii="Arial" w:hAnsi="Arial" w:cs="Arial"/>
                                  <w:color w:val="333333"/>
                                  <w:sz w:val="16"/>
                                  <w:szCs w:val="16"/>
                                  <w:lang w:val="en-US"/>
                                </w:rPr>
                                <w:t>itiatives</w:t>
                              </w:r>
                            </w:p>
                            <w:p w:rsidR="008153D9" w:rsidRDefault="008153D9" w:rsidP="009D55F8"/>
                            <w:p w:rsidR="008153D9" w:rsidRDefault="008153D9" w:rsidP="009D55F8"/>
                          </w:txbxContent>
                        </wps:txbx>
                        <wps:bodyPr rot="0" vert="vert270" wrap="none" lIns="0" tIns="0" rIns="0" bIns="0" anchor="t" anchorCtr="0" upright="1">
                          <a:spAutoFit/>
                        </wps:bodyPr>
                      </wps:wsp>
                      <wps:wsp>
                        <wps:cNvPr id="301" name="Rectangle 1273"/>
                        <wps:cNvSpPr>
                          <a:spLocks noChangeArrowheads="1"/>
                        </wps:cNvSpPr>
                        <wps:spPr bwMode="auto">
                          <a:xfrm>
                            <a:off x="1286510" y="2603500"/>
                            <a:ext cx="57150" cy="57150"/>
                          </a:xfrm>
                          <a:prstGeom prst="rect">
                            <a:avLst/>
                          </a:prstGeom>
                          <a:solidFill>
                            <a:srgbClr val="0066CC"/>
                          </a:solidFill>
                          <a:ln w="9525">
                            <a:solidFill>
                              <a:srgbClr val="000000"/>
                            </a:solidFill>
                            <a:miter lim="800000"/>
                            <a:headEnd/>
                            <a:tailEnd/>
                          </a:ln>
                        </wps:spPr>
                        <wps:bodyPr rot="0" vert="horz" wrap="square" lIns="91440" tIns="45720" rIns="91440" bIns="45720" anchor="t" anchorCtr="0" upright="1">
                          <a:noAutofit/>
                        </wps:bodyPr>
                      </wps:wsp>
                      <wps:wsp>
                        <wps:cNvPr id="302" name="Rectangle 1274"/>
                        <wps:cNvSpPr>
                          <a:spLocks noChangeArrowheads="1"/>
                        </wps:cNvSpPr>
                        <wps:spPr bwMode="auto">
                          <a:xfrm>
                            <a:off x="1381760" y="2565400"/>
                            <a:ext cx="163830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53D9" w:rsidRDefault="008153D9" w:rsidP="009D55F8">
                              <w:pPr>
                                <w:rPr>
                                  <w:rFonts w:ascii="Arial" w:hAnsi="Arial" w:cs="Arial"/>
                                  <w:color w:val="333333"/>
                                  <w:sz w:val="16"/>
                                  <w:szCs w:val="16"/>
                                  <w:lang w:val="en-US"/>
                                </w:rPr>
                              </w:pPr>
                              <w:r w:rsidRPr="00C2475E">
                                <w:rPr>
                                  <w:rFonts w:ascii="Arial" w:hAnsi="Arial" w:cs="Arial"/>
                                  <w:color w:val="333333"/>
                                  <w:sz w:val="16"/>
                                  <w:szCs w:val="16"/>
                                  <w:lang w:val="en-US"/>
                                </w:rPr>
                                <w:t>Spending</w:t>
                              </w:r>
                              <w:r>
                                <w:rPr>
                                  <w:rFonts w:ascii="Arial" w:hAnsi="Arial" w:cs="Arial"/>
                                  <w:color w:val="333333"/>
                                  <w:sz w:val="16"/>
                                  <w:szCs w:val="16"/>
                                  <w:lang w:val="en-US"/>
                                </w:rPr>
                                <w:t xml:space="preserve"> p</w:t>
                              </w:r>
                              <w:r w:rsidRPr="00C2475E">
                                <w:rPr>
                                  <w:rFonts w:ascii="Arial" w:hAnsi="Arial" w:cs="Arial"/>
                                  <w:color w:val="333333"/>
                                  <w:sz w:val="16"/>
                                  <w:szCs w:val="16"/>
                                  <w:lang w:val="en-US"/>
                                </w:rPr>
                                <w:t>roposal (FMA Reg</w:t>
                              </w:r>
                              <w:r>
                                <w:rPr>
                                  <w:rFonts w:ascii="Arial" w:hAnsi="Arial" w:cs="Arial"/>
                                  <w:color w:val="333333"/>
                                  <w:sz w:val="16"/>
                                  <w:szCs w:val="16"/>
                                  <w:lang w:val="en-US"/>
                                </w:rPr>
                                <w:t>ulation</w:t>
                              </w:r>
                            </w:p>
                            <w:p w:rsidR="008153D9" w:rsidRPr="00C2475E" w:rsidRDefault="008153D9" w:rsidP="009D55F8">
                              <w:pPr>
                                <w:rPr>
                                  <w:rFonts w:ascii="Arial" w:hAnsi="Arial" w:cs="Arial"/>
                                </w:rPr>
                              </w:pPr>
                              <w:r w:rsidRPr="00C2475E">
                                <w:rPr>
                                  <w:rFonts w:ascii="Arial" w:hAnsi="Arial" w:cs="Arial"/>
                                  <w:color w:val="333333"/>
                                  <w:sz w:val="16"/>
                                  <w:szCs w:val="16"/>
                                  <w:lang w:val="en-US"/>
                                </w:rPr>
                                <w:t xml:space="preserve"> 9/10) $m</w:t>
                              </w:r>
                            </w:p>
                            <w:p w:rsidR="008153D9" w:rsidRDefault="008153D9" w:rsidP="009D55F8"/>
                            <w:p w:rsidR="008153D9" w:rsidRDefault="008153D9" w:rsidP="009D55F8"/>
                          </w:txbxContent>
                        </wps:txbx>
                        <wps:bodyPr rot="0" vert="horz" wrap="none" lIns="0" tIns="0" rIns="0" bIns="0" anchor="t" anchorCtr="0" upright="1">
                          <a:spAutoFit/>
                        </wps:bodyPr>
                      </wps:wsp>
                      <wps:wsp>
                        <wps:cNvPr id="303" name="Rectangle 1275"/>
                        <wps:cNvSpPr>
                          <a:spLocks noChangeArrowheads="1"/>
                        </wps:cNvSpPr>
                        <wps:spPr bwMode="auto">
                          <a:xfrm>
                            <a:off x="3307080" y="2603500"/>
                            <a:ext cx="57150" cy="57150"/>
                          </a:xfrm>
                          <a:prstGeom prst="re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wps:wsp>
                        <wps:cNvPr id="304" name="Rectangle 1276"/>
                        <wps:cNvSpPr>
                          <a:spLocks noChangeArrowheads="1"/>
                        </wps:cNvSpPr>
                        <wps:spPr bwMode="auto">
                          <a:xfrm>
                            <a:off x="3402330" y="2565400"/>
                            <a:ext cx="92075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53D9" w:rsidRPr="00A6542C" w:rsidRDefault="008153D9" w:rsidP="00A6542C">
                              <w:pPr>
                                <w:rPr>
                                  <w:rFonts w:ascii="Arial" w:hAnsi="Arial" w:cs="Arial"/>
                                </w:rPr>
                              </w:pPr>
                              <w:r w:rsidRPr="00C2475E">
                                <w:rPr>
                                  <w:rFonts w:ascii="Arial" w:hAnsi="Arial" w:cs="Arial"/>
                                  <w:color w:val="333333"/>
                                  <w:sz w:val="16"/>
                                  <w:szCs w:val="16"/>
                                  <w:lang w:val="en-US"/>
                                </w:rPr>
                                <w:t xml:space="preserve">Number of </w:t>
                              </w:r>
                              <w:r>
                                <w:rPr>
                                  <w:rFonts w:ascii="Arial" w:hAnsi="Arial" w:cs="Arial"/>
                                  <w:color w:val="333333"/>
                                  <w:sz w:val="16"/>
                                  <w:szCs w:val="16"/>
                                  <w:lang w:val="en-US"/>
                                </w:rPr>
                                <w:t>i</w:t>
                              </w:r>
                              <w:r w:rsidRPr="00C2475E">
                                <w:rPr>
                                  <w:rFonts w:ascii="Arial" w:hAnsi="Arial" w:cs="Arial"/>
                                  <w:color w:val="333333"/>
                                  <w:sz w:val="16"/>
                                  <w:szCs w:val="16"/>
                                  <w:lang w:val="en-US"/>
                                </w:rPr>
                                <w:t>nitiatives</w:t>
                              </w:r>
                            </w:p>
                          </w:txbxContent>
                        </wps:txbx>
                        <wps:bodyPr rot="0" vert="horz" wrap="none" lIns="0" tIns="0" rIns="0" bIns="0" anchor="t" anchorCtr="0" upright="1">
                          <a:spAutoFit/>
                        </wps:bodyPr>
                      </wps:wsp>
                    </wpc:wpc>
                  </a:graphicData>
                </a:graphic>
              </wp:inline>
            </w:drawing>
          </mc:Choice>
          <mc:Fallback>
            <w:pict>
              <v:group id="Canvas 1199" o:spid="_x0000_s1072" editas="canvas" alt="Title: Total Value and Number of Active Initiatives by Scale - Description: Bar chart detailing the Number of Initiatives and the Spending Proposal (FMA Regulation 2009-2010) according to the Initiative's Scale:&#10;Less than #3 million: Number of Initiatives 1, Spending Proposal: $10 million.&#10;Between $3 million and $10 million: Number of Initiatives 9, Spending Proposal: $60 million.&#10;Between $10 million and $20 million: Number of Initiatives 3, Spending Proposal: $40 million.&#10;Between $20 million and $50 million: Number of Initiatives 5, Spending Proposal: $160 million.&#10;More than $50 million: Number of Initiatives 1, Spending Proposal: $80 million." style="width:426.1pt;height:255.1pt;mso-position-horizontal-relative:char;mso-position-vertical-relative:line" coordsize="54114,32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">
                <v:shape id="_x0000_s1073" type="#_x0000_t75" alt="Bar chart detailing the Number of Initiatives and the Spending Proposal (FMA Regulation 2009-2010) according to the Initiative's Scale:&#10;Less than #3 million: Number of Initiatives 1, Spending Proposal: $10 million.&#10;Between $3 million and $10 million: Number of Initiatives 9, Spending Proposal: $60 million.&#10;Between $10 million and $20 million: Number of Initiatives 3, Spending Proposal: $40 million.&#10;Between $20 million and $50 million: Number of Initiatives 5, Spending Proposal: $160 million.&#10;More than $50 million: Number of Initiatives 1, Spending Proposal: $80 million." style="position:absolute;width:54114;height:32397;visibility:visible;mso-wrap-style:square">
                  <v:fill o:detectmouseclick="t"/>
                  <v:path o:connecttype="none"/>
                </v:shape>
                <v:rect id="Rectangle 1201" o:spid="_x0000_s1074" style="position:absolute;left:476;top:476;width:51181;height:268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e0ccEA&#10;AADaAAAADwAAAGRycy9kb3ducmV2LnhtbERPTWvCQBC9F/wPywje6q7VBpu6hiIIQttDVeh1yI5J&#10;aHY2Zjcm/fduoNDT8Hifs8kGW4sbtb5yrGExVyCIc2cqLjScT/vHNQgfkA3WjknDL3nItpOHDabG&#10;9fxFt2MoRAxhn6KGMoQmldLnJVn0c9cQR+7iWoshwraQpsU+httaPimVSIsVx4YSG9qVlP8cO6sB&#10;k5W5fl6WH6f3LsGXYlD752+l9Ww6vL2CCDSEf/Gf+2DifBhfGa/c3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ZntHHBAAAA2gAAAA8AAAAAAAAAAAAAAAAAmAIAAGRycy9kb3du&#10;cmV2LnhtbFBLBQYAAAAABAAEAPUAAACGAwAAAAA=&#10;" stroked="f"/>
                <v:rect id="Rectangle 1202" o:spid="_x0000_s1075" style="position:absolute;left:7245;top:6959;width:39548;height:15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UqBsIA&#10;AADaAAAADwAAAGRycy9kb3ducmV2LnhtbESPT4vCMBTE7wt+h/AEb2viny1ajbIsCILuYVXw+mie&#10;bbF5qU3U+u2NIOxxmJnfMPNlaytxo8aXjjUM+goEceZMybmGw371OQHhA7LByjFpeJCH5aLzMcfU&#10;uDv/0W0XchEh7FPUUIRQp1L6rCCLvu9q4uidXGMxRNnk0jR4j3BbyaFSibRYclwosKafgrLz7mo1&#10;YDI2l9/TaLvfXBOc5q1afR2V1r1u+z0DEagN/+F3e200DOF1Jd4AuXg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tSoGwgAAANoAAAAPAAAAAAAAAAAAAAAAAJgCAABkcnMvZG93&#10;bnJldi54bWxQSwUGAAAAAAQABAD1AAAAhwMAAAAA&#10;" stroked="f"/>
                <v:rect id="Rectangle 1203" o:spid="_x0000_s1076" style="position:absolute;left:7245;top:6959;width:39548;height:15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tgp78A&#10;AADaAAAADwAAAGRycy9kb3ducmV2LnhtbESP3YrCMBSE7xd8h3CEvVtTfxCpRtFFqXfizwMcmmNa&#10;bE5Kkq3dtzfCwl4OM/MNs9r0thEd+VA7VjAeZSCIS6drNgpu18PXAkSIyBobx6TglwJs1oOPFeba&#10;PflM3SUakSAcclRQxdjmUoayIoth5Fri5N2dtxiT9EZqj88Et42cZNlcWqw5LVTY0ndF5ePyYxXY&#10;Yn8yvtt5PTkV0+JgGAMXSn0O++0SRKQ+/of/2ketYAbvK+kGyPU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Ey2CnvwAAANoAAAAPAAAAAAAAAAAAAAAAAJgCAABkcnMvZG93bnJl&#10;di54bWxQSwUGAAAAAAQABAD1AAAAhAMAAAAA&#10;" filled="f" strokecolor="#969696" strokeweight="0"/>
                <v:rect id="Rectangle 1204" o:spid="_x0000_s1077" style="position:absolute;left:9245;top:21456;width:4001;height: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REN8QA&#10;AADaAAAADwAAAGRycy9kb3ducmV2LnhtbESPQWvCQBSE7wX/w/KEXkrdWFFKdBURAhbpoWqkx9fs&#10;Mwlm34bdbZL++26h4HGYmW+Y1WYwjejI+dqygukkAUFcWF1zqeB8yp5fQfiArLGxTAp+yMNmPXpY&#10;Yaptzx/UHUMpIoR9igqqENpUSl9UZNBPbEscvat1BkOUrpTaYR/hppEvSbKQBmuOCxW2tKuouB2/&#10;jQJHT/l+1uGnPOSXrP+6zDPz/qbU43jYLkEEGsI9/N/eawVz+LsSb4B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PERDfEAAAA2gAAAA8AAAAAAAAAAAAAAAAAmAIAAGRycy9k&#10;b3ducmV2LnhtbFBLBQYAAAAABAAEAPUAAACJAwAAAAA=&#10;" fillcolor="#06c"/>
                <v:rect id="Rectangle 1205" o:spid="_x0000_s1078" style="position:absolute;left:17157;top:17449;width:4001;height:49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baQMQA&#10;AADaAAAADwAAAGRycy9kb3ducmV2LnhtbESPQWvCQBSE7wX/w/IEL6VuWqlI6ioiBBTxUKvS42v2&#10;mQSzb8PumsR/7xYKPQ4z8w0zX/amFi05X1lW8DpOQBDnVldcKDh+ZS8zED4ga6wtk4I7eVguBk9z&#10;TLXt+JPaQyhEhLBPUUEZQpNK6fOSDPqxbYijd7HOYIjSFVI77CLc1PItSabSYMVxocSG1iXl18PN&#10;KHD0fNpMWvyWu9M5637O75nZb5UaDfvVB4hAffgP/7U3WsEUfq/EG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MW2kDEAAAA2gAAAA8AAAAAAAAAAAAAAAAAmAIAAGRycy9k&#10;b3ducmV2LnhtbFBLBQYAAAAABAAEAPUAAACJAwAAAAA=&#10;" fillcolor="#06c"/>
                <v:rect id="Rectangle 1206" o:spid="_x0000_s1079" style="position:absolute;left:25063;top:18688;width:4007;height:37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p/28QA&#10;AADaAAAADwAAAGRycy9kb3ducmV2LnhtbESPQWvCQBSE70L/w/IKvYhurFgldZUiBCzFg1alx9fs&#10;axKafRt2t0n8911B8DjMzDfMct2bWrTkfGVZwWScgCDOra64UHD8zEYLED4ga6wtk4ILeVivHgZL&#10;TLXteE/tIRQiQtinqKAMoUml9HlJBv3YNsTR+7HOYIjSFVI77CLc1PI5SV6kwYrjQokNbUrKfw9/&#10;RoGj4Wk7bfFLfpzOWfd9nmVm967U02P/9goiUB/u4Vt7qxXM4Xol3gC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xaf9vEAAAA2gAAAA8AAAAAAAAAAAAAAAAAmAIAAGRycy9k&#10;b3ducmV2LnhtbFBLBQYAAAAABAAEAPUAAACJAwAAAAA=&#10;" fillcolor="#06c"/>
                <v:rect id="Rectangle 1207" o:spid="_x0000_s1080" style="position:absolute;left:32975;top:8680;width:4007;height:137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XrqcEA&#10;AADaAAAADwAAAGRycy9kb3ducmV2LnhtbERPz2vCMBS+C/4P4Q28iKZzOKQaRQYFZXjQTfH4bJ5t&#10;WfNSkth2//1yEHb8+H6vNr2pRUvOV5YVvE4TEMS51RUXCr6/sskChA/IGmvLpOCXPGzWw8EKU207&#10;PlJ7CoWIIexTVFCG0KRS+rwkg35qG+LI3a0zGCJ0hdQOuxhuajlLkndpsOLYUGJDHyXlP6eHUeBo&#10;fN69tXiVn+dL1t0u88wc9kqNXvrtEkSgPvyLn+6dVhC3xivxBsj1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3F66nBAAAA2gAAAA8AAAAAAAAAAAAAAAAAmAIAAGRycy9kb3du&#10;cmV2LnhtbFBLBQYAAAAABAAEAPUAAACGAwAAAAA=&#10;" fillcolor="#06c"/>
                <v:rect id="Rectangle 1208" o:spid="_x0000_s1081" style="position:absolute;left:40887;top:15354;width:4001;height:70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olOMsQA&#10;AADaAAAADwAAAGRycy9kb3ducmV2LnhtbESPQWvCQBSE70L/w/IKvYhurFg0dZUiBCzFg1alx9fs&#10;axKafRt2t0n8911B8DjMzDfMct2bWrTkfGVZwWScgCDOra64UHD8zEZzED4ga6wtk4ILeVivHgZL&#10;TLXteE/tIRQiQtinqKAMoUml9HlJBv3YNsTR+7HOYIjSFVI77CLc1PI5SV6kwYrjQokNbUrKfw9/&#10;RoGj4Wk7bfFLfpzOWfd9nmVm967U02P/9goiUB/u4Vt7qxUs4Hol3gC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KJTjLEAAAA2gAAAA8AAAAAAAAAAAAAAAAAmAIAAGRycy9k&#10;b3ducmV2LnhtbFBLBQYAAAAABAAEAPUAAACJAwAAAAA=&#10;" fillcolor="#06c"/>
                <v:rect id="Rectangle 1209" o:spid="_x0000_s1082" style="position:absolute;left:10198;top:9156;width:2000;height:132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Xbe8UA&#10;AADbAAAADwAAAGRycy9kb3ducmV2LnhtbESPT0sDQQzF74LfYUjBm52torXbTostCIJ46B8PvYWd&#10;uLu4k1lmYnf99uYgeEt4L+/9stqMoTMXSrmN7GA2LcAQV9G3XDs4HV9un8BkQfbYRSYHP5Rhs76+&#10;WmHp48B7uhykNhrCuUQHjUhfWpurhgLmaeyJVfuMKaDommrrEw4aHjp7VxSPNmDL2tBgT7uGqq/D&#10;d3AwxO35/mGBb7u5SErjx/v2VC2cu5mMz0swQqP8m/+uX73iK73+ogPY9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ldt7xQAAANsAAAAPAAAAAAAAAAAAAAAAAJgCAABkcnMv&#10;ZG93bnJldi54bWxQSwUGAAAAAAQABAD1AAAAigMAAAAA&#10;" fillcolor="red"/>
                <v:rect id="Rectangle 1210" o:spid="_x0000_s1083" style="position:absolute;left:18110;top:12490;width:2000;height:99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9l+4MIA&#10;AADbAAAADwAAAGRycy9kb3ducmV2LnhtbERPS2vCQBC+F/oflin0VjdarBpdRYWCUHrwdfA2ZKdJ&#10;aHY27E5N/PduodDbfHzPWax616grhVh7NjAcZKCIC29rLg2cju8vU1BRkC02nsnAjSKslo8PC8yt&#10;73hP14OUKoVwzNFAJdLmWseiIodx4FvixH354FASDKW2AbsU7ho9yrI37bDm1FBhS9uKiu/DjzPQ&#10;+c3ldTzDj+1EJIT+/Lk5FTNjnp/69RyUUC//4j/3zqb5Q/j9JR2gl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2X7gwgAAANsAAAAPAAAAAAAAAAAAAAAAAJgCAABkcnMvZG93&#10;bnJldi54bWxQSwUGAAAAAAQABAD1AAAAhwMAAAAA&#10;" fillcolor="red"/>
                <v:rect id="Rectangle 1211" o:spid="_x0000_s1084" style="position:absolute;left:26015;top:19069;width:2007;height:3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vgl8IA&#10;AADbAAAADwAAAGRycy9kb3ducmV2LnhtbERPS2vCQBC+C/6HZQq96aZKtaauokKhUDz46KG3ITtN&#10;QrOzYXc06b/vFgRv8/E9Z7nuXaOuFGLt2cDTOANFXHhbc2ngfHobvYCKgmyx8UwGfinCejUcLDG3&#10;vuMDXY9SqhTCMUcDlUibax2LihzGsW+JE/ftg0NJMJTaBuxSuGv0JMtm2mHNqaHClnYVFT/HizPQ&#10;+e3X9HmBH7u5SAj95357LhbGPD70m1dQQr3cxTf3u03zJ/D/SzpAr/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C+CXwgAAANsAAAAPAAAAAAAAAAAAAAAAAJgCAABkcnMvZG93&#10;bnJldi54bWxQSwUGAAAAAAQABAD1AAAAhwMAAAAA&#10;" fillcolor="red"/>
                <v:rect id="Rectangle 1212" o:spid="_x0000_s1085" style="position:absolute;left:33928;top:16878;width:2000;height:55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dFDMIA&#10;AADbAAAADwAAAGRycy9kb3ducmV2LnhtbERPS2vCQBC+F/wPyxR6q5tWrBpdRYVCQXrwdfA2ZKdJ&#10;aHY27E5N+u9dodDbfHzPWax616grhVh7NvAyzEARF97WXBo4Hd+fp6CiIFtsPJOBX4qwWg4eFphb&#10;3/GergcpVQrhmKOBSqTNtY5FRQ7j0LfEifvywaEkGEptA3Yp3DX6NcvetMOaU0OFLW0rKr4PP85A&#10;5zeX0XiGu+1EJIT+/Lk5FTNjnh779RyUUC//4j/3h03zR3D/JR2gl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R0UMwgAAANsAAAAPAAAAAAAAAAAAAAAAAJgCAABkcnMvZG93&#10;bnJldi54bWxQSwUGAAAAAAQABAD1AAAAhwMAAAAA&#10;" fillcolor="red"/>
                <v:rect id="Rectangle 1213" o:spid="_x0000_s1086" style="position:absolute;left:41840;top:21266;width:2000;height: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67deMIA&#10;AADbAAAADwAAAGRycy9kb3ducmV2LnhtbERPS0vDQBC+C/0PyxS82U2r9hG7LbYgCNJDXwdvQ3ZM&#10;gtnZsDs26b/vCoK3+fies1z3rlEXCrH2bGA8ykARF97WXBo4Hd8e5qCiIFtsPJOBK0VYrwZ3S8yt&#10;73hPl4OUKoVwzNFAJdLmWseiIodx5FvixH354FASDKW2AbsU7ho9ybKpdlhzaqiwpW1Fxffhxxno&#10;/Obz8XmBH9uZSAj9ebc5FQtj7of96wsooV7+xX/ud5vmP8HvL+kAvb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rt14wgAAANsAAAAPAAAAAAAAAAAAAAAAAJgCAABkcnMvZG93&#10;bnJldi54bWxQSwUGAAAAAAQABAD1AAAAhwMAAAAA&#10;" fillcolor="red"/>
                <v:line id="Line 1214" o:spid="_x0000_s1087" style="position:absolute;visibility:visible;mso-wrap-style:square" from="7245,6959" to="7245,224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AusMAAAADbAAAADwAAAGRycy9kb3ducmV2LnhtbERPS4vCMBC+L/gfwgje1lRBt1ajiCju&#10;3tYXeByasQ02k9JE7f77jSB4m4/vObNFaytxp8YbxwoG/QQEce604ULB8bD5TEH4gKyxckwK/sjD&#10;Yt75mGGm3YN3dN+HQsQQ9hkqKEOoMyl9XpJF33c1ceQurrEYImwKqRt8xHBbyWGSjKVFw7GhxJpW&#10;JeXX/c0qML/j7ejn6zQ5yfU2DM7pNTX2qFSv2y6nIAK14S1+ub91nD+C5y/xADn/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PwLrDAAAAA2wAAAA8AAAAAAAAAAAAAAAAA&#10;oQIAAGRycy9kb3ducmV2LnhtbFBLBQYAAAAABAAEAPkAAACOAwAAAAA=&#10;" strokeweight="0"/>
                <v:line id="Line 1215" o:spid="_x0000_s1088" style="position:absolute;visibility:visible;mso-wrap-style:square" from="6959,22409" to="7245,224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yKwx8EAAADbAAAADwAAAGRycy9kb3ducmV2LnhtbERPTWvCQBC9F/wPywje6saCaYxuRKRF&#10;e2utgschOyZLsrMhu9X477uFgrd5vM9ZrQfbiiv13jhWMJsmIIhLpw1XCo7f788ZCB+QNbaOScGd&#10;PKyL0dMKc+1u/EXXQ6hEDGGfo4I6hC6X0pc1WfRT1xFH7uJ6iyHCvpK6x1sMt618SZJUWjQcG2rs&#10;aFtT2Rx+rALzme7mH6+nxUm+7cLsnDWZsUelJuNhswQRaAgP8b97r+P8FP5+iQfI4h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jIrDHwQAAANsAAAAPAAAAAAAAAAAAAAAA&#10;AKECAABkcnMvZG93bnJldi54bWxQSwUGAAAAAAQABAD5AAAAjwMAAAAA&#10;" strokeweight="0"/>
                <v:line id="Line 1216" o:spid="_x0000_s1089" style="position:absolute;visibility:visible;mso-wrap-style:square" from="6959,20694" to="7245,206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G4VXMAAAADbAAAADwAAAGRycy9kb3ducmV2LnhtbERPTYvCMBC9C/sfwix409QFtVuNsiyK&#10;elNXwePQzLbBZlKaqPXfG0HwNo/3OdN5aytxpcYbxwoG/QQEce604ULB4W/ZS0H4gKyxckwK7uRh&#10;PvvoTDHT7sY7uu5DIWII+wwVlCHUmZQ+L8mi77uaOHL/rrEYImwKqRu8xXBbya8kGUmLhmNDiTX9&#10;lpSf9xerwGxHq+FmfPw+ysUqDE7pOTX2oFT3s/2ZgAjUhrf45V7rOH8Mz1/iAXL2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xuFVzAAAAA2wAAAA8AAAAAAAAAAAAAAAAA&#10;oQIAAGRycy9kb3ducmV2LnhtbFBLBQYAAAAABAAEAPkAAACOAwAAAAA=&#10;" strokeweight="0"/>
                <v:line id="Line 1217" o:spid="_x0000_s1090" style="position:absolute;visibility:visible;mso-wrap-style:square" from="6959,18973" to="7245,189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fGBLsQAAADbAAAADwAAAGRycy9kb3ducmV2LnhtbESPQWvCQBCF74L/YRmhN91YqI3RVURa&#10;bG9tquBxyI7JYnY2ZLea/vvOodDbDO/Ne9+st4Nv1Y366AIbmM8yUMRVsI5rA8ev12kOKiZki21g&#10;MvBDEbab8WiNhQ13/qRbmWolIRwLNNCk1BVax6ohj3EWOmLRLqH3mGTta217vEu4b/Vjli20R8fS&#10;0GBH+4aqa/ntDbiPxeHp/fm0POmXQ5qf82vu/NGYh8mwW4FKNKR/89/1mxV8gZVfZAC9+Q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98YEuxAAAANsAAAAPAAAAAAAAAAAA&#10;AAAAAKECAABkcnMvZG93bnJldi54bWxQSwUGAAAAAAQABAD5AAAAkgMAAAAA&#10;" strokeweight="0"/>
                <v:line id="Line 1218" o:spid="_x0000_s1091" style="position:absolute;visibility:visible;mso-wrap-style:square" from="6959,17259" to="7245,172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r0ktcIAAADbAAAADwAAAGRycy9kb3ducmV2LnhtbERPTWvCQBC9C/0PyxR6042FahJdpZSW&#10;6M2mCj0O2TFZzM6G7NbEf+8WCr3N433OejvaVlyp98axgvksAUFcOW24VnD8+pimIHxA1tg6JgU3&#10;8rDdPEzWmGs38Cddy1CLGMI+RwVNCF0upa8asuhnriOO3Nn1FkOEfS11j0MMt618TpKFtGg4NjTY&#10;0VtD1aX8sQrMYVG87Jen7CTfizD/Ti+psUelnh7H1xWIQGP4F/+5dzrOz+D3l3iA3N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r0ktcIAAADbAAAADwAAAAAAAAAAAAAA&#10;AAChAgAAZHJzL2Rvd25yZXYueG1sUEsFBgAAAAAEAAQA+QAAAJADAAAAAA==&#10;" strokeweight="0"/>
                <v:line id="Line 1219" o:spid="_x0000_s1092" style="position:absolute;visibility:visible;mso-wrap-style:square" from="6959,15544" to="7245,155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etHlb8AAADbAAAADwAAAGRycy9kb3ducmV2LnhtbERPy4rCMBTdD/gP4QruxlRBrdUoIg6O&#10;O5/g8tJc22BzU5qMdv7eLASXh/OeL1tbiQc13jhWMOgnIIhzpw0XCs6nn+8UhA/IGivHpOCfPCwX&#10;na85Zto9+UCPYyhEDGGfoYIyhDqT0uclWfR9VxNH7uYaiyHCppC6wWcMt5UcJslYWjQcG0qsaV1S&#10;fj/+WQVmP96OdpPL9CI32zC4pvfU2LNSvW67moEI1IaP+O3+1QqGcX38En+AXLw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DetHlb8AAADbAAAADwAAAAAAAAAAAAAAAACh&#10;AgAAZHJzL2Rvd25yZXYueG1sUEsFBgAAAAAEAAQA+QAAAI0DAAAAAA==&#10;" strokeweight="0"/>
                <v:line id="Line 1220" o:spid="_x0000_s1093" style="position:absolute;visibility:visible;mso-wrap-style:square" from="6959,13823" to="7245,138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qfiDsMAAADbAAAADwAAAGRycy9kb3ducmV2LnhtbESPQWvCQBSE70L/w/IK3nQTQU1TVyml&#10;Rb1pqtDjI/uaLGbfhuxW4793BcHjMDPfMItVbxtxps4bxwrScQKCuHTacKXg8PM9ykD4gKyxcUwK&#10;ruRhtXwZLDDX7sJ7OhehEhHCPkcFdQhtLqUva7Lox64ljt6f6yyGKLtK6g4vEW4bOUmSmbRoOC7U&#10;2NJnTeWp+LcKzG62nm7nx7ej/FqH9Dc7ZcYelBq+9h/vIAL14Rl+tDdawSSF+5f4A+Ty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Kn4g7DAAAA2wAAAA8AAAAAAAAAAAAA&#10;AAAAoQIAAGRycy9kb3ducmV2LnhtbFBLBQYAAAAABAAEAPkAAACRAwAAAAA=&#10;" strokeweight="0"/>
                <v:line id="Line 1221" o:spid="_x0000_s1094" style="position:absolute;visibility:visible;mso-wrap-style:square" from="6959,12109" to="7245,121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nV8ecMAAADbAAAADwAAAGRycy9kb3ducmV2LnhtbESPT4vCMBTE7wt+h/AW9ramFlZr1ygi&#10;iuvNv7DHR/O2DTYvpYna/fZGEDwOM/MbZjLrbC2u1HrjWMGgn4AgLpw2XCo4HlafGQgfkDXWjknB&#10;P3mYTXtvE8y1u/GOrvtQighhn6OCKoQml9IXFVn0fdcQR+/PtRZDlG0pdYu3CLe1TJNkKC0ajgsV&#10;NrSoqDjvL1aB2Q7XX5vRaXySy3UY/GbnzNijUh/v3fwbRKAuvMLP9o9WkKbw+BJ/gJz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J1fHnDAAAA2wAAAA8AAAAAAAAAAAAA&#10;AAAAoQIAAGRycy9kb3ducmV2LnhtbFBLBQYAAAAABAAEAPkAAACRAwAAAAA=&#10;" strokeweight="0"/>
                <v:line id="Line 1222" o:spid="_x0000_s1095" style="position:absolute;visibility:visible;mso-wrap-style:square" from="6959,10394" to="7245,103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nZ4sQAAADbAAAADwAAAGRycy9kb3ducmV2LnhtbESPQWvCQBSE74X+h+UJvdWNFm2MWaWU&#10;Fu3NRgMeH9lnsph9G7Jbjf/eLRR6HGbmGyZfD7YVF+q9caxgMk5AEFdOG64VHPafzykIH5A1to5J&#10;wY08rFePDzlm2l35my5FqEWEsM9QQRNCl0npq4Ys+rHriKN3cr3FEGVfS93jNcJtK6dJMpcWDceF&#10;Bjt6b6g6Fz9WgdnNN7Ov13JRyo9NmBzTc2rsQamn0fC2BBFoCP/hv/ZWK5i+wO+X+APk6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9OdnixAAAANsAAAAPAAAAAAAAAAAA&#10;AAAAAKECAABkcnMvZG93bnJldi54bWxQSwUGAAAAAAQABAD5AAAAkgMAAAAA&#10;" strokeweight="0"/>
                <v:line id="Line 1223" o:spid="_x0000_s1096" style="position:absolute;visibility:visible;mso-wrap-style:square" from="6959,8680" to="7245,86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BBlsQAAADbAAAADwAAAGRycy9kb3ducmV2LnhtbESPQWvCQBSE74X+h+UJvdWNUm2MWaWU&#10;Fu3NRgMeH9lnsph9G7Jbjf/eLRR6HGbmGyZfD7YVF+q9caxgMk5AEFdOG64VHPafzykIH5A1to5J&#10;wY08rFePDzlm2l35my5FqEWEsM9QQRNCl0npq4Ys+rHriKN3cr3FEGVfS93jNcJtK6dJMpcWDceF&#10;Bjt6b6g6Fz9WgdnNN7Ov13JRyo9NmBzTc2rsQamn0fC2BBFoCP/hv/ZWK5i+wO+X+APk6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0EGWxAAAANsAAAAPAAAAAAAAAAAA&#10;AAAAAKECAABkcnMvZG93bnJldi54bWxQSwUGAAAAAAQABAD5AAAAkgMAAAAA&#10;" strokeweight="0"/>
                <v:line id="Line 1224" o:spid="_x0000_s1097" style="position:absolute;visibility:visible;mso-wrap-style:square" from="6959,6959" to="7245,69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zkDcQAAADbAAAADwAAAGRycy9kb3ducmV2LnhtbESPQWvCQBSE7wX/w/IEb81GQZumriJS&#10;ib21qUKPj+xrsph9G7JbE/99t1DwOMzMN8x6O9pWXKn3xrGCeZKCIK6cNlwrOH0eHjMQPiBrbB2T&#10;ght52G4mD2vMtRv4g65lqEWEsM9RQRNCl0vpq4Ys+sR1xNH7dr3FEGVfS93jEOG2lYs0XUmLhuNC&#10;gx3tG6ou5Y9VYN5XxfLt6fx8lq9FmH9ll8zYk1Kz6bh7ARFoDPfwf/uoFSyW8Pcl/gC5+Q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nOQNxAAAANsAAAAPAAAAAAAAAAAA&#10;AAAAAKECAABkcnMvZG93bnJldi54bWxQSwUGAAAAAAQABAD5AAAAkgMAAAAA&#10;" strokeweight="0"/>
                <v:line id="Line 1225" o:spid="_x0000_s1098" style="position:absolute;visibility:visible;mso-wrap-style:square" from="7245,22409" to="46793,224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U56esQAAADbAAAADwAAAGRycy9kb3ducmV2LnhtbESPzWrDMBCE74W8g9hCb42cQB3HjRxC&#10;aUhzyy/0uFhbW9haGUtJ3LePCoUch5n5hlksB9uKK/XeOFYwGScgiEunDVcKTsf1awbCB2SNrWNS&#10;8EselsXoaYG5djfe0/UQKhEh7HNUUIfQ5VL6siaLfuw64uj9uN5iiLKvpO7xFuG2ldMkSaVFw3Gh&#10;xo4+aiqbw8UqMLt087adnedn+bkJk++syYw9KfXyPKzeQQQawiP83/7SCqYp/H2JP0AW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tTnp6xAAAANsAAAAPAAAAAAAAAAAA&#10;AAAAAKECAABkcnMvZG93bnJldi54bWxQSwUGAAAAAAQABAD5AAAAkgMAAAAA&#10;" strokeweight="0"/>
                <v:line id="Line 1226" o:spid="_x0000_s1099" style="position:absolute;flip:y;visibility:visible;mso-wrap-style:square" from="7245,22409" to="7245,226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lIAaMUAAADbAAAADwAAAGRycy9kb3ducmV2LnhtbESPT2sCMRTE7wW/Q3iCt5qtBy2rUaRi&#10;KYVa/Hfo7bl53V3cvCxJdNNv3wiCx2FmfsPMFtE04krO15YVvAwzEMSF1TWXCg779fMrCB+QNTaW&#10;ScEfeVjMe08zzLXteEvXXShFgrDPUUEVQptL6YuKDPqhbYmT92udwZCkK6V22CW4aeQoy8bSYM1p&#10;ocKW3ioqzruLUbDdTPjk3i/xHE/d1/fPsfw8rpZKDfpxOQURKIZH+N7+0ApGE7h9ST9Azv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lIAaMUAAADbAAAADwAAAAAAAAAA&#10;AAAAAAChAgAAZHJzL2Rvd25yZXYueG1sUEsFBgAAAAAEAAQA+QAAAJMDAAAAAA==&#10;" strokeweight="0"/>
                <v:line id="Line 1227" o:spid="_x0000_s1100" style="position:absolute;flip:y;visibility:visible;mso-wrap-style:square" from="15151,22409" to="15151,226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82UGsIAAADbAAAADwAAAGRycy9kb3ducmV2LnhtbERPy2oCMRTdF/yHcIXuakYXWkajiNIi&#10;BVt8LdxdJ9eZwcnNkEQn/ftmUXB5OO/ZIppGPMj52rKC4SADQVxYXXOp4Hj4eHsH4QOyxsYyKfgl&#10;D4t572WGubYd7+ixD6VIIexzVFCF0OZS+qIig35gW+LEXa0zGBJ0pdQOuxRuGjnKsrE0WHNqqLCl&#10;VUXFbX83CnbfE764z3u8xUu3/Tmfyq/TeqnUaz8upyACxfAU/7s3WsEojU1f0g+Q8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82UGsIAAADbAAAADwAAAAAAAAAAAAAA&#10;AAChAgAAZHJzL2Rvd25yZXYueG1sUEsFBgAAAAAEAAQA+QAAAJADAAAAAA==&#10;" strokeweight="0"/>
                <v:line id="Line 1228" o:spid="_x0000_s1101" style="position:absolute;flip:y;visibility:visible;mso-wrap-style:square" from="23063,22409" to="23063,226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IExgcUAAADbAAAADwAAAGRycy9kb3ducmV2LnhtbESPQWsCMRSE74L/ITyhN83WQ6tbo0hL&#10;iwhWtPXQ23Pzuru4eVmS6Kb/3hQEj8PMfMPMFtE04kLO15YVPI4yEMSF1TWXCr6/3ocTED4ga2ws&#10;k4I/8rCY93szzLXteEeXfShFgrDPUUEVQptL6YuKDPqRbYmT92udwZCkK6V22CW4aeQ4y56kwZrT&#10;QoUtvVZUnPZno2D3+cxH93GOp3jsNtufQ7k+vC2VehjE5QuIQDHcw7f2SisYT+H/S/oBcn4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IExgcUAAADbAAAADwAAAAAAAAAA&#10;AAAAAAChAgAAZHJzL2Rvd25yZXYueG1sUEsFBgAAAAAEAAQA+QAAAJMDAAAAAA==&#10;" strokeweight="0"/>
                <v:line id="Line 1229" o:spid="_x0000_s1102" style="position:absolute;flip:y;visibility:visible;mso-wrap-style:square" from="30975,22409" to="30975,226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GIOwcIAAADbAAAADwAAAGRycy9kb3ducmV2LnhtbERPy2oCMRTdF/yHcAV3NWOFVkajiEUp&#10;hVZ8LdxdJ9eZwcnNkEQn/ftmUejycN6zRTSNeJDztWUFo2EGgriwuuZSwfGwfp6A8AFZY2OZFPyQ&#10;h8W89zTDXNuOd/TYh1KkEPY5KqhCaHMpfVGRQT+0LXHirtYZDAm6UmqHXQo3jXzJsldpsObUUGFL&#10;q4qK2/5uFOy+3/jiNvd4i5fua3s+lZ+n96VSg35cTkEEiuFf/Of+0ArGaX36kn6AnP8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GIOwcIAAADbAAAADwAAAAAAAAAAAAAA&#10;AAChAgAAZHJzL2Rvd25yZXYueG1sUEsFBgAAAAAEAAQA+QAAAJADAAAAAA==&#10;" strokeweight="0"/>
                <v:line id="Line 1230" o:spid="_x0000_s1103" style="position:absolute;flip:y;visibility:visible;mso-wrap-style:square" from="38887,22409" to="38887,226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y6rWsUAAADbAAAADwAAAGRycy9kb3ducmV2LnhtbESPQWsCMRSE70L/Q3iF3jSrhSpbo0il&#10;RQQr2nro7bl53V3cvCxJdNN/bwqCx2FmvmGm82gacSHna8sKhoMMBHFhdc2lgu+v9/4EhA/IGhvL&#10;pOCPPMxnD70p5tp2vKPLPpQiQdjnqKAKoc2l9EVFBv3AtsTJ+7XOYEjSlVI77BLcNHKUZS/SYM1p&#10;ocKW3ioqTvuzUbD7HPPRfZzjKR67zfbnUK4Py4VST49x8QoiUAz38K290gqeh/D/Jf0AObs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y6rWsUAAADbAAAADwAAAAAAAAAA&#10;AAAAAAChAgAAZHJzL2Rvd25yZXYueG1sUEsFBgAAAAAEAAQA+QAAAJMDAAAAAA==&#10;" strokeweight="0"/>
                <v:line id="Line 1231" o:spid="_x0000_s1104" style="position:absolute;flip:y;visibility:visible;mso-wrap-style:square" from="46793,22409" to="46793,226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x2bUMYAAADcAAAADwAAAGRycy9kb3ducmV2LnhtbESPQWsCMRSE74L/IbyCN81WaC1bo4il&#10;RQpWtPXQ23Pzuru4eVmS6MZ/b4SCx2FmvmGm82gacSbna8sKHkcZCOLC6ppLBT/f78MXED4ga2ws&#10;k4ILeZjP+r0p5tp2vKXzLpQiQdjnqKAKoc2l9EVFBv3ItsTJ+7POYEjSlVI77BLcNHKcZc/SYM1p&#10;ocKWlhUVx93JKNh+TfjgPk7xGA/devO7Lz/3bwulBg9x8QoiUAz38H97pRWMnyZwO5OOgJxd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cdm1DGAAAA3AAAAA8AAAAAAAAA&#10;AAAAAAAAoQIAAGRycy9kb3ducmV2LnhtbFBLBQYAAAAABAAEAPkAAACUAwAAAAA=&#10;" strokeweight="0"/>
                <v:line id="Line 1232" o:spid="_x0000_s1105" style="position:absolute;visibility:visible;mso-wrap-style:square" from="46793,6959" to="46793,224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GY858EAAADcAAAADwAAAGRycy9kb3ducmV2LnhtbERPTYvCMBC9C/sfwizsTVMFtVuNsiwu&#10;6k2rwh6HZmyDzaQ0Ueu/NwfB4+N9z5edrcWNWm8cKxgOEhDEhdOGSwXHw18/BeEDssbaMSl4kIfl&#10;4qM3x0y7O+/plodSxBD2GSqoQmgyKX1RkUU/cA1x5M6utRgibEupW7zHcFvLUZJMpEXDsaHChn4r&#10;Ki751Sowu8l6vJ2evk9ytQ7D//SSGntU6uuz+5mBCNSFt/jl3mgFo3FcG8/EIyAXT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IZjznwQAAANwAAAAPAAAAAAAAAAAAAAAA&#10;AKECAABkcnMvZG93bnJldi54bWxQSwUGAAAAAAQABAD5AAAAjwMAAAAA&#10;" strokeweight="0"/>
                <v:line id="Line 1233" o:spid="_x0000_s1106" style="position:absolute;visibility:visible;mso-wrap-style:square" from="46793,22409" to="47085,224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yqZfMQAAADcAAAADwAAAGRycy9kb3ducmV2LnhtbESPT4vCMBTE7wt+h/AEb2uqoFurUURW&#10;XG/rP/D4aJ5tsHkpTVa7394IgsdhZn7DzBatrcSNGm8cKxj0ExDEudOGCwXHw/ozBeEDssbKMSn4&#10;Jw+Leedjhpl2d97RbR8KESHsM1RQhlBnUvq8JIu+72ri6F1cYzFE2RRSN3iPcFvJYZKMpUXDcaHE&#10;mlYl5df9n1Vgfseb0fbrNDnJ700YnNNrauxRqV63XU5BBGrDO/xq/2gFw9EEnmfiEZDz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nKpl8xAAAANwAAAAPAAAAAAAAAAAA&#10;AAAAAKECAABkcnMvZG93bnJldi54bWxQSwUGAAAAAAQABAD5AAAAkgMAAAAA&#10;" strokeweight="0"/>
                <v:line id="Line 1234" o:spid="_x0000_s1107" style="position:absolute;visibility:visible;mso-wrap-style:square" from="46793,20218" to="47085,202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Hz6XMIAAADcAAAADwAAAGRycy9kb3ducmV2LnhtbERPz2vCMBS+D/wfwhvstqYK62pnFBkT&#10;523WFnZ8NG9tsHkpTdTuvzeHwY4f3+/VZrK9uNLojWMF8yQFQdw4bbhVUJ12zzkIH5A19o5JwS95&#10;2KxnDysstLvxka5laEUMYV+ggi6EoZDSNx1Z9IkbiCP340aLIcKxlXrEWwy3vVykaSYtGo4NHQ70&#10;3lFzLi9WgfnK9i+H13pZy499mH/n59zYSqmnx2n7BiLQFP7Ff+5PrWCRxfnxTDwCcn0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Hz6XMIAAADcAAAADwAAAAAAAAAAAAAA&#10;AAChAgAAZHJzL2Rvd25yZXYueG1sUEsFBgAAAAAEAAQA+QAAAJADAAAAAA==&#10;" strokeweight="0"/>
                <v:line id="Line 1235" o:spid="_x0000_s1108" style="position:absolute;visibility:visible;mso-wrap-style:square" from="46793,18021" to="47085,180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zBfx8QAAADcAAAADwAAAGRycy9kb3ducmV2LnhtbESPQWvCQBSE7wX/w/IK3uomgmkaXUXE&#10;Yr1Vq+DxkX1NFrNvQ3ar6b93BcHjMDPfMLNFbxtxoc4bxwrSUQKCuHTacKXg8PP5loPwAVlj45gU&#10;/JOHxXzwMsNCuyvv6LIPlYgQ9gUqqENoCyl9WZNFP3ItcfR+XWcxRNlVUnd4jXDbyHGSZNKi4bhQ&#10;Y0urmsrz/s8qMN/ZZrJ9P34c5XoT0lN+zo09KDV87ZdTEIH68Aw/2l9awThL4X4mHgE5v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MF/HxAAAANwAAAAPAAAAAAAAAAAA&#10;AAAAAKECAABkcnMvZG93bnJldi54bWxQSwUGAAAAAAQABAD5AAAAkgMAAAAA&#10;" strokeweight="0"/>
                <v:line id="Line 1236" o:spid="_x0000_s1109" style="position:absolute;visibility:visible;mso-wrap-style:square" from="46793,15830" to="47085,158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K5kK8QAAADcAAAADwAAAGRycy9kb3ducmV2LnhtbESPQWvCQBSE7wX/w/IKvelGi2kaXUVE&#10;0d6sVfD4yL4mi9m3Ibtq/PduQehxmJlvmOm8s7W4UuuNYwXDQQKCuHDacKng8LPuZyB8QNZYOyYF&#10;d/Iwn/Vepphrd+Nvuu5DKSKEfY4KqhCaXEpfVGTRD1xDHL1f11oMUbal1C3eItzWcpQkqbRoOC5U&#10;2NCyouK8v1gFZpduxl8fx8+jXG3C8JSdM2MPSr29dosJiEBd+A8/21utYJS+w9+ZeATk7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IrmQrxAAAANwAAAAPAAAAAAAAAAAA&#10;AAAAAKECAABkcnMvZG93bnJldi54bWxQSwUGAAAAAAQABAD5AAAAkgMAAAAA&#10;" strokeweight="0"/>
                <v:line id="Line 1237" o:spid="_x0000_s1110" style="position:absolute;visibility:visible;mso-wrap-style:square" from="46793,13538" to="47085,135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0f8X8QAAADcAAAADwAAAGRycy9kb3ducmV2LnhtbESPQWvCQBSE7wX/w/IKvelGqWkaXUVE&#10;0d6sVfD4yL4mi9m3Ibtq/PduQehxmJlvmOm8s7W4UuuNYwXDQQKCuHDacKng8LPuZyB8QNZYOyYF&#10;d/Iwn/Vepphrd+Nvuu5DKSKEfY4KqhCaXEpfVGTRD1xDHL1f11oMUbal1C3eItzWcpQkqbRoOC5U&#10;2NCyouK8v1gFZpduxl8fx8+jXG3C8JSdM2MPSr29dosJiEBd+A8/21utYJS+w9+ZeATk7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HR/xfxAAAANwAAAAPAAAAAAAAAAAA&#10;AAAAAKECAABkcnMvZG93bnJldi54bWxQSwUGAAAAAAQABAD5AAAAkgMAAAAA&#10;" strokeweight="0"/>
                <v:line id="Line 1238" o:spid="_x0000_s1111" style="position:absolute;visibility:visible;mso-wrap-style:square" from="46793,11347" to="47085,11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AtZxMQAAADcAAAADwAAAGRycy9kb3ducmV2LnhtbESPT4vCMBTE7wt+h/AEb2uqYLdWo4is&#10;6N7Wf+Dx0TzbYPNSmqzWb79ZWPA4zMxvmPmys7W4U+uNYwWjYQKCuHDacKngdNy8ZyB8QNZYOyYF&#10;T/KwXPTe5phr9+A93Q+hFBHCPkcFVQhNLqUvKrLoh64hjt7VtRZDlG0pdYuPCLe1HCdJKi0ajgsV&#10;NrSuqLgdfqwC851uJ18f5+lZfm7D6JLdMmNPSg363WoGIlAXXuH/9k4rGKcT+DsTj4Bc/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C1nExAAAANwAAAAPAAAAAAAAAAAA&#10;AAAAAKECAABkcnMvZG93bnJldi54bWxQSwUGAAAAAAQABAD5AAAAkgMAAAAA&#10;" strokeweight="0"/>
                <v:line id="Line 1239" o:spid="_x0000_s1112" style="position:absolute;visibility:visible;mso-wrap-style:square" from="46793,9156" to="47085,91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NnHs8QAAADcAAAADwAAAGRycy9kb3ducmV2LnhtbESPQWvCQBSE74X+h+UJvdWNQmMa3UgR&#10;i+1NrYLHR/aZLMm+Ddmtpv++Kwgeh5n5hlksB9uKC/XeOFYwGScgiEunDVcKDj+frxkIH5A1to5J&#10;wR95WBbPTwvMtbvyji77UIkIYZ+jgjqELpfSlzVZ9GPXEUfv7HqLIcq+krrHa4TbVk6TJJUWDceF&#10;Gjta1VQ2+1+rwGzTzdv37Ph+lOtNmJyyJjP2oNTLaPiYgwg0hEf43v7SCqZpCrcz8QjI4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Y2cezxAAAANwAAAAPAAAAAAAAAAAA&#10;AAAAAKECAABkcnMvZG93bnJldi54bWxQSwUGAAAAAAQABAD5AAAAkgMAAAAA&#10;" strokeweight="0"/>
                <v:line id="Line 1240" o:spid="_x0000_s1113" style="position:absolute;visibility:visible;mso-wrap-style:square" from="46793,6959" to="47085,69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5ViKMQAAADcAAAADwAAAGRycy9kb3ducmV2LnhtbESPT4vCMBTE7wt+h/CEva2pgrVWo4is&#10;uN7Wf+Dx0TzbYPNSmqx2v/1GWPA4zMxvmPmys7W4U+uNYwXDQQKCuHDacKngdNx8ZCB8QNZYOyYF&#10;v+Rhuei9zTHX7sF7uh9CKSKEfY4KqhCaXEpfVGTRD1xDHL2ray2GKNtS6hYfEW5rOUqSVFo0HBcq&#10;bGhdUXE7/FgF5jvdjneT8/QsP7dheMlumbEnpd773WoGIlAXXuH/9pdWMEon8DwTj4Bc/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3lWIoxAAAANwAAAAPAAAAAAAAAAAA&#10;AAAAAKECAABkcnMvZG93bnJldi54bWxQSwUGAAAAAAQABAD5AAAAkgMAAAAA&#10;" strokeweight="0"/>
                <v:rect id="Rectangle 1241" o:spid="_x0000_s1114" style="position:absolute;left:9531;top:1333;width:27572;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c3NL8A&#10;AADcAAAADwAAAGRycy9kb3ducmV2LnhtbERPy4rCMBTdC/MP4Q6403S6EKlGGQYKHXFj9QMuze2D&#10;SW5KkrH1781CcHk47/1xtkbcyYfBsYKvdQaCuHF64E7B7VqutiBCRNZoHJOCBwU4Hj4Weyy0m/hC&#10;9zp2IoVwKFBBH+NYSBmaniyGtRuJE9c6bzEm6DupPU4p3BqZZ9lGWhw4NfQ40k9PzV/9bxXIa11O&#10;29r4zJ3y9mx+q0tLTqnl5/y9AxFpjm/xy11pBfkmrU1n0hGQhy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Qlzc0vwAAANwAAAAPAAAAAAAAAAAAAAAAAJgCAABkcnMvZG93bnJl&#10;di54bWxQSwUGAAAAAAQABAD1AAAAhAMAAAAA&#10;" filled="f" stroked="f">
                  <v:textbox style="mso-fit-shape-to-text:t" inset="0,0,0,0">
                    <w:txbxContent>
                      <w:p w:rsidR="008153D9" w:rsidRDefault="008153D9" w:rsidP="006B6177">
                        <w:r>
                          <w:rPr>
                            <w:rFonts w:ascii="Arial" w:hAnsi="Arial" w:cs="Arial"/>
                            <w:b/>
                            <w:bCs/>
                            <w:color w:val="000000"/>
                            <w:sz w:val="18"/>
                            <w:szCs w:val="18"/>
                            <w:lang w:val="en-US"/>
                          </w:rPr>
                          <w:t>Total value and number of active initiatives by scal</w:t>
                        </w:r>
                      </w:p>
                    </w:txbxContent>
                  </v:textbox>
                </v:rect>
                <v:rect id="Rectangle 1242" o:spid="_x0000_s1115" style="position:absolute;left:10769;top:7721;width:851;height:963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uSr8IA&#10;AADcAAAADwAAAGRycy9kb3ducmV2LnhtbESPzYoCMRCE7wv7DqGFva0Z5yDuaBQRBBUvjj5AM+n5&#10;waQzJFlnfHuzIOyxqKqvqNVmtEY8yIfOsYLZNANBXDndcaPgdt1/L0CEiKzROCYFTwqwWX9+rLDQ&#10;buALPcrYiAThUKCCNsa+kDJULVkMU9cTJ6923mJM0jdSexwS3BqZZ9lcWuw4LbTY066l6l7+WgXy&#10;Wu6HRWl85k55fTbHw6Ump9TXZNwuQUQa43/43T5oBfn8B/7OpCMg1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5KvwgAAANwAAAAPAAAAAAAAAAAAAAAAAJgCAABkcnMvZG93&#10;bnJldi54bWxQSwUGAAAAAAQABAD1AAAAhwMAAAAA&#10;" filled="f" stroked="f">
                  <v:textbox style="mso-fit-shape-to-text:t" inset="0,0,0,0">
                    <w:txbxContent>
                      <w:p w:rsidR="008153D9" w:rsidRDefault="008153D9" w:rsidP="009D55F8">
                        <w:r>
                          <w:rPr>
                            <w:rFonts w:ascii="Small Fonts" w:hAnsi="Small Fonts" w:cs="Small Fonts"/>
                            <w:color w:val="333333"/>
                            <w:sz w:val="12"/>
                            <w:szCs w:val="12"/>
                            <w:lang w:val="en-US"/>
                          </w:rPr>
                          <w:t>12</w:t>
                        </w:r>
                      </w:p>
                      <w:p w:rsidR="008153D9" w:rsidRDefault="008153D9" w:rsidP="009D55F8"/>
                      <w:p w:rsidR="008153D9" w:rsidRDefault="008153D9" w:rsidP="009D55F8"/>
                      <w:p w:rsidR="008153D9" w:rsidRDefault="008153D9" w:rsidP="009D55F8"/>
                      <w:p w:rsidR="008153D9" w:rsidRDefault="008153D9" w:rsidP="009D55F8"/>
                      <w:p w:rsidR="008153D9" w:rsidRDefault="008153D9" w:rsidP="009D55F8"/>
                      <w:p w:rsidR="008153D9" w:rsidRDefault="008153D9" w:rsidP="009D55F8"/>
                    </w:txbxContent>
                  </v:textbox>
                </v:rect>
                <v:rect id="Rectangle 1243" o:spid="_x0000_s1116" style="position:absolute;left:18872;top:11061;width:578;height:964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it774A&#10;AADcAAAADwAAAGRycy9kb3ducmV2LnhtbERPy4rCMBTdC/5DuMLsNLWLUapRRBAcmY3VD7g0tw9M&#10;bkoSbefvzWLA5eG8t/vRGvEiHzrHCpaLDARx5XTHjYL77TRfgwgRWaNxTAr+KMB+N51ssdBu4Cu9&#10;ytiIFMKhQAVtjH0hZahashgWridOXO28xZigb6T2OKRwa2SeZd/SYsepocWeji1Vj/JpFchbeRrW&#10;pfGZu+T1r/k5X2tySn3NxsMGRKQxfsT/7rNWkK/S/HQmHQG5ew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s4re++AAAA3AAAAA8AAAAAAAAAAAAAAAAAmAIAAGRycy9kb3ducmV2&#10;LnhtbFBLBQYAAAAABAAEAPUAAACDAwAAAAA=&#10;" filled="f" stroked="f">
                  <v:textbox style="mso-fit-shape-to-text:t" inset="0,0,0,0">
                    <w:txbxContent>
                      <w:p w:rsidR="008153D9" w:rsidRDefault="008153D9" w:rsidP="009D55F8">
                        <w:r>
                          <w:rPr>
                            <w:rFonts w:ascii="Small Fonts" w:hAnsi="Small Fonts" w:cs="Small Fonts"/>
                            <w:color w:val="333333"/>
                            <w:sz w:val="12"/>
                            <w:szCs w:val="12"/>
                            <w:lang w:val="en-US"/>
                          </w:rPr>
                          <w:t>9</w:t>
                        </w:r>
                      </w:p>
                      <w:p w:rsidR="008153D9" w:rsidRDefault="008153D9" w:rsidP="009D55F8"/>
                      <w:p w:rsidR="008153D9" w:rsidRDefault="008153D9" w:rsidP="009D55F8"/>
                      <w:p w:rsidR="008153D9" w:rsidRDefault="008153D9" w:rsidP="009D55F8"/>
                      <w:p w:rsidR="008153D9" w:rsidRDefault="008153D9" w:rsidP="009D55F8"/>
                      <w:p w:rsidR="008153D9" w:rsidRDefault="008153D9" w:rsidP="009D55F8"/>
                      <w:p w:rsidR="008153D9" w:rsidRDefault="008153D9" w:rsidP="009D55F8"/>
                    </w:txbxContent>
                  </v:textbox>
                </v:rect>
                <v:rect id="Rectangle 1244" o:spid="_x0000_s1117" style="position:absolute;left:26784;top:17640;width:578;height:963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QIdMIA&#10;AADcAAAADwAAAGRycy9kb3ducmV2LnhtbESPzYoCMRCE7wu+Q2jB25pxDq7MGmVZEFS8OPoAzaTn&#10;h006QxKd8e2NIOyxqKqvqPV2tEbcyYfOsYLFPANBXDndcaPgetl9rkCEiKzROCYFDwqw3Uw+1lho&#10;N/CZ7mVsRIJwKFBBG2NfSBmqliyGueuJk1c7bzEm6RupPQ4Jbo3Ms2wpLXacFlrs6bel6q+8WQXy&#10;Uu6GVWl85o55fTKH/bkmp9RsOv58g4g0xv/wu73XCvKvBbzOpCMgN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dAh0wgAAANwAAAAPAAAAAAAAAAAAAAAAAJgCAABkcnMvZG93&#10;bnJldi54bWxQSwUGAAAAAAQABAD1AAAAhwMAAAAA&#10;" filled="f" stroked="f">
                  <v:textbox style="mso-fit-shape-to-text:t" inset="0,0,0,0">
                    <w:txbxContent>
                      <w:p w:rsidR="008153D9" w:rsidRDefault="008153D9" w:rsidP="009D55F8">
                        <w:r>
                          <w:rPr>
                            <w:rFonts w:ascii="Small Fonts" w:hAnsi="Small Fonts" w:cs="Small Fonts"/>
                            <w:color w:val="333333"/>
                            <w:sz w:val="12"/>
                            <w:szCs w:val="12"/>
                            <w:lang w:val="en-US"/>
                          </w:rPr>
                          <w:t>3</w:t>
                        </w:r>
                      </w:p>
                      <w:p w:rsidR="008153D9" w:rsidRDefault="008153D9" w:rsidP="009D55F8"/>
                      <w:p w:rsidR="008153D9" w:rsidRDefault="008153D9" w:rsidP="009D55F8"/>
                      <w:p w:rsidR="008153D9" w:rsidRDefault="008153D9" w:rsidP="009D55F8"/>
                      <w:p w:rsidR="008153D9" w:rsidRDefault="008153D9" w:rsidP="009D55F8"/>
                      <w:p w:rsidR="008153D9" w:rsidRDefault="008153D9" w:rsidP="009D55F8"/>
                      <w:p w:rsidR="008153D9" w:rsidRDefault="008153D9" w:rsidP="009D55F8"/>
                    </w:txbxContent>
                  </v:textbox>
                </v:rect>
                <v:rect id="Rectangle 1245" o:spid="_x0000_s1118" style="position:absolute;left:34690;top:15449;width:3270;height:23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bbdMYA&#10;AADcAAAADwAAAGRycy9kb3ducmV2LnhtbESPQWvCQBSE70L/w/IKvYhuzKFqmo2UgtCDIKY9tLdH&#10;9jWbNvs2ZFcT/fVdQfA4zMw3TL4ZbStO1PvGsYLFPAFBXDndcK3g82M7W4HwAVlj65gUnMnDpniY&#10;5JhpN/CBTmWoRYSwz1CBCaHLpPSVIYt+7jri6P243mKIsq+l7nGIcNvKNEmepcWG44LBjt4MVX/l&#10;0SrY7r8a4os8TNerwf1W6Xdpdp1ST4/j6wuIQGO4h2/td60gXaZwPROPgCz+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CbbdMYAAADcAAAADwAAAAAAAAAAAAAAAACYAgAAZHJz&#10;L2Rvd25yZXYueG1sUEsFBgAAAAAEAAQA9QAAAIsDAAAAAA==&#10;" filled="f" stroked="f">
                  <v:textbox style="mso-fit-shape-to-text:t" inset="0,0,0,0">
                    <w:txbxContent>
                      <w:p w:rsidR="008153D9" w:rsidRDefault="008153D9" w:rsidP="009D55F8">
                        <w:r>
                          <w:rPr>
                            <w:rFonts w:ascii="Small Fonts" w:hAnsi="Small Fonts" w:cs="Small Fonts"/>
                            <w:color w:val="333333"/>
                            <w:sz w:val="12"/>
                            <w:szCs w:val="12"/>
                            <w:lang w:val="en-US"/>
                          </w:rPr>
                          <w:t>5</w:t>
                        </w:r>
                      </w:p>
                      <w:p w:rsidR="008153D9" w:rsidRDefault="008153D9"/>
                    </w:txbxContent>
                  </v:textbox>
                </v:rect>
                <v:rect id="Rectangle 1246" o:spid="_x0000_s1119" style="position:absolute;left:42697;top:19837;width:578;height:125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zmMIA&#10;AADcAAAADwAAAGRycy9kb3ducmV2LnhtbESP3WoCMRSE7wXfIRzBO826QiurUUQQbOmNqw9w2Jz9&#10;weRkSaK7ffumUOjlMDPfMLvDaI14kQ+dYwWrZQaCuHK640bB/XZebECEiKzROCYF3xTgsJ9Odlho&#10;N/CVXmVsRIJwKFBBG2NfSBmqliyGpeuJk1c7bzEm6RupPQ4Jbo3Ms+xNWuw4LbTY06ml6lE+rQJ5&#10;K8/DpjQ+c595/WU+LteanFLz2Xjcgog0xv/wX/uiFeTva/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6jOYwgAAANwAAAAPAAAAAAAAAAAAAAAAAJgCAABkcnMvZG93&#10;bnJldi54bWxQSwUGAAAAAAQABAD1AAAAhwMAAAAA&#10;" filled="f" stroked="f">
                  <v:textbox style="mso-fit-shape-to-text:t" inset="0,0,0,0">
                    <w:txbxContent>
                      <w:p w:rsidR="008153D9" w:rsidRDefault="008153D9" w:rsidP="009D55F8">
                        <w:r>
                          <w:rPr>
                            <w:rFonts w:ascii="Small Fonts" w:hAnsi="Small Fonts" w:cs="Small Fonts"/>
                            <w:color w:val="333333"/>
                            <w:sz w:val="12"/>
                            <w:szCs w:val="12"/>
                            <w:lang w:val="en-US"/>
                          </w:rPr>
                          <w:t>1</w:t>
                        </w:r>
                      </w:p>
                      <w:p w:rsidR="008153D9" w:rsidRDefault="008153D9" w:rsidP="009D55F8"/>
                      <w:p w:rsidR="008153D9" w:rsidRDefault="008153D9" w:rsidP="009D55F8"/>
                      <w:p w:rsidR="008153D9" w:rsidRDefault="008153D9" w:rsidP="009D55F8"/>
                      <w:p w:rsidR="008153D9" w:rsidRDefault="008153D9" w:rsidP="009D55F8"/>
                      <w:p w:rsidR="008153D9" w:rsidRDefault="008153D9" w:rsidP="009D55F8"/>
                      <w:p w:rsidR="008153D9" w:rsidRDefault="008153D9" w:rsidP="009D55F8"/>
                      <w:p w:rsidR="008153D9" w:rsidRDefault="008153D9" w:rsidP="009D55F8"/>
                      <w:p w:rsidR="008153D9" w:rsidRDefault="008153D9" w:rsidP="009D55F8"/>
                    </w:txbxContent>
                  </v:textbox>
                </v:rect>
                <v:rect id="Rectangle 1247" o:spid="_x0000_s1120" style="position:absolute;left:5911;top:21742;width:578;height:70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8Od8IA&#10;AADcAAAADwAAAGRycy9kb3ducmV2LnhtbESP3WoCMRSE7wXfIRzBO826YCurUUQQbOmNqw9w2Jz9&#10;weRkSaK7ffumUOjlMDPfMLvDaI14kQ+dYwWrZQaCuHK640bB/XZebECEiKzROCYF3xTgsJ9Odlho&#10;N/CVXmVsRIJwKFBBG2NfSBmqliyGpeuJk1c7bzEm6RupPQ4Jbo3Ms+xNWuw4LbTY06ml6lE+rQJ5&#10;K8/DpjQ+c595/WU+LteanFLz2Xjcgog0xv/wX/uiFeTva/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Tw53wgAAANwAAAAPAAAAAAAAAAAAAAAAAJgCAABkcnMvZG93&#10;bnJldi54bWxQSwUGAAAAAAQABAD1AAAAhwMAAAAA&#10;" filled="f" stroked="f">
                  <v:textbox style="mso-fit-shape-to-text:t" inset="0,0,0,0">
                    <w:txbxContent>
                      <w:p w:rsidR="008153D9" w:rsidRDefault="008153D9" w:rsidP="009D55F8">
                        <w:r>
                          <w:rPr>
                            <w:rFonts w:ascii="Tahoma" w:hAnsi="Tahoma" w:cs="Tahoma"/>
                            <w:color w:val="333333"/>
                            <w:sz w:val="16"/>
                            <w:szCs w:val="16"/>
                            <w:lang w:val="en-US"/>
                          </w:rPr>
                          <w:t>0</w:t>
                        </w:r>
                      </w:p>
                      <w:p w:rsidR="008153D9" w:rsidRDefault="008153D9" w:rsidP="009D55F8"/>
                      <w:p w:rsidR="008153D9" w:rsidRDefault="008153D9" w:rsidP="009D55F8"/>
                      <w:p w:rsidR="008153D9" w:rsidRDefault="008153D9" w:rsidP="009D55F8"/>
                      <w:p w:rsidR="008153D9" w:rsidRDefault="008153D9" w:rsidP="009D55F8"/>
                    </w:txbxContent>
                  </v:textbox>
                </v:rect>
                <v:rect id="Rectangle 1248" o:spid="_x0000_s1121" style="position:absolute;left:5340;top:20027;width:1111;height:70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2QAMIA&#10;AADcAAAADwAAAGRycy9kb3ducmV2LnhtbESPzYoCMRCE78K+Q2hhb5pxDq6MRhFBcMWLow/QTHp+&#10;MOkMSdaZfXuzIOyxqKqvqM1utEY8yYfOsYLFPANBXDndcaPgfjvOViBCRNZoHJOCXwqw235MNlho&#10;N/CVnmVsRIJwKFBBG2NfSBmqliyGueuJk1c7bzEm6RupPQ4Jbo3Ms2wpLXacFlrs6dBS9Sh/rAJ5&#10;K4/DqjQ+c+e8vpjv07Ump9TndNyvQUQa43/43T5pBfnXEv7OpCMgt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nZAAwgAAANwAAAAPAAAAAAAAAAAAAAAAAJgCAABkcnMvZG93&#10;bnJldi54bWxQSwUGAAAAAAQABAD1AAAAhwMAAAAA&#10;" filled="f" stroked="f">
                  <v:textbox style="mso-fit-shape-to-text:t" inset="0,0,0,0">
                    <w:txbxContent>
                      <w:p w:rsidR="008153D9" w:rsidRDefault="008153D9" w:rsidP="009D55F8">
                        <w:r>
                          <w:rPr>
                            <w:rFonts w:ascii="Tahoma" w:hAnsi="Tahoma" w:cs="Tahoma"/>
                            <w:color w:val="333333"/>
                            <w:sz w:val="16"/>
                            <w:szCs w:val="16"/>
                            <w:lang w:val="en-US"/>
                          </w:rPr>
                          <w:t>20</w:t>
                        </w:r>
                      </w:p>
                      <w:p w:rsidR="008153D9" w:rsidRDefault="008153D9" w:rsidP="009D55F8"/>
                      <w:p w:rsidR="008153D9" w:rsidRDefault="008153D9" w:rsidP="009D55F8"/>
                      <w:p w:rsidR="008153D9" w:rsidRDefault="008153D9" w:rsidP="009D55F8"/>
                      <w:p w:rsidR="008153D9" w:rsidRDefault="008153D9" w:rsidP="009D55F8"/>
                    </w:txbxContent>
                  </v:textbox>
                </v:rect>
                <v:rect id="Rectangle 1249" o:spid="_x0000_s1122" style="position:absolute;left:5340;top:18307;width:1111;height:70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E1m8IA&#10;AADcAAAADwAAAGRycy9kb3ducmV2LnhtbESPzYoCMRCE7wu+Q+gFb2tm56AyGmVZEFT24ugDNJOe&#10;H0w6QxKd8e3NguCxqKqvqPV2tEbcyYfOsYLvWQaCuHK640bB5bz7WoIIEVmjcUwKHhRgu5l8rLHQ&#10;buAT3cvYiAThUKCCNsa+kDJULVkMM9cTJ6923mJM0jdSexwS3BqZZ9lcWuw4LbTY029L1bW8WQXy&#10;XO6GZWl85o55/WcO+1NNTqnp5/izAhFpjO/wq73XCvLFAv7PpCMgN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0TWbwgAAANwAAAAPAAAAAAAAAAAAAAAAAJgCAABkcnMvZG93&#10;bnJldi54bWxQSwUGAAAAAAQABAD1AAAAhwMAAAAA&#10;" filled="f" stroked="f">
                  <v:textbox style="mso-fit-shape-to-text:t" inset="0,0,0,0">
                    <w:txbxContent>
                      <w:p w:rsidR="008153D9" w:rsidRDefault="008153D9" w:rsidP="009D55F8">
                        <w:r>
                          <w:rPr>
                            <w:rFonts w:ascii="Tahoma" w:hAnsi="Tahoma" w:cs="Tahoma"/>
                            <w:color w:val="333333"/>
                            <w:sz w:val="16"/>
                            <w:szCs w:val="16"/>
                            <w:lang w:val="en-US"/>
                          </w:rPr>
                          <w:t>40</w:t>
                        </w:r>
                      </w:p>
                      <w:p w:rsidR="008153D9" w:rsidRDefault="008153D9" w:rsidP="009D55F8"/>
                      <w:p w:rsidR="008153D9" w:rsidRDefault="008153D9" w:rsidP="009D55F8"/>
                      <w:p w:rsidR="008153D9" w:rsidRDefault="008153D9" w:rsidP="009D55F8"/>
                      <w:p w:rsidR="008153D9" w:rsidRDefault="008153D9" w:rsidP="009D55F8"/>
                    </w:txbxContent>
                  </v:textbox>
                </v:rect>
                <v:rect id="Rectangle 1250" o:spid="_x0000_s1123" style="position:absolute;left:5340;top:16592;width:1111;height:70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6h6b4A&#10;AADcAAAADwAAAGRycy9kb3ducmV2LnhtbERPy4rCMBTdC/5DuMLsNLWLUapRRBAcmY3VD7g0tw9M&#10;bkoSbefvzWLA5eG8t/vRGvEiHzrHCpaLDARx5XTHjYL77TRfgwgRWaNxTAr+KMB+N51ssdBu4Cu9&#10;ytiIFMKhQAVtjH0hZahashgWridOXO28xZigb6T2OKRwa2SeZd/SYsepocWeji1Vj/JpFchbeRrW&#10;pfGZu+T1r/k5X2tySn3NxsMGRKQxfsT/7rNWkK/S2nQmHQG5ew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VOoem+AAAA3AAAAA8AAAAAAAAAAAAAAAAAmAIAAGRycy9kb3ducmV2&#10;LnhtbFBLBQYAAAAABAAEAPUAAACDAwAAAAA=&#10;" filled="f" stroked="f">
                  <v:textbox style="mso-fit-shape-to-text:t" inset="0,0,0,0">
                    <w:txbxContent>
                      <w:p w:rsidR="008153D9" w:rsidRDefault="008153D9" w:rsidP="009D55F8">
                        <w:r>
                          <w:rPr>
                            <w:rFonts w:ascii="Tahoma" w:hAnsi="Tahoma" w:cs="Tahoma"/>
                            <w:color w:val="333333"/>
                            <w:sz w:val="16"/>
                            <w:szCs w:val="16"/>
                            <w:lang w:val="en-US"/>
                          </w:rPr>
                          <w:t>60</w:t>
                        </w:r>
                      </w:p>
                      <w:p w:rsidR="008153D9" w:rsidRDefault="008153D9" w:rsidP="009D55F8"/>
                      <w:p w:rsidR="008153D9" w:rsidRDefault="008153D9" w:rsidP="009D55F8"/>
                      <w:p w:rsidR="008153D9" w:rsidRDefault="008153D9" w:rsidP="009D55F8"/>
                      <w:p w:rsidR="008153D9" w:rsidRDefault="008153D9" w:rsidP="009D55F8"/>
                    </w:txbxContent>
                  </v:textbox>
                </v:rect>
                <v:rect id="Rectangle 1251" o:spid="_x0000_s1124" style="position:absolute;left:5340;top:14878;width:1111;height:70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IEcsIA&#10;AADcAAAADwAAAGRycy9kb3ducmV2LnhtbESP3WoCMRSE7wu+QziCdzXrXlhdjSKCoKU3rj7AYXP2&#10;B5OTJUnd7dubQqGXw8x8w2z3ozXiST50jhUs5hkI4srpjhsF99vpfQUiRGSNxjEp+KEA+93kbYuF&#10;dgNf6VnGRiQIhwIVtDH2hZShaslimLueOHm18xZjkr6R2uOQ4NbIPMuW0mLHaaHFno4tVY/y2yqQ&#10;t/I0rErjM/eZ11/mcr7W5JSaTcfDBkSkMf6H/9pnrSD/WMPvmXQE5O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AgRywgAAANwAAAAPAAAAAAAAAAAAAAAAAJgCAABkcnMvZG93&#10;bnJldi54bWxQSwUGAAAAAAQABAD1AAAAhwMAAAAA&#10;" filled="f" stroked="f">
                  <v:textbox style="mso-fit-shape-to-text:t" inset="0,0,0,0">
                    <w:txbxContent>
                      <w:p w:rsidR="008153D9" w:rsidRDefault="008153D9" w:rsidP="009D55F8">
                        <w:r>
                          <w:rPr>
                            <w:rFonts w:ascii="Tahoma" w:hAnsi="Tahoma" w:cs="Tahoma"/>
                            <w:color w:val="333333"/>
                            <w:sz w:val="16"/>
                            <w:szCs w:val="16"/>
                            <w:lang w:val="en-US"/>
                          </w:rPr>
                          <w:t>80</w:t>
                        </w:r>
                      </w:p>
                      <w:p w:rsidR="008153D9" w:rsidRDefault="008153D9" w:rsidP="009D55F8"/>
                      <w:p w:rsidR="008153D9" w:rsidRDefault="008153D9" w:rsidP="009D55F8"/>
                      <w:p w:rsidR="008153D9" w:rsidRDefault="008153D9" w:rsidP="009D55F8"/>
                      <w:p w:rsidR="008153D9" w:rsidRDefault="008153D9" w:rsidP="009D55F8"/>
                    </w:txbxContent>
                  </v:textbox>
                </v:rect>
                <v:rect id="Rectangle 1252" o:spid="_x0000_s1125" style="position:absolute;left:4762;top:13157;width:1670;height:70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u3dyL4A&#10;AADcAAAADwAAAGRycy9kb3ducmV2LnhtbERPy4rCMBTdD/gP4QruxtQupHSMIoLgiBurH3Bpbh9M&#10;clOSaDt/bxaCy8N5b3aTNeJJPvSOFayWGQji2umeWwX32/G7ABEiskbjmBT8U4Dddva1wVK7ka/0&#10;rGIrUgiHEhV0MQ6llKHuyGJYuoE4cY3zFmOCvpXa45jCrZF5lq2lxZ5TQ4cDHTqq/6qHVSBv1XEs&#10;KuMzd86bi/k9XRtySi3m0/4HRKQpfsRv90kryIs0P51JR0BuX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7t3ci+AAAA3AAAAA8AAAAAAAAAAAAAAAAAmAIAAGRycy9kb3ducmV2&#10;LnhtbFBLBQYAAAAABAAEAPUAAACDAwAAAAA=&#10;" filled="f" stroked="f">
                  <v:textbox style="mso-fit-shape-to-text:t" inset="0,0,0,0">
                    <w:txbxContent>
                      <w:p w:rsidR="008153D9" w:rsidRDefault="008153D9" w:rsidP="009D55F8">
                        <w:r>
                          <w:rPr>
                            <w:rFonts w:ascii="Tahoma" w:hAnsi="Tahoma" w:cs="Tahoma"/>
                            <w:color w:val="333333"/>
                            <w:sz w:val="16"/>
                            <w:szCs w:val="16"/>
                            <w:lang w:val="en-US"/>
                          </w:rPr>
                          <w:t>100</w:t>
                        </w:r>
                      </w:p>
                      <w:p w:rsidR="008153D9" w:rsidRDefault="008153D9" w:rsidP="009D55F8"/>
                      <w:p w:rsidR="008153D9" w:rsidRDefault="008153D9" w:rsidP="009D55F8"/>
                      <w:p w:rsidR="008153D9" w:rsidRDefault="008153D9" w:rsidP="009D55F8"/>
                      <w:p w:rsidR="008153D9" w:rsidRDefault="008153D9" w:rsidP="009D55F8"/>
                    </w:txbxContent>
                  </v:textbox>
                </v:rect>
                <v:rect id="Rectangle 1253" o:spid="_x0000_s1126" style="position:absolute;left:4762;top:11442;width:1670;height:70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F4U8EA&#10;AADcAAAADwAAAGRycy9kb3ducmV2LnhtbESP3YrCMBSE74V9h3AWvNPUXkjpGmVZEFS8se4DHJrT&#10;HzY5KUm09e2NIOzlMDPfMJvdZI24kw+9YwWrZQaCuHa651bB73W/KECEiKzROCYFDwqw237MNlhq&#10;N/KF7lVsRYJwKFFBF+NQShnqjiyGpRuIk9c4bzEm6VupPY4Jbo3Ms2wtLfacFjoc6Kej+q+6WQXy&#10;Wu3HojI+c6e8OZvj4dKQU2r+OX1/gYg0xf/wu33QCvJiBa8z6QjI7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GheFPBAAAA3AAAAA8AAAAAAAAAAAAAAAAAmAIAAGRycy9kb3du&#10;cmV2LnhtbFBLBQYAAAAABAAEAPUAAACGAwAAAAA=&#10;" filled="f" stroked="f">
                  <v:textbox style="mso-fit-shape-to-text:t" inset="0,0,0,0">
                    <w:txbxContent>
                      <w:p w:rsidR="008153D9" w:rsidRDefault="008153D9" w:rsidP="009D55F8">
                        <w:r>
                          <w:rPr>
                            <w:rFonts w:ascii="Tahoma" w:hAnsi="Tahoma" w:cs="Tahoma"/>
                            <w:color w:val="333333"/>
                            <w:sz w:val="16"/>
                            <w:szCs w:val="16"/>
                            <w:lang w:val="en-US"/>
                          </w:rPr>
                          <w:t>120</w:t>
                        </w:r>
                      </w:p>
                      <w:p w:rsidR="008153D9" w:rsidRDefault="008153D9" w:rsidP="009D55F8"/>
                      <w:p w:rsidR="008153D9" w:rsidRDefault="008153D9" w:rsidP="009D55F8"/>
                      <w:p w:rsidR="008153D9" w:rsidRDefault="008153D9" w:rsidP="009D55F8"/>
                      <w:p w:rsidR="008153D9" w:rsidRDefault="008153D9" w:rsidP="009D55F8"/>
                    </w:txbxContent>
                  </v:textbox>
                </v:rect>
                <v:rect id="Rectangle 1254" o:spid="_x0000_s1127" style="position:absolute;left:4762;top:9728;width:1670;height:70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PmJMEA&#10;AADcAAAADwAAAGRycy9kb3ducmV2LnhtbESP3YrCMBSE7xd8h3AE79Z0eyGlGkUWBF28se4DHJrT&#10;H0xOShJt9+2NIOzlMDPfMJvdZI14kA+9YwVfywwEce10z62C3+vhswARIrJG45gU/FGA3Xb2scFS&#10;u5Ev9KhiKxKEQ4kKuhiHUspQd2QxLN1AnLzGeYsxSd9K7XFMcGtknmUrabHntNDhQN8d1bfqbhXI&#10;a3UYi8r4zP3kzdmcjpeGnFKL+bRfg4g0xf/wu33UCvIih9eZdATk9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Fz5iTBAAAA3AAAAA8AAAAAAAAAAAAAAAAAmAIAAGRycy9kb3du&#10;cmV2LnhtbFBLBQYAAAAABAAEAPUAAACGAwAAAAA=&#10;" filled="f" stroked="f">
                  <v:textbox style="mso-fit-shape-to-text:t" inset="0,0,0,0">
                    <w:txbxContent>
                      <w:p w:rsidR="008153D9" w:rsidRDefault="008153D9" w:rsidP="009D55F8">
                        <w:r>
                          <w:rPr>
                            <w:rFonts w:ascii="Tahoma" w:hAnsi="Tahoma" w:cs="Tahoma"/>
                            <w:color w:val="333333"/>
                            <w:sz w:val="16"/>
                            <w:szCs w:val="16"/>
                            <w:lang w:val="en-US"/>
                          </w:rPr>
                          <w:t>140</w:t>
                        </w:r>
                      </w:p>
                      <w:p w:rsidR="008153D9" w:rsidRDefault="008153D9" w:rsidP="009D55F8"/>
                      <w:p w:rsidR="008153D9" w:rsidRDefault="008153D9" w:rsidP="009D55F8"/>
                      <w:p w:rsidR="008153D9" w:rsidRDefault="008153D9" w:rsidP="009D55F8"/>
                      <w:p w:rsidR="008153D9" w:rsidRDefault="008153D9" w:rsidP="009D55F8"/>
                    </w:txbxContent>
                  </v:textbox>
                </v:rect>
                <v:rect id="Rectangle 1255" o:spid="_x0000_s1128" style="position:absolute;left:4762;top:8007;width:1670;height:70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9Dv8IA&#10;AADcAAAADwAAAGRycy9kb3ducmV2LnhtbESP3WoCMRSE7wu+QziCdzXbFcqyNUopCCreuPYBDpuz&#10;PzQ5WZLorm9vBKGXw8x8w6y3kzXiRj70jhV8LDMQxLXTPbcKfi+79wJEiMgajWNScKcA283sbY2l&#10;diOf6VbFViQIhxIVdDEOpZSh7shiWLqBOHmN8xZjkr6V2uOY4NbIPMs+pcWe00KHA/10VP9VV6tA&#10;XqrdWFTGZ+6YNydz2J8bckot5tP3F4hIU/wPv9p7rSAvVvA8k46A3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P0O/wgAAANwAAAAPAAAAAAAAAAAAAAAAAJgCAABkcnMvZG93&#10;bnJldi54bWxQSwUGAAAAAAQABAD1AAAAhwMAAAAA&#10;" filled="f" stroked="f">
                  <v:textbox style="mso-fit-shape-to-text:t" inset="0,0,0,0">
                    <w:txbxContent>
                      <w:p w:rsidR="008153D9" w:rsidRDefault="008153D9" w:rsidP="009D55F8">
                        <w:r>
                          <w:rPr>
                            <w:rFonts w:ascii="Tahoma" w:hAnsi="Tahoma" w:cs="Tahoma"/>
                            <w:color w:val="333333"/>
                            <w:sz w:val="16"/>
                            <w:szCs w:val="16"/>
                            <w:lang w:val="en-US"/>
                          </w:rPr>
                          <w:t>160</w:t>
                        </w:r>
                      </w:p>
                      <w:p w:rsidR="008153D9" w:rsidRDefault="008153D9" w:rsidP="009D55F8"/>
                      <w:p w:rsidR="008153D9" w:rsidRDefault="008153D9" w:rsidP="009D55F8"/>
                      <w:p w:rsidR="008153D9" w:rsidRDefault="008153D9" w:rsidP="009D55F8"/>
                      <w:p w:rsidR="008153D9" w:rsidRDefault="008153D9" w:rsidP="009D55F8"/>
                    </w:txbxContent>
                  </v:textbox>
                </v:rect>
                <v:rect id="Rectangle 1256" o:spid="_x0000_s1129" style="position:absolute;left:4762;top:6292;width:1670;height:70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bby8IA&#10;AADcAAAADwAAAGRycy9kb3ducmV2LnhtbESP3WoCMRSE7wu+QziCdzXbRcqyNUopCCreuPYBDpuz&#10;PzQ5WZLorm9vBKGXw8x8w6y3kzXiRj70jhV8LDMQxLXTPbcKfi+79wJEiMgajWNScKcA283sbY2l&#10;diOf6VbFViQIhxIVdDEOpZSh7shiWLqBOHmN8xZjkr6V2uOY4NbIPMs+pcWe00KHA/10VP9VV6tA&#10;XqrdWFTGZ+6YNydz2J8bckot5tP3F4hIU/wPv9p7rSAvVvA8k46A3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1tvLwgAAANwAAAAPAAAAAAAAAAAAAAAAAJgCAABkcnMvZG93&#10;bnJldi54bWxQSwUGAAAAAAQABAD1AAAAhwMAAAAA&#10;" filled="f" stroked="f">
                  <v:textbox style="mso-fit-shape-to-text:t" inset="0,0,0,0">
                    <w:txbxContent>
                      <w:p w:rsidR="008153D9" w:rsidRDefault="008153D9" w:rsidP="009D55F8">
                        <w:r>
                          <w:rPr>
                            <w:rFonts w:ascii="Tahoma" w:hAnsi="Tahoma" w:cs="Tahoma"/>
                            <w:color w:val="333333"/>
                            <w:sz w:val="16"/>
                            <w:szCs w:val="16"/>
                            <w:lang w:val="en-US"/>
                          </w:rPr>
                          <w:t>180</w:t>
                        </w:r>
                      </w:p>
                      <w:p w:rsidR="008153D9" w:rsidRDefault="008153D9" w:rsidP="009D55F8"/>
                      <w:p w:rsidR="008153D9" w:rsidRDefault="008153D9" w:rsidP="009D55F8"/>
                      <w:p w:rsidR="008153D9" w:rsidRDefault="008153D9" w:rsidP="009D55F8"/>
                      <w:p w:rsidR="008153D9" w:rsidRDefault="008153D9" w:rsidP="009D55F8"/>
                    </w:txbxContent>
                  </v:textbox>
                </v:rect>
                <v:rect id="Rectangle 1257" o:spid="_x0000_s1130" style="position:absolute;left:8674;top:22885;width:5384;height:122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p+UMIA&#10;AADcAAAADwAAAGRycy9kb3ducmV2LnhtbESP3WoCMRSE7wu+QziCdzXbBcuyNUopCCreuPYBDpuz&#10;PzQ5WZLorm9vBKGXw8x8w6y3kzXiRj70jhV8LDMQxLXTPbcKfi+79wJEiMgajWNScKcA283sbY2l&#10;diOf6VbFViQIhxIVdDEOpZSh7shiWLqBOHmN8xZjkr6V2uOY4NbIPMs+pcWe00KHA/10VP9VV6tA&#10;XqrdWFTGZ+6YNydz2J8bckot5tP3F4hIU/wPv9p7rSAvVvA8k46A3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mn5QwgAAANwAAAAPAAAAAAAAAAAAAAAAAJgCAABkcnMvZG93&#10;bnJldi54bWxQSwUGAAAAAAQABAD1AAAAhwMAAAAA&#10;" filled="f" stroked="f">
                  <v:textbox style="mso-fit-shape-to-text:t" inset="0,0,0,0">
                    <w:txbxContent>
                      <w:p w:rsidR="008153D9" w:rsidRDefault="008153D9" w:rsidP="00A6542C">
                        <w:r>
                          <w:rPr>
                            <w:rFonts w:ascii="Tahoma" w:hAnsi="Tahoma" w:cs="Tahoma"/>
                            <w:color w:val="333333"/>
                            <w:sz w:val="16"/>
                            <w:szCs w:val="16"/>
                            <w:lang w:val="en-US"/>
                          </w:rPr>
                          <w:t>&lt; $3 million</w:t>
                        </w:r>
                      </w:p>
                    </w:txbxContent>
                  </v:textbox>
                </v:rect>
                <v:rect id="Rectangle 1258" o:spid="_x0000_s1131" style="position:absolute;left:15824;top:22885;width:4870;height:56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jgJ8EA&#10;AADcAAAADwAAAGRycy9kb3ducmV2LnhtbESP3YrCMBSE7wXfIZwF7zTdXkjpGmVZEFS8se4DHJrT&#10;HzY5KUm09e2NIOzlMDPfMJvdZI24kw+9YwWfqwwEce10z62C3+t+WYAIEVmjcUwKHhRgt53PNlhq&#10;N/KF7lVsRYJwKFFBF+NQShnqjiyGlRuIk9c4bzEm6VupPY4Jbo3Ms2wtLfacFjoc6Kej+q+6WQXy&#10;Wu3HojI+c6e8OZvj4dKQU2rxMX1/gYg0xf/wu33QCvJiDa8z6QjI7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5I4CfBAAAA3AAAAA8AAAAAAAAAAAAAAAAAmAIAAGRycy9kb3du&#10;cmV2LnhtbFBLBQYAAAAABAAEAPUAAACGAwAAAAA=&#10;" filled="f" stroked="f">
                  <v:textbox style="mso-fit-shape-to-text:t" inset="0,0,0,0">
                    <w:txbxContent>
                      <w:p w:rsidR="008153D9" w:rsidRDefault="008153D9" w:rsidP="009D55F8">
                        <w:r>
                          <w:rPr>
                            <w:rFonts w:ascii="Tahoma" w:hAnsi="Tahoma" w:cs="Tahoma"/>
                            <w:color w:val="333333"/>
                            <w:sz w:val="16"/>
                            <w:szCs w:val="16"/>
                            <w:lang w:val="en-US"/>
                          </w:rPr>
                          <w:t>$3—$10 m</w:t>
                        </w:r>
                      </w:p>
                      <w:p w:rsidR="008153D9" w:rsidRDefault="008153D9" w:rsidP="009D55F8"/>
                      <w:p w:rsidR="008153D9" w:rsidRDefault="008153D9" w:rsidP="009D55F8"/>
                      <w:p w:rsidR="008153D9" w:rsidRDefault="008153D9" w:rsidP="009D55F8"/>
                    </w:txbxContent>
                  </v:textbox>
                </v:rect>
                <v:rect id="Rectangle 1259" o:spid="_x0000_s1132" style="position:absolute;left:23444;top:22885;width:7550;height:414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RFvMIA&#10;AADcAAAADwAAAGRycy9kb3ducmV2LnhtbESP3WoCMRSE7wu+QziCdzXbvbDL1iilIKh449oHOGzO&#10;/tDkZEmiu769EYReDjPzDbPeTtaIG/nQO1bwscxAENdO99wq+L3s3gsQISJrNI5JwZ0CbDeztzWW&#10;2o18plsVW5EgHEpU0MU4lFKGuiOLYekG4uQ1zluMSfpWao9jglsj8yxbSYs9p4UOB/rpqP6rrlaB&#10;vFS7saiMz9wxb07msD835JRazKfvLxCRpvgffrX3WkFefMLzTDoCcvM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BEW8wgAAANwAAAAPAAAAAAAAAAAAAAAAAJgCAABkcnMvZG93&#10;bnJldi54bWxQSwUGAAAAAAQABAD1AAAAhwMAAAAA&#10;" filled="f" stroked="f">
                  <v:textbox style="mso-fit-shape-to-text:t" inset="0,0,0,0">
                    <w:txbxContent>
                      <w:p w:rsidR="008153D9" w:rsidRDefault="008153D9" w:rsidP="009D55F8">
                        <w:r>
                          <w:rPr>
                            <w:rFonts w:ascii="Tahoma" w:hAnsi="Tahoma" w:cs="Tahoma"/>
                            <w:color w:val="333333"/>
                            <w:sz w:val="16"/>
                            <w:szCs w:val="16"/>
                            <w:lang w:val="en-US"/>
                          </w:rPr>
                          <w:t>$10 - $20 million</w:t>
                        </w:r>
                      </w:p>
                      <w:p w:rsidR="008153D9" w:rsidRDefault="008153D9" w:rsidP="009D55F8"/>
                      <w:p w:rsidR="008153D9" w:rsidRDefault="008153D9" w:rsidP="009D55F8"/>
                    </w:txbxContent>
                  </v:textbox>
                </v:rect>
                <v:rect id="Rectangle 1260" o:spid="_x0000_s1133" style="position:absolute;left:31356;top:22885;width:8649;height:4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ucucMA&#10;AADcAAAADwAAAGRycy9kb3ducmV2LnhtbERPz2vCMBS+D/wfwhO8jJnaw6idsQyhsIMgdh709mie&#10;TV3zUprM1v31y2Gw48f3e1NMthN3GnzrWMFqmYAgrp1uuVFw+ixfMhA+IGvsHJOCB3kotrOnDeba&#10;jXykexUaEUPY56jAhNDnUvrakEW/dD1x5K5usBgiHBqpBxxjuO1kmiSv0mLLscFgTztD9Vf1bRWU&#10;h3NL/COPz+tsdLc6vVRm3yu1mE/vbyACTeFf/Of+0ArSLK6NZ+IRkN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BucucMAAADcAAAADwAAAAAAAAAAAAAAAACYAgAAZHJzL2Rv&#10;d25yZXYueG1sUEsFBgAAAAAEAAQA9QAAAIgDAAAAAA==&#10;" filled="f" stroked="f">
                  <v:textbox style="mso-fit-shape-to-text:t" inset="0,0,0,0">
                    <w:txbxContent>
                      <w:p w:rsidR="008153D9" w:rsidRDefault="008153D9" w:rsidP="009D55F8">
                        <w:r>
                          <w:rPr>
                            <w:rFonts w:ascii="Tahoma" w:hAnsi="Tahoma" w:cs="Tahoma"/>
                            <w:color w:val="333333"/>
                            <w:sz w:val="16"/>
                            <w:szCs w:val="16"/>
                            <w:lang w:val="en-US"/>
                          </w:rPr>
                          <w:t>$20 - $50 million</w:t>
                        </w:r>
                      </w:p>
                      <w:p w:rsidR="008153D9" w:rsidRDefault="008153D9" w:rsidP="009D55F8"/>
                      <w:p w:rsidR="008153D9" w:rsidRDefault="008153D9" w:rsidP="009D55F8"/>
                    </w:txbxContent>
                  </v:textbox>
                </v:rect>
                <v:rect id="Rectangle 1261" o:spid="_x0000_s1134" style="position:absolute;left:40030;top:22885;width:5944;height:414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d0VcIA&#10;AADcAAAADwAAAGRycy9kb3ducmV2LnhtbESP3WoCMRSE7wu+QziCdzXbvZDt1iilIKh449oHOGzO&#10;/tDkZEmiu769EYReDjPzDbPeTtaIG/nQO1bwscxAENdO99wq+L3s3gsQISJrNI5JwZ0CbDeztzWW&#10;2o18plsVW5EgHEpU0MU4lFKGuiOLYekG4uQ1zluMSfpWao9jglsj8yxbSYs9p4UOB/rpqP6rrlaB&#10;vFS7saiMz9wxb07msD835JRazKfvLxCRpvgffrX3WkFefMLzTDoCcvM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13RVwgAAANwAAAAPAAAAAAAAAAAAAAAAAJgCAABkcnMvZG93&#10;bnJldi54bWxQSwUGAAAAAAQABAD1AAAAhwMAAAAA&#10;" filled="f" stroked="f">
                  <v:textbox style="mso-fit-shape-to-text:t" inset="0,0,0,0">
                    <w:txbxContent>
                      <w:p w:rsidR="008153D9" w:rsidRDefault="008153D9" w:rsidP="009D55F8">
                        <w:r>
                          <w:rPr>
                            <w:rFonts w:ascii="Tahoma" w:hAnsi="Tahoma" w:cs="Tahoma"/>
                            <w:color w:val="333333"/>
                            <w:sz w:val="16"/>
                            <w:szCs w:val="16"/>
                            <w:lang w:val="en-US"/>
                          </w:rPr>
                          <w:t>&gt; $50 million</w:t>
                        </w:r>
                      </w:p>
                      <w:p w:rsidR="008153D9" w:rsidRDefault="008153D9" w:rsidP="009D55F8"/>
                      <w:p w:rsidR="008153D9" w:rsidRDefault="008153D9" w:rsidP="009D55F8"/>
                    </w:txbxContent>
                  </v:textbox>
                </v:rect>
                <v:rect id="Rectangle 1262" o:spid="_x0000_s1135" style="position:absolute;left:431;top:7721;width:13386;height:13386;rotation:-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Bw/wsAA&#10;AADcAAAADwAAAGRycy9kb3ducmV2LnhtbERPzYrCMBC+L/gOYQQvi6YKK1qNIq6C3rT6AEMztsVm&#10;UpJsrT69OSx4/Pj+l+vO1KIl5yvLCsajBARxbnXFhYLrZT+cgfABWWNtmRQ8ycN61ftaYqrtg8/U&#10;ZqEQMYR9igrKEJpUSp+XZNCPbEMcuZt1BkOErpDa4SOGm1pOkmQqDVYcG0psaFtSfs/+jAKXTdvT&#10;7/X7lYfjZmeJfmbV7qjUoN9tFiACdeEj/ncftILJPM6PZ+IRkKs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Bw/wsAAAADcAAAADwAAAAAAAAAAAAAAAACYAgAAZHJzL2Rvd25y&#10;ZXYueG1sUEsFBgAAAAAEAAQA9QAAAIUDAAAAAA==&#10;" filled="f" stroked="f">
                  <v:textbox style="layout-flow:vertical;mso-layout-flow-alt:bottom-to-top" inset="0,0,0,0">
                    <w:txbxContent>
                      <w:p w:rsidR="008153D9" w:rsidRPr="00C2475E" w:rsidRDefault="008153D9" w:rsidP="009D55F8">
                        <w:pPr>
                          <w:rPr>
                            <w:rFonts w:ascii="Arial" w:hAnsi="Arial" w:cs="Arial"/>
                          </w:rPr>
                        </w:pPr>
                        <w:r w:rsidRPr="00C2475E">
                          <w:rPr>
                            <w:rFonts w:ascii="Arial" w:hAnsi="Arial" w:cs="Arial"/>
                            <w:color w:val="333333"/>
                            <w:sz w:val="16"/>
                            <w:szCs w:val="16"/>
                            <w:lang w:val="en-US"/>
                          </w:rPr>
                          <w:t xml:space="preserve">Spending </w:t>
                        </w:r>
                        <w:r>
                          <w:rPr>
                            <w:rFonts w:ascii="Arial" w:hAnsi="Arial" w:cs="Arial"/>
                            <w:color w:val="333333"/>
                            <w:sz w:val="16"/>
                            <w:szCs w:val="16"/>
                            <w:lang w:val="en-US"/>
                          </w:rPr>
                          <w:t>p</w:t>
                        </w:r>
                        <w:r w:rsidRPr="00C2475E">
                          <w:rPr>
                            <w:rFonts w:ascii="Arial" w:hAnsi="Arial" w:cs="Arial"/>
                            <w:color w:val="333333"/>
                            <w:sz w:val="16"/>
                            <w:szCs w:val="16"/>
                            <w:lang w:val="en-US"/>
                          </w:rPr>
                          <w:t xml:space="preserve">roposal (FMA Reg </w:t>
                        </w:r>
                      </w:p>
                      <w:p w:rsidR="008153D9" w:rsidRDefault="008153D9" w:rsidP="009D55F8"/>
                      <w:p w:rsidR="008153D9" w:rsidRDefault="008153D9" w:rsidP="009D55F8"/>
                    </w:txbxContent>
                  </v:textbox>
                </v:rect>
                <v:rect id="Rectangle 1263" o:spid="_x0000_s1136" style="position:absolute;left:-629;top:9423;width:10325;height:5397;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7NW38UA&#10;AADcAAAADwAAAGRycy9kb3ducmV2LnhtbESPQWvCQBSE74X+h+UVems22lI0uopIK6WCYPTg8ZF9&#10;JsHs27i7avLvu0LB4zAz3zDTeWcacSXna8sKBkkKgriwuuZSwX73/TYC4QOyxsYyKejJw3z2/DTF&#10;TNsbb+mah1JECPsMFVQhtJmUvqjIoE9sSxy9o3UGQ5SulNrhLcJNI4dp+ikN1hwXKmxpWVFxyi9G&#10;gTcfm9G5WX3xRq8Ru/fl76HvlXp96RYTEIG68Aj/t3+0guF4APcz8QjI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s1bfxQAAANwAAAAPAAAAAAAAAAAAAAAAAJgCAABkcnMv&#10;ZG93bnJldi54bWxQSwUGAAAAAAQABAD1AAAAigMAAAAA&#10;" filled="f" stroked="f">
                  <v:textbox style="layout-flow:vertical;mso-layout-flow-alt:bottom-to-top" inset="0,0,0,0">
                    <w:txbxContent>
                      <w:p w:rsidR="008153D9" w:rsidRPr="00C2475E" w:rsidRDefault="008153D9" w:rsidP="009D55F8">
                        <w:pPr>
                          <w:rPr>
                            <w:rFonts w:ascii="Arial" w:hAnsi="Arial" w:cs="Arial"/>
                          </w:rPr>
                        </w:pPr>
                        <w:r w:rsidRPr="00C2475E">
                          <w:rPr>
                            <w:rFonts w:ascii="Arial" w:hAnsi="Arial" w:cs="Arial"/>
                            <w:color w:val="333333"/>
                            <w:sz w:val="16"/>
                            <w:szCs w:val="16"/>
                            <w:lang w:val="en-US"/>
                          </w:rPr>
                          <w:t>9/10) $million</w:t>
                        </w:r>
                      </w:p>
                      <w:p w:rsidR="008153D9" w:rsidRDefault="008153D9" w:rsidP="009D55F8"/>
                      <w:p w:rsidR="008153D9" w:rsidRDefault="008153D9" w:rsidP="009D55F8"/>
                    </w:txbxContent>
                  </v:textbox>
                </v:rect>
                <v:rect id="Rectangle 1264" o:spid="_x0000_s1137" style="position:absolute;left:47656;top:21742;width:578;height:414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pw+cIA&#10;AADcAAAADwAAAGRycy9kb3ducmV2LnhtbESPzYoCMRCE7wu+Q2hhb2vGOYjOGkUEQWUvjvsAzaTn&#10;B5POkERnfHuzsOCxqKqvqPV2tEY8yIfOsYL5LANBXDndcaPg93r4WoIIEVmjcUwKnhRgu5l8rLHQ&#10;buALPcrYiAThUKCCNsa+kDJULVkMM9cTJ6923mJM0jdSexwS3BqZZ9lCWuw4LbTY076l6lberQJ5&#10;LQ/DsjQ+c+e8/jGn46Ump9TndNx9g4g0xnf4v33UCvJVDn9n0hGQm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qnD5wgAAANwAAAAPAAAAAAAAAAAAAAAAAJgCAABkcnMvZG93&#10;bnJldi54bWxQSwUGAAAAAAQABAD1AAAAhwMAAAAA&#10;" filled="f" stroked="f">
                  <v:textbox style="mso-fit-shape-to-text:t" inset="0,0,0,0">
                    <w:txbxContent>
                      <w:p w:rsidR="008153D9" w:rsidRDefault="008153D9" w:rsidP="009D55F8">
                        <w:r>
                          <w:rPr>
                            <w:rFonts w:ascii="Tahoma" w:hAnsi="Tahoma" w:cs="Tahoma"/>
                            <w:color w:val="333333"/>
                            <w:sz w:val="16"/>
                            <w:szCs w:val="16"/>
                            <w:lang w:val="en-US"/>
                          </w:rPr>
                          <w:t>0</w:t>
                        </w:r>
                      </w:p>
                      <w:p w:rsidR="008153D9" w:rsidRDefault="008153D9" w:rsidP="009D55F8"/>
                      <w:p w:rsidR="008153D9" w:rsidRDefault="008153D9" w:rsidP="009D55F8"/>
                    </w:txbxContent>
                  </v:textbox>
                </v:rect>
                <v:rect id="Rectangle 1265" o:spid="_x0000_s1138" style="position:absolute;left:47656;top:19551;width:578;height:414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VYsIA&#10;AADcAAAADwAAAGRycy9kb3ducmV2LnhtbESP3WoCMRSE7wu+QziCdzXrCkVXo4ggaOmNqw9w2Jz9&#10;weRkSVJ3+/amUOjlMDPfMNv9aI14kg+dYwWLeQaCuHK640bB/XZ6X4EIEVmjcUwKfijAfjd522Kh&#10;3cBXepaxEQnCoUAFbYx9IWWoWrIY5q4nTl7tvMWYpG+k9jgkuDUyz7IPabHjtNBiT8eWqkf5bRXI&#10;W3kaVqXxmfvM6y9zOV9rckrNpuNhAyLSGP/Df+2zVpCvl/B7Jh0BuX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5tViwgAAANwAAAAPAAAAAAAAAAAAAAAAAJgCAABkcnMvZG93&#10;bnJldi54bWxQSwUGAAAAAAQABAD1AAAAhwMAAAAA&#10;" filled="f" stroked="f">
                  <v:textbox style="mso-fit-shape-to-text:t" inset="0,0,0,0">
                    <w:txbxContent>
                      <w:p w:rsidR="008153D9" w:rsidRDefault="008153D9" w:rsidP="009D55F8">
                        <w:r>
                          <w:rPr>
                            <w:rFonts w:ascii="Tahoma" w:hAnsi="Tahoma" w:cs="Tahoma"/>
                            <w:color w:val="333333"/>
                            <w:sz w:val="16"/>
                            <w:szCs w:val="16"/>
                            <w:lang w:val="en-US"/>
                          </w:rPr>
                          <w:t>2</w:t>
                        </w:r>
                      </w:p>
                      <w:p w:rsidR="008153D9" w:rsidRDefault="008153D9" w:rsidP="009D55F8"/>
                      <w:p w:rsidR="008153D9" w:rsidRDefault="008153D9" w:rsidP="009D55F8"/>
                    </w:txbxContent>
                  </v:textbox>
                </v:rect>
                <v:rect id="Rectangle 1266" o:spid="_x0000_s1139" style="position:absolute;left:47656;top:17354;width:578;height:414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9NFsIA&#10;AADcAAAADwAAAGRycy9kb3ducmV2LnhtbESP3WoCMRSE7wu+QziCdzXrIkVXo4ggaOmNqw9w2Jz9&#10;weRkSVJ3+/amUOjlMDPfMNv9aI14kg+dYwWLeQaCuHK640bB/XZ6X4EIEVmjcUwKfijAfjd522Kh&#10;3cBXepaxEQnCoUAFbYx9IWWoWrIY5q4nTl7tvMWYpG+k9jgkuDUyz7IPabHjtNBiT8eWqkf5bRXI&#10;W3kaVqXxmfvM6y9zOV9rckrNpuNhAyLSGP/Df+2zVpCvl/B7Jh0BuX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D00WwgAAANwAAAAPAAAAAAAAAAAAAAAAAJgCAABkcnMvZG93&#10;bnJldi54bWxQSwUGAAAAAAQABAD1AAAAhwMAAAAA&#10;" filled="f" stroked="f">
                  <v:textbox style="mso-fit-shape-to-text:t" inset="0,0,0,0">
                    <w:txbxContent>
                      <w:p w:rsidR="008153D9" w:rsidRDefault="008153D9" w:rsidP="009D55F8">
                        <w:r>
                          <w:rPr>
                            <w:rFonts w:ascii="Tahoma" w:hAnsi="Tahoma" w:cs="Tahoma"/>
                            <w:color w:val="333333"/>
                            <w:sz w:val="16"/>
                            <w:szCs w:val="16"/>
                            <w:lang w:val="en-US"/>
                          </w:rPr>
                          <w:t>4</w:t>
                        </w:r>
                      </w:p>
                      <w:p w:rsidR="008153D9" w:rsidRDefault="008153D9" w:rsidP="009D55F8"/>
                      <w:p w:rsidR="008153D9" w:rsidRDefault="008153D9" w:rsidP="009D55F8"/>
                    </w:txbxContent>
                  </v:textbox>
                </v:rect>
                <v:rect id="Rectangle 1267" o:spid="_x0000_s1140" style="position:absolute;left:47656;top:15163;width:578;height:414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PojcIA&#10;AADcAAAADwAAAGRycy9kb3ducmV2LnhtbESP3WoCMRSE7wu+QziCdzXrgkVXo4ggaOmNqw9w2Jz9&#10;weRkSVJ3+/amUOjlMDPfMNv9aI14kg+dYwWLeQaCuHK640bB/XZ6X4EIEVmjcUwKfijAfjd522Kh&#10;3cBXepaxEQnCoUAFbYx9IWWoWrIY5q4nTl7tvMWYpG+k9jgkuDUyz7IPabHjtNBiT8eWqkf5bRXI&#10;W3kaVqXxmfvM6y9zOV9rckrNpuNhAyLSGP/Df+2zVpCvl/B7Jh0BuX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Q+iNwgAAANwAAAAPAAAAAAAAAAAAAAAAAJgCAABkcnMvZG93&#10;bnJldi54bWxQSwUGAAAAAAQABAD1AAAAhwMAAAAA&#10;" filled="f" stroked="f">
                  <v:textbox style="mso-fit-shape-to-text:t" inset="0,0,0,0">
                    <w:txbxContent>
                      <w:p w:rsidR="008153D9" w:rsidRDefault="008153D9" w:rsidP="009D55F8">
                        <w:r>
                          <w:rPr>
                            <w:rFonts w:ascii="Tahoma" w:hAnsi="Tahoma" w:cs="Tahoma"/>
                            <w:color w:val="333333"/>
                            <w:sz w:val="16"/>
                            <w:szCs w:val="16"/>
                            <w:lang w:val="en-US"/>
                          </w:rPr>
                          <w:t>6</w:t>
                        </w:r>
                      </w:p>
                      <w:p w:rsidR="008153D9" w:rsidRDefault="008153D9" w:rsidP="009D55F8"/>
                      <w:p w:rsidR="008153D9" w:rsidRDefault="008153D9" w:rsidP="009D55F8"/>
                    </w:txbxContent>
                  </v:textbox>
                </v:rect>
                <v:rect id="Rectangle 1268" o:spid="_x0000_s1141" style="position:absolute;left:47656;top:12871;width:578;height:414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F2+sIA&#10;AADcAAAADwAAAGRycy9kb3ducmV2LnhtbESPzYoCMRCE7wv7DqGFva0Z5yDuaBQRBBUvjj5AM+n5&#10;waQzJFlnfHuzIOyxqKqvqNVmtEY8yIfOsYLZNANBXDndcaPgdt1/L0CEiKzROCYFTwqwWX9+rLDQ&#10;buALPcrYiAThUKCCNsa+kDJULVkMU9cTJ6923mJM0jdSexwS3BqZZ9lcWuw4LbTY066l6l7+WgXy&#10;Wu6HRWl85k55fTbHw6Ump9TXZNwuQUQa43/43T5oBfnPHP7OpCMg1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kXb6wgAAANwAAAAPAAAAAAAAAAAAAAAAAJgCAABkcnMvZG93&#10;bnJldi54bWxQSwUGAAAAAAQABAD1AAAAhwMAAAAA&#10;" filled="f" stroked="f">
                  <v:textbox style="mso-fit-shape-to-text:t" inset="0,0,0,0">
                    <w:txbxContent>
                      <w:p w:rsidR="008153D9" w:rsidRDefault="008153D9" w:rsidP="009D55F8">
                        <w:r>
                          <w:rPr>
                            <w:rFonts w:ascii="Tahoma" w:hAnsi="Tahoma" w:cs="Tahoma"/>
                            <w:color w:val="333333"/>
                            <w:sz w:val="16"/>
                            <w:szCs w:val="16"/>
                            <w:lang w:val="en-US"/>
                          </w:rPr>
                          <w:t>8</w:t>
                        </w:r>
                      </w:p>
                      <w:p w:rsidR="008153D9" w:rsidRDefault="008153D9" w:rsidP="009D55F8"/>
                      <w:p w:rsidR="008153D9" w:rsidRDefault="008153D9" w:rsidP="009D55F8"/>
                    </w:txbxContent>
                  </v:textbox>
                </v:rect>
                <v:rect id="Rectangle 1269" o:spid="_x0000_s1142" style="position:absolute;left:47656;top:10680;width:1112;height:414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N3TYcIA&#10;AADcAAAADwAAAGRycy9kb3ducmV2LnhtbESP3WoCMRSE7wu+QziCdzXrXlhdjSKCoKU3rj7AYXP2&#10;B5OTJUnd7dubQqGXw8x8w2z3ozXiST50jhUs5hkI4srpjhsF99vpfQUiRGSNxjEp+KEA+93kbYuF&#10;dgNf6VnGRiQIhwIVtDH2hZShaslimLueOHm18xZjkr6R2uOQ4NbIPMuW0mLHaaHFno4tVY/y2yqQ&#10;t/I0rErjM/eZ11/mcr7W5JSaTcfDBkSkMf6H/9pnrSBff8DvmXQE5O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3dNhwgAAANwAAAAPAAAAAAAAAAAAAAAAAJgCAABkcnMvZG93&#10;bnJldi54bWxQSwUGAAAAAAQABAD1AAAAhwMAAAAA&#10;" filled="f" stroked="f">
                  <v:textbox style="mso-fit-shape-to-text:t" inset="0,0,0,0">
                    <w:txbxContent>
                      <w:p w:rsidR="008153D9" w:rsidRDefault="008153D9" w:rsidP="009D55F8">
                        <w:r>
                          <w:rPr>
                            <w:rFonts w:ascii="Tahoma" w:hAnsi="Tahoma" w:cs="Tahoma"/>
                            <w:color w:val="333333"/>
                            <w:sz w:val="16"/>
                            <w:szCs w:val="16"/>
                            <w:lang w:val="en-US"/>
                          </w:rPr>
                          <w:t>10</w:t>
                        </w:r>
                      </w:p>
                      <w:p w:rsidR="008153D9" w:rsidRDefault="008153D9" w:rsidP="009D55F8"/>
                      <w:p w:rsidR="008153D9" w:rsidRDefault="008153D9" w:rsidP="009D55F8"/>
                    </w:txbxContent>
                  </v:textbox>
                </v:rect>
                <v:rect id="Rectangle 1270" o:spid="_x0000_s1143" style="position:absolute;left:47656;top:8489;width:1112;height:414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JHE74A&#10;AADcAAAADwAAAGRycy9kb3ducmV2LnhtbERPy4rCMBTdC/5DuMLsNLWLwalGEUFQmY3VD7g0tw9M&#10;bkoSbf17sxiY5eG8N7vRGvEiHzrHCpaLDARx5XTHjYL77ThfgQgRWaNxTAreFGC3nU42WGg38JVe&#10;ZWxECuFQoII2xr6QMlQtWQwL1xMnrnbeYkzQN1J7HFK4NTLPsm9psePU0GJPh5aqR/m0CuStPA6r&#10;0vjMXfL615xP15qcUl+zcb8GEWmM/+I/90kryH/S2nQmHQG5/Q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VCRxO+AAAA3AAAAA8AAAAAAAAAAAAAAAAAmAIAAGRycy9kb3ducmV2&#10;LnhtbFBLBQYAAAAABAAEAPUAAACDAwAAAAA=&#10;" filled="f" stroked="f">
                  <v:textbox style="mso-fit-shape-to-text:t" inset="0,0,0,0">
                    <w:txbxContent>
                      <w:p w:rsidR="008153D9" w:rsidRDefault="008153D9" w:rsidP="009D55F8">
                        <w:r>
                          <w:rPr>
                            <w:rFonts w:ascii="Tahoma" w:hAnsi="Tahoma" w:cs="Tahoma"/>
                            <w:color w:val="333333"/>
                            <w:sz w:val="16"/>
                            <w:szCs w:val="16"/>
                            <w:lang w:val="en-US"/>
                          </w:rPr>
                          <w:t>12</w:t>
                        </w:r>
                      </w:p>
                      <w:p w:rsidR="008153D9" w:rsidRDefault="008153D9" w:rsidP="009D55F8"/>
                      <w:p w:rsidR="008153D9" w:rsidRDefault="008153D9" w:rsidP="009D55F8"/>
                    </w:txbxContent>
                  </v:textbox>
                </v:rect>
                <v:rect id="Rectangle 1271" o:spid="_x0000_s1144" style="position:absolute;left:47656;top:6292;width:1112;height:414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7iiMIA&#10;AADcAAAADwAAAGRycy9kb3ducmV2LnhtbESPzYoCMRCE7wu+Q+gFb2tm5yA6GmVZEFT24ugDNJOe&#10;H0w6QxKd8e3NguCxqKqvqPV2tEbcyYfOsYLvWQaCuHK640bB5bz7WoAIEVmjcUwKHhRgu5l8rLHQ&#10;buAT3cvYiAThUKCCNsa+kDJULVkMM9cTJ6923mJM0jdSexwS3BqZZ9lcWuw4LbTY029L1bW8WQXy&#10;XO6GRWl85o55/WcO+1NNTqnp5/izAhFpjO/wq73XCvLlEv7PpCMgN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DuKIwgAAANwAAAAPAAAAAAAAAAAAAAAAAJgCAABkcnMvZG93&#10;bnJldi54bWxQSwUGAAAAAAQABAD1AAAAhwMAAAAA&#10;" filled="f" stroked="f">
                  <v:textbox style="mso-fit-shape-to-text:t" inset="0,0,0,0">
                    <w:txbxContent>
                      <w:p w:rsidR="008153D9" w:rsidRDefault="008153D9" w:rsidP="009D55F8">
                        <w:r>
                          <w:rPr>
                            <w:rFonts w:ascii="Tahoma" w:hAnsi="Tahoma" w:cs="Tahoma"/>
                            <w:color w:val="333333"/>
                            <w:sz w:val="16"/>
                            <w:szCs w:val="16"/>
                            <w:lang w:val="en-US"/>
                          </w:rPr>
                          <w:t>14</w:t>
                        </w:r>
                      </w:p>
                      <w:p w:rsidR="008153D9" w:rsidRDefault="008153D9" w:rsidP="009D55F8"/>
                      <w:p w:rsidR="008153D9" w:rsidRDefault="008153D9" w:rsidP="009D55F8"/>
                    </w:txbxContent>
                  </v:textbox>
                </v:rect>
                <v:rect id="Rectangle 1272" o:spid="_x0000_s1145" style="position:absolute;left:46812;top:11950;width:5398;height:9207;rotation: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mnfsIA&#10;AADcAAAADwAAAGRycy9kb3ducmV2LnhtbERPTWvCQBC9F/wPywi91Y21FYmuIQgFLy1pKuJxzI5J&#10;NDsbsmsS/333UOjx8b43yWga0VPnassK5rMIBHFhdc2lgsPPx8sKhPPIGhvLpOBBDpLt5GmDsbYD&#10;f1Of+1KEEHYxKqi8b2MpXVGRQTezLXHgLrYz6APsSqk7HEK4aeRrFC2lwZpDQ4Ut7SoqbvndKOgZ&#10;H3RcZp/n7N0Oqfx6u1/nJ6Wep2O6BuFp9P/iP/deK1hEYX44E46A3P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aad+wgAAANwAAAAPAAAAAAAAAAAAAAAAAJgCAABkcnMvZG93&#10;bnJldi54bWxQSwUGAAAAAAQABAD1AAAAhwMAAAAA&#10;" filled="f" stroked="f">
                  <v:textbox style="layout-flow:vertical;mso-layout-flow-alt:bottom-to-top;mso-fit-shape-to-text:t" inset="0,0,0,0">
                    <w:txbxContent>
                      <w:p w:rsidR="008153D9" w:rsidRPr="00C2475E" w:rsidRDefault="008153D9" w:rsidP="009D55F8">
                        <w:pPr>
                          <w:rPr>
                            <w:rFonts w:ascii="Arial" w:hAnsi="Arial" w:cs="Arial"/>
                          </w:rPr>
                        </w:pPr>
                        <w:r w:rsidRPr="00C2475E">
                          <w:rPr>
                            <w:rFonts w:ascii="Arial" w:hAnsi="Arial" w:cs="Arial"/>
                            <w:color w:val="333333"/>
                            <w:sz w:val="16"/>
                            <w:szCs w:val="16"/>
                            <w:lang w:val="en-US"/>
                          </w:rPr>
                          <w:t>N</w:t>
                        </w:r>
                        <w:r>
                          <w:rPr>
                            <w:rFonts w:ascii="Arial" w:hAnsi="Arial" w:cs="Arial"/>
                            <w:color w:val="333333"/>
                            <w:sz w:val="16"/>
                            <w:szCs w:val="16"/>
                            <w:lang w:val="en-US"/>
                          </w:rPr>
                          <w:t>umber of in</w:t>
                        </w:r>
                        <w:r w:rsidRPr="00C2475E">
                          <w:rPr>
                            <w:rFonts w:ascii="Arial" w:hAnsi="Arial" w:cs="Arial"/>
                            <w:color w:val="333333"/>
                            <w:sz w:val="16"/>
                            <w:szCs w:val="16"/>
                            <w:lang w:val="en-US"/>
                          </w:rPr>
                          <w:t>itiatives</w:t>
                        </w:r>
                      </w:p>
                      <w:p w:rsidR="008153D9" w:rsidRDefault="008153D9" w:rsidP="009D55F8"/>
                      <w:p w:rsidR="008153D9" w:rsidRDefault="008153D9" w:rsidP="009D55F8"/>
                    </w:txbxContent>
                  </v:textbox>
                </v:rect>
                <v:rect id="Rectangle 1273" o:spid="_x0000_s1146" style="position:absolute;left:12865;top:26035;width:571;height:5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kpvsUA&#10;AADcAAAADwAAAGRycy9kb3ducmV2LnhtbESPQWvCQBSE74L/YXlCL6IbKy0SXaUUApbSg1bF4zP7&#10;TILZt2F3m6T/visUPA4z8w2z2vSmFi05X1lWMJsmIIhzqysuFBy+s8kChA/IGmvLpOCXPGzWw8EK&#10;U2073lG7D4WIEPYpKihDaFIpfV6SQT+1DXH0rtYZDFG6QmqHXYSbWj4nyas0WHFcKLGh95Ly2/7H&#10;KHA0Pm7nLZ7l5/GUdZfTS2a+PpR6GvVvSxCB+vAI/7e3WsE8mcH9TDwCcv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Sm+xQAAANwAAAAPAAAAAAAAAAAAAAAAAJgCAABkcnMv&#10;ZG93bnJldi54bWxQSwUGAAAAAAQABAD1AAAAigMAAAAA&#10;" fillcolor="#06c"/>
                <v:rect id="Rectangle 1274" o:spid="_x0000_s1147" style="position:absolute;left:13817;top:25654;width:16383;height:525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Hq48IA&#10;AADcAAAADwAAAGRycy9kb3ducmV2LnhtbESP3WoCMRSE74W+QziF3mnSFURWo0hBsNIbVx/gsDn7&#10;g8nJkqTu9u2bQsHLYWa+Ybb7yVnxoBB7zxreFwoEce1Nz62G2/U4X4OICdmg9UwafijCfvcy22Jp&#10;/MgXelSpFRnCsUQNXUpDKWWsO3IYF34gzl7jg8OUZWilCThmuLOyUGolHfacFzoc6KOj+l59Ow3y&#10;Wh3HdWWD8uei+bKfp0tDXuu31+mwAZFoSs/wf/tkNCxVAX9n8hGQu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QerjwgAAANwAAAAPAAAAAAAAAAAAAAAAAJgCAABkcnMvZG93&#10;bnJldi54bWxQSwUGAAAAAAQABAD1AAAAhwMAAAAA&#10;" filled="f" stroked="f">
                  <v:textbox style="mso-fit-shape-to-text:t" inset="0,0,0,0">
                    <w:txbxContent>
                      <w:p w:rsidR="008153D9" w:rsidRDefault="008153D9" w:rsidP="009D55F8">
                        <w:pPr>
                          <w:rPr>
                            <w:rFonts w:ascii="Arial" w:hAnsi="Arial" w:cs="Arial"/>
                            <w:color w:val="333333"/>
                            <w:sz w:val="16"/>
                            <w:szCs w:val="16"/>
                            <w:lang w:val="en-US"/>
                          </w:rPr>
                        </w:pPr>
                        <w:r w:rsidRPr="00C2475E">
                          <w:rPr>
                            <w:rFonts w:ascii="Arial" w:hAnsi="Arial" w:cs="Arial"/>
                            <w:color w:val="333333"/>
                            <w:sz w:val="16"/>
                            <w:szCs w:val="16"/>
                            <w:lang w:val="en-US"/>
                          </w:rPr>
                          <w:t>Spending</w:t>
                        </w:r>
                        <w:r>
                          <w:rPr>
                            <w:rFonts w:ascii="Arial" w:hAnsi="Arial" w:cs="Arial"/>
                            <w:color w:val="333333"/>
                            <w:sz w:val="16"/>
                            <w:szCs w:val="16"/>
                            <w:lang w:val="en-US"/>
                          </w:rPr>
                          <w:t xml:space="preserve"> p</w:t>
                        </w:r>
                        <w:r w:rsidRPr="00C2475E">
                          <w:rPr>
                            <w:rFonts w:ascii="Arial" w:hAnsi="Arial" w:cs="Arial"/>
                            <w:color w:val="333333"/>
                            <w:sz w:val="16"/>
                            <w:szCs w:val="16"/>
                            <w:lang w:val="en-US"/>
                          </w:rPr>
                          <w:t>roposal (FMA Reg</w:t>
                        </w:r>
                        <w:r>
                          <w:rPr>
                            <w:rFonts w:ascii="Arial" w:hAnsi="Arial" w:cs="Arial"/>
                            <w:color w:val="333333"/>
                            <w:sz w:val="16"/>
                            <w:szCs w:val="16"/>
                            <w:lang w:val="en-US"/>
                          </w:rPr>
                          <w:t>ulation</w:t>
                        </w:r>
                      </w:p>
                      <w:p w:rsidR="008153D9" w:rsidRPr="00C2475E" w:rsidRDefault="008153D9" w:rsidP="009D55F8">
                        <w:pPr>
                          <w:rPr>
                            <w:rFonts w:ascii="Arial" w:hAnsi="Arial" w:cs="Arial"/>
                          </w:rPr>
                        </w:pPr>
                        <w:r w:rsidRPr="00C2475E">
                          <w:rPr>
                            <w:rFonts w:ascii="Arial" w:hAnsi="Arial" w:cs="Arial"/>
                            <w:color w:val="333333"/>
                            <w:sz w:val="16"/>
                            <w:szCs w:val="16"/>
                            <w:lang w:val="en-US"/>
                          </w:rPr>
                          <w:t xml:space="preserve"> 9/10) $m</w:t>
                        </w:r>
                      </w:p>
                      <w:p w:rsidR="008153D9" w:rsidRDefault="008153D9" w:rsidP="009D55F8"/>
                      <w:p w:rsidR="008153D9" w:rsidRDefault="008153D9" w:rsidP="009D55F8"/>
                    </w:txbxContent>
                  </v:textbox>
                </v:rect>
                <v:rect id="Rectangle 1275" o:spid="_x0000_s1148" style="position:absolute;left:33070;top:26035;width:572;height:5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FqDsUA&#10;AADcAAAADwAAAGRycy9kb3ducmV2LnhtbESPQWvCQBSE74X+h+UVequbNthqdJUqFITSg1YP3h7Z&#10;ZxLMvg27ryb+e7dQ6HGYmW+Y+XJwrbpQiI1nA8+jDBRx6W3DlYH998fTBFQUZIutZzJwpQjLxf3d&#10;HAvre97SZSeVShCOBRqoRbpC61jW5DCOfEecvJMPDiXJUGkbsE9w1+qXLHvVDhtOCzV2tK6pPO9+&#10;nIHer475eIqf6zeREIbD12pfTo15fBjeZ6CEBvkP/7U31kCe5fB7Jh0Bvb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gWoOxQAAANwAAAAPAAAAAAAAAAAAAAAAAJgCAABkcnMv&#10;ZG93bnJldi54bWxQSwUGAAAAAAQABAD1AAAAigMAAAAA&#10;" fillcolor="red"/>
                <v:rect id="Rectangle 1276" o:spid="_x0000_s1149" style="position:absolute;left:34023;top:25654;width:9207;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TXDMIA&#10;AADcAAAADwAAAGRycy9kb3ducmV2LnhtbESP3WoCMRSE74W+QziF3mmilSJbo4ggWPHG1Qc4bM7+&#10;0ORkSaK7fXtTKPRymJlvmPV2dFY8KMTOs4b5TIEgrrzpuNFwux6mKxAxIRu0nknDD0XYbl4mayyM&#10;H/hCjzI1IkM4FqihTakvpIxVSw7jzPfE2at9cJiyDI00AYcMd1YulPqQDjvOCy32tG+p+i7vToO8&#10;lodhVdqg/GlRn+3X8VKT1/rtddx9gkg0pv/wX/toNLyrJfyeyUdAb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65NcMwgAAANwAAAAPAAAAAAAAAAAAAAAAAJgCAABkcnMvZG93&#10;bnJldi54bWxQSwUGAAAAAAQABAD1AAAAhwMAAAAA&#10;" filled="f" stroked="f">
                  <v:textbox style="mso-fit-shape-to-text:t" inset="0,0,0,0">
                    <w:txbxContent>
                      <w:p w:rsidR="008153D9" w:rsidRPr="00A6542C" w:rsidRDefault="008153D9" w:rsidP="00A6542C">
                        <w:pPr>
                          <w:rPr>
                            <w:rFonts w:ascii="Arial" w:hAnsi="Arial" w:cs="Arial"/>
                          </w:rPr>
                        </w:pPr>
                        <w:r w:rsidRPr="00C2475E">
                          <w:rPr>
                            <w:rFonts w:ascii="Arial" w:hAnsi="Arial" w:cs="Arial"/>
                            <w:color w:val="333333"/>
                            <w:sz w:val="16"/>
                            <w:szCs w:val="16"/>
                            <w:lang w:val="en-US"/>
                          </w:rPr>
                          <w:t xml:space="preserve">Number of </w:t>
                        </w:r>
                        <w:r>
                          <w:rPr>
                            <w:rFonts w:ascii="Arial" w:hAnsi="Arial" w:cs="Arial"/>
                            <w:color w:val="333333"/>
                            <w:sz w:val="16"/>
                            <w:szCs w:val="16"/>
                            <w:lang w:val="en-US"/>
                          </w:rPr>
                          <w:t>i</w:t>
                        </w:r>
                        <w:r w:rsidRPr="00C2475E">
                          <w:rPr>
                            <w:rFonts w:ascii="Arial" w:hAnsi="Arial" w:cs="Arial"/>
                            <w:color w:val="333333"/>
                            <w:sz w:val="16"/>
                            <w:szCs w:val="16"/>
                            <w:lang w:val="en-US"/>
                          </w:rPr>
                          <w:t>nitiatives</w:t>
                        </w:r>
                      </w:p>
                    </w:txbxContent>
                  </v:textbox>
                </v:rect>
                <w10:anchorlock/>
              </v:group>
            </w:pict>
          </mc:Fallback>
        </mc:AlternateContent>
      </w:r>
    </w:p>
    <w:p w:rsidR="009D55F8" w:rsidRPr="005F7914" w:rsidRDefault="00BD0B39" w:rsidP="009D55F8">
      <w:pPr>
        <w:pStyle w:val="BodyText"/>
      </w:pPr>
      <w:r>
        <w:t>More than</w:t>
      </w:r>
      <w:r w:rsidR="009D55F8" w:rsidRPr="005F7914">
        <w:t xml:space="preserve"> a third of initiatives are under </w:t>
      </w:r>
      <w:r w:rsidR="005756E1">
        <w:t>$</w:t>
      </w:r>
      <w:r w:rsidR="009D55F8" w:rsidRPr="005F7914">
        <w:t>3 million in size, totalling only 3</w:t>
      </w:r>
      <w:r w:rsidR="009D55F8">
        <w:t xml:space="preserve"> per cent</w:t>
      </w:r>
      <w:r w:rsidR="009D55F8" w:rsidRPr="005F7914">
        <w:t xml:space="preserve"> of the </w:t>
      </w:r>
      <w:r w:rsidR="00FC061F">
        <w:t>p</w:t>
      </w:r>
      <w:r w:rsidR="009D55F8" w:rsidRPr="005F7914">
        <w:t xml:space="preserve">rogram’s approved funds. </w:t>
      </w:r>
      <w:r w:rsidR="00FC061F">
        <w:t>T</w:t>
      </w:r>
      <w:r w:rsidR="009D55F8" w:rsidRPr="005F7914">
        <w:t>he number of activities will be</w:t>
      </w:r>
      <w:r w:rsidR="00FC061F">
        <w:t xml:space="preserve"> further reduced </w:t>
      </w:r>
      <w:r w:rsidR="009D55F8" w:rsidRPr="005F7914">
        <w:t xml:space="preserve">when half of the </w:t>
      </w:r>
      <w:r w:rsidR="00FC061F">
        <w:t>p</w:t>
      </w:r>
      <w:r w:rsidR="009D55F8" w:rsidRPr="005F7914">
        <w:t xml:space="preserve">rogram’s initiatives end in 2011 and as a quarter </w:t>
      </w:r>
      <w:r w:rsidR="00FC061F">
        <w:t xml:space="preserve">more </w:t>
      </w:r>
      <w:r w:rsidR="009D55F8" w:rsidRPr="005F7914">
        <w:t>close in 2012. This represents an opportunity to improve the manageability</w:t>
      </w:r>
      <w:r w:rsidR="00FC061F">
        <w:t xml:space="preserve"> of the program</w:t>
      </w:r>
      <w:r w:rsidR="009D55F8" w:rsidRPr="005F7914">
        <w:t>.</w:t>
      </w:r>
    </w:p>
    <w:p w:rsidR="002E2B9A" w:rsidRDefault="002E2B9A">
      <w:pPr>
        <w:rPr>
          <w:rFonts w:ascii="Georgia" w:hAnsi="Georgia"/>
          <w:sz w:val="19"/>
          <w:szCs w:val="19"/>
        </w:rPr>
      </w:pPr>
      <w:r>
        <w:br w:type="page"/>
      </w:r>
    </w:p>
    <w:p w:rsidR="009D55F8" w:rsidRDefault="009D55F8" w:rsidP="00D167FE">
      <w:pPr>
        <w:pStyle w:val="BodyText"/>
      </w:pPr>
      <w:r w:rsidRPr="005F7914">
        <w:lastRenderedPageBreak/>
        <w:t xml:space="preserve">This opportunity is most obvious in the governance portfolio (incorporating PFM, public administration and democratic governance), which includes </w:t>
      </w:r>
      <w:r w:rsidR="00320268">
        <w:t>10</w:t>
      </w:r>
      <w:r w:rsidRPr="005F7914">
        <w:t xml:space="preserve"> initiatives</w:t>
      </w:r>
      <w:r w:rsidR="005756E1">
        <w:t>—</w:t>
      </w:r>
      <w:r w:rsidRPr="005F7914">
        <w:t xml:space="preserve">more than double any other portfolio. Five of these are under </w:t>
      </w:r>
      <w:r w:rsidR="005756E1">
        <w:t>$</w:t>
      </w:r>
      <w:r w:rsidRPr="005F7914">
        <w:t>3 million each, including two that carry disproportionate workloads. This portfolio will be rationalised in forthcoming delivery strategy and design work.</w:t>
      </w:r>
    </w:p>
    <w:p w:rsidR="009D55F8" w:rsidRPr="005F7914" w:rsidRDefault="009D55F8" w:rsidP="00C1682F">
      <w:pPr>
        <w:pStyle w:val="Heading2"/>
        <w:keepNext/>
        <w:ind w:left="0"/>
      </w:pPr>
      <w:bookmarkStart w:id="60" w:name="_Toc360973052"/>
      <w:r w:rsidRPr="005F7914">
        <w:t>Progress against 2010 management consequences</w:t>
      </w:r>
      <w:bookmarkEnd w:id="60"/>
    </w:p>
    <w:p w:rsidR="009D55F8" w:rsidRPr="005F7914" w:rsidRDefault="009D55F8" w:rsidP="009D55F8">
      <w:pPr>
        <w:pStyle w:val="BodyText"/>
      </w:pPr>
    </w:p>
    <w:tbl>
      <w:tblPr>
        <w:tblW w:w="8115" w:type="dxa"/>
        <w:tblInd w:w="57" w:type="dxa"/>
        <w:tblLayout w:type="fixed"/>
        <w:tblLook w:val="01E0" w:firstRow="1" w:lastRow="1" w:firstColumn="1" w:lastColumn="1" w:noHBand="0" w:noVBand="0"/>
      </w:tblPr>
      <w:tblGrid>
        <w:gridCol w:w="4500"/>
        <w:gridCol w:w="900"/>
        <w:gridCol w:w="2715"/>
      </w:tblGrid>
      <w:tr w:rsidR="009D55F8" w:rsidRPr="005F7914" w:rsidTr="001E163C">
        <w:trPr>
          <w:cantSplit/>
          <w:trHeight w:val="431"/>
          <w:tblHeader/>
        </w:trPr>
        <w:tc>
          <w:tcPr>
            <w:tcW w:w="4500" w:type="dxa"/>
            <w:tcBorders>
              <w:top w:val="single" w:sz="12" w:space="0" w:color="auto"/>
              <w:bottom w:val="single" w:sz="2" w:space="0" w:color="auto"/>
            </w:tcBorders>
            <w:shd w:val="clear" w:color="auto" w:fill="auto"/>
            <w:tcMar>
              <w:top w:w="0" w:type="dxa"/>
              <w:left w:w="57" w:type="dxa"/>
              <w:bottom w:w="0" w:type="dxa"/>
              <w:right w:w="57" w:type="dxa"/>
            </w:tcMar>
          </w:tcPr>
          <w:p w:rsidR="009D55F8" w:rsidRPr="00816F6A" w:rsidRDefault="009D55F8" w:rsidP="006A0BAD">
            <w:pPr>
              <w:pStyle w:val="TableTextColumnHeading"/>
              <w:shd w:val="clear" w:color="auto" w:fill="FFFFFF"/>
              <w:rPr>
                <w:rFonts w:cs="Tahoma"/>
                <w:b/>
              </w:rPr>
            </w:pPr>
            <w:r w:rsidRPr="00816F6A">
              <w:rPr>
                <w:rFonts w:cs="Tahoma"/>
                <w:b/>
              </w:rPr>
              <w:t>Objectives</w:t>
            </w:r>
          </w:p>
        </w:tc>
        <w:tc>
          <w:tcPr>
            <w:tcW w:w="900" w:type="dxa"/>
            <w:tcBorders>
              <w:top w:val="single" w:sz="12" w:space="0" w:color="auto"/>
              <w:bottom w:val="single" w:sz="2" w:space="0" w:color="auto"/>
            </w:tcBorders>
            <w:shd w:val="clear" w:color="auto" w:fill="auto"/>
          </w:tcPr>
          <w:p w:rsidR="009D55F8" w:rsidRPr="00816F6A" w:rsidRDefault="009D55F8" w:rsidP="006A0BAD">
            <w:pPr>
              <w:pStyle w:val="TableTextColumnHeading"/>
              <w:shd w:val="clear" w:color="auto" w:fill="FFFFFF"/>
              <w:rPr>
                <w:rFonts w:cs="Tahoma"/>
                <w:b/>
              </w:rPr>
            </w:pPr>
            <w:r w:rsidRPr="00816F6A">
              <w:rPr>
                <w:rFonts w:cs="Tahoma"/>
                <w:b/>
              </w:rPr>
              <w:t xml:space="preserve">Progress </w:t>
            </w:r>
          </w:p>
        </w:tc>
        <w:tc>
          <w:tcPr>
            <w:tcW w:w="2715" w:type="dxa"/>
            <w:tcBorders>
              <w:top w:val="single" w:sz="12" w:space="0" w:color="auto"/>
              <w:bottom w:val="single" w:sz="2" w:space="0" w:color="auto"/>
            </w:tcBorders>
            <w:shd w:val="clear" w:color="auto" w:fill="auto"/>
            <w:tcMar>
              <w:top w:w="0" w:type="dxa"/>
              <w:left w:w="57" w:type="dxa"/>
              <w:bottom w:w="0" w:type="dxa"/>
              <w:right w:w="57" w:type="dxa"/>
            </w:tcMar>
          </w:tcPr>
          <w:p w:rsidR="009D55F8" w:rsidRPr="00816F6A" w:rsidRDefault="009D55F8" w:rsidP="006A0BAD">
            <w:pPr>
              <w:pStyle w:val="TableTextColumnHeading"/>
              <w:shd w:val="clear" w:color="auto" w:fill="FFFFFF"/>
              <w:rPr>
                <w:rFonts w:cs="Tahoma"/>
                <w:b/>
              </w:rPr>
            </w:pPr>
            <w:r w:rsidRPr="00816F6A">
              <w:rPr>
                <w:rFonts w:cs="Tahoma"/>
                <w:b/>
              </w:rPr>
              <w:t>Explanation</w:t>
            </w:r>
          </w:p>
        </w:tc>
      </w:tr>
      <w:tr w:rsidR="009D55F8" w:rsidRPr="005F7914" w:rsidTr="001E163C">
        <w:trPr>
          <w:cantSplit/>
          <w:trHeight w:val="557"/>
        </w:trPr>
        <w:tc>
          <w:tcPr>
            <w:tcW w:w="4500" w:type="dxa"/>
            <w:tcBorders>
              <w:top w:val="single" w:sz="2" w:space="0" w:color="auto"/>
            </w:tcBorders>
            <w:shd w:val="clear" w:color="auto" w:fill="auto"/>
            <w:tcMar>
              <w:top w:w="0" w:type="dxa"/>
              <w:left w:w="57" w:type="dxa"/>
              <w:bottom w:w="0" w:type="dxa"/>
              <w:right w:w="57" w:type="dxa"/>
            </w:tcMar>
          </w:tcPr>
          <w:p w:rsidR="00B12BCB" w:rsidRDefault="009D55F8" w:rsidP="006A0BAD">
            <w:pPr>
              <w:pStyle w:val="TableTextEntries"/>
              <w:shd w:val="clear" w:color="auto" w:fill="FFFFFF"/>
              <w:rPr>
                <w:rFonts w:cs="Tahoma"/>
                <w:b/>
              </w:rPr>
            </w:pPr>
            <w:r w:rsidRPr="00816F6A">
              <w:rPr>
                <w:rFonts w:cs="Tahoma"/>
                <w:b/>
              </w:rPr>
              <w:t>Re-set the relationship with</w:t>
            </w:r>
            <w:r w:rsidR="009D6EC3">
              <w:rPr>
                <w:rFonts w:cs="Tahoma"/>
                <w:b/>
              </w:rPr>
              <w:t xml:space="preserve"> the</w:t>
            </w:r>
            <w:r w:rsidRPr="00816F6A">
              <w:rPr>
                <w:rFonts w:cs="Tahoma"/>
                <w:b/>
              </w:rPr>
              <w:t xml:space="preserve"> GoTL</w:t>
            </w:r>
          </w:p>
          <w:p w:rsidR="009D55F8" w:rsidRPr="00816F6A" w:rsidRDefault="009D55F8" w:rsidP="006A0BAD">
            <w:pPr>
              <w:pStyle w:val="TableTextEntries"/>
              <w:shd w:val="clear" w:color="auto" w:fill="FFFFFF"/>
              <w:rPr>
                <w:rFonts w:cs="Tahoma"/>
              </w:rPr>
            </w:pPr>
            <w:r w:rsidRPr="00816F6A">
              <w:rPr>
                <w:rFonts w:cs="Tahoma"/>
              </w:rPr>
              <w:t>AusAID will initiate annual high</w:t>
            </w:r>
            <w:r w:rsidR="00B12BCB">
              <w:rPr>
                <w:rFonts w:cs="Tahoma"/>
              </w:rPr>
              <w:t>-</w:t>
            </w:r>
            <w:r w:rsidRPr="00816F6A">
              <w:rPr>
                <w:rFonts w:cs="Tahoma"/>
              </w:rPr>
              <w:t xml:space="preserve">level consultations, and explore options </w:t>
            </w:r>
            <w:r w:rsidR="00B12BCB">
              <w:rPr>
                <w:rFonts w:cs="Tahoma"/>
              </w:rPr>
              <w:t>for</w:t>
            </w:r>
            <w:r w:rsidR="00B12BCB" w:rsidRPr="00816F6A">
              <w:rPr>
                <w:rFonts w:cs="Tahoma"/>
              </w:rPr>
              <w:t xml:space="preserve"> </w:t>
            </w:r>
            <w:r w:rsidRPr="00816F6A">
              <w:rPr>
                <w:rFonts w:cs="Tahoma"/>
              </w:rPr>
              <w:t>more formally set</w:t>
            </w:r>
            <w:r w:rsidR="00B12BCB">
              <w:rPr>
                <w:rFonts w:cs="Tahoma"/>
              </w:rPr>
              <w:t xml:space="preserve">ting </w:t>
            </w:r>
            <w:r w:rsidRPr="00816F6A">
              <w:rPr>
                <w:rFonts w:cs="Tahoma"/>
              </w:rPr>
              <w:t xml:space="preserve">out bilateral commitments </w:t>
            </w:r>
            <w:r w:rsidR="00B12BCB">
              <w:rPr>
                <w:rFonts w:cs="Tahoma"/>
              </w:rPr>
              <w:t>under</w:t>
            </w:r>
            <w:r w:rsidR="00B12BCB" w:rsidRPr="00816F6A">
              <w:rPr>
                <w:rFonts w:cs="Tahoma"/>
              </w:rPr>
              <w:t xml:space="preserve"> </w:t>
            </w:r>
            <w:r w:rsidR="00B12BCB">
              <w:rPr>
                <w:rFonts w:cs="Tahoma"/>
              </w:rPr>
              <w:t>the</w:t>
            </w:r>
            <w:r w:rsidRPr="00816F6A">
              <w:rPr>
                <w:rFonts w:cs="Tahoma"/>
              </w:rPr>
              <w:t xml:space="preserve"> partnership agreement</w:t>
            </w:r>
            <w:r w:rsidR="00BD0B39">
              <w:rPr>
                <w:rFonts w:cs="Tahoma"/>
              </w:rPr>
              <w:t xml:space="preserve">. </w:t>
            </w:r>
            <w:r w:rsidR="001C14C8">
              <w:rPr>
                <w:rFonts w:cs="Tahoma"/>
              </w:rPr>
              <w:t>AusAID</w:t>
            </w:r>
            <w:r w:rsidRPr="00816F6A">
              <w:rPr>
                <w:rFonts w:cs="Tahoma"/>
              </w:rPr>
              <w:t xml:space="preserve"> will specify our expectations of mutual accountability, and agree clear benchmarks for each other’s performance, drawing on the undertakings in our </w:t>
            </w:r>
            <w:r w:rsidR="00B12BCB">
              <w:rPr>
                <w:rFonts w:cs="Tahoma"/>
              </w:rPr>
              <w:t>c</w:t>
            </w:r>
            <w:r w:rsidRPr="00816F6A">
              <w:rPr>
                <w:rFonts w:cs="Tahoma"/>
              </w:rPr>
              <w:t xml:space="preserve">ountry </w:t>
            </w:r>
            <w:r w:rsidR="00B12BCB">
              <w:rPr>
                <w:rFonts w:cs="Tahoma"/>
              </w:rPr>
              <w:t>s</w:t>
            </w:r>
            <w:r w:rsidRPr="00816F6A">
              <w:rPr>
                <w:rFonts w:cs="Tahoma"/>
              </w:rPr>
              <w:t xml:space="preserve">trategy, and the priorities set out in the </w:t>
            </w:r>
            <w:r w:rsidR="00B12BCB">
              <w:rPr>
                <w:rFonts w:cs="Tahoma"/>
              </w:rPr>
              <w:t>GoTL’s</w:t>
            </w:r>
            <w:r w:rsidR="00B12BCB" w:rsidRPr="00816F6A">
              <w:rPr>
                <w:rFonts w:cs="Tahoma"/>
              </w:rPr>
              <w:t xml:space="preserve"> </w:t>
            </w:r>
            <w:r w:rsidRPr="00816F6A">
              <w:rPr>
                <w:rFonts w:cs="Tahoma"/>
              </w:rPr>
              <w:t>S</w:t>
            </w:r>
            <w:r w:rsidR="006F35D5">
              <w:rPr>
                <w:rFonts w:cs="Tahoma"/>
              </w:rPr>
              <w:t>DP</w:t>
            </w:r>
            <w:r w:rsidRPr="00816F6A">
              <w:rPr>
                <w:rFonts w:cs="Tahoma"/>
              </w:rPr>
              <w:t>.</w:t>
            </w:r>
          </w:p>
        </w:tc>
        <w:tc>
          <w:tcPr>
            <w:tcW w:w="900" w:type="dxa"/>
            <w:tcBorders>
              <w:top w:val="single" w:sz="2" w:space="0" w:color="auto"/>
            </w:tcBorders>
            <w:shd w:val="clear" w:color="auto" w:fill="auto"/>
            <w:vAlign w:val="center"/>
          </w:tcPr>
          <w:p w:rsidR="009D55F8" w:rsidRPr="00816F6A" w:rsidRDefault="00814225" w:rsidP="006A0BAD">
            <w:pPr>
              <w:pStyle w:val="TableDataEntries"/>
              <w:shd w:val="clear" w:color="auto" w:fill="FFFFFF"/>
              <w:jc w:val="center"/>
              <w:rPr>
                <w:rFonts w:cs="Tahoma"/>
              </w:rPr>
            </w:pPr>
            <w:r>
              <w:rPr>
                <w:noProof/>
                <w:lang w:val="en-US"/>
              </w:rPr>
              <mc:AlternateContent>
                <mc:Choice Requires="wps">
                  <w:drawing>
                    <wp:inline distT="0" distB="0" distL="0" distR="0" wp14:anchorId="5AB244AB" wp14:editId="0401390E">
                      <wp:extent cx="154305" cy="154305"/>
                      <wp:effectExtent l="0" t="0" r="0" b="0"/>
                      <wp:docPr id="1184" name="Rectangle 4" descr="Gree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 cy="154305"/>
                              </a:xfrm>
                              <a:prstGeom prst="rect">
                                <a:avLst/>
                              </a:prstGeom>
                              <a:solidFill>
                                <a:srgbClr val="7DBE28"/>
                              </a:solidFill>
                              <a:ln>
                                <a:noFill/>
                              </a:ln>
                              <a:effectLst/>
                              <a:extLst/>
                            </wps:spPr>
                            <wps:bodyPr rot="0" vert="horz" wrap="square" lIns="91440" tIns="45720" rIns="91440" bIns="45720" anchor="t" anchorCtr="0" upright="1">
                              <a:noAutofit/>
                            </wps:bodyPr>
                          </wps:wsp>
                        </a:graphicData>
                      </a:graphic>
                    </wp:inline>
                  </w:drawing>
                </mc:Choice>
                <mc:Fallback>
                  <w:pict>
                    <v:rect id="Rectangle 4" o:spid="_x0000_s1026" alt="Green" style="width:12.1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" fillcolor="#7dbe28" stroked="f">
                      <w10:anchorlock/>
                    </v:rect>
                  </w:pict>
                </mc:Fallback>
              </mc:AlternateContent>
            </w:r>
          </w:p>
        </w:tc>
        <w:tc>
          <w:tcPr>
            <w:tcW w:w="2715" w:type="dxa"/>
            <w:tcBorders>
              <w:top w:val="single" w:sz="2" w:space="0" w:color="auto"/>
            </w:tcBorders>
            <w:shd w:val="clear" w:color="auto" w:fill="auto"/>
            <w:tcMar>
              <w:top w:w="0" w:type="dxa"/>
              <w:left w:w="57" w:type="dxa"/>
              <w:bottom w:w="0" w:type="dxa"/>
              <w:right w:w="57" w:type="dxa"/>
            </w:tcMar>
          </w:tcPr>
          <w:p w:rsidR="009D55F8" w:rsidRPr="00816F6A" w:rsidRDefault="009D55F8" w:rsidP="006A0BAD">
            <w:pPr>
              <w:pStyle w:val="TableTextEntries"/>
              <w:shd w:val="clear" w:color="auto" w:fill="FFFFFF"/>
              <w:rPr>
                <w:rFonts w:cs="Tahoma"/>
              </w:rPr>
            </w:pPr>
            <w:r w:rsidRPr="00816F6A">
              <w:rPr>
                <w:rFonts w:cs="Tahoma"/>
              </w:rPr>
              <w:t>In February 2011</w:t>
            </w:r>
            <w:r w:rsidR="00B12BCB">
              <w:rPr>
                <w:rFonts w:cs="Tahoma"/>
              </w:rPr>
              <w:t xml:space="preserve"> the </w:t>
            </w:r>
            <w:r w:rsidR="008F3A6D">
              <w:rPr>
                <w:rFonts w:cs="Tahoma"/>
              </w:rPr>
              <w:t>go</w:t>
            </w:r>
            <w:r w:rsidR="008F3A6D" w:rsidRPr="004B7312">
              <w:rPr>
                <w:rFonts w:cs="Tahoma"/>
              </w:rPr>
              <w:t>vernments</w:t>
            </w:r>
            <w:r w:rsidR="004B7312" w:rsidRPr="004B7312">
              <w:rPr>
                <w:rFonts w:cs="Tahoma"/>
              </w:rPr>
              <w:t xml:space="preserve"> of Australia </w:t>
            </w:r>
            <w:r w:rsidRPr="00816F6A">
              <w:rPr>
                <w:rFonts w:cs="Tahoma"/>
              </w:rPr>
              <w:t xml:space="preserve">and </w:t>
            </w:r>
            <w:r w:rsidR="00B12BCB">
              <w:rPr>
                <w:rFonts w:cs="Tahoma"/>
              </w:rPr>
              <w:t xml:space="preserve">the </w:t>
            </w:r>
            <w:r w:rsidRPr="00816F6A">
              <w:rPr>
                <w:rFonts w:cs="Tahoma"/>
              </w:rPr>
              <w:t xml:space="preserve">GoTL agreed to an annual high-level </w:t>
            </w:r>
            <w:r w:rsidR="00B12BCB">
              <w:rPr>
                <w:rFonts w:cs="Tahoma"/>
              </w:rPr>
              <w:t>discussion</w:t>
            </w:r>
            <w:r w:rsidR="005756E1">
              <w:rPr>
                <w:rFonts w:cs="Tahoma"/>
              </w:rPr>
              <w:t>—</w:t>
            </w:r>
            <w:r w:rsidRPr="00816F6A">
              <w:rPr>
                <w:rFonts w:cs="Tahoma"/>
              </w:rPr>
              <w:t xml:space="preserve">a major step forward for the relationship. Agreement on the scope and process for </w:t>
            </w:r>
            <w:r w:rsidR="00B12BCB">
              <w:rPr>
                <w:rFonts w:cs="Tahoma"/>
              </w:rPr>
              <w:t>these discussions</w:t>
            </w:r>
            <w:r w:rsidRPr="00816F6A">
              <w:rPr>
                <w:rFonts w:cs="Tahoma"/>
              </w:rPr>
              <w:t xml:space="preserve"> will be </w:t>
            </w:r>
            <w:r w:rsidR="00B12BCB">
              <w:rPr>
                <w:rFonts w:cs="Tahoma"/>
              </w:rPr>
              <w:t>determined</w:t>
            </w:r>
            <w:r w:rsidR="00B12BCB" w:rsidRPr="00816F6A">
              <w:rPr>
                <w:rFonts w:cs="Tahoma"/>
              </w:rPr>
              <w:t xml:space="preserve"> </w:t>
            </w:r>
            <w:r w:rsidRPr="00816F6A">
              <w:rPr>
                <w:rFonts w:cs="Tahoma"/>
              </w:rPr>
              <w:t>in 2011.</w:t>
            </w:r>
          </w:p>
        </w:tc>
      </w:tr>
      <w:tr w:rsidR="009D55F8" w:rsidRPr="005F7914" w:rsidTr="001E163C">
        <w:trPr>
          <w:cantSplit/>
          <w:trHeight w:val="809"/>
        </w:trPr>
        <w:tc>
          <w:tcPr>
            <w:tcW w:w="4500" w:type="dxa"/>
            <w:shd w:val="clear" w:color="auto" w:fill="auto"/>
            <w:tcMar>
              <w:top w:w="0" w:type="dxa"/>
              <w:left w:w="57" w:type="dxa"/>
              <w:bottom w:w="0" w:type="dxa"/>
              <w:right w:w="57" w:type="dxa"/>
            </w:tcMar>
          </w:tcPr>
          <w:p w:rsidR="00B12BCB" w:rsidRDefault="009D55F8" w:rsidP="006A0BAD">
            <w:pPr>
              <w:pStyle w:val="TableTextEntries"/>
              <w:shd w:val="clear" w:color="auto" w:fill="FFFFFF"/>
              <w:rPr>
                <w:rFonts w:cs="Tahoma"/>
                <w:b/>
              </w:rPr>
            </w:pPr>
            <w:r w:rsidRPr="00816F6A">
              <w:rPr>
                <w:rFonts w:cs="Tahoma"/>
                <w:b/>
              </w:rPr>
              <w:t xml:space="preserve">Identify entry points for </w:t>
            </w:r>
            <w:r w:rsidR="00B12BCB">
              <w:rPr>
                <w:rFonts w:cs="Tahoma"/>
                <w:b/>
              </w:rPr>
              <w:t>discussion</w:t>
            </w:r>
          </w:p>
          <w:p w:rsidR="009D55F8" w:rsidRDefault="009D55F8" w:rsidP="006A0BAD">
            <w:pPr>
              <w:pStyle w:val="TableTextEntries"/>
              <w:shd w:val="clear" w:color="auto" w:fill="FFFFFF"/>
              <w:rPr>
                <w:rFonts w:cs="Tahoma"/>
              </w:rPr>
            </w:pPr>
            <w:r w:rsidRPr="00816F6A">
              <w:rPr>
                <w:rFonts w:cs="Tahoma"/>
              </w:rPr>
              <w:t>AusAID will undertake analytical work (</w:t>
            </w:r>
            <w:r w:rsidR="00320268">
              <w:rPr>
                <w:rFonts w:cs="Tahoma"/>
              </w:rPr>
              <w:t>for example,</w:t>
            </w:r>
            <w:r w:rsidRPr="00816F6A">
              <w:rPr>
                <w:rFonts w:cs="Tahoma"/>
              </w:rPr>
              <w:t xml:space="preserve"> a Drivers of Change study) to identify the entry points and obstacles to improved policy </w:t>
            </w:r>
            <w:r w:rsidR="00B12BCB">
              <w:rPr>
                <w:rFonts w:cs="Tahoma"/>
              </w:rPr>
              <w:t>discussion</w:t>
            </w:r>
            <w:r w:rsidR="00B12BCB" w:rsidRPr="00816F6A">
              <w:rPr>
                <w:rFonts w:cs="Tahoma"/>
              </w:rPr>
              <w:t xml:space="preserve"> </w:t>
            </w:r>
            <w:r w:rsidRPr="00816F6A">
              <w:rPr>
                <w:rFonts w:cs="Tahoma"/>
              </w:rPr>
              <w:t xml:space="preserve">with the </w:t>
            </w:r>
            <w:r w:rsidR="00B12BCB">
              <w:rPr>
                <w:rFonts w:cs="Tahoma"/>
              </w:rPr>
              <w:t>GoTL</w:t>
            </w:r>
            <w:r w:rsidR="00BD0B39">
              <w:rPr>
                <w:rFonts w:cs="Tahoma"/>
              </w:rPr>
              <w:t xml:space="preserve">. </w:t>
            </w:r>
            <w:r w:rsidR="00B12BCB">
              <w:rPr>
                <w:rFonts w:cs="Tahoma"/>
              </w:rPr>
              <w:t>In doing so, AusAID will ask questions such as:</w:t>
            </w:r>
          </w:p>
          <w:p w:rsidR="00B12BCB" w:rsidRDefault="00B12BCB" w:rsidP="006A0BAD">
            <w:pPr>
              <w:pStyle w:val="TableTextEntries"/>
              <w:shd w:val="clear" w:color="auto" w:fill="FFFFFF"/>
              <w:rPr>
                <w:rFonts w:cs="Tahoma"/>
              </w:rPr>
            </w:pPr>
            <w:r w:rsidRPr="00816F6A">
              <w:rPr>
                <w:rFonts w:cs="Tahoma"/>
              </w:rPr>
              <w:t xml:space="preserve">Where are the strongest incentives for reform, and where do reform efforts seem least likely to succeed?  </w:t>
            </w:r>
          </w:p>
          <w:p w:rsidR="00B12BCB" w:rsidRDefault="00B12BCB" w:rsidP="006A0BAD">
            <w:pPr>
              <w:pStyle w:val="TableTextEntries"/>
              <w:shd w:val="clear" w:color="auto" w:fill="FFFFFF"/>
              <w:rPr>
                <w:rFonts w:cs="Tahoma"/>
              </w:rPr>
            </w:pPr>
            <w:r w:rsidRPr="00816F6A">
              <w:rPr>
                <w:rFonts w:cs="Tahoma"/>
              </w:rPr>
              <w:t>How can external actors support good policy decisions and strong program interventions?</w:t>
            </w:r>
          </w:p>
          <w:p w:rsidR="00B12BCB" w:rsidRPr="00816F6A" w:rsidRDefault="00B12BCB" w:rsidP="006A0BAD">
            <w:pPr>
              <w:pStyle w:val="TableTextEntries"/>
              <w:shd w:val="clear" w:color="auto" w:fill="FFFFFF"/>
              <w:rPr>
                <w:rFonts w:cs="Tahoma"/>
              </w:rPr>
            </w:pPr>
          </w:p>
        </w:tc>
        <w:tc>
          <w:tcPr>
            <w:tcW w:w="900" w:type="dxa"/>
            <w:shd w:val="clear" w:color="auto" w:fill="auto"/>
          </w:tcPr>
          <w:p w:rsidR="009D55F8" w:rsidRPr="00816F6A" w:rsidRDefault="00814225" w:rsidP="006A0BAD">
            <w:pPr>
              <w:pStyle w:val="TableTextEntries"/>
              <w:shd w:val="clear" w:color="auto" w:fill="FFFFFF"/>
              <w:jc w:val="center"/>
              <w:rPr>
                <w:rFonts w:cs="Tahoma"/>
              </w:rPr>
            </w:pPr>
            <w:r>
              <w:rPr>
                <w:noProof/>
                <w:lang w:val="en-US"/>
              </w:rPr>
              <mc:AlternateContent>
                <mc:Choice Requires="wps">
                  <w:drawing>
                    <wp:inline distT="0" distB="0" distL="0" distR="0" wp14:anchorId="3DF674E6" wp14:editId="32EF78D7">
                      <wp:extent cx="153670" cy="153670"/>
                      <wp:effectExtent l="0" t="0" r="0" b="0"/>
                      <wp:docPr id="1189" name="Rectangle 15" descr="Yellow"/>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670" cy="153670"/>
                              </a:xfrm>
                              <a:prstGeom prst="rect">
                                <a:avLst/>
                              </a:prstGeom>
                              <a:solidFill>
                                <a:srgbClr val="FFC000"/>
                              </a:solidFill>
                              <a:ln>
                                <a:noFill/>
                              </a:ln>
                              <a:extLst/>
                            </wps:spPr>
                            <wps:bodyPr rot="0" vert="horz" wrap="square" lIns="91440" tIns="45720" rIns="91440" bIns="45720" anchor="t" anchorCtr="0" upright="1">
                              <a:noAutofit/>
                            </wps:bodyPr>
                          </wps:wsp>
                        </a:graphicData>
                      </a:graphic>
                    </wp:inline>
                  </w:drawing>
                </mc:Choice>
                <mc:Fallback>
                  <w:pict>
                    <v:rect id="Rectangle 15" o:spid="_x0000_s1026" alt="Yellow" style="width:12.1pt;height:1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" fillcolor="#ffc000" stroked="f">
                      <w10:anchorlock/>
                    </v:rect>
                  </w:pict>
                </mc:Fallback>
              </mc:AlternateContent>
            </w:r>
          </w:p>
        </w:tc>
        <w:tc>
          <w:tcPr>
            <w:tcW w:w="2715" w:type="dxa"/>
            <w:shd w:val="clear" w:color="auto" w:fill="auto"/>
            <w:tcMar>
              <w:top w:w="0" w:type="dxa"/>
              <w:left w:w="57" w:type="dxa"/>
              <w:bottom w:w="0" w:type="dxa"/>
              <w:right w:w="57" w:type="dxa"/>
            </w:tcMar>
          </w:tcPr>
          <w:p w:rsidR="009D55F8" w:rsidRPr="00816F6A" w:rsidRDefault="009D55F8" w:rsidP="006A0BAD">
            <w:pPr>
              <w:pStyle w:val="TableTextEntries"/>
              <w:shd w:val="clear" w:color="auto" w:fill="FFFFFF"/>
              <w:rPr>
                <w:rFonts w:cs="Tahoma"/>
              </w:rPr>
            </w:pPr>
            <w:r w:rsidRPr="00816F6A">
              <w:rPr>
                <w:rFonts w:cs="Tahoma"/>
              </w:rPr>
              <w:t xml:space="preserve">The Adviser Review, PFM </w:t>
            </w:r>
            <w:r w:rsidR="001C14C8">
              <w:rPr>
                <w:rFonts w:cs="Tahoma"/>
              </w:rPr>
              <w:t>systems</w:t>
            </w:r>
            <w:r w:rsidRPr="00816F6A">
              <w:rPr>
                <w:rFonts w:cs="Tahoma"/>
              </w:rPr>
              <w:t xml:space="preserve"> analysis, and a large number of initiative evaluations identified opportunities for policy dialogue. These were picked up in delivery strategies and concepts for new programs, and will be taken forward as part of 2011 design discussions with </w:t>
            </w:r>
            <w:r w:rsidR="00B12BCB">
              <w:rPr>
                <w:rFonts w:cs="Tahoma"/>
              </w:rPr>
              <w:t xml:space="preserve">the </w:t>
            </w:r>
            <w:r w:rsidRPr="00816F6A">
              <w:rPr>
                <w:rFonts w:cs="Tahoma"/>
              </w:rPr>
              <w:t xml:space="preserve">GoTL. </w:t>
            </w:r>
          </w:p>
        </w:tc>
      </w:tr>
      <w:tr w:rsidR="009D55F8" w:rsidRPr="005F7914" w:rsidTr="001E163C">
        <w:trPr>
          <w:cantSplit/>
          <w:trHeight w:val="575"/>
        </w:trPr>
        <w:tc>
          <w:tcPr>
            <w:tcW w:w="4500" w:type="dxa"/>
            <w:shd w:val="clear" w:color="auto" w:fill="auto"/>
            <w:tcMar>
              <w:top w:w="0" w:type="dxa"/>
              <w:left w:w="57" w:type="dxa"/>
              <w:bottom w:w="0" w:type="dxa"/>
              <w:right w:w="57" w:type="dxa"/>
            </w:tcMar>
          </w:tcPr>
          <w:p w:rsidR="00B12BCB" w:rsidRDefault="009D55F8" w:rsidP="006A0BAD">
            <w:pPr>
              <w:pStyle w:val="TableTextEntries"/>
              <w:shd w:val="clear" w:color="auto" w:fill="FFFFFF"/>
              <w:rPr>
                <w:rFonts w:cs="Tahoma"/>
                <w:b/>
              </w:rPr>
            </w:pPr>
            <w:r w:rsidRPr="00816F6A">
              <w:rPr>
                <w:rFonts w:cs="Tahoma"/>
                <w:b/>
              </w:rPr>
              <w:t xml:space="preserve">Improve policy </w:t>
            </w:r>
            <w:r w:rsidR="00B12BCB">
              <w:rPr>
                <w:rFonts w:cs="Tahoma"/>
                <w:b/>
              </w:rPr>
              <w:t>discussion</w:t>
            </w:r>
            <w:r w:rsidR="00B12BCB" w:rsidRPr="00816F6A">
              <w:rPr>
                <w:rFonts w:cs="Tahoma"/>
                <w:b/>
              </w:rPr>
              <w:t xml:space="preserve"> </w:t>
            </w:r>
            <w:r w:rsidRPr="00816F6A">
              <w:rPr>
                <w:rFonts w:cs="Tahoma"/>
                <w:b/>
              </w:rPr>
              <w:t>capacity</w:t>
            </w:r>
          </w:p>
          <w:p w:rsidR="009D55F8" w:rsidRPr="00816F6A" w:rsidRDefault="009D55F8" w:rsidP="006A0BAD">
            <w:pPr>
              <w:pStyle w:val="TableTextEntries"/>
              <w:shd w:val="clear" w:color="auto" w:fill="FFFFFF"/>
              <w:rPr>
                <w:rFonts w:cs="Tahoma"/>
              </w:rPr>
            </w:pPr>
            <w:r w:rsidRPr="00816F6A">
              <w:rPr>
                <w:rFonts w:cs="Tahoma"/>
              </w:rPr>
              <w:t>Current resourcing levels at post are modest in comparison to other significant programs, and our ability to engage in evidence based policy dialogue is limited</w:t>
            </w:r>
            <w:r w:rsidR="00BD0B39">
              <w:rPr>
                <w:rFonts w:cs="Tahoma"/>
              </w:rPr>
              <w:t xml:space="preserve">. </w:t>
            </w:r>
            <w:r w:rsidRPr="00816F6A">
              <w:rPr>
                <w:rFonts w:cs="Tahoma"/>
              </w:rPr>
              <w:t>We need to secure quality advice and support from the thematic groups and, ideally, from in-house advisers</w:t>
            </w:r>
            <w:r w:rsidR="00BD0B39">
              <w:rPr>
                <w:rFonts w:cs="Tahoma"/>
              </w:rPr>
              <w:t xml:space="preserve">. </w:t>
            </w:r>
            <w:r w:rsidRPr="00816F6A">
              <w:rPr>
                <w:rFonts w:cs="Tahoma"/>
              </w:rPr>
              <w:t>We will strengthen our access to high-level skills in economics/</w:t>
            </w:r>
            <w:r w:rsidR="006F35D5">
              <w:rPr>
                <w:rFonts w:cs="Tahoma"/>
              </w:rPr>
              <w:t>PFM</w:t>
            </w:r>
            <w:r w:rsidRPr="00816F6A">
              <w:rPr>
                <w:rFonts w:cs="Tahoma"/>
              </w:rPr>
              <w:t>, education and health.</w:t>
            </w:r>
          </w:p>
        </w:tc>
        <w:tc>
          <w:tcPr>
            <w:tcW w:w="900" w:type="dxa"/>
            <w:shd w:val="clear" w:color="auto" w:fill="auto"/>
            <w:vAlign w:val="center"/>
          </w:tcPr>
          <w:p w:rsidR="009D55F8" w:rsidRPr="00816F6A" w:rsidRDefault="00814225" w:rsidP="006A0BAD">
            <w:pPr>
              <w:pStyle w:val="TableDataEntries"/>
              <w:shd w:val="clear" w:color="auto" w:fill="FFFFFF"/>
              <w:jc w:val="center"/>
              <w:rPr>
                <w:rFonts w:cs="Tahoma"/>
              </w:rPr>
            </w:pPr>
            <w:r>
              <w:rPr>
                <w:noProof/>
                <w:lang w:val="en-US"/>
              </w:rPr>
              <mc:AlternateContent>
                <mc:Choice Requires="wps">
                  <w:drawing>
                    <wp:inline distT="0" distB="0" distL="0" distR="0" wp14:anchorId="27FBAF6B" wp14:editId="7D855124">
                      <wp:extent cx="153670" cy="153670"/>
                      <wp:effectExtent l="0" t="0" r="0" b="0"/>
                      <wp:docPr id="1190" name="Rectangle 15" descr="Yellow"/>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670" cy="153670"/>
                              </a:xfrm>
                              <a:prstGeom prst="rect">
                                <a:avLst/>
                              </a:prstGeom>
                              <a:solidFill>
                                <a:srgbClr val="FFC000"/>
                              </a:solidFill>
                              <a:ln>
                                <a:noFill/>
                              </a:ln>
                              <a:extLst/>
                            </wps:spPr>
                            <wps:bodyPr rot="0" vert="horz" wrap="square" lIns="91440" tIns="45720" rIns="91440" bIns="45720" anchor="t" anchorCtr="0" upright="1">
                              <a:noAutofit/>
                            </wps:bodyPr>
                          </wps:wsp>
                        </a:graphicData>
                      </a:graphic>
                    </wp:inline>
                  </w:drawing>
                </mc:Choice>
                <mc:Fallback>
                  <w:pict>
                    <v:rect id="Rectangle 15" o:spid="_x0000_s1026" alt="Yellow" style="width:12.1pt;height:1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" fillcolor="#ffc000" stroked="f">
                      <w10:anchorlock/>
                    </v:rect>
                  </w:pict>
                </mc:Fallback>
              </mc:AlternateContent>
            </w:r>
          </w:p>
        </w:tc>
        <w:tc>
          <w:tcPr>
            <w:tcW w:w="2715" w:type="dxa"/>
            <w:shd w:val="clear" w:color="auto" w:fill="auto"/>
            <w:tcMar>
              <w:top w:w="0" w:type="dxa"/>
              <w:left w:w="57" w:type="dxa"/>
              <w:bottom w:w="0" w:type="dxa"/>
              <w:right w:w="57" w:type="dxa"/>
            </w:tcMar>
          </w:tcPr>
          <w:p w:rsidR="009D55F8" w:rsidRPr="00816F6A" w:rsidRDefault="009D55F8" w:rsidP="006A0BAD">
            <w:pPr>
              <w:pStyle w:val="TableTextEntries"/>
              <w:shd w:val="clear" w:color="auto" w:fill="FFFFFF"/>
              <w:rPr>
                <w:rFonts w:cs="Tahoma"/>
              </w:rPr>
            </w:pPr>
            <w:r w:rsidRPr="00816F6A">
              <w:rPr>
                <w:rFonts w:cs="Tahoma"/>
              </w:rPr>
              <w:t>S</w:t>
            </w:r>
            <w:r w:rsidR="001C14C8">
              <w:rPr>
                <w:rFonts w:cs="Tahoma"/>
              </w:rPr>
              <w:t>ecured in-house PFM expertise in</w:t>
            </w:r>
            <w:r w:rsidRPr="00816F6A">
              <w:rPr>
                <w:rFonts w:cs="Tahoma"/>
              </w:rPr>
              <w:t xml:space="preserve"> </w:t>
            </w:r>
            <w:r w:rsidR="001C14C8">
              <w:rPr>
                <w:rFonts w:cs="Tahoma"/>
              </w:rPr>
              <w:t>Dili</w:t>
            </w:r>
            <w:r w:rsidRPr="00816F6A">
              <w:rPr>
                <w:rFonts w:cs="Tahoma"/>
              </w:rPr>
              <w:t xml:space="preserve">, but the need for in-house advisers in other sectors (especially education and health) was not met in 2010. </w:t>
            </w:r>
          </w:p>
        </w:tc>
      </w:tr>
      <w:tr w:rsidR="009D55F8" w:rsidRPr="005F7914" w:rsidTr="001E163C">
        <w:trPr>
          <w:cantSplit/>
          <w:trHeight w:val="1060"/>
        </w:trPr>
        <w:tc>
          <w:tcPr>
            <w:tcW w:w="4500" w:type="dxa"/>
            <w:shd w:val="clear" w:color="auto" w:fill="auto"/>
            <w:tcMar>
              <w:top w:w="0" w:type="dxa"/>
              <w:left w:w="57" w:type="dxa"/>
              <w:bottom w:w="0" w:type="dxa"/>
              <w:right w:w="57" w:type="dxa"/>
            </w:tcMar>
          </w:tcPr>
          <w:p w:rsidR="00B12BCB" w:rsidRDefault="009D55F8" w:rsidP="006A0BAD">
            <w:pPr>
              <w:pStyle w:val="TableTextEntries"/>
              <w:shd w:val="clear" w:color="auto" w:fill="FFFFFF"/>
              <w:rPr>
                <w:rFonts w:cs="Tahoma"/>
                <w:b/>
              </w:rPr>
            </w:pPr>
            <w:r w:rsidRPr="00816F6A">
              <w:rPr>
                <w:rFonts w:cs="Tahoma"/>
                <w:b/>
              </w:rPr>
              <w:t>Work with the Word Bank to find new ways of operating in low capacity environments</w:t>
            </w:r>
          </w:p>
          <w:p w:rsidR="009D55F8" w:rsidRPr="00816F6A" w:rsidRDefault="009D55F8" w:rsidP="006A0BAD">
            <w:pPr>
              <w:pStyle w:val="TableTextEntries"/>
              <w:shd w:val="clear" w:color="auto" w:fill="FFFFFF"/>
              <w:rPr>
                <w:rFonts w:cs="Tahoma"/>
              </w:rPr>
            </w:pPr>
            <w:r w:rsidRPr="00816F6A">
              <w:rPr>
                <w:rFonts w:cs="Tahoma"/>
              </w:rPr>
              <w:t>The W</w:t>
            </w:r>
            <w:r w:rsidR="00B12BCB">
              <w:rPr>
                <w:rFonts w:cs="Tahoma"/>
              </w:rPr>
              <w:t>orld Bank</w:t>
            </w:r>
            <w:r w:rsidRPr="00816F6A">
              <w:rPr>
                <w:rFonts w:cs="Tahoma"/>
              </w:rPr>
              <w:t xml:space="preserve"> is a valued partner. However, AusAID and the W</w:t>
            </w:r>
            <w:r w:rsidR="00B12BCB">
              <w:rPr>
                <w:rFonts w:cs="Tahoma"/>
              </w:rPr>
              <w:t>orld Bank</w:t>
            </w:r>
            <w:r w:rsidRPr="00816F6A">
              <w:rPr>
                <w:rFonts w:cs="Tahoma"/>
              </w:rPr>
              <w:t xml:space="preserve"> rate its programs poorly</w:t>
            </w:r>
            <w:r w:rsidR="00BD0B39">
              <w:rPr>
                <w:rFonts w:cs="Tahoma"/>
              </w:rPr>
              <w:t xml:space="preserve">. </w:t>
            </w:r>
            <w:r w:rsidRPr="00816F6A">
              <w:rPr>
                <w:rFonts w:cs="Tahoma"/>
              </w:rPr>
              <w:t xml:space="preserve">We will analyse the strengths and weaknesses of the trust fund approach, especially its reliance on government implementation, and </w:t>
            </w:r>
            <w:r w:rsidR="00B12BCB">
              <w:rPr>
                <w:rFonts w:cs="Tahoma"/>
              </w:rPr>
              <w:t xml:space="preserve">will </w:t>
            </w:r>
            <w:r w:rsidRPr="00816F6A">
              <w:rPr>
                <w:rFonts w:cs="Tahoma"/>
              </w:rPr>
              <w:t>work with the W</w:t>
            </w:r>
            <w:r w:rsidR="00B12BCB">
              <w:rPr>
                <w:rFonts w:cs="Tahoma"/>
              </w:rPr>
              <w:t>orld Bank</w:t>
            </w:r>
            <w:r w:rsidRPr="00816F6A">
              <w:rPr>
                <w:rFonts w:cs="Tahoma"/>
              </w:rPr>
              <w:t xml:space="preserve"> to adapt its approach to better meet the fragile, low capacity context</w:t>
            </w:r>
            <w:r w:rsidR="00BD0B39">
              <w:rPr>
                <w:rFonts w:cs="Tahoma"/>
              </w:rPr>
              <w:t xml:space="preserve">. </w:t>
            </w:r>
            <w:r w:rsidRPr="00816F6A">
              <w:rPr>
                <w:rFonts w:cs="Tahoma"/>
              </w:rPr>
              <w:t>For instance, we will seek commitment from the</w:t>
            </w:r>
            <w:r w:rsidR="00B12BCB">
              <w:rPr>
                <w:rFonts w:cs="Tahoma"/>
              </w:rPr>
              <w:t xml:space="preserve"> World</w:t>
            </w:r>
            <w:r w:rsidRPr="00816F6A">
              <w:rPr>
                <w:rFonts w:cs="Tahoma"/>
              </w:rPr>
              <w:t xml:space="preserve"> Bank to place senior program managers in the field to strengthen its support for implementation</w:t>
            </w:r>
            <w:r w:rsidR="00BD0B39">
              <w:rPr>
                <w:rFonts w:cs="Tahoma"/>
              </w:rPr>
              <w:t xml:space="preserve">. </w:t>
            </w:r>
            <w:r w:rsidRPr="00816F6A">
              <w:rPr>
                <w:rFonts w:cs="Tahoma"/>
              </w:rPr>
              <w:t xml:space="preserve">We will also formalise improved approaches to Australian participation in program management as part of </w:t>
            </w:r>
            <w:r w:rsidR="0017211F">
              <w:rPr>
                <w:rFonts w:cs="Tahoma"/>
              </w:rPr>
              <w:t>upcoming mid-</w:t>
            </w:r>
            <w:r w:rsidRPr="00816F6A">
              <w:rPr>
                <w:rFonts w:cs="Tahoma"/>
              </w:rPr>
              <w:t>term reviews.</w:t>
            </w:r>
          </w:p>
        </w:tc>
        <w:tc>
          <w:tcPr>
            <w:tcW w:w="900" w:type="dxa"/>
            <w:shd w:val="clear" w:color="auto" w:fill="auto"/>
            <w:vAlign w:val="center"/>
          </w:tcPr>
          <w:p w:rsidR="009D55F8" w:rsidRPr="00816F6A" w:rsidRDefault="00814225" w:rsidP="006A0BAD">
            <w:pPr>
              <w:pStyle w:val="TableTextEntries"/>
              <w:shd w:val="clear" w:color="auto" w:fill="FFFFFF"/>
              <w:jc w:val="center"/>
              <w:rPr>
                <w:rFonts w:cs="Tahoma"/>
              </w:rPr>
            </w:pPr>
            <w:r>
              <w:rPr>
                <w:noProof/>
                <w:lang w:val="en-US"/>
              </w:rPr>
              <mc:AlternateContent>
                <mc:Choice Requires="wps">
                  <w:drawing>
                    <wp:inline distT="0" distB="0" distL="0" distR="0" wp14:anchorId="7E86D7E6" wp14:editId="16157C48">
                      <wp:extent cx="153670" cy="153670"/>
                      <wp:effectExtent l="0" t="0" r="0" b="0"/>
                      <wp:docPr id="1191" name="Rectangle 15" descr="Yellow"/>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670" cy="153670"/>
                              </a:xfrm>
                              <a:prstGeom prst="rect">
                                <a:avLst/>
                              </a:prstGeom>
                              <a:solidFill>
                                <a:srgbClr val="FFC000"/>
                              </a:solidFill>
                              <a:ln>
                                <a:noFill/>
                              </a:ln>
                              <a:extLst/>
                            </wps:spPr>
                            <wps:bodyPr rot="0" vert="horz" wrap="square" lIns="91440" tIns="45720" rIns="91440" bIns="45720" anchor="t" anchorCtr="0" upright="1">
                              <a:noAutofit/>
                            </wps:bodyPr>
                          </wps:wsp>
                        </a:graphicData>
                      </a:graphic>
                    </wp:inline>
                  </w:drawing>
                </mc:Choice>
                <mc:Fallback>
                  <w:pict>
                    <v:rect id="Rectangle 15" o:spid="_x0000_s1026" alt="Yellow" style="width:12.1pt;height:1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" fillcolor="#ffc000" stroked="f">
                      <w10:anchorlock/>
                    </v:rect>
                  </w:pict>
                </mc:Fallback>
              </mc:AlternateContent>
            </w:r>
          </w:p>
        </w:tc>
        <w:tc>
          <w:tcPr>
            <w:tcW w:w="2715" w:type="dxa"/>
            <w:shd w:val="clear" w:color="auto" w:fill="auto"/>
            <w:tcMar>
              <w:top w:w="0" w:type="dxa"/>
              <w:left w:w="57" w:type="dxa"/>
              <w:bottom w:w="0" w:type="dxa"/>
              <w:right w:w="57" w:type="dxa"/>
            </w:tcMar>
          </w:tcPr>
          <w:p w:rsidR="009D55F8" w:rsidRPr="00816F6A" w:rsidRDefault="009D55F8" w:rsidP="006A0BAD">
            <w:pPr>
              <w:pStyle w:val="TableTextEntries"/>
              <w:shd w:val="clear" w:color="auto" w:fill="FFFFFF"/>
              <w:rPr>
                <w:rFonts w:cs="Tahoma"/>
              </w:rPr>
            </w:pPr>
            <w:r w:rsidRPr="00816F6A">
              <w:rPr>
                <w:rFonts w:cs="Tahoma"/>
              </w:rPr>
              <w:t>Additional in-country resources and some rationalisation was achieved in some programs in 2010, but there remains a need for</w:t>
            </w:r>
            <w:r w:rsidR="0017211F">
              <w:rPr>
                <w:rFonts w:cs="Tahoma"/>
              </w:rPr>
              <w:t xml:space="preserve"> broader </w:t>
            </w:r>
            <w:r w:rsidRPr="00816F6A">
              <w:rPr>
                <w:rFonts w:cs="Tahoma"/>
              </w:rPr>
              <w:t xml:space="preserve"> analysis on the appropriateness of W</w:t>
            </w:r>
            <w:r w:rsidR="00B92D61">
              <w:rPr>
                <w:rFonts w:cs="Tahoma"/>
              </w:rPr>
              <w:t xml:space="preserve">orld </w:t>
            </w:r>
            <w:r w:rsidR="006F35D5">
              <w:rPr>
                <w:rFonts w:cs="Tahoma"/>
              </w:rPr>
              <w:t>B</w:t>
            </w:r>
            <w:r w:rsidR="00B92D61">
              <w:rPr>
                <w:rFonts w:cs="Tahoma"/>
              </w:rPr>
              <w:t>ank</w:t>
            </w:r>
            <w:r w:rsidRPr="00816F6A">
              <w:rPr>
                <w:rFonts w:cs="Tahoma"/>
              </w:rPr>
              <w:t xml:space="preserve"> ways of working in fragile settings. </w:t>
            </w:r>
          </w:p>
        </w:tc>
      </w:tr>
      <w:tr w:rsidR="009D55F8" w:rsidRPr="005F7914" w:rsidTr="001E163C">
        <w:trPr>
          <w:cantSplit/>
          <w:trHeight w:val="1872"/>
        </w:trPr>
        <w:tc>
          <w:tcPr>
            <w:tcW w:w="4500" w:type="dxa"/>
            <w:shd w:val="clear" w:color="auto" w:fill="auto"/>
            <w:tcMar>
              <w:top w:w="0" w:type="dxa"/>
              <w:left w:w="57" w:type="dxa"/>
              <w:bottom w:w="0" w:type="dxa"/>
              <w:right w:w="57" w:type="dxa"/>
            </w:tcMar>
          </w:tcPr>
          <w:p w:rsidR="00B12BCB" w:rsidRDefault="009D55F8" w:rsidP="006A0BAD">
            <w:pPr>
              <w:pStyle w:val="TableTextEntries"/>
              <w:shd w:val="clear" w:color="auto" w:fill="FFFFFF"/>
              <w:rPr>
                <w:rFonts w:cs="Tahoma"/>
                <w:b/>
              </w:rPr>
            </w:pPr>
            <w:r w:rsidRPr="00816F6A">
              <w:rPr>
                <w:rFonts w:cs="Tahoma"/>
                <w:b/>
              </w:rPr>
              <w:t>Clarify program logic</w:t>
            </w:r>
          </w:p>
          <w:p w:rsidR="009D55F8" w:rsidRPr="00816F6A" w:rsidRDefault="009D55F8" w:rsidP="006A0BAD">
            <w:pPr>
              <w:pStyle w:val="TableTextEntries"/>
              <w:shd w:val="clear" w:color="auto" w:fill="FFFFFF"/>
              <w:rPr>
                <w:rFonts w:cs="Tahoma"/>
              </w:rPr>
            </w:pPr>
            <w:r w:rsidRPr="00816F6A">
              <w:rPr>
                <w:rFonts w:cs="Tahoma"/>
              </w:rPr>
              <w:t xml:space="preserve">Many of our programs continue to suffer from crowded and unclear outcome statements, and </w:t>
            </w:r>
            <w:r w:rsidR="00B92D61">
              <w:rPr>
                <w:rFonts w:cs="Tahoma"/>
              </w:rPr>
              <w:t>weak</w:t>
            </w:r>
            <w:r w:rsidR="00B92D61" w:rsidRPr="00816F6A">
              <w:rPr>
                <w:rFonts w:cs="Tahoma"/>
              </w:rPr>
              <w:t xml:space="preserve"> </w:t>
            </w:r>
            <w:r w:rsidRPr="00816F6A">
              <w:rPr>
                <w:rFonts w:cs="Tahoma"/>
              </w:rPr>
              <w:t>logic connecting inputs to outcomes</w:t>
            </w:r>
            <w:r w:rsidR="00BD0B39">
              <w:rPr>
                <w:rFonts w:cs="Tahoma"/>
              </w:rPr>
              <w:t xml:space="preserve">. </w:t>
            </w:r>
            <w:r w:rsidRPr="00816F6A">
              <w:rPr>
                <w:rFonts w:cs="Tahoma"/>
              </w:rPr>
              <w:t>We will systematically assess each of our programs to improve design, and ensure that as new activities are brought forward, we emphasise simplicity and a clear, logical path to results.</w:t>
            </w:r>
          </w:p>
        </w:tc>
        <w:tc>
          <w:tcPr>
            <w:tcW w:w="900" w:type="dxa"/>
            <w:shd w:val="clear" w:color="auto" w:fill="auto"/>
          </w:tcPr>
          <w:p w:rsidR="009D55F8" w:rsidRPr="00816F6A" w:rsidRDefault="009D55F8" w:rsidP="006A0BAD">
            <w:pPr>
              <w:pStyle w:val="TableTextEntries"/>
              <w:shd w:val="clear" w:color="auto" w:fill="FFFFFF"/>
              <w:jc w:val="center"/>
              <w:rPr>
                <w:rFonts w:cs="Tahoma"/>
                <w:color w:val="FFCC00"/>
                <w:sz w:val="22"/>
                <w:szCs w:val="22"/>
              </w:rPr>
            </w:pPr>
          </w:p>
          <w:p w:rsidR="009D55F8" w:rsidRPr="00816F6A" w:rsidRDefault="009D55F8" w:rsidP="006A0BAD">
            <w:pPr>
              <w:pStyle w:val="TableTextEntries"/>
              <w:shd w:val="clear" w:color="auto" w:fill="FFFFFF"/>
              <w:jc w:val="center"/>
              <w:rPr>
                <w:rFonts w:cs="Tahoma"/>
                <w:color w:val="FFCC00"/>
                <w:sz w:val="22"/>
                <w:szCs w:val="22"/>
              </w:rPr>
            </w:pPr>
          </w:p>
          <w:p w:rsidR="009D55F8" w:rsidRPr="00816F6A" w:rsidRDefault="00814225" w:rsidP="006A0BAD">
            <w:pPr>
              <w:pStyle w:val="TableTextEntries"/>
              <w:shd w:val="clear" w:color="auto" w:fill="FFFFFF"/>
              <w:jc w:val="center"/>
              <w:rPr>
                <w:rFonts w:cs="Tahoma"/>
              </w:rPr>
            </w:pPr>
            <w:r>
              <w:rPr>
                <w:noProof/>
                <w:lang w:val="en-US"/>
              </w:rPr>
              <mc:AlternateContent>
                <mc:Choice Requires="wps">
                  <w:drawing>
                    <wp:inline distT="0" distB="0" distL="0" distR="0" wp14:anchorId="514D9505" wp14:editId="285AC9DE">
                      <wp:extent cx="153670" cy="153670"/>
                      <wp:effectExtent l="0" t="0" r="0" b="0"/>
                      <wp:docPr id="1192" name="Rectangle 15" descr="Yellow"/>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670" cy="153670"/>
                              </a:xfrm>
                              <a:prstGeom prst="rect">
                                <a:avLst/>
                              </a:prstGeom>
                              <a:solidFill>
                                <a:srgbClr val="FFC000"/>
                              </a:solidFill>
                              <a:ln>
                                <a:noFill/>
                              </a:ln>
                              <a:extLst/>
                            </wps:spPr>
                            <wps:bodyPr rot="0" vert="horz" wrap="square" lIns="91440" tIns="45720" rIns="91440" bIns="45720" anchor="t" anchorCtr="0" upright="1">
                              <a:noAutofit/>
                            </wps:bodyPr>
                          </wps:wsp>
                        </a:graphicData>
                      </a:graphic>
                    </wp:inline>
                  </w:drawing>
                </mc:Choice>
                <mc:Fallback>
                  <w:pict>
                    <v:rect id="Rectangle 15" o:spid="_x0000_s1026" alt="Yellow" style="width:12.1pt;height:1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" fillcolor="#ffc000" stroked="f">
                      <w10:anchorlock/>
                    </v:rect>
                  </w:pict>
                </mc:Fallback>
              </mc:AlternateContent>
            </w:r>
          </w:p>
        </w:tc>
        <w:tc>
          <w:tcPr>
            <w:tcW w:w="2715" w:type="dxa"/>
            <w:shd w:val="clear" w:color="auto" w:fill="auto"/>
            <w:tcMar>
              <w:top w:w="0" w:type="dxa"/>
              <w:left w:w="57" w:type="dxa"/>
              <w:bottom w:w="0" w:type="dxa"/>
              <w:right w:w="57" w:type="dxa"/>
            </w:tcMar>
          </w:tcPr>
          <w:p w:rsidR="009D55F8" w:rsidRPr="00816F6A" w:rsidRDefault="009D55F8" w:rsidP="006A0BAD">
            <w:pPr>
              <w:pStyle w:val="TableTextEntries"/>
              <w:shd w:val="clear" w:color="auto" w:fill="FFFFFF"/>
              <w:rPr>
                <w:rFonts w:cs="Tahoma"/>
              </w:rPr>
            </w:pPr>
            <w:r w:rsidRPr="00816F6A">
              <w:rPr>
                <w:rFonts w:cs="Tahoma"/>
              </w:rPr>
              <w:t xml:space="preserve">With assistance from external expertise, there were real improvements in staff awareness of program logic. Leaps </w:t>
            </w:r>
            <w:r w:rsidR="00B92D61">
              <w:rPr>
                <w:rFonts w:cs="Tahoma"/>
              </w:rPr>
              <w:t>in</w:t>
            </w:r>
            <w:r w:rsidR="00B92D61" w:rsidRPr="00816F6A">
              <w:rPr>
                <w:rFonts w:cs="Tahoma"/>
              </w:rPr>
              <w:t xml:space="preserve"> </w:t>
            </w:r>
            <w:r w:rsidRPr="00816F6A">
              <w:rPr>
                <w:rFonts w:cs="Tahoma"/>
              </w:rPr>
              <w:t>logic underpinning some programs were also highlighted. Addressing these require significant reforms as part of 2011 design processes.</w:t>
            </w:r>
          </w:p>
        </w:tc>
      </w:tr>
      <w:tr w:rsidR="009D55F8" w:rsidRPr="005F7914" w:rsidTr="001E163C">
        <w:trPr>
          <w:cantSplit/>
          <w:trHeight w:val="539"/>
        </w:trPr>
        <w:tc>
          <w:tcPr>
            <w:tcW w:w="4500" w:type="dxa"/>
            <w:shd w:val="clear" w:color="auto" w:fill="auto"/>
            <w:tcMar>
              <w:top w:w="0" w:type="dxa"/>
              <w:left w:w="57" w:type="dxa"/>
              <w:bottom w:w="0" w:type="dxa"/>
              <w:right w:w="57" w:type="dxa"/>
            </w:tcMar>
          </w:tcPr>
          <w:p w:rsidR="00B12BCB" w:rsidRDefault="009D55F8" w:rsidP="006A0BAD">
            <w:pPr>
              <w:pStyle w:val="TableTextEntries"/>
              <w:shd w:val="clear" w:color="auto" w:fill="FFFFFF"/>
              <w:rPr>
                <w:rFonts w:cs="Tahoma"/>
                <w:b/>
              </w:rPr>
            </w:pPr>
            <w:r w:rsidRPr="00816F6A">
              <w:rPr>
                <w:rFonts w:cs="Tahoma"/>
                <w:b/>
              </w:rPr>
              <w:lastRenderedPageBreak/>
              <w:t>Signal our willingness to gradually transition to use of government systems</w:t>
            </w:r>
          </w:p>
          <w:p w:rsidR="009D55F8" w:rsidRPr="00816F6A" w:rsidRDefault="009D55F8" w:rsidP="006A0BAD">
            <w:pPr>
              <w:pStyle w:val="TableTextEntries"/>
              <w:shd w:val="clear" w:color="auto" w:fill="FFFFFF"/>
              <w:rPr>
                <w:rFonts w:cs="Tahoma"/>
              </w:rPr>
            </w:pPr>
            <w:r w:rsidRPr="00816F6A">
              <w:rPr>
                <w:rFonts w:cs="Tahoma"/>
              </w:rPr>
              <w:t>The</w:t>
            </w:r>
            <w:r w:rsidR="0017211F">
              <w:rPr>
                <w:rFonts w:cs="Tahoma"/>
              </w:rPr>
              <w:t xml:space="preserve"> GoTL </w:t>
            </w:r>
            <w:r w:rsidRPr="00816F6A">
              <w:rPr>
                <w:rFonts w:cs="Tahoma"/>
              </w:rPr>
              <w:t>has a strong agenda to move from program assistance to budget support</w:t>
            </w:r>
            <w:r w:rsidR="00BD0B39">
              <w:rPr>
                <w:rFonts w:cs="Tahoma"/>
              </w:rPr>
              <w:t xml:space="preserve">. </w:t>
            </w:r>
            <w:r w:rsidRPr="00816F6A">
              <w:rPr>
                <w:rFonts w:cs="Tahoma"/>
              </w:rPr>
              <w:t>However, country systems are very weak and do not provide an adequate level of fiduciary assurance to donors</w:t>
            </w:r>
            <w:r w:rsidR="00BD0B39">
              <w:rPr>
                <w:rFonts w:cs="Tahoma"/>
              </w:rPr>
              <w:t xml:space="preserve">. </w:t>
            </w:r>
            <w:r w:rsidR="00B92D61">
              <w:rPr>
                <w:rFonts w:cs="Tahoma"/>
              </w:rPr>
              <w:t>S</w:t>
            </w:r>
            <w:r w:rsidRPr="00816F6A">
              <w:rPr>
                <w:rFonts w:cs="Tahoma"/>
              </w:rPr>
              <w:t>ignalling a serious commitment to this will underscore</w:t>
            </w:r>
            <w:r w:rsidR="00B92D61">
              <w:rPr>
                <w:rFonts w:cs="Tahoma"/>
              </w:rPr>
              <w:t xml:space="preserve"> </w:t>
            </w:r>
            <w:r w:rsidR="0017211F">
              <w:rPr>
                <w:rFonts w:cs="Tahoma"/>
              </w:rPr>
              <w:t>our</w:t>
            </w:r>
            <w:r w:rsidRPr="00816F6A">
              <w:rPr>
                <w:rFonts w:cs="Tahoma"/>
              </w:rPr>
              <w:t xml:space="preserve"> willingness to push the </w:t>
            </w:r>
            <w:r w:rsidR="00B92D61">
              <w:rPr>
                <w:rFonts w:cs="Tahoma"/>
              </w:rPr>
              <w:t xml:space="preserve">relationship’s </w:t>
            </w:r>
            <w:r w:rsidRPr="00816F6A">
              <w:rPr>
                <w:rFonts w:cs="Tahoma"/>
              </w:rPr>
              <w:t>reset button.</w:t>
            </w:r>
          </w:p>
          <w:p w:rsidR="009D55F8" w:rsidRPr="00816F6A" w:rsidRDefault="009D55F8" w:rsidP="006A0BAD">
            <w:pPr>
              <w:pStyle w:val="TableTextEntries"/>
              <w:shd w:val="clear" w:color="auto" w:fill="FFFFFF"/>
              <w:rPr>
                <w:rFonts w:cs="Tahoma"/>
              </w:rPr>
            </w:pPr>
            <w:r w:rsidRPr="00816F6A">
              <w:rPr>
                <w:rFonts w:cs="Tahoma"/>
              </w:rPr>
              <w:t>We will work with other interested donors (</w:t>
            </w:r>
            <w:r w:rsidR="00320268">
              <w:rPr>
                <w:rFonts w:cs="Tahoma"/>
              </w:rPr>
              <w:t>for example,</w:t>
            </w:r>
            <w:r w:rsidRPr="00816F6A">
              <w:rPr>
                <w:rFonts w:cs="Tahoma"/>
              </w:rPr>
              <w:t xml:space="preserve"> the </w:t>
            </w:r>
            <w:r w:rsidR="004B7312" w:rsidRPr="004B7312">
              <w:rPr>
                <w:rFonts w:cs="Tahoma"/>
              </w:rPr>
              <w:t>European Community</w:t>
            </w:r>
            <w:r w:rsidRPr="004B7312">
              <w:rPr>
                <w:rFonts w:cs="Tahoma"/>
              </w:rPr>
              <w:t>) and</w:t>
            </w:r>
            <w:r w:rsidRPr="00816F6A">
              <w:rPr>
                <w:rFonts w:cs="Tahoma"/>
              </w:rPr>
              <w:t xml:space="preserve"> the </w:t>
            </w:r>
            <w:r w:rsidR="0017211F">
              <w:rPr>
                <w:rFonts w:cs="Tahoma"/>
              </w:rPr>
              <w:t xml:space="preserve">GoTL </w:t>
            </w:r>
            <w:r w:rsidRPr="00816F6A">
              <w:rPr>
                <w:rFonts w:cs="Tahoma"/>
              </w:rPr>
              <w:t>to agree on a roadmap of reforms needed to move to use of country systems</w:t>
            </w:r>
            <w:r w:rsidR="00BD0B39">
              <w:rPr>
                <w:rFonts w:cs="Tahoma"/>
              </w:rPr>
              <w:t xml:space="preserve">. </w:t>
            </w:r>
            <w:r w:rsidRPr="00816F6A">
              <w:rPr>
                <w:rFonts w:cs="Tahoma"/>
              </w:rPr>
              <w:t>We will use existing analysis (</w:t>
            </w:r>
            <w:r w:rsidR="00320268">
              <w:rPr>
                <w:rFonts w:cs="Tahoma"/>
              </w:rPr>
              <w:t>for example,</w:t>
            </w:r>
            <w:r w:rsidRPr="00816F6A">
              <w:rPr>
                <w:rFonts w:cs="Tahoma"/>
              </w:rPr>
              <w:t xml:space="preserve"> PEFA) and commission diagnostic work (with government) where necessary.</w:t>
            </w:r>
          </w:p>
          <w:p w:rsidR="009D55F8" w:rsidRPr="00816F6A" w:rsidRDefault="009D55F8" w:rsidP="006A0BAD">
            <w:pPr>
              <w:pStyle w:val="TableTextEntries"/>
              <w:shd w:val="clear" w:color="auto" w:fill="FFFFFF"/>
              <w:rPr>
                <w:rFonts w:cs="Tahoma"/>
              </w:rPr>
            </w:pPr>
            <w:r w:rsidRPr="00816F6A">
              <w:rPr>
                <w:rFonts w:cs="Tahoma"/>
              </w:rPr>
              <w:t>Where appropriate we will consider using ring-fenced and incremental ways of using country systems.</w:t>
            </w:r>
          </w:p>
        </w:tc>
        <w:tc>
          <w:tcPr>
            <w:tcW w:w="900" w:type="dxa"/>
            <w:shd w:val="clear" w:color="auto" w:fill="auto"/>
            <w:vAlign w:val="center"/>
          </w:tcPr>
          <w:p w:rsidR="009D55F8" w:rsidRPr="00816F6A" w:rsidRDefault="00814225" w:rsidP="006A0BAD">
            <w:pPr>
              <w:pStyle w:val="TableDataEntries"/>
              <w:shd w:val="clear" w:color="auto" w:fill="FFFFFF"/>
              <w:jc w:val="center"/>
              <w:rPr>
                <w:rFonts w:cs="Tahoma"/>
              </w:rPr>
            </w:pPr>
            <w:r>
              <w:rPr>
                <w:noProof/>
                <w:lang w:val="en-US"/>
              </w:rPr>
              <mc:AlternateContent>
                <mc:Choice Requires="wps">
                  <w:drawing>
                    <wp:inline distT="0" distB="0" distL="0" distR="0" wp14:anchorId="3DFF1673" wp14:editId="7E0D1A95">
                      <wp:extent cx="154305" cy="154305"/>
                      <wp:effectExtent l="0" t="0" r="0" b="0"/>
                      <wp:docPr id="1194" name="Rectangle 4" descr="Gree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 cy="154305"/>
                              </a:xfrm>
                              <a:prstGeom prst="rect">
                                <a:avLst/>
                              </a:prstGeom>
                              <a:solidFill>
                                <a:srgbClr val="7DBE28"/>
                              </a:solidFill>
                              <a:ln>
                                <a:noFill/>
                              </a:ln>
                              <a:effectLst/>
                              <a:extLst/>
                            </wps:spPr>
                            <wps:bodyPr rot="0" vert="horz" wrap="square" lIns="91440" tIns="45720" rIns="91440" bIns="45720" anchor="t" anchorCtr="0" upright="1">
                              <a:noAutofit/>
                            </wps:bodyPr>
                          </wps:wsp>
                        </a:graphicData>
                      </a:graphic>
                    </wp:inline>
                  </w:drawing>
                </mc:Choice>
                <mc:Fallback>
                  <w:pict>
                    <v:rect id="Rectangle 4" o:spid="_x0000_s1026" alt="Green" style="width:12.1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" fillcolor="#7dbe28" stroked="f">
                      <w10:anchorlock/>
                    </v:rect>
                  </w:pict>
                </mc:Fallback>
              </mc:AlternateContent>
            </w:r>
          </w:p>
        </w:tc>
        <w:tc>
          <w:tcPr>
            <w:tcW w:w="2715" w:type="dxa"/>
            <w:shd w:val="clear" w:color="auto" w:fill="auto"/>
            <w:tcMar>
              <w:top w:w="0" w:type="dxa"/>
              <w:left w:w="57" w:type="dxa"/>
              <w:bottom w:w="0" w:type="dxa"/>
              <w:right w:w="57" w:type="dxa"/>
            </w:tcMar>
          </w:tcPr>
          <w:p w:rsidR="009D55F8" w:rsidRPr="00816F6A" w:rsidRDefault="009D55F8" w:rsidP="006A0BAD">
            <w:pPr>
              <w:pStyle w:val="TableTextEntries"/>
              <w:shd w:val="clear" w:color="auto" w:fill="FFFFFF"/>
              <w:rPr>
                <w:rFonts w:cs="Tahoma"/>
              </w:rPr>
            </w:pPr>
            <w:r w:rsidRPr="00816F6A">
              <w:rPr>
                <w:rFonts w:cs="Tahoma"/>
              </w:rPr>
              <w:t xml:space="preserve">Significant achievements have been made with the </w:t>
            </w:r>
            <w:r w:rsidR="00A85F7E">
              <w:t>MoF</w:t>
            </w:r>
            <w:r w:rsidR="00A85F7E" w:rsidRPr="00816F6A">
              <w:rPr>
                <w:rFonts w:cs="Tahoma"/>
              </w:rPr>
              <w:t xml:space="preserve"> </w:t>
            </w:r>
            <w:r w:rsidRPr="00816F6A">
              <w:rPr>
                <w:rFonts w:cs="Tahoma"/>
              </w:rPr>
              <w:t>to articulate a roadmap for moving toward greater use of country systems, linked to the MoF</w:t>
            </w:r>
            <w:r w:rsidR="00B92D61">
              <w:rPr>
                <w:rFonts w:cs="Tahoma"/>
              </w:rPr>
              <w:t>’s</w:t>
            </w:r>
            <w:r w:rsidRPr="00816F6A">
              <w:rPr>
                <w:rFonts w:cs="Tahoma"/>
              </w:rPr>
              <w:t xml:space="preserve"> </w:t>
            </w:r>
            <w:r w:rsidR="00835053">
              <w:rPr>
                <w:rFonts w:cs="Tahoma"/>
              </w:rPr>
              <w:t>s</w:t>
            </w:r>
            <w:r w:rsidRPr="00816F6A">
              <w:rPr>
                <w:rFonts w:cs="Tahoma"/>
              </w:rPr>
              <w:t xml:space="preserve">trategic </w:t>
            </w:r>
            <w:r w:rsidR="00835053">
              <w:rPr>
                <w:rFonts w:cs="Tahoma"/>
              </w:rPr>
              <w:t>p</w:t>
            </w:r>
            <w:r w:rsidRPr="00816F6A">
              <w:rPr>
                <w:rFonts w:cs="Tahoma"/>
              </w:rPr>
              <w:t xml:space="preserve">lan. Discussions around initiative evaluations, the early stages of designs, and PFM analyses also allowed us to signal our commitment to alignment. 2011 will be an opportunity to put </w:t>
            </w:r>
            <w:r w:rsidR="00B92D61">
              <w:rPr>
                <w:rFonts w:cs="Tahoma"/>
              </w:rPr>
              <w:t>this</w:t>
            </w:r>
            <w:r w:rsidR="00B92D61" w:rsidRPr="00816F6A">
              <w:rPr>
                <w:rFonts w:cs="Tahoma"/>
              </w:rPr>
              <w:t xml:space="preserve"> </w:t>
            </w:r>
            <w:r w:rsidRPr="00816F6A">
              <w:rPr>
                <w:rFonts w:cs="Tahoma"/>
              </w:rPr>
              <w:t>into action, drawing on AusAID’s corporate guidance on working in partner systems.</w:t>
            </w:r>
          </w:p>
        </w:tc>
      </w:tr>
      <w:tr w:rsidR="009D55F8" w:rsidTr="001E163C">
        <w:trPr>
          <w:cantSplit/>
          <w:trHeight w:val="1060"/>
        </w:trPr>
        <w:tc>
          <w:tcPr>
            <w:tcW w:w="4500" w:type="dxa"/>
            <w:shd w:val="clear" w:color="auto" w:fill="auto"/>
            <w:tcMar>
              <w:top w:w="0" w:type="dxa"/>
              <w:left w:w="57" w:type="dxa"/>
              <w:bottom w:w="0" w:type="dxa"/>
              <w:right w:w="57" w:type="dxa"/>
            </w:tcMar>
          </w:tcPr>
          <w:p w:rsidR="00B12BCB" w:rsidRDefault="009D55F8" w:rsidP="006A0BAD">
            <w:pPr>
              <w:pStyle w:val="TableTextEntries"/>
              <w:shd w:val="clear" w:color="auto" w:fill="FFFFFF"/>
              <w:rPr>
                <w:rFonts w:cs="Tahoma"/>
                <w:b/>
              </w:rPr>
            </w:pPr>
            <w:r w:rsidRPr="00816F6A">
              <w:rPr>
                <w:rFonts w:cs="Tahoma"/>
                <w:b/>
              </w:rPr>
              <w:t xml:space="preserve">Reduce the use of </w:t>
            </w:r>
            <w:r w:rsidR="004B7312">
              <w:rPr>
                <w:rFonts w:cs="Tahoma"/>
                <w:b/>
              </w:rPr>
              <w:t>technical assistance</w:t>
            </w:r>
          </w:p>
          <w:p w:rsidR="009D55F8" w:rsidRPr="00816F6A" w:rsidRDefault="009D55F8" w:rsidP="006A0BAD">
            <w:pPr>
              <w:pStyle w:val="TableTextEntries"/>
              <w:shd w:val="clear" w:color="auto" w:fill="FFFFFF"/>
              <w:rPr>
                <w:rFonts w:cs="Tahoma"/>
              </w:rPr>
            </w:pPr>
            <w:r w:rsidRPr="00816F6A">
              <w:rPr>
                <w:rFonts w:cs="Tahoma"/>
              </w:rPr>
              <w:t xml:space="preserve">We will continue to reduce the numbers of </w:t>
            </w:r>
            <w:r w:rsidR="004B7312">
              <w:rPr>
                <w:rFonts w:cs="Tahoma"/>
              </w:rPr>
              <w:t xml:space="preserve">technical </w:t>
            </w:r>
            <w:r w:rsidR="00B92D61">
              <w:rPr>
                <w:rFonts w:cs="Tahoma"/>
              </w:rPr>
              <w:t>advisers</w:t>
            </w:r>
            <w:r w:rsidRPr="00816F6A">
              <w:rPr>
                <w:rFonts w:cs="Tahoma"/>
              </w:rPr>
              <w:t>, and pursue a more innovative approach to capacity development.</w:t>
            </w:r>
          </w:p>
        </w:tc>
        <w:tc>
          <w:tcPr>
            <w:tcW w:w="900" w:type="dxa"/>
            <w:shd w:val="clear" w:color="auto" w:fill="auto"/>
            <w:vAlign w:val="center"/>
          </w:tcPr>
          <w:p w:rsidR="009D55F8" w:rsidRPr="00816F6A" w:rsidRDefault="00814225" w:rsidP="006A0BAD">
            <w:pPr>
              <w:pStyle w:val="TableDataEntries"/>
              <w:shd w:val="clear" w:color="auto" w:fill="FFFFFF"/>
              <w:jc w:val="center"/>
              <w:rPr>
                <w:rFonts w:cs="Tahoma"/>
              </w:rPr>
            </w:pPr>
            <w:r>
              <w:rPr>
                <w:noProof/>
                <w:lang w:val="en-US"/>
              </w:rPr>
              <mc:AlternateContent>
                <mc:Choice Requires="wps">
                  <w:drawing>
                    <wp:inline distT="0" distB="0" distL="0" distR="0" wp14:anchorId="57C1BA0B" wp14:editId="3E0B11D6">
                      <wp:extent cx="153670" cy="153670"/>
                      <wp:effectExtent l="0" t="0" r="0" b="0"/>
                      <wp:docPr id="1193" name="Rectangle 15" descr="Yellow"/>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670" cy="153670"/>
                              </a:xfrm>
                              <a:prstGeom prst="rect">
                                <a:avLst/>
                              </a:prstGeom>
                              <a:solidFill>
                                <a:srgbClr val="FFC000"/>
                              </a:solidFill>
                              <a:ln>
                                <a:noFill/>
                              </a:ln>
                              <a:extLst/>
                            </wps:spPr>
                            <wps:bodyPr rot="0" vert="horz" wrap="square" lIns="91440" tIns="45720" rIns="91440" bIns="45720" anchor="t" anchorCtr="0" upright="1">
                              <a:noAutofit/>
                            </wps:bodyPr>
                          </wps:wsp>
                        </a:graphicData>
                      </a:graphic>
                    </wp:inline>
                  </w:drawing>
                </mc:Choice>
                <mc:Fallback>
                  <w:pict>
                    <v:rect id="Rectangle 15" o:spid="_x0000_s1026" alt="Yellow" style="width:12.1pt;height:1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" fillcolor="#ffc000" stroked="f">
                      <w10:anchorlock/>
                    </v:rect>
                  </w:pict>
                </mc:Fallback>
              </mc:AlternateContent>
            </w:r>
          </w:p>
        </w:tc>
        <w:tc>
          <w:tcPr>
            <w:tcW w:w="2715" w:type="dxa"/>
            <w:shd w:val="clear" w:color="auto" w:fill="auto"/>
            <w:tcMar>
              <w:top w:w="0" w:type="dxa"/>
              <w:left w:w="57" w:type="dxa"/>
              <w:bottom w:w="0" w:type="dxa"/>
              <w:right w:w="57" w:type="dxa"/>
            </w:tcMar>
          </w:tcPr>
          <w:p w:rsidR="009D55F8" w:rsidRPr="00816F6A" w:rsidRDefault="009D55F8" w:rsidP="006A0BAD">
            <w:pPr>
              <w:pStyle w:val="TableTextEntries"/>
              <w:shd w:val="clear" w:color="auto" w:fill="FFFFFF"/>
              <w:rPr>
                <w:rFonts w:cs="Tahoma"/>
              </w:rPr>
            </w:pPr>
            <w:r w:rsidRPr="00816F6A">
              <w:rPr>
                <w:rFonts w:cs="Tahoma"/>
              </w:rPr>
              <w:t>We are on track to meet</w:t>
            </w:r>
            <w:r w:rsidR="00B92D61">
              <w:rPr>
                <w:rFonts w:cs="Tahoma"/>
              </w:rPr>
              <w:t xml:space="preserve"> the</w:t>
            </w:r>
            <w:r w:rsidRPr="00816F6A">
              <w:rPr>
                <w:rFonts w:cs="Tahoma"/>
              </w:rPr>
              <w:t xml:space="preserve"> targets for reduced </w:t>
            </w:r>
            <w:r w:rsidR="00A85F7E" w:rsidRPr="005F7914">
              <w:t xml:space="preserve">technical assistance </w:t>
            </w:r>
            <w:r w:rsidRPr="00816F6A">
              <w:rPr>
                <w:rFonts w:cs="Tahoma"/>
              </w:rPr>
              <w:t>agreed</w:t>
            </w:r>
            <w:r w:rsidR="00B92D61">
              <w:rPr>
                <w:rFonts w:cs="Tahoma"/>
              </w:rPr>
              <w:t xml:space="preserve"> to</w:t>
            </w:r>
            <w:r w:rsidRPr="00816F6A">
              <w:rPr>
                <w:rFonts w:cs="Tahoma"/>
              </w:rPr>
              <w:t xml:space="preserve"> </w:t>
            </w:r>
            <w:r w:rsidRPr="004B7312">
              <w:rPr>
                <w:rFonts w:cs="Tahoma"/>
              </w:rPr>
              <w:t xml:space="preserve">by </w:t>
            </w:r>
            <w:r w:rsidR="00B92D61">
              <w:rPr>
                <w:rFonts w:cs="Tahoma"/>
              </w:rPr>
              <w:t>both g</w:t>
            </w:r>
            <w:r w:rsidR="004B7312" w:rsidRPr="004B7312">
              <w:rPr>
                <w:rFonts w:cs="Tahoma"/>
              </w:rPr>
              <w:t>overnment</w:t>
            </w:r>
            <w:r w:rsidR="00B92D61">
              <w:rPr>
                <w:rFonts w:cs="Tahoma"/>
              </w:rPr>
              <w:t>s</w:t>
            </w:r>
            <w:r w:rsidR="004B7312" w:rsidRPr="004B7312">
              <w:rPr>
                <w:rFonts w:cs="Tahoma"/>
              </w:rPr>
              <w:t xml:space="preserve"> </w:t>
            </w:r>
            <w:r w:rsidRPr="00816F6A">
              <w:rPr>
                <w:rFonts w:cs="Tahoma"/>
              </w:rPr>
              <w:t>, but further discipline will be required in 2011. Ground</w:t>
            </w:r>
            <w:r w:rsidR="00B92D61">
              <w:rPr>
                <w:rFonts w:cs="Tahoma"/>
              </w:rPr>
              <w:t>-</w:t>
            </w:r>
            <w:r w:rsidRPr="00816F6A">
              <w:rPr>
                <w:rFonts w:cs="Tahoma"/>
              </w:rPr>
              <w:t xml:space="preserve">breaking discussions with </w:t>
            </w:r>
            <w:r w:rsidR="00B92D61">
              <w:rPr>
                <w:rFonts w:cs="Tahoma"/>
              </w:rPr>
              <w:t xml:space="preserve">the </w:t>
            </w:r>
            <w:r w:rsidRPr="00816F6A">
              <w:rPr>
                <w:rFonts w:cs="Tahoma"/>
              </w:rPr>
              <w:t>MoF in 2010 laid the foundation for develop</w:t>
            </w:r>
            <w:r w:rsidR="00B92D61">
              <w:rPr>
                <w:rFonts w:cs="Tahoma"/>
              </w:rPr>
              <w:t>ing</w:t>
            </w:r>
            <w:r w:rsidRPr="00816F6A">
              <w:rPr>
                <w:rFonts w:cs="Tahoma"/>
              </w:rPr>
              <w:t xml:space="preserve"> an innovative and tailored GoTL </w:t>
            </w:r>
            <w:r w:rsidR="00A85F7E" w:rsidRPr="005F7914">
              <w:t xml:space="preserve">technical assistance </w:t>
            </w:r>
            <w:r w:rsidR="00B92D61">
              <w:t>p</w:t>
            </w:r>
            <w:r w:rsidRPr="00816F6A">
              <w:rPr>
                <w:rFonts w:cs="Tahoma"/>
              </w:rPr>
              <w:t xml:space="preserve">olicy. It will be critical </w:t>
            </w:r>
            <w:r w:rsidR="00B92D61">
              <w:rPr>
                <w:rFonts w:cs="Tahoma"/>
              </w:rPr>
              <w:t xml:space="preserve">to </w:t>
            </w:r>
            <w:r w:rsidRPr="00816F6A">
              <w:rPr>
                <w:rFonts w:cs="Tahoma"/>
              </w:rPr>
              <w:t>apply this to 2011 designs.</w:t>
            </w:r>
          </w:p>
        </w:tc>
      </w:tr>
    </w:tbl>
    <w:p w:rsidR="004C7DD7" w:rsidRDefault="004C7DD7" w:rsidP="006A0BAD">
      <w:pPr>
        <w:pStyle w:val="BodyText"/>
        <w:shd w:val="clear" w:color="auto" w:fill="FFFFFF"/>
        <w:spacing w:before="0" w:after="0"/>
      </w:pPr>
    </w:p>
    <w:p w:rsidR="00975FE2" w:rsidRPr="00DA6D12" w:rsidRDefault="00975FE2" w:rsidP="001E163C">
      <w:pPr>
        <w:pStyle w:val="H1"/>
      </w:pPr>
      <w:bookmarkStart w:id="61" w:name="_Toc360973053"/>
      <w:r w:rsidRPr="00DA6D12">
        <w:t>Management consequences</w:t>
      </w:r>
      <w:bookmarkEnd w:id="61"/>
    </w:p>
    <w:p w:rsidR="00975FE2" w:rsidRDefault="00975FE2" w:rsidP="00975FE2">
      <w:pPr>
        <w:pStyle w:val="Heading2"/>
        <w:keepNext/>
        <w:tabs>
          <w:tab w:val="left" w:pos="1920"/>
        </w:tabs>
        <w:spacing w:before="0" w:after="120" w:line="320" w:lineRule="atLeast"/>
        <w:ind w:left="0"/>
      </w:pPr>
      <w:bookmarkStart w:id="62" w:name="_Toc360973054"/>
      <w:r>
        <w:t>Program</w:t>
      </w:r>
      <w:r w:rsidR="00B92D61">
        <w:t>-</w:t>
      </w:r>
      <w:r>
        <w:t>wide</w:t>
      </w:r>
      <w:bookmarkEnd w:id="62"/>
    </w:p>
    <w:p w:rsidR="00975FE2" w:rsidRPr="005F7914" w:rsidRDefault="00975FE2" w:rsidP="00975FE2">
      <w:pPr>
        <w:pStyle w:val="BodyText"/>
      </w:pPr>
      <w:r w:rsidRPr="005F7914">
        <w:t>Australia follow</w:t>
      </w:r>
      <w:r w:rsidR="00B92D61">
        <w:t>ed</w:t>
      </w:r>
      <w:r w:rsidRPr="005F7914">
        <w:t xml:space="preserve"> up on constructive </w:t>
      </w:r>
      <w:r w:rsidR="00B92D61">
        <w:t>discussion</w:t>
      </w:r>
      <w:r w:rsidR="00B92D61" w:rsidRPr="005F7914">
        <w:t xml:space="preserve"> </w:t>
      </w:r>
      <w:r w:rsidRPr="005F7914">
        <w:t xml:space="preserve">with Prime Minister Gusmao in late 2010 and </w:t>
      </w:r>
      <w:r w:rsidR="00B92D61">
        <w:t xml:space="preserve">will continue to do so in </w:t>
      </w:r>
      <w:r w:rsidRPr="005F7914">
        <w:t>early 2011</w:t>
      </w:r>
      <w:r w:rsidR="00B92D61">
        <w:t>. This</w:t>
      </w:r>
      <w:r w:rsidRPr="005F7914">
        <w:t xml:space="preserve"> mark</w:t>
      </w:r>
      <w:r w:rsidR="00B92D61">
        <w:t>s</w:t>
      </w:r>
      <w:r w:rsidRPr="005F7914">
        <w:t xml:space="preserve"> a </w:t>
      </w:r>
      <w:r w:rsidR="00B92D61">
        <w:t>positive</w:t>
      </w:r>
      <w:r w:rsidR="00B92D61" w:rsidRPr="005F7914">
        <w:t xml:space="preserve"> </w:t>
      </w:r>
      <w:r w:rsidRPr="005F7914">
        <w:t>shift towards re-setting the aid relationship between the two countries</w:t>
      </w:r>
      <w:r w:rsidR="00BD0B39">
        <w:t xml:space="preserve">. </w:t>
      </w:r>
      <w:r w:rsidRPr="005F7914">
        <w:t xml:space="preserve">A high-level partnership and will be established </w:t>
      </w:r>
      <w:r w:rsidR="00B92D61">
        <w:t>and regular discussion held on</w:t>
      </w:r>
      <w:r w:rsidRPr="005F7914">
        <w:t xml:space="preserve"> polic</w:t>
      </w:r>
      <w:r w:rsidR="00B92D61">
        <w:t>ies</w:t>
      </w:r>
      <w:r w:rsidRPr="005F7914">
        <w:t xml:space="preserve"> and programs in light of the </w:t>
      </w:r>
      <w:r w:rsidR="00B92D61">
        <w:t xml:space="preserve">GoTL’s </w:t>
      </w:r>
      <w:r w:rsidRPr="005F7914">
        <w:t>forthcoming SDP</w:t>
      </w:r>
      <w:r w:rsidR="00BD0B39">
        <w:t xml:space="preserve">. </w:t>
      </w:r>
      <w:r w:rsidRPr="005F7914">
        <w:t>To be a</w:t>
      </w:r>
      <w:r w:rsidR="00B92D61">
        <w:t>n effective</w:t>
      </w:r>
      <w:r w:rsidRPr="005F7914">
        <w:t xml:space="preserve"> partner, Australia must demonstrate credibility and flexibility in aligning </w:t>
      </w:r>
      <w:r w:rsidR="00B92D61">
        <w:t>its work with</w:t>
      </w:r>
      <w:r w:rsidR="00B92D61" w:rsidRPr="005F7914">
        <w:t xml:space="preserve"> </w:t>
      </w:r>
      <w:r w:rsidRPr="005F7914">
        <w:t>this plan.</w:t>
      </w:r>
    </w:p>
    <w:p w:rsidR="00975FE2" w:rsidRPr="005F7914" w:rsidRDefault="00975FE2" w:rsidP="00975FE2">
      <w:pPr>
        <w:pStyle w:val="BodyText"/>
      </w:pPr>
      <w:r w:rsidRPr="005F7914">
        <w:t>The program expects to deliver six major designs in 2011, covering almost all priority areas of Australia’s support, including health, education</w:t>
      </w:r>
      <w:r w:rsidR="00B92D61">
        <w:t>,</w:t>
      </w:r>
      <w:r w:rsidRPr="005F7914">
        <w:t xml:space="preserve"> and water and sanitation. This presents a major opportunity to shift how Australia works and ensure all interventions are in partnership with the </w:t>
      </w:r>
      <w:r w:rsidR="00B92D61">
        <w:t>GoTL and designed</w:t>
      </w:r>
      <w:r w:rsidR="00B92D61" w:rsidRPr="005F7914">
        <w:t xml:space="preserve"> </w:t>
      </w:r>
      <w:r w:rsidRPr="005F7914">
        <w:t>to achieve real results. All designs will be informed by strong analysis and contain clear program logic</w:t>
      </w:r>
      <w:r w:rsidR="00BD0B39">
        <w:t xml:space="preserve">. </w:t>
      </w:r>
      <w:r w:rsidRPr="005F7914">
        <w:t>This major endeavour will require dedicat</w:t>
      </w:r>
      <w:r w:rsidR="00B92D61">
        <w:t>ed</w:t>
      </w:r>
      <w:r w:rsidRPr="005F7914">
        <w:t xml:space="preserve"> staff resources </w:t>
      </w:r>
      <w:r w:rsidR="00B92D61">
        <w:t>for</w:t>
      </w:r>
      <w:r w:rsidR="00B92D61" w:rsidRPr="005F7914">
        <w:t xml:space="preserve"> </w:t>
      </w:r>
      <w:r w:rsidRPr="005F7914">
        <w:t>design work</w:t>
      </w:r>
      <w:r w:rsidR="005756E1">
        <w:t>—</w:t>
      </w:r>
      <w:r w:rsidRPr="005F7914">
        <w:t>including</w:t>
      </w:r>
      <w:r w:rsidR="00B92D61">
        <w:t xml:space="preserve"> the</w:t>
      </w:r>
      <w:r w:rsidRPr="005F7914">
        <w:t xml:space="preserve"> creative use of staff across </w:t>
      </w:r>
      <w:r w:rsidR="0017211F">
        <w:t xml:space="preserve">Canberra and Dili </w:t>
      </w:r>
      <w:r w:rsidRPr="005F7914">
        <w:t>and additional management and advisory resources.</w:t>
      </w:r>
    </w:p>
    <w:p w:rsidR="00975FE2" w:rsidRPr="00FE0423" w:rsidRDefault="00975FE2" w:rsidP="00FE0423">
      <w:pPr>
        <w:pStyle w:val="BodyText"/>
        <w:rPr>
          <w:rFonts w:ascii="Arial" w:hAnsi="Arial" w:cs="Arial"/>
          <w:color w:val="000080"/>
          <w:sz w:val="20"/>
          <w:szCs w:val="20"/>
        </w:rPr>
      </w:pPr>
      <w:r w:rsidRPr="005F7914">
        <w:t>Despite efforts to reform</w:t>
      </w:r>
      <w:r w:rsidR="00B92D61">
        <w:t>,</w:t>
      </w:r>
      <w:r w:rsidRPr="005F7914">
        <w:t xml:space="preserve"> the program is still fragmented</w:t>
      </w:r>
      <w:r w:rsidR="00BD0B39">
        <w:t xml:space="preserve">. </w:t>
      </w:r>
      <w:r w:rsidRPr="005F7914">
        <w:t>Australia must ramp up efforts to improve the manageability of the program and ensure a deeper level of engagement across fewer sectors</w:t>
      </w:r>
      <w:r w:rsidR="00BD0B39">
        <w:t xml:space="preserve">. </w:t>
      </w:r>
      <w:r w:rsidRPr="005F7914">
        <w:t xml:space="preserve">The number of initiatives under </w:t>
      </w:r>
      <w:r w:rsidR="005756E1">
        <w:t>$</w:t>
      </w:r>
      <w:r w:rsidRPr="005F7914">
        <w:t>3 million in value will</w:t>
      </w:r>
      <w:r w:rsidR="00B92D61">
        <w:t xml:space="preserve"> therefore</w:t>
      </w:r>
      <w:r w:rsidRPr="005F7914">
        <w:t xml:space="preserve"> be halved in 2011</w:t>
      </w:r>
      <w:r w:rsidR="00BD0B39">
        <w:t xml:space="preserve">. </w:t>
      </w:r>
      <w:r>
        <w:t xml:space="preserve">A high priority will be accorded to </w:t>
      </w:r>
      <w:r w:rsidRPr="0090484B">
        <w:t>strengthen</w:t>
      </w:r>
      <w:r>
        <w:t>ing</w:t>
      </w:r>
      <w:r w:rsidRPr="0090484B">
        <w:t xml:space="preserve"> the </w:t>
      </w:r>
      <w:r>
        <w:t>program’s corporate backbone</w:t>
      </w:r>
      <w:r w:rsidRPr="0090484B">
        <w:t xml:space="preserve"> </w:t>
      </w:r>
      <w:r>
        <w:t xml:space="preserve">in line with </w:t>
      </w:r>
      <w:r w:rsidR="0017211F">
        <w:t xml:space="preserve">AusAID’s </w:t>
      </w:r>
      <w:r w:rsidRPr="0090484B">
        <w:t>corporate reform agenda</w:t>
      </w:r>
      <w:r>
        <w:rPr>
          <w:rFonts w:ascii="Arial" w:hAnsi="Arial" w:cs="Arial"/>
          <w:color w:val="000080"/>
          <w:sz w:val="20"/>
          <w:szCs w:val="20"/>
        </w:rPr>
        <w:t>.</w:t>
      </w:r>
    </w:p>
    <w:sectPr w:rsidR="00975FE2" w:rsidRPr="00FE0423" w:rsidSect="00E77D0C">
      <w:headerReference w:type="even" r:id="rId15"/>
      <w:footerReference w:type="even" r:id="rId16"/>
      <w:footerReference w:type="default" r:id="rId17"/>
      <w:footerReference w:type="first" r:id="rId18"/>
      <w:pgSz w:w="11907" w:h="16840" w:code="9"/>
      <w:pgMar w:top="2381" w:right="2155" w:bottom="851" w:left="1814" w:header="851" w:footer="34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714A" w:rsidRDefault="00B4714A">
      <w:r>
        <w:separator/>
      </w:r>
    </w:p>
    <w:p w:rsidR="00B4714A" w:rsidRDefault="00B4714A"/>
  </w:endnote>
  <w:endnote w:type="continuationSeparator" w:id="0">
    <w:p w:rsidR="00B4714A" w:rsidRDefault="00B4714A">
      <w:r>
        <w:continuationSeparator/>
      </w:r>
    </w:p>
    <w:p w:rsidR="00B4714A" w:rsidRDefault="00B471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Franklin Gothic Book">
    <w:altName w:val="Franklin Gothic Medium"/>
    <w:charset w:val="00"/>
    <w:family w:val="swiss"/>
    <w:pitch w:val="variable"/>
    <w:sig w:usb0="00000001"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Franklin Gothic Demi">
    <w:altName w:val="Franklin Gothic Medium"/>
    <w:charset w:val="00"/>
    <w:family w:val="swiss"/>
    <w:pitch w:val="variable"/>
    <w:sig w:usb0="00000001"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Arial Bold">
    <w:panose1 w:val="020B070402020202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mall Fonts">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53D9" w:rsidRPr="00AD612A" w:rsidRDefault="008153D9">
    <w:pPr>
      <w:pStyle w:val="Footer"/>
    </w:pPr>
    <w:r>
      <w:rPr>
        <w:noProof/>
        <w:color w:val="54534A"/>
        <w:lang w:val="en-US" w:eastAsia="en-US"/>
      </w:rPr>
      <w:drawing>
        <wp:anchor distT="0" distB="0" distL="114300" distR="114300" simplePos="0" relativeHeight="251656704" behindDoc="1" locked="0" layoutInCell="0" allowOverlap="1">
          <wp:simplePos x="0" y="0"/>
          <wp:positionH relativeFrom="page">
            <wp:posOffset>0</wp:posOffset>
          </wp:positionH>
          <wp:positionV relativeFrom="page">
            <wp:posOffset>8821420</wp:posOffset>
          </wp:positionV>
          <wp:extent cx="396240" cy="1508125"/>
          <wp:effectExtent l="0" t="0" r="3810" b="0"/>
          <wp:wrapNone/>
          <wp:docPr id="256" name="Picture 256" descr="AusAID_MDG_2_factsheet_ww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descr="AusAID_MDG_2_factsheet_ww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6240" cy="1508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C1ECE">
      <w:tab/>
    </w:r>
    <w:r>
      <w:tab/>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53D9" w:rsidRPr="004A4B6B" w:rsidRDefault="008153D9" w:rsidP="001260C2">
    <w:pPr>
      <w:pStyle w:val="Footer"/>
    </w:pPr>
    <w:r>
      <w:rPr>
        <w:noProof/>
        <w:lang w:val="en-US" w:eastAsia="en-US"/>
      </w:rPr>
      <w:drawing>
        <wp:anchor distT="0" distB="0" distL="114300" distR="114300" simplePos="0" relativeHeight="251658752" behindDoc="1" locked="0" layoutInCell="1" allowOverlap="1">
          <wp:simplePos x="0" y="0"/>
          <wp:positionH relativeFrom="page">
            <wp:posOffset>0</wp:posOffset>
          </wp:positionH>
          <wp:positionV relativeFrom="page">
            <wp:posOffset>0</wp:posOffset>
          </wp:positionV>
          <wp:extent cx="7560310" cy="10694035"/>
          <wp:effectExtent l="0" t="0" r="2540" b="0"/>
          <wp:wrapNone/>
          <wp:docPr id="274" name="Picture 274" descr="AusAID_facsheet_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descr="AusAID_facsheet_D2"/>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7560310" cy="10694035"/>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fldChar w:fldCharType="begin"/>
    </w:r>
    <w:r>
      <w:instrText xml:space="preserve"> STYLEREF  Title </w:instrText>
    </w:r>
    <w:r>
      <w:fldChar w:fldCharType="separate"/>
    </w:r>
    <w:r w:rsidR="001E163C">
      <w:rPr>
        <w:noProof/>
      </w:rPr>
      <w:t>Timor-Leste Development Cooperation Report 2010</w:t>
    </w:r>
    <w:r>
      <w:fldChar w:fldCharType="end"/>
    </w:r>
    <w:r>
      <w:rPr>
        <w:rStyle w:val="PageNumber"/>
      </w:rPr>
      <w:tab/>
    </w:r>
    <w:r>
      <w:rPr>
        <w:rStyle w:val="PageNumber"/>
      </w:rPr>
      <w:tab/>
    </w:r>
    <w:r w:rsidRPr="004A26C9">
      <w:rPr>
        <w:rStyle w:val="PageNumber"/>
      </w:rPr>
      <w:fldChar w:fldCharType="begin"/>
    </w:r>
    <w:r w:rsidRPr="004A26C9">
      <w:rPr>
        <w:rStyle w:val="PageNumber"/>
      </w:rPr>
      <w:instrText xml:space="preserve"> PAGE </w:instrText>
    </w:r>
    <w:r w:rsidRPr="004A26C9">
      <w:rPr>
        <w:rStyle w:val="PageNumber"/>
      </w:rPr>
      <w:fldChar w:fldCharType="separate"/>
    </w:r>
    <w:r w:rsidR="001E163C">
      <w:rPr>
        <w:rStyle w:val="PageNumber"/>
        <w:noProof/>
      </w:rPr>
      <w:t>36</w:t>
    </w:r>
    <w:r w:rsidRPr="004A26C9">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53D9" w:rsidRDefault="008153D9">
    <w:pPr>
      <w:pStyle w:val="Footer"/>
    </w:pPr>
    <w:r>
      <w:tab/>
    </w:r>
    <w:r>
      <w:tab/>
    </w:r>
    <w:r>
      <w:tab/>
    </w:r>
    <w:r>
      <w:rPr>
        <w:rStyle w:val="PageNumber"/>
      </w:rPr>
      <w:fldChar w:fldCharType="begin"/>
    </w:r>
    <w:r>
      <w:rPr>
        <w:rStyle w:val="PageNumber"/>
      </w:rPr>
      <w:instrText xml:space="preserve"> PAGE </w:instrText>
    </w:r>
    <w:r>
      <w:rPr>
        <w:rStyle w:val="PageNumber"/>
      </w:rPr>
      <w:fldChar w:fldCharType="separate"/>
    </w:r>
    <w:r w:rsidR="001E163C">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714A" w:rsidRDefault="00B4714A" w:rsidP="00D62AA4">
      <w:pPr>
        <w:spacing w:before="60" w:after="40" w:line="180" w:lineRule="exact"/>
      </w:pPr>
      <w:r>
        <w:continuationSeparator/>
      </w:r>
    </w:p>
  </w:footnote>
  <w:footnote w:type="continuationSeparator" w:id="0">
    <w:p w:rsidR="00B4714A" w:rsidRDefault="00B4714A">
      <w:r>
        <w:continuationSeparator/>
      </w:r>
    </w:p>
    <w:p w:rsidR="00B4714A" w:rsidRDefault="00B4714A"/>
  </w:footnote>
  <w:footnote w:type="continuationNotice" w:id="1">
    <w:p w:rsidR="00B4714A" w:rsidRDefault="00B4714A"/>
    <w:p w:rsidR="00B4714A" w:rsidRDefault="00B4714A"/>
  </w:footnote>
  <w:footnote w:id="2">
    <w:p w:rsidR="008153D9" w:rsidRPr="008A585C" w:rsidRDefault="008153D9" w:rsidP="009D55F8">
      <w:pPr>
        <w:pStyle w:val="FootnoteText"/>
      </w:pPr>
      <w:r w:rsidRPr="008A585C">
        <w:rPr>
          <w:rStyle w:val="FootnoteReference"/>
          <w:sz w:val="14"/>
          <w:szCs w:val="14"/>
        </w:rPr>
        <w:footnoteRef/>
      </w:r>
      <w:r w:rsidRPr="008A585C">
        <w:t xml:space="preserve"> Democratic Republic of Timor-Leste, State Budget 2011, Budget Book 1</w:t>
      </w:r>
      <w:r>
        <w:t>.</w:t>
      </w:r>
    </w:p>
  </w:footnote>
  <w:footnote w:id="3">
    <w:p w:rsidR="008153D9" w:rsidRPr="008A585C" w:rsidRDefault="008153D9" w:rsidP="009D55F8">
      <w:pPr>
        <w:pStyle w:val="FootnoteText"/>
      </w:pPr>
      <w:r w:rsidRPr="008A585C">
        <w:rPr>
          <w:rStyle w:val="FootnoteReference"/>
          <w:sz w:val="14"/>
          <w:szCs w:val="14"/>
        </w:rPr>
        <w:footnoteRef/>
      </w:r>
      <w:r w:rsidRPr="008A585C">
        <w:t xml:space="preserve"> AusAID estimates based on Democratic Republic of Timor-Leste, Budget Execution Reports</w:t>
      </w:r>
      <w:r>
        <w:t>.</w:t>
      </w:r>
    </w:p>
  </w:footnote>
  <w:footnote w:id="4">
    <w:p w:rsidR="008153D9" w:rsidRPr="008A585C" w:rsidRDefault="008153D9" w:rsidP="009D55F8">
      <w:pPr>
        <w:pStyle w:val="Default"/>
        <w:rPr>
          <w:rFonts w:ascii="Franklin Gothic Book" w:hAnsi="Franklin Gothic Book"/>
          <w:sz w:val="14"/>
          <w:szCs w:val="14"/>
        </w:rPr>
      </w:pPr>
      <w:r w:rsidRPr="008A585C">
        <w:rPr>
          <w:rFonts w:ascii="Franklin Gothic Book" w:hAnsi="Franklin Gothic Book" w:cs="Times New Roman"/>
          <w:color w:val="auto"/>
          <w:sz w:val="14"/>
          <w:szCs w:val="14"/>
        </w:rPr>
        <w:footnoteRef/>
      </w:r>
      <w:r w:rsidRPr="008A585C">
        <w:rPr>
          <w:rFonts w:ascii="Franklin Gothic Book" w:hAnsi="Franklin Gothic Book" w:cs="Times New Roman"/>
          <w:color w:val="auto"/>
          <w:sz w:val="14"/>
          <w:szCs w:val="14"/>
        </w:rPr>
        <w:t xml:space="preserve"> </w:t>
      </w:r>
      <w:r w:rsidRPr="006F35D5">
        <w:rPr>
          <w:rFonts w:ascii="Franklin Gothic Book" w:hAnsi="Franklin Gothic Book" w:cs="Times New Roman"/>
          <w:color w:val="auto"/>
          <w:sz w:val="14"/>
          <w:szCs w:val="14"/>
        </w:rPr>
        <w:t>World Bank</w:t>
      </w:r>
      <w:r w:rsidRPr="008A585C">
        <w:rPr>
          <w:rFonts w:ascii="Franklin Gothic Book" w:hAnsi="Franklin Gothic Book" w:cs="Times New Roman"/>
          <w:color w:val="auto"/>
          <w:sz w:val="14"/>
          <w:szCs w:val="14"/>
        </w:rPr>
        <w:t xml:space="preserve">, A </w:t>
      </w:r>
      <w:r>
        <w:rPr>
          <w:rFonts w:ascii="Franklin Gothic Book" w:hAnsi="Franklin Gothic Book" w:cs="Times New Roman"/>
          <w:color w:val="auto"/>
          <w:sz w:val="14"/>
          <w:szCs w:val="14"/>
        </w:rPr>
        <w:t xml:space="preserve"> </w:t>
      </w:r>
      <w:r w:rsidRPr="008A585C">
        <w:rPr>
          <w:rFonts w:ascii="Franklin Gothic Book" w:hAnsi="Franklin Gothic Book" w:cs="Times New Roman"/>
          <w:color w:val="auto"/>
          <w:sz w:val="14"/>
          <w:szCs w:val="14"/>
        </w:rPr>
        <w:t xml:space="preserve">2009 </w:t>
      </w:r>
      <w:r>
        <w:rPr>
          <w:rFonts w:ascii="Franklin Gothic Book" w:hAnsi="Franklin Gothic Book" w:cs="Times New Roman"/>
          <w:color w:val="auto"/>
          <w:sz w:val="14"/>
          <w:szCs w:val="14"/>
        </w:rPr>
        <w:t>u</w:t>
      </w:r>
      <w:r w:rsidRPr="008A585C">
        <w:rPr>
          <w:rFonts w:ascii="Franklin Gothic Book" w:hAnsi="Franklin Gothic Book" w:cs="Times New Roman"/>
          <w:color w:val="auto"/>
          <w:sz w:val="14"/>
          <w:szCs w:val="14"/>
        </w:rPr>
        <w:t xml:space="preserve">pdate of </w:t>
      </w:r>
      <w:r>
        <w:rPr>
          <w:rFonts w:ascii="Franklin Gothic Book" w:hAnsi="Franklin Gothic Book" w:cs="Times New Roman"/>
          <w:color w:val="auto"/>
          <w:sz w:val="14"/>
          <w:szCs w:val="14"/>
        </w:rPr>
        <w:t>p</w:t>
      </w:r>
      <w:r w:rsidRPr="008A585C">
        <w:rPr>
          <w:rFonts w:ascii="Franklin Gothic Book" w:hAnsi="Franklin Gothic Book" w:cs="Times New Roman"/>
          <w:color w:val="auto"/>
          <w:sz w:val="14"/>
          <w:szCs w:val="14"/>
        </w:rPr>
        <w:t xml:space="preserve">overty </w:t>
      </w:r>
      <w:r>
        <w:rPr>
          <w:rFonts w:ascii="Franklin Gothic Book" w:hAnsi="Franklin Gothic Book" w:cs="Times New Roman"/>
          <w:color w:val="auto"/>
          <w:sz w:val="14"/>
          <w:szCs w:val="14"/>
        </w:rPr>
        <w:t>in</w:t>
      </w:r>
      <w:r w:rsidRPr="008A585C">
        <w:rPr>
          <w:rFonts w:ascii="Franklin Gothic Book" w:hAnsi="Franklin Gothic Book" w:cs="Times New Roman"/>
          <w:color w:val="auto"/>
          <w:sz w:val="14"/>
          <w:szCs w:val="14"/>
        </w:rPr>
        <w:t xml:space="preserve">cidence in Timor-Leste using the </w:t>
      </w:r>
      <w:r>
        <w:rPr>
          <w:rFonts w:ascii="Franklin Gothic Book" w:hAnsi="Franklin Gothic Book" w:cs="Times New Roman"/>
          <w:color w:val="auto"/>
          <w:sz w:val="14"/>
          <w:szCs w:val="14"/>
        </w:rPr>
        <w:t>s</w:t>
      </w:r>
      <w:r w:rsidRPr="008A585C">
        <w:rPr>
          <w:rFonts w:ascii="Franklin Gothic Book" w:hAnsi="Franklin Gothic Book" w:cs="Times New Roman"/>
          <w:color w:val="auto"/>
          <w:sz w:val="14"/>
          <w:szCs w:val="14"/>
        </w:rPr>
        <w:t>urvey-to-</w:t>
      </w:r>
      <w:r>
        <w:rPr>
          <w:rFonts w:ascii="Franklin Gothic Book" w:hAnsi="Franklin Gothic Book" w:cs="Times New Roman"/>
          <w:color w:val="auto"/>
          <w:sz w:val="14"/>
          <w:szCs w:val="14"/>
        </w:rPr>
        <w:t>s</w:t>
      </w:r>
      <w:r w:rsidRPr="008A585C">
        <w:rPr>
          <w:rFonts w:ascii="Franklin Gothic Book" w:hAnsi="Franklin Gothic Book" w:cs="Times New Roman"/>
          <w:color w:val="auto"/>
          <w:sz w:val="14"/>
          <w:szCs w:val="14"/>
        </w:rPr>
        <w:t xml:space="preserve">urvey </w:t>
      </w:r>
      <w:r>
        <w:rPr>
          <w:rFonts w:ascii="Franklin Gothic Book" w:hAnsi="Franklin Gothic Book" w:cs="Times New Roman"/>
          <w:color w:val="auto"/>
          <w:sz w:val="14"/>
          <w:szCs w:val="14"/>
        </w:rPr>
        <w:t>i</w:t>
      </w:r>
      <w:r w:rsidRPr="008A585C">
        <w:rPr>
          <w:rFonts w:ascii="Franklin Gothic Book" w:hAnsi="Franklin Gothic Book" w:cs="Times New Roman"/>
          <w:color w:val="auto"/>
          <w:sz w:val="14"/>
          <w:szCs w:val="14"/>
        </w:rPr>
        <w:t xml:space="preserve">mputation </w:t>
      </w:r>
      <w:r>
        <w:rPr>
          <w:rFonts w:ascii="Franklin Gothic Book" w:hAnsi="Franklin Gothic Book" w:cs="Times New Roman"/>
          <w:color w:val="auto"/>
          <w:sz w:val="14"/>
          <w:szCs w:val="14"/>
        </w:rPr>
        <w:t>m</w:t>
      </w:r>
      <w:r w:rsidRPr="008A585C">
        <w:rPr>
          <w:rFonts w:ascii="Franklin Gothic Book" w:hAnsi="Franklin Gothic Book" w:cs="Times New Roman"/>
          <w:color w:val="auto"/>
          <w:sz w:val="14"/>
          <w:szCs w:val="14"/>
        </w:rPr>
        <w:t>ethod.</w:t>
      </w:r>
    </w:p>
  </w:footnote>
  <w:footnote w:id="5">
    <w:p w:rsidR="008153D9" w:rsidRPr="008A585C" w:rsidRDefault="008153D9" w:rsidP="009D55F8">
      <w:pPr>
        <w:pStyle w:val="FootnoteText"/>
      </w:pPr>
      <w:r w:rsidRPr="008A585C">
        <w:rPr>
          <w:rStyle w:val="FootnoteReference"/>
          <w:sz w:val="14"/>
          <w:szCs w:val="14"/>
        </w:rPr>
        <w:footnoteRef/>
      </w:r>
      <w:r w:rsidRPr="008A585C">
        <w:t xml:space="preserve"> Ibid</w:t>
      </w:r>
      <w:r>
        <w:t>,</w:t>
      </w:r>
    </w:p>
  </w:footnote>
  <w:footnote w:id="6">
    <w:p w:rsidR="008153D9" w:rsidRPr="008A585C" w:rsidRDefault="008153D9" w:rsidP="009D55F8">
      <w:pPr>
        <w:pStyle w:val="FootnoteText"/>
        <w:ind w:left="0" w:firstLine="0"/>
      </w:pPr>
      <w:r w:rsidRPr="008A585C">
        <w:rPr>
          <w:rStyle w:val="FootnoteReference"/>
          <w:sz w:val="14"/>
          <w:szCs w:val="14"/>
        </w:rPr>
        <w:footnoteRef/>
      </w:r>
      <w:r w:rsidRPr="008A585C">
        <w:t xml:space="preserve"> The economy is measured in terms of non-oil </w:t>
      </w:r>
      <w:r>
        <w:t>gross domestic product</w:t>
      </w:r>
      <w:r w:rsidRPr="008A585C">
        <w:t xml:space="preserve"> excluding the U</w:t>
      </w:r>
      <w:r>
        <w:t xml:space="preserve">nited </w:t>
      </w:r>
      <w:r w:rsidRPr="008A585C">
        <w:t>N</w:t>
      </w:r>
      <w:r>
        <w:t>ations</w:t>
      </w:r>
      <w:r w:rsidRPr="008A585C">
        <w:t xml:space="preserve"> mission. </w:t>
      </w:r>
      <w:r w:rsidRPr="009A42E2">
        <w:t>Asian Development Bank</w:t>
      </w:r>
      <w:r w:rsidRPr="008A585C">
        <w:t xml:space="preserve"> </w:t>
      </w:r>
      <w:r w:rsidRPr="0017211F">
        <w:rPr>
          <w:i/>
        </w:rPr>
        <w:t>Asian Development Outlook 2011</w:t>
      </w:r>
      <w:r w:rsidRPr="008A585C">
        <w:t xml:space="preserve">, pp. 230; Statement by </w:t>
      </w:r>
      <w:r w:rsidRPr="009A42E2">
        <w:t>International Monetary Fund</w:t>
      </w:r>
      <w:r w:rsidRPr="008A585C">
        <w:t xml:space="preserve"> </w:t>
      </w:r>
      <w:r>
        <w:t>s</w:t>
      </w:r>
      <w:r w:rsidRPr="008A585C">
        <w:t xml:space="preserve">taff </w:t>
      </w:r>
      <w:r>
        <w:t>R</w:t>
      </w:r>
      <w:r w:rsidRPr="008A585C">
        <w:t>epresentatives on the Democratic Republic of Timor-Leste, 19 January 2011; and Democratic Republic of Timor-Leste, State Budget 2011, Budget Book 1, p. 26.</w:t>
      </w:r>
    </w:p>
  </w:footnote>
  <w:footnote w:id="7">
    <w:p w:rsidR="008153D9" w:rsidRPr="008A585C" w:rsidRDefault="008153D9" w:rsidP="009D55F8">
      <w:pPr>
        <w:pStyle w:val="FootnoteText"/>
        <w:ind w:left="0" w:firstLine="0"/>
      </w:pPr>
      <w:r w:rsidRPr="008A585C">
        <w:rPr>
          <w:rStyle w:val="FootnoteReference"/>
          <w:sz w:val="14"/>
          <w:szCs w:val="14"/>
        </w:rPr>
        <w:footnoteRef/>
      </w:r>
      <w:r w:rsidRPr="008A585C">
        <w:t xml:space="preserve"> The lower forecast is from the I</w:t>
      </w:r>
      <w:r>
        <w:t>nternational Monetary Fund</w:t>
      </w:r>
      <w:r w:rsidRPr="008A585C">
        <w:t xml:space="preserve"> Staff Report for the 2010 Article IV Consultation, 3 December 2010, p. 8</w:t>
      </w:r>
      <w:r>
        <w:t xml:space="preserve">. </w:t>
      </w:r>
      <w:r w:rsidRPr="008A585C">
        <w:t xml:space="preserve">The higher forecast is from the </w:t>
      </w:r>
      <w:r w:rsidRPr="0017211F">
        <w:rPr>
          <w:i/>
        </w:rPr>
        <w:t>Asian Development Outlook 2011</w:t>
      </w:r>
      <w:r w:rsidRPr="008A585C">
        <w:t>, pp. 231.</w:t>
      </w:r>
    </w:p>
  </w:footnote>
  <w:footnote w:id="8">
    <w:p w:rsidR="008153D9" w:rsidRPr="008A585C" w:rsidRDefault="008153D9" w:rsidP="009D55F8">
      <w:pPr>
        <w:pStyle w:val="FootnoteText"/>
        <w:ind w:left="0" w:firstLine="0"/>
      </w:pPr>
      <w:r w:rsidRPr="008A585C">
        <w:rPr>
          <w:rStyle w:val="FootnoteReference"/>
          <w:sz w:val="14"/>
          <w:szCs w:val="14"/>
        </w:rPr>
        <w:footnoteRef/>
      </w:r>
      <w:r w:rsidRPr="008A585C">
        <w:t xml:space="preserve"> Democratic Republic of Timor-Leste, State Budget 2011, Budget Book 1, p. 26</w:t>
      </w:r>
      <w:r>
        <w:t>;</w:t>
      </w:r>
      <w:r w:rsidRPr="008A585C">
        <w:t xml:space="preserve"> I</w:t>
      </w:r>
      <w:r>
        <w:t>nternational Monetary Fund</w:t>
      </w:r>
      <w:r w:rsidRPr="008A585C">
        <w:t xml:space="preserve"> Staff Report for the 2010 Article IV Consultation, 3 December 2010. According to the IMF</w:t>
      </w:r>
      <w:r>
        <w:t>,</w:t>
      </w:r>
      <w:r w:rsidRPr="008A585C">
        <w:t xml:space="preserve"> average annual popula</w:t>
      </w:r>
      <w:r>
        <w:t>tion growth for 2000–</w:t>
      </w:r>
      <w:r w:rsidRPr="008A585C">
        <w:t>09 was 2.4</w:t>
      </w:r>
      <w:r>
        <w:t xml:space="preserve"> per cent. </w:t>
      </w:r>
      <w:r w:rsidRPr="008A585C">
        <w:t>The W</w:t>
      </w:r>
      <w:r>
        <w:t>orld Bank’s</w:t>
      </w:r>
      <w:r w:rsidRPr="008A585C">
        <w:t xml:space="preserve"> World Development Indicators database gives a higher average growth rate of 3.7</w:t>
      </w:r>
      <w:r>
        <w:t xml:space="preserve"> per cent</w:t>
      </w:r>
      <w:r w:rsidRPr="008A585C">
        <w:t xml:space="preserve"> over the same period. </w:t>
      </w:r>
    </w:p>
  </w:footnote>
  <w:footnote w:id="9">
    <w:p w:rsidR="008153D9" w:rsidRPr="008A585C" w:rsidRDefault="008153D9" w:rsidP="009D55F8">
      <w:pPr>
        <w:pStyle w:val="FootnoteText"/>
      </w:pPr>
      <w:r w:rsidRPr="008A585C">
        <w:rPr>
          <w:rStyle w:val="FootnoteReference"/>
          <w:sz w:val="14"/>
          <w:szCs w:val="14"/>
        </w:rPr>
        <w:footnoteRef/>
      </w:r>
      <w:r w:rsidRPr="008A585C">
        <w:t xml:space="preserve"> </w:t>
      </w:r>
      <w:r w:rsidRPr="006C0F90">
        <w:t>Education Management Information Systems 2010</w:t>
      </w:r>
      <w:r w:rsidRPr="008A585C">
        <w:t>.</w:t>
      </w:r>
    </w:p>
  </w:footnote>
  <w:footnote w:id="10">
    <w:p w:rsidR="008153D9" w:rsidRDefault="008153D9" w:rsidP="009D55F8">
      <w:pPr>
        <w:pStyle w:val="FootnoteText"/>
      </w:pPr>
      <w:r>
        <w:rPr>
          <w:rStyle w:val="FootnoteReference"/>
        </w:rPr>
        <w:footnoteRef/>
      </w:r>
      <w:r>
        <w:t xml:space="preserve"> Timor-Leste Labour Force Survey 2010.</w:t>
      </w:r>
    </w:p>
  </w:footnote>
  <w:footnote w:id="11">
    <w:p w:rsidR="008153D9" w:rsidRDefault="008153D9" w:rsidP="009D55F8">
      <w:pPr>
        <w:pStyle w:val="FootnoteText"/>
      </w:pPr>
      <w:r>
        <w:rPr>
          <w:rStyle w:val="FootnoteReference"/>
        </w:rPr>
        <w:footnoteRef/>
      </w:r>
      <w:r>
        <w:t xml:space="preserve"> </w:t>
      </w:r>
      <w:r w:rsidRPr="008A585C">
        <w:t>Timor-Leste Demographic and Health Survey 2009</w:t>
      </w:r>
      <w:r>
        <w:t>–</w:t>
      </w:r>
      <w:r w:rsidRPr="008A585C">
        <w:t>10</w:t>
      </w:r>
      <w:r>
        <w:t>.</w:t>
      </w:r>
    </w:p>
  </w:footnote>
  <w:footnote w:id="12">
    <w:p w:rsidR="008153D9" w:rsidRPr="008A585C" w:rsidRDefault="008153D9" w:rsidP="009D55F8">
      <w:pPr>
        <w:pStyle w:val="FootnoteText"/>
      </w:pPr>
      <w:r w:rsidRPr="008A585C">
        <w:rPr>
          <w:rStyle w:val="FootnoteReference"/>
          <w:sz w:val="14"/>
          <w:szCs w:val="14"/>
        </w:rPr>
        <w:footnoteRef/>
      </w:r>
      <w:r w:rsidRPr="008A585C">
        <w:t xml:space="preserve"> Based on Australia’s 2010</w:t>
      </w:r>
      <w:r>
        <w:t>–</w:t>
      </w:r>
      <w:r w:rsidRPr="008A585C">
        <w:t>11 budget for overseas development assistance to Timor-Leste of AU</w:t>
      </w:r>
      <w:r>
        <w:t>$</w:t>
      </w:r>
      <w:r w:rsidRPr="008A585C">
        <w:t>102</w:t>
      </w:r>
      <w:r>
        <w:t> </w:t>
      </w:r>
      <w:r w:rsidRPr="008A585C">
        <w:t>700</w:t>
      </w:r>
      <w:r>
        <w:t> </w:t>
      </w:r>
      <w:r w:rsidRPr="008A585C">
        <w:t>000 and Timor-Leste’s 2010 (mid-year rectified) State Budget of US</w:t>
      </w:r>
      <w:r>
        <w:t>$</w:t>
      </w:r>
      <w:r w:rsidRPr="008A585C">
        <w:t>837</w:t>
      </w:r>
      <w:r>
        <w:t> </w:t>
      </w:r>
      <w:r w:rsidRPr="008A585C">
        <w:t>981</w:t>
      </w:r>
      <w:r>
        <w:t> </w:t>
      </w:r>
      <w:r w:rsidRPr="008A585C">
        <w:t>000.</w:t>
      </w:r>
    </w:p>
  </w:footnote>
  <w:footnote w:id="13">
    <w:p w:rsidR="008153D9" w:rsidRPr="008A585C" w:rsidRDefault="008153D9" w:rsidP="009D55F8">
      <w:pPr>
        <w:pStyle w:val="FootnoteText"/>
      </w:pPr>
      <w:r w:rsidRPr="008A585C">
        <w:rPr>
          <w:rStyle w:val="FootnoteReference"/>
          <w:sz w:val="14"/>
          <w:szCs w:val="14"/>
        </w:rPr>
        <w:footnoteRef/>
      </w:r>
      <w:r w:rsidRPr="008A585C">
        <w:t xml:space="preserve"> </w:t>
      </w:r>
      <w:r>
        <w:t>C</w:t>
      </w:r>
      <w:r w:rsidRPr="008A585C">
        <w:t xml:space="preserve">omprises the </w:t>
      </w:r>
      <w:r>
        <w:t>$</w:t>
      </w:r>
      <w:r w:rsidRPr="008A585C">
        <w:t xml:space="preserve">69 million estimated </w:t>
      </w:r>
      <w:r w:rsidRPr="009A42E2">
        <w:t xml:space="preserve">official development assistance </w:t>
      </w:r>
      <w:r w:rsidRPr="008A585C">
        <w:t xml:space="preserve">expenditure from AusAID only. </w:t>
      </w:r>
      <w:r>
        <w:t>It</w:t>
      </w:r>
      <w:r w:rsidRPr="008A585C">
        <w:t xml:space="preserve"> does not include </w:t>
      </w:r>
      <w:r w:rsidRPr="009A42E2">
        <w:t>official development assistance</w:t>
      </w:r>
      <w:r w:rsidRPr="008A585C">
        <w:t xml:space="preserve"> expended by the AFP, which is estimated at </w:t>
      </w:r>
      <w:r>
        <w:t>$</w:t>
      </w:r>
      <w:r w:rsidRPr="008A585C">
        <w:t>33.7 million for 2010</w:t>
      </w:r>
      <w:r>
        <w:t>–</w:t>
      </w:r>
      <w:r w:rsidRPr="008A585C">
        <w:t>11</w:t>
      </w:r>
      <w:r>
        <w:t>.</w:t>
      </w:r>
    </w:p>
  </w:footnote>
  <w:footnote w:id="14">
    <w:p w:rsidR="008153D9" w:rsidRPr="008A585C" w:rsidRDefault="008153D9" w:rsidP="001E2D82">
      <w:pPr>
        <w:pStyle w:val="FootnoteText"/>
      </w:pPr>
      <w:r w:rsidRPr="008A585C">
        <w:rPr>
          <w:rStyle w:val="FootnoteReference"/>
          <w:sz w:val="14"/>
          <w:szCs w:val="14"/>
        </w:rPr>
        <w:footnoteRef/>
      </w:r>
      <w:r w:rsidRPr="008A585C">
        <w:t xml:space="preserve"> Changes to the way Australia analyses aid performance in Timor-Leste in 2010, including through the </w:t>
      </w:r>
      <w:r>
        <w:t>DCR</w:t>
      </w:r>
      <w:r w:rsidRPr="008A585C">
        <w:t xml:space="preserve"> process, mean most ratings cannot be compared to </w:t>
      </w:r>
      <w:r>
        <w:t>2009</w:t>
      </w:r>
      <w:r w:rsidRPr="008A585C">
        <w:t xml:space="preserve">. We have moved towards assessing shared progress between Australia and the GoTL towards shared development outcomes as explained in the </w:t>
      </w:r>
      <w:r w:rsidRPr="008A585C">
        <w:rPr>
          <w:i/>
        </w:rPr>
        <w:t>Results of the Timor-Leste program</w:t>
      </w:r>
      <w:r w:rsidRPr="008A585C">
        <w:t xml:space="preserve"> section below. In addition, unlike last year, progress against the broad ‘community safety’ objective in the country strategy is broken down to its constituent parts: ending violence against women, building resilience to natural emergencies, and supporting access to justice</w:t>
      </w:r>
      <w:r>
        <w:t>.</w:t>
      </w:r>
    </w:p>
  </w:footnote>
  <w:footnote w:id="15">
    <w:p w:rsidR="008153D9" w:rsidRPr="00CD523F" w:rsidRDefault="008153D9" w:rsidP="009D55F8">
      <w:pPr>
        <w:pStyle w:val="FootnoteText"/>
      </w:pPr>
      <w:r w:rsidRPr="00CD523F">
        <w:rPr>
          <w:rStyle w:val="FootnoteReference"/>
          <w:sz w:val="14"/>
          <w:szCs w:val="14"/>
        </w:rPr>
        <w:footnoteRef/>
      </w:r>
      <w:r w:rsidRPr="00CD523F">
        <w:t xml:space="preserve"> Timor-Leste Demographic and Health Survey 2009–10.</w:t>
      </w:r>
    </w:p>
  </w:footnote>
  <w:footnote w:id="16">
    <w:p w:rsidR="008153D9" w:rsidRPr="00CD523F" w:rsidRDefault="008153D9" w:rsidP="009D55F8">
      <w:pPr>
        <w:pStyle w:val="FootnoteText"/>
      </w:pPr>
      <w:r w:rsidRPr="00CD523F">
        <w:rPr>
          <w:rStyle w:val="FootnoteReference"/>
          <w:sz w:val="14"/>
          <w:szCs w:val="14"/>
        </w:rPr>
        <w:footnoteRef/>
      </w:r>
      <w:r w:rsidRPr="00CD523F">
        <w:t xml:space="preserve"> Ibid.</w:t>
      </w:r>
    </w:p>
    <w:p w:rsidR="008153D9" w:rsidRPr="00CD523F" w:rsidRDefault="008153D9" w:rsidP="009D55F8">
      <w:pPr>
        <w:pStyle w:val="FootnoteText"/>
      </w:pPr>
    </w:p>
  </w:footnote>
  <w:footnote w:id="17">
    <w:p w:rsidR="008153D9" w:rsidRPr="00CD523F" w:rsidRDefault="008153D9" w:rsidP="009D55F8">
      <w:pPr>
        <w:pStyle w:val="FootnoteText"/>
        <w:rPr>
          <w:rStyle w:val="FootnoteReference"/>
          <w:sz w:val="14"/>
          <w:szCs w:val="14"/>
        </w:rPr>
      </w:pPr>
      <w:r w:rsidRPr="00CD523F">
        <w:rPr>
          <w:rStyle w:val="FootnoteReference"/>
          <w:sz w:val="14"/>
          <w:szCs w:val="14"/>
        </w:rPr>
        <w:footnoteRef/>
      </w:r>
      <w:r w:rsidRPr="00CD523F">
        <w:rPr>
          <w:rStyle w:val="FootnoteReference"/>
          <w:sz w:val="14"/>
          <w:szCs w:val="14"/>
        </w:rPr>
        <w:t xml:space="preserve"> W</w:t>
      </w:r>
      <w:r w:rsidRPr="0017211F">
        <w:rPr>
          <w:rStyle w:val="FootnoteReference"/>
          <w:sz w:val="14"/>
          <w:szCs w:val="14"/>
        </w:rPr>
        <w:t>orld Bank</w:t>
      </w:r>
      <w:r w:rsidRPr="00CD523F">
        <w:rPr>
          <w:rStyle w:val="FootnoteReference"/>
          <w:sz w:val="14"/>
          <w:szCs w:val="14"/>
        </w:rPr>
        <w:t xml:space="preserve"> Development Indicators, </w:t>
      </w:r>
      <w:r w:rsidRPr="00CD523F">
        <w:t xml:space="preserve">  </w:t>
      </w:r>
      <w:hyperlink r:id="rId1" w:history="1">
        <w:r w:rsidRPr="00CD523F">
          <w:rPr>
            <w:rStyle w:val="FootnoteReference"/>
            <w:sz w:val="14"/>
            <w:szCs w:val="14"/>
          </w:rPr>
          <w:t>http://data.worldbank.org/country/timor-leste</w:t>
        </w:r>
      </w:hyperlink>
      <w:r w:rsidRPr="00CD523F">
        <w:rPr>
          <w:rStyle w:val="FootnoteReference"/>
          <w:sz w:val="14"/>
          <w:szCs w:val="14"/>
        </w:rPr>
        <w:t>, accessed 10 June 2011</w:t>
      </w:r>
      <w:r w:rsidRPr="0017211F">
        <w:rPr>
          <w:rStyle w:val="FootnoteReference"/>
          <w:sz w:val="14"/>
          <w:szCs w:val="14"/>
        </w:rPr>
        <w:t>.</w:t>
      </w:r>
    </w:p>
  </w:footnote>
  <w:footnote w:id="18">
    <w:p w:rsidR="008153D9" w:rsidRPr="00CD523F" w:rsidRDefault="008153D9" w:rsidP="0064058D">
      <w:pPr>
        <w:pStyle w:val="FootnoteText"/>
        <w:jc w:val="both"/>
        <w:rPr>
          <w:rStyle w:val="FootnoteReference"/>
          <w:sz w:val="14"/>
          <w:szCs w:val="14"/>
        </w:rPr>
      </w:pPr>
      <w:r w:rsidRPr="00CD523F">
        <w:rPr>
          <w:rStyle w:val="FootnoteReference"/>
          <w:sz w:val="14"/>
          <w:szCs w:val="14"/>
        </w:rPr>
        <w:footnoteRef/>
      </w:r>
      <w:r w:rsidRPr="00CD523F">
        <w:rPr>
          <w:rStyle w:val="FootnoteReference"/>
          <w:sz w:val="14"/>
          <w:szCs w:val="14"/>
        </w:rPr>
        <w:t xml:space="preserve"> Estimates from the GoTL Demographic and Health Survey 2009</w:t>
      </w:r>
      <w:r w:rsidRPr="0017211F">
        <w:rPr>
          <w:rStyle w:val="FootnoteReference"/>
          <w:sz w:val="14"/>
          <w:szCs w:val="14"/>
        </w:rPr>
        <w:t>–</w:t>
      </w:r>
      <w:r w:rsidRPr="00CD523F">
        <w:rPr>
          <w:rStyle w:val="FootnoteReference"/>
          <w:sz w:val="14"/>
          <w:szCs w:val="14"/>
        </w:rPr>
        <w:t>10 and Timor-Leste’s Health Management Information System,  Ministry of Health, 2008</w:t>
      </w:r>
      <w:r w:rsidRPr="0017211F">
        <w:rPr>
          <w:rStyle w:val="FootnoteReference"/>
          <w:sz w:val="14"/>
          <w:szCs w:val="14"/>
        </w:rPr>
        <w:t>–</w:t>
      </w:r>
      <w:r w:rsidRPr="00CD523F">
        <w:rPr>
          <w:rStyle w:val="FootnoteReference"/>
          <w:sz w:val="14"/>
          <w:szCs w:val="14"/>
        </w:rPr>
        <w:t xml:space="preserve">09. </w:t>
      </w:r>
    </w:p>
  </w:footnote>
  <w:footnote w:id="19">
    <w:p w:rsidR="008153D9" w:rsidRPr="00CD523F" w:rsidRDefault="008153D9" w:rsidP="009D55F8">
      <w:pPr>
        <w:pStyle w:val="FootnoteText"/>
      </w:pPr>
      <w:r w:rsidRPr="00CD523F">
        <w:rPr>
          <w:rStyle w:val="FootnoteReference"/>
          <w:sz w:val="14"/>
          <w:szCs w:val="14"/>
        </w:rPr>
        <w:footnoteRef/>
      </w:r>
      <w:r w:rsidRPr="00CD523F">
        <w:rPr>
          <w:rStyle w:val="FootnoteReference"/>
          <w:sz w:val="14"/>
          <w:szCs w:val="14"/>
        </w:rPr>
        <w:t xml:space="preserve"> Timor-Leste Demographic and Health Survey 2009–10</w:t>
      </w:r>
      <w:r w:rsidRPr="0017211F">
        <w:rPr>
          <w:rStyle w:val="FootnoteReference"/>
          <w:sz w:val="14"/>
          <w:szCs w:val="14"/>
        </w:rPr>
        <w:t>.</w:t>
      </w:r>
    </w:p>
  </w:footnote>
  <w:footnote w:id="20">
    <w:p w:rsidR="008153D9" w:rsidRPr="0017211F" w:rsidRDefault="008153D9" w:rsidP="009D55F8">
      <w:pPr>
        <w:pStyle w:val="FootnoteText"/>
      </w:pPr>
      <w:r w:rsidRPr="000E1A2E">
        <w:rPr>
          <w:rStyle w:val="FootnoteReference"/>
          <w:sz w:val="14"/>
          <w:szCs w:val="14"/>
        </w:rPr>
        <w:footnoteRef/>
      </w:r>
      <w:r w:rsidRPr="000E1A2E">
        <w:t xml:space="preserve"> Calculations based on GoTL budget data</w:t>
      </w:r>
      <w:r w:rsidRPr="009E02E2">
        <w:t>.</w:t>
      </w:r>
    </w:p>
  </w:footnote>
  <w:footnote w:id="21">
    <w:p w:rsidR="008153D9" w:rsidRPr="008A585C" w:rsidRDefault="008153D9" w:rsidP="009D55F8">
      <w:pPr>
        <w:pStyle w:val="FootnoteText"/>
      </w:pPr>
      <w:r w:rsidRPr="0017211F">
        <w:rPr>
          <w:rStyle w:val="FootnoteReference"/>
          <w:sz w:val="14"/>
          <w:szCs w:val="14"/>
        </w:rPr>
        <w:footnoteRef/>
      </w:r>
      <w:r w:rsidRPr="0017211F">
        <w:t xml:space="preserve"> </w:t>
      </w:r>
      <w:smartTag w:uri="urn:schemas-microsoft-com:office:smarttags" w:element="PersonName">
        <w:r w:rsidRPr="0017211F">
          <w:t>K</w:t>
        </w:r>
      </w:smartTag>
      <w:r w:rsidRPr="0017211F">
        <w:t>athy Wh</w:t>
      </w:r>
      <w:r w:rsidRPr="000E1A2E">
        <w:t>imp</w:t>
      </w:r>
      <w:r w:rsidRPr="008A585C">
        <w:t>, Analysis of bottlenecks to service delivery in Timor-Leste, 2010 (for AusAID)</w:t>
      </w:r>
      <w:r>
        <w:t>.</w:t>
      </w:r>
    </w:p>
  </w:footnote>
  <w:footnote w:id="22">
    <w:p w:rsidR="008153D9" w:rsidRPr="008A585C" w:rsidRDefault="008153D9" w:rsidP="009D55F8">
      <w:pPr>
        <w:pStyle w:val="FootnoteText"/>
      </w:pPr>
      <w:r w:rsidRPr="008A585C">
        <w:rPr>
          <w:rStyle w:val="FootnoteReference"/>
          <w:sz w:val="14"/>
          <w:szCs w:val="14"/>
        </w:rPr>
        <w:footnoteRef/>
      </w:r>
      <w:r w:rsidRPr="008A585C">
        <w:t xml:space="preserve"> Timor-Leste Demographic and Health Survey 2009</w:t>
      </w:r>
      <w:r>
        <w:t>–</w:t>
      </w:r>
      <w:r w:rsidRPr="008A585C">
        <w:t>10</w:t>
      </w:r>
      <w:r>
        <w:t>.</w:t>
      </w:r>
    </w:p>
  </w:footnote>
  <w:footnote w:id="23">
    <w:p w:rsidR="008153D9" w:rsidRPr="008A585C" w:rsidRDefault="008153D9" w:rsidP="009D55F8">
      <w:pPr>
        <w:pStyle w:val="FootnoteText"/>
      </w:pPr>
      <w:r w:rsidRPr="008A585C">
        <w:rPr>
          <w:rStyle w:val="FootnoteReference"/>
          <w:sz w:val="14"/>
          <w:szCs w:val="14"/>
        </w:rPr>
        <w:footnoteRef/>
      </w:r>
      <w:r w:rsidRPr="008A585C">
        <w:t xml:space="preserve"> Marie Stopes International</w:t>
      </w:r>
      <w:r>
        <w:t>.</w:t>
      </w:r>
      <w:r w:rsidRPr="008A585C">
        <w:t xml:space="preserve"> </w:t>
      </w:r>
      <w:r w:rsidRPr="001B5733">
        <w:rPr>
          <w:i/>
        </w:rPr>
        <w:t>Annual Report</w:t>
      </w:r>
      <w:r w:rsidRPr="008A585C">
        <w:t>, 2010</w:t>
      </w:r>
      <w:r>
        <w:t xml:space="preserve">. </w:t>
      </w:r>
    </w:p>
  </w:footnote>
  <w:footnote w:id="24">
    <w:p w:rsidR="008153D9" w:rsidRPr="008A585C" w:rsidRDefault="008153D9" w:rsidP="009D55F8">
      <w:pPr>
        <w:pStyle w:val="FootnoteText"/>
      </w:pPr>
      <w:r w:rsidRPr="008A585C">
        <w:rPr>
          <w:rStyle w:val="FootnoteReference"/>
          <w:sz w:val="14"/>
          <w:szCs w:val="14"/>
        </w:rPr>
        <w:footnoteRef/>
      </w:r>
      <w:r w:rsidRPr="008A585C">
        <w:t xml:space="preserve"> Augustine Asante, John Hall and Graham Roberts, </w:t>
      </w:r>
      <w:r w:rsidRPr="0017211F">
        <w:rPr>
          <w:i/>
        </w:rPr>
        <w:t>A Review of Health Leadership and Management Capacity in Timor-Leste,</w:t>
      </w:r>
      <w:r w:rsidRPr="008A585C">
        <w:t xml:space="preserve"> 2011,</w:t>
      </w:r>
      <w:r>
        <w:t xml:space="preserve"> University of New South Wales</w:t>
      </w:r>
      <w:r w:rsidRPr="008A585C">
        <w:t xml:space="preserve"> </w:t>
      </w:r>
    </w:p>
  </w:footnote>
  <w:footnote w:id="25">
    <w:p w:rsidR="008153D9" w:rsidRPr="008A585C" w:rsidRDefault="008153D9" w:rsidP="009D55F8">
      <w:pPr>
        <w:pStyle w:val="FootnoteText"/>
      </w:pPr>
      <w:r w:rsidRPr="008A585C">
        <w:rPr>
          <w:rStyle w:val="FootnoteReference"/>
          <w:sz w:val="14"/>
          <w:szCs w:val="14"/>
        </w:rPr>
        <w:footnoteRef/>
      </w:r>
      <w:r w:rsidRPr="008A585C">
        <w:t xml:space="preserve"> Fabian </w:t>
      </w:r>
      <w:smartTag w:uri="urn:schemas-microsoft-com:office:smarttags" w:element="PersonName">
        <w:r w:rsidRPr="008A585C">
          <w:t>K</w:t>
        </w:r>
      </w:smartTag>
      <w:r w:rsidRPr="008A585C">
        <w:t xml:space="preserve">ong, </w:t>
      </w:r>
      <w:r w:rsidRPr="0017211F">
        <w:rPr>
          <w:i/>
        </w:rPr>
        <w:t>Analysis of the pharmaceutical sector</w:t>
      </w:r>
      <w:r w:rsidRPr="008A585C">
        <w:t>, 2010 (for AusAID and the W</w:t>
      </w:r>
      <w:r>
        <w:t xml:space="preserve">orld </w:t>
      </w:r>
      <w:r w:rsidRPr="008A585C">
        <w:t>B</w:t>
      </w:r>
      <w:r>
        <w:t>ank</w:t>
      </w:r>
      <w:r w:rsidRPr="008A585C">
        <w:t>)</w:t>
      </w:r>
      <w:r>
        <w:t>.</w:t>
      </w:r>
    </w:p>
  </w:footnote>
  <w:footnote w:id="26">
    <w:p w:rsidR="008153D9" w:rsidRPr="008A585C" w:rsidRDefault="008153D9" w:rsidP="009D55F8">
      <w:pPr>
        <w:pStyle w:val="FootnoteText"/>
      </w:pPr>
      <w:r w:rsidRPr="008A585C">
        <w:rPr>
          <w:rStyle w:val="FootnoteReference"/>
          <w:sz w:val="14"/>
          <w:szCs w:val="14"/>
        </w:rPr>
        <w:footnoteRef/>
      </w:r>
      <w:r w:rsidRPr="008A585C">
        <w:t xml:space="preserve"> Health Sector Strategic Plan</w:t>
      </w:r>
      <w:r>
        <w:t>—</w:t>
      </w:r>
      <w:r w:rsidRPr="008A585C">
        <w:t>Support Project</w:t>
      </w:r>
      <w:r>
        <w:t>.</w:t>
      </w:r>
    </w:p>
  </w:footnote>
  <w:footnote w:id="27">
    <w:p w:rsidR="008153D9" w:rsidRPr="008A585C" w:rsidRDefault="008153D9" w:rsidP="009D55F8">
      <w:pPr>
        <w:pStyle w:val="FootnoteText"/>
      </w:pPr>
      <w:r w:rsidRPr="008A585C">
        <w:rPr>
          <w:rStyle w:val="FootnoteReference"/>
          <w:sz w:val="14"/>
          <w:szCs w:val="14"/>
        </w:rPr>
        <w:footnoteRef/>
      </w:r>
      <w:r w:rsidRPr="008A585C">
        <w:t xml:space="preserve"> </w:t>
      </w:r>
      <w:r w:rsidRPr="0017211F">
        <w:rPr>
          <w:i/>
        </w:rPr>
        <w:t>National Education Strategic Plan 2010–30</w:t>
      </w:r>
      <w:r w:rsidRPr="008A585C">
        <w:t xml:space="preserve">, </w:t>
      </w:r>
      <w:r w:rsidRPr="00A85F7E">
        <w:t>M</w:t>
      </w:r>
      <w:r>
        <w:t>inistry of Education</w:t>
      </w:r>
      <w:r w:rsidRPr="008A585C">
        <w:t>.</w:t>
      </w:r>
    </w:p>
  </w:footnote>
  <w:footnote w:id="28">
    <w:p w:rsidR="008153D9" w:rsidRPr="008A585C" w:rsidRDefault="008153D9" w:rsidP="009D55F8">
      <w:pPr>
        <w:pStyle w:val="FootnoteText"/>
      </w:pPr>
      <w:r w:rsidRPr="008A585C">
        <w:rPr>
          <w:rStyle w:val="FootnoteReference"/>
          <w:sz w:val="14"/>
          <w:szCs w:val="14"/>
        </w:rPr>
        <w:footnoteRef/>
      </w:r>
      <w:r w:rsidRPr="008A585C">
        <w:t xml:space="preserve"> Ibid</w:t>
      </w:r>
      <w:r>
        <w:t>.</w:t>
      </w:r>
    </w:p>
  </w:footnote>
  <w:footnote w:id="29">
    <w:p w:rsidR="008153D9" w:rsidRPr="008A585C" w:rsidRDefault="008153D9" w:rsidP="009D55F8">
      <w:pPr>
        <w:pStyle w:val="FootnoteText"/>
      </w:pPr>
      <w:r w:rsidRPr="008A585C">
        <w:rPr>
          <w:rStyle w:val="FootnoteReference"/>
          <w:sz w:val="14"/>
          <w:szCs w:val="14"/>
        </w:rPr>
        <w:footnoteRef/>
      </w:r>
      <w:r w:rsidRPr="008A585C">
        <w:t xml:space="preserve"> </w:t>
      </w:r>
      <w:r w:rsidRPr="0017211F">
        <w:rPr>
          <w:i/>
        </w:rPr>
        <w:t>An Analysis of Early Grade Reading Acquisition</w:t>
      </w:r>
      <w:r w:rsidRPr="008A585C">
        <w:t xml:space="preserve">, </w:t>
      </w:r>
      <w:r>
        <w:t xml:space="preserve">World Bank, </w:t>
      </w:r>
      <w:r w:rsidRPr="008A585C">
        <w:t>2010</w:t>
      </w:r>
      <w:r>
        <w:t>.</w:t>
      </w:r>
    </w:p>
  </w:footnote>
  <w:footnote w:id="30">
    <w:p w:rsidR="008153D9" w:rsidRPr="008A585C" w:rsidRDefault="008153D9" w:rsidP="009D55F8">
      <w:pPr>
        <w:pStyle w:val="FootnoteText"/>
      </w:pPr>
      <w:r w:rsidRPr="008A585C">
        <w:rPr>
          <w:rStyle w:val="FootnoteReference"/>
          <w:sz w:val="14"/>
          <w:szCs w:val="14"/>
        </w:rPr>
        <w:footnoteRef/>
      </w:r>
      <w:r w:rsidRPr="008A585C">
        <w:t xml:space="preserve"> </w:t>
      </w:r>
      <w:r w:rsidRPr="00A85F7E">
        <w:t>M</w:t>
      </w:r>
      <w:r>
        <w:t>inistry of Education</w:t>
      </w:r>
      <w:r w:rsidRPr="008A585C">
        <w:t xml:space="preserve">, </w:t>
      </w:r>
      <w:r w:rsidRPr="0017211F">
        <w:rPr>
          <w:i/>
        </w:rPr>
        <w:t>Review of financial management processes</w:t>
      </w:r>
      <w:r w:rsidRPr="008A585C">
        <w:t xml:space="preserve">, </w:t>
      </w:r>
      <w:r>
        <w:t>r</w:t>
      </w:r>
      <w:r w:rsidRPr="008A585C">
        <w:t xml:space="preserve">eport prepared as part of the </w:t>
      </w:r>
      <w:r>
        <w:t>Education Sector Support Program</w:t>
      </w:r>
      <w:r w:rsidRPr="008A585C">
        <w:t xml:space="preserve"> mid-term review, 2010</w:t>
      </w:r>
      <w:r>
        <w:t>.</w:t>
      </w:r>
    </w:p>
    <w:p w:rsidR="008153D9" w:rsidRPr="008A585C" w:rsidRDefault="008153D9" w:rsidP="009D55F8">
      <w:pPr>
        <w:pStyle w:val="FootnoteText"/>
      </w:pPr>
    </w:p>
  </w:footnote>
  <w:footnote w:id="31">
    <w:p w:rsidR="008153D9" w:rsidRPr="008A585C" w:rsidRDefault="008153D9" w:rsidP="009D55F8">
      <w:pPr>
        <w:pStyle w:val="FootnoteText"/>
      </w:pPr>
      <w:r w:rsidRPr="008A585C">
        <w:rPr>
          <w:rStyle w:val="FootnoteReference"/>
          <w:sz w:val="14"/>
          <w:szCs w:val="14"/>
        </w:rPr>
        <w:footnoteRef/>
      </w:r>
      <w:r w:rsidRPr="008A585C">
        <w:t xml:space="preserve"> </w:t>
      </w:r>
      <w:r w:rsidRPr="004633BA">
        <w:t xml:space="preserve">World Health Organization </w:t>
      </w:r>
      <w:r w:rsidRPr="008A585C">
        <w:t xml:space="preserve">and </w:t>
      </w:r>
      <w:r w:rsidRPr="004633BA">
        <w:t xml:space="preserve">United Nations Children's Fund </w:t>
      </w:r>
      <w:r w:rsidRPr="008A585C">
        <w:rPr>
          <w:i/>
        </w:rPr>
        <w:t>Joint Monitoring Program  for Water Supply and Sanitation Coverage Estimates</w:t>
      </w:r>
      <w:r w:rsidRPr="008A585C">
        <w:t>, 2006</w:t>
      </w:r>
      <w:r>
        <w:t>.</w:t>
      </w:r>
    </w:p>
  </w:footnote>
  <w:footnote w:id="32">
    <w:p w:rsidR="008153D9" w:rsidRPr="008A585C" w:rsidRDefault="008153D9" w:rsidP="009D55F8">
      <w:pPr>
        <w:pStyle w:val="FootnoteText"/>
      </w:pPr>
      <w:r w:rsidRPr="008A585C">
        <w:rPr>
          <w:rStyle w:val="FootnoteReference"/>
          <w:sz w:val="14"/>
          <w:szCs w:val="14"/>
        </w:rPr>
        <w:footnoteRef/>
      </w:r>
      <w:r w:rsidRPr="008A585C">
        <w:t xml:space="preserve"> Mid-Term review of the R</w:t>
      </w:r>
      <w:r w:rsidRPr="004633BA">
        <w:t>WSSP</w:t>
      </w:r>
      <w:r w:rsidRPr="008A585C">
        <w:t>, 2010.</w:t>
      </w:r>
      <w:r>
        <w:t xml:space="preserve">  </w:t>
      </w:r>
    </w:p>
  </w:footnote>
  <w:footnote w:id="33">
    <w:p w:rsidR="008153D9" w:rsidRPr="008A585C" w:rsidRDefault="008153D9" w:rsidP="009D55F8">
      <w:pPr>
        <w:pStyle w:val="FootnoteText"/>
      </w:pPr>
      <w:r w:rsidRPr="008A585C">
        <w:rPr>
          <w:rStyle w:val="FootnoteReference"/>
          <w:sz w:val="14"/>
          <w:szCs w:val="14"/>
        </w:rPr>
        <w:footnoteRef/>
      </w:r>
      <w:r w:rsidRPr="008A585C">
        <w:t xml:space="preserve"> Timor-Leste General State Budget for 2011</w:t>
      </w:r>
      <w:r>
        <w:t>—</w:t>
      </w:r>
      <w:r w:rsidRPr="008A585C">
        <w:t>approved by the Council of Ministers in November 2010, passed by National Parliament in January 2011 and promulgated by the President in February 2011.</w:t>
      </w:r>
    </w:p>
  </w:footnote>
  <w:footnote w:id="34">
    <w:p w:rsidR="008153D9" w:rsidRPr="008A585C" w:rsidRDefault="008153D9" w:rsidP="009D55F8">
      <w:pPr>
        <w:pStyle w:val="FootnoteText"/>
      </w:pPr>
      <w:r w:rsidRPr="008A585C">
        <w:rPr>
          <w:rStyle w:val="FootnoteReference"/>
          <w:sz w:val="14"/>
          <w:szCs w:val="14"/>
        </w:rPr>
        <w:footnoteRef/>
      </w:r>
      <w:r w:rsidRPr="008A585C">
        <w:t xml:space="preserve"> RWSSP reporting to AusAID, March 2011.</w:t>
      </w:r>
    </w:p>
  </w:footnote>
  <w:footnote w:id="35">
    <w:p w:rsidR="008153D9" w:rsidRPr="008A585C" w:rsidRDefault="008153D9" w:rsidP="009D55F8">
      <w:pPr>
        <w:pStyle w:val="FootnoteText"/>
      </w:pPr>
      <w:r w:rsidRPr="008A585C">
        <w:rPr>
          <w:rStyle w:val="FootnoteReference"/>
          <w:sz w:val="14"/>
          <w:szCs w:val="14"/>
        </w:rPr>
        <w:footnoteRef/>
      </w:r>
      <w:r w:rsidRPr="008A585C">
        <w:t xml:space="preserve"> Baseline study of Water Supply </w:t>
      </w:r>
      <w:r>
        <w:t>and</w:t>
      </w:r>
      <w:r w:rsidRPr="008A585C">
        <w:t xml:space="preserve"> Sanitation in Aileu </w:t>
      </w:r>
      <w:r>
        <w:t>and</w:t>
      </w:r>
      <w:r w:rsidRPr="008A585C">
        <w:t xml:space="preserve"> Lautem Districts, Timor-Leste, PLAN Timor-Leste 2009. </w:t>
      </w:r>
      <w:r>
        <w:t>‘</w:t>
      </w:r>
      <w:r w:rsidRPr="008A585C">
        <w:t>Fully functioning</w:t>
      </w:r>
      <w:r>
        <w:t>’</w:t>
      </w:r>
      <w:r w:rsidRPr="008A585C">
        <w:t xml:space="preserve"> is defined providing safe water through-out the year to 80</w:t>
      </w:r>
      <w:r>
        <w:t xml:space="preserve"> per cent</w:t>
      </w:r>
      <w:r w:rsidRPr="008A585C">
        <w:t xml:space="preserve"> of the community</w:t>
      </w:r>
      <w:r>
        <w:t>.</w:t>
      </w:r>
    </w:p>
  </w:footnote>
  <w:footnote w:id="36">
    <w:p w:rsidR="008153D9" w:rsidRPr="008A585C" w:rsidRDefault="008153D9" w:rsidP="009D55F8">
      <w:pPr>
        <w:pStyle w:val="FootnoteText"/>
        <w:ind w:left="0" w:firstLine="0"/>
      </w:pPr>
      <w:r w:rsidRPr="008A585C">
        <w:rPr>
          <w:rStyle w:val="FootnoteReference"/>
          <w:sz w:val="14"/>
          <w:szCs w:val="14"/>
        </w:rPr>
        <w:footnoteRef/>
      </w:r>
      <w:r w:rsidRPr="008A585C">
        <w:t xml:space="preserve"> AusAID estimates based on European Commission, Technical Assistance to Design the</w:t>
      </w:r>
      <w:r>
        <w:t xml:space="preserve"> </w:t>
      </w:r>
      <w:r w:rsidRPr="008A585C">
        <w:t xml:space="preserve"> Masterplan for Rural Roads, Final Report, 18 November 2010</w:t>
      </w:r>
      <w:r>
        <w:t xml:space="preserve">. </w:t>
      </w:r>
      <w:r w:rsidRPr="008A585C">
        <w:t>The survey found that 69 per cent of 730 km of rural roads accessible by vehicle were in bad or very bad condition</w:t>
      </w:r>
      <w:r>
        <w:t xml:space="preserve">. </w:t>
      </w:r>
      <w:r w:rsidRPr="008A585C">
        <w:t>It is therefore estimated that around 90 per cent of the total 3025 km of rural roads are in bad or very bad condition.</w:t>
      </w:r>
    </w:p>
  </w:footnote>
  <w:footnote w:id="37">
    <w:p w:rsidR="008153D9" w:rsidRPr="008A585C" w:rsidRDefault="008153D9" w:rsidP="009D55F8">
      <w:pPr>
        <w:pStyle w:val="FootnoteText"/>
        <w:ind w:left="0" w:firstLine="0"/>
      </w:pPr>
      <w:r w:rsidRPr="008A585C">
        <w:rPr>
          <w:rStyle w:val="FootnoteReference"/>
          <w:sz w:val="14"/>
          <w:szCs w:val="14"/>
        </w:rPr>
        <w:footnoteRef/>
      </w:r>
      <w:r w:rsidRPr="008A585C">
        <w:t xml:space="preserve"> AusAID calculations based on </w:t>
      </w:r>
      <w:r>
        <w:t xml:space="preserve">the </w:t>
      </w:r>
      <w:r w:rsidRPr="0017211F">
        <w:rPr>
          <w:i/>
        </w:rPr>
        <w:t>Democratic Republic of Timor-Leste State Budget 2011</w:t>
      </w:r>
      <w:r w:rsidRPr="008A585C">
        <w:t>, Book 1</w:t>
      </w:r>
      <w:r>
        <w:t>,</w:t>
      </w:r>
      <w:r w:rsidRPr="008A585C">
        <w:t xml:space="preserve"> Budget Overview</w:t>
      </w:r>
      <w:r>
        <w:t xml:space="preserve">. </w:t>
      </w:r>
      <w:r w:rsidRPr="008A585C">
        <w:t>‘Economic infrastructure’</w:t>
      </w:r>
      <w:r>
        <w:t>—</w:t>
      </w:r>
      <w:r w:rsidRPr="008A585C">
        <w:t>includes energy, transport, agricultural and industrial infrastructure.</w:t>
      </w:r>
    </w:p>
  </w:footnote>
  <w:footnote w:id="38">
    <w:p w:rsidR="008153D9" w:rsidRPr="008A585C" w:rsidRDefault="008153D9" w:rsidP="009D55F8">
      <w:pPr>
        <w:pStyle w:val="FootnoteText"/>
      </w:pPr>
      <w:r w:rsidRPr="008A585C">
        <w:rPr>
          <w:rStyle w:val="FootnoteReference"/>
          <w:sz w:val="14"/>
          <w:szCs w:val="14"/>
        </w:rPr>
        <w:footnoteRef/>
      </w:r>
      <w:r w:rsidRPr="008A585C">
        <w:t xml:space="preserve"> </w:t>
      </w:r>
      <w:r w:rsidRPr="004633BA">
        <w:t>A</w:t>
      </w:r>
      <w:r>
        <w:t>sian Development Bank</w:t>
      </w:r>
      <w:r w:rsidRPr="004633BA">
        <w:t xml:space="preserve"> reporting</w:t>
      </w:r>
      <w:r w:rsidRPr="008A585C">
        <w:t xml:space="preserve"> to AusAID.</w:t>
      </w:r>
    </w:p>
  </w:footnote>
  <w:footnote w:id="39">
    <w:p w:rsidR="008153D9" w:rsidRPr="008A585C" w:rsidRDefault="008153D9" w:rsidP="009D55F8">
      <w:pPr>
        <w:pStyle w:val="FootnoteText"/>
      </w:pPr>
      <w:r w:rsidRPr="008A585C">
        <w:rPr>
          <w:rStyle w:val="FootnoteReference"/>
          <w:sz w:val="14"/>
          <w:szCs w:val="14"/>
        </w:rPr>
        <w:footnoteRef/>
      </w:r>
      <w:r w:rsidRPr="008A585C">
        <w:t xml:space="preserve"> I</w:t>
      </w:r>
      <w:r>
        <w:t>nternational Labour Organization</w:t>
      </w:r>
      <w:r w:rsidRPr="008A585C">
        <w:t xml:space="preserve"> reports to AusAID on the TIM-Works project and Youth Employment Program.</w:t>
      </w:r>
    </w:p>
  </w:footnote>
  <w:footnote w:id="40">
    <w:p w:rsidR="008153D9" w:rsidRPr="008A585C" w:rsidRDefault="008153D9" w:rsidP="009D55F8">
      <w:pPr>
        <w:pStyle w:val="FootnoteText"/>
        <w:ind w:left="0" w:firstLine="0"/>
      </w:pPr>
      <w:r w:rsidRPr="008A585C">
        <w:rPr>
          <w:rStyle w:val="FootnoteReference"/>
          <w:sz w:val="14"/>
          <w:szCs w:val="14"/>
        </w:rPr>
        <w:footnoteRef/>
      </w:r>
      <w:r w:rsidRPr="008A585C">
        <w:t xml:space="preserve"> AusAID calculation based on </w:t>
      </w:r>
      <w:r w:rsidRPr="0017211F">
        <w:rPr>
          <w:i/>
        </w:rPr>
        <w:t>Democratic Republic of Timor-Leste State Budget 2011</w:t>
      </w:r>
      <w:r w:rsidRPr="008A585C">
        <w:t xml:space="preserve">, Book 1 Budget Overview, </w:t>
      </w:r>
      <w:r>
        <w:t>t</w:t>
      </w:r>
      <w:r w:rsidRPr="008A585C">
        <w:t>ables 3.3 and 3.4, p. 26.</w:t>
      </w:r>
    </w:p>
  </w:footnote>
  <w:footnote w:id="41">
    <w:p w:rsidR="008153D9" w:rsidRDefault="008153D9" w:rsidP="009D55F8">
      <w:pPr>
        <w:pStyle w:val="FootnoteText"/>
      </w:pPr>
      <w:r>
        <w:rPr>
          <w:rStyle w:val="FootnoteReference"/>
        </w:rPr>
        <w:footnoteRef/>
      </w:r>
      <w:r>
        <w:t xml:space="preserve"> Statement by the International Monetary Fund Staff Representative on the Democratic Republic of Timor-Leste, January 19, 2011.</w:t>
      </w:r>
    </w:p>
  </w:footnote>
  <w:footnote w:id="42">
    <w:p w:rsidR="008153D9" w:rsidRPr="008A585C" w:rsidRDefault="008153D9" w:rsidP="009D55F8">
      <w:pPr>
        <w:pStyle w:val="FootnoteText"/>
      </w:pPr>
      <w:r w:rsidRPr="008A585C">
        <w:rPr>
          <w:rStyle w:val="FootnoteReference"/>
          <w:sz w:val="14"/>
          <w:szCs w:val="14"/>
        </w:rPr>
        <w:footnoteRef/>
      </w:r>
      <w:r w:rsidRPr="008A585C">
        <w:t xml:space="preserve"> </w:t>
      </w:r>
      <w:r w:rsidRPr="004633BA">
        <w:t>A</w:t>
      </w:r>
      <w:r>
        <w:t>CIAR</w:t>
      </w:r>
      <w:r w:rsidRPr="004633BA">
        <w:t>,</w:t>
      </w:r>
      <w:r w:rsidRPr="008A585C">
        <w:t xml:space="preserve"> S</w:t>
      </w:r>
      <w:r>
        <w:t>oL</w:t>
      </w:r>
      <w:r w:rsidRPr="008A585C">
        <w:t xml:space="preserve"> II, </w:t>
      </w:r>
      <w:r>
        <w:t>f</w:t>
      </w:r>
      <w:r w:rsidRPr="008A585C">
        <w:t xml:space="preserve">inal </w:t>
      </w:r>
      <w:r>
        <w:t>r</w:t>
      </w:r>
      <w:r w:rsidRPr="008A585C">
        <w:t>eport, 31 March 2011,</w:t>
      </w:r>
      <w:r>
        <w:t xml:space="preserve"> t</w:t>
      </w:r>
      <w:r w:rsidRPr="008A585C">
        <w:t>able 12, p. 32.</w:t>
      </w:r>
    </w:p>
  </w:footnote>
  <w:footnote w:id="43">
    <w:p w:rsidR="008153D9" w:rsidRPr="008A585C" w:rsidRDefault="008153D9" w:rsidP="009D55F8">
      <w:pPr>
        <w:pStyle w:val="FootnoteText"/>
        <w:ind w:left="0" w:firstLine="0"/>
      </w:pPr>
      <w:r w:rsidRPr="008A585C">
        <w:rPr>
          <w:rStyle w:val="FootnoteReference"/>
          <w:sz w:val="14"/>
          <w:szCs w:val="14"/>
        </w:rPr>
        <w:footnoteRef/>
      </w:r>
      <w:r w:rsidRPr="008A585C">
        <w:t xml:space="preserve"> ACIAR estimate reported to AusAID and ACIAR, S</w:t>
      </w:r>
      <w:r>
        <w:t>oL</w:t>
      </w:r>
      <w:r w:rsidRPr="008A585C">
        <w:t xml:space="preserve"> II, </w:t>
      </w:r>
      <w:r>
        <w:t>f</w:t>
      </w:r>
      <w:r w:rsidRPr="008A585C">
        <w:t xml:space="preserve">inal </w:t>
      </w:r>
      <w:r>
        <w:t>r</w:t>
      </w:r>
      <w:r w:rsidRPr="008A585C">
        <w:t>eport, 31 March 2011, p. 31</w:t>
      </w:r>
      <w:r>
        <w:t>.</w:t>
      </w:r>
      <w:r w:rsidRPr="008A585C">
        <w:t xml:space="preserve"> SoL reporting years are from September to August, incorporating the wet season from November to May</w:t>
      </w:r>
      <w:r>
        <w:t xml:space="preserve">. </w:t>
      </w:r>
      <w:r w:rsidRPr="008A585C">
        <w:t>Because the second phase of SoL finished in January 2011</w:t>
      </w:r>
      <w:r>
        <w:t>,</w:t>
      </w:r>
      <w:r w:rsidRPr="008A585C">
        <w:t xml:space="preserve"> the 2001</w:t>
      </w:r>
      <w:r>
        <w:t>–</w:t>
      </w:r>
      <w:r w:rsidRPr="008A585C">
        <w:t xml:space="preserve">10 distribution figure </w:t>
      </w:r>
      <w:r>
        <w:t>does not cover</w:t>
      </w:r>
      <w:r w:rsidRPr="008A585C">
        <w:t xml:space="preserve"> a full wet season</w:t>
      </w:r>
      <w:r>
        <w:t xml:space="preserve">. </w:t>
      </w:r>
      <w:r w:rsidRPr="008A585C">
        <w:t>The figures for each wet season include some double counting of households across different crops</w:t>
      </w:r>
      <w:r>
        <w:t xml:space="preserve">. </w:t>
      </w:r>
      <w:r w:rsidRPr="008A585C">
        <w:t>The estimate of 25</w:t>
      </w:r>
      <w:r>
        <w:t xml:space="preserve"> </w:t>
      </w:r>
      <w:r w:rsidRPr="008A585C">
        <w:t>000 farming households for September 2008 to January 2011 incorporates an approximate adjustment for double counting (across crops and across years) to the total for three wet seasons of around 43</w:t>
      </w:r>
      <w:r>
        <w:t> </w:t>
      </w:r>
      <w:r w:rsidRPr="008A585C">
        <w:t>000 households.</w:t>
      </w:r>
    </w:p>
  </w:footnote>
  <w:footnote w:id="44">
    <w:p w:rsidR="008153D9" w:rsidRPr="008A585C" w:rsidRDefault="008153D9" w:rsidP="009D55F8">
      <w:pPr>
        <w:pStyle w:val="FootnoteText"/>
      </w:pPr>
      <w:r w:rsidRPr="008A585C">
        <w:rPr>
          <w:rStyle w:val="FootnoteReference"/>
          <w:sz w:val="14"/>
          <w:szCs w:val="14"/>
        </w:rPr>
        <w:footnoteRef/>
      </w:r>
      <w:r w:rsidRPr="008A585C">
        <w:t xml:space="preserve"> ACIAR, S</w:t>
      </w:r>
      <w:r>
        <w:t>oL</w:t>
      </w:r>
      <w:r w:rsidRPr="008A585C">
        <w:t xml:space="preserve"> II, </w:t>
      </w:r>
      <w:r>
        <w:t>f</w:t>
      </w:r>
      <w:r w:rsidRPr="008A585C">
        <w:t xml:space="preserve">inal </w:t>
      </w:r>
      <w:r>
        <w:t>r</w:t>
      </w:r>
      <w:r w:rsidRPr="008A585C">
        <w:t>eport, 31 March 2011, p. 34.</w:t>
      </w:r>
    </w:p>
  </w:footnote>
  <w:footnote w:id="45">
    <w:p w:rsidR="008153D9" w:rsidRPr="008A585C" w:rsidRDefault="008153D9" w:rsidP="009D55F8">
      <w:pPr>
        <w:pStyle w:val="FootnoteText"/>
        <w:ind w:left="0" w:firstLine="0"/>
      </w:pPr>
      <w:r w:rsidRPr="008A585C">
        <w:rPr>
          <w:rStyle w:val="FootnoteReference"/>
          <w:sz w:val="14"/>
          <w:szCs w:val="14"/>
        </w:rPr>
        <w:footnoteRef/>
      </w:r>
      <w:r w:rsidRPr="008A585C">
        <w:t xml:space="preserve">  UNCDF Special Projects</w:t>
      </w:r>
      <w:r>
        <w:t xml:space="preserve"> Implementation Review Exercise</w:t>
      </w:r>
      <w:r w:rsidRPr="008A585C">
        <w:t xml:space="preserve">. Mid Term </w:t>
      </w:r>
      <w:r w:rsidRPr="001B5733">
        <w:t>Review (</w:t>
      </w:r>
      <w:r w:rsidRPr="0017211F">
        <w:t>MTR</w:t>
      </w:r>
      <w:r w:rsidRPr="001B5733">
        <w:t>):</w:t>
      </w:r>
      <w:r w:rsidRPr="008A585C">
        <w:t xml:space="preserve"> INFUSE Timor-Leste, March 2011, p</w:t>
      </w:r>
      <w:r>
        <w:t>.</w:t>
      </w:r>
      <w:r w:rsidRPr="008A585C">
        <w:t xml:space="preserve"> 45 and INFUSE reporting to AusAID</w:t>
      </w:r>
      <w:r>
        <w:t xml:space="preserve">. </w:t>
      </w:r>
      <w:r w:rsidRPr="008A585C">
        <w:t>In December 2010</w:t>
      </w:r>
      <w:r>
        <w:t xml:space="preserve"> microfinance providers had</w:t>
      </w:r>
      <w:r w:rsidRPr="008A585C">
        <w:t xml:space="preserve"> 55</w:t>
      </w:r>
      <w:r>
        <w:t> </w:t>
      </w:r>
      <w:r w:rsidRPr="008A585C">
        <w:t>851 active clients</w:t>
      </w:r>
      <w:r>
        <w:t xml:space="preserve">. </w:t>
      </w:r>
      <w:r w:rsidRPr="008A585C">
        <w:t xml:space="preserve">The INFUSE MTR includes a December 2008 baseline of </w:t>
      </w:r>
      <w:bookmarkStart w:id="22" w:name="OLE_LINK4"/>
      <w:bookmarkStart w:id="23" w:name="OLE_LINK1"/>
      <w:r w:rsidRPr="008A585C">
        <w:t>34</w:t>
      </w:r>
      <w:r>
        <w:t> </w:t>
      </w:r>
      <w:r w:rsidRPr="008A585C">
        <w:t xml:space="preserve">733 </w:t>
      </w:r>
      <w:bookmarkEnd w:id="22"/>
      <w:bookmarkEnd w:id="23"/>
      <w:r w:rsidRPr="008A585C">
        <w:t>savers but no separate figure for total clients</w:t>
      </w:r>
      <w:r>
        <w:t xml:space="preserve">. </w:t>
      </w:r>
      <w:r w:rsidRPr="008A585C">
        <w:t>In calculating growth since December 2008 it is assumed (based on the March 2010 figures) that the total number of clients (including lenders) in December 2008 was almost equal to the number of savers.</w:t>
      </w:r>
      <w:r>
        <w:t xml:space="preserve"> </w:t>
      </w:r>
    </w:p>
  </w:footnote>
  <w:footnote w:id="46">
    <w:p w:rsidR="008153D9" w:rsidRPr="008A585C" w:rsidRDefault="008153D9" w:rsidP="009D55F8">
      <w:pPr>
        <w:pStyle w:val="FootnoteText"/>
        <w:ind w:left="0" w:firstLine="0"/>
      </w:pPr>
      <w:r w:rsidRPr="008A585C">
        <w:rPr>
          <w:rStyle w:val="FootnoteReference"/>
          <w:sz w:val="14"/>
          <w:szCs w:val="14"/>
        </w:rPr>
        <w:footnoteRef/>
      </w:r>
      <w:r w:rsidRPr="008A585C">
        <w:t xml:space="preserve"> INFUSE MT</w:t>
      </w:r>
      <w:r>
        <w:t>R, pp. 26–</w:t>
      </w:r>
      <w:r w:rsidRPr="008A585C">
        <w:t>27</w:t>
      </w:r>
      <w:r>
        <w:t xml:space="preserve">. </w:t>
      </w:r>
      <w:r w:rsidRPr="008A585C">
        <w:t xml:space="preserve">At December 2009 the two institutions had </w:t>
      </w:r>
      <w:r>
        <w:t>f</w:t>
      </w:r>
      <w:r w:rsidRPr="008A585C">
        <w:t xml:space="preserve">inancial </w:t>
      </w:r>
      <w:r>
        <w:t>s</w:t>
      </w:r>
      <w:r w:rsidRPr="008A585C">
        <w:t>elf-</w:t>
      </w:r>
      <w:r>
        <w:t>s</w:t>
      </w:r>
      <w:r w:rsidRPr="008A585C">
        <w:t xml:space="preserve">ufficiency </w:t>
      </w:r>
      <w:r>
        <w:t>r</w:t>
      </w:r>
      <w:r w:rsidRPr="008A585C">
        <w:t>atios of 105</w:t>
      </w:r>
      <w:r>
        <w:t xml:space="preserve"> per cent</w:t>
      </w:r>
      <w:r w:rsidRPr="008A585C">
        <w:t xml:space="preserve"> and returns on assets of 3</w:t>
      </w:r>
      <w:r>
        <w:t xml:space="preserve"> per cent</w:t>
      </w:r>
      <w:r w:rsidRPr="008A585C">
        <w:t xml:space="preserve"> or greater.</w:t>
      </w:r>
    </w:p>
  </w:footnote>
  <w:footnote w:id="47">
    <w:p w:rsidR="008153D9" w:rsidRPr="008A585C" w:rsidRDefault="008153D9" w:rsidP="009D55F8">
      <w:pPr>
        <w:pStyle w:val="FootnoteText"/>
      </w:pPr>
      <w:r w:rsidRPr="008A585C">
        <w:rPr>
          <w:rStyle w:val="FootnoteReference"/>
          <w:sz w:val="14"/>
          <w:szCs w:val="14"/>
        </w:rPr>
        <w:footnoteRef/>
      </w:r>
      <w:r w:rsidRPr="008A585C">
        <w:t xml:space="preserve"> </w:t>
      </w:r>
      <w:r w:rsidRPr="00096446">
        <w:t>PEFA A</w:t>
      </w:r>
      <w:r w:rsidRPr="008A585C">
        <w:t>ssessment, IMF, 2010.</w:t>
      </w:r>
    </w:p>
  </w:footnote>
  <w:footnote w:id="48">
    <w:p w:rsidR="008153D9" w:rsidRPr="008A585C" w:rsidRDefault="008153D9" w:rsidP="009D55F8">
      <w:pPr>
        <w:pStyle w:val="FootnoteText"/>
      </w:pPr>
      <w:r w:rsidRPr="008A585C">
        <w:rPr>
          <w:rStyle w:val="FootnoteReference"/>
          <w:sz w:val="14"/>
          <w:szCs w:val="14"/>
        </w:rPr>
        <w:footnoteRef/>
      </w:r>
      <w:r w:rsidRPr="008A585C">
        <w:t xml:space="preserve"> Timor-Leste Demographic and Health Survey 2009</w:t>
      </w:r>
      <w:r>
        <w:t>–1</w:t>
      </w:r>
      <w:r w:rsidRPr="008A585C">
        <w:t>0, p</w:t>
      </w:r>
      <w:r>
        <w:t>.</w:t>
      </w:r>
      <w:r w:rsidRPr="008A585C">
        <w:t xml:space="preserve"> 245.</w:t>
      </w:r>
    </w:p>
  </w:footnote>
  <w:footnote w:id="49">
    <w:p w:rsidR="008153D9" w:rsidRPr="008A585C" w:rsidRDefault="008153D9" w:rsidP="009D55F8">
      <w:pPr>
        <w:pStyle w:val="FootnoteText"/>
      </w:pPr>
      <w:r w:rsidRPr="008A585C">
        <w:rPr>
          <w:rStyle w:val="FootnoteReference"/>
          <w:sz w:val="14"/>
          <w:szCs w:val="14"/>
        </w:rPr>
        <w:footnoteRef/>
      </w:r>
      <w:r w:rsidRPr="008A585C">
        <w:t xml:space="preserve"> </w:t>
      </w:r>
      <w:r>
        <w:t>Ratings are defined as:</w:t>
      </w:r>
      <w:r w:rsidRPr="008A585C">
        <w:t xml:space="preserve"> High </w:t>
      </w:r>
      <w:r>
        <w:t>q</w:t>
      </w:r>
      <w:r w:rsidRPr="008A585C">
        <w:t>uality: at least three 5s or 6s (no 3s or below). Acceptable/</w:t>
      </w:r>
      <w:r>
        <w:t>m</w:t>
      </w:r>
      <w:r w:rsidRPr="008A585C">
        <w:t xml:space="preserve">oderate quality: 4s and above; </w:t>
      </w:r>
      <w:r>
        <w:t>1</w:t>
      </w:r>
      <w:r w:rsidRPr="008A585C">
        <w:t xml:space="preserve"> rating of 3 allowed; no rating of 2 or 1. Needs improvement: two or more criteria rated at 3; any rating of 2 or 1.</w:t>
      </w:r>
    </w:p>
  </w:footnote>
  <w:footnote w:id="50">
    <w:p w:rsidR="008153D9" w:rsidRPr="008A585C" w:rsidRDefault="008153D9" w:rsidP="009D55F8">
      <w:pPr>
        <w:pStyle w:val="FootnoteText"/>
      </w:pPr>
      <w:r w:rsidRPr="008A585C">
        <w:rPr>
          <w:rStyle w:val="FootnoteReference"/>
          <w:sz w:val="14"/>
          <w:szCs w:val="14"/>
        </w:rPr>
        <w:footnoteRef/>
      </w:r>
      <w:r w:rsidRPr="008A585C">
        <w:t xml:space="preserve"> See ‘</w:t>
      </w:r>
      <w:r>
        <w:t>R</w:t>
      </w:r>
      <w:r w:rsidRPr="008A585C">
        <w:t>esults focus’ below</w:t>
      </w:r>
      <w:r>
        <w:t>.</w:t>
      </w:r>
    </w:p>
  </w:footnote>
  <w:footnote w:id="51">
    <w:p w:rsidR="008153D9" w:rsidRPr="008A585C" w:rsidRDefault="008153D9" w:rsidP="009D55F8">
      <w:pPr>
        <w:pStyle w:val="FootnoteText"/>
      </w:pPr>
      <w:r w:rsidRPr="008A585C">
        <w:rPr>
          <w:rStyle w:val="FootnoteReference"/>
          <w:sz w:val="14"/>
          <w:szCs w:val="14"/>
        </w:rPr>
        <w:footnoteRef/>
      </w:r>
      <w:r w:rsidRPr="008A585C">
        <w:t xml:space="preserve"> See ‘</w:t>
      </w:r>
      <w:r>
        <w:t>C</w:t>
      </w:r>
      <w:r w:rsidRPr="008A585C">
        <w:t>apacity development approaches’ below</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53D9" w:rsidRDefault="008153D9" w:rsidP="00B7603F">
    <w:pPr>
      <w:pStyle w:val="Header"/>
      <w:jc w:val="left"/>
    </w:pPr>
    <w:r>
      <w:rPr>
        <w:noProof/>
        <w:lang w:val="en-US" w:eastAsia="en-US"/>
      </w:rPr>
      <w:drawing>
        <wp:anchor distT="0" distB="0" distL="114300" distR="114300" simplePos="0" relativeHeight="251657728" behindDoc="1" locked="0" layoutInCell="1" allowOverlap="1">
          <wp:simplePos x="0" y="0"/>
          <wp:positionH relativeFrom="page">
            <wp:posOffset>0</wp:posOffset>
          </wp:positionH>
          <wp:positionV relativeFrom="page">
            <wp:posOffset>0</wp:posOffset>
          </wp:positionV>
          <wp:extent cx="7560310" cy="10694035"/>
          <wp:effectExtent l="0" t="0" r="2540" b="0"/>
          <wp:wrapNone/>
          <wp:docPr id="262" name="Picture 262" descr="AusAID_facsheet_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AusAID_facsheet_D2"/>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7560310" cy="106940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21195"/>
    <w:multiLevelType w:val="hybridMultilevel"/>
    <w:tmpl w:val="4B94F184"/>
    <w:lvl w:ilvl="0" w:tplc="D722ED8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B81675"/>
    <w:multiLevelType w:val="hybridMultilevel"/>
    <w:tmpl w:val="7DB28BB6"/>
    <w:lvl w:ilvl="0" w:tplc="D722ED8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BB6388"/>
    <w:multiLevelType w:val="hybridMultilevel"/>
    <w:tmpl w:val="6A221002"/>
    <w:lvl w:ilvl="0" w:tplc="D722ED8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4421EB"/>
    <w:multiLevelType w:val="hybridMultilevel"/>
    <w:tmpl w:val="D0F6EED0"/>
    <w:lvl w:ilvl="0" w:tplc="D722ED8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621CE7"/>
    <w:multiLevelType w:val="hybridMultilevel"/>
    <w:tmpl w:val="0D18B67E"/>
    <w:lvl w:ilvl="0" w:tplc="ACFA6F56">
      <w:start w:val="1"/>
      <w:numFmt w:val="bullet"/>
      <w:pStyle w:val="TableListBullet2"/>
      <w:lvlText w:val="–"/>
      <w:lvlJc w:val="left"/>
      <w:pPr>
        <w:tabs>
          <w:tab w:val="num" w:pos="454"/>
        </w:tabs>
        <w:ind w:left="454" w:hanging="227"/>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77B7DD8"/>
    <w:multiLevelType w:val="hybridMultilevel"/>
    <w:tmpl w:val="3EA6F6DE"/>
    <w:lvl w:ilvl="0" w:tplc="9EA011C6">
      <w:start w:val="1"/>
      <w:numFmt w:val="lowerLetter"/>
      <w:pStyle w:val="TableListNumber2"/>
      <w:lvlText w:val="%1."/>
      <w:lvlJc w:val="left"/>
      <w:pPr>
        <w:tabs>
          <w:tab w:val="num" w:pos="454"/>
        </w:tabs>
        <w:ind w:left="454" w:hanging="227"/>
      </w:pPr>
      <w:rPr>
        <w:rFonts w:hint="default"/>
      </w:rPr>
    </w:lvl>
    <w:lvl w:ilvl="1" w:tplc="1B54C770" w:tentative="1">
      <w:start w:val="1"/>
      <w:numFmt w:val="lowerLetter"/>
      <w:lvlText w:val="%2."/>
      <w:lvlJc w:val="left"/>
      <w:pPr>
        <w:tabs>
          <w:tab w:val="num" w:pos="1440"/>
        </w:tabs>
        <w:ind w:left="1440" w:hanging="360"/>
      </w:pPr>
    </w:lvl>
    <w:lvl w:ilvl="2" w:tplc="A2CE589E" w:tentative="1">
      <w:start w:val="1"/>
      <w:numFmt w:val="lowerRoman"/>
      <w:lvlText w:val="%3."/>
      <w:lvlJc w:val="right"/>
      <w:pPr>
        <w:tabs>
          <w:tab w:val="num" w:pos="2160"/>
        </w:tabs>
        <w:ind w:left="2160" w:hanging="180"/>
      </w:pPr>
    </w:lvl>
    <w:lvl w:ilvl="3" w:tplc="3B00CF5C" w:tentative="1">
      <w:start w:val="1"/>
      <w:numFmt w:val="decimal"/>
      <w:lvlText w:val="%4."/>
      <w:lvlJc w:val="left"/>
      <w:pPr>
        <w:tabs>
          <w:tab w:val="num" w:pos="2880"/>
        </w:tabs>
        <w:ind w:left="2880" w:hanging="360"/>
      </w:pPr>
    </w:lvl>
    <w:lvl w:ilvl="4" w:tplc="7362DC44" w:tentative="1">
      <w:start w:val="1"/>
      <w:numFmt w:val="lowerLetter"/>
      <w:lvlText w:val="%5."/>
      <w:lvlJc w:val="left"/>
      <w:pPr>
        <w:tabs>
          <w:tab w:val="num" w:pos="3600"/>
        </w:tabs>
        <w:ind w:left="3600" w:hanging="360"/>
      </w:pPr>
    </w:lvl>
    <w:lvl w:ilvl="5" w:tplc="DF2A0860" w:tentative="1">
      <w:start w:val="1"/>
      <w:numFmt w:val="lowerRoman"/>
      <w:lvlText w:val="%6."/>
      <w:lvlJc w:val="right"/>
      <w:pPr>
        <w:tabs>
          <w:tab w:val="num" w:pos="4320"/>
        </w:tabs>
        <w:ind w:left="4320" w:hanging="180"/>
      </w:pPr>
    </w:lvl>
    <w:lvl w:ilvl="6" w:tplc="B3B837B8" w:tentative="1">
      <w:start w:val="1"/>
      <w:numFmt w:val="decimal"/>
      <w:lvlText w:val="%7."/>
      <w:lvlJc w:val="left"/>
      <w:pPr>
        <w:tabs>
          <w:tab w:val="num" w:pos="5040"/>
        </w:tabs>
        <w:ind w:left="5040" w:hanging="360"/>
      </w:pPr>
    </w:lvl>
    <w:lvl w:ilvl="7" w:tplc="1F242E02" w:tentative="1">
      <w:start w:val="1"/>
      <w:numFmt w:val="lowerLetter"/>
      <w:lvlText w:val="%8."/>
      <w:lvlJc w:val="left"/>
      <w:pPr>
        <w:tabs>
          <w:tab w:val="num" w:pos="5760"/>
        </w:tabs>
        <w:ind w:left="5760" w:hanging="360"/>
      </w:pPr>
    </w:lvl>
    <w:lvl w:ilvl="8" w:tplc="4DD41DF2" w:tentative="1">
      <w:start w:val="1"/>
      <w:numFmt w:val="lowerRoman"/>
      <w:lvlText w:val="%9."/>
      <w:lvlJc w:val="right"/>
      <w:pPr>
        <w:tabs>
          <w:tab w:val="num" w:pos="6480"/>
        </w:tabs>
        <w:ind w:left="6480" w:hanging="180"/>
      </w:pPr>
    </w:lvl>
  </w:abstractNum>
  <w:abstractNum w:abstractNumId="6">
    <w:nsid w:val="180665BC"/>
    <w:multiLevelType w:val="hybridMultilevel"/>
    <w:tmpl w:val="4DC601BA"/>
    <w:lvl w:ilvl="0" w:tplc="5D98112C">
      <w:start w:val="1"/>
      <w:numFmt w:val="decimal"/>
      <w:pStyle w:val="ListNumber"/>
      <w:lvlText w:val="%1."/>
      <w:lvlJc w:val="left"/>
      <w:pPr>
        <w:tabs>
          <w:tab w:val="num" w:pos="284"/>
        </w:tabs>
        <w:ind w:left="28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09B02A7"/>
    <w:multiLevelType w:val="singleLevel"/>
    <w:tmpl w:val="38C655C0"/>
    <w:lvl w:ilvl="0">
      <w:start w:val="1"/>
      <w:numFmt w:val="bullet"/>
      <w:pStyle w:val="ListBullet2"/>
      <w:lvlText w:val="–"/>
      <w:lvlJc w:val="left"/>
      <w:pPr>
        <w:tabs>
          <w:tab w:val="num" w:pos="567"/>
        </w:tabs>
        <w:ind w:left="567" w:hanging="283"/>
      </w:pPr>
      <w:rPr>
        <w:rFonts w:cs="Times New Roman" w:hint="default"/>
        <w:color w:val="auto"/>
        <w:sz w:val="21"/>
        <w:szCs w:val="21"/>
      </w:rPr>
    </w:lvl>
  </w:abstractNum>
  <w:abstractNum w:abstractNumId="8">
    <w:nsid w:val="2B562DC5"/>
    <w:multiLevelType w:val="hybridMultilevel"/>
    <w:tmpl w:val="315010E6"/>
    <w:lvl w:ilvl="0" w:tplc="D722ED8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82D65A6"/>
    <w:multiLevelType w:val="hybridMultilevel"/>
    <w:tmpl w:val="A7446C82"/>
    <w:lvl w:ilvl="0" w:tplc="B70A9096">
      <w:start w:val="1"/>
      <w:numFmt w:val="decimal"/>
      <w:pStyle w:val="BoxListNumber"/>
      <w:lvlText w:val="%1."/>
      <w:lvlJc w:val="left"/>
      <w:pPr>
        <w:tabs>
          <w:tab w:val="num" w:pos="284"/>
        </w:tabs>
        <w:ind w:left="28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9233F6B"/>
    <w:multiLevelType w:val="hybridMultilevel"/>
    <w:tmpl w:val="53929CB2"/>
    <w:lvl w:ilvl="0" w:tplc="86087374">
      <w:start w:val="1"/>
      <w:numFmt w:val="lowerLetter"/>
      <w:pStyle w:val="BoxListNumber2"/>
      <w:lvlText w:val="%1."/>
      <w:lvlJc w:val="left"/>
      <w:pPr>
        <w:tabs>
          <w:tab w:val="num" w:pos="567"/>
        </w:tabs>
        <w:ind w:left="567" w:hanging="283"/>
      </w:pPr>
      <w:rPr>
        <w:rFonts w:hint="default"/>
      </w:rPr>
    </w:lvl>
    <w:lvl w:ilvl="1" w:tplc="B748D5C2" w:tentative="1">
      <w:start w:val="1"/>
      <w:numFmt w:val="lowerLetter"/>
      <w:lvlText w:val="%2."/>
      <w:lvlJc w:val="left"/>
      <w:pPr>
        <w:tabs>
          <w:tab w:val="num" w:pos="1440"/>
        </w:tabs>
        <w:ind w:left="1440" w:hanging="360"/>
      </w:pPr>
    </w:lvl>
    <w:lvl w:ilvl="2" w:tplc="06764082" w:tentative="1">
      <w:start w:val="1"/>
      <w:numFmt w:val="lowerRoman"/>
      <w:lvlText w:val="%3."/>
      <w:lvlJc w:val="right"/>
      <w:pPr>
        <w:tabs>
          <w:tab w:val="num" w:pos="2160"/>
        </w:tabs>
        <w:ind w:left="2160" w:hanging="180"/>
      </w:pPr>
    </w:lvl>
    <w:lvl w:ilvl="3" w:tplc="32EC0F32" w:tentative="1">
      <w:start w:val="1"/>
      <w:numFmt w:val="decimal"/>
      <w:lvlText w:val="%4."/>
      <w:lvlJc w:val="left"/>
      <w:pPr>
        <w:tabs>
          <w:tab w:val="num" w:pos="2880"/>
        </w:tabs>
        <w:ind w:left="2880" w:hanging="360"/>
      </w:pPr>
    </w:lvl>
    <w:lvl w:ilvl="4" w:tplc="63EE1960" w:tentative="1">
      <w:start w:val="1"/>
      <w:numFmt w:val="lowerLetter"/>
      <w:lvlText w:val="%5."/>
      <w:lvlJc w:val="left"/>
      <w:pPr>
        <w:tabs>
          <w:tab w:val="num" w:pos="3600"/>
        </w:tabs>
        <w:ind w:left="3600" w:hanging="360"/>
      </w:pPr>
    </w:lvl>
    <w:lvl w:ilvl="5" w:tplc="FCE23420" w:tentative="1">
      <w:start w:val="1"/>
      <w:numFmt w:val="lowerRoman"/>
      <w:lvlText w:val="%6."/>
      <w:lvlJc w:val="right"/>
      <w:pPr>
        <w:tabs>
          <w:tab w:val="num" w:pos="4320"/>
        </w:tabs>
        <w:ind w:left="4320" w:hanging="180"/>
      </w:pPr>
    </w:lvl>
    <w:lvl w:ilvl="6" w:tplc="1DEC67E4" w:tentative="1">
      <w:start w:val="1"/>
      <w:numFmt w:val="decimal"/>
      <w:lvlText w:val="%7."/>
      <w:lvlJc w:val="left"/>
      <w:pPr>
        <w:tabs>
          <w:tab w:val="num" w:pos="5040"/>
        </w:tabs>
        <w:ind w:left="5040" w:hanging="360"/>
      </w:pPr>
    </w:lvl>
    <w:lvl w:ilvl="7" w:tplc="F9328F7C" w:tentative="1">
      <w:start w:val="1"/>
      <w:numFmt w:val="lowerLetter"/>
      <w:lvlText w:val="%8."/>
      <w:lvlJc w:val="left"/>
      <w:pPr>
        <w:tabs>
          <w:tab w:val="num" w:pos="5760"/>
        </w:tabs>
        <w:ind w:left="5760" w:hanging="360"/>
      </w:pPr>
    </w:lvl>
    <w:lvl w:ilvl="8" w:tplc="29480456" w:tentative="1">
      <w:start w:val="1"/>
      <w:numFmt w:val="lowerRoman"/>
      <w:lvlText w:val="%9."/>
      <w:lvlJc w:val="right"/>
      <w:pPr>
        <w:tabs>
          <w:tab w:val="num" w:pos="6480"/>
        </w:tabs>
        <w:ind w:left="6480" w:hanging="180"/>
      </w:pPr>
    </w:lvl>
  </w:abstractNum>
  <w:abstractNum w:abstractNumId="11">
    <w:nsid w:val="46CD579B"/>
    <w:multiLevelType w:val="hybridMultilevel"/>
    <w:tmpl w:val="36F2514A"/>
    <w:lvl w:ilvl="0" w:tplc="F904D504">
      <w:start w:val="1"/>
      <w:numFmt w:val="bullet"/>
      <w:pStyle w:val="BoxListBullet"/>
      <w:lvlText w:val="&gt;"/>
      <w:lvlJc w:val="left"/>
      <w:pPr>
        <w:tabs>
          <w:tab w:val="num" w:pos="284"/>
        </w:tabs>
        <w:ind w:left="284" w:hanging="284"/>
      </w:pPr>
      <w:rPr>
        <w:rFonts w:hint="default"/>
        <w:color w:val="auto"/>
      </w:rPr>
    </w:lvl>
    <w:lvl w:ilvl="1" w:tplc="8FFC19AE" w:tentative="1">
      <w:start w:val="1"/>
      <w:numFmt w:val="bullet"/>
      <w:lvlText w:val="o"/>
      <w:lvlJc w:val="left"/>
      <w:pPr>
        <w:tabs>
          <w:tab w:val="num" w:pos="1440"/>
        </w:tabs>
        <w:ind w:left="1440" w:hanging="360"/>
      </w:pPr>
      <w:rPr>
        <w:rFonts w:ascii="Courier New" w:hAnsi="Courier New" w:cs="Courier New" w:hint="default"/>
      </w:rPr>
    </w:lvl>
    <w:lvl w:ilvl="2" w:tplc="89D05666" w:tentative="1">
      <w:start w:val="1"/>
      <w:numFmt w:val="bullet"/>
      <w:lvlText w:val=""/>
      <w:lvlJc w:val="left"/>
      <w:pPr>
        <w:tabs>
          <w:tab w:val="num" w:pos="2160"/>
        </w:tabs>
        <w:ind w:left="2160" w:hanging="360"/>
      </w:pPr>
      <w:rPr>
        <w:rFonts w:ascii="Wingdings" w:hAnsi="Wingdings" w:hint="default"/>
      </w:rPr>
    </w:lvl>
    <w:lvl w:ilvl="3" w:tplc="05D05AB6" w:tentative="1">
      <w:start w:val="1"/>
      <w:numFmt w:val="bullet"/>
      <w:lvlText w:val=""/>
      <w:lvlJc w:val="left"/>
      <w:pPr>
        <w:tabs>
          <w:tab w:val="num" w:pos="2880"/>
        </w:tabs>
        <w:ind w:left="2880" w:hanging="360"/>
      </w:pPr>
      <w:rPr>
        <w:rFonts w:ascii="Symbol" w:hAnsi="Symbol" w:hint="default"/>
      </w:rPr>
    </w:lvl>
    <w:lvl w:ilvl="4" w:tplc="512A14B2" w:tentative="1">
      <w:start w:val="1"/>
      <w:numFmt w:val="bullet"/>
      <w:lvlText w:val="o"/>
      <w:lvlJc w:val="left"/>
      <w:pPr>
        <w:tabs>
          <w:tab w:val="num" w:pos="3600"/>
        </w:tabs>
        <w:ind w:left="3600" w:hanging="360"/>
      </w:pPr>
      <w:rPr>
        <w:rFonts w:ascii="Courier New" w:hAnsi="Courier New" w:cs="Courier New" w:hint="default"/>
      </w:rPr>
    </w:lvl>
    <w:lvl w:ilvl="5" w:tplc="5D7CB496" w:tentative="1">
      <w:start w:val="1"/>
      <w:numFmt w:val="bullet"/>
      <w:lvlText w:val=""/>
      <w:lvlJc w:val="left"/>
      <w:pPr>
        <w:tabs>
          <w:tab w:val="num" w:pos="4320"/>
        </w:tabs>
        <w:ind w:left="4320" w:hanging="360"/>
      </w:pPr>
      <w:rPr>
        <w:rFonts w:ascii="Wingdings" w:hAnsi="Wingdings" w:hint="default"/>
      </w:rPr>
    </w:lvl>
    <w:lvl w:ilvl="6" w:tplc="6BD06C42" w:tentative="1">
      <w:start w:val="1"/>
      <w:numFmt w:val="bullet"/>
      <w:lvlText w:val=""/>
      <w:lvlJc w:val="left"/>
      <w:pPr>
        <w:tabs>
          <w:tab w:val="num" w:pos="5040"/>
        </w:tabs>
        <w:ind w:left="5040" w:hanging="360"/>
      </w:pPr>
      <w:rPr>
        <w:rFonts w:ascii="Symbol" w:hAnsi="Symbol" w:hint="default"/>
      </w:rPr>
    </w:lvl>
    <w:lvl w:ilvl="7" w:tplc="7C16C418" w:tentative="1">
      <w:start w:val="1"/>
      <w:numFmt w:val="bullet"/>
      <w:lvlText w:val="o"/>
      <w:lvlJc w:val="left"/>
      <w:pPr>
        <w:tabs>
          <w:tab w:val="num" w:pos="5760"/>
        </w:tabs>
        <w:ind w:left="5760" w:hanging="360"/>
      </w:pPr>
      <w:rPr>
        <w:rFonts w:ascii="Courier New" w:hAnsi="Courier New" w:cs="Courier New" w:hint="default"/>
      </w:rPr>
    </w:lvl>
    <w:lvl w:ilvl="8" w:tplc="53D2F8C2" w:tentative="1">
      <w:start w:val="1"/>
      <w:numFmt w:val="bullet"/>
      <w:lvlText w:val=""/>
      <w:lvlJc w:val="left"/>
      <w:pPr>
        <w:tabs>
          <w:tab w:val="num" w:pos="6480"/>
        </w:tabs>
        <w:ind w:left="6480" w:hanging="360"/>
      </w:pPr>
      <w:rPr>
        <w:rFonts w:ascii="Wingdings" w:hAnsi="Wingdings" w:hint="default"/>
      </w:rPr>
    </w:lvl>
  </w:abstractNum>
  <w:abstractNum w:abstractNumId="12">
    <w:nsid w:val="52B943C2"/>
    <w:multiLevelType w:val="hybridMultilevel"/>
    <w:tmpl w:val="5A18D8E8"/>
    <w:lvl w:ilvl="0" w:tplc="F036122A">
      <w:start w:val="1"/>
      <w:numFmt w:val="bullet"/>
      <w:pStyle w:val="Ratingamber"/>
      <w:lvlText w:val=""/>
      <w:lvlJc w:val="left"/>
      <w:pPr>
        <w:tabs>
          <w:tab w:val="num" w:pos="567"/>
        </w:tabs>
        <w:ind w:left="567" w:hanging="567"/>
      </w:pPr>
      <w:rPr>
        <w:rFonts w:ascii="Webdings" w:hAnsi="Webdings" w:hint="default"/>
        <w:color w:val="FF9900"/>
        <w:spacing w:val="0"/>
        <w:position w:val="-2"/>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3692D64"/>
    <w:multiLevelType w:val="hybridMultilevel"/>
    <w:tmpl w:val="3544D402"/>
    <w:lvl w:ilvl="0" w:tplc="49BABBDA">
      <w:start w:val="1"/>
      <w:numFmt w:val="bullet"/>
      <w:pStyle w:val="BoxListBullet2"/>
      <w:lvlText w:val="–"/>
      <w:lvlJc w:val="left"/>
      <w:pPr>
        <w:tabs>
          <w:tab w:val="num" w:pos="567"/>
        </w:tabs>
        <w:ind w:left="567" w:hanging="283"/>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nsid w:val="5695661F"/>
    <w:multiLevelType w:val="hybridMultilevel"/>
    <w:tmpl w:val="0A2CB82E"/>
    <w:lvl w:ilvl="0" w:tplc="D722ED8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82602F4"/>
    <w:multiLevelType w:val="hybridMultilevel"/>
    <w:tmpl w:val="EE6C6F2A"/>
    <w:lvl w:ilvl="0" w:tplc="D722ED8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98A5214"/>
    <w:multiLevelType w:val="hybridMultilevel"/>
    <w:tmpl w:val="0B5AC610"/>
    <w:lvl w:ilvl="0" w:tplc="21EA8D80">
      <w:start w:val="1"/>
      <w:numFmt w:val="decimal"/>
      <w:pStyle w:val="TableListNumber"/>
      <w:lvlText w:val="%1."/>
      <w:lvlJc w:val="left"/>
      <w:pPr>
        <w:tabs>
          <w:tab w:val="num" w:pos="227"/>
        </w:tabs>
        <w:ind w:left="227" w:hanging="227"/>
      </w:pPr>
      <w:rPr>
        <w:rFonts w:hint="default"/>
      </w:rPr>
    </w:lvl>
    <w:lvl w:ilvl="1" w:tplc="0D2A5F0A">
      <w:start w:val="1"/>
      <w:numFmt w:val="lowerLetter"/>
      <w:lvlText w:val="%2."/>
      <w:lvlJc w:val="left"/>
      <w:pPr>
        <w:tabs>
          <w:tab w:val="num" w:pos="1440"/>
        </w:tabs>
        <w:ind w:left="1440" w:hanging="360"/>
      </w:pPr>
    </w:lvl>
    <w:lvl w:ilvl="2" w:tplc="8B2A66D0" w:tentative="1">
      <w:start w:val="1"/>
      <w:numFmt w:val="lowerRoman"/>
      <w:lvlText w:val="%3."/>
      <w:lvlJc w:val="right"/>
      <w:pPr>
        <w:tabs>
          <w:tab w:val="num" w:pos="2160"/>
        </w:tabs>
        <w:ind w:left="2160" w:hanging="180"/>
      </w:pPr>
    </w:lvl>
    <w:lvl w:ilvl="3" w:tplc="9C469B80" w:tentative="1">
      <w:start w:val="1"/>
      <w:numFmt w:val="decimal"/>
      <w:lvlText w:val="%4."/>
      <w:lvlJc w:val="left"/>
      <w:pPr>
        <w:tabs>
          <w:tab w:val="num" w:pos="2880"/>
        </w:tabs>
        <w:ind w:left="2880" w:hanging="360"/>
      </w:pPr>
    </w:lvl>
    <w:lvl w:ilvl="4" w:tplc="F350CBD4" w:tentative="1">
      <w:start w:val="1"/>
      <w:numFmt w:val="lowerLetter"/>
      <w:lvlText w:val="%5."/>
      <w:lvlJc w:val="left"/>
      <w:pPr>
        <w:tabs>
          <w:tab w:val="num" w:pos="3600"/>
        </w:tabs>
        <w:ind w:left="3600" w:hanging="360"/>
      </w:pPr>
    </w:lvl>
    <w:lvl w:ilvl="5" w:tplc="09706084" w:tentative="1">
      <w:start w:val="1"/>
      <w:numFmt w:val="lowerRoman"/>
      <w:lvlText w:val="%6."/>
      <w:lvlJc w:val="right"/>
      <w:pPr>
        <w:tabs>
          <w:tab w:val="num" w:pos="4320"/>
        </w:tabs>
        <w:ind w:left="4320" w:hanging="180"/>
      </w:pPr>
    </w:lvl>
    <w:lvl w:ilvl="6" w:tplc="FF82C76E" w:tentative="1">
      <w:start w:val="1"/>
      <w:numFmt w:val="decimal"/>
      <w:lvlText w:val="%7."/>
      <w:lvlJc w:val="left"/>
      <w:pPr>
        <w:tabs>
          <w:tab w:val="num" w:pos="5040"/>
        </w:tabs>
        <w:ind w:left="5040" w:hanging="360"/>
      </w:pPr>
    </w:lvl>
    <w:lvl w:ilvl="7" w:tplc="74DC8806" w:tentative="1">
      <w:start w:val="1"/>
      <w:numFmt w:val="lowerLetter"/>
      <w:lvlText w:val="%8."/>
      <w:lvlJc w:val="left"/>
      <w:pPr>
        <w:tabs>
          <w:tab w:val="num" w:pos="5760"/>
        </w:tabs>
        <w:ind w:left="5760" w:hanging="360"/>
      </w:pPr>
    </w:lvl>
    <w:lvl w:ilvl="8" w:tplc="CFE89D26" w:tentative="1">
      <w:start w:val="1"/>
      <w:numFmt w:val="lowerRoman"/>
      <w:lvlText w:val="%9."/>
      <w:lvlJc w:val="right"/>
      <w:pPr>
        <w:tabs>
          <w:tab w:val="num" w:pos="6480"/>
        </w:tabs>
        <w:ind w:left="6480" w:hanging="180"/>
      </w:pPr>
    </w:lvl>
  </w:abstractNum>
  <w:abstractNum w:abstractNumId="17">
    <w:nsid w:val="63EC277D"/>
    <w:multiLevelType w:val="hybridMultilevel"/>
    <w:tmpl w:val="5622DCD2"/>
    <w:lvl w:ilvl="0" w:tplc="F280E2B4">
      <w:start w:val="1"/>
      <w:numFmt w:val="bullet"/>
      <w:pStyle w:val="QuoteBullet"/>
      <w:lvlText w:val="•"/>
      <w:lvlJc w:val="left"/>
      <w:pPr>
        <w:tabs>
          <w:tab w:val="num" w:pos="567"/>
        </w:tabs>
        <w:ind w:left="567" w:hanging="283"/>
      </w:pPr>
      <w:rPr>
        <w:rFonts w:ascii="Garamond" w:hAnsi="Garamond"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4F264CF"/>
    <w:multiLevelType w:val="multilevel"/>
    <w:tmpl w:val="DD5A44F4"/>
    <w:lvl w:ilvl="0">
      <w:start w:val="1"/>
      <w:numFmt w:val="none"/>
      <w:suff w:val="nothing"/>
      <w:lvlText w:val=""/>
      <w:lvlJc w:val="left"/>
      <w:pPr>
        <w:ind w:left="-32767" w:firstLine="0"/>
      </w:pPr>
      <w:rPr>
        <w:rFonts w:hint="default"/>
        <w:b w:val="0"/>
        <w:i w:val="0"/>
        <w:color w:val="54534A"/>
      </w:rPr>
    </w:lvl>
    <w:lvl w:ilvl="1">
      <w:start w:val="1"/>
      <w:numFmt w:val="none"/>
      <w:pStyle w:val="Heading2"/>
      <w:suff w:val="nothing"/>
      <w:lvlText w:val=""/>
      <w:lvlJc w:val="left"/>
      <w:pPr>
        <w:ind w:left="-32767" w:firstLine="0"/>
      </w:pPr>
      <w:rPr>
        <w:rFonts w:hint="default"/>
      </w:rPr>
    </w:lvl>
    <w:lvl w:ilvl="2">
      <w:start w:val="1"/>
      <w:numFmt w:val="none"/>
      <w:lvlRestart w:val="0"/>
      <w:pStyle w:val="Heading3"/>
      <w:suff w:val="nothing"/>
      <w:lvlText w:val=""/>
      <w:lvlJc w:val="left"/>
      <w:pPr>
        <w:ind w:left="0" w:firstLine="0"/>
      </w:pPr>
      <w:rPr>
        <w:rFonts w:hint="default"/>
      </w:rPr>
    </w:lvl>
    <w:lvl w:ilvl="3">
      <w:start w:val="1"/>
      <w:numFmt w:val="none"/>
      <w:lvlRestart w:val="0"/>
      <w:pStyle w:val="Heading4"/>
      <w:suff w:val="nothing"/>
      <w:lvlText w:val=""/>
      <w:lvlJc w:val="left"/>
      <w:pPr>
        <w:ind w:left="0" w:firstLine="0"/>
      </w:pPr>
      <w:rPr>
        <w:rFonts w:hint="default"/>
      </w:rPr>
    </w:lvl>
    <w:lvl w:ilvl="4">
      <w:start w:val="1"/>
      <w:numFmt w:val="none"/>
      <w:lvlRestart w:val="0"/>
      <w:pStyle w:val="Heading5"/>
      <w:suff w:val="nothing"/>
      <w:lvlText w:val=""/>
      <w:lvlJc w:val="left"/>
      <w:pPr>
        <w:ind w:left="0" w:firstLine="0"/>
      </w:pPr>
      <w:rPr>
        <w:rFonts w:hint="default"/>
      </w:rPr>
    </w:lvl>
    <w:lvl w:ilvl="5">
      <w:start w:val="1"/>
      <w:numFmt w:val="upperLetter"/>
      <w:lvlRestart w:val="0"/>
      <w:pStyle w:val="Heading6"/>
      <w:lvlText w:val="%6"/>
      <w:lvlJc w:val="left"/>
      <w:pPr>
        <w:tabs>
          <w:tab w:val="num" w:pos="709"/>
        </w:tabs>
        <w:ind w:left="709" w:hanging="709"/>
      </w:pPr>
      <w:rPr>
        <w:rFonts w:ascii="Franklin Gothic Book" w:hAnsi="Franklin Gothic Book" w:hint="default"/>
        <w:b w:val="0"/>
        <w:i w:val="0"/>
        <w:caps w:val="0"/>
        <w:color w:val="54534A"/>
        <w:position w:val="0"/>
        <w:sz w:val="50"/>
        <w:szCs w:val="50"/>
      </w:rPr>
    </w:lvl>
    <w:lvl w:ilvl="6">
      <w:start w:val="1"/>
      <w:numFmt w:val="none"/>
      <w:lvlRestart w:val="0"/>
      <w:pStyle w:val="Heading7"/>
      <w:suff w:val="nothing"/>
      <w:lvlText w:val=""/>
      <w:lvlJc w:val="left"/>
      <w:pPr>
        <w:ind w:left="0" w:firstLine="0"/>
      </w:pPr>
      <w:rPr>
        <w:rFonts w:hint="default"/>
        <w:caps/>
        <w:sz w:val="22"/>
        <w:szCs w:val="22"/>
      </w:rPr>
    </w:lvl>
    <w:lvl w:ilvl="7">
      <w:start w:val="1"/>
      <w:numFmt w:val="none"/>
      <w:lvlRestart w:val="0"/>
      <w:pStyle w:val="Heading8"/>
      <w:suff w:val="nothing"/>
      <w:lvlText w:val=""/>
      <w:lvlJc w:val="left"/>
      <w:pPr>
        <w:ind w:left="0" w:firstLine="0"/>
      </w:pPr>
      <w:rPr>
        <w:rFonts w:hint="default"/>
      </w:rPr>
    </w:lvl>
    <w:lvl w:ilvl="8">
      <w:start w:val="1"/>
      <w:numFmt w:val="none"/>
      <w:lvlRestart w:val="0"/>
      <w:pStyle w:val="Heading9"/>
      <w:suff w:val="nothing"/>
      <w:lvlText w:val=""/>
      <w:lvlJc w:val="left"/>
      <w:pPr>
        <w:ind w:left="0" w:firstLine="0"/>
      </w:pPr>
      <w:rPr>
        <w:rFonts w:hint="default"/>
      </w:rPr>
    </w:lvl>
  </w:abstractNum>
  <w:abstractNum w:abstractNumId="19">
    <w:nsid w:val="66C55035"/>
    <w:multiLevelType w:val="hybridMultilevel"/>
    <w:tmpl w:val="A0C89EE8"/>
    <w:lvl w:ilvl="0" w:tplc="D3782208">
      <w:start w:val="1"/>
      <w:numFmt w:val="bullet"/>
      <w:pStyle w:val="TableListBullet"/>
      <w:lvlText w:val="&gt;"/>
      <w:lvlJc w:val="left"/>
      <w:pPr>
        <w:tabs>
          <w:tab w:val="num" w:pos="227"/>
        </w:tabs>
        <w:ind w:left="227" w:hanging="227"/>
      </w:pPr>
      <w:rPr>
        <w:rFonts w:hint="default"/>
        <w:color w:val="auto"/>
        <w:spacing w:val="0"/>
        <w:w w:val="100"/>
        <w:position w:val="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nsid w:val="6CA95AF5"/>
    <w:multiLevelType w:val="multilevel"/>
    <w:tmpl w:val="AA96A81E"/>
    <w:lvl w:ilvl="0">
      <w:start w:val="1"/>
      <w:numFmt w:val="lowerLetter"/>
      <w:lvlRestart w:val="0"/>
      <w:pStyle w:val="NoteNumber"/>
      <w:lvlText w:val="%1"/>
      <w:lvlJc w:val="left"/>
      <w:pPr>
        <w:tabs>
          <w:tab w:val="num" w:pos="170"/>
        </w:tabs>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color w:val="000000"/>
        <w:spacing w:val="0"/>
        <w:kern w:val="0"/>
        <w:position w:val="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440"/>
        </w:tabs>
        <w:ind w:left="1440" w:hanging="363"/>
      </w:pPr>
      <w:rPr>
        <w:rFonts w:hint="default"/>
      </w:rPr>
    </w:lvl>
    <w:lvl w:ilvl="2">
      <w:start w:val="1"/>
      <w:numFmt w:val="lowerRoman"/>
      <w:lvlText w:val="%3."/>
      <w:lvlJc w:val="right"/>
      <w:pPr>
        <w:tabs>
          <w:tab w:val="num" w:pos="2160"/>
        </w:tabs>
        <w:ind w:left="2160" w:hanging="181"/>
      </w:pPr>
      <w:rPr>
        <w:rFonts w:hint="default"/>
      </w:rPr>
    </w:lvl>
    <w:lvl w:ilvl="3">
      <w:start w:val="1"/>
      <w:numFmt w:val="decimal"/>
      <w:lvlText w:val="%4."/>
      <w:lvlJc w:val="left"/>
      <w:pPr>
        <w:tabs>
          <w:tab w:val="num" w:pos="2880"/>
        </w:tabs>
        <w:ind w:left="2880" w:hanging="363"/>
      </w:pPr>
      <w:rPr>
        <w:rFonts w:hint="default"/>
      </w:rPr>
    </w:lvl>
    <w:lvl w:ilvl="4">
      <w:start w:val="1"/>
      <w:numFmt w:val="lowerLetter"/>
      <w:lvlText w:val="%5."/>
      <w:lvlJc w:val="left"/>
      <w:pPr>
        <w:tabs>
          <w:tab w:val="num" w:pos="3600"/>
        </w:tabs>
        <w:ind w:left="3600" w:hanging="363"/>
      </w:pPr>
      <w:rPr>
        <w:rFonts w:hint="default"/>
      </w:rPr>
    </w:lvl>
    <w:lvl w:ilvl="5">
      <w:start w:val="1"/>
      <w:numFmt w:val="lowerRoman"/>
      <w:lvlText w:val="%6."/>
      <w:lvlJc w:val="right"/>
      <w:pPr>
        <w:tabs>
          <w:tab w:val="num" w:pos="4320"/>
        </w:tabs>
        <w:ind w:left="4320" w:hanging="181"/>
      </w:pPr>
      <w:rPr>
        <w:rFonts w:hint="default"/>
      </w:rPr>
    </w:lvl>
    <w:lvl w:ilvl="6">
      <w:start w:val="1"/>
      <w:numFmt w:val="decimal"/>
      <w:lvlText w:val="%7."/>
      <w:lvlJc w:val="left"/>
      <w:pPr>
        <w:tabs>
          <w:tab w:val="num" w:pos="5040"/>
        </w:tabs>
        <w:ind w:left="5040" w:hanging="363"/>
      </w:pPr>
      <w:rPr>
        <w:rFonts w:hint="default"/>
      </w:rPr>
    </w:lvl>
    <w:lvl w:ilvl="7">
      <w:start w:val="1"/>
      <w:numFmt w:val="lowerLetter"/>
      <w:lvlText w:val="%8."/>
      <w:lvlJc w:val="left"/>
      <w:pPr>
        <w:tabs>
          <w:tab w:val="num" w:pos="5760"/>
        </w:tabs>
        <w:ind w:left="5760" w:hanging="363"/>
      </w:pPr>
      <w:rPr>
        <w:rFonts w:hint="default"/>
      </w:rPr>
    </w:lvl>
    <w:lvl w:ilvl="8">
      <w:start w:val="1"/>
      <w:numFmt w:val="lowerRoman"/>
      <w:lvlText w:val="%9."/>
      <w:lvlJc w:val="right"/>
      <w:pPr>
        <w:tabs>
          <w:tab w:val="num" w:pos="6480"/>
        </w:tabs>
        <w:ind w:left="6480" w:hanging="181"/>
      </w:pPr>
      <w:rPr>
        <w:rFonts w:hint="default"/>
      </w:rPr>
    </w:lvl>
  </w:abstractNum>
  <w:abstractNum w:abstractNumId="21">
    <w:nsid w:val="6CF363E8"/>
    <w:multiLevelType w:val="hybridMultilevel"/>
    <w:tmpl w:val="663688F2"/>
    <w:lvl w:ilvl="0" w:tplc="02A4C866">
      <w:start w:val="1"/>
      <w:numFmt w:val="bullet"/>
      <w:pStyle w:val="Ratinggreen"/>
      <w:lvlText w:val=""/>
      <w:lvlJc w:val="left"/>
      <w:pPr>
        <w:tabs>
          <w:tab w:val="num" w:pos="567"/>
        </w:tabs>
        <w:ind w:left="567" w:hanging="567"/>
      </w:pPr>
      <w:rPr>
        <w:rFonts w:ascii="Webdings" w:hAnsi="Webdings" w:hint="default"/>
        <w:color w:val="99CC00"/>
        <w:spacing w:val="0"/>
        <w:position w:val="-2"/>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6F567599"/>
    <w:multiLevelType w:val="hybridMultilevel"/>
    <w:tmpl w:val="AABEB4EA"/>
    <w:lvl w:ilvl="0" w:tplc="D722ED8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4EF3CC3"/>
    <w:multiLevelType w:val="hybridMultilevel"/>
    <w:tmpl w:val="B00AE320"/>
    <w:lvl w:ilvl="0" w:tplc="D722ED8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7EC6E2A"/>
    <w:multiLevelType w:val="hybridMultilevel"/>
    <w:tmpl w:val="037E7620"/>
    <w:lvl w:ilvl="0" w:tplc="D722ED8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9E1124E"/>
    <w:multiLevelType w:val="hybridMultilevel"/>
    <w:tmpl w:val="6D42E656"/>
    <w:lvl w:ilvl="0" w:tplc="64D011FA">
      <w:start w:val="1"/>
      <w:numFmt w:val="lowerLetter"/>
      <w:pStyle w:val="ListNumber2"/>
      <w:lvlText w:val="%1."/>
      <w:lvlJc w:val="left"/>
      <w:pPr>
        <w:tabs>
          <w:tab w:val="num" w:pos="567"/>
        </w:tabs>
        <w:ind w:left="567" w:hanging="283"/>
      </w:pPr>
      <w:rPr>
        <w:rFonts w:hint="default"/>
      </w:rPr>
    </w:lvl>
    <w:lvl w:ilvl="1" w:tplc="E918C348" w:tentative="1">
      <w:start w:val="1"/>
      <w:numFmt w:val="lowerLetter"/>
      <w:lvlText w:val="%2."/>
      <w:lvlJc w:val="left"/>
      <w:pPr>
        <w:tabs>
          <w:tab w:val="num" w:pos="1440"/>
        </w:tabs>
        <w:ind w:left="1440" w:hanging="360"/>
      </w:pPr>
    </w:lvl>
    <w:lvl w:ilvl="2" w:tplc="32BCA5D6" w:tentative="1">
      <w:start w:val="1"/>
      <w:numFmt w:val="lowerRoman"/>
      <w:lvlText w:val="%3."/>
      <w:lvlJc w:val="right"/>
      <w:pPr>
        <w:tabs>
          <w:tab w:val="num" w:pos="2160"/>
        </w:tabs>
        <w:ind w:left="2160" w:hanging="180"/>
      </w:pPr>
    </w:lvl>
    <w:lvl w:ilvl="3" w:tplc="A148CDA0" w:tentative="1">
      <w:start w:val="1"/>
      <w:numFmt w:val="decimal"/>
      <w:lvlText w:val="%4."/>
      <w:lvlJc w:val="left"/>
      <w:pPr>
        <w:tabs>
          <w:tab w:val="num" w:pos="2880"/>
        </w:tabs>
        <w:ind w:left="2880" w:hanging="360"/>
      </w:pPr>
    </w:lvl>
    <w:lvl w:ilvl="4" w:tplc="186E774A" w:tentative="1">
      <w:start w:val="1"/>
      <w:numFmt w:val="lowerLetter"/>
      <w:lvlText w:val="%5."/>
      <w:lvlJc w:val="left"/>
      <w:pPr>
        <w:tabs>
          <w:tab w:val="num" w:pos="3600"/>
        </w:tabs>
        <w:ind w:left="3600" w:hanging="360"/>
      </w:pPr>
    </w:lvl>
    <w:lvl w:ilvl="5" w:tplc="D48A2DB6" w:tentative="1">
      <w:start w:val="1"/>
      <w:numFmt w:val="lowerRoman"/>
      <w:lvlText w:val="%6."/>
      <w:lvlJc w:val="right"/>
      <w:pPr>
        <w:tabs>
          <w:tab w:val="num" w:pos="4320"/>
        </w:tabs>
        <w:ind w:left="4320" w:hanging="180"/>
      </w:pPr>
    </w:lvl>
    <w:lvl w:ilvl="6" w:tplc="EA102398" w:tentative="1">
      <w:start w:val="1"/>
      <w:numFmt w:val="decimal"/>
      <w:lvlText w:val="%7."/>
      <w:lvlJc w:val="left"/>
      <w:pPr>
        <w:tabs>
          <w:tab w:val="num" w:pos="5040"/>
        </w:tabs>
        <w:ind w:left="5040" w:hanging="360"/>
      </w:pPr>
    </w:lvl>
    <w:lvl w:ilvl="7" w:tplc="E6307110" w:tentative="1">
      <w:start w:val="1"/>
      <w:numFmt w:val="lowerLetter"/>
      <w:lvlText w:val="%8."/>
      <w:lvlJc w:val="left"/>
      <w:pPr>
        <w:tabs>
          <w:tab w:val="num" w:pos="5760"/>
        </w:tabs>
        <w:ind w:left="5760" w:hanging="360"/>
      </w:pPr>
    </w:lvl>
    <w:lvl w:ilvl="8" w:tplc="D390D666" w:tentative="1">
      <w:start w:val="1"/>
      <w:numFmt w:val="lowerRoman"/>
      <w:lvlText w:val="%9."/>
      <w:lvlJc w:val="right"/>
      <w:pPr>
        <w:tabs>
          <w:tab w:val="num" w:pos="6480"/>
        </w:tabs>
        <w:ind w:left="6480" w:hanging="180"/>
      </w:pPr>
    </w:lvl>
  </w:abstractNum>
  <w:abstractNum w:abstractNumId="26">
    <w:nsid w:val="7B751524"/>
    <w:multiLevelType w:val="hybridMultilevel"/>
    <w:tmpl w:val="9792224E"/>
    <w:lvl w:ilvl="0" w:tplc="D722ED8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F7A528B"/>
    <w:multiLevelType w:val="hybridMultilevel"/>
    <w:tmpl w:val="4ADC517C"/>
    <w:lvl w:ilvl="0" w:tplc="5352EC3A">
      <w:start w:val="1"/>
      <w:numFmt w:val="bullet"/>
      <w:pStyle w:val="ListBullet"/>
      <w:lvlText w:val="&gt;"/>
      <w:lvlJc w:val="left"/>
      <w:pPr>
        <w:tabs>
          <w:tab w:val="num" w:pos="284"/>
        </w:tabs>
        <w:ind w:left="284" w:hanging="284"/>
      </w:pPr>
      <w:rPr>
        <w:rFonts w:hint="default"/>
        <w:color w:val="auto"/>
        <w:position w:val="3"/>
      </w:rPr>
    </w:lvl>
    <w:lvl w:ilvl="1" w:tplc="0DDAC100" w:tentative="1">
      <w:start w:val="1"/>
      <w:numFmt w:val="bullet"/>
      <w:lvlText w:val="o"/>
      <w:lvlJc w:val="left"/>
      <w:pPr>
        <w:tabs>
          <w:tab w:val="num" w:pos="1440"/>
        </w:tabs>
        <w:ind w:left="1440" w:hanging="360"/>
      </w:pPr>
      <w:rPr>
        <w:rFonts w:ascii="Courier New" w:hAnsi="Courier New" w:cs="Courier New" w:hint="default"/>
      </w:rPr>
    </w:lvl>
    <w:lvl w:ilvl="2" w:tplc="BE96F8E0" w:tentative="1">
      <w:start w:val="1"/>
      <w:numFmt w:val="bullet"/>
      <w:lvlText w:val=""/>
      <w:lvlJc w:val="left"/>
      <w:pPr>
        <w:tabs>
          <w:tab w:val="num" w:pos="2160"/>
        </w:tabs>
        <w:ind w:left="2160" w:hanging="360"/>
      </w:pPr>
      <w:rPr>
        <w:rFonts w:ascii="Wingdings" w:hAnsi="Wingdings" w:hint="default"/>
      </w:rPr>
    </w:lvl>
    <w:lvl w:ilvl="3" w:tplc="65F8708E" w:tentative="1">
      <w:start w:val="1"/>
      <w:numFmt w:val="bullet"/>
      <w:lvlText w:val=""/>
      <w:lvlJc w:val="left"/>
      <w:pPr>
        <w:tabs>
          <w:tab w:val="num" w:pos="2880"/>
        </w:tabs>
        <w:ind w:left="2880" w:hanging="360"/>
      </w:pPr>
      <w:rPr>
        <w:rFonts w:ascii="Symbol" w:hAnsi="Symbol" w:hint="default"/>
      </w:rPr>
    </w:lvl>
    <w:lvl w:ilvl="4" w:tplc="80CA47C8" w:tentative="1">
      <w:start w:val="1"/>
      <w:numFmt w:val="bullet"/>
      <w:lvlText w:val="o"/>
      <w:lvlJc w:val="left"/>
      <w:pPr>
        <w:tabs>
          <w:tab w:val="num" w:pos="3600"/>
        </w:tabs>
        <w:ind w:left="3600" w:hanging="360"/>
      </w:pPr>
      <w:rPr>
        <w:rFonts w:ascii="Courier New" w:hAnsi="Courier New" w:cs="Courier New" w:hint="default"/>
      </w:rPr>
    </w:lvl>
    <w:lvl w:ilvl="5" w:tplc="3BAEE33C" w:tentative="1">
      <w:start w:val="1"/>
      <w:numFmt w:val="bullet"/>
      <w:lvlText w:val=""/>
      <w:lvlJc w:val="left"/>
      <w:pPr>
        <w:tabs>
          <w:tab w:val="num" w:pos="4320"/>
        </w:tabs>
        <w:ind w:left="4320" w:hanging="360"/>
      </w:pPr>
      <w:rPr>
        <w:rFonts w:ascii="Wingdings" w:hAnsi="Wingdings" w:hint="default"/>
      </w:rPr>
    </w:lvl>
    <w:lvl w:ilvl="6" w:tplc="36CE071E" w:tentative="1">
      <w:start w:val="1"/>
      <w:numFmt w:val="bullet"/>
      <w:lvlText w:val=""/>
      <w:lvlJc w:val="left"/>
      <w:pPr>
        <w:tabs>
          <w:tab w:val="num" w:pos="5040"/>
        </w:tabs>
        <w:ind w:left="5040" w:hanging="360"/>
      </w:pPr>
      <w:rPr>
        <w:rFonts w:ascii="Symbol" w:hAnsi="Symbol" w:hint="default"/>
      </w:rPr>
    </w:lvl>
    <w:lvl w:ilvl="7" w:tplc="640EFF68" w:tentative="1">
      <w:start w:val="1"/>
      <w:numFmt w:val="bullet"/>
      <w:lvlText w:val="o"/>
      <w:lvlJc w:val="left"/>
      <w:pPr>
        <w:tabs>
          <w:tab w:val="num" w:pos="5760"/>
        </w:tabs>
        <w:ind w:left="5760" w:hanging="360"/>
      </w:pPr>
      <w:rPr>
        <w:rFonts w:ascii="Courier New" w:hAnsi="Courier New" w:cs="Courier New" w:hint="default"/>
      </w:rPr>
    </w:lvl>
    <w:lvl w:ilvl="8" w:tplc="F0E666EC"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5"/>
  </w:num>
  <w:num w:numId="3">
    <w:abstractNumId w:val="10"/>
  </w:num>
  <w:num w:numId="4">
    <w:abstractNumId w:val="13"/>
  </w:num>
  <w:num w:numId="5">
    <w:abstractNumId w:val="11"/>
  </w:num>
  <w:num w:numId="6">
    <w:abstractNumId w:val="9"/>
  </w:num>
  <w:num w:numId="7">
    <w:abstractNumId w:val="18"/>
  </w:num>
  <w:num w:numId="8">
    <w:abstractNumId w:val="19"/>
  </w:num>
  <w:num w:numId="9">
    <w:abstractNumId w:val="4"/>
  </w:num>
  <w:num w:numId="10">
    <w:abstractNumId w:val="12"/>
  </w:num>
  <w:num w:numId="11">
    <w:abstractNumId w:val="21"/>
  </w:num>
  <w:num w:numId="12">
    <w:abstractNumId w:val="7"/>
  </w:num>
  <w:num w:numId="13">
    <w:abstractNumId w:val="6"/>
  </w:num>
  <w:num w:numId="14">
    <w:abstractNumId w:val="25"/>
  </w:num>
  <w:num w:numId="15">
    <w:abstractNumId w:val="27"/>
  </w:num>
  <w:num w:numId="16">
    <w:abstractNumId w:val="20"/>
  </w:num>
  <w:num w:numId="17">
    <w:abstractNumId w:val="17"/>
  </w:num>
  <w:num w:numId="18">
    <w:abstractNumId w:val="26"/>
  </w:num>
  <w:num w:numId="19">
    <w:abstractNumId w:val="1"/>
  </w:num>
  <w:num w:numId="20">
    <w:abstractNumId w:val="2"/>
  </w:num>
  <w:num w:numId="21">
    <w:abstractNumId w:val="15"/>
  </w:num>
  <w:num w:numId="22">
    <w:abstractNumId w:val="24"/>
  </w:num>
  <w:num w:numId="23">
    <w:abstractNumId w:val="0"/>
  </w:num>
  <w:num w:numId="24">
    <w:abstractNumId w:val="3"/>
  </w:num>
  <w:num w:numId="25">
    <w:abstractNumId w:val="23"/>
  </w:num>
  <w:num w:numId="26">
    <w:abstractNumId w:val="14"/>
  </w:num>
  <w:num w:numId="27">
    <w:abstractNumId w:val="22"/>
  </w:num>
  <w:num w:numId="28">
    <w:abstractNumId w:val="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284"/>
  <w:clickAndTypeStyle w:val="BodyText"/>
  <w:drawingGridHorizontalSpacing w:val="120"/>
  <w:displayHorizontalDrawingGridEvery w:val="2"/>
  <w:displayVerticalDrawingGridEvery w:val="2"/>
  <w:noPunctuationKerning/>
  <w:characterSpacingControl w:val="doNotCompress"/>
  <w:hdrShapeDefaults>
    <o:shapedefaults v:ext="edit" spidmax="2049">
      <o:colormru v:ext="edit" colors="#5a9a98,#ddcf56,#ad495d,#ab9c8f,#b5d3d2,#7e6d5f,#f26631,#54534a"/>
    </o:shapedefaults>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177E"/>
    <w:rsid w:val="00002939"/>
    <w:rsid w:val="00004368"/>
    <w:rsid w:val="00011550"/>
    <w:rsid w:val="0001170C"/>
    <w:rsid w:val="000129D7"/>
    <w:rsid w:val="0001356A"/>
    <w:rsid w:val="00014038"/>
    <w:rsid w:val="0001508D"/>
    <w:rsid w:val="00015DBC"/>
    <w:rsid w:val="00016771"/>
    <w:rsid w:val="00016CBA"/>
    <w:rsid w:val="00017D33"/>
    <w:rsid w:val="00017E33"/>
    <w:rsid w:val="000211DA"/>
    <w:rsid w:val="0002235F"/>
    <w:rsid w:val="00022D41"/>
    <w:rsid w:val="000257E7"/>
    <w:rsid w:val="00030588"/>
    <w:rsid w:val="0003385B"/>
    <w:rsid w:val="00034B41"/>
    <w:rsid w:val="00034E45"/>
    <w:rsid w:val="00035E2A"/>
    <w:rsid w:val="00037673"/>
    <w:rsid w:val="00040FC8"/>
    <w:rsid w:val="000433AB"/>
    <w:rsid w:val="00044EDD"/>
    <w:rsid w:val="000452A6"/>
    <w:rsid w:val="0004636D"/>
    <w:rsid w:val="00046974"/>
    <w:rsid w:val="000513B2"/>
    <w:rsid w:val="00053BB3"/>
    <w:rsid w:val="00053D8A"/>
    <w:rsid w:val="00060A32"/>
    <w:rsid w:val="00061389"/>
    <w:rsid w:val="00063C90"/>
    <w:rsid w:val="000655EB"/>
    <w:rsid w:val="00065C12"/>
    <w:rsid w:val="00067F6E"/>
    <w:rsid w:val="00070BAE"/>
    <w:rsid w:val="00070F05"/>
    <w:rsid w:val="000722A1"/>
    <w:rsid w:val="00074C9B"/>
    <w:rsid w:val="00075C1B"/>
    <w:rsid w:val="00075E37"/>
    <w:rsid w:val="00075F52"/>
    <w:rsid w:val="000765D3"/>
    <w:rsid w:val="000766F0"/>
    <w:rsid w:val="00076703"/>
    <w:rsid w:val="000805B2"/>
    <w:rsid w:val="00082E97"/>
    <w:rsid w:val="000833A0"/>
    <w:rsid w:val="00085585"/>
    <w:rsid w:val="00085E50"/>
    <w:rsid w:val="00086164"/>
    <w:rsid w:val="000863C3"/>
    <w:rsid w:val="00090C8C"/>
    <w:rsid w:val="00092F37"/>
    <w:rsid w:val="00096446"/>
    <w:rsid w:val="00097A76"/>
    <w:rsid w:val="000A0794"/>
    <w:rsid w:val="000A3437"/>
    <w:rsid w:val="000A4433"/>
    <w:rsid w:val="000A5BCC"/>
    <w:rsid w:val="000A7400"/>
    <w:rsid w:val="000A7708"/>
    <w:rsid w:val="000A7AD4"/>
    <w:rsid w:val="000B0232"/>
    <w:rsid w:val="000B108C"/>
    <w:rsid w:val="000B13AB"/>
    <w:rsid w:val="000B146D"/>
    <w:rsid w:val="000B4054"/>
    <w:rsid w:val="000B4271"/>
    <w:rsid w:val="000B56CF"/>
    <w:rsid w:val="000B5B55"/>
    <w:rsid w:val="000B6330"/>
    <w:rsid w:val="000B7FF7"/>
    <w:rsid w:val="000C0125"/>
    <w:rsid w:val="000C0807"/>
    <w:rsid w:val="000C0D83"/>
    <w:rsid w:val="000C45A2"/>
    <w:rsid w:val="000C6046"/>
    <w:rsid w:val="000D074E"/>
    <w:rsid w:val="000D32D5"/>
    <w:rsid w:val="000D444F"/>
    <w:rsid w:val="000D47A5"/>
    <w:rsid w:val="000E0333"/>
    <w:rsid w:val="000E0845"/>
    <w:rsid w:val="000E1A2E"/>
    <w:rsid w:val="000E2E8A"/>
    <w:rsid w:val="000E595E"/>
    <w:rsid w:val="000E5C21"/>
    <w:rsid w:val="000F3B24"/>
    <w:rsid w:val="000F5F51"/>
    <w:rsid w:val="000F706A"/>
    <w:rsid w:val="000F7DB9"/>
    <w:rsid w:val="000F7EBB"/>
    <w:rsid w:val="0010001A"/>
    <w:rsid w:val="001020A5"/>
    <w:rsid w:val="00104CCC"/>
    <w:rsid w:val="001104EF"/>
    <w:rsid w:val="001128FE"/>
    <w:rsid w:val="00115A8C"/>
    <w:rsid w:val="00115D91"/>
    <w:rsid w:val="001204E2"/>
    <w:rsid w:val="00120C7E"/>
    <w:rsid w:val="001250BF"/>
    <w:rsid w:val="001260C2"/>
    <w:rsid w:val="00127B7F"/>
    <w:rsid w:val="00130109"/>
    <w:rsid w:val="00132E41"/>
    <w:rsid w:val="00135A4C"/>
    <w:rsid w:val="001360A4"/>
    <w:rsid w:val="00136E47"/>
    <w:rsid w:val="00136FF9"/>
    <w:rsid w:val="00137BA1"/>
    <w:rsid w:val="0014049B"/>
    <w:rsid w:val="00141818"/>
    <w:rsid w:val="0014252B"/>
    <w:rsid w:val="0014282B"/>
    <w:rsid w:val="00142A4D"/>
    <w:rsid w:val="00142E47"/>
    <w:rsid w:val="00143525"/>
    <w:rsid w:val="001436A7"/>
    <w:rsid w:val="00144611"/>
    <w:rsid w:val="00144B1B"/>
    <w:rsid w:val="0014787F"/>
    <w:rsid w:val="00151A11"/>
    <w:rsid w:val="00152D98"/>
    <w:rsid w:val="001564B4"/>
    <w:rsid w:val="00156521"/>
    <w:rsid w:val="00156A18"/>
    <w:rsid w:val="0016217F"/>
    <w:rsid w:val="001644AA"/>
    <w:rsid w:val="00165C4D"/>
    <w:rsid w:val="00166BE1"/>
    <w:rsid w:val="001702D7"/>
    <w:rsid w:val="001707ED"/>
    <w:rsid w:val="00170B04"/>
    <w:rsid w:val="00172093"/>
    <w:rsid w:val="0017211F"/>
    <w:rsid w:val="0017313D"/>
    <w:rsid w:val="00174585"/>
    <w:rsid w:val="001756DD"/>
    <w:rsid w:val="00175CFE"/>
    <w:rsid w:val="00176846"/>
    <w:rsid w:val="001772C7"/>
    <w:rsid w:val="00177AE1"/>
    <w:rsid w:val="00180E63"/>
    <w:rsid w:val="00180EC6"/>
    <w:rsid w:val="00182E7D"/>
    <w:rsid w:val="001840DC"/>
    <w:rsid w:val="00184C6E"/>
    <w:rsid w:val="00187D56"/>
    <w:rsid w:val="00190A25"/>
    <w:rsid w:val="00193384"/>
    <w:rsid w:val="001957F2"/>
    <w:rsid w:val="0019627A"/>
    <w:rsid w:val="00197485"/>
    <w:rsid w:val="001A0653"/>
    <w:rsid w:val="001A157D"/>
    <w:rsid w:val="001A4314"/>
    <w:rsid w:val="001A4CB0"/>
    <w:rsid w:val="001A4F3D"/>
    <w:rsid w:val="001A64D6"/>
    <w:rsid w:val="001A676A"/>
    <w:rsid w:val="001A72F5"/>
    <w:rsid w:val="001A76CD"/>
    <w:rsid w:val="001A7A00"/>
    <w:rsid w:val="001B0BC3"/>
    <w:rsid w:val="001B11EB"/>
    <w:rsid w:val="001B1559"/>
    <w:rsid w:val="001B3A25"/>
    <w:rsid w:val="001B40B6"/>
    <w:rsid w:val="001B5733"/>
    <w:rsid w:val="001B7441"/>
    <w:rsid w:val="001B7D36"/>
    <w:rsid w:val="001C14C8"/>
    <w:rsid w:val="001C1650"/>
    <w:rsid w:val="001C18A5"/>
    <w:rsid w:val="001C27DD"/>
    <w:rsid w:val="001C29E0"/>
    <w:rsid w:val="001C387A"/>
    <w:rsid w:val="001C54D5"/>
    <w:rsid w:val="001C557B"/>
    <w:rsid w:val="001C68A6"/>
    <w:rsid w:val="001C6E03"/>
    <w:rsid w:val="001C6E25"/>
    <w:rsid w:val="001C7FAB"/>
    <w:rsid w:val="001D0D54"/>
    <w:rsid w:val="001D0D75"/>
    <w:rsid w:val="001D21D0"/>
    <w:rsid w:val="001D24B1"/>
    <w:rsid w:val="001D2D04"/>
    <w:rsid w:val="001D5233"/>
    <w:rsid w:val="001D5666"/>
    <w:rsid w:val="001D65A4"/>
    <w:rsid w:val="001E163C"/>
    <w:rsid w:val="001E2D82"/>
    <w:rsid w:val="001E521E"/>
    <w:rsid w:val="001E5458"/>
    <w:rsid w:val="001E61C0"/>
    <w:rsid w:val="001E77A7"/>
    <w:rsid w:val="001E7C2A"/>
    <w:rsid w:val="001F0E53"/>
    <w:rsid w:val="001F0E62"/>
    <w:rsid w:val="001F1365"/>
    <w:rsid w:val="001F353B"/>
    <w:rsid w:val="001F39C9"/>
    <w:rsid w:val="001F4CD3"/>
    <w:rsid w:val="001F4E51"/>
    <w:rsid w:val="001F5AA9"/>
    <w:rsid w:val="0020245F"/>
    <w:rsid w:val="002028B6"/>
    <w:rsid w:val="00203160"/>
    <w:rsid w:val="0020410B"/>
    <w:rsid w:val="00205552"/>
    <w:rsid w:val="00205AA6"/>
    <w:rsid w:val="0021017E"/>
    <w:rsid w:val="00210F50"/>
    <w:rsid w:val="00212975"/>
    <w:rsid w:val="00213176"/>
    <w:rsid w:val="00214C9D"/>
    <w:rsid w:val="002178C9"/>
    <w:rsid w:val="00222F3B"/>
    <w:rsid w:val="00226029"/>
    <w:rsid w:val="00226880"/>
    <w:rsid w:val="0022688E"/>
    <w:rsid w:val="002274D0"/>
    <w:rsid w:val="00227783"/>
    <w:rsid w:val="00227D6B"/>
    <w:rsid w:val="00230BD1"/>
    <w:rsid w:val="00230F10"/>
    <w:rsid w:val="00231CB6"/>
    <w:rsid w:val="00232097"/>
    <w:rsid w:val="00233570"/>
    <w:rsid w:val="00233D7A"/>
    <w:rsid w:val="00234583"/>
    <w:rsid w:val="00234D37"/>
    <w:rsid w:val="00236C53"/>
    <w:rsid w:val="00236E3D"/>
    <w:rsid w:val="00237451"/>
    <w:rsid w:val="0024071E"/>
    <w:rsid w:val="00240A07"/>
    <w:rsid w:val="00243468"/>
    <w:rsid w:val="0024348E"/>
    <w:rsid w:val="00244182"/>
    <w:rsid w:val="00244F96"/>
    <w:rsid w:val="002452D0"/>
    <w:rsid w:val="0024542D"/>
    <w:rsid w:val="0024630C"/>
    <w:rsid w:val="00247D70"/>
    <w:rsid w:val="00247F6A"/>
    <w:rsid w:val="002505BE"/>
    <w:rsid w:val="00250D70"/>
    <w:rsid w:val="002515F6"/>
    <w:rsid w:val="0025173D"/>
    <w:rsid w:val="00253146"/>
    <w:rsid w:val="00253B3E"/>
    <w:rsid w:val="00254E43"/>
    <w:rsid w:val="00254E51"/>
    <w:rsid w:val="00257199"/>
    <w:rsid w:val="002600C7"/>
    <w:rsid w:val="00260CE2"/>
    <w:rsid w:val="0026347A"/>
    <w:rsid w:val="00263B78"/>
    <w:rsid w:val="00266A89"/>
    <w:rsid w:val="00266B56"/>
    <w:rsid w:val="00266C05"/>
    <w:rsid w:val="002702DD"/>
    <w:rsid w:val="00272699"/>
    <w:rsid w:val="00272712"/>
    <w:rsid w:val="0027351E"/>
    <w:rsid w:val="0027441E"/>
    <w:rsid w:val="0027483C"/>
    <w:rsid w:val="00281023"/>
    <w:rsid w:val="00281D52"/>
    <w:rsid w:val="002820D7"/>
    <w:rsid w:val="00286E03"/>
    <w:rsid w:val="00287F57"/>
    <w:rsid w:val="00291B3A"/>
    <w:rsid w:val="00292656"/>
    <w:rsid w:val="00292C3C"/>
    <w:rsid w:val="00294AA6"/>
    <w:rsid w:val="00294D4C"/>
    <w:rsid w:val="00296270"/>
    <w:rsid w:val="00297DF9"/>
    <w:rsid w:val="002A1D2F"/>
    <w:rsid w:val="002A1DE3"/>
    <w:rsid w:val="002A2305"/>
    <w:rsid w:val="002A477C"/>
    <w:rsid w:val="002A4BB1"/>
    <w:rsid w:val="002A561C"/>
    <w:rsid w:val="002A6CE4"/>
    <w:rsid w:val="002B02EA"/>
    <w:rsid w:val="002B1624"/>
    <w:rsid w:val="002B1C3F"/>
    <w:rsid w:val="002B1D0E"/>
    <w:rsid w:val="002B2514"/>
    <w:rsid w:val="002B3053"/>
    <w:rsid w:val="002B33AD"/>
    <w:rsid w:val="002B3E15"/>
    <w:rsid w:val="002B4651"/>
    <w:rsid w:val="002B7D4C"/>
    <w:rsid w:val="002C018F"/>
    <w:rsid w:val="002C0F44"/>
    <w:rsid w:val="002C159E"/>
    <w:rsid w:val="002C23D1"/>
    <w:rsid w:val="002C257C"/>
    <w:rsid w:val="002C5AF0"/>
    <w:rsid w:val="002C7822"/>
    <w:rsid w:val="002C79E4"/>
    <w:rsid w:val="002D0510"/>
    <w:rsid w:val="002D468F"/>
    <w:rsid w:val="002D4965"/>
    <w:rsid w:val="002D5DED"/>
    <w:rsid w:val="002D657C"/>
    <w:rsid w:val="002D6E19"/>
    <w:rsid w:val="002D7A0A"/>
    <w:rsid w:val="002E000E"/>
    <w:rsid w:val="002E0115"/>
    <w:rsid w:val="002E1AC2"/>
    <w:rsid w:val="002E2B9A"/>
    <w:rsid w:val="002E2CDD"/>
    <w:rsid w:val="002E499B"/>
    <w:rsid w:val="002E626C"/>
    <w:rsid w:val="002E7F6A"/>
    <w:rsid w:val="002F056E"/>
    <w:rsid w:val="002F1AB4"/>
    <w:rsid w:val="002F3393"/>
    <w:rsid w:val="002F36D2"/>
    <w:rsid w:val="002F3C1A"/>
    <w:rsid w:val="002F3E97"/>
    <w:rsid w:val="002F4300"/>
    <w:rsid w:val="002F489A"/>
    <w:rsid w:val="003023FD"/>
    <w:rsid w:val="0030414F"/>
    <w:rsid w:val="00305213"/>
    <w:rsid w:val="00305565"/>
    <w:rsid w:val="00310C02"/>
    <w:rsid w:val="0031131B"/>
    <w:rsid w:val="00312B95"/>
    <w:rsid w:val="00312E50"/>
    <w:rsid w:val="003147DD"/>
    <w:rsid w:val="00315D84"/>
    <w:rsid w:val="00316AAC"/>
    <w:rsid w:val="00320268"/>
    <w:rsid w:val="00321C81"/>
    <w:rsid w:val="00322444"/>
    <w:rsid w:val="003225AB"/>
    <w:rsid w:val="00323965"/>
    <w:rsid w:val="003257A5"/>
    <w:rsid w:val="00330A76"/>
    <w:rsid w:val="00330D74"/>
    <w:rsid w:val="00332630"/>
    <w:rsid w:val="00332945"/>
    <w:rsid w:val="00333127"/>
    <w:rsid w:val="003341A9"/>
    <w:rsid w:val="00334B60"/>
    <w:rsid w:val="00335849"/>
    <w:rsid w:val="003360B5"/>
    <w:rsid w:val="003368B5"/>
    <w:rsid w:val="003369D5"/>
    <w:rsid w:val="00336FAC"/>
    <w:rsid w:val="003379F3"/>
    <w:rsid w:val="00337AAE"/>
    <w:rsid w:val="003405D1"/>
    <w:rsid w:val="00341566"/>
    <w:rsid w:val="00342A5A"/>
    <w:rsid w:val="00345C2F"/>
    <w:rsid w:val="0034794C"/>
    <w:rsid w:val="00347D10"/>
    <w:rsid w:val="00347E04"/>
    <w:rsid w:val="0035098F"/>
    <w:rsid w:val="0035177E"/>
    <w:rsid w:val="003522B0"/>
    <w:rsid w:val="00352900"/>
    <w:rsid w:val="00352A66"/>
    <w:rsid w:val="00353B7B"/>
    <w:rsid w:val="00354CF6"/>
    <w:rsid w:val="003557A9"/>
    <w:rsid w:val="00355F20"/>
    <w:rsid w:val="0035655A"/>
    <w:rsid w:val="00357879"/>
    <w:rsid w:val="00360C27"/>
    <w:rsid w:val="0036152B"/>
    <w:rsid w:val="00361A07"/>
    <w:rsid w:val="00362300"/>
    <w:rsid w:val="00362945"/>
    <w:rsid w:val="00363DA6"/>
    <w:rsid w:val="003643A3"/>
    <w:rsid w:val="00364555"/>
    <w:rsid w:val="0036493C"/>
    <w:rsid w:val="00365BED"/>
    <w:rsid w:val="00365ECE"/>
    <w:rsid w:val="00366135"/>
    <w:rsid w:val="00366EAE"/>
    <w:rsid w:val="0037000D"/>
    <w:rsid w:val="00372980"/>
    <w:rsid w:val="00372C90"/>
    <w:rsid w:val="00373509"/>
    <w:rsid w:val="00373545"/>
    <w:rsid w:val="00373D61"/>
    <w:rsid w:val="003813B0"/>
    <w:rsid w:val="00381894"/>
    <w:rsid w:val="00382BC2"/>
    <w:rsid w:val="003852FD"/>
    <w:rsid w:val="003864C0"/>
    <w:rsid w:val="00386714"/>
    <w:rsid w:val="00386BBA"/>
    <w:rsid w:val="00386D59"/>
    <w:rsid w:val="003870E2"/>
    <w:rsid w:val="003908F2"/>
    <w:rsid w:val="0039171C"/>
    <w:rsid w:val="00393C49"/>
    <w:rsid w:val="00395037"/>
    <w:rsid w:val="003950F3"/>
    <w:rsid w:val="00396AAB"/>
    <w:rsid w:val="00396E51"/>
    <w:rsid w:val="00396FEE"/>
    <w:rsid w:val="00397842"/>
    <w:rsid w:val="003A0758"/>
    <w:rsid w:val="003A12E4"/>
    <w:rsid w:val="003A1A4E"/>
    <w:rsid w:val="003A1AF9"/>
    <w:rsid w:val="003A2AFB"/>
    <w:rsid w:val="003A36F7"/>
    <w:rsid w:val="003A3E3B"/>
    <w:rsid w:val="003A437D"/>
    <w:rsid w:val="003A5F6E"/>
    <w:rsid w:val="003B01D4"/>
    <w:rsid w:val="003B0602"/>
    <w:rsid w:val="003B3833"/>
    <w:rsid w:val="003B5B3A"/>
    <w:rsid w:val="003B669E"/>
    <w:rsid w:val="003B6AF8"/>
    <w:rsid w:val="003C4418"/>
    <w:rsid w:val="003D277A"/>
    <w:rsid w:val="003D3401"/>
    <w:rsid w:val="003D41D9"/>
    <w:rsid w:val="003D7C66"/>
    <w:rsid w:val="003E15BE"/>
    <w:rsid w:val="003E4703"/>
    <w:rsid w:val="003E4C57"/>
    <w:rsid w:val="003E4E42"/>
    <w:rsid w:val="003E6A24"/>
    <w:rsid w:val="003E74A4"/>
    <w:rsid w:val="003F0648"/>
    <w:rsid w:val="003F159A"/>
    <w:rsid w:val="003F23B0"/>
    <w:rsid w:val="003F291D"/>
    <w:rsid w:val="003F2F80"/>
    <w:rsid w:val="003F4406"/>
    <w:rsid w:val="003F4998"/>
    <w:rsid w:val="003F6535"/>
    <w:rsid w:val="003F7DFD"/>
    <w:rsid w:val="004030F5"/>
    <w:rsid w:val="00403EC1"/>
    <w:rsid w:val="00404378"/>
    <w:rsid w:val="00404981"/>
    <w:rsid w:val="00404EA8"/>
    <w:rsid w:val="004069E3"/>
    <w:rsid w:val="00407CFC"/>
    <w:rsid w:val="00410D4E"/>
    <w:rsid w:val="00411191"/>
    <w:rsid w:val="00412989"/>
    <w:rsid w:val="00412F2F"/>
    <w:rsid w:val="004131F2"/>
    <w:rsid w:val="00414418"/>
    <w:rsid w:val="004146C9"/>
    <w:rsid w:val="00416765"/>
    <w:rsid w:val="004174E5"/>
    <w:rsid w:val="00420072"/>
    <w:rsid w:val="004202ED"/>
    <w:rsid w:val="0042107B"/>
    <w:rsid w:val="0042222F"/>
    <w:rsid w:val="00422524"/>
    <w:rsid w:val="00422662"/>
    <w:rsid w:val="004226D0"/>
    <w:rsid w:val="004229B0"/>
    <w:rsid w:val="00425388"/>
    <w:rsid w:val="00427DB3"/>
    <w:rsid w:val="0043018B"/>
    <w:rsid w:val="004323E1"/>
    <w:rsid w:val="00433FEB"/>
    <w:rsid w:val="00434D4D"/>
    <w:rsid w:val="0043622D"/>
    <w:rsid w:val="00441D9B"/>
    <w:rsid w:val="00442BE6"/>
    <w:rsid w:val="0044452B"/>
    <w:rsid w:val="00445908"/>
    <w:rsid w:val="00446BFE"/>
    <w:rsid w:val="00447F42"/>
    <w:rsid w:val="0045116A"/>
    <w:rsid w:val="00451E60"/>
    <w:rsid w:val="00452C48"/>
    <w:rsid w:val="00452E9D"/>
    <w:rsid w:val="0045304C"/>
    <w:rsid w:val="004530AC"/>
    <w:rsid w:val="00453EB3"/>
    <w:rsid w:val="00454368"/>
    <w:rsid w:val="004547C0"/>
    <w:rsid w:val="00454AE8"/>
    <w:rsid w:val="004559D3"/>
    <w:rsid w:val="004561F5"/>
    <w:rsid w:val="00456D32"/>
    <w:rsid w:val="0045720E"/>
    <w:rsid w:val="00457853"/>
    <w:rsid w:val="00457902"/>
    <w:rsid w:val="00460B25"/>
    <w:rsid w:val="00461AD2"/>
    <w:rsid w:val="00462194"/>
    <w:rsid w:val="00462797"/>
    <w:rsid w:val="004633BA"/>
    <w:rsid w:val="00464228"/>
    <w:rsid w:val="00467537"/>
    <w:rsid w:val="0047058E"/>
    <w:rsid w:val="00471026"/>
    <w:rsid w:val="004732C0"/>
    <w:rsid w:val="00473A93"/>
    <w:rsid w:val="00474394"/>
    <w:rsid w:val="004744D3"/>
    <w:rsid w:val="00475EFF"/>
    <w:rsid w:val="00476144"/>
    <w:rsid w:val="0047786B"/>
    <w:rsid w:val="0048078C"/>
    <w:rsid w:val="004822A1"/>
    <w:rsid w:val="00482EF4"/>
    <w:rsid w:val="0048343C"/>
    <w:rsid w:val="00483A17"/>
    <w:rsid w:val="00483DD5"/>
    <w:rsid w:val="004845F1"/>
    <w:rsid w:val="00484BC2"/>
    <w:rsid w:val="00486E8C"/>
    <w:rsid w:val="004872E3"/>
    <w:rsid w:val="00487630"/>
    <w:rsid w:val="004900C1"/>
    <w:rsid w:val="00490743"/>
    <w:rsid w:val="00491178"/>
    <w:rsid w:val="004914D1"/>
    <w:rsid w:val="00492FC4"/>
    <w:rsid w:val="00493037"/>
    <w:rsid w:val="00494CD3"/>
    <w:rsid w:val="00494FB3"/>
    <w:rsid w:val="004955A5"/>
    <w:rsid w:val="00495EF4"/>
    <w:rsid w:val="00496D19"/>
    <w:rsid w:val="00496DF9"/>
    <w:rsid w:val="00497240"/>
    <w:rsid w:val="004A154E"/>
    <w:rsid w:val="004A15DE"/>
    <w:rsid w:val="004A2EFC"/>
    <w:rsid w:val="004A31C3"/>
    <w:rsid w:val="004A472E"/>
    <w:rsid w:val="004A4B6B"/>
    <w:rsid w:val="004B0361"/>
    <w:rsid w:val="004B3904"/>
    <w:rsid w:val="004B42F1"/>
    <w:rsid w:val="004B6157"/>
    <w:rsid w:val="004B7312"/>
    <w:rsid w:val="004B7492"/>
    <w:rsid w:val="004B7C61"/>
    <w:rsid w:val="004C0E63"/>
    <w:rsid w:val="004C3546"/>
    <w:rsid w:val="004C3568"/>
    <w:rsid w:val="004C4638"/>
    <w:rsid w:val="004C60B8"/>
    <w:rsid w:val="004C7DD7"/>
    <w:rsid w:val="004D18D0"/>
    <w:rsid w:val="004D27D6"/>
    <w:rsid w:val="004D2F5D"/>
    <w:rsid w:val="004D330A"/>
    <w:rsid w:val="004D5771"/>
    <w:rsid w:val="004D79AD"/>
    <w:rsid w:val="004E493E"/>
    <w:rsid w:val="004E6274"/>
    <w:rsid w:val="004E63CC"/>
    <w:rsid w:val="004F096E"/>
    <w:rsid w:val="004F0BE2"/>
    <w:rsid w:val="004F256B"/>
    <w:rsid w:val="004F32A0"/>
    <w:rsid w:val="004F72C7"/>
    <w:rsid w:val="004F75A1"/>
    <w:rsid w:val="004F79BD"/>
    <w:rsid w:val="00502E98"/>
    <w:rsid w:val="005031B6"/>
    <w:rsid w:val="00506BC4"/>
    <w:rsid w:val="00507A63"/>
    <w:rsid w:val="00507D05"/>
    <w:rsid w:val="00510FCB"/>
    <w:rsid w:val="00513602"/>
    <w:rsid w:val="00513D08"/>
    <w:rsid w:val="005157A6"/>
    <w:rsid w:val="0052067C"/>
    <w:rsid w:val="00522F30"/>
    <w:rsid w:val="00523CC0"/>
    <w:rsid w:val="00525BFE"/>
    <w:rsid w:val="00531479"/>
    <w:rsid w:val="005335EE"/>
    <w:rsid w:val="005343DE"/>
    <w:rsid w:val="005348EF"/>
    <w:rsid w:val="005351E9"/>
    <w:rsid w:val="005353FE"/>
    <w:rsid w:val="005363D4"/>
    <w:rsid w:val="005374AC"/>
    <w:rsid w:val="005445D6"/>
    <w:rsid w:val="00545090"/>
    <w:rsid w:val="00546C44"/>
    <w:rsid w:val="005510FE"/>
    <w:rsid w:val="00553F29"/>
    <w:rsid w:val="00556B35"/>
    <w:rsid w:val="00557909"/>
    <w:rsid w:val="00561EE2"/>
    <w:rsid w:val="005631AD"/>
    <w:rsid w:val="005639EA"/>
    <w:rsid w:val="00564BCE"/>
    <w:rsid w:val="005667D5"/>
    <w:rsid w:val="005722A1"/>
    <w:rsid w:val="00572319"/>
    <w:rsid w:val="00572841"/>
    <w:rsid w:val="00573B43"/>
    <w:rsid w:val="00574314"/>
    <w:rsid w:val="0057481E"/>
    <w:rsid w:val="00575350"/>
    <w:rsid w:val="005756E1"/>
    <w:rsid w:val="00575D08"/>
    <w:rsid w:val="00577298"/>
    <w:rsid w:val="00580DC4"/>
    <w:rsid w:val="0058536F"/>
    <w:rsid w:val="00585433"/>
    <w:rsid w:val="0058729F"/>
    <w:rsid w:val="005879C7"/>
    <w:rsid w:val="0059107D"/>
    <w:rsid w:val="005910A3"/>
    <w:rsid w:val="00591DD6"/>
    <w:rsid w:val="005925E4"/>
    <w:rsid w:val="00592A83"/>
    <w:rsid w:val="00593B07"/>
    <w:rsid w:val="00593E3E"/>
    <w:rsid w:val="005942EA"/>
    <w:rsid w:val="005943A7"/>
    <w:rsid w:val="00596832"/>
    <w:rsid w:val="005A1052"/>
    <w:rsid w:val="005A341D"/>
    <w:rsid w:val="005A3AA3"/>
    <w:rsid w:val="005A3FE0"/>
    <w:rsid w:val="005B2981"/>
    <w:rsid w:val="005B522F"/>
    <w:rsid w:val="005B7710"/>
    <w:rsid w:val="005C10C7"/>
    <w:rsid w:val="005C206D"/>
    <w:rsid w:val="005C2C17"/>
    <w:rsid w:val="005C349D"/>
    <w:rsid w:val="005C4005"/>
    <w:rsid w:val="005C4BD3"/>
    <w:rsid w:val="005C6FD6"/>
    <w:rsid w:val="005C7A9F"/>
    <w:rsid w:val="005D0AF9"/>
    <w:rsid w:val="005D1E18"/>
    <w:rsid w:val="005D244B"/>
    <w:rsid w:val="005D2B37"/>
    <w:rsid w:val="005D4715"/>
    <w:rsid w:val="005D6F2C"/>
    <w:rsid w:val="005E0A0B"/>
    <w:rsid w:val="005E1812"/>
    <w:rsid w:val="005E1AF2"/>
    <w:rsid w:val="005E1D7A"/>
    <w:rsid w:val="005E2411"/>
    <w:rsid w:val="005E344F"/>
    <w:rsid w:val="005E3CEF"/>
    <w:rsid w:val="005E51D2"/>
    <w:rsid w:val="005E6A91"/>
    <w:rsid w:val="005E725C"/>
    <w:rsid w:val="005F0021"/>
    <w:rsid w:val="005F168A"/>
    <w:rsid w:val="005F177B"/>
    <w:rsid w:val="005F1840"/>
    <w:rsid w:val="005F218A"/>
    <w:rsid w:val="005F2846"/>
    <w:rsid w:val="005F2F06"/>
    <w:rsid w:val="005F356A"/>
    <w:rsid w:val="005F5193"/>
    <w:rsid w:val="005F5C10"/>
    <w:rsid w:val="005F5C2F"/>
    <w:rsid w:val="005F64B1"/>
    <w:rsid w:val="005F710E"/>
    <w:rsid w:val="005F7879"/>
    <w:rsid w:val="006007F6"/>
    <w:rsid w:val="00600A18"/>
    <w:rsid w:val="00600B0F"/>
    <w:rsid w:val="00601D94"/>
    <w:rsid w:val="00602D21"/>
    <w:rsid w:val="00604147"/>
    <w:rsid w:val="00605815"/>
    <w:rsid w:val="00605C82"/>
    <w:rsid w:val="0060617B"/>
    <w:rsid w:val="00607978"/>
    <w:rsid w:val="00607E92"/>
    <w:rsid w:val="00614A27"/>
    <w:rsid w:val="00615247"/>
    <w:rsid w:val="006155FC"/>
    <w:rsid w:val="00615695"/>
    <w:rsid w:val="0061714E"/>
    <w:rsid w:val="006203BD"/>
    <w:rsid w:val="0062059B"/>
    <w:rsid w:val="006207C0"/>
    <w:rsid w:val="006247BA"/>
    <w:rsid w:val="00624C5C"/>
    <w:rsid w:val="00627E76"/>
    <w:rsid w:val="006323A6"/>
    <w:rsid w:val="00632B1F"/>
    <w:rsid w:val="00635A99"/>
    <w:rsid w:val="00636A86"/>
    <w:rsid w:val="0064058D"/>
    <w:rsid w:val="006409FF"/>
    <w:rsid w:val="00645987"/>
    <w:rsid w:val="0065046E"/>
    <w:rsid w:val="006504EE"/>
    <w:rsid w:val="00650B00"/>
    <w:rsid w:val="0065259E"/>
    <w:rsid w:val="0065282A"/>
    <w:rsid w:val="00652F48"/>
    <w:rsid w:val="006536A9"/>
    <w:rsid w:val="00657C61"/>
    <w:rsid w:val="00657CB6"/>
    <w:rsid w:val="00657E00"/>
    <w:rsid w:val="00660628"/>
    <w:rsid w:val="006613A9"/>
    <w:rsid w:val="006625B4"/>
    <w:rsid w:val="006640FE"/>
    <w:rsid w:val="006650D3"/>
    <w:rsid w:val="00671255"/>
    <w:rsid w:val="0067244C"/>
    <w:rsid w:val="00672BEE"/>
    <w:rsid w:val="00674467"/>
    <w:rsid w:val="0067448D"/>
    <w:rsid w:val="00675728"/>
    <w:rsid w:val="006762E5"/>
    <w:rsid w:val="006764C8"/>
    <w:rsid w:val="0067772C"/>
    <w:rsid w:val="006777A0"/>
    <w:rsid w:val="006813C8"/>
    <w:rsid w:val="00681A3E"/>
    <w:rsid w:val="00682A07"/>
    <w:rsid w:val="00683B97"/>
    <w:rsid w:val="00683CCF"/>
    <w:rsid w:val="00683DC7"/>
    <w:rsid w:val="00683E06"/>
    <w:rsid w:val="006846ED"/>
    <w:rsid w:val="0068568E"/>
    <w:rsid w:val="00685B51"/>
    <w:rsid w:val="00685E07"/>
    <w:rsid w:val="0069068B"/>
    <w:rsid w:val="006931D5"/>
    <w:rsid w:val="00694103"/>
    <w:rsid w:val="006974FC"/>
    <w:rsid w:val="006A0482"/>
    <w:rsid w:val="006A0BAD"/>
    <w:rsid w:val="006A13BF"/>
    <w:rsid w:val="006A4046"/>
    <w:rsid w:val="006A53F6"/>
    <w:rsid w:val="006A5585"/>
    <w:rsid w:val="006A7098"/>
    <w:rsid w:val="006B432F"/>
    <w:rsid w:val="006B515A"/>
    <w:rsid w:val="006B6177"/>
    <w:rsid w:val="006B7C24"/>
    <w:rsid w:val="006B7CF9"/>
    <w:rsid w:val="006C0139"/>
    <w:rsid w:val="006C111C"/>
    <w:rsid w:val="006C1AEE"/>
    <w:rsid w:val="006C27E2"/>
    <w:rsid w:val="006C3927"/>
    <w:rsid w:val="006C51F7"/>
    <w:rsid w:val="006C5261"/>
    <w:rsid w:val="006C6158"/>
    <w:rsid w:val="006C6452"/>
    <w:rsid w:val="006C6761"/>
    <w:rsid w:val="006D0368"/>
    <w:rsid w:val="006D2333"/>
    <w:rsid w:val="006D2DEC"/>
    <w:rsid w:val="006D3DBE"/>
    <w:rsid w:val="006D571E"/>
    <w:rsid w:val="006D6CC7"/>
    <w:rsid w:val="006D70CD"/>
    <w:rsid w:val="006D7C85"/>
    <w:rsid w:val="006E1CA2"/>
    <w:rsid w:val="006E2C81"/>
    <w:rsid w:val="006E343F"/>
    <w:rsid w:val="006E42F5"/>
    <w:rsid w:val="006E4AA9"/>
    <w:rsid w:val="006E53D1"/>
    <w:rsid w:val="006E6DB3"/>
    <w:rsid w:val="006E7CC1"/>
    <w:rsid w:val="006F05EC"/>
    <w:rsid w:val="006F0B6B"/>
    <w:rsid w:val="006F1E01"/>
    <w:rsid w:val="006F35D5"/>
    <w:rsid w:val="006F47C8"/>
    <w:rsid w:val="006F4AF5"/>
    <w:rsid w:val="006F51F9"/>
    <w:rsid w:val="006F715C"/>
    <w:rsid w:val="006F7A23"/>
    <w:rsid w:val="0070010D"/>
    <w:rsid w:val="007004DA"/>
    <w:rsid w:val="00701726"/>
    <w:rsid w:val="007031E2"/>
    <w:rsid w:val="00703733"/>
    <w:rsid w:val="00711B43"/>
    <w:rsid w:val="007122CC"/>
    <w:rsid w:val="00712EC3"/>
    <w:rsid w:val="00716799"/>
    <w:rsid w:val="0072229D"/>
    <w:rsid w:val="007339FC"/>
    <w:rsid w:val="00733A81"/>
    <w:rsid w:val="0073548A"/>
    <w:rsid w:val="007375CF"/>
    <w:rsid w:val="00737F14"/>
    <w:rsid w:val="007409FB"/>
    <w:rsid w:val="00740BD4"/>
    <w:rsid w:val="007418D0"/>
    <w:rsid w:val="00742F5B"/>
    <w:rsid w:val="0074328B"/>
    <w:rsid w:val="007500A2"/>
    <w:rsid w:val="00751A18"/>
    <w:rsid w:val="0075426C"/>
    <w:rsid w:val="007542BD"/>
    <w:rsid w:val="00754B6C"/>
    <w:rsid w:val="007609DE"/>
    <w:rsid w:val="00760D7B"/>
    <w:rsid w:val="00762176"/>
    <w:rsid w:val="0076664B"/>
    <w:rsid w:val="00766D48"/>
    <w:rsid w:val="00773ADD"/>
    <w:rsid w:val="00774FA0"/>
    <w:rsid w:val="00777A11"/>
    <w:rsid w:val="00780026"/>
    <w:rsid w:val="0078013B"/>
    <w:rsid w:val="00780E9B"/>
    <w:rsid w:val="00784027"/>
    <w:rsid w:val="007848F3"/>
    <w:rsid w:val="00784C7B"/>
    <w:rsid w:val="007857B4"/>
    <w:rsid w:val="007864C1"/>
    <w:rsid w:val="00786718"/>
    <w:rsid w:val="00791CE4"/>
    <w:rsid w:val="00794312"/>
    <w:rsid w:val="0079518B"/>
    <w:rsid w:val="00797D46"/>
    <w:rsid w:val="007A01CC"/>
    <w:rsid w:val="007A0524"/>
    <w:rsid w:val="007A2365"/>
    <w:rsid w:val="007A2597"/>
    <w:rsid w:val="007A25C9"/>
    <w:rsid w:val="007A2CC5"/>
    <w:rsid w:val="007A2D4A"/>
    <w:rsid w:val="007A32BB"/>
    <w:rsid w:val="007A4679"/>
    <w:rsid w:val="007A4C9D"/>
    <w:rsid w:val="007A5DFF"/>
    <w:rsid w:val="007B0285"/>
    <w:rsid w:val="007B149E"/>
    <w:rsid w:val="007B19B1"/>
    <w:rsid w:val="007B1D16"/>
    <w:rsid w:val="007B2DB4"/>
    <w:rsid w:val="007B3B56"/>
    <w:rsid w:val="007B403A"/>
    <w:rsid w:val="007B4213"/>
    <w:rsid w:val="007B4677"/>
    <w:rsid w:val="007B497F"/>
    <w:rsid w:val="007B4ED1"/>
    <w:rsid w:val="007B794B"/>
    <w:rsid w:val="007C0DEC"/>
    <w:rsid w:val="007C1ECE"/>
    <w:rsid w:val="007C3820"/>
    <w:rsid w:val="007C4C18"/>
    <w:rsid w:val="007C574F"/>
    <w:rsid w:val="007C648A"/>
    <w:rsid w:val="007D19A6"/>
    <w:rsid w:val="007D1A32"/>
    <w:rsid w:val="007D3FA4"/>
    <w:rsid w:val="007D5153"/>
    <w:rsid w:val="007D57E0"/>
    <w:rsid w:val="007D620F"/>
    <w:rsid w:val="007E14BD"/>
    <w:rsid w:val="007E31EA"/>
    <w:rsid w:val="007E3B25"/>
    <w:rsid w:val="007E3B7D"/>
    <w:rsid w:val="007E5A22"/>
    <w:rsid w:val="007E75E3"/>
    <w:rsid w:val="007E7710"/>
    <w:rsid w:val="007F2008"/>
    <w:rsid w:val="007F22AC"/>
    <w:rsid w:val="007F29E1"/>
    <w:rsid w:val="007F42E3"/>
    <w:rsid w:val="007F4388"/>
    <w:rsid w:val="007F4788"/>
    <w:rsid w:val="007F618A"/>
    <w:rsid w:val="00801104"/>
    <w:rsid w:val="00801432"/>
    <w:rsid w:val="00802290"/>
    <w:rsid w:val="00803305"/>
    <w:rsid w:val="0080375B"/>
    <w:rsid w:val="00803FCC"/>
    <w:rsid w:val="008041F5"/>
    <w:rsid w:val="00804F53"/>
    <w:rsid w:val="0081042F"/>
    <w:rsid w:val="008120AF"/>
    <w:rsid w:val="008125B6"/>
    <w:rsid w:val="00812625"/>
    <w:rsid w:val="00814225"/>
    <w:rsid w:val="00814DBF"/>
    <w:rsid w:val="008153D9"/>
    <w:rsid w:val="00816F6A"/>
    <w:rsid w:val="00817759"/>
    <w:rsid w:val="00817C8F"/>
    <w:rsid w:val="00820982"/>
    <w:rsid w:val="008213C2"/>
    <w:rsid w:val="0082170D"/>
    <w:rsid w:val="0082187A"/>
    <w:rsid w:val="00822223"/>
    <w:rsid w:val="00822802"/>
    <w:rsid w:val="00825521"/>
    <w:rsid w:val="0082758A"/>
    <w:rsid w:val="00831989"/>
    <w:rsid w:val="00831EBD"/>
    <w:rsid w:val="00835053"/>
    <w:rsid w:val="00836BE4"/>
    <w:rsid w:val="008378B4"/>
    <w:rsid w:val="00840A1A"/>
    <w:rsid w:val="00840D02"/>
    <w:rsid w:val="00842196"/>
    <w:rsid w:val="008431E0"/>
    <w:rsid w:val="00843A16"/>
    <w:rsid w:val="00844665"/>
    <w:rsid w:val="00845E4B"/>
    <w:rsid w:val="00846735"/>
    <w:rsid w:val="00846837"/>
    <w:rsid w:val="00846E42"/>
    <w:rsid w:val="00850601"/>
    <w:rsid w:val="00852698"/>
    <w:rsid w:val="008527C1"/>
    <w:rsid w:val="00852948"/>
    <w:rsid w:val="00853065"/>
    <w:rsid w:val="00854598"/>
    <w:rsid w:val="00856BDC"/>
    <w:rsid w:val="00857CBA"/>
    <w:rsid w:val="008603CB"/>
    <w:rsid w:val="00861C4F"/>
    <w:rsid w:val="00862D0B"/>
    <w:rsid w:val="00863D30"/>
    <w:rsid w:val="008642DF"/>
    <w:rsid w:val="0086434F"/>
    <w:rsid w:val="00864FC3"/>
    <w:rsid w:val="00865AD8"/>
    <w:rsid w:val="00866CE0"/>
    <w:rsid w:val="008721CC"/>
    <w:rsid w:val="00872226"/>
    <w:rsid w:val="0087239F"/>
    <w:rsid w:val="00872695"/>
    <w:rsid w:val="00872B47"/>
    <w:rsid w:val="00873208"/>
    <w:rsid w:val="00874730"/>
    <w:rsid w:val="008751CE"/>
    <w:rsid w:val="00875F84"/>
    <w:rsid w:val="008773C3"/>
    <w:rsid w:val="00877623"/>
    <w:rsid w:val="008824EE"/>
    <w:rsid w:val="00882B7E"/>
    <w:rsid w:val="00882D96"/>
    <w:rsid w:val="00883EFA"/>
    <w:rsid w:val="00885A80"/>
    <w:rsid w:val="008867F6"/>
    <w:rsid w:val="00887818"/>
    <w:rsid w:val="00892C54"/>
    <w:rsid w:val="00893260"/>
    <w:rsid w:val="008952E6"/>
    <w:rsid w:val="0089533A"/>
    <w:rsid w:val="00896227"/>
    <w:rsid w:val="008A063A"/>
    <w:rsid w:val="008A0CAF"/>
    <w:rsid w:val="008A146D"/>
    <w:rsid w:val="008A37E3"/>
    <w:rsid w:val="008A5294"/>
    <w:rsid w:val="008A6398"/>
    <w:rsid w:val="008A73CB"/>
    <w:rsid w:val="008A79AF"/>
    <w:rsid w:val="008A7FE6"/>
    <w:rsid w:val="008B02D1"/>
    <w:rsid w:val="008B14A2"/>
    <w:rsid w:val="008B1A8D"/>
    <w:rsid w:val="008B1C28"/>
    <w:rsid w:val="008B31F8"/>
    <w:rsid w:val="008B7A52"/>
    <w:rsid w:val="008B7F12"/>
    <w:rsid w:val="008C00EC"/>
    <w:rsid w:val="008C0773"/>
    <w:rsid w:val="008C0CE5"/>
    <w:rsid w:val="008C1F78"/>
    <w:rsid w:val="008C435C"/>
    <w:rsid w:val="008C5ABC"/>
    <w:rsid w:val="008C5C88"/>
    <w:rsid w:val="008C731E"/>
    <w:rsid w:val="008D095A"/>
    <w:rsid w:val="008D1FCD"/>
    <w:rsid w:val="008D5CE0"/>
    <w:rsid w:val="008D75EB"/>
    <w:rsid w:val="008E0A3D"/>
    <w:rsid w:val="008E0A75"/>
    <w:rsid w:val="008E0EAF"/>
    <w:rsid w:val="008E1805"/>
    <w:rsid w:val="008E6453"/>
    <w:rsid w:val="008F3A6D"/>
    <w:rsid w:val="008F5BCA"/>
    <w:rsid w:val="008F6A8E"/>
    <w:rsid w:val="008F7E2C"/>
    <w:rsid w:val="009027ED"/>
    <w:rsid w:val="00903409"/>
    <w:rsid w:val="00903846"/>
    <w:rsid w:val="0090525F"/>
    <w:rsid w:val="00911B9C"/>
    <w:rsid w:val="00915D0C"/>
    <w:rsid w:val="00917927"/>
    <w:rsid w:val="009201BE"/>
    <w:rsid w:val="00920B05"/>
    <w:rsid w:val="00924453"/>
    <w:rsid w:val="009254FA"/>
    <w:rsid w:val="00925BAC"/>
    <w:rsid w:val="00927A4E"/>
    <w:rsid w:val="00932EB4"/>
    <w:rsid w:val="009340B2"/>
    <w:rsid w:val="00934C7F"/>
    <w:rsid w:val="009369AB"/>
    <w:rsid w:val="00936BC3"/>
    <w:rsid w:val="009374CE"/>
    <w:rsid w:val="00940371"/>
    <w:rsid w:val="00940671"/>
    <w:rsid w:val="0094076F"/>
    <w:rsid w:val="00940ECD"/>
    <w:rsid w:val="00941A6A"/>
    <w:rsid w:val="00941C25"/>
    <w:rsid w:val="00942B42"/>
    <w:rsid w:val="0094326B"/>
    <w:rsid w:val="0094365B"/>
    <w:rsid w:val="0094415E"/>
    <w:rsid w:val="0094416B"/>
    <w:rsid w:val="00946625"/>
    <w:rsid w:val="0095115F"/>
    <w:rsid w:val="00951733"/>
    <w:rsid w:val="009519FC"/>
    <w:rsid w:val="00952317"/>
    <w:rsid w:val="00953A8D"/>
    <w:rsid w:val="0095692A"/>
    <w:rsid w:val="00957D8E"/>
    <w:rsid w:val="0096040D"/>
    <w:rsid w:val="009606C6"/>
    <w:rsid w:val="00960AA9"/>
    <w:rsid w:val="00960D9D"/>
    <w:rsid w:val="00961811"/>
    <w:rsid w:val="009622C7"/>
    <w:rsid w:val="00963E0E"/>
    <w:rsid w:val="009663D4"/>
    <w:rsid w:val="00970F6A"/>
    <w:rsid w:val="009712C8"/>
    <w:rsid w:val="0097190C"/>
    <w:rsid w:val="00975FE2"/>
    <w:rsid w:val="009765DD"/>
    <w:rsid w:val="009775E7"/>
    <w:rsid w:val="0098097B"/>
    <w:rsid w:val="00981906"/>
    <w:rsid w:val="00982E10"/>
    <w:rsid w:val="00985129"/>
    <w:rsid w:val="00985BC6"/>
    <w:rsid w:val="00990CCF"/>
    <w:rsid w:val="009918D7"/>
    <w:rsid w:val="009919C7"/>
    <w:rsid w:val="009932CC"/>
    <w:rsid w:val="00993AC3"/>
    <w:rsid w:val="0099432E"/>
    <w:rsid w:val="0099453D"/>
    <w:rsid w:val="009951C5"/>
    <w:rsid w:val="00996D23"/>
    <w:rsid w:val="00997A92"/>
    <w:rsid w:val="009A0A11"/>
    <w:rsid w:val="009A1504"/>
    <w:rsid w:val="009A1864"/>
    <w:rsid w:val="009A1C69"/>
    <w:rsid w:val="009A28D5"/>
    <w:rsid w:val="009A3393"/>
    <w:rsid w:val="009A42E2"/>
    <w:rsid w:val="009A43A3"/>
    <w:rsid w:val="009A5FEB"/>
    <w:rsid w:val="009A7A34"/>
    <w:rsid w:val="009B0288"/>
    <w:rsid w:val="009B077D"/>
    <w:rsid w:val="009B0FA0"/>
    <w:rsid w:val="009B1310"/>
    <w:rsid w:val="009B5599"/>
    <w:rsid w:val="009B5BD8"/>
    <w:rsid w:val="009C0085"/>
    <w:rsid w:val="009C0FD7"/>
    <w:rsid w:val="009C3C8C"/>
    <w:rsid w:val="009C4B4C"/>
    <w:rsid w:val="009C4C54"/>
    <w:rsid w:val="009C4FD2"/>
    <w:rsid w:val="009C566B"/>
    <w:rsid w:val="009C7161"/>
    <w:rsid w:val="009C76C1"/>
    <w:rsid w:val="009D0366"/>
    <w:rsid w:val="009D05EC"/>
    <w:rsid w:val="009D11D6"/>
    <w:rsid w:val="009D3AF6"/>
    <w:rsid w:val="009D3F08"/>
    <w:rsid w:val="009D4019"/>
    <w:rsid w:val="009D55F8"/>
    <w:rsid w:val="009D628C"/>
    <w:rsid w:val="009D6EC3"/>
    <w:rsid w:val="009E02E2"/>
    <w:rsid w:val="009E11BA"/>
    <w:rsid w:val="009E141B"/>
    <w:rsid w:val="009E2D6C"/>
    <w:rsid w:val="009E660D"/>
    <w:rsid w:val="009F45ED"/>
    <w:rsid w:val="009F50D8"/>
    <w:rsid w:val="009F7E80"/>
    <w:rsid w:val="00A03535"/>
    <w:rsid w:val="00A045A2"/>
    <w:rsid w:val="00A04B6D"/>
    <w:rsid w:val="00A06DD7"/>
    <w:rsid w:val="00A12BCC"/>
    <w:rsid w:val="00A14318"/>
    <w:rsid w:val="00A14F4E"/>
    <w:rsid w:val="00A167FB"/>
    <w:rsid w:val="00A174F5"/>
    <w:rsid w:val="00A20E1D"/>
    <w:rsid w:val="00A241E3"/>
    <w:rsid w:val="00A32095"/>
    <w:rsid w:val="00A32C7A"/>
    <w:rsid w:val="00A32E70"/>
    <w:rsid w:val="00A33E33"/>
    <w:rsid w:val="00A34401"/>
    <w:rsid w:val="00A34D08"/>
    <w:rsid w:val="00A43557"/>
    <w:rsid w:val="00A44D85"/>
    <w:rsid w:val="00A45025"/>
    <w:rsid w:val="00A45844"/>
    <w:rsid w:val="00A51077"/>
    <w:rsid w:val="00A51224"/>
    <w:rsid w:val="00A53A6B"/>
    <w:rsid w:val="00A5433B"/>
    <w:rsid w:val="00A54C60"/>
    <w:rsid w:val="00A54E1A"/>
    <w:rsid w:val="00A55441"/>
    <w:rsid w:val="00A55505"/>
    <w:rsid w:val="00A56841"/>
    <w:rsid w:val="00A56A48"/>
    <w:rsid w:val="00A56DEC"/>
    <w:rsid w:val="00A60B48"/>
    <w:rsid w:val="00A60DE4"/>
    <w:rsid w:val="00A612FF"/>
    <w:rsid w:val="00A614D0"/>
    <w:rsid w:val="00A62BFB"/>
    <w:rsid w:val="00A6462A"/>
    <w:rsid w:val="00A6542C"/>
    <w:rsid w:val="00A65FDE"/>
    <w:rsid w:val="00A6602B"/>
    <w:rsid w:val="00A66E8A"/>
    <w:rsid w:val="00A71943"/>
    <w:rsid w:val="00A730EF"/>
    <w:rsid w:val="00A7361D"/>
    <w:rsid w:val="00A7456C"/>
    <w:rsid w:val="00A75588"/>
    <w:rsid w:val="00A772B5"/>
    <w:rsid w:val="00A778FF"/>
    <w:rsid w:val="00A77D5D"/>
    <w:rsid w:val="00A80635"/>
    <w:rsid w:val="00A82118"/>
    <w:rsid w:val="00A82EA9"/>
    <w:rsid w:val="00A85F7E"/>
    <w:rsid w:val="00A86EEE"/>
    <w:rsid w:val="00A87BD4"/>
    <w:rsid w:val="00A91E7F"/>
    <w:rsid w:val="00A9566F"/>
    <w:rsid w:val="00A95C14"/>
    <w:rsid w:val="00A95FAA"/>
    <w:rsid w:val="00A9666F"/>
    <w:rsid w:val="00A9702E"/>
    <w:rsid w:val="00A97BA6"/>
    <w:rsid w:val="00A97C92"/>
    <w:rsid w:val="00AA0797"/>
    <w:rsid w:val="00AA2F4F"/>
    <w:rsid w:val="00AA4BFF"/>
    <w:rsid w:val="00AA6A77"/>
    <w:rsid w:val="00AA7753"/>
    <w:rsid w:val="00AB0069"/>
    <w:rsid w:val="00AB18A3"/>
    <w:rsid w:val="00AB24E1"/>
    <w:rsid w:val="00AB2AB3"/>
    <w:rsid w:val="00AB3D71"/>
    <w:rsid w:val="00AB6EAC"/>
    <w:rsid w:val="00AC07A4"/>
    <w:rsid w:val="00AC271E"/>
    <w:rsid w:val="00AC67A5"/>
    <w:rsid w:val="00AD0EF9"/>
    <w:rsid w:val="00AD1F3F"/>
    <w:rsid w:val="00AD2944"/>
    <w:rsid w:val="00AD35EF"/>
    <w:rsid w:val="00AD4A4D"/>
    <w:rsid w:val="00AD57B1"/>
    <w:rsid w:val="00AD612A"/>
    <w:rsid w:val="00AD7A2D"/>
    <w:rsid w:val="00AE2F42"/>
    <w:rsid w:val="00AE33A9"/>
    <w:rsid w:val="00AE4335"/>
    <w:rsid w:val="00AE4666"/>
    <w:rsid w:val="00AE5255"/>
    <w:rsid w:val="00AF0C56"/>
    <w:rsid w:val="00AF140A"/>
    <w:rsid w:val="00AF1F7E"/>
    <w:rsid w:val="00AF2CDB"/>
    <w:rsid w:val="00AF4251"/>
    <w:rsid w:val="00AF4AEB"/>
    <w:rsid w:val="00AF539D"/>
    <w:rsid w:val="00AF59B9"/>
    <w:rsid w:val="00AF5A5E"/>
    <w:rsid w:val="00AF7241"/>
    <w:rsid w:val="00AF7DA3"/>
    <w:rsid w:val="00B001E4"/>
    <w:rsid w:val="00B0153A"/>
    <w:rsid w:val="00B0169A"/>
    <w:rsid w:val="00B03CE1"/>
    <w:rsid w:val="00B045F0"/>
    <w:rsid w:val="00B04889"/>
    <w:rsid w:val="00B04DC4"/>
    <w:rsid w:val="00B05170"/>
    <w:rsid w:val="00B05CA8"/>
    <w:rsid w:val="00B06013"/>
    <w:rsid w:val="00B06CAC"/>
    <w:rsid w:val="00B07049"/>
    <w:rsid w:val="00B10823"/>
    <w:rsid w:val="00B12BCB"/>
    <w:rsid w:val="00B1380A"/>
    <w:rsid w:val="00B13902"/>
    <w:rsid w:val="00B13FA7"/>
    <w:rsid w:val="00B14244"/>
    <w:rsid w:val="00B1506B"/>
    <w:rsid w:val="00B238AA"/>
    <w:rsid w:val="00B24B2E"/>
    <w:rsid w:val="00B24DB2"/>
    <w:rsid w:val="00B251E2"/>
    <w:rsid w:val="00B25570"/>
    <w:rsid w:val="00B2579E"/>
    <w:rsid w:val="00B25DA5"/>
    <w:rsid w:val="00B260DF"/>
    <w:rsid w:val="00B31660"/>
    <w:rsid w:val="00B3394C"/>
    <w:rsid w:val="00B33AC0"/>
    <w:rsid w:val="00B34081"/>
    <w:rsid w:val="00B35386"/>
    <w:rsid w:val="00B356C3"/>
    <w:rsid w:val="00B35BF4"/>
    <w:rsid w:val="00B362C6"/>
    <w:rsid w:val="00B37E3B"/>
    <w:rsid w:val="00B40BE8"/>
    <w:rsid w:val="00B41994"/>
    <w:rsid w:val="00B42655"/>
    <w:rsid w:val="00B44BDA"/>
    <w:rsid w:val="00B4503B"/>
    <w:rsid w:val="00B453F2"/>
    <w:rsid w:val="00B462E6"/>
    <w:rsid w:val="00B46EBD"/>
    <w:rsid w:val="00B4714A"/>
    <w:rsid w:val="00B51489"/>
    <w:rsid w:val="00B5163B"/>
    <w:rsid w:val="00B51651"/>
    <w:rsid w:val="00B525EE"/>
    <w:rsid w:val="00B55021"/>
    <w:rsid w:val="00B562C4"/>
    <w:rsid w:val="00B571D5"/>
    <w:rsid w:val="00B57273"/>
    <w:rsid w:val="00B6012E"/>
    <w:rsid w:val="00B6112C"/>
    <w:rsid w:val="00B61C6C"/>
    <w:rsid w:val="00B622E7"/>
    <w:rsid w:val="00B62C96"/>
    <w:rsid w:val="00B6380C"/>
    <w:rsid w:val="00B63F64"/>
    <w:rsid w:val="00B641A3"/>
    <w:rsid w:val="00B6545B"/>
    <w:rsid w:val="00B6556C"/>
    <w:rsid w:val="00B6734D"/>
    <w:rsid w:val="00B67AA9"/>
    <w:rsid w:val="00B72B76"/>
    <w:rsid w:val="00B72F4B"/>
    <w:rsid w:val="00B73DAC"/>
    <w:rsid w:val="00B744B2"/>
    <w:rsid w:val="00B7597A"/>
    <w:rsid w:val="00B75E8C"/>
    <w:rsid w:val="00B7603F"/>
    <w:rsid w:val="00B76E5E"/>
    <w:rsid w:val="00B77EF4"/>
    <w:rsid w:val="00B815E2"/>
    <w:rsid w:val="00B846D4"/>
    <w:rsid w:val="00B84A71"/>
    <w:rsid w:val="00B8544D"/>
    <w:rsid w:val="00B871A9"/>
    <w:rsid w:val="00B878CE"/>
    <w:rsid w:val="00B87B22"/>
    <w:rsid w:val="00B87F9C"/>
    <w:rsid w:val="00B906FF"/>
    <w:rsid w:val="00B9211C"/>
    <w:rsid w:val="00B92D61"/>
    <w:rsid w:val="00B92EEC"/>
    <w:rsid w:val="00B950A5"/>
    <w:rsid w:val="00B95C83"/>
    <w:rsid w:val="00B97541"/>
    <w:rsid w:val="00BA1CA0"/>
    <w:rsid w:val="00BA2590"/>
    <w:rsid w:val="00BA455A"/>
    <w:rsid w:val="00BA5528"/>
    <w:rsid w:val="00BA688E"/>
    <w:rsid w:val="00BB0742"/>
    <w:rsid w:val="00BB1B0D"/>
    <w:rsid w:val="00BB1DFD"/>
    <w:rsid w:val="00BB6818"/>
    <w:rsid w:val="00BC013C"/>
    <w:rsid w:val="00BC0541"/>
    <w:rsid w:val="00BC0C96"/>
    <w:rsid w:val="00BC23F3"/>
    <w:rsid w:val="00BC328D"/>
    <w:rsid w:val="00BC36DE"/>
    <w:rsid w:val="00BC395B"/>
    <w:rsid w:val="00BC3F67"/>
    <w:rsid w:val="00BC45BA"/>
    <w:rsid w:val="00BC5F4E"/>
    <w:rsid w:val="00BC5FDE"/>
    <w:rsid w:val="00BC7297"/>
    <w:rsid w:val="00BC72EA"/>
    <w:rsid w:val="00BD0240"/>
    <w:rsid w:val="00BD0822"/>
    <w:rsid w:val="00BD0B39"/>
    <w:rsid w:val="00BD1E79"/>
    <w:rsid w:val="00BD2C19"/>
    <w:rsid w:val="00BD5E01"/>
    <w:rsid w:val="00BD799F"/>
    <w:rsid w:val="00BE0125"/>
    <w:rsid w:val="00BE0A98"/>
    <w:rsid w:val="00BE13D4"/>
    <w:rsid w:val="00BE1867"/>
    <w:rsid w:val="00BE5FB6"/>
    <w:rsid w:val="00BE79DB"/>
    <w:rsid w:val="00BF11D7"/>
    <w:rsid w:val="00BF467C"/>
    <w:rsid w:val="00BF59B0"/>
    <w:rsid w:val="00BF7D62"/>
    <w:rsid w:val="00C0130E"/>
    <w:rsid w:val="00C0272E"/>
    <w:rsid w:val="00C02B41"/>
    <w:rsid w:val="00C04D36"/>
    <w:rsid w:val="00C04DB4"/>
    <w:rsid w:val="00C05EB3"/>
    <w:rsid w:val="00C06FCE"/>
    <w:rsid w:val="00C07C03"/>
    <w:rsid w:val="00C10747"/>
    <w:rsid w:val="00C10EB5"/>
    <w:rsid w:val="00C12025"/>
    <w:rsid w:val="00C133C8"/>
    <w:rsid w:val="00C1447E"/>
    <w:rsid w:val="00C15F7E"/>
    <w:rsid w:val="00C1682F"/>
    <w:rsid w:val="00C21159"/>
    <w:rsid w:val="00C21650"/>
    <w:rsid w:val="00C265C0"/>
    <w:rsid w:val="00C27482"/>
    <w:rsid w:val="00C27872"/>
    <w:rsid w:val="00C30595"/>
    <w:rsid w:val="00C30AAD"/>
    <w:rsid w:val="00C311B3"/>
    <w:rsid w:val="00C33D9D"/>
    <w:rsid w:val="00C35637"/>
    <w:rsid w:val="00C3576B"/>
    <w:rsid w:val="00C36AC4"/>
    <w:rsid w:val="00C418FA"/>
    <w:rsid w:val="00C44424"/>
    <w:rsid w:val="00C44FA7"/>
    <w:rsid w:val="00C472A4"/>
    <w:rsid w:val="00C537EB"/>
    <w:rsid w:val="00C61A21"/>
    <w:rsid w:val="00C62EDF"/>
    <w:rsid w:val="00C630B4"/>
    <w:rsid w:val="00C654F4"/>
    <w:rsid w:val="00C66654"/>
    <w:rsid w:val="00C67383"/>
    <w:rsid w:val="00C706EC"/>
    <w:rsid w:val="00C7185F"/>
    <w:rsid w:val="00C71F95"/>
    <w:rsid w:val="00C72C64"/>
    <w:rsid w:val="00C73585"/>
    <w:rsid w:val="00C73C0D"/>
    <w:rsid w:val="00C7436B"/>
    <w:rsid w:val="00C7586A"/>
    <w:rsid w:val="00C76480"/>
    <w:rsid w:val="00C77547"/>
    <w:rsid w:val="00C778E6"/>
    <w:rsid w:val="00C81B64"/>
    <w:rsid w:val="00C81E07"/>
    <w:rsid w:val="00C8388D"/>
    <w:rsid w:val="00C839A9"/>
    <w:rsid w:val="00C83FB4"/>
    <w:rsid w:val="00C849C6"/>
    <w:rsid w:val="00C84A1E"/>
    <w:rsid w:val="00C85D6A"/>
    <w:rsid w:val="00C874E9"/>
    <w:rsid w:val="00C9040A"/>
    <w:rsid w:val="00C90AFC"/>
    <w:rsid w:val="00C94693"/>
    <w:rsid w:val="00C94898"/>
    <w:rsid w:val="00CA2D32"/>
    <w:rsid w:val="00CA3FE6"/>
    <w:rsid w:val="00CA4A6E"/>
    <w:rsid w:val="00CA6414"/>
    <w:rsid w:val="00CA70A4"/>
    <w:rsid w:val="00CA74DC"/>
    <w:rsid w:val="00CB2AB7"/>
    <w:rsid w:val="00CC0083"/>
    <w:rsid w:val="00CC27F3"/>
    <w:rsid w:val="00CC3194"/>
    <w:rsid w:val="00CC3562"/>
    <w:rsid w:val="00CC4D63"/>
    <w:rsid w:val="00CC5E5B"/>
    <w:rsid w:val="00CC61A5"/>
    <w:rsid w:val="00CC772A"/>
    <w:rsid w:val="00CC7E08"/>
    <w:rsid w:val="00CD12B1"/>
    <w:rsid w:val="00CD14DB"/>
    <w:rsid w:val="00CD523F"/>
    <w:rsid w:val="00CD6D72"/>
    <w:rsid w:val="00CD7B93"/>
    <w:rsid w:val="00CE0348"/>
    <w:rsid w:val="00CE2E0F"/>
    <w:rsid w:val="00CE5FE4"/>
    <w:rsid w:val="00CE6283"/>
    <w:rsid w:val="00CE67AA"/>
    <w:rsid w:val="00CE6F33"/>
    <w:rsid w:val="00CE73B5"/>
    <w:rsid w:val="00CE791D"/>
    <w:rsid w:val="00CE79D7"/>
    <w:rsid w:val="00CE7CE3"/>
    <w:rsid w:val="00CF2071"/>
    <w:rsid w:val="00CF244E"/>
    <w:rsid w:val="00CF278D"/>
    <w:rsid w:val="00CF2FE9"/>
    <w:rsid w:val="00CF37C7"/>
    <w:rsid w:val="00CF3CF8"/>
    <w:rsid w:val="00CF474D"/>
    <w:rsid w:val="00CF5A64"/>
    <w:rsid w:val="00CF6622"/>
    <w:rsid w:val="00CF749A"/>
    <w:rsid w:val="00D0089A"/>
    <w:rsid w:val="00D014C7"/>
    <w:rsid w:val="00D01548"/>
    <w:rsid w:val="00D03639"/>
    <w:rsid w:val="00D04D5F"/>
    <w:rsid w:val="00D04DD6"/>
    <w:rsid w:val="00D04DFA"/>
    <w:rsid w:val="00D0597F"/>
    <w:rsid w:val="00D05F35"/>
    <w:rsid w:val="00D06393"/>
    <w:rsid w:val="00D06E5E"/>
    <w:rsid w:val="00D06F79"/>
    <w:rsid w:val="00D10597"/>
    <w:rsid w:val="00D120A3"/>
    <w:rsid w:val="00D13288"/>
    <w:rsid w:val="00D13AF8"/>
    <w:rsid w:val="00D1584B"/>
    <w:rsid w:val="00D167FE"/>
    <w:rsid w:val="00D20601"/>
    <w:rsid w:val="00D219E9"/>
    <w:rsid w:val="00D2205B"/>
    <w:rsid w:val="00D224C3"/>
    <w:rsid w:val="00D23418"/>
    <w:rsid w:val="00D23A1A"/>
    <w:rsid w:val="00D24606"/>
    <w:rsid w:val="00D2620A"/>
    <w:rsid w:val="00D3056A"/>
    <w:rsid w:val="00D3064D"/>
    <w:rsid w:val="00D30AED"/>
    <w:rsid w:val="00D30F84"/>
    <w:rsid w:val="00D31091"/>
    <w:rsid w:val="00D33CFE"/>
    <w:rsid w:val="00D33DDE"/>
    <w:rsid w:val="00D34DA4"/>
    <w:rsid w:val="00D34E98"/>
    <w:rsid w:val="00D35C1D"/>
    <w:rsid w:val="00D3752F"/>
    <w:rsid w:val="00D40DDE"/>
    <w:rsid w:val="00D42D78"/>
    <w:rsid w:val="00D43970"/>
    <w:rsid w:val="00D43CA5"/>
    <w:rsid w:val="00D44CA5"/>
    <w:rsid w:val="00D46E12"/>
    <w:rsid w:val="00D50734"/>
    <w:rsid w:val="00D507C0"/>
    <w:rsid w:val="00D513CC"/>
    <w:rsid w:val="00D5172A"/>
    <w:rsid w:val="00D554AC"/>
    <w:rsid w:val="00D56435"/>
    <w:rsid w:val="00D62755"/>
    <w:rsid w:val="00D62AA4"/>
    <w:rsid w:val="00D6318F"/>
    <w:rsid w:val="00D650BB"/>
    <w:rsid w:val="00D6540A"/>
    <w:rsid w:val="00D674AF"/>
    <w:rsid w:val="00D70107"/>
    <w:rsid w:val="00D70438"/>
    <w:rsid w:val="00D717AD"/>
    <w:rsid w:val="00D720AD"/>
    <w:rsid w:val="00D72D1D"/>
    <w:rsid w:val="00D74A18"/>
    <w:rsid w:val="00D74D3E"/>
    <w:rsid w:val="00D757C6"/>
    <w:rsid w:val="00D75C41"/>
    <w:rsid w:val="00D76EB4"/>
    <w:rsid w:val="00D80529"/>
    <w:rsid w:val="00D80F78"/>
    <w:rsid w:val="00D81AC3"/>
    <w:rsid w:val="00D81C59"/>
    <w:rsid w:val="00D82A5B"/>
    <w:rsid w:val="00D84637"/>
    <w:rsid w:val="00D8473B"/>
    <w:rsid w:val="00D85780"/>
    <w:rsid w:val="00D925AA"/>
    <w:rsid w:val="00D9283D"/>
    <w:rsid w:val="00D930DD"/>
    <w:rsid w:val="00D9341C"/>
    <w:rsid w:val="00D94B7D"/>
    <w:rsid w:val="00DA0B1A"/>
    <w:rsid w:val="00DA1560"/>
    <w:rsid w:val="00DA3176"/>
    <w:rsid w:val="00DA4C44"/>
    <w:rsid w:val="00DA4C48"/>
    <w:rsid w:val="00DA4E21"/>
    <w:rsid w:val="00DA71EF"/>
    <w:rsid w:val="00DA7A18"/>
    <w:rsid w:val="00DB1347"/>
    <w:rsid w:val="00DB28CE"/>
    <w:rsid w:val="00DB29BC"/>
    <w:rsid w:val="00DB2A2A"/>
    <w:rsid w:val="00DB479F"/>
    <w:rsid w:val="00DB55B6"/>
    <w:rsid w:val="00DB5EA7"/>
    <w:rsid w:val="00DB5F21"/>
    <w:rsid w:val="00DB6D7C"/>
    <w:rsid w:val="00DB7183"/>
    <w:rsid w:val="00DC090A"/>
    <w:rsid w:val="00DC0E7E"/>
    <w:rsid w:val="00DC2D72"/>
    <w:rsid w:val="00DC30EA"/>
    <w:rsid w:val="00DC4FE9"/>
    <w:rsid w:val="00DC5918"/>
    <w:rsid w:val="00DC6C8D"/>
    <w:rsid w:val="00DC73A5"/>
    <w:rsid w:val="00DD0236"/>
    <w:rsid w:val="00DD324B"/>
    <w:rsid w:val="00DD4100"/>
    <w:rsid w:val="00DD76A4"/>
    <w:rsid w:val="00DD7C65"/>
    <w:rsid w:val="00DE03E4"/>
    <w:rsid w:val="00DE1134"/>
    <w:rsid w:val="00DE1AEB"/>
    <w:rsid w:val="00DE2247"/>
    <w:rsid w:val="00DE2A34"/>
    <w:rsid w:val="00DE37AE"/>
    <w:rsid w:val="00DE4732"/>
    <w:rsid w:val="00DE6668"/>
    <w:rsid w:val="00DE666D"/>
    <w:rsid w:val="00DE6987"/>
    <w:rsid w:val="00DE7339"/>
    <w:rsid w:val="00DF1246"/>
    <w:rsid w:val="00DF30C0"/>
    <w:rsid w:val="00E0080A"/>
    <w:rsid w:val="00E00F31"/>
    <w:rsid w:val="00E02242"/>
    <w:rsid w:val="00E02AF8"/>
    <w:rsid w:val="00E0300E"/>
    <w:rsid w:val="00E04AE0"/>
    <w:rsid w:val="00E070D0"/>
    <w:rsid w:val="00E07BF1"/>
    <w:rsid w:val="00E11517"/>
    <w:rsid w:val="00E12834"/>
    <w:rsid w:val="00E13202"/>
    <w:rsid w:val="00E13727"/>
    <w:rsid w:val="00E14AC6"/>
    <w:rsid w:val="00E15630"/>
    <w:rsid w:val="00E17AB3"/>
    <w:rsid w:val="00E20254"/>
    <w:rsid w:val="00E209F0"/>
    <w:rsid w:val="00E219EB"/>
    <w:rsid w:val="00E22C13"/>
    <w:rsid w:val="00E23129"/>
    <w:rsid w:val="00E25045"/>
    <w:rsid w:val="00E25455"/>
    <w:rsid w:val="00E265F3"/>
    <w:rsid w:val="00E2677C"/>
    <w:rsid w:val="00E26D83"/>
    <w:rsid w:val="00E271CD"/>
    <w:rsid w:val="00E27A1E"/>
    <w:rsid w:val="00E306E9"/>
    <w:rsid w:val="00E307DC"/>
    <w:rsid w:val="00E323CF"/>
    <w:rsid w:val="00E334B9"/>
    <w:rsid w:val="00E33905"/>
    <w:rsid w:val="00E342D1"/>
    <w:rsid w:val="00E34B96"/>
    <w:rsid w:val="00E35F7D"/>
    <w:rsid w:val="00E37502"/>
    <w:rsid w:val="00E40127"/>
    <w:rsid w:val="00E43074"/>
    <w:rsid w:val="00E431C8"/>
    <w:rsid w:val="00E44926"/>
    <w:rsid w:val="00E44E09"/>
    <w:rsid w:val="00E45D53"/>
    <w:rsid w:val="00E46DBD"/>
    <w:rsid w:val="00E51708"/>
    <w:rsid w:val="00E51729"/>
    <w:rsid w:val="00E51D0A"/>
    <w:rsid w:val="00E53139"/>
    <w:rsid w:val="00E53A8F"/>
    <w:rsid w:val="00E5435E"/>
    <w:rsid w:val="00E55A81"/>
    <w:rsid w:val="00E56450"/>
    <w:rsid w:val="00E56DA8"/>
    <w:rsid w:val="00E60ACC"/>
    <w:rsid w:val="00E60C4B"/>
    <w:rsid w:val="00E60E21"/>
    <w:rsid w:val="00E6570E"/>
    <w:rsid w:val="00E66638"/>
    <w:rsid w:val="00E6706E"/>
    <w:rsid w:val="00E7211D"/>
    <w:rsid w:val="00E754C2"/>
    <w:rsid w:val="00E757CA"/>
    <w:rsid w:val="00E75D48"/>
    <w:rsid w:val="00E76750"/>
    <w:rsid w:val="00E773CD"/>
    <w:rsid w:val="00E774C9"/>
    <w:rsid w:val="00E77D0C"/>
    <w:rsid w:val="00E80964"/>
    <w:rsid w:val="00E83D43"/>
    <w:rsid w:val="00E84159"/>
    <w:rsid w:val="00E841A6"/>
    <w:rsid w:val="00E84BCB"/>
    <w:rsid w:val="00E85905"/>
    <w:rsid w:val="00E85D20"/>
    <w:rsid w:val="00E87C0D"/>
    <w:rsid w:val="00E90DC4"/>
    <w:rsid w:val="00E9163F"/>
    <w:rsid w:val="00E91CB7"/>
    <w:rsid w:val="00E955B0"/>
    <w:rsid w:val="00E956E8"/>
    <w:rsid w:val="00EA022D"/>
    <w:rsid w:val="00EA0D10"/>
    <w:rsid w:val="00EA0F2C"/>
    <w:rsid w:val="00EA19CB"/>
    <w:rsid w:val="00EA2919"/>
    <w:rsid w:val="00EA2C8F"/>
    <w:rsid w:val="00EA5045"/>
    <w:rsid w:val="00EA5D64"/>
    <w:rsid w:val="00EA613A"/>
    <w:rsid w:val="00EA6A8C"/>
    <w:rsid w:val="00EB2AD1"/>
    <w:rsid w:val="00EB2F9F"/>
    <w:rsid w:val="00EB3067"/>
    <w:rsid w:val="00EB353E"/>
    <w:rsid w:val="00EB3AA1"/>
    <w:rsid w:val="00EB56E0"/>
    <w:rsid w:val="00EB5DDF"/>
    <w:rsid w:val="00EB6E66"/>
    <w:rsid w:val="00EC0129"/>
    <w:rsid w:val="00EC3CEC"/>
    <w:rsid w:val="00EC4625"/>
    <w:rsid w:val="00EC7B76"/>
    <w:rsid w:val="00ED139E"/>
    <w:rsid w:val="00ED1759"/>
    <w:rsid w:val="00ED27A5"/>
    <w:rsid w:val="00ED3ECB"/>
    <w:rsid w:val="00ED445D"/>
    <w:rsid w:val="00ED461C"/>
    <w:rsid w:val="00ED5E2B"/>
    <w:rsid w:val="00EE01C2"/>
    <w:rsid w:val="00EE2FEA"/>
    <w:rsid w:val="00EE37A2"/>
    <w:rsid w:val="00EE3B12"/>
    <w:rsid w:val="00EE5AF3"/>
    <w:rsid w:val="00EE5E91"/>
    <w:rsid w:val="00EE5F8C"/>
    <w:rsid w:val="00EE73BC"/>
    <w:rsid w:val="00EE750C"/>
    <w:rsid w:val="00EE7AC8"/>
    <w:rsid w:val="00EF00AA"/>
    <w:rsid w:val="00EF3996"/>
    <w:rsid w:val="00F0026A"/>
    <w:rsid w:val="00F021E7"/>
    <w:rsid w:val="00F026C1"/>
    <w:rsid w:val="00F039D1"/>
    <w:rsid w:val="00F05BEC"/>
    <w:rsid w:val="00F05D0F"/>
    <w:rsid w:val="00F05DB4"/>
    <w:rsid w:val="00F13358"/>
    <w:rsid w:val="00F1456D"/>
    <w:rsid w:val="00F14DA0"/>
    <w:rsid w:val="00F15387"/>
    <w:rsid w:val="00F15D8B"/>
    <w:rsid w:val="00F15F46"/>
    <w:rsid w:val="00F17551"/>
    <w:rsid w:val="00F17D58"/>
    <w:rsid w:val="00F228F5"/>
    <w:rsid w:val="00F23FD4"/>
    <w:rsid w:val="00F24143"/>
    <w:rsid w:val="00F241BE"/>
    <w:rsid w:val="00F24962"/>
    <w:rsid w:val="00F25038"/>
    <w:rsid w:val="00F263D9"/>
    <w:rsid w:val="00F2735C"/>
    <w:rsid w:val="00F3124A"/>
    <w:rsid w:val="00F31D41"/>
    <w:rsid w:val="00F34539"/>
    <w:rsid w:val="00F35005"/>
    <w:rsid w:val="00F359FB"/>
    <w:rsid w:val="00F364CB"/>
    <w:rsid w:val="00F36E13"/>
    <w:rsid w:val="00F37601"/>
    <w:rsid w:val="00F4058E"/>
    <w:rsid w:val="00F4220F"/>
    <w:rsid w:val="00F423B8"/>
    <w:rsid w:val="00F43F58"/>
    <w:rsid w:val="00F45507"/>
    <w:rsid w:val="00F46014"/>
    <w:rsid w:val="00F47670"/>
    <w:rsid w:val="00F51371"/>
    <w:rsid w:val="00F51AF6"/>
    <w:rsid w:val="00F53B3E"/>
    <w:rsid w:val="00F551E9"/>
    <w:rsid w:val="00F55A95"/>
    <w:rsid w:val="00F56113"/>
    <w:rsid w:val="00F5640F"/>
    <w:rsid w:val="00F56735"/>
    <w:rsid w:val="00F56B3A"/>
    <w:rsid w:val="00F60F94"/>
    <w:rsid w:val="00F61408"/>
    <w:rsid w:val="00F615F9"/>
    <w:rsid w:val="00F62055"/>
    <w:rsid w:val="00F620BE"/>
    <w:rsid w:val="00F64DC5"/>
    <w:rsid w:val="00F73938"/>
    <w:rsid w:val="00F73E87"/>
    <w:rsid w:val="00F74224"/>
    <w:rsid w:val="00F747A9"/>
    <w:rsid w:val="00F76696"/>
    <w:rsid w:val="00F76E72"/>
    <w:rsid w:val="00F77295"/>
    <w:rsid w:val="00F77A84"/>
    <w:rsid w:val="00F80438"/>
    <w:rsid w:val="00F87905"/>
    <w:rsid w:val="00F91A0D"/>
    <w:rsid w:val="00F9229E"/>
    <w:rsid w:val="00F92724"/>
    <w:rsid w:val="00F92A12"/>
    <w:rsid w:val="00F942E2"/>
    <w:rsid w:val="00F9523B"/>
    <w:rsid w:val="00F9546E"/>
    <w:rsid w:val="00F9560B"/>
    <w:rsid w:val="00F95755"/>
    <w:rsid w:val="00F96E67"/>
    <w:rsid w:val="00F96E92"/>
    <w:rsid w:val="00F97C89"/>
    <w:rsid w:val="00FA0700"/>
    <w:rsid w:val="00FA13CB"/>
    <w:rsid w:val="00FA2BE9"/>
    <w:rsid w:val="00FA31AE"/>
    <w:rsid w:val="00FA4FCD"/>
    <w:rsid w:val="00FB1DA4"/>
    <w:rsid w:val="00FB2973"/>
    <w:rsid w:val="00FB42CF"/>
    <w:rsid w:val="00FB511E"/>
    <w:rsid w:val="00FB7B5E"/>
    <w:rsid w:val="00FC061F"/>
    <w:rsid w:val="00FC07DD"/>
    <w:rsid w:val="00FC2B86"/>
    <w:rsid w:val="00FC37AA"/>
    <w:rsid w:val="00FC48B5"/>
    <w:rsid w:val="00FC4CA2"/>
    <w:rsid w:val="00FC6FF3"/>
    <w:rsid w:val="00FC7629"/>
    <w:rsid w:val="00FC7B2A"/>
    <w:rsid w:val="00FD1371"/>
    <w:rsid w:val="00FD3D67"/>
    <w:rsid w:val="00FD4F56"/>
    <w:rsid w:val="00FD536A"/>
    <w:rsid w:val="00FD74FF"/>
    <w:rsid w:val="00FE0423"/>
    <w:rsid w:val="00FE105F"/>
    <w:rsid w:val="00FE3CEC"/>
    <w:rsid w:val="00FE4145"/>
    <w:rsid w:val="00FE5F2D"/>
    <w:rsid w:val="00FE607C"/>
    <w:rsid w:val="00FE6A1F"/>
    <w:rsid w:val="00FE743E"/>
    <w:rsid w:val="00FF04FB"/>
    <w:rsid w:val="00FF0810"/>
    <w:rsid w:val="00FF11E6"/>
    <w:rsid w:val="00FF32F3"/>
    <w:rsid w:val="00FF5B0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shapeDefaults>
    <o:shapedefaults v:ext="edit" spidmax="2049">
      <o:colormru v:ext="edit" colors="#5a9a98,#ddcf56,#ad495d,#ab9c8f,#b5d3d2,#7e6d5f,#f26631,#54534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6BFE"/>
    <w:rPr>
      <w:szCs w:val="24"/>
      <w:lang w:val="en-AU" w:eastAsia="en-AU"/>
    </w:rPr>
  </w:style>
  <w:style w:type="paragraph" w:styleId="Heading1">
    <w:name w:val="heading 1"/>
    <w:basedOn w:val="BodyText"/>
    <w:next w:val="BodyText"/>
    <w:link w:val="Heading1Char"/>
    <w:qFormat/>
    <w:rsid w:val="00BC36DE"/>
    <w:pPr>
      <w:outlineLvl w:val="0"/>
    </w:pPr>
  </w:style>
  <w:style w:type="paragraph" w:styleId="Heading2">
    <w:name w:val="heading 2"/>
    <w:basedOn w:val="Heading1"/>
    <w:next w:val="BodyText"/>
    <w:link w:val="Heading2Char"/>
    <w:qFormat/>
    <w:rsid w:val="00A66E8A"/>
    <w:pPr>
      <w:numPr>
        <w:ilvl w:val="1"/>
        <w:numId w:val="7"/>
      </w:numPr>
      <w:spacing w:before="380" w:after="0"/>
      <w:outlineLvl w:val="1"/>
    </w:pPr>
    <w:rPr>
      <w:rFonts w:ascii="Franklin Gothic Medium" w:hAnsi="Franklin Gothic Medium"/>
      <w:color w:val="5A9A98"/>
      <w:sz w:val="24"/>
      <w:szCs w:val="24"/>
    </w:rPr>
  </w:style>
  <w:style w:type="paragraph" w:styleId="Heading3">
    <w:name w:val="heading 3"/>
    <w:basedOn w:val="Heading2"/>
    <w:next w:val="BodyText"/>
    <w:link w:val="Heading3Char"/>
    <w:qFormat/>
    <w:rsid w:val="00A66E8A"/>
    <w:pPr>
      <w:numPr>
        <w:ilvl w:val="2"/>
      </w:numPr>
      <w:spacing w:before="300" w:line="260" w:lineRule="atLeast"/>
      <w:outlineLvl w:val="2"/>
    </w:pPr>
    <w:rPr>
      <w:color w:val="54534A"/>
      <w:sz w:val="22"/>
      <w:szCs w:val="22"/>
    </w:rPr>
  </w:style>
  <w:style w:type="paragraph" w:styleId="Heading4">
    <w:name w:val="heading 4"/>
    <w:basedOn w:val="BodyText"/>
    <w:next w:val="BodyText"/>
    <w:qFormat/>
    <w:rsid w:val="00222F3B"/>
    <w:pPr>
      <w:numPr>
        <w:ilvl w:val="3"/>
        <w:numId w:val="7"/>
      </w:numPr>
      <w:spacing w:before="320" w:after="0"/>
      <w:outlineLvl w:val="3"/>
    </w:pPr>
    <w:rPr>
      <w:b/>
      <w:color w:val="54534A"/>
      <w:sz w:val="22"/>
      <w:szCs w:val="22"/>
    </w:rPr>
  </w:style>
  <w:style w:type="paragraph" w:styleId="Heading5">
    <w:name w:val="heading 5"/>
    <w:basedOn w:val="BodyText"/>
    <w:next w:val="BodyText"/>
    <w:qFormat/>
    <w:rsid w:val="00B525EE"/>
    <w:pPr>
      <w:keepNext/>
      <w:numPr>
        <w:ilvl w:val="4"/>
        <w:numId w:val="7"/>
      </w:numPr>
      <w:spacing w:before="320" w:after="0"/>
      <w:outlineLvl w:val="4"/>
    </w:pPr>
    <w:rPr>
      <w:b/>
      <w:color w:val="54534A"/>
    </w:rPr>
  </w:style>
  <w:style w:type="paragraph" w:styleId="Heading6">
    <w:name w:val="heading 6"/>
    <w:basedOn w:val="Heading1"/>
    <w:next w:val="BodyText"/>
    <w:qFormat/>
    <w:rsid w:val="00B525EE"/>
    <w:pPr>
      <w:numPr>
        <w:ilvl w:val="5"/>
        <w:numId w:val="7"/>
      </w:numPr>
      <w:outlineLvl w:val="5"/>
    </w:pPr>
    <w:rPr>
      <w:bCs/>
    </w:rPr>
  </w:style>
  <w:style w:type="paragraph" w:styleId="Heading7">
    <w:name w:val="heading 7"/>
    <w:basedOn w:val="Heading2"/>
    <w:next w:val="BodyText"/>
    <w:qFormat/>
    <w:rsid w:val="00B525EE"/>
    <w:pPr>
      <w:numPr>
        <w:ilvl w:val="6"/>
      </w:numPr>
      <w:outlineLvl w:val="6"/>
    </w:pPr>
    <w:rPr>
      <w:rFonts w:ascii="Franklin Gothic Demi" w:hAnsi="Franklin Gothic Demi"/>
      <w:sz w:val="28"/>
      <w:szCs w:val="28"/>
    </w:rPr>
  </w:style>
  <w:style w:type="paragraph" w:styleId="Heading8">
    <w:name w:val="heading 8"/>
    <w:basedOn w:val="Heading3"/>
    <w:next w:val="BodyText"/>
    <w:qFormat/>
    <w:rsid w:val="00B525EE"/>
    <w:pPr>
      <w:numPr>
        <w:ilvl w:val="7"/>
      </w:numPr>
      <w:outlineLvl w:val="7"/>
    </w:pPr>
  </w:style>
  <w:style w:type="paragraph" w:styleId="Heading9">
    <w:name w:val="heading 9"/>
    <w:basedOn w:val="Heading4"/>
    <w:next w:val="BodyText"/>
    <w:qFormat/>
    <w:rsid w:val="00B525EE"/>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1356A"/>
    <w:pPr>
      <w:spacing w:before="80" w:after="80" w:line="280" w:lineRule="atLeast"/>
    </w:pPr>
    <w:rPr>
      <w:rFonts w:ascii="Georgia" w:hAnsi="Georgia"/>
      <w:sz w:val="19"/>
      <w:szCs w:val="19"/>
    </w:rPr>
  </w:style>
  <w:style w:type="character" w:customStyle="1" w:styleId="BodyTextChar">
    <w:name w:val="Body Text Char"/>
    <w:link w:val="BodyText"/>
    <w:rsid w:val="0001356A"/>
    <w:rPr>
      <w:rFonts w:ascii="Georgia" w:hAnsi="Georgia"/>
      <w:sz w:val="19"/>
      <w:szCs w:val="19"/>
      <w:lang w:val="en-AU" w:eastAsia="en-AU" w:bidi="ar-SA"/>
    </w:rPr>
  </w:style>
  <w:style w:type="paragraph" w:customStyle="1" w:styleId="CharChar">
    <w:name w:val="Char Char"/>
    <w:basedOn w:val="Normal"/>
    <w:semiHidden/>
    <w:rsid w:val="00953A8D"/>
    <w:pPr>
      <w:spacing w:before="180" w:line="280" w:lineRule="atLeast"/>
    </w:pPr>
    <w:rPr>
      <w:rFonts w:ascii="Arial" w:hAnsi="Arial"/>
      <w:sz w:val="22"/>
      <w:szCs w:val="20"/>
      <w:lang w:eastAsia="en-US"/>
    </w:rPr>
  </w:style>
  <w:style w:type="character" w:customStyle="1" w:styleId="Heading1Char">
    <w:name w:val="Heading 1 Char"/>
    <w:link w:val="Heading1"/>
    <w:rsid w:val="00BC36DE"/>
    <w:rPr>
      <w:rFonts w:ascii="Georgia" w:hAnsi="Georgia"/>
      <w:sz w:val="19"/>
      <w:szCs w:val="19"/>
      <w:lang w:val="en-AU" w:eastAsia="en-AU" w:bidi="ar-SA"/>
    </w:rPr>
  </w:style>
  <w:style w:type="character" w:customStyle="1" w:styleId="Heading2Char">
    <w:name w:val="Heading 2 Char"/>
    <w:link w:val="Heading2"/>
    <w:rsid w:val="00BC36DE"/>
    <w:rPr>
      <w:rFonts w:ascii="Franklin Gothic Medium" w:hAnsi="Franklin Gothic Medium"/>
      <w:color w:val="5A9A98"/>
      <w:sz w:val="24"/>
      <w:szCs w:val="24"/>
      <w:lang w:val="en-AU" w:eastAsia="en-AU"/>
    </w:rPr>
  </w:style>
  <w:style w:type="character" w:customStyle="1" w:styleId="Heading3Char">
    <w:name w:val="Heading 3 Char"/>
    <w:link w:val="Heading3"/>
    <w:rsid w:val="009D55F8"/>
    <w:rPr>
      <w:rFonts w:ascii="Franklin Gothic Medium" w:hAnsi="Franklin Gothic Medium"/>
      <w:color w:val="54534A"/>
      <w:sz w:val="22"/>
      <w:szCs w:val="22"/>
      <w:lang w:val="en-AU" w:eastAsia="en-AU"/>
    </w:rPr>
  </w:style>
  <w:style w:type="character" w:customStyle="1" w:styleId="DraftingNote">
    <w:name w:val="Drafting Note"/>
    <w:semiHidden/>
    <w:rsid w:val="00F0026A"/>
    <w:rPr>
      <w:rFonts w:ascii="Georgia" w:hAnsi="Georgia"/>
      <w:b/>
      <w:color w:val="FF0000"/>
      <w:sz w:val="19"/>
      <w:szCs w:val="19"/>
      <w:u w:val="dotted"/>
    </w:rPr>
  </w:style>
  <w:style w:type="paragraph" w:customStyle="1" w:styleId="QuoteBullet">
    <w:name w:val="Quote Bullet"/>
    <w:basedOn w:val="Quote"/>
    <w:rsid w:val="008B14A2"/>
    <w:pPr>
      <w:numPr>
        <w:numId w:val="17"/>
      </w:numPr>
    </w:pPr>
  </w:style>
  <w:style w:type="paragraph" w:styleId="Quote">
    <w:name w:val="Quote"/>
    <w:basedOn w:val="BodyText"/>
    <w:next w:val="BodyText"/>
    <w:qFormat/>
    <w:rsid w:val="00B84A71"/>
    <w:pPr>
      <w:spacing w:before="0" w:line="260" w:lineRule="atLeast"/>
      <w:ind w:left="284"/>
    </w:pPr>
    <w:rPr>
      <w:sz w:val="17"/>
      <w:szCs w:val="17"/>
    </w:rPr>
  </w:style>
  <w:style w:type="paragraph" w:customStyle="1" w:styleId="Abbreviation">
    <w:name w:val="Abbreviation"/>
    <w:basedOn w:val="BodyText"/>
    <w:rsid w:val="00942B42"/>
    <w:pPr>
      <w:ind w:left="1418" w:hanging="1418"/>
    </w:pPr>
  </w:style>
  <w:style w:type="paragraph" w:customStyle="1" w:styleId="Ratingamber">
    <w:name w:val="Rating amber"/>
    <w:basedOn w:val="Normal"/>
    <w:semiHidden/>
    <w:rsid w:val="001C6E03"/>
    <w:pPr>
      <w:numPr>
        <w:numId w:val="10"/>
      </w:numPr>
      <w:spacing w:before="80" w:after="80" w:line="280" w:lineRule="atLeast"/>
    </w:pPr>
    <w:rPr>
      <w:rFonts w:ascii="Georgia" w:hAnsi="Georgia"/>
      <w:sz w:val="19"/>
      <w:szCs w:val="19"/>
    </w:rPr>
  </w:style>
  <w:style w:type="paragraph" w:styleId="ListBullet">
    <w:name w:val="List Bullet"/>
    <w:basedOn w:val="BodyText"/>
    <w:rsid w:val="002C5AF0"/>
    <w:pPr>
      <w:numPr>
        <w:numId w:val="15"/>
      </w:numPr>
    </w:pPr>
  </w:style>
  <w:style w:type="paragraph" w:styleId="ListBullet2">
    <w:name w:val="List Bullet 2"/>
    <w:basedOn w:val="ListBullet"/>
    <w:rsid w:val="00D42D78"/>
    <w:pPr>
      <w:numPr>
        <w:numId w:val="12"/>
      </w:numPr>
      <w:spacing w:before="0"/>
      <w:ind w:left="568" w:hanging="284"/>
    </w:pPr>
  </w:style>
  <w:style w:type="paragraph" w:styleId="ListNumber">
    <w:name w:val="List Number"/>
    <w:basedOn w:val="ListBullet"/>
    <w:rsid w:val="00D42D78"/>
    <w:pPr>
      <w:numPr>
        <w:numId w:val="13"/>
      </w:numPr>
    </w:pPr>
  </w:style>
  <w:style w:type="paragraph" w:styleId="ListNumber2">
    <w:name w:val="List Number 2"/>
    <w:basedOn w:val="ListNumber"/>
    <w:rsid w:val="00D42D78"/>
    <w:pPr>
      <w:numPr>
        <w:numId w:val="14"/>
      </w:numPr>
      <w:spacing w:before="0"/>
      <w:ind w:left="568" w:hanging="284"/>
    </w:pPr>
  </w:style>
  <w:style w:type="paragraph" w:customStyle="1" w:styleId="Ratinggreen">
    <w:name w:val="Rating green"/>
    <w:basedOn w:val="Ratingamber"/>
    <w:semiHidden/>
    <w:rsid w:val="001C6E03"/>
    <w:pPr>
      <w:numPr>
        <w:numId w:val="11"/>
      </w:numPr>
    </w:pPr>
  </w:style>
  <w:style w:type="paragraph" w:customStyle="1" w:styleId="Reference">
    <w:name w:val="Reference"/>
    <w:basedOn w:val="BodyText"/>
    <w:semiHidden/>
    <w:rsid w:val="00F0026A"/>
    <w:pPr>
      <w:keepLines/>
      <w:spacing w:before="60" w:after="60" w:line="260" w:lineRule="atLeast"/>
      <w:ind w:left="284" w:hanging="284"/>
    </w:pPr>
    <w:rPr>
      <w:sz w:val="17"/>
      <w:szCs w:val="17"/>
    </w:rPr>
  </w:style>
  <w:style w:type="paragraph" w:styleId="Title">
    <w:name w:val="Title"/>
    <w:basedOn w:val="Normal"/>
    <w:next w:val="Subtitle"/>
    <w:link w:val="TitleChar"/>
    <w:qFormat/>
    <w:rsid w:val="00E77D0C"/>
    <w:pPr>
      <w:pageBreakBefore/>
      <w:spacing w:line="540" w:lineRule="atLeast"/>
    </w:pPr>
    <w:rPr>
      <w:rFonts w:ascii="Franklin Gothic Book" w:hAnsi="Franklin Gothic Book"/>
      <w:color w:val="FFFFFF"/>
      <w:spacing w:val="-10"/>
      <w:kern w:val="28"/>
      <w:sz w:val="46"/>
      <w:szCs w:val="46"/>
    </w:rPr>
  </w:style>
  <w:style w:type="paragraph" w:styleId="Subtitle">
    <w:name w:val="Subtitle"/>
    <w:basedOn w:val="Title"/>
    <w:next w:val="Date"/>
    <w:link w:val="SubtitleChar"/>
    <w:qFormat/>
    <w:rsid w:val="005B522F"/>
    <w:pPr>
      <w:pageBreakBefore w:val="0"/>
      <w:spacing w:before="120" w:line="380" w:lineRule="atLeast"/>
    </w:pPr>
    <w:rPr>
      <w:sz w:val="32"/>
      <w:szCs w:val="32"/>
    </w:rPr>
  </w:style>
  <w:style w:type="paragraph" w:styleId="Date">
    <w:name w:val="Date"/>
    <w:basedOn w:val="Subtitle"/>
    <w:next w:val="Author"/>
    <w:link w:val="DateChar"/>
    <w:semiHidden/>
    <w:rsid w:val="00A53A6B"/>
    <w:pPr>
      <w:spacing w:after="1000"/>
    </w:pPr>
    <w:rPr>
      <w:sz w:val="24"/>
      <w:szCs w:val="24"/>
    </w:rPr>
  </w:style>
  <w:style w:type="paragraph" w:customStyle="1" w:styleId="Author">
    <w:name w:val="Author"/>
    <w:basedOn w:val="Date"/>
    <w:next w:val="Position"/>
    <w:link w:val="AuthorCharChar"/>
    <w:semiHidden/>
    <w:rsid w:val="0075426C"/>
    <w:pPr>
      <w:spacing w:before="180" w:after="0" w:line="260" w:lineRule="atLeast"/>
    </w:pPr>
    <w:rPr>
      <w:rFonts w:ascii="Franklin Gothic Medium" w:hAnsi="Franklin Gothic Medium"/>
      <w:color w:val="auto"/>
      <w:spacing w:val="-2"/>
      <w:sz w:val="20"/>
      <w:szCs w:val="20"/>
    </w:rPr>
  </w:style>
  <w:style w:type="paragraph" w:customStyle="1" w:styleId="Position">
    <w:name w:val="Position"/>
    <w:basedOn w:val="Author"/>
    <w:next w:val="Author"/>
    <w:link w:val="PositionCharChar"/>
    <w:semiHidden/>
    <w:rsid w:val="0075426C"/>
    <w:pPr>
      <w:spacing w:before="0"/>
    </w:pPr>
    <w:rPr>
      <w:rFonts w:ascii="Franklin Gothic Book" w:hAnsi="Franklin Gothic Book"/>
    </w:rPr>
  </w:style>
  <w:style w:type="character" w:customStyle="1" w:styleId="PositionCharChar">
    <w:name w:val="Position Char Char"/>
    <w:link w:val="Position"/>
    <w:rsid w:val="0075426C"/>
    <w:rPr>
      <w:rFonts w:ascii="Franklin Gothic Book" w:hAnsi="Franklin Gothic Book"/>
      <w:color w:val="FFFFFF"/>
      <w:spacing w:val="-2"/>
      <w:kern w:val="28"/>
      <w:sz w:val="24"/>
      <w:szCs w:val="24"/>
      <w:lang w:val="en-AU" w:eastAsia="en-AU" w:bidi="ar-SA"/>
    </w:rPr>
  </w:style>
  <w:style w:type="character" w:customStyle="1" w:styleId="AuthorCharChar">
    <w:name w:val="Author Char Char"/>
    <w:link w:val="Author"/>
    <w:rsid w:val="0075426C"/>
    <w:rPr>
      <w:rFonts w:ascii="Franklin Gothic Medium" w:hAnsi="Franklin Gothic Medium"/>
      <w:color w:val="FFFFFF"/>
      <w:spacing w:val="-2"/>
      <w:kern w:val="28"/>
      <w:sz w:val="24"/>
      <w:szCs w:val="24"/>
      <w:lang w:val="en-AU" w:eastAsia="en-AU" w:bidi="ar-SA"/>
    </w:rPr>
  </w:style>
  <w:style w:type="character" w:customStyle="1" w:styleId="DateChar">
    <w:name w:val="Date Char"/>
    <w:link w:val="Date"/>
    <w:rsid w:val="00A53A6B"/>
    <w:rPr>
      <w:rFonts w:ascii="Franklin Gothic Book" w:hAnsi="Franklin Gothic Book"/>
      <w:color w:val="FFFFFF"/>
      <w:spacing w:val="-10"/>
      <w:kern w:val="28"/>
      <w:sz w:val="24"/>
      <w:szCs w:val="24"/>
      <w:lang w:val="en-AU" w:eastAsia="en-AU" w:bidi="ar-SA"/>
    </w:rPr>
  </w:style>
  <w:style w:type="character" w:customStyle="1" w:styleId="SubtitleChar">
    <w:name w:val="Subtitle Char"/>
    <w:link w:val="Subtitle"/>
    <w:rsid w:val="005B522F"/>
    <w:rPr>
      <w:rFonts w:ascii="Franklin Gothic Book" w:hAnsi="Franklin Gothic Book"/>
      <w:color w:val="FFFFFF"/>
      <w:spacing w:val="-10"/>
      <w:kern w:val="28"/>
      <w:sz w:val="32"/>
      <w:szCs w:val="32"/>
      <w:lang w:val="en-AU" w:eastAsia="en-AU" w:bidi="ar-SA"/>
    </w:rPr>
  </w:style>
  <w:style w:type="character" w:customStyle="1" w:styleId="TitleChar">
    <w:name w:val="Title Char"/>
    <w:link w:val="Title"/>
    <w:rsid w:val="00E77D0C"/>
    <w:rPr>
      <w:rFonts w:ascii="Franklin Gothic Book" w:hAnsi="Franklin Gothic Book"/>
      <w:color w:val="FFFFFF"/>
      <w:spacing w:val="-10"/>
      <w:kern w:val="28"/>
      <w:sz w:val="46"/>
      <w:szCs w:val="46"/>
      <w:lang w:val="en-AU" w:eastAsia="en-AU" w:bidi="ar-SA"/>
    </w:rPr>
  </w:style>
  <w:style w:type="paragraph" w:customStyle="1" w:styleId="Contents">
    <w:name w:val="Contents"/>
    <w:basedOn w:val="Normal"/>
    <w:next w:val="BodyText"/>
    <w:semiHidden/>
    <w:rsid w:val="00DE7339"/>
    <w:pPr>
      <w:spacing w:before="460" w:after="100" w:line="320" w:lineRule="atLeast"/>
    </w:pPr>
    <w:rPr>
      <w:rFonts w:ascii="Franklin Gothic Demi" w:hAnsi="Franklin Gothic Demi"/>
      <w:color w:val="AD495D"/>
      <w:kern w:val="28"/>
      <w:sz w:val="28"/>
      <w:szCs w:val="28"/>
    </w:rPr>
  </w:style>
  <w:style w:type="paragraph" w:styleId="Footer">
    <w:name w:val="footer"/>
    <w:basedOn w:val="Normal"/>
    <w:semiHidden/>
    <w:rsid w:val="00F23FD4"/>
    <w:pPr>
      <w:tabs>
        <w:tab w:val="left" w:pos="0"/>
        <w:tab w:val="right" w:pos="7938"/>
        <w:tab w:val="right" w:pos="8505"/>
      </w:tabs>
      <w:spacing w:line="180" w:lineRule="exact"/>
      <w:ind w:left="-567" w:right="-567"/>
    </w:pPr>
    <w:rPr>
      <w:rFonts w:ascii="Franklin Gothic Medium" w:hAnsi="Franklin Gothic Medium"/>
      <w:color w:val="5A9A98"/>
      <w:sz w:val="14"/>
      <w:szCs w:val="14"/>
    </w:rPr>
  </w:style>
  <w:style w:type="paragraph" w:styleId="Header">
    <w:name w:val="header"/>
    <w:basedOn w:val="Normal"/>
    <w:semiHidden/>
    <w:rsid w:val="0073548A"/>
    <w:pPr>
      <w:spacing w:line="180" w:lineRule="exact"/>
      <w:jc w:val="right"/>
    </w:pPr>
    <w:rPr>
      <w:rFonts w:ascii="Franklin Gothic Medium" w:hAnsi="Franklin Gothic Medium"/>
      <w:sz w:val="14"/>
      <w:szCs w:val="14"/>
    </w:rPr>
  </w:style>
  <w:style w:type="character" w:styleId="PageNumber">
    <w:name w:val="page number"/>
    <w:semiHidden/>
    <w:rsid w:val="007A2D4A"/>
    <w:rPr>
      <w:rFonts w:ascii="Franklin Gothic Medium" w:hAnsi="Franklin Gothic Medium"/>
      <w:color w:val="54534A"/>
      <w:sz w:val="14"/>
      <w:szCs w:val="14"/>
    </w:rPr>
  </w:style>
  <w:style w:type="paragraph" w:styleId="TOC1">
    <w:name w:val="toc 1"/>
    <w:basedOn w:val="BodyText"/>
    <w:next w:val="BodyText"/>
    <w:uiPriority w:val="39"/>
    <w:rsid w:val="00DE7339"/>
    <w:pPr>
      <w:tabs>
        <w:tab w:val="left" w:pos="397"/>
        <w:tab w:val="right" w:pos="7938"/>
      </w:tabs>
      <w:spacing w:before="180" w:after="0"/>
      <w:ind w:left="397" w:right="567" w:hanging="397"/>
    </w:pPr>
    <w:rPr>
      <w:rFonts w:ascii="Franklin Gothic Medium" w:hAnsi="Franklin Gothic Medium"/>
      <w:color w:val="54534A"/>
      <w:sz w:val="24"/>
      <w:szCs w:val="24"/>
    </w:rPr>
  </w:style>
  <w:style w:type="paragraph" w:styleId="TOC2">
    <w:name w:val="toc 2"/>
    <w:basedOn w:val="TOC1"/>
    <w:next w:val="TOC1"/>
    <w:uiPriority w:val="39"/>
    <w:rsid w:val="00DE7339"/>
    <w:pPr>
      <w:spacing w:before="120" w:line="200" w:lineRule="atLeast"/>
      <w:ind w:left="0" w:firstLine="0"/>
    </w:pPr>
    <w:rPr>
      <w:rFonts w:ascii="Franklin Gothic Book" w:hAnsi="Franklin Gothic Book"/>
      <w:color w:val="5A9A98"/>
      <w:sz w:val="21"/>
      <w:szCs w:val="21"/>
    </w:rPr>
  </w:style>
  <w:style w:type="paragraph" w:customStyle="1" w:styleId="Reporttype">
    <w:name w:val="Report type"/>
    <w:basedOn w:val="BodyText"/>
    <w:semiHidden/>
    <w:rsid w:val="00F15D8B"/>
    <w:pPr>
      <w:spacing w:before="0" w:line="400" w:lineRule="atLeast"/>
    </w:pPr>
    <w:rPr>
      <w:rFonts w:ascii="Arial" w:hAnsi="Arial"/>
      <w:color w:val="00467F"/>
      <w:spacing w:val="-2"/>
      <w:sz w:val="36"/>
      <w:szCs w:val="36"/>
    </w:rPr>
  </w:style>
  <w:style w:type="character" w:customStyle="1" w:styleId="Subtitlebox">
    <w:name w:val="Subtitle box"/>
    <w:aliases w:val="figure &amp; table,chart &amp; table"/>
    <w:semiHidden/>
    <w:rsid w:val="008E6453"/>
    <w:rPr>
      <w:rFonts w:ascii="Franklin Gothic Book" w:hAnsi="Franklin Gothic Book"/>
      <w:color w:val="auto"/>
      <w:sz w:val="17"/>
      <w:szCs w:val="17"/>
    </w:rPr>
  </w:style>
  <w:style w:type="paragraph" w:customStyle="1" w:styleId="Invisiblepara">
    <w:name w:val="Invisible para"/>
    <w:basedOn w:val="Normal"/>
    <w:semiHidden/>
    <w:rsid w:val="00F747A9"/>
    <w:pPr>
      <w:keepNext/>
      <w:spacing w:before="320" w:line="80" w:lineRule="exact"/>
    </w:pPr>
    <w:rPr>
      <w:sz w:val="21"/>
      <w:szCs w:val="20"/>
    </w:rPr>
  </w:style>
  <w:style w:type="paragraph" w:styleId="Caption">
    <w:name w:val="caption"/>
    <w:basedOn w:val="Normal"/>
    <w:next w:val="BodyText"/>
    <w:qFormat/>
    <w:rsid w:val="00227783"/>
    <w:pPr>
      <w:keepNext/>
      <w:spacing w:before="320" w:after="80" w:line="230" w:lineRule="exact"/>
    </w:pPr>
    <w:rPr>
      <w:rFonts w:ascii="Franklin Gothic Demi" w:hAnsi="Franklin Gothic Demi"/>
      <w:color w:val="7E6D5F"/>
      <w:sz w:val="19"/>
      <w:szCs w:val="19"/>
    </w:rPr>
  </w:style>
  <w:style w:type="paragraph" w:customStyle="1" w:styleId="BoxListBullet">
    <w:name w:val="Box List Bullet"/>
    <w:basedOn w:val="BoxText"/>
    <w:rsid w:val="006C6761"/>
    <w:pPr>
      <w:keepLines/>
      <w:numPr>
        <w:numId w:val="5"/>
      </w:numPr>
      <w:spacing w:before="0"/>
    </w:pPr>
    <w:rPr>
      <w:szCs w:val="20"/>
    </w:rPr>
  </w:style>
  <w:style w:type="paragraph" w:customStyle="1" w:styleId="BoxText">
    <w:name w:val="Box Text"/>
    <w:basedOn w:val="Normal"/>
    <w:link w:val="BoxTextChar"/>
    <w:rsid w:val="009A28D5"/>
    <w:pPr>
      <w:spacing w:before="60" w:after="60" w:line="260" w:lineRule="atLeast"/>
    </w:pPr>
    <w:rPr>
      <w:rFonts w:ascii="Franklin Gothic Book" w:hAnsi="Franklin Gothic Book"/>
      <w:sz w:val="18"/>
      <w:szCs w:val="18"/>
    </w:rPr>
  </w:style>
  <w:style w:type="character" w:customStyle="1" w:styleId="BoxTextChar">
    <w:name w:val="Box Text Char"/>
    <w:link w:val="BoxText"/>
    <w:rsid w:val="00CA6414"/>
    <w:rPr>
      <w:rFonts w:ascii="Franklin Gothic Book" w:hAnsi="Franklin Gothic Book"/>
      <w:sz w:val="18"/>
      <w:szCs w:val="18"/>
      <w:lang w:val="en-AU" w:eastAsia="en-AU" w:bidi="ar-SA"/>
    </w:rPr>
  </w:style>
  <w:style w:type="character" w:customStyle="1" w:styleId="NoteLabel">
    <w:name w:val="Note Label"/>
    <w:rsid w:val="0073548A"/>
    <w:rPr>
      <w:rFonts w:ascii="Franklin Gothic Medium" w:hAnsi="Franklin Gothic Medium"/>
      <w:color w:val="auto"/>
      <w:position w:val="4"/>
      <w:sz w:val="14"/>
      <w:szCs w:val="14"/>
    </w:rPr>
  </w:style>
  <w:style w:type="paragraph" w:customStyle="1" w:styleId="Note">
    <w:name w:val="Note"/>
    <w:basedOn w:val="TableTextEntries"/>
    <w:next w:val="Source"/>
    <w:link w:val="NoteCharChar"/>
    <w:rsid w:val="008D75EB"/>
    <w:pPr>
      <w:spacing w:after="0" w:line="180" w:lineRule="atLeast"/>
    </w:pPr>
    <w:rPr>
      <w:sz w:val="14"/>
      <w:szCs w:val="14"/>
    </w:rPr>
  </w:style>
  <w:style w:type="paragraph" w:customStyle="1" w:styleId="TableTextEntries">
    <w:name w:val="Table Text Entries"/>
    <w:basedOn w:val="Normal"/>
    <w:rsid w:val="00F021E7"/>
    <w:pPr>
      <w:keepLines/>
      <w:spacing w:before="40" w:after="40" w:line="200" w:lineRule="atLeast"/>
    </w:pPr>
    <w:rPr>
      <w:rFonts w:ascii="Franklin Gothic Book" w:hAnsi="Franklin Gothic Book"/>
      <w:sz w:val="17"/>
      <w:szCs w:val="17"/>
      <w:lang w:eastAsia="en-US"/>
    </w:rPr>
  </w:style>
  <w:style w:type="paragraph" w:customStyle="1" w:styleId="Source">
    <w:name w:val="Source"/>
    <w:basedOn w:val="Note"/>
    <w:next w:val="BodyText"/>
    <w:rsid w:val="00ED5E2B"/>
    <w:pPr>
      <w:spacing w:after="240"/>
    </w:pPr>
  </w:style>
  <w:style w:type="character" w:customStyle="1" w:styleId="NoteCharChar">
    <w:name w:val="Note Char Char"/>
    <w:link w:val="Note"/>
    <w:rsid w:val="008D75EB"/>
    <w:rPr>
      <w:rFonts w:ascii="Franklin Gothic Book" w:hAnsi="Franklin Gothic Book"/>
      <w:sz w:val="14"/>
      <w:szCs w:val="14"/>
      <w:lang w:val="en-AU" w:eastAsia="en-US" w:bidi="ar-SA"/>
    </w:rPr>
  </w:style>
  <w:style w:type="paragraph" w:customStyle="1" w:styleId="BoxHeading1">
    <w:name w:val="Box Heading 1"/>
    <w:basedOn w:val="BoxText"/>
    <w:next w:val="BoxText"/>
    <w:rsid w:val="00FC7629"/>
    <w:pPr>
      <w:spacing w:before="180" w:after="0" w:line="220" w:lineRule="atLeast"/>
    </w:pPr>
    <w:rPr>
      <w:rFonts w:ascii="Franklin Gothic Demi" w:hAnsi="Franklin Gothic Demi"/>
      <w:color w:val="000000"/>
    </w:rPr>
  </w:style>
  <w:style w:type="paragraph" w:customStyle="1" w:styleId="BoxHeading2">
    <w:name w:val="Box Heading 2"/>
    <w:basedOn w:val="BoxHeading1"/>
    <w:next w:val="BoxText"/>
    <w:rsid w:val="002C23D1"/>
    <w:pPr>
      <w:spacing w:before="140"/>
    </w:pPr>
    <w:rPr>
      <w:rFonts w:ascii="Franklin Gothic Book" w:hAnsi="Franklin Gothic Book"/>
      <w:i/>
      <w:color w:val="auto"/>
    </w:rPr>
  </w:style>
  <w:style w:type="paragraph" w:customStyle="1" w:styleId="TableListBullet">
    <w:name w:val="Table List Bullet"/>
    <w:basedOn w:val="TableTextEntries"/>
    <w:rsid w:val="00FA0700"/>
    <w:pPr>
      <w:numPr>
        <w:numId w:val="8"/>
      </w:numPr>
    </w:pPr>
  </w:style>
  <w:style w:type="paragraph" w:styleId="TableofFigures">
    <w:name w:val="table of figures"/>
    <w:basedOn w:val="BodyText"/>
    <w:next w:val="BodyText"/>
    <w:semiHidden/>
    <w:rsid w:val="00751A18"/>
    <w:pPr>
      <w:tabs>
        <w:tab w:val="left" w:pos="1077"/>
        <w:tab w:val="right" w:pos="8505"/>
      </w:tabs>
      <w:spacing w:before="60" w:line="260" w:lineRule="atLeast"/>
      <w:ind w:left="1077" w:right="567" w:hanging="1077"/>
    </w:pPr>
  </w:style>
  <w:style w:type="paragraph" w:styleId="TOC3">
    <w:name w:val="toc 3"/>
    <w:basedOn w:val="TOC2"/>
    <w:next w:val="BodyText"/>
    <w:uiPriority w:val="39"/>
    <w:rsid w:val="00F9523B"/>
    <w:pPr>
      <w:tabs>
        <w:tab w:val="clear" w:pos="397"/>
      </w:tabs>
      <w:spacing w:before="40" w:line="230" w:lineRule="atLeast"/>
      <w:ind w:left="567" w:hanging="567"/>
    </w:pPr>
    <w:rPr>
      <w:rFonts w:ascii="Georgia" w:hAnsi="Georgia"/>
      <w:color w:val="auto"/>
      <w:sz w:val="19"/>
      <w:szCs w:val="19"/>
    </w:rPr>
  </w:style>
  <w:style w:type="paragraph" w:customStyle="1" w:styleId="Continued">
    <w:name w:val="Continued"/>
    <w:basedOn w:val="Source"/>
    <w:next w:val="BodyText"/>
    <w:semiHidden/>
    <w:rsid w:val="00B622E7"/>
    <w:pPr>
      <w:jc w:val="right"/>
    </w:pPr>
  </w:style>
  <w:style w:type="paragraph" w:customStyle="1" w:styleId="Recommendation">
    <w:name w:val="Recommendation"/>
    <w:basedOn w:val="BodyText"/>
    <w:next w:val="BodyText"/>
    <w:semiHidden/>
    <w:rsid w:val="00671255"/>
    <w:pPr>
      <w:tabs>
        <w:tab w:val="left" w:pos="284"/>
      </w:tabs>
      <w:ind w:left="284" w:hanging="284"/>
    </w:pPr>
    <w:rPr>
      <w:rFonts w:eastAsia="MS Mincho" w:cs="MS Mincho"/>
      <w:b/>
    </w:rPr>
  </w:style>
  <w:style w:type="paragraph" w:styleId="TOC6">
    <w:name w:val="toc 6"/>
    <w:basedOn w:val="BodyText"/>
    <w:next w:val="BodyText"/>
    <w:semiHidden/>
    <w:rsid w:val="00671255"/>
    <w:pPr>
      <w:tabs>
        <w:tab w:val="left" w:pos="284"/>
        <w:tab w:val="right" w:pos="8222"/>
      </w:tabs>
      <w:ind w:left="284" w:right="567" w:hanging="284"/>
    </w:pPr>
  </w:style>
  <w:style w:type="character" w:styleId="CommentReference">
    <w:name w:val="annotation reference"/>
    <w:semiHidden/>
    <w:rsid w:val="007A2D4A"/>
    <w:rPr>
      <w:rFonts w:ascii="Franklin Gothic Medium" w:hAnsi="Franklin Gothic Medium"/>
      <w:vanish/>
      <w:color w:val="FF00FF"/>
      <w:sz w:val="16"/>
      <w:szCs w:val="16"/>
    </w:rPr>
  </w:style>
  <w:style w:type="paragraph" w:styleId="CommentText">
    <w:name w:val="annotation text"/>
    <w:basedOn w:val="BodyText"/>
    <w:semiHidden/>
    <w:rsid w:val="008527C1"/>
    <w:pPr>
      <w:spacing w:line="240" w:lineRule="atLeast"/>
    </w:pPr>
    <w:rPr>
      <w:rFonts w:ascii="Calibri" w:hAnsi="Calibri"/>
      <w:sz w:val="18"/>
      <w:szCs w:val="18"/>
    </w:rPr>
  </w:style>
  <w:style w:type="character" w:styleId="FootnoteReference">
    <w:name w:val="footnote reference"/>
    <w:aliases w:val="ftref,Normal + Font:9 Point,Superscript 3 Point Times"/>
    <w:semiHidden/>
    <w:rsid w:val="00FB1DA4"/>
    <w:rPr>
      <w:rFonts w:ascii="Franklin Gothic Book" w:hAnsi="Franklin Gothic Book"/>
      <w:w w:val="100"/>
      <w:position w:val="6"/>
      <w:sz w:val="12"/>
      <w:szCs w:val="12"/>
      <w:vertAlign w:val="baseline"/>
    </w:rPr>
  </w:style>
  <w:style w:type="paragraph" w:styleId="FootnoteText">
    <w:name w:val="footnote text"/>
    <w:aliases w:val="Char Char Char"/>
    <w:basedOn w:val="BodyText"/>
    <w:link w:val="FootnoteTextChar"/>
    <w:semiHidden/>
    <w:rsid w:val="00281D52"/>
    <w:pPr>
      <w:spacing w:before="0" w:after="0" w:line="180" w:lineRule="atLeast"/>
      <w:ind w:left="284" w:hanging="284"/>
    </w:pPr>
    <w:rPr>
      <w:rFonts w:ascii="Franklin Gothic Book" w:hAnsi="Franklin Gothic Book"/>
      <w:sz w:val="14"/>
      <w:szCs w:val="14"/>
    </w:rPr>
  </w:style>
  <w:style w:type="character" w:customStyle="1" w:styleId="FootnoteTextChar">
    <w:name w:val="Footnote Text Char"/>
    <w:aliases w:val="Char Char Char Char"/>
    <w:link w:val="FootnoteText"/>
    <w:locked/>
    <w:rsid w:val="009D55F8"/>
    <w:rPr>
      <w:rFonts w:ascii="Franklin Gothic Book" w:hAnsi="Franklin Gothic Book"/>
      <w:sz w:val="14"/>
      <w:szCs w:val="14"/>
      <w:lang w:val="en-AU" w:eastAsia="en-AU" w:bidi="ar-SA"/>
    </w:rPr>
  </w:style>
  <w:style w:type="character" w:styleId="Hyperlink">
    <w:name w:val="Hyperlink"/>
    <w:uiPriority w:val="99"/>
    <w:rsid w:val="00254E43"/>
    <w:rPr>
      <w:color w:val="00467F"/>
      <w:sz w:val="20"/>
      <w:szCs w:val="20"/>
      <w:u w:val="none"/>
    </w:rPr>
  </w:style>
  <w:style w:type="paragraph" w:customStyle="1" w:styleId="ChartText">
    <w:name w:val="Chart Text"/>
    <w:basedOn w:val="BodyText"/>
    <w:semiHidden/>
    <w:rsid w:val="00CF2071"/>
    <w:pPr>
      <w:spacing w:before="100" w:line="190" w:lineRule="exact"/>
    </w:pPr>
    <w:rPr>
      <w:rFonts w:ascii="Arial" w:hAnsi="Arial"/>
      <w:sz w:val="17"/>
    </w:rPr>
  </w:style>
  <w:style w:type="paragraph" w:customStyle="1" w:styleId="ChartBoldText">
    <w:name w:val="Chart Bold Text"/>
    <w:basedOn w:val="ChartText"/>
    <w:next w:val="ChartText"/>
    <w:semiHidden/>
    <w:rsid w:val="00997A92"/>
    <w:pPr>
      <w:spacing w:before="0"/>
      <w:jc w:val="center"/>
    </w:pPr>
    <w:rPr>
      <w:rFonts w:ascii="Arial Bold" w:hAnsi="Arial Bold"/>
      <w:b/>
      <w:color w:val="073771"/>
      <w:szCs w:val="17"/>
    </w:rPr>
  </w:style>
  <w:style w:type="paragraph" w:customStyle="1" w:styleId="ChartHighlight">
    <w:name w:val="Chart Highlight"/>
    <w:basedOn w:val="ChartBoldText"/>
    <w:semiHidden/>
    <w:rsid w:val="00CF2071"/>
    <w:pPr>
      <w:spacing w:line="210" w:lineRule="exact"/>
    </w:pPr>
    <w:rPr>
      <w:caps/>
      <w:sz w:val="19"/>
    </w:rPr>
  </w:style>
  <w:style w:type="paragraph" w:customStyle="1" w:styleId="ChartListBullet">
    <w:name w:val="Chart List Bullet"/>
    <w:basedOn w:val="TableListBullet"/>
    <w:semiHidden/>
    <w:rsid w:val="00321C81"/>
    <w:pPr>
      <w:numPr>
        <w:numId w:val="0"/>
      </w:numPr>
      <w:tabs>
        <w:tab w:val="num" w:pos="227"/>
      </w:tabs>
      <w:spacing w:before="50" w:after="0" w:line="190" w:lineRule="exact"/>
      <w:ind w:left="227" w:hanging="227"/>
    </w:pPr>
  </w:style>
  <w:style w:type="paragraph" w:customStyle="1" w:styleId="ChartListBullet2">
    <w:name w:val="Chart List Bullet 2"/>
    <w:basedOn w:val="ListBullet2"/>
    <w:semiHidden/>
    <w:rsid w:val="00321C81"/>
    <w:pPr>
      <w:numPr>
        <w:numId w:val="0"/>
      </w:numPr>
      <w:tabs>
        <w:tab w:val="num" w:pos="454"/>
      </w:tabs>
      <w:spacing w:before="30" w:line="190" w:lineRule="exact"/>
      <w:ind w:left="454" w:hanging="227"/>
    </w:pPr>
    <w:rPr>
      <w:rFonts w:ascii="Arial" w:hAnsi="Arial"/>
      <w:sz w:val="17"/>
    </w:rPr>
  </w:style>
  <w:style w:type="paragraph" w:customStyle="1" w:styleId="ChartListNumber">
    <w:name w:val="Chart List Number"/>
    <w:basedOn w:val="ChartText"/>
    <w:semiHidden/>
    <w:rsid w:val="00321C81"/>
    <w:pPr>
      <w:tabs>
        <w:tab w:val="num" w:pos="227"/>
      </w:tabs>
      <w:spacing w:before="60"/>
      <w:ind w:left="227" w:hanging="227"/>
    </w:pPr>
  </w:style>
  <w:style w:type="paragraph" w:styleId="TOC7">
    <w:name w:val="toc 7"/>
    <w:basedOn w:val="TOC1"/>
    <w:next w:val="TOC1"/>
    <w:semiHidden/>
    <w:rsid w:val="0097190C"/>
    <w:pPr>
      <w:tabs>
        <w:tab w:val="left" w:pos="1418"/>
      </w:tabs>
      <w:ind w:left="1418" w:hanging="1418"/>
    </w:pPr>
  </w:style>
  <w:style w:type="paragraph" w:customStyle="1" w:styleId="CharChar0">
    <w:name w:val="Char Char"/>
    <w:basedOn w:val="BoxText"/>
    <w:semiHidden/>
    <w:rsid w:val="001E5458"/>
  </w:style>
  <w:style w:type="paragraph" w:customStyle="1" w:styleId="Client">
    <w:name w:val="Client"/>
    <w:basedOn w:val="Author"/>
    <w:semiHidden/>
    <w:rsid w:val="00AD1F3F"/>
  </w:style>
  <w:style w:type="paragraph" w:customStyle="1" w:styleId="TableDataEntries">
    <w:name w:val="Table Data Entries"/>
    <w:basedOn w:val="TableTextEntries"/>
    <w:rsid w:val="009B0288"/>
    <w:pPr>
      <w:jc w:val="right"/>
    </w:pPr>
  </w:style>
  <w:style w:type="paragraph" w:customStyle="1" w:styleId="TableDataColumnHeading">
    <w:name w:val="Table Data Column Heading"/>
    <w:basedOn w:val="TableDataEntries"/>
    <w:rsid w:val="008E6453"/>
    <w:pPr>
      <w:spacing w:before="80" w:after="80"/>
    </w:pPr>
    <w:rPr>
      <w:rFonts w:ascii="Franklin Gothic Medium" w:hAnsi="Franklin Gothic Medium"/>
    </w:rPr>
  </w:style>
  <w:style w:type="paragraph" w:customStyle="1" w:styleId="TableHeading1">
    <w:name w:val="Table Heading 1"/>
    <w:basedOn w:val="TableTextEntries"/>
    <w:next w:val="TableTextEntries"/>
    <w:rsid w:val="008E6453"/>
    <w:pPr>
      <w:spacing w:before="80" w:after="80"/>
    </w:pPr>
    <w:rPr>
      <w:rFonts w:ascii="Franklin Gothic Medium" w:hAnsi="Franklin Gothic Medium"/>
    </w:rPr>
  </w:style>
  <w:style w:type="paragraph" w:customStyle="1" w:styleId="TableHeading2">
    <w:name w:val="Table Heading 2"/>
    <w:basedOn w:val="TableHeading1"/>
    <w:next w:val="TableTextEntries"/>
    <w:rsid w:val="008E6453"/>
    <w:pPr>
      <w:spacing w:before="40" w:after="40"/>
    </w:pPr>
    <w:rPr>
      <w:rFonts w:ascii="Franklin Gothic Book" w:hAnsi="Franklin Gothic Book"/>
      <w:i/>
    </w:rPr>
  </w:style>
  <w:style w:type="paragraph" w:customStyle="1" w:styleId="TableListBullet2">
    <w:name w:val="Table List Bullet 2"/>
    <w:basedOn w:val="TableListBullet"/>
    <w:link w:val="TableListBullet2CharChar"/>
    <w:rsid w:val="00FA0700"/>
    <w:pPr>
      <w:numPr>
        <w:numId w:val="9"/>
      </w:numPr>
    </w:pPr>
  </w:style>
  <w:style w:type="character" w:customStyle="1" w:styleId="TableListBullet2CharChar">
    <w:name w:val="Table List Bullet 2 Char Char"/>
    <w:link w:val="TableListBullet2"/>
    <w:rsid w:val="00C05EB3"/>
    <w:rPr>
      <w:rFonts w:ascii="Franklin Gothic Book" w:hAnsi="Franklin Gothic Book"/>
      <w:sz w:val="17"/>
      <w:szCs w:val="17"/>
      <w:lang w:val="en-AU"/>
    </w:rPr>
  </w:style>
  <w:style w:type="paragraph" w:customStyle="1" w:styleId="TableListNumber">
    <w:name w:val="Table List Number"/>
    <w:basedOn w:val="TableTextEntries"/>
    <w:rsid w:val="008C0773"/>
    <w:pPr>
      <w:numPr>
        <w:numId w:val="1"/>
      </w:numPr>
    </w:pPr>
  </w:style>
  <w:style w:type="paragraph" w:customStyle="1" w:styleId="TableListNumber2">
    <w:name w:val="Table List Number 2"/>
    <w:basedOn w:val="TableListNumber"/>
    <w:rsid w:val="00396E51"/>
    <w:pPr>
      <w:numPr>
        <w:numId w:val="2"/>
      </w:numPr>
    </w:pPr>
  </w:style>
  <w:style w:type="paragraph" w:customStyle="1" w:styleId="TableTextColumnHeading">
    <w:name w:val="Table Text Column Heading"/>
    <w:basedOn w:val="TableDataColumnHeading"/>
    <w:rsid w:val="008E6453"/>
    <w:pPr>
      <w:jc w:val="left"/>
    </w:pPr>
  </w:style>
  <w:style w:type="paragraph" w:customStyle="1" w:styleId="TableUnit">
    <w:name w:val="Table Unit"/>
    <w:basedOn w:val="TableDataColumnHeading"/>
    <w:next w:val="TableDataEntries"/>
    <w:semiHidden/>
    <w:rsid w:val="008E6453"/>
    <w:pPr>
      <w:keepNext/>
    </w:pPr>
    <w:rPr>
      <w:rFonts w:ascii="Franklin Gothic Book" w:hAnsi="Franklin Gothic Book"/>
    </w:rPr>
  </w:style>
  <w:style w:type="paragraph" w:customStyle="1" w:styleId="NoteNumber">
    <w:name w:val="Note Number"/>
    <w:basedOn w:val="TableTextEntries"/>
    <w:link w:val="NoteNumberCharChar"/>
    <w:rsid w:val="00EE7AC8"/>
    <w:pPr>
      <w:numPr>
        <w:numId w:val="16"/>
      </w:numPr>
      <w:spacing w:after="0" w:line="180" w:lineRule="atLeast"/>
    </w:pPr>
    <w:rPr>
      <w:sz w:val="14"/>
      <w:szCs w:val="14"/>
    </w:rPr>
  </w:style>
  <w:style w:type="character" w:customStyle="1" w:styleId="NoteNumberCharChar">
    <w:name w:val="Note Number Char Char"/>
    <w:link w:val="NoteNumber"/>
    <w:rsid w:val="00EE7AC8"/>
    <w:rPr>
      <w:rFonts w:ascii="Franklin Gothic Book" w:hAnsi="Franklin Gothic Book"/>
      <w:sz w:val="14"/>
      <w:szCs w:val="14"/>
      <w:lang w:val="en-AU"/>
    </w:rPr>
  </w:style>
  <w:style w:type="character" w:styleId="FollowedHyperlink">
    <w:name w:val="FollowedHyperlink"/>
    <w:semiHidden/>
    <w:rsid w:val="00085585"/>
    <w:rPr>
      <w:color w:val="333399"/>
      <w:u w:val="none"/>
    </w:rPr>
  </w:style>
  <w:style w:type="paragraph" w:customStyle="1" w:styleId="Blurb">
    <w:name w:val="Blurb"/>
    <w:basedOn w:val="Caption"/>
    <w:semiHidden/>
    <w:rsid w:val="0075426C"/>
    <w:pPr>
      <w:spacing w:before="180" w:after="0" w:line="280" w:lineRule="atLeast"/>
    </w:pPr>
    <w:rPr>
      <w:color w:val="FFFFFF"/>
    </w:rPr>
  </w:style>
  <w:style w:type="paragraph" w:customStyle="1" w:styleId="Figure">
    <w:name w:val="Figure"/>
    <w:basedOn w:val="BodyText"/>
    <w:next w:val="BodyText"/>
    <w:semiHidden/>
    <w:rsid w:val="00EA0F2C"/>
    <w:pPr>
      <w:spacing w:before="0" w:line="200" w:lineRule="atLeast"/>
    </w:pPr>
    <w:rPr>
      <w:sz w:val="18"/>
      <w:szCs w:val="18"/>
    </w:rPr>
  </w:style>
  <w:style w:type="paragraph" w:customStyle="1" w:styleId="BoxListBullet2">
    <w:name w:val="Box List Bullet 2"/>
    <w:basedOn w:val="BoxListBullet"/>
    <w:rsid w:val="006C6761"/>
    <w:pPr>
      <w:numPr>
        <w:numId w:val="4"/>
      </w:numPr>
    </w:pPr>
    <w:rPr>
      <w:szCs w:val="18"/>
    </w:rPr>
  </w:style>
  <w:style w:type="paragraph" w:customStyle="1" w:styleId="BoxListNumber">
    <w:name w:val="Box List Number"/>
    <w:basedOn w:val="BoxText"/>
    <w:rsid w:val="00165C4D"/>
    <w:pPr>
      <w:numPr>
        <w:numId w:val="6"/>
      </w:numPr>
      <w:spacing w:before="0"/>
    </w:pPr>
  </w:style>
  <w:style w:type="paragraph" w:customStyle="1" w:styleId="BoxListNumber2">
    <w:name w:val="Box List Number 2"/>
    <w:basedOn w:val="BoxListNumber"/>
    <w:rsid w:val="006C6761"/>
    <w:pPr>
      <w:numPr>
        <w:numId w:val="3"/>
      </w:numPr>
    </w:pPr>
  </w:style>
  <w:style w:type="paragraph" w:customStyle="1" w:styleId="BoxNoteSource">
    <w:name w:val="Box Note/Source"/>
    <w:basedOn w:val="BoxText"/>
    <w:rsid w:val="006C6761"/>
    <w:pPr>
      <w:spacing w:before="100" w:after="100" w:line="180" w:lineRule="atLeast"/>
    </w:pPr>
    <w:rPr>
      <w:sz w:val="14"/>
      <w:szCs w:val="14"/>
    </w:rPr>
  </w:style>
  <w:style w:type="paragraph" w:customStyle="1" w:styleId="BoxQuote">
    <w:name w:val="Box Quote"/>
    <w:basedOn w:val="BoxText"/>
    <w:next w:val="BoxText"/>
    <w:rsid w:val="00A60B48"/>
    <w:pPr>
      <w:spacing w:before="0" w:line="240" w:lineRule="atLeast"/>
      <w:ind w:left="284"/>
    </w:pPr>
    <w:rPr>
      <w:sz w:val="16"/>
      <w:szCs w:val="16"/>
    </w:rPr>
  </w:style>
  <w:style w:type="paragraph" w:customStyle="1" w:styleId="Appendix">
    <w:name w:val="Appendix"/>
    <w:basedOn w:val="Normal"/>
    <w:semiHidden/>
    <w:rsid w:val="00205AA6"/>
    <w:pPr>
      <w:framePr w:wrap="around" w:vAnchor="text" w:hAnchor="text" w:y="1"/>
    </w:pPr>
    <w:rPr>
      <w:rFonts w:ascii="Franklin Gothic Medium" w:hAnsi="Franklin Gothic Medium"/>
      <w:color w:val="7E6D5F"/>
      <w:sz w:val="32"/>
      <w:szCs w:val="32"/>
    </w:rPr>
  </w:style>
  <w:style w:type="paragraph" w:customStyle="1" w:styleId="Photocaption">
    <w:name w:val="Photo caption"/>
    <w:basedOn w:val="Normal"/>
    <w:next w:val="BodyText"/>
    <w:semiHidden/>
    <w:rsid w:val="00187D56"/>
    <w:pPr>
      <w:spacing w:before="140" w:after="240" w:line="180" w:lineRule="exact"/>
    </w:pPr>
    <w:rPr>
      <w:rFonts w:ascii="Franklin Gothic Medium" w:hAnsi="Franklin Gothic Medium"/>
      <w:color w:val="54534A"/>
      <w:sz w:val="14"/>
      <w:szCs w:val="14"/>
    </w:rPr>
  </w:style>
  <w:style w:type="table" w:styleId="TableGrid">
    <w:name w:val="Table Grid"/>
    <w:basedOn w:val="TableNormal"/>
    <w:semiHidden/>
    <w:rsid w:val="005C40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atingred">
    <w:name w:val="Rating red"/>
    <w:basedOn w:val="ListBullet"/>
    <w:semiHidden/>
    <w:rsid w:val="001C6E03"/>
  </w:style>
  <w:style w:type="paragraph" w:customStyle="1" w:styleId="Ratingbullet">
    <w:name w:val="Rating bullet"/>
    <w:basedOn w:val="TableTextEntries"/>
    <w:semiHidden/>
    <w:rsid w:val="001C6E03"/>
    <w:pPr>
      <w:jc w:val="center"/>
    </w:pPr>
    <w:rPr>
      <w:sz w:val="22"/>
      <w:szCs w:val="22"/>
    </w:rPr>
  </w:style>
  <w:style w:type="paragraph" w:styleId="CommentSubject">
    <w:name w:val="annotation subject"/>
    <w:basedOn w:val="CommentText"/>
    <w:next w:val="CommentText"/>
    <w:semiHidden/>
    <w:rsid w:val="00911B9C"/>
    <w:pPr>
      <w:spacing w:before="0" w:after="0" w:line="240" w:lineRule="auto"/>
    </w:pPr>
    <w:rPr>
      <w:rFonts w:ascii="Times New Roman" w:hAnsi="Times New Roman"/>
      <w:b/>
      <w:bCs/>
      <w:sz w:val="20"/>
      <w:szCs w:val="20"/>
    </w:rPr>
  </w:style>
  <w:style w:type="paragraph" w:styleId="BalloonText">
    <w:name w:val="Balloon Text"/>
    <w:basedOn w:val="Normal"/>
    <w:semiHidden/>
    <w:rsid w:val="00911B9C"/>
    <w:rPr>
      <w:rFonts w:ascii="Tahoma" w:hAnsi="Tahoma" w:cs="Tahoma"/>
      <w:sz w:val="16"/>
      <w:szCs w:val="16"/>
    </w:rPr>
  </w:style>
  <w:style w:type="paragraph" w:customStyle="1" w:styleId="Rating">
    <w:name w:val="Rating"/>
    <w:basedOn w:val="BodyText"/>
    <w:next w:val="BodyText"/>
    <w:semiHidden/>
    <w:rsid w:val="00230BD1"/>
    <w:pPr>
      <w:tabs>
        <w:tab w:val="left" w:pos="567"/>
      </w:tabs>
    </w:pPr>
  </w:style>
  <w:style w:type="paragraph" w:customStyle="1" w:styleId="GuidanceText">
    <w:name w:val="Guidance Text"/>
    <w:basedOn w:val="BodyText"/>
    <w:semiHidden/>
    <w:rsid w:val="001B11EB"/>
    <w:pPr>
      <w:spacing w:before="60" w:after="60" w:line="240" w:lineRule="atLeast"/>
    </w:pPr>
    <w:rPr>
      <w:rFonts w:ascii="Calibri" w:hAnsi="Calibri"/>
      <w:color w:val="0000FF"/>
      <w:sz w:val="20"/>
      <w:szCs w:val="20"/>
    </w:rPr>
  </w:style>
  <w:style w:type="character" w:customStyle="1" w:styleId="CharChar4">
    <w:name w:val="Char Char4"/>
    <w:rsid w:val="0035177E"/>
    <w:rPr>
      <w:rFonts w:ascii="Georgia" w:hAnsi="Georgia"/>
      <w:sz w:val="19"/>
      <w:szCs w:val="19"/>
      <w:lang w:val="en-AU" w:eastAsia="en-AU" w:bidi="ar-SA"/>
    </w:rPr>
  </w:style>
  <w:style w:type="character" w:customStyle="1" w:styleId="CharChar1">
    <w:name w:val="Char Char1"/>
    <w:locked/>
    <w:rsid w:val="00F263D9"/>
    <w:rPr>
      <w:rFonts w:ascii="Georgia" w:hAnsi="Georgia"/>
      <w:sz w:val="19"/>
      <w:szCs w:val="19"/>
      <w:lang w:val="en-AU" w:eastAsia="en-AU" w:bidi="ar-SA"/>
    </w:rPr>
  </w:style>
  <w:style w:type="character" w:customStyle="1" w:styleId="CharChar40">
    <w:name w:val="Char Char4"/>
    <w:locked/>
    <w:rsid w:val="00F263D9"/>
    <w:rPr>
      <w:rFonts w:ascii="Georgia" w:hAnsi="Georgia"/>
      <w:sz w:val="19"/>
      <w:szCs w:val="19"/>
      <w:lang w:val="en-AU" w:eastAsia="en-AU" w:bidi="ar-SA"/>
    </w:rPr>
  </w:style>
  <w:style w:type="paragraph" w:styleId="NormalWeb">
    <w:name w:val="Normal (Web)"/>
    <w:basedOn w:val="Normal"/>
    <w:rsid w:val="009D55F8"/>
    <w:pPr>
      <w:spacing w:before="100" w:beforeAutospacing="1" w:after="100" w:afterAutospacing="1"/>
    </w:pPr>
    <w:rPr>
      <w:rFonts w:ascii="MS PGothic" w:eastAsia="MS PGothic" w:cs="MS PGothic"/>
      <w:sz w:val="24"/>
      <w:lang w:eastAsia="ja-JP"/>
    </w:rPr>
  </w:style>
  <w:style w:type="paragraph" w:customStyle="1" w:styleId="Default">
    <w:name w:val="Default"/>
    <w:rsid w:val="009D55F8"/>
    <w:pPr>
      <w:autoSpaceDE w:val="0"/>
      <w:autoSpaceDN w:val="0"/>
      <w:adjustRightInd w:val="0"/>
    </w:pPr>
    <w:rPr>
      <w:rFonts w:ascii="Cambria" w:hAnsi="Cambria" w:cs="Cambria"/>
      <w:color w:val="000000"/>
      <w:sz w:val="24"/>
      <w:szCs w:val="24"/>
      <w:lang w:val="en-AU" w:eastAsia="en-AU"/>
    </w:rPr>
  </w:style>
  <w:style w:type="paragraph" w:styleId="DocumentMap">
    <w:name w:val="Document Map"/>
    <w:basedOn w:val="Normal"/>
    <w:semiHidden/>
    <w:rsid w:val="009D55F8"/>
    <w:pPr>
      <w:shd w:val="clear" w:color="auto" w:fill="000080"/>
    </w:pPr>
    <w:rPr>
      <w:rFonts w:ascii="Tahoma" w:hAnsi="Tahoma" w:cs="Tahoma"/>
      <w:szCs w:val="20"/>
    </w:rPr>
  </w:style>
  <w:style w:type="paragraph" w:styleId="Revision">
    <w:name w:val="Revision"/>
    <w:hidden/>
    <w:uiPriority w:val="99"/>
    <w:semiHidden/>
    <w:rsid w:val="00EC7B76"/>
    <w:rPr>
      <w:szCs w:val="24"/>
      <w:lang w:val="en-AU" w:eastAsia="en-AU"/>
    </w:rPr>
  </w:style>
  <w:style w:type="paragraph" w:customStyle="1" w:styleId="H1">
    <w:name w:val="H1"/>
    <w:basedOn w:val="Normal"/>
    <w:qFormat/>
    <w:rsid w:val="001E163C"/>
    <w:pPr>
      <w:keepNext/>
      <w:spacing w:before="240" w:after="100" w:line="320" w:lineRule="atLeast"/>
      <w:outlineLvl w:val="0"/>
    </w:pPr>
    <w:rPr>
      <w:rFonts w:ascii="Franklin Gothic Demi" w:hAnsi="Franklin Gothic Demi"/>
      <w:color w:val="AD495D"/>
      <w:kern w:val="28"/>
      <w:sz w:val="28"/>
      <w:szCs w:val="28"/>
    </w:rPr>
  </w:style>
  <w:style w:type="paragraph" w:customStyle="1" w:styleId="H3">
    <w:name w:val="H3"/>
    <w:basedOn w:val="BodyText"/>
    <w:qFormat/>
    <w:rsid w:val="006A7098"/>
    <w:rPr>
      <w:b/>
    </w:rPr>
  </w:style>
  <w:style w:type="paragraph" w:customStyle="1" w:styleId="CharChar2">
    <w:name w:val="Char Char"/>
    <w:basedOn w:val="Normal"/>
    <w:semiHidden/>
    <w:rsid w:val="000E0845"/>
    <w:pPr>
      <w:spacing w:before="180" w:line="280" w:lineRule="atLeast"/>
    </w:pPr>
    <w:rPr>
      <w:rFonts w:ascii="Arial" w:hAnsi="Arial"/>
      <w:sz w:val="22"/>
      <w:szCs w:val="20"/>
      <w:lang w:eastAsia="en-US"/>
    </w:rPr>
  </w:style>
  <w:style w:type="paragraph" w:customStyle="1" w:styleId="H4">
    <w:name w:val="H4"/>
    <w:basedOn w:val="BodyText"/>
    <w:qFormat/>
    <w:rsid w:val="001E163C"/>
    <w:rPr>
      <w:b/>
    </w:rPr>
  </w:style>
  <w:style w:type="paragraph" w:customStyle="1" w:styleId="H4A">
    <w:name w:val="H4A"/>
    <w:basedOn w:val="BodyText"/>
    <w:qFormat/>
    <w:rsid w:val="001E163C"/>
    <w:rPr>
      <w: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6BFE"/>
    <w:rPr>
      <w:szCs w:val="24"/>
      <w:lang w:val="en-AU" w:eastAsia="en-AU"/>
    </w:rPr>
  </w:style>
  <w:style w:type="paragraph" w:styleId="Heading1">
    <w:name w:val="heading 1"/>
    <w:basedOn w:val="BodyText"/>
    <w:next w:val="BodyText"/>
    <w:link w:val="Heading1Char"/>
    <w:qFormat/>
    <w:rsid w:val="00BC36DE"/>
    <w:pPr>
      <w:outlineLvl w:val="0"/>
    </w:pPr>
  </w:style>
  <w:style w:type="paragraph" w:styleId="Heading2">
    <w:name w:val="heading 2"/>
    <w:basedOn w:val="Heading1"/>
    <w:next w:val="BodyText"/>
    <w:link w:val="Heading2Char"/>
    <w:qFormat/>
    <w:rsid w:val="00A66E8A"/>
    <w:pPr>
      <w:numPr>
        <w:ilvl w:val="1"/>
        <w:numId w:val="7"/>
      </w:numPr>
      <w:spacing w:before="380" w:after="0"/>
      <w:outlineLvl w:val="1"/>
    </w:pPr>
    <w:rPr>
      <w:rFonts w:ascii="Franklin Gothic Medium" w:hAnsi="Franklin Gothic Medium"/>
      <w:color w:val="5A9A98"/>
      <w:sz w:val="24"/>
      <w:szCs w:val="24"/>
    </w:rPr>
  </w:style>
  <w:style w:type="paragraph" w:styleId="Heading3">
    <w:name w:val="heading 3"/>
    <w:basedOn w:val="Heading2"/>
    <w:next w:val="BodyText"/>
    <w:link w:val="Heading3Char"/>
    <w:qFormat/>
    <w:rsid w:val="00A66E8A"/>
    <w:pPr>
      <w:numPr>
        <w:ilvl w:val="2"/>
      </w:numPr>
      <w:spacing w:before="300" w:line="260" w:lineRule="atLeast"/>
      <w:outlineLvl w:val="2"/>
    </w:pPr>
    <w:rPr>
      <w:color w:val="54534A"/>
      <w:sz w:val="22"/>
      <w:szCs w:val="22"/>
    </w:rPr>
  </w:style>
  <w:style w:type="paragraph" w:styleId="Heading4">
    <w:name w:val="heading 4"/>
    <w:basedOn w:val="BodyText"/>
    <w:next w:val="BodyText"/>
    <w:qFormat/>
    <w:rsid w:val="00222F3B"/>
    <w:pPr>
      <w:numPr>
        <w:ilvl w:val="3"/>
        <w:numId w:val="7"/>
      </w:numPr>
      <w:spacing w:before="320" w:after="0"/>
      <w:outlineLvl w:val="3"/>
    </w:pPr>
    <w:rPr>
      <w:b/>
      <w:color w:val="54534A"/>
      <w:sz w:val="22"/>
      <w:szCs w:val="22"/>
    </w:rPr>
  </w:style>
  <w:style w:type="paragraph" w:styleId="Heading5">
    <w:name w:val="heading 5"/>
    <w:basedOn w:val="BodyText"/>
    <w:next w:val="BodyText"/>
    <w:qFormat/>
    <w:rsid w:val="00B525EE"/>
    <w:pPr>
      <w:keepNext/>
      <w:numPr>
        <w:ilvl w:val="4"/>
        <w:numId w:val="7"/>
      </w:numPr>
      <w:spacing w:before="320" w:after="0"/>
      <w:outlineLvl w:val="4"/>
    </w:pPr>
    <w:rPr>
      <w:b/>
      <w:color w:val="54534A"/>
    </w:rPr>
  </w:style>
  <w:style w:type="paragraph" w:styleId="Heading6">
    <w:name w:val="heading 6"/>
    <w:basedOn w:val="Heading1"/>
    <w:next w:val="BodyText"/>
    <w:qFormat/>
    <w:rsid w:val="00B525EE"/>
    <w:pPr>
      <w:numPr>
        <w:ilvl w:val="5"/>
        <w:numId w:val="7"/>
      </w:numPr>
      <w:outlineLvl w:val="5"/>
    </w:pPr>
    <w:rPr>
      <w:bCs/>
    </w:rPr>
  </w:style>
  <w:style w:type="paragraph" w:styleId="Heading7">
    <w:name w:val="heading 7"/>
    <w:basedOn w:val="Heading2"/>
    <w:next w:val="BodyText"/>
    <w:qFormat/>
    <w:rsid w:val="00B525EE"/>
    <w:pPr>
      <w:numPr>
        <w:ilvl w:val="6"/>
      </w:numPr>
      <w:outlineLvl w:val="6"/>
    </w:pPr>
    <w:rPr>
      <w:rFonts w:ascii="Franklin Gothic Demi" w:hAnsi="Franklin Gothic Demi"/>
      <w:sz w:val="28"/>
      <w:szCs w:val="28"/>
    </w:rPr>
  </w:style>
  <w:style w:type="paragraph" w:styleId="Heading8">
    <w:name w:val="heading 8"/>
    <w:basedOn w:val="Heading3"/>
    <w:next w:val="BodyText"/>
    <w:qFormat/>
    <w:rsid w:val="00B525EE"/>
    <w:pPr>
      <w:numPr>
        <w:ilvl w:val="7"/>
      </w:numPr>
      <w:outlineLvl w:val="7"/>
    </w:pPr>
  </w:style>
  <w:style w:type="paragraph" w:styleId="Heading9">
    <w:name w:val="heading 9"/>
    <w:basedOn w:val="Heading4"/>
    <w:next w:val="BodyText"/>
    <w:qFormat/>
    <w:rsid w:val="00B525EE"/>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1356A"/>
    <w:pPr>
      <w:spacing w:before="80" w:after="80" w:line="280" w:lineRule="atLeast"/>
    </w:pPr>
    <w:rPr>
      <w:rFonts w:ascii="Georgia" w:hAnsi="Georgia"/>
      <w:sz w:val="19"/>
      <w:szCs w:val="19"/>
    </w:rPr>
  </w:style>
  <w:style w:type="character" w:customStyle="1" w:styleId="BodyTextChar">
    <w:name w:val="Body Text Char"/>
    <w:link w:val="BodyText"/>
    <w:rsid w:val="0001356A"/>
    <w:rPr>
      <w:rFonts w:ascii="Georgia" w:hAnsi="Georgia"/>
      <w:sz w:val="19"/>
      <w:szCs w:val="19"/>
      <w:lang w:val="en-AU" w:eastAsia="en-AU" w:bidi="ar-SA"/>
    </w:rPr>
  </w:style>
  <w:style w:type="paragraph" w:customStyle="1" w:styleId="CharChar">
    <w:name w:val="Char Char"/>
    <w:basedOn w:val="Normal"/>
    <w:semiHidden/>
    <w:rsid w:val="00953A8D"/>
    <w:pPr>
      <w:spacing w:before="180" w:line="280" w:lineRule="atLeast"/>
    </w:pPr>
    <w:rPr>
      <w:rFonts w:ascii="Arial" w:hAnsi="Arial"/>
      <w:sz w:val="22"/>
      <w:szCs w:val="20"/>
      <w:lang w:eastAsia="en-US"/>
    </w:rPr>
  </w:style>
  <w:style w:type="character" w:customStyle="1" w:styleId="Heading1Char">
    <w:name w:val="Heading 1 Char"/>
    <w:link w:val="Heading1"/>
    <w:rsid w:val="00BC36DE"/>
    <w:rPr>
      <w:rFonts w:ascii="Georgia" w:hAnsi="Georgia"/>
      <w:sz w:val="19"/>
      <w:szCs w:val="19"/>
      <w:lang w:val="en-AU" w:eastAsia="en-AU" w:bidi="ar-SA"/>
    </w:rPr>
  </w:style>
  <w:style w:type="character" w:customStyle="1" w:styleId="Heading2Char">
    <w:name w:val="Heading 2 Char"/>
    <w:link w:val="Heading2"/>
    <w:rsid w:val="00BC36DE"/>
    <w:rPr>
      <w:rFonts w:ascii="Franklin Gothic Medium" w:hAnsi="Franklin Gothic Medium"/>
      <w:color w:val="5A9A98"/>
      <w:sz w:val="24"/>
      <w:szCs w:val="24"/>
      <w:lang w:val="en-AU" w:eastAsia="en-AU"/>
    </w:rPr>
  </w:style>
  <w:style w:type="character" w:customStyle="1" w:styleId="Heading3Char">
    <w:name w:val="Heading 3 Char"/>
    <w:link w:val="Heading3"/>
    <w:rsid w:val="009D55F8"/>
    <w:rPr>
      <w:rFonts w:ascii="Franklin Gothic Medium" w:hAnsi="Franklin Gothic Medium"/>
      <w:color w:val="54534A"/>
      <w:sz w:val="22"/>
      <w:szCs w:val="22"/>
      <w:lang w:val="en-AU" w:eastAsia="en-AU"/>
    </w:rPr>
  </w:style>
  <w:style w:type="character" w:customStyle="1" w:styleId="DraftingNote">
    <w:name w:val="Drafting Note"/>
    <w:semiHidden/>
    <w:rsid w:val="00F0026A"/>
    <w:rPr>
      <w:rFonts w:ascii="Georgia" w:hAnsi="Georgia"/>
      <w:b/>
      <w:color w:val="FF0000"/>
      <w:sz w:val="19"/>
      <w:szCs w:val="19"/>
      <w:u w:val="dotted"/>
    </w:rPr>
  </w:style>
  <w:style w:type="paragraph" w:customStyle="1" w:styleId="QuoteBullet">
    <w:name w:val="Quote Bullet"/>
    <w:basedOn w:val="Quote"/>
    <w:rsid w:val="008B14A2"/>
    <w:pPr>
      <w:numPr>
        <w:numId w:val="17"/>
      </w:numPr>
    </w:pPr>
  </w:style>
  <w:style w:type="paragraph" w:styleId="Quote">
    <w:name w:val="Quote"/>
    <w:basedOn w:val="BodyText"/>
    <w:next w:val="BodyText"/>
    <w:qFormat/>
    <w:rsid w:val="00B84A71"/>
    <w:pPr>
      <w:spacing w:before="0" w:line="260" w:lineRule="atLeast"/>
      <w:ind w:left="284"/>
    </w:pPr>
    <w:rPr>
      <w:sz w:val="17"/>
      <w:szCs w:val="17"/>
    </w:rPr>
  </w:style>
  <w:style w:type="paragraph" w:customStyle="1" w:styleId="Abbreviation">
    <w:name w:val="Abbreviation"/>
    <w:basedOn w:val="BodyText"/>
    <w:rsid w:val="00942B42"/>
    <w:pPr>
      <w:ind w:left="1418" w:hanging="1418"/>
    </w:pPr>
  </w:style>
  <w:style w:type="paragraph" w:customStyle="1" w:styleId="Ratingamber">
    <w:name w:val="Rating amber"/>
    <w:basedOn w:val="Normal"/>
    <w:semiHidden/>
    <w:rsid w:val="001C6E03"/>
    <w:pPr>
      <w:numPr>
        <w:numId w:val="10"/>
      </w:numPr>
      <w:spacing w:before="80" w:after="80" w:line="280" w:lineRule="atLeast"/>
    </w:pPr>
    <w:rPr>
      <w:rFonts w:ascii="Georgia" w:hAnsi="Georgia"/>
      <w:sz w:val="19"/>
      <w:szCs w:val="19"/>
    </w:rPr>
  </w:style>
  <w:style w:type="paragraph" w:styleId="ListBullet">
    <w:name w:val="List Bullet"/>
    <w:basedOn w:val="BodyText"/>
    <w:rsid w:val="002C5AF0"/>
    <w:pPr>
      <w:numPr>
        <w:numId w:val="15"/>
      </w:numPr>
    </w:pPr>
  </w:style>
  <w:style w:type="paragraph" w:styleId="ListBullet2">
    <w:name w:val="List Bullet 2"/>
    <w:basedOn w:val="ListBullet"/>
    <w:rsid w:val="00D42D78"/>
    <w:pPr>
      <w:numPr>
        <w:numId w:val="12"/>
      </w:numPr>
      <w:spacing w:before="0"/>
      <w:ind w:left="568" w:hanging="284"/>
    </w:pPr>
  </w:style>
  <w:style w:type="paragraph" w:styleId="ListNumber">
    <w:name w:val="List Number"/>
    <w:basedOn w:val="ListBullet"/>
    <w:rsid w:val="00D42D78"/>
    <w:pPr>
      <w:numPr>
        <w:numId w:val="13"/>
      </w:numPr>
    </w:pPr>
  </w:style>
  <w:style w:type="paragraph" w:styleId="ListNumber2">
    <w:name w:val="List Number 2"/>
    <w:basedOn w:val="ListNumber"/>
    <w:rsid w:val="00D42D78"/>
    <w:pPr>
      <w:numPr>
        <w:numId w:val="14"/>
      </w:numPr>
      <w:spacing w:before="0"/>
      <w:ind w:left="568" w:hanging="284"/>
    </w:pPr>
  </w:style>
  <w:style w:type="paragraph" w:customStyle="1" w:styleId="Ratinggreen">
    <w:name w:val="Rating green"/>
    <w:basedOn w:val="Ratingamber"/>
    <w:semiHidden/>
    <w:rsid w:val="001C6E03"/>
    <w:pPr>
      <w:numPr>
        <w:numId w:val="11"/>
      </w:numPr>
    </w:pPr>
  </w:style>
  <w:style w:type="paragraph" w:customStyle="1" w:styleId="Reference">
    <w:name w:val="Reference"/>
    <w:basedOn w:val="BodyText"/>
    <w:semiHidden/>
    <w:rsid w:val="00F0026A"/>
    <w:pPr>
      <w:keepLines/>
      <w:spacing w:before="60" w:after="60" w:line="260" w:lineRule="atLeast"/>
      <w:ind w:left="284" w:hanging="284"/>
    </w:pPr>
    <w:rPr>
      <w:sz w:val="17"/>
      <w:szCs w:val="17"/>
    </w:rPr>
  </w:style>
  <w:style w:type="paragraph" w:styleId="Title">
    <w:name w:val="Title"/>
    <w:basedOn w:val="Normal"/>
    <w:next w:val="Subtitle"/>
    <w:link w:val="TitleChar"/>
    <w:qFormat/>
    <w:rsid w:val="00E77D0C"/>
    <w:pPr>
      <w:pageBreakBefore/>
      <w:spacing w:line="540" w:lineRule="atLeast"/>
    </w:pPr>
    <w:rPr>
      <w:rFonts w:ascii="Franklin Gothic Book" w:hAnsi="Franklin Gothic Book"/>
      <w:color w:val="FFFFFF"/>
      <w:spacing w:val="-10"/>
      <w:kern w:val="28"/>
      <w:sz w:val="46"/>
      <w:szCs w:val="46"/>
    </w:rPr>
  </w:style>
  <w:style w:type="paragraph" w:styleId="Subtitle">
    <w:name w:val="Subtitle"/>
    <w:basedOn w:val="Title"/>
    <w:next w:val="Date"/>
    <w:link w:val="SubtitleChar"/>
    <w:qFormat/>
    <w:rsid w:val="005B522F"/>
    <w:pPr>
      <w:pageBreakBefore w:val="0"/>
      <w:spacing w:before="120" w:line="380" w:lineRule="atLeast"/>
    </w:pPr>
    <w:rPr>
      <w:sz w:val="32"/>
      <w:szCs w:val="32"/>
    </w:rPr>
  </w:style>
  <w:style w:type="paragraph" w:styleId="Date">
    <w:name w:val="Date"/>
    <w:basedOn w:val="Subtitle"/>
    <w:next w:val="Author"/>
    <w:link w:val="DateChar"/>
    <w:semiHidden/>
    <w:rsid w:val="00A53A6B"/>
    <w:pPr>
      <w:spacing w:after="1000"/>
    </w:pPr>
    <w:rPr>
      <w:sz w:val="24"/>
      <w:szCs w:val="24"/>
    </w:rPr>
  </w:style>
  <w:style w:type="paragraph" w:customStyle="1" w:styleId="Author">
    <w:name w:val="Author"/>
    <w:basedOn w:val="Date"/>
    <w:next w:val="Position"/>
    <w:link w:val="AuthorCharChar"/>
    <w:semiHidden/>
    <w:rsid w:val="0075426C"/>
    <w:pPr>
      <w:spacing w:before="180" w:after="0" w:line="260" w:lineRule="atLeast"/>
    </w:pPr>
    <w:rPr>
      <w:rFonts w:ascii="Franklin Gothic Medium" w:hAnsi="Franklin Gothic Medium"/>
      <w:color w:val="auto"/>
      <w:spacing w:val="-2"/>
      <w:sz w:val="20"/>
      <w:szCs w:val="20"/>
    </w:rPr>
  </w:style>
  <w:style w:type="paragraph" w:customStyle="1" w:styleId="Position">
    <w:name w:val="Position"/>
    <w:basedOn w:val="Author"/>
    <w:next w:val="Author"/>
    <w:link w:val="PositionCharChar"/>
    <w:semiHidden/>
    <w:rsid w:val="0075426C"/>
    <w:pPr>
      <w:spacing w:before="0"/>
    </w:pPr>
    <w:rPr>
      <w:rFonts w:ascii="Franklin Gothic Book" w:hAnsi="Franklin Gothic Book"/>
    </w:rPr>
  </w:style>
  <w:style w:type="character" w:customStyle="1" w:styleId="PositionCharChar">
    <w:name w:val="Position Char Char"/>
    <w:link w:val="Position"/>
    <w:rsid w:val="0075426C"/>
    <w:rPr>
      <w:rFonts w:ascii="Franklin Gothic Book" w:hAnsi="Franklin Gothic Book"/>
      <w:color w:val="FFFFFF"/>
      <w:spacing w:val="-2"/>
      <w:kern w:val="28"/>
      <w:sz w:val="24"/>
      <w:szCs w:val="24"/>
      <w:lang w:val="en-AU" w:eastAsia="en-AU" w:bidi="ar-SA"/>
    </w:rPr>
  </w:style>
  <w:style w:type="character" w:customStyle="1" w:styleId="AuthorCharChar">
    <w:name w:val="Author Char Char"/>
    <w:link w:val="Author"/>
    <w:rsid w:val="0075426C"/>
    <w:rPr>
      <w:rFonts w:ascii="Franklin Gothic Medium" w:hAnsi="Franklin Gothic Medium"/>
      <w:color w:val="FFFFFF"/>
      <w:spacing w:val="-2"/>
      <w:kern w:val="28"/>
      <w:sz w:val="24"/>
      <w:szCs w:val="24"/>
      <w:lang w:val="en-AU" w:eastAsia="en-AU" w:bidi="ar-SA"/>
    </w:rPr>
  </w:style>
  <w:style w:type="character" w:customStyle="1" w:styleId="DateChar">
    <w:name w:val="Date Char"/>
    <w:link w:val="Date"/>
    <w:rsid w:val="00A53A6B"/>
    <w:rPr>
      <w:rFonts w:ascii="Franklin Gothic Book" w:hAnsi="Franklin Gothic Book"/>
      <w:color w:val="FFFFFF"/>
      <w:spacing w:val="-10"/>
      <w:kern w:val="28"/>
      <w:sz w:val="24"/>
      <w:szCs w:val="24"/>
      <w:lang w:val="en-AU" w:eastAsia="en-AU" w:bidi="ar-SA"/>
    </w:rPr>
  </w:style>
  <w:style w:type="character" w:customStyle="1" w:styleId="SubtitleChar">
    <w:name w:val="Subtitle Char"/>
    <w:link w:val="Subtitle"/>
    <w:rsid w:val="005B522F"/>
    <w:rPr>
      <w:rFonts w:ascii="Franklin Gothic Book" w:hAnsi="Franklin Gothic Book"/>
      <w:color w:val="FFFFFF"/>
      <w:spacing w:val="-10"/>
      <w:kern w:val="28"/>
      <w:sz w:val="32"/>
      <w:szCs w:val="32"/>
      <w:lang w:val="en-AU" w:eastAsia="en-AU" w:bidi="ar-SA"/>
    </w:rPr>
  </w:style>
  <w:style w:type="character" w:customStyle="1" w:styleId="TitleChar">
    <w:name w:val="Title Char"/>
    <w:link w:val="Title"/>
    <w:rsid w:val="00E77D0C"/>
    <w:rPr>
      <w:rFonts w:ascii="Franklin Gothic Book" w:hAnsi="Franklin Gothic Book"/>
      <w:color w:val="FFFFFF"/>
      <w:spacing w:val="-10"/>
      <w:kern w:val="28"/>
      <w:sz w:val="46"/>
      <w:szCs w:val="46"/>
      <w:lang w:val="en-AU" w:eastAsia="en-AU" w:bidi="ar-SA"/>
    </w:rPr>
  </w:style>
  <w:style w:type="paragraph" w:customStyle="1" w:styleId="Contents">
    <w:name w:val="Contents"/>
    <w:basedOn w:val="Normal"/>
    <w:next w:val="BodyText"/>
    <w:semiHidden/>
    <w:rsid w:val="00DE7339"/>
    <w:pPr>
      <w:spacing w:before="460" w:after="100" w:line="320" w:lineRule="atLeast"/>
    </w:pPr>
    <w:rPr>
      <w:rFonts w:ascii="Franklin Gothic Demi" w:hAnsi="Franklin Gothic Demi"/>
      <w:color w:val="AD495D"/>
      <w:kern w:val="28"/>
      <w:sz w:val="28"/>
      <w:szCs w:val="28"/>
    </w:rPr>
  </w:style>
  <w:style w:type="paragraph" w:styleId="Footer">
    <w:name w:val="footer"/>
    <w:basedOn w:val="Normal"/>
    <w:semiHidden/>
    <w:rsid w:val="00F23FD4"/>
    <w:pPr>
      <w:tabs>
        <w:tab w:val="left" w:pos="0"/>
        <w:tab w:val="right" w:pos="7938"/>
        <w:tab w:val="right" w:pos="8505"/>
      </w:tabs>
      <w:spacing w:line="180" w:lineRule="exact"/>
      <w:ind w:left="-567" w:right="-567"/>
    </w:pPr>
    <w:rPr>
      <w:rFonts w:ascii="Franklin Gothic Medium" w:hAnsi="Franklin Gothic Medium"/>
      <w:color w:val="5A9A98"/>
      <w:sz w:val="14"/>
      <w:szCs w:val="14"/>
    </w:rPr>
  </w:style>
  <w:style w:type="paragraph" w:styleId="Header">
    <w:name w:val="header"/>
    <w:basedOn w:val="Normal"/>
    <w:semiHidden/>
    <w:rsid w:val="0073548A"/>
    <w:pPr>
      <w:spacing w:line="180" w:lineRule="exact"/>
      <w:jc w:val="right"/>
    </w:pPr>
    <w:rPr>
      <w:rFonts w:ascii="Franklin Gothic Medium" w:hAnsi="Franklin Gothic Medium"/>
      <w:sz w:val="14"/>
      <w:szCs w:val="14"/>
    </w:rPr>
  </w:style>
  <w:style w:type="character" w:styleId="PageNumber">
    <w:name w:val="page number"/>
    <w:semiHidden/>
    <w:rsid w:val="007A2D4A"/>
    <w:rPr>
      <w:rFonts w:ascii="Franklin Gothic Medium" w:hAnsi="Franklin Gothic Medium"/>
      <w:color w:val="54534A"/>
      <w:sz w:val="14"/>
      <w:szCs w:val="14"/>
    </w:rPr>
  </w:style>
  <w:style w:type="paragraph" w:styleId="TOC1">
    <w:name w:val="toc 1"/>
    <w:basedOn w:val="BodyText"/>
    <w:next w:val="BodyText"/>
    <w:uiPriority w:val="39"/>
    <w:rsid w:val="00DE7339"/>
    <w:pPr>
      <w:tabs>
        <w:tab w:val="left" w:pos="397"/>
        <w:tab w:val="right" w:pos="7938"/>
      </w:tabs>
      <w:spacing w:before="180" w:after="0"/>
      <w:ind w:left="397" w:right="567" w:hanging="397"/>
    </w:pPr>
    <w:rPr>
      <w:rFonts w:ascii="Franklin Gothic Medium" w:hAnsi="Franklin Gothic Medium"/>
      <w:color w:val="54534A"/>
      <w:sz w:val="24"/>
      <w:szCs w:val="24"/>
    </w:rPr>
  </w:style>
  <w:style w:type="paragraph" w:styleId="TOC2">
    <w:name w:val="toc 2"/>
    <w:basedOn w:val="TOC1"/>
    <w:next w:val="TOC1"/>
    <w:uiPriority w:val="39"/>
    <w:rsid w:val="00DE7339"/>
    <w:pPr>
      <w:spacing w:before="120" w:line="200" w:lineRule="atLeast"/>
      <w:ind w:left="0" w:firstLine="0"/>
    </w:pPr>
    <w:rPr>
      <w:rFonts w:ascii="Franklin Gothic Book" w:hAnsi="Franklin Gothic Book"/>
      <w:color w:val="5A9A98"/>
      <w:sz w:val="21"/>
      <w:szCs w:val="21"/>
    </w:rPr>
  </w:style>
  <w:style w:type="paragraph" w:customStyle="1" w:styleId="Reporttype">
    <w:name w:val="Report type"/>
    <w:basedOn w:val="BodyText"/>
    <w:semiHidden/>
    <w:rsid w:val="00F15D8B"/>
    <w:pPr>
      <w:spacing w:before="0" w:line="400" w:lineRule="atLeast"/>
    </w:pPr>
    <w:rPr>
      <w:rFonts w:ascii="Arial" w:hAnsi="Arial"/>
      <w:color w:val="00467F"/>
      <w:spacing w:val="-2"/>
      <w:sz w:val="36"/>
      <w:szCs w:val="36"/>
    </w:rPr>
  </w:style>
  <w:style w:type="character" w:customStyle="1" w:styleId="Subtitlebox">
    <w:name w:val="Subtitle box"/>
    <w:aliases w:val="figure &amp; table,chart &amp; table"/>
    <w:semiHidden/>
    <w:rsid w:val="008E6453"/>
    <w:rPr>
      <w:rFonts w:ascii="Franklin Gothic Book" w:hAnsi="Franklin Gothic Book"/>
      <w:color w:val="auto"/>
      <w:sz w:val="17"/>
      <w:szCs w:val="17"/>
    </w:rPr>
  </w:style>
  <w:style w:type="paragraph" w:customStyle="1" w:styleId="Invisiblepara">
    <w:name w:val="Invisible para"/>
    <w:basedOn w:val="Normal"/>
    <w:semiHidden/>
    <w:rsid w:val="00F747A9"/>
    <w:pPr>
      <w:keepNext/>
      <w:spacing w:before="320" w:line="80" w:lineRule="exact"/>
    </w:pPr>
    <w:rPr>
      <w:sz w:val="21"/>
      <w:szCs w:val="20"/>
    </w:rPr>
  </w:style>
  <w:style w:type="paragraph" w:styleId="Caption">
    <w:name w:val="caption"/>
    <w:basedOn w:val="Normal"/>
    <w:next w:val="BodyText"/>
    <w:qFormat/>
    <w:rsid w:val="00227783"/>
    <w:pPr>
      <w:keepNext/>
      <w:spacing w:before="320" w:after="80" w:line="230" w:lineRule="exact"/>
    </w:pPr>
    <w:rPr>
      <w:rFonts w:ascii="Franklin Gothic Demi" w:hAnsi="Franklin Gothic Demi"/>
      <w:color w:val="7E6D5F"/>
      <w:sz w:val="19"/>
      <w:szCs w:val="19"/>
    </w:rPr>
  </w:style>
  <w:style w:type="paragraph" w:customStyle="1" w:styleId="BoxListBullet">
    <w:name w:val="Box List Bullet"/>
    <w:basedOn w:val="BoxText"/>
    <w:rsid w:val="006C6761"/>
    <w:pPr>
      <w:keepLines/>
      <w:numPr>
        <w:numId w:val="5"/>
      </w:numPr>
      <w:spacing w:before="0"/>
    </w:pPr>
    <w:rPr>
      <w:szCs w:val="20"/>
    </w:rPr>
  </w:style>
  <w:style w:type="paragraph" w:customStyle="1" w:styleId="BoxText">
    <w:name w:val="Box Text"/>
    <w:basedOn w:val="Normal"/>
    <w:link w:val="BoxTextChar"/>
    <w:rsid w:val="009A28D5"/>
    <w:pPr>
      <w:spacing w:before="60" w:after="60" w:line="260" w:lineRule="atLeast"/>
    </w:pPr>
    <w:rPr>
      <w:rFonts w:ascii="Franklin Gothic Book" w:hAnsi="Franklin Gothic Book"/>
      <w:sz w:val="18"/>
      <w:szCs w:val="18"/>
    </w:rPr>
  </w:style>
  <w:style w:type="character" w:customStyle="1" w:styleId="BoxTextChar">
    <w:name w:val="Box Text Char"/>
    <w:link w:val="BoxText"/>
    <w:rsid w:val="00CA6414"/>
    <w:rPr>
      <w:rFonts w:ascii="Franklin Gothic Book" w:hAnsi="Franklin Gothic Book"/>
      <w:sz w:val="18"/>
      <w:szCs w:val="18"/>
      <w:lang w:val="en-AU" w:eastAsia="en-AU" w:bidi="ar-SA"/>
    </w:rPr>
  </w:style>
  <w:style w:type="character" w:customStyle="1" w:styleId="NoteLabel">
    <w:name w:val="Note Label"/>
    <w:rsid w:val="0073548A"/>
    <w:rPr>
      <w:rFonts w:ascii="Franklin Gothic Medium" w:hAnsi="Franklin Gothic Medium"/>
      <w:color w:val="auto"/>
      <w:position w:val="4"/>
      <w:sz w:val="14"/>
      <w:szCs w:val="14"/>
    </w:rPr>
  </w:style>
  <w:style w:type="paragraph" w:customStyle="1" w:styleId="Note">
    <w:name w:val="Note"/>
    <w:basedOn w:val="TableTextEntries"/>
    <w:next w:val="Source"/>
    <w:link w:val="NoteCharChar"/>
    <w:rsid w:val="008D75EB"/>
    <w:pPr>
      <w:spacing w:after="0" w:line="180" w:lineRule="atLeast"/>
    </w:pPr>
    <w:rPr>
      <w:sz w:val="14"/>
      <w:szCs w:val="14"/>
    </w:rPr>
  </w:style>
  <w:style w:type="paragraph" w:customStyle="1" w:styleId="TableTextEntries">
    <w:name w:val="Table Text Entries"/>
    <w:basedOn w:val="Normal"/>
    <w:rsid w:val="00F021E7"/>
    <w:pPr>
      <w:keepLines/>
      <w:spacing w:before="40" w:after="40" w:line="200" w:lineRule="atLeast"/>
    </w:pPr>
    <w:rPr>
      <w:rFonts w:ascii="Franklin Gothic Book" w:hAnsi="Franklin Gothic Book"/>
      <w:sz w:val="17"/>
      <w:szCs w:val="17"/>
      <w:lang w:eastAsia="en-US"/>
    </w:rPr>
  </w:style>
  <w:style w:type="paragraph" w:customStyle="1" w:styleId="Source">
    <w:name w:val="Source"/>
    <w:basedOn w:val="Note"/>
    <w:next w:val="BodyText"/>
    <w:rsid w:val="00ED5E2B"/>
    <w:pPr>
      <w:spacing w:after="240"/>
    </w:pPr>
  </w:style>
  <w:style w:type="character" w:customStyle="1" w:styleId="NoteCharChar">
    <w:name w:val="Note Char Char"/>
    <w:link w:val="Note"/>
    <w:rsid w:val="008D75EB"/>
    <w:rPr>
      <w:rFonts w:ascii="Franklin Gothic Book" w:hAnsi="Franklin Gothic Book"/>
      <w:sz w:val="14"/>
      <w:szCs w:val="14"/>
      <w:lang w:val="en-AU" w:eastAsia="en-US" w:bidi="ar-SA"/>
    </w:rPr>
  </w:style>
  <w:style w:type="paragraph" w:customStyle="1" w:styleId="BoxHeading1">
    <w:name w:val="Box Heading 1"/>
    <w:basedOn w:val="BoxText"/>
    <w:next w:val="BoxText"/>
    <w:rsid w:val="00FC7629"/>
    <w:pPr>
      <w:spacing w:before="180" w:after="0" w:line="220" w:lineRule="atLeast"/>
    </w:pPr>
    <w:rPr>
      <w:rFonts w:ascii="Franklin Gothic Demi" w:hAnsi="Franklin Gothic Demi"/>
      <w:color w:val="000000"/>
    </w:rPr>
  </w:style>
  <w:style w:type="paragraph" w:customStyle="1" w:styleId="BoxHeading2">
    <w:name w:val="Box Heading 2"/>
    <w:basedOn w:val="BoxHeading1"/>
    <w:next w:val="BoxText"/>
    <w:rsid w:val="002C23D1"/>
    <w:pPr>
      <w:spacing w:before="140"/>
    </w:pPr>
    <w:rPr>
      <w:rFonts w:ascii="Franklin Gothic Book" w:hAnsi="Franklin Gothic Book"/>
      <w:i/>
      <w:color w:val="auto"/>
    </w:rPr>
  </w:style>
  <w:style w:type="paragraph" w:customStyle="1" w:styleId="TableListBullet">
    <w:name w:val="Table List Bullet"/>
    <w:basedOn w:val="TableTextEntries"/>
    <w:rsid w:val="00FA0700"/>
    <w:pPr>
      <w:numPr>
        <w:numId w:val="8"/>
      </w:numPr>
    </w:pPr>
  </w:style>
  <w:style w:type="paragraph" w:styleId="TableofFigures">
    <w:name w:val="table of figures"/>
    <w:basedOn w:val="BodyText"/>
    <w:next w:val="BodyText"/>
    <w:semiHidden/>
    <w:rsid w:val="00751A18"/>
    <w:pPr>
      <w:tabs>
        <w:tab w:val="left" w:pos="1077"/>
        <w:tab w:val="right" w:pos="8505"/>
      </w:tabs>
      <w:spacing w:before="60" w:line="260" w:lineRule="atLeast"/>
      <w:ind w:left="1077" w:right="567" w:hanging="1077"/>
    </w:pPr>
  </w:style>
  <w:style w:type="paragraph" w:styleId="TOC3">
    <w:name w:val="toc 3"/>
    <w:basedOn w:val="TOC2"/>
    <w:next w:val="BodyText"/>
    <w:uiPriority w:val="39"/>
    <w:rsid w:val="00F9523B"/>
    <w:pPr>
      <w:tabs>
        <w:tab w:val="clear" w:pos="397"/>
      </w:tabs>
      <w:spacing w:before="40" w:line="230" w:lineRule="atLeast"/>
      <w:ind w:left="567" w:hanging="567"/>
    </w:pPr>
    <w:rPr>
      <w:rFonts w:ascii="Georgia" w:hAnsi="Georgia"/>
      <w:color w:val="auto"/>
      <w:sz w:val="19"/>
      <w:szCs w:val="19"/>
    </w:rPr>
  </w:style>
  <w:style w:type="paragraph" w:customStyle="1" w:styleId="Continued">
    <w:name w:val="Continued"/>
    <w:basedOn w:val="Source"/>
    <w:next w:val="BodyText"/>
    <w:semiHidden/>
    <w:rsid w:val="00B622E7"/>
    <w:pPr>
      <w:jc w:val="right"/>
    </w:pPr>
  </w:style>
  <w:style w:type="paragraph" w:customStyle="1" w:styleId="Recommendation">
    <w:name w:val="Recommendation"/>
    <w:basedOn w:val="BodyText"/>
    <w:next w:val="BodyText"/>
    <w:semiHidden/>
    <w:rsid w:val="00671255"/>
    <w:pPr>
      <w:tabs>
        <w:tab w:val="left" w:pos="284"/>
      </w:tabs>
      <w:ind w:left="284" w:hanging="284"/>
    </w:pPr>
    <w:rPr>
      <w:rFonts w:eastAsia="MS Mincho" w:cs="MS Mincho"/>
      <w:b/>
    </w:rPr>
  </w:style>
  <w:style w:type="paragraph" w:styleId="TOC6">
    <w:name w:val="toc 6"/>
    <w:basedOn w:val="BodyText"/>
    <w:next w:val="BodyText"/>
    <w:semiHidden/>
    <w:rsid w:val="00671255"/>
    <w:pPr>
      <w:tabs>
        <w:tab w:val="left" w:pos="284"/>
        <w:tab w:val="right" w:pos="8222"/>
      </w:tabs>
      <w:ind w:left="284" w:right="567" w:hanging="284"/>
    </w:pPr>
  </w:style>
  <w:style w:type="character" w:styleId="CommentReference">
    <w:name w:val="annotation reference"/>
    <w:semiHidden/>
    <w:rsid w:val="007A2D4A"/>
    <w:rPr>
      <w:rFonts w:ascii="Franklin Gothic Medium" w:hAnsi="Franklin Gothic Medium"/>
      <w:vanish/>
      <w:color w:val="FF00FF"/>
      <w:sz w:val="16"/>
      <w:szCs w:val="16"/>
    </w:rPr>
  </w:style>
  <w:style w:type="paragraph" w:styleId="CommentText">
    <w:name w:val="annotation text"/>
    <w:basedOn w:val="BodyText"/>
    <w:semiHidden/>
    <w:rsid w:val="008527C1"/>
    <w:pPr>
      <w:spacing w:line="240" w:lineRule="atLeast"/>
    </w:pPr>
    <w:rPr>
      <w:rFonts w:ascii="Calibri" w:hAnsi="Calibri"/>
      <w:sz w:val="18"/>
      <w:szCs w:val="18"/>
    </w:rPr>
  </w:style>
  <w:style w:type="character" w:styleId="FootnoteReference">
    <w:name w:val="footnote reference"/>
    <w:aliases w:val="ftref,Normal + Font:9 Point,Superscript 3 Point Times"/>
    <w:semiHidden/>
    <w:rsid w:val="00FB1DA4"/>
    <w:rPr>
      <w:rFonts w:ascii="Franklin Gothic Book" w:hAnsi="Franklin Gothic Book"/>
      <w:w w:val="100"/>
      <w:position w:val="6"/>
      <w:sz w:val="12"/>
      <w:szCs w:val="12"/>
      <w:vertAlign w:val="baseline"/>
    </w:rPr>
  </w:style>
  <w:style w:type="paragraph" w:styleId="FootnoteText">
    <w:name w:val="footnote text"/>
    <w:aliases w:val="Char Char Char"/>
    <w:basedOn w:val="BodyText"/>
    <w:link w:val="FootnoteTextChar"/>
    <w:semiHidden/>
    <w:rsid w:val="00281D52"/>
    <w:pPr>
      <w:spacing w:before="0" w:after="0" w:line="180" w:lineRule="atLeast"/>
      <w:ind w:left="284" w:hanging="284"/>
    </w:pPr>
    <w:rPr>
      <w:rFonts w:ascii="Franklin Gothic Book" w:hAnsi="Franklin Gothic Book"/>
      <w:sz w:val="14"/>
      <w:szCs w:val="14"/>
    </w:rPr>
  </w:style>
  <w:style w:type="character" w:customStyle="1" w:styleId="FootnoteTextChar">
    <w:name w:val="Footnote Text Char"/>
    <w:aliases w:val="Char Char Char Char"/>
    <w:link w:val="FootnoteText"/>
    <w:locked/>
    <w:rsid w:val="009D55F8"/>
    <w:rPr>
      <w:rFonts w:ascii="Franklin Gothic Book" w:hAnsi="Franklin Gothic Book"/>
      <w:sz w:val="14"/>
      <w:szCs w:val="14"/>
      <w:lang w:val="en-AU" w:eastAsia="en-AU" w:bidi="ar-SA"/>
    </w:rPr>
  </w:style>
  <w:style w:type="character" w:styleId="Hyperlink">
    <w:name w:val="Hyperlink"/>
    <w:uiPriority w:val="99"/>
    <w:rsid w:val="00254E43"/>
    <w:rPr>
      <w:color w:val="00467F"/>
      <w:sz w:val="20"/>
      <w:szCs w:val="20"/>
      <w:u w:val="none"/>
    </w:rPr>
  </w:style>
  <w:style w:type="paragraph" w:customStyle="1" w:styleId="ChartText">
    <w:name w:val="Chart Text"/>
    <w:basedOn w:val="BodyText"/>
    <w:semiHidden/>
    <w:rsid w:val="00CF2071"/>
    <w:pPr>
      <w:spacing w:before="100" w:line="190" w:lineRule="exact"/>
    </w:pPr>
    <w:rPr>
      <w:rFonts w:ascii="Arial" w:hAnsi="Arial"/>
      <w:sz w:val="17"/>
    </w:rPr>
  </w:style>
  <w:style w:type="paragraph" w:customStyle="1" w:styleId="ChartBoldText">
    <w:name w:val="Chart Bold Text"/>
    <w:basedOn w:val="ChartText"/>
    <w:next w:val="ChartText"/>
    <w:semiHidden/>
    <w:rsid w:val="00997A92"/>
    <w:pPr>
      <w:spacing w:before="0"/>
      <w:jc w:val="center"/>
    </w:pPr>
    <w:rPr>
      <w:rFonts w:ascii="Arial Bold" w:hAnsi="Arial Bold"/>
      <w:b/>
      <w:color w:val="073771"/>
      <w:szCs w:val="17"/>
    </w:rPr>
  </w:style>
  <w:style w:type="paragraph" w:customStyle="1" w:styleId="ChartHighlight">
    <w:name w:val="Chart Highlight"/>
    <w:basedOn w:val="ChartBoldText"/>
    <w:semiHidden/>
    <w:rsid w:val="00CF2071"/>
    <w:pPr>
      <w:spacing w:line="210" w:lineRule="exact"/>
    </w:pPr>
    <w:rPr>
      <w:caps/>
      <w:sz w:val="19"/>
    </w:rPr>
  </w:style>
  <w:style w:type="paragraph" w:customStyle="1" w:styleId="ChartListBullet">
    <w:name w:val="Chart List Bullet"/>
    <w:basedOn w:val="TableListBullet"/>
    <w:semiHidden/>
    <w:rsid w:val="00321C81"/>
    <w:pPr>
      <w:numPr>
        <w:numId w:val="0"/>
      </w:numPr>
      <w:tabs>
        <w:tab w:val="num" w:pos="227"/>
      </w:tabs>
      <w:spacing w:before="50" w:after="0" w:line="190" w:lineRule="exact"/>
      <w:ind w:left="227" w:hanging="227"/>
    </w:pPr>
  </w:style>
  <w:style w:type="paragraph" w:customStyle="1" w:styleId="ChartListBullet2">
    <w:name w:val="Chart List Bullet 2"/>
    <w:basedOn w:val="ListBullet2"/>
    <w:semiHidden/>
    <w:rsid w:val="00321C81"/>
    <w:pPr>
      <w:numPr>
        <w:numId w:val="0"/>
      </w:numPr>
      <w:tabs>
        <w:tab w:val="num" w:pos="454"/>
      </w:tabs>
      <w:spacing w:before="30" w:line="190" w:lineRule="exact"/>
      <w:ind w:left="454" w:hanging="227"/>
    </w:pPr>
    <w:rPr>
      <w:rFonts w:ascii="Arial" w:hAnsi="Arial"/>
      <w:sz w:val="17"/>
    </w:rPr>
  </w:style>
  <w:style w:type="paragraph" w:customStyle="1" w:styleId="ChartListNumber">
    <w:name w:val="Chart List Number"/>
    <w:basedOn w:val="ChartText"/>
    <w:semiHidden/>
    <w:rsid w:val="00321C81"/>
    <w:pPr>
      <w:tabs>
        <w:tab w:val="num" w:pos="227"/>
      </w:tabs>
      <w:spacing w:before="60"/>
      <w:ind w:left="227" w:hanging="227"/>
    </w:pPr>
  </w:style>
  <w:style w:type="paragraph" w:styleId="TOC7">
    <w:name w:val="toc 7"/>
    <w:basedOn w:val="TOC1"/>
    <w:next w:val="TOC1"/>
    <w:semiHidden/>
    <w:rsid w:val="0097190C"/>
    <w:pPr>
      <w:tabs>
        <w:tab w:val="left" w:pos="1418"/>
      </w:tabs>
      <w:ind w:left="1418" w:hanging="1418"/>
    </w:pPr>
  </w:style>
  <w:style w:type="paragraph" w:customStyle="1" w:styleId="CharChar0">
    <w:name w:val="Char Char"/>
    <w:basedOn w:val="BoxText"/>
    <w:semiHidden/>
    <w:rsid w:val="001E5458"/>
  </w:style>
  <w:style w:type="paragraph" w:customStyle="1" w:styleId="Client">
    <w:name w:val="Client"/>
    <w:basedOn w:val="Author"/>
    <w:semiHidden/>
    <w:rsid w:val="00AD1F3F"/>
  </w:style>
  <w:style w:type="paragraph" w:customStyle="1" w:styleId="TableDataEntries">
    <w:name w:val="Table Data Entries"/>
    <w:basedOn w:val="TableTextEntries"/>
    <w:rsid w:val="009B0288"/>
    <w:pPr>
      <w:jc w:val="right"/>
    </w:pPr>
  </w:style>
  <w:style w:type="paragraph" w:customStyle="1" w:styleId="TableDataColumnHeading">
    <w:name w:val="Table Data Column Heading"/>
    <w:basedOn w:val="TableDataEntries"/>
    <w:rsid w:val="008E6453"/>
    <w:pPr>
      <w:spacing w:before="80" w:after="80"/>
    </w:pPr>
    <w:rPr>
      <w:rFonts w:ascii="Franklin Gothic Medium" w:hAnsi="Franklin Gothic Medium"/>
    </w:rPr>
  </w:style>
  <w:style w:type="paragraph" w:customStyle="1" w:styleId="TableHeading1">
    <w:name w:val="Table Heading 1"/>
    <w:basedOn w:val="TableTextEntries"/>
    <w:next w:val="TableTextEntries"/>
    <w:rsid w:val="008E6453"/>
    <w:pPr>
      <w:spacing w:before="80" w:after="80"/>
    </w:pPr>
    <w:rPr>
      <w:rFonts w:ascii="Franklin Gothic Medium" w:hAnsi="Franklin Gothic Medium"/>
    </w:rPr>
  </w:style>
  <w:style w:type="paragraph" w:customStyle="1" w:styleId="TableHeading2">
    <w:name w:val="Table Heading 2"/>
    <w:basedOn w:val="TableHeading1"/>
    <w:next w:val="TableTextEntries"/>
    <w:rsid w:val="008E6453"/>
    <w:pPr>
      <w:spacing w:before="40" w:after="40"/>
    </w:pPr>
    <w:rPr>
      <w:rFonts w:ascii="Franklin Gothic Book" w:hAnsi="Franklin Gothic Book"/>
      <w:i/>
    </w:rPr>
  </w:style>
  <w:style w:type="paragraph" w:customStyle="1" w:styleId="TableListBullet2">
    <w:name w:val="Table List Bullet 2"/>
    <w:basedOn w:val="TableListBullet"/>
    <w:link w:val="TableListBullet2CharChar"/>
    <w:rsid w:val="00FA0700"/>
    <w:pPr>
      <w:numPr>
        <w:numId w:val="9"/>
      </w:numPr>
    </w:pPr>
  </w:style>
  <w:style w:type="character" w:customStyle="1" w:styleId="TableListBullet2CharChar">
    <w:name w:val="Table List Bullet 2 Char Char"/>
    <w:link w:val="TableListBullet2"/>
    <w:rsid w:val="00C05EB3"/>
    <w:rPr>
      <w:rFonts w:ascii="Franklin Gothic Book" w:hAnsi="Franklin Gothic Book"/>
      <w:sz w:val="17"/>
      <w:szCs w:val="17"/>
      <w:lang w:val="en-AU"/>
    </w:rPr>
  </w:style>
  <w:style w:type="paragraph" w:customStyle="1" w:styleId="TableListNumber">
    <w:name w:val="Table List Number"/>
    <w:basedOn w:val="TableTextEntries"/>
    <w:rsid w:val="008C0773"/>
    <w:pPr>
      <w:numPr>
        <w:numId w:val="1"/>
      </w:numPr>
    </w:pPr>
  </w:style>
  <w:style w:type="paragraph" w:customStyle="1" w:styleId="TableListNumber2">
    <w:name w:val="Table List Number 2"/>
    <w:basedOn w:val="TableListNumber"/>
    <w:rsid w:val="00396E51"/>
    <w:pPr>
      <w:numPr>
        <w:numId w:val="2"/>
      </w:numPr>
    </w:pPr>
  </w:style>
  <w:style w:type="paragraph" w:customStyle="1" w:styleId="TableTextColumnHeading">
    <w:name w:val="Table Text Column Heading"/>
    <w:basedOn w:val="TableDataColumnHeading"/>
    <w:rsid w:val="008E6453"/>
    <w:pPr>
      <w:jc w:val="left"/>
    </w:pPr>
  </w:style>
  <w:style w:type="paragraph" w:customStyle="1" w:styleId="TableUnit">
    <w:name w:val="Table Unit"/>
    <w:basedOn w:val="TableDataColumnHeading"/>
    <w:next w:val="TableDataEntries"/>
    <w:semiHidden/>
    <w:rsid w:val="008E6453"/>
    <w:pPr>
      <w:keepNext/>
    </w:pPr>
    <w:rPr>
      <w:rFonts w:ascii="Franklin Gothic Book" w:hAnsi="Franklin Gothic Book"/>
    </w:rPr>
  </w:style>
  <w:style w:type="paragraph" w:customStyle="1" w:styleId="NoteNumber">
    <w:name w:val="Note Number"/>
    <w:basedOn w:val="TableTextEntries"/>
    <w:link w:val="NoteNumberCharChar"/>
    <w:rsid w:val="00EE7AC8"/>
    <w:pPr>
      <w:numPr>
        <w:numId w:val="16"/>
      </w:numPr>
      <w:spacing w:after="0" w:line="180" w:lineRule="atLeast"/>
    </w:pPr>
    <w:rPr>
      <w:sz w:val="14"/>
      <w:szCs w:val="14"/>
    </w:rPr>
  </w:style>
  <w:style w:type="character" w:customStyle="1" w:styleId="NoteNumberCharChar">
    <w:name w:val="Note Number Char Char"/>
    <w:link w:val="NoteNumber"/>
    <w:rsid w:val="00EE7AC8"/>
    <w:rPr>
      <w:rFonts w:ascii="Franklin Gothic Book" w:hAnsi="Franklin Gothic Book"/>
      <w:sz w:val="14"/>
      <w:szCs w:val="14"/>
      <w:lang w:val="en-AU"/>
    </w:rPr>
  </w:style>
  <w:style w:type="character" w:styleId="FollowedHyperlink">
    <w:name w:val="FollowedHyperlink"/>
    <w:semiHidden/>
    <w:rsid w:val="00085585"/>
    <w:rPr>
      <w:color w:val="333399"/>
      <w:u w:val="none"/>
    </w:rPr>
  </w:style>
  <w:style w:type="paragraph" w:customStyle="1" w:styleId="Blurb">
    <w:name w:val="Blurb"/>
    <w:basedOn w:val="Caption"/>
    <w:semiHidden/>
    <w:rsid w:val="0075426C"/>
    <w:pPr>
      <w:spacing w:before="180" w:after="0" w:line="280" w:lineRule="atLeast"/>
    </w:pPr>
    <w:rPr>
      <w:color w:val="FFFFFF"/>
    </w:rPr>
  </w:style>
  <w:style w:type="paragraph" w:customStyle="1" w:styleId="Figure">
    <w:name w:val="Figure"/>
    <w:basedOn w:val="BodyText"/>
    <w:next w:val="BodyText"/>
    <w:semiHidden/>
    <w:rsid w:val="00EA0F2C"/>
    <w:pPr>
      <w:spacing w:before="0" w:line="200" w:lineRule="atLeast"/>
    </w:pPr>
    <w:rPr>
      <w:sz w:val="18"/>
      <w:szCs w:val="18"/>
    </w:rPr>
  </w:style>
  <w:style w:type="paragraph" w:customStyle="1" w:styleId="BoxListBullet2">
    <w:name w:val="Box List Bullet 2"/>
    <w:basedOn w:val="BoxListBullet"/>
    <w:rsid w:val="006C6761"/>
    <w:pPr>
      <w:numPr>
        <w:numId w:val="4"/>
      </w:numPr>
    </w:pPr>
    <w:rPr>
      <w:szCs w:val="18"/>
    </w:rPr>
  </w:style>
  <w:style w:type="paragraph" w:customStyle="1" w:styleId="BoxListNumber">
    <w:name w:val="Box List Number"/>
    <w:basedOn w:val="BoxText"/>
    <w:rsid w:val="00165C4D"/>
    <w:pPr>
      <w:numPr>
        <w:numId w:val="6"/>
      </w:numPr>
      <w:spacing w:before="0"/>
    </w:pPr>
  </w:style>
  <w:style w:type="paragraph" w:customStyle="1" w:styleId="BoxListNumber2">
    <w:name w:val="Box List Number 2"/>
    <w:basedOn w:val="BoxListNumber"/>
    <w:rsid w:val="006C6761"/>
    <w:pPr>
      <w:numPr>
        <w:numId w:val="3"/>
      </w:numPr>
    </w:pPr>
  </w:style>
  <w:style w:type="paragraph" w:customStyle="1" w:styleId="BoxNoteSource">
    <w:name w:val="Box Note/Source"/>
    <w:basedOn w:val="BoxText"/>
    <w:rsid w:val="006C6761"/>
    <w:pPr>
      <w:spacing w:before="100" w:after="100" w:line="180" w:lineRule="atLeast"/>
    </w:pPr>
    <w:rPr>
      <w:sz w:val="14"/>
      <w:szCs w:val="14"/>
    </w:rPr>
  </w:style>
  <w:style w:type="paragraph" w:customStyle="1" w:styleId="BoxQuote">
    <w:name w:val="Box Quote"/>
    <w:basedOn w:val="BoxText"/>
    <w:next w:val="BoxText"/>
    <w:rsid w:val="00A60B48"/>
    <w:pPr>
      <w:spacing w:before="0" w:line="240" w:lineRule="atLeast"/>
      <w:ind w:left="284"/>
    </w:pPr>
    <w:rPr>
      <w:sz w:val="16"/>
      <w:szCs w:val="16"/>
    </w:rPr>
  </w:style>
  <w:style w:type="paragraph" w:customStyle="1" w:styleId="Appendix">
    <w:name w:val="Appendix"/>
    <w:basedOn w:val="Normal"/>
    <w:semiHidden/>
    <w:rsid w:val="00205AA6"/>
    <w:pPr>
      <w:framePr w:wrap="around" w:vAnchor="text" w:hAnchor="text" w:y="1"/>
    </w:pPr>
    <w:rPr>
      <w:rFonts w:ascii="Franklin Gothic Medium" w:hAnsi="Franklin Gothic Medium"/>
      <w:color w:val="7E6D5F"/>
      <w:sz w:val="32"/>
      <w:szCs w:val="32"/>
    </w:rPr>
  </w:style>
  <w:style w:type="paragraph" w:customStyle="1" w:styleId="Photocaption">
    <w:name w:val="Photo caption"/>
    <w:basedOn w:val="Normal"/>
    <w:next w:val="BodyText"/>
    <w:semiHidden/>
    <w:rsid w:val="00187D56"/>
    <w:pPr>
      <w:spacing w:before="140" w:after="240" w:line="180" w:lineRule="exact"/>
    </w:pPr>
    <w:rPr>
      <w:rFonts w:ascii="Franklin Gothic Medium" w:hAnsi="Franklin Gothic Medium"/>
      <w:color w:val="54534A"/>
      <w:sz w:val="14"/>
      <w:szCs w:val="14"/>
    </w:rPr>
  </w:style>
  <w:style w:type="table" w:styleId="TableGrid">
    <w:name w:val="Table Grid"/>
    <w:basedOn w:val="TableNormal"/>
    <w:semiHidden/>
    <w:rsid w:val="005C40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atingred">
    <w:name w:val="Rating red"/>
    <w:basedOn w:val="ListBullet"/>
    <w:semiHidden/>
    <w:rsid w:val="001C6E03"/>
  </w:style>
  <w:style w:type="paragraph" w:customStyle="1" w:styleId="Ratingbullet">
    <w:name w:val="Rating bullet"/>
    <w:basedOn w:val="TableTextEntries"/>
    <w:semiHidden/>
    <w:rsid w:val="001C6E03"/>
    <w:pPr>
      <w:jc w:val="center"/>
    </w:pPr>
    <w:rPr>
      <w:sz w:val="22"/>
      <w:szCs w:val="22"/>
    </w:rPr>
  </w:style>
  <w:style w:type="paragraph" w:styleId="CommentSubject">
    <w:name w:val="annotation subject"/>
    <w:basedOn w:val="CommentText"/>
    <w:next w:val="CommentText"/>
    <w:semiHidden/>
    <w:rsid w:val="00911B9C"/>
    <w:pPr>
      <w:spacing w:before="0" w:after="0" w:line="240" w:lineRule="auto"/>
    </w:pPr>
    <w:rPr>
      <w:rFonts w:ascii="Times New Roman" w:hAnsi="Times New Roman"/>
      <w:b/>
      <w:bCs/>
      <w:sz w:val="20"/>
      <w:szCs w:val="20"/>
    </w:rPr>
  </w:style>
  <w:style w:type="paragraph" w:styleId="BalloonText">
    <w:name w:val="Balloon Text"/>
    <w:basedOn w:val="Normal"/>
    <w:semiHidden/>
    <w:rsid w:val="00911B9C"/>
    <w:rPr>
      <w:rFonts w:ascii="Tahoma" w:hAnsi="Tahoma" w:cs="Tahoma"/>
      <w:sz w:val="16"/>
      <w:szCs w:val="16"/>
    </w:rPr>
  </w:style>
  <w:style w:type="paragraph" w:customStyle="1" w:styleId="Rating">
    <w:name w:val="Rating"/>
    <w:basedOn w:val="BodyText"/>
    <w:next w:val="BodyText"/>
    <w:semiHidden/>
    <w:rsid w:val="00230BD1"/>
    <w:pPr>
      <w:tabs>
        <w:tab w:val="left" w:pos="567"/>
      </w:tabs>
    </w:pPr>
  </w:style>
  <w:style w:type="paragraph" w:customStyle="1" w:styleId="GuidanceText">
    <w:name w:val="Guidance Text"/>
    <w:basedOn w:val="BodyText"/>
    <w:semiHidden/>
    <w:rsid w:val="001B11EB"/>
    <w:pPr>
      <w:spacing w:before="60" w:after="60" w:line="240" w:lineRule="atLeast"/>
    </w:pPr>
    <w:rPr>
      <w:rFonts w:ascii="Calibri" w:hAnsi="Calibri"/>
      <w:color w:val="0000FF"/>
      <w:sz w:val="20"/>
      <w:szCs w:val="20"/>
    </w:rPr>
  </w:style>
  <w:style w:type="character" w:customStyle="1" w:styleId="CharChar4">
    <w:name w:val="Char Char4"/>
    <w:rsid w:val="0035177E"/>
    <w:rPr>
      <w:rFonts w:ascii="Georgia" w:hAnsi="Georgia"/>
      <w:sz w:val="19"/>
      <w:szCs w:val="19"/>
      <w:lang w:val="en-AU" w:eastAsia="en-AU" w:bidi="ar-SA"/>
    </w:rPr>
  </w:style>
  <w:style w:type="character" w:customStyle="1" w:styleId="CharChar1">
    <w:name w:val="Char Char1"/>
    <w:locked/>
    <w:rsid w:val="00F263D9"/>
    <w:rPr>
      <w:rFonts w:ascii="Georgia" w:hAnsi="Georgia"/>
      <w:sz w:val="19"/>
      <w:szCs w:val="19"/>
      <w:lang w:val="en-AU" w:eastAsia="en-AU" w:bidi="ar-SA"/>
    </w:rPr>
  </w:style>
  <w:style w:type="character" w:customStyle="1" w:styleId="CharChar40">
    <w:name w:val="Char Char4"/>
    <w:locked/>
    <w:rsid w:val="00F263D9"/>
    <w:rPr>
      <w:rFonts w:ascii="Georgia" w:hAnsi="Georgia"/>
      <w:sz w:val="19"/>
      <w:szCs w:val="19"/>
      <w:lang w:val="en-AU" w:eastAsia="en-AU" w:bidi="ar-SA"/>
    </w:rPr>
  </w:style>
  <w:style w:type="paragraph" w:styleId="NormalWeb">
    <w:name w:val="Normal (Web)"/>
    <w:basedOn w:val="Normal"/>
    <w:rsid w:val="009D55F8"/>
    <w:pPr>
      <w:spacing w:before="100" w:beforeAutospacing="1" w:after="100" w:afterAutospacing="1"/>
    </w:pPr>
    <w:rPr>
      <w:rFonts w:ascii="MS PGothic" w:eastAsia="MS PGothic" w:cs="MS PGothic"/>
      <w:sz w:val="24"/>
      <w:lang w:eastAsia="ja-JP"/>
    </w:rPr>
  </w:style>
  <w:style w:type="paragraph" w:customStyle="1" w:styleId="Default">
    <w:name w:val="Default"/>
    <w:rsid w:val="009D55F8"/>
    <w:pPr>
      <w:autoSpaceDE w:val="0"/>
      <w:autoSpaceDN w:val="0"/>
      <w:adjustRightInd w:val="0"/>
    </w:pPr>
    <w:rPr>
      <w:rFonts w:ascii="Cambria" w:hAnsi="Cambria" w:cs="Cambria"/>
      <w:color w:val="000000"/>
      <w:sz w:val="24"/>
      <w:szCs w:val="24"/>
      <w:lang w:val="en-AU" w:eastAsia="en-AU"/>
    </w:rPr>
  </w:style>
  <w:style w:type="paragraph" w:styleId="DocumentMap">
    <w:name w:val="Document Map"/>
    <w:basedOn w:val="Normal"/>
    <w:semiHidden/>
    <w:rsid w:val="009D55F8"/>
    <w:pPr>
      <w:shd w:val="clear" w:color="auto" w:fill="000080"/>
    </w:pPr>
    <w:rPr>
      <w:rFonts w:ascii="Tahoma" w:hAnsi="Tahoma" w:cs="Tahoma"/>
      <w:szCs w:val="20"/>
    </w:rPr>
  </w:style>
  <w:style w:type="paragraph" w:styleId="Revision">
    <w:name w:val="Revision"/>
    <w:hidden/>
    <w:uiPriority w:val="99"/>
    <w:semiHidden/>
    <w:rsid w:val="00EC7B76"/>
    <w:rPr>
      <w:szCs w:val="24"/>
      <w:lang w:val="en-AU" w:eastAsia="en-AU"/>
    </w:rPr>
  </w:style>
  <w:style w:type="paragraph" w:customStyle="1" w:styleId="H1">
    <w:name w:val="H1"/>
    <w:basedOn w:val="Normal"/>
    <w:qFormat/>
    <w:rsid w:val="001E163C"/>
    <w:pPr>
      <w:keepNext/>
      <w:spacing w:before="240" w:after="100" w:line="320" w:lineRule="atLeast"/>
      <w:outlineLvl w:val="0"/>
    </w:pPr>
    <w:rPr>
      <w:rFonts w:ascii="Franklin Gothic Demi" w:hAnsi="Franklin Gothic Demi"/>
      <w:color w:val="AD495D"/>
      <w:kern w:val="28"/>
      <w:sz w:val="28"/>
      <w:szCs w:val="28"/>
    </w:rPr>
  </w:style>
  <w:style w:type="paragraph" w:customStyle="1" w:styleId="H3">
    <w:name w:val="H3"/>
    <w:basedOn w:val="BodyText"/>
    <w:qFormat/>
    <w:rsid w:val="006A7098"/>
    <w:rPr>
      <w:b/>
    </w:rPr>
  </w:style>
  <w:style w:type="paragraph" w:customStyle="1" w:styleId="CharChar2">
    <w:name w:val="Char Char"/>
    <w:basedOn w:val="Normal"/>
    <w:semiHidden/>
    <w:rsid w:val="000E0845"/>
    <w:pPr>
      <w:spacing w:before="180" w:line="280" w:lineRule="atLeast"/>
    </w:pPr>
    <w:rPr>
      <w:rFonts w:ascii="Arial" w:hAnsi="Arial"/>
      <w:sz w:val="22"/>
      <w:szCs w:val="20"/>
      <w:lang w:eastAsia="en-US"/>
    </w:rPr>
  </w:style>
  <w:style w:type="paragraph" w:customStyle="1" w:styleId="H4">
    <w:name w:val="H4"/>
    <w:basedOn w:val="BodyText"/>
    <w:qFormat/>
    <w:rsid w:val="001E163C"/>
    <w:rPr>
      <w:b/>
    </w:rPr>
  </w:style>
  <w:style w:type="paragraph" w:customStyle="1" w:styleId="H4A">
    <w:name w:val="H4A"/>
    <w:basedOn w:val="BodyText"/>
    <w:qFormat/>
    <w:rsid w:val="001E163C"/>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28083">
      <w:bodyDiv w:val="1"/>
      <w:marLeft w:val="0"/>
      <w:marRight w:val="0"/>
      <w:marTop w:val="0"/>
      <w:marBottom w:val="0"/>
      <w:divBdr>
        <w:top w:val="none" w:sz="0" w:space="0" w:color="auto"/>
        <w:left w:val="none" w:sz="0" w:space="0" w:color="auto"/>
        <w:bottom w:val="none" w:sz="0" w:space="0" w:color="auto"/>
        <w:right w:val="none" w:sz="0" w:space="0" w:color="auto"/>
      </w:divBdr>
    </w:div>
    <w:div w:id="62265797">
      <w:bodyDiv w:val="1"/>
      <w:marLeft w:val="0"/>
      <w:marRight w:val="0"/>
      <w:marTop w:val="0"/>
      <w:marBottom w:val="0"/>
      <w:divBdr>
        <w:top w:val="none" w:sz="0" w:space="0" w:color="auto"/>
        <w:left w:val="none" w:sz="0" w:space="0" w:color="auto"/>
        <w:bottom w:val="none" w:sz="0" w:space="0" w:color="auto"/>
        <w:right w:val="none" w:sz="0" w:space="0" w:color="auto"/>
      </w:divBdr>
    </w:div>
    <w:div w:id="264196946">
      <w:bodyDiv w:val="1"/>
      <w:marLeft w:val="0"/>
      <w:marRight w:val="0"/>
      <w:marTop w:val="0"/>
      <w:marBottom w:val="0"/>
      <w:divBdr>
        <w:top w:val="none" w:sz="0" w:space="0" w:color="auto"/>
        <w:left w:val="none" w:sz="0" w:space="0" w:color="auto"/>
        <w:bottom w:val="none" w:sz="0" w:space="0" w:color="auto"/>
        <w:right w:val="none" w:sz="0" w:space="0" w:color="auto"/>
      </w:divBdr>
    </w:div>
    <w:div w:id="291593840">
      <w:bodyDiv w:val="1"/>
      <w:marLeft w:val="0"/>
      <w:marRight w:val="0"/>
      <w:marTop w:val="0"/>
      <w:marBottom w:val="0"/>
      <w:divBdr>
        <w:top w:val="none" w:sz="0" w:space="0" w:color="auto"/>
        <w:left w:val="none" w:sz="0" w:space="0" w:color="auto"/>
        <w:bottom w:val="none" w:sz="0" w:space="0" w:color="auto"/>
        <w:right w:val="none" w:sz="0" w:space="0" w:color="auto"/>
      </w:divBdr>
    </w:div>
    <w:div w:id="355934845">
      <w:bodyDiv w:val="1"/>
      <w:marLeft w:val="0"/>
      <w:marRight w:val="0"/>
      <w:marTop w:val="0"/>
      <w:marBottom w:val="0"/>
      <w:divBdr>
        <w:top w:val="none" w:sz="0" w:space="0" w:color="auto"/>
        <w:left w:val="none" w:sz="0" w:space="0" w:color="auto"/>
        <w:bottom w:val="none" w:sz="0" w:space="0" w:color="auto"/>
        <w:right w:val="none" w:sz="0" w:space="0" w:color="auto"/>
      </w:divBdr>
    </w:div>
    <w:div w:id="377051932">
      <w:bodyDiv w:val="1"/>
      <w:marLeft w:val="0"/>
      <w:marRight w:val="0"/>
      <w:marTop w:val="0"/>
      <w:marBottom w:val="0"/>
      <w:divBdr>
        <w:top w:val="none" w:sz="0" w:space="0" w:color="auto"/>
        <w:left w:val="none" w:sz="0" w:space="0" w:color="auto"/>
        <w:bottom w:val="none" w:sz="0" w:space="0" w:color="auto"/>
        <w:right w:val="none" w:sz="0" w:space="0" w:color="auto"/>
      </w:divBdr>
    </w:div>
    <w:div w:id="378364197">
      <w:bodyDiv w:val="1"/>
      <w:marLeft w:val="0"/>
      <w:marRight w:val="0"/>
      <w:marTop w:val="0"/>
      <w:marBottom w:val="0"/>
      <w:divBdr>
        <w:top w:val="none" w:sz="0" w:space="0" w:color="auto"/>
        <w:left w:val="none" w:sz="0" w:space="0" w:color="auto"/>
        <w:bottom w:val="none" w:sz="0" w:space="0" w:color="auto"/>
        <w:right w:val="none" w:sz="0" w:space="0" w:color="auto"/>
      </w:divBdr>
    </w:div>
    <w:div w:id="466047702">
      <w:bodyDiv w:val="1"/>
      <w:marLeft w:val="0"/>
      <w:marRight w:val="0"/>
      <w:marTop w:val="0"/>
      <w:marBottom w:val="0"/>
      <w:divBdr>
        <w:top w:val="none" w:sz="0" w:space="0" w:color="auto"/>
        <w:left w:val="none" w:sz="0" w:space="0" w:color="auto"/>
        <w:bottom w:val="none" w:sz="0" w:space="0" w:color="auto"/>
        <w:right w:val="none" w:sz="0" w:space="0" w:color="auto"/>
      </w:divBdr>
    </w:div>
    <w:div w:id="483543232">
      <w:bodyDiv w:val="1"/>
      <w:marLeft w:val="0"/>
      <w:marRight w:val="0"/>
      <w:marTop w:val="0"/>
      <w:marBottom w:val="0"/>
      <w:divBdr>
        <w:top w:val="none" w:sz="0" w:space="0" w:color="auto"/>
        <w:left w:val="none" w:sz="0" w:space="0" w:color="auto"/>
        <w:bottom w:val="none" w:sz="0" w:space="0" w:color="auto"/>
        <w:right w:val="none" w:sz="0" w:space="0" w:color="auto"/>
      </w:divBdr>
    </w:div>
    <w:div w:id="521632396">
      <w:bodyDiv w:val="1"/>
      <w:marLeft w:val="0"/>
      <w:marRight w:val="0"/>
      <w:marTop w:val="0"/>
      <w:marBottom w:val="0"/>
      <w:divBdr>
        <w:top w:val="none" w:sz="0" w:space="0" w:color="auto"/>
        <w:left w:val="none" w:sz="0" w:space="0" w:color="auto"/>
        <w:bottom w:val="none" w:sz="0" w:space="0" w:color="auto"/>
        <w:right w:val="none" w:sz="0" w:space="0" w:color="auto"/>
      </w:divBdr>
    </w:div>
    <w:div w:id="560215215">
      <w:bodyDiv w:val="1"/>
      <w:marLeft w:val="0"/>
      <w:marRight w:val="0"/>
      <w:marTop w:val="0"/>
      <w:marBottom w:val="0"/>
      <w:divBdr>
        <w:top w:val="none" w:sz="0" w:space="0" w:color="auto"/>
        <w:left w:val="none" w:sz="0" w:space="0" w:color="auto"/>
        <w:bottom w:val="none" w:sz="0" w:space="0" w:color="auto"/>
        <w:right w:val="none" w:sz="0" w:space="0" w:color="auto"/>
      </w:divBdr>
    </w:div>
    <w:div w:id="565797914">
      <w:bodyDiv w:val="1"/>
      <w:marLeft w:val="0"/>
      <w:marRight w:val="0"/>
      <w:marTop w:val="0"/>
      <w:marBottom w:val="0"/>
      <w:divBdr>
        <w:top w:val="none" w:sz="0" w:space="0" w:color="auto"/>
        <w:left w:val="none" w:sz="0" w:space="0" w:color="auto"/>
        <w:bottom w:val="none" w:sz="0" w:space="0" w:color="auto"/>
        <w:right w:val="none" w:sz="0" w:space="0" w:color="auto"/>
      </w:divBdr>
    </w:div>
    <w:div w:id="583608175">
      <w:bodyDiv w:val="1"/>
      <w:marLeft w:val="0"/>
      <w:marRight w:val="0"/>
      <w:marTop w:val="0"/>
      <w:marBottom w:val="0"/>
      <w:divBdr>
        <w:top w:val="none" w:sz="0" w:space="0" w:color="auto"/>
        <w:left w:val="none" w:sz="0" w:space="0" w:color="auto"/>
        <w:bottom w:val="none" w:sz="0" w:space="0" w:color="auto"/>
        <w:right w:val="none" w:sz="0" w:space="0" w:color="auto"/>
      </w:divBdr>
    </w:div>
    <w:div w:id="685056218">
      <w:bodyDiv w:val="1"/>
      <w:marLeft w:val="0"/>
      <w:marRight w:val="0"/>
      <w:marTop w:val="0"/>
      <w:marBottom w:val="0"/>
      <w:divBdr>
        <w:top w:val="none" w:sz="0" w:space="0" w:color="auto"/>
        <w:left w:val="none" w:sz="0" w:space="0" w:color="auto"/>
        <w:bottom w:val="none" w:sz="0" w:space="0" w:color="auto"/>
        <w:right w:val="none" w:sz="0" w:space="0" w:color="auto"/>
      </w:divBdr>
    </w:div>
    <w:div w:id="750854806">
      <w:bodyDiv w:val="1"/>
      <w:marLeft w:val="0"/>
      <w:marRight w:val="0"/>
      <w:marTop w:val="0"/>
      <w:marBottom w:val="0"/>
      <w:divBdr>
        <w:top w:val="none" w:sz="0" w:space="0" w:color="auto"/>
        <w:left w:val="none" w:sz="0" w:space="0" w:color="auto"/>
        <w:bottom w:val="none" w:sz="0" w:space="0" w:color="auto"/>
        <w:right w:val="none" w:sz="0" w:space="0" w:color="auto"/>
      </w:divBdr>
    </w:div>
    <w:div w:id="818116789">
      <w:bodyDiv w:val="1"/>
      <w:marLeft w:val="0"/>
      <w:marRight w:val="0"/>
      <w:marTop w:val="0"/>
      <w:marBottom w:val="0"/>
      <w:divBdr>
        <w:top w:val="none" w:sz="0" w:space="0" w:color="auto"/>
        <w:left w:val="none" w:sz="0" w:space="0" w:color="auto"/>
        <w:bottom w:val="none" w:sz="0" w:space="0" w:color="auto"/>
        <w:right w:val="none" w:sz="0" w:space="0" w:color="auto"/>
      </w:divBdr>
    </w:div>
    <w:div w:id="869804593">
      <w:bodyDiv w:val="1"/>
      <w:marLeft w:val="0"/>
      <w:marRight w:val="0"/>
      <w:marTop w:val="0"/>
      <w:marBottom w:val="0"/>
      <w:divBdr>
        <w:top w:val="none" w:sz="0" w:space="0" w:color="auto"/>
        <w:left w:val="none" w:sz="0" w:space="0" w:color="auto"/>
        <w:bottom w:val="none" w:sz="0" w:space="0" w:color="auto"/>
        <w:right w:val="none" w:sz="0" w:space="0" w:color="auto"/>
      </w:divBdr>
    </w:div>
    <w:div w:id="903099310">
      <w:bodyDiv w:val="1"/>
      <w:marLeft w:val="0"/>
      <w:marRight w:val="0"/>
      <w:marTop w:val="0"/>
      <w:marBottom w:val="0"/>
      <w:divBdr>
        <w:top w:val="none" w:sz="0" w:space="0" w:color="auto"/>
        <w:left w:val="none" w:sz="0" w:space="0" w:color="auto"/>
        <w:bottom w:val="none" w:sz="0" w:space="0" w:color="auto"/>
        <w:right w:val="none" w:sz="0" w:space="0" w:color="auto"/>
      </w:divBdr>
    </w:div>
    <w:div w:id="1048799523">
      <w:bodyDiv w:val="1"/>
      <w:marLeft w:val="0"/>
      <w:marRight w:val="0"/>
      <w:marTop w:val="0"/>
      <w:marBottom w:val="0"/>
      <w:divBdr>
        <w:top w:val="none" w:sz="0" w:space="0" w:color="auto"/>
        <w:left w:val="none" w:sz="0" w:space="0" w:color="auto"/>
        <w:bottom w:val="none" w:sz="0" w:space="0" w:color="auto"/>
        <w:right w:val="none" w:sz="0" w:space="0" w:color="auto"/>
      </w:divBdr>
    </w:div>
    <w:div w:id="1091703294">
      <w:bodyDiv w:val="1"/>
      <w:marLeft w:val="0"/>
      <w:marRight w:val="0"/>
      <w:marTop w:val="0"/>
      <w:marBottom w:val="0"/>
      <w:divBdr>
        <w:top w:val="none" w:sz="0" w:space="0" w:color="auto"/>
        <w:left w:val="none" w:sz="0" w:space="0" w:color="auto"/>
        <w:bottom w:val="none" w:sz="0" w:space="0" w:color="auto"/>
        <w:right w:val="none" w:sz="0" w:space="0" w:color="auto"/>
      </w:divBdr>
    </w:div>
    <w:div w:id="1188327524">
      <w:bodyDiv w:val="1"/>
      <w:marLeft w:val="0"/>
      <w:marRight w:val="0"/>
      <w:marTop w:val="0"/>
      <w:marBottom w:val="0"/>
      <w:divBdr>
        <w:top w:val="none" w:sz="0" w:space="0" w:color="auto"/>
        <w:left w:val="none" w:sz="0" w:space="0" w:color="auto"/>
        <w:bottom w:val="none" w:sz="0" w:space="0" w:color="auto"/>
        <w:right w:val="none" w:sz="0" w:space="0" w:color="auto"/>
      </w:divBdr>
    </w:div>
    <w:div w:id="1189026679">
      <w:bodyDiv w:val="1"/>
      <w:marLeft w:val="0"/>
      <w:marRight w:val="0"/>
      <w:marTop w:val="0"/>
      <w:marBottom w:val="0"/>
      <w:divBdr>
        <w:top w:val="none" w:sz="0" w:space="0" w:color="auto"/>
        <w:left w:val="none" w:sz="0" w:space="0" w:color="auto"/>
        <w:bottom w:val="none" w:sz="0" w:space="0" w:color="auto"/>
        <w:right w:val="none" w:sz="0" w:space="0" w:color="auto"/>
      </w:divBdr>
    </w:div>
    <w:div w:id="1216818753">
      <w:bodyDiv w:val="1"/>
      <w:marLeft w:val="0"/>
      <w:marRight w:val="0"/>
      <w:marTop w:val="0"/>
      <w:marBottom w:val="0"/>
      <w:divBdr>
        <w:top w:val="none" w:sz="0" w:space="0" w:color="auto"/>
        <w:left w:val="none" w:sz="0" w:space="0" w:color="auto"/>
        <w:bottom w:val="none" w:sz="0" w:space="0" w:color="auto"/>
        <w:right w:val="none" w:sz="0" w:space="0" w:color="auto"/>
      </w:divBdr>
    </w:div>
    <w:div w:id="1219978370">
      <w:bodyDiv w:val="1"/>
      <w:marLeft w:val="0"/>
      <w:marRight w:val="0"/>
      <w:marTop w:val="0"/>
      <w:marBottom w:val="0"/>
      <w:divBdr>
        <w:top w:val="none" w:sz="0" w:space="0" w:color="auto"/>
        <w:left w:val="none" w:sz="0" w:space="0" w:color="auto"/>
        <w:bottom w:val="none" w:sz="0" w:space="0" w:color="auto"/>
        <w:right w:val="none" w:sz="0" w:space="0" w:color="auto"/>
      </w:divBdr>
    </w:div>
    <w:div w:id="1257785965">
      <w:bodyDiv w:val="1"/>
      <w:marLeft w:val="0"/>
      <w:marRight w:val="0"/>
      <w:marTop w:val="0"/>
      <w:marBottom w:val="0"/>
      <w:divBdr>
        <w:top w:val="none" w:sz="0" w:space="0" w:color="auto"/>
        <w:left w:val="none" w:sz="0" w:space="0" w:color="auto"/>
        <w:bottom w:val="none" w:sz="0" w:space="0" w:color="auto"/>
        <w:right w:val="none" w:sz="0" w:space="0" w:color="auto"/>
      </w:divBdr>
    </w:div>
    <w:div w:id="1301306478">
      <w:bodyDiv w:val="1"/>
      <w:marLeft w:val="0"/>
      <w:marRight w:val="0"/>
      <w:marTop w:val="0"/>
      <w:marBottom w:val="0"/>
      <w:divBdr>
        <w:top w:val="none" w:sz="0" w:space="0" w:color="auto"/>
        <w:left w:val="none" w:sz="0" w:space="0" w:color="auto"/>
        <w:bottom w:val="none" w:sz="0" w:space="0" w:color="auto"/>
        <w:right w:val="none" w:sz="0" w:space="0" w:color="auto"/>
      </w:divBdr>
    </w:div>
    <w:div w:id="1343583592">
      <w:bodyDiv w:val="1"/>
      <w:marLeft w:val="0"/>
      <w:marRight w:val="0"/>
      <w:marTop w:val="0"/>
      <w:marBottom w:val="0"/>
      <w:divBdr>
        <w:top w:val="none" w:sz="0" w:space="0" w:color="auto"/>
        <w:left w:val="none" w:sz="0" w:space="0" w:color="auto"/>
        <w:bottom w:val="none" w:sz="0" w:space="0" w:color="auto"/>
        <w:right w:val="none" w:sz="0" w:space="0" w:color="auto"/>
      </w:divBdr>
    </w:div>
    <w:div w:id="1490823488">
      <w:bodyDiv w:val="1"/>
      <w:marLeft w:val="0"/>
      <w:marRight w:val="0"/>
      <w:marTop w:val="0"/>
      <w:marBottom w:val="0"/>
      <w:divBdr>
        <w:top w:val="none" w:sz="0" w:space="0" w:color="auto"/>
        <w:left w:val="none" w:sz="0" w:space="0" w:color="auto"/>
        <w:bottom w:val="none" w:sz="0" w:space="0" w:color="auto"/>
        <w:right w:val="none" w:sz="0" w:space="0" w:color="auto"/>
      </w:divBdr>
    </w:div>
    <w:div w:id="1571040680">
      <w:bodyDiv w:val="1"/>
      <w:marLeft w:val="0"/>
      <w:marRight w:val="0"/>
      <w:marTop w:val="0"/>
      <w:marBottom w:val="0"/>
      <w:divBdr>
        <w:top w:val="none" w:sz="0" w:space="0" w:color="auto"/>
        <w:left w:val="none" w:sz="0" w:space="0" w:color="auto"/>
        <w:bottom w:val="none" w:sz="0" w:space="0" w:color="auto"/>
        <w:right w:val="none" w:sz="0" w:space="0" w:color="auto"/>
      </w:divBdr>
    </w:div>
    <w:div w:id="1576474156">
      <w:bodyDiv w:val="1"/>
      <w:marLeft w:val="0"/>
      <w:marRight w:val="0"/>
      <w:marTop w:val="0"/>
      <w:marBottom w:val="0"/>
      <w:divBdr>
        <w:top w:val="none" w:sz="0" w:space="0" w:color="auto"/>
        <w:left w:val="none" w:sz="0" w:space="0" w:color="auto"/>
        <w:bottom w:val="none" w:sz="0" w:space="0" w:color="auto"/>
        <w:right w:val="none" w:sz="0" w:space="0" w:color="auto"/>
      </w:divBdr>
    </w:div>
    <w:div w:id="1633050328">
      <w:bodyDiv w:val="1"/>
      <w:marLeft w:val="0"/>
      <w:marRight w:val="0"/>
      <w:marTop w:val="0"/>
      <w:marBottom w:val="0"/>
      <w:divBdr>
        <w:top w:val="none" w:sz="0" w:space="0" w:color="auto"/>
        <w:left w:val="none" w:sz="0" w:space="0" w:color="auto"/>
        <w:bottom w:val="none" w:sz="0" w:space="0" w:color="auto"/>
        <w:right w:val="none" w:sz="0" w:space="0" w:color="auto"/>
      </w:divBdr>
    </w:div>
    <w:div w:id="1660767104">
      <w:bodyDiv w:val="1"/>
      <w:marLeft w:val="0"/>
      <w:marRight w:val="0"/>
      <w:marTop w:val="0"/>
      <w:marBottom w:val="0"/>
      <w:divBdr>
        <w:top w:val="none" w:sz="0" w:space="0" w:color="auto"/>
        <w:left w:val="none" w:sz="0" w:space="0" w:color="auto"/>
        <w:bottom w:val="none" w:sz="0" w:space="0" w:color="auto"/>
        <w:right w:val="none" w:sz="0" w:space="0" w:color="auto"/>
      </w:divBdr>
    </w:div>
    <w:div w:id="1784030778">
      <w:bodyDiv w:val="1"/>
      <w:marLeft w:val="0"/>
      <w:marRight w:val="0"/>
      <w:marTop w:val="0"/>
      <w:marBottom w:val="0"/>
      <w:divBdr>
        <w:top w:val="none" w:sz="0" w:space="0" w:color="auto"/>
        <w:left w:val="none" w:sz="0" w:space="0" w:color="auto"/>
        <w:bottom w:val="none" w:sz="0" w:space="0" w:color="auto"/>
        <w:right w:val="none" w:sz="0" w:space="0" w:color="auto"/>
      </w:divBdr>
    </w:div>
    <w:div w:id="1880779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jpeg"/><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jpeg"/></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footnotes.xml.rels><?xml version="1.0" encoding="UTF-8" standalone="yes"?>
<Relationships xmlns="http://schemas.openxmlformats.org/package/2006/relationships"><Relationship Id="rId1" Type="http://schemas.openxmlformats.org/officeDocument/2006/relationships/hyperlink" Target="http://data.worldbank.org/country/timor-lest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erroc\Local%20Settings\Temporary%20Internet%20Files\OLK5\APPR%20Public%20Report%20Template-12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0B63CB6-F153-4551-90F3-F29813A402E0}"/>
</file>

<file path=customXml/itemProps2.xml><?xml version="1.0" encoding="utf-8"?>
<ds:datastoreItem xmlns:ds="http://schemas.openxmlformats.org/officeDocument/2006/customXml" ds:itemID="{535B0C87-EF8D-4308-874E-78767E9322C4}"/>
</file>

<file path=customXml/itemProps3.xml><?xml version="1.0" encoding="utf-8"?>
<ds:datastoreItem xmlns:ds="http://schemas.openxmlformats.org/officeDocument/2006/customXml" ds:itemID="{3E6B2E77-2328-41EF-83B5-670E9835B34E}"/>
</file>

<file path=customXml/itemProps4.xml><?xml version="1.0" encoding="utf-8"?>
<ds:datastoreItem xmlns:ds="http://schemas.openxmlformats.org/officeDocument/2006/customXml" ds:itemID="{0143E43F-0804-458B-A339-FE2AC2F0B5BF}"/>
</file>

<file path=customXml/itemProps5.xml><?xml version="1.0" encoding="utf-8"?>
<ds:datastoreItem xmlns:ds="http://schemas.openxmlformats.org/officeDocument/2006/customXml" ds:itemID="{23A7F323-774B-4C3D-9664-B900076B176D}"/>
</file>

<file path=docProps/app.xml><?xml version="1.0" encoding="utf-8"?>
<Properties xmlns="http://schemas.openxmlformats.org/officeDocument/2006/extended-properties" xmlns:vt="http://schemas.openxmlformats.org/officeDocument/2006/docPropsVTypes">
  <Template>APPR Public Report Template-123</Template>
  <TotalTime>86</TotalTime>
  <Pages>38</Pages>
  <Words>16695</Words>
  <Characters>95167</Characters>
  <Application>Microsoft Office Word</Application>
  <DocSecurity>0</DocSecurity>
  <Lines>793</Lines>
  <Paragraphs>223</Paragraphs>
  <ScaleCrop>false</ScaleCrop>
  <HeadingPairs>
    <vt:vector size="2" baseType="variant">
      <vt:variant>
        <vt:lpstr>Title</vt:lpstr>
      </vt:variant>
      <vt:variant>
        <vt:i4>1</vt:i4>
      </vt:variant>
    </vt:vector>
  </HeadingPairs>
  <TitlesOfParts>
    <vt:vector size="1" baseType="lpstr">
      <vt:lpstr>APPR 20010</vt:lpstr>
    </vt:vector>
  </TitlesOfParts>
  <Manager>AusAID ADG OPS</Manager>
  <Company>AusAID</Company>
  <LinksUpToDate>false</LinksUpToDate>
  <CharactersWithSpaces>111639</CharactersWithSpaces>
  <SharedDoc>false</SharedDoc>
  <HLinks>
    <vt:vector size="6" baseType="variant">
      <vt:variant>
        <vt:i4>983045</vt:i4>
      </vt:variant>
      <vt:variant>
        <vt:i4>0</vt:i4>
      </vt:variant>
      <vt:variant>
        <vt:i4>0</vt:i4>
      </vt:variant>
      <vt:variant>
        <vt:i4>5</vt:i4>
      </vt:variant>
      <vt:variant>
        <vt:lpwstr>http://data.worldbank.org/country/timor-leste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APPR 20010</dc:title>
  <dc:creator>Catherine Herron</dc:creator>
  <cp:keywords>APPR</cp:keywords>
  <dc:description>Current to August 2011</dc:description>
  <cp:lastModifiedBy>MKhattab</cp:lastModifiedBy>
  <cp:revision>18</cp:revision>
  <cp:lastPrinted>2011-08-01T12:33:00Z</cp:lastPrinted>
  <dcterms:created xsi:type="dcterms:W3CDTF">2013-07-07T12:04:00Z</dcterms:created>
  <dcterms:modified xsi:type="dcterms:W3CDTF">2013-07-09T14:36:00Z</dcterms:modified>
  <cp:category>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Contact">
    <vt:lpwstr/>
  </property>
  <property fmtid="{D5CDD505-2E9C-101B-9397-08002B2CF9AE}" pid="3" name="AusAIDPageExpires">
    <vt:lpwstr/>
  </property>
  <property fmtid="{D5CDD505-2E9C-101B-9397-08002B2CF9AE}" pid="4" name="WCMSPublicationSubCategory">
    <vt:lpwstr/>
  </property>
  <property fmtid="{D5CDD505-2E9C-101B-9397-08002B2CF9AE}" pid="5" name="Order">
    <vt:r8>127500</vt:r8>
  </property>
  <property fmtid="{D5CDD505-2E9C-101B-9397-08002B2CF9AE}" pid="6" name="PublishingRollupImage">
    <vt:lpwstr/>
  </property>
  <property fmtid="{D5CDD505-2E9C-101B-9397-08002B2CF9AE}" pid="7" name="AusAIDAggregationLevel">
    <vt:lpwstr/>
  </property>
  <property fmtid="{D5CDD505-2E9C-101B-9397-08002B2CF9AE}" pid="8" name="WCMSStatus">
    <vt:lpwstr/>
  </property>
  <property fmtid="{D5CDD505-2E9C-101B-9397-08002B2CF9AE}" pid="9" name="WCMSIPSSubCategory">
    <vt:lpwstr/>
  </property>
  <property fmtid="{D5CDD505-2E9C-101B-9397-08002B2CF9AE}" pid="10" name="AusAIDModifiedDateMetadata">
    <vt:lpwstr/>
  </property>
  <property fmtid="{D5CDD505-2E9C-101B-9397-08002B2CF9AE}" pid="11" name="PublishingContactEmail">
    <vt:lpwstr/>
  </property>
  <property fmtid="{D5CDD505-2E9C-101B-9397-08002B2CF9AE}" pid="12" name="WCMSPrintedMedia">
    <vt:lpwstr/>
  </property>
  <property fmtid="{D5CDD505-2E9C-101B-9397-08002B2CF9AE}" pid="13" name="AusAIDPageDescriptionMetadata">
    <vt:lpwstr/>
  </property>
  <property fmtid="{D5CDD505-2E9C-101B-9397-08002B2CF9AE}" pid="14" name="WCMSTheme">
    <vt:lpwstr/>
  </property>
  <property fmtid="{D5CDD505-2E9C-101B-9397-08002B2CF9AE}" pid="15" name="WCMSISBNISSN">
    <vt:lpwstr/>
  </property>
  <property fmtid="{D5CDD505-2E9C-101B-9397-08002B2CF9AE}" pid="16" name="xd_Signature">
    <vt:lpwstr/>
  </property>
  <property fmtid="{D5CDD505-2E9C-101B-9397-08002B2CF9AE}" pid="17" name="WCMSIPSCategory">
    <vt:lpwstr/>
  </property>
  <property fmtid="{D5CDD505-2E9C-101B-9397-08002B2CF9AE}" pid="18" name="AusAIDCreatedDateMetadata">
    <vt:lpwstr/>
  </property>
  <property fmtid="{D5CDD505-2E9C-101B-9397-08002B2CF9AE}" pid="19" name="xd_ProgID">
    <vt:lpwstr/>
  </property>
  <property fmtid="{D5CDD505-2E9C-101B-9397-08002B2CF9AE}" pid="20" name="RSS Feed Link">
    <vt:lpwstr/>
  </property>
  <property fmtid="{D5CDD505-2E9C-101B-9397-08002B2CF9AE}" pid="21" name="WCMSDocumentLink">
    <vt:lpwstr/>
  </property>
  <property fmtid="{D5CDD505-2E9C-101B-9397-08002B2CF9AE}" pid="22" name="PublishingContactPicture">
    <vt:lpwstr/>
  </property>
  <property fmtid="{D5CDD505-2E9C-101B-9397-08002B2CF9AE}" pid="23" name="PublishingVariationGroupID">
    <vt:lpwstr/>
  </property>
  <property fmtid="{D5CDD505-2E9C-101B-9397-08002B2CF9AE}" pid="24" name="AusAIDIdentifierMetadata">
    <vt:lpwstr/>
  </property>
  <property fmtid="{D5CDD505-2E9C-101B-9397-08002B2CF9AE}" pid="25" name="display_urn:schemas-microsoft-com:office:office#Author">
    <vt:lpwstr>System Account</vt:lpwstr>
  </property>
  <property fmtid="{D5CDD505-2E9C-101B-9397-08002B2CF9AE}" pid="26" name="PublishingVariationRelationshipLinkFieldID">
    <vt:lpwstr/>
  </property>
  <property fmtid="{D5CDD505-2E9C-101B-9397-08002B2CF9AE}" pid="27" name="WCMSPublicationCategory">
    <vt:lpwstr/>
  </property>
  <property fmtid="{D5CDD505-2E9C-101B-9397-08002B2CF9AE}" pid="28" name="WCMSElectronicMedia">
    <vt:lpwstr/>
  </property>
  <property fmtid="{D5CDD505-2E9C-101B-9397-08002B2CF9AE}" pid="29" name="WCMSReportDisclaimer">
    <vt:lpwstr/>
  </property>
  <property fmtid="{D5CDD505-2E9C-101B-9397-08002B2CF9AE}" pid="30" name="WCMSPublicationAuthor">
    <vt:lpwstr/>
  </property>
  <property fmtid="{D5CDD505-2E9C-101B-9397-08002B2CF9AE}" pid="31" name="PublishingContactName">
    <vt:lpwstr/>
  </property>
  <property fmtid="{D5CDD505-2E9C-101B-9397-08002B2CF9AE}" pid="32" name="WCMSRegion">
    <vt:lpwstr/>
  </property>
  <property fmtid="{D5CDD505-2E9C-101B-9397-08002B2CF9AE}" pid="33" name="_SourceUrl">
    <vt:lpwstr/>
  </property>
  <property fmtid="{D5CDD505-2E9C-101B-9397-08002B2CF9AE}" pid="34" name="_SharedFileIndex">
    <vt:lpwstr/>
  </property>
  <property fmtid="{D5CDD505-2E9C-101B-9397-08002B2CF9AE}" pid="35" name="Comments">
    <vt:lpwstr/>
  </property>
  <property fmtid="{D5CDD505-2E9C-101B-9397-08002B2CF9AE}" pid="36" name="PublishingPageLayout">
    <vt:lpwstr/>
  </property>
  <property fmtid="{D5CDD505-2E9C-101B-9397-08002B2CF9AE}" pid="37" name="WCMSCountry">
    <vt:lpwstr/>
  </property>
  <property fmtid="{D5CDD505-2E9C-101B-9397-08002B2CF9AE}" pid="38" name="WCMSSourceId">
    <vt:lpwstr/>
  </property>
  <property fmtid="{D5CDD505-2E9C-101B-9397-08002B2CF9AE}" pid="39" name="WCMSLatest">
    <vt:lpwstr/>
  </property>
  <property fmtid="{D5CDD505-2E9C-101B-9397-08002B2CF9AE}" pid="40" name="WCMSPublicationFormat">
    <vt:lpwstr/>
  </property>
  <property fmtid="{D5CDD505-2E9C-101B-9397-08002B2CF9AE}" pid="41" name="AusAIDPageSubjectMetadata">
    <vt:lpwstr/>
  </property>
  <property fmtid="{D5CDD505-2E9C-101B-9397-08002B2CF9AE}" pid="42" name="AusAIDCategoryMetadata">
    <vt:lpwstr/>
  </property>
  <property fmtid="{D5CDD505-2E9C-101B-9397-08002B2CF9AE}" pid="43" name="AusAIDDocumentTypeMetaData">
    <vt:lpwstr/>
  </property>
  <property fmtid="{D5CDD505-2E9C-101B-9397-08002B2CF9AE}" pid="44" name="WCMSLanguage">
    <vt:lpwstr/>
  </property>
  <property fmtid="{D5CDD505-2E9C-101B-9397-08002B2CF9AE}" pid="45" name="display_urn:schemas-microsoft-com:office:office#Editor">
    <vt:lpwstr>System Account</vt:lpwstr>
  </property>
  <property fmtid="{D5CDD505-2E9C-101B-9397-08002B2CF9AE}" pid="46" name="TemplateUrl">
    <vt:lpwstr/>
  </property>
  <property fmtid="{D5CDD505-2E9C-101B-9397-08002B2CF9AE}" pid="47" name="Audience">
    <vt:lpwstr/>
  </property>
  <property fmtid="{D5CDD505-2E9C-101B-9397-08002B2CF9AE}" pid="48" name="WCMSDescription">
    <vt:lpwstr/>
  </property>
  <property fmtid="{D5CDD505-2E9C-101B-9397-08002B2CF9AE}" pid="49" name="WCMSPublicationDate">
    <vt:lpwstr/>
  </property>
  <property fmtid="{D5CDD505-2E9C-101B-9397-08002B2CF9AE}" pid="50" name="WCMSOtherCategory">
    <vt:lpwstr/>
  </property>
  <property fmtid="{D5CDD505-2E9C-101B-9397-08002B2CF9AE}" pid="51" name="ContentTypeId">
    <vt:lpwstr>0x01010050F19AC2165D2E47A5E6B7F563E4CF00</vt:lpwstr>
  </property>
  <property fmtid="{D5CDD505-2E9C-101B-9397-08002B2CF9AE}" pid="52" name="display_urn">
    <vt:lpwstr>System Account</vt:lpwstr>
  </property>
</Properties>
</file>